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AB0C0">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5D22ADB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6DF69903">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4"/>
          <w:szCs w:val="44"/>
          <w:highlight w:val="none"/>
          <w:lang w:eastAsia="zh-CN"/>
          <w14:textFill>
            <w14:solidFill>
              <w14:schemeClr w14:val="tx1"/>
            </w14:solidFill>
          </w14:textFill>
        </w:rPr>
        <w:t>杭州市生态环境局建德分局2024-2026年建德市高空瞭望监控建设、服务租赁项目</w:t>
      </w:r>
    </w:p>
    <w:p w14:paraId="6488C81F">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 w:val="48"/>
          <w:szCs w:val="48"/>
          <w:highlight w:val="none"/>
          <w14:textFill>
            <w14:solidFill>
              <w14:schemeClr w14:val="tx1"/>
            </w14:solidFill>
          </w14:textFill>
        </w:rPr>
        <w:t>招标文件</w:t>
      </w:r>
    </w:p>
    <w:p w14:paraId="56416F08">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（电子招投标）</w:t>
      </w:r>
    </w:p>
    <w:p w14:paraId="2625FBEF">
      <w:pPr>
        <w:adjustRightInd/>
        <w:spacing w:line="360" w:lineRule="auto"/>
        <w:ind w:firstLine="3300" w:firstLineChars="1100"/>
        <w:rPr>
          <w:rFonts w:hint="eastAsia" w:ascii="宋体" w:hAnsi="宋体" w:eastAsia="宋体" w:cs="宋体"/>
          <w:color w:val="000000" w:themeColor="text1"/>
          <w:sz w:val="28"/>
          <w:szCs w:val="2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编号：</w:t>
      </w:r>
      <w:r>
        <w:rPr>
          <w:rFonts w:hint="eastAsia" w:ascii="宋体" w:hAnsi="宋体" w:eastAsia="宋体" w:cs="宋体"/>
          <w:color w:val="000000" w:themeColor="text1"/>
          <w:sz w:val="30"/>
          <w:szCs w:val="30"/>
          <w:highlight w:val="none"/>
          <w:lang w:eastAsia="zh-CN"/>
          <w14:textFill>
            <w14:solidFill>
              <w14:schemeClr w14:val="tx1"/>
            </w14:solidFill>
          </w14:textFill>
        </w:rPr>
        <w:t>JD2024BF-</w:t>
      </w:r>
      <w:r>
        <w:rPr>
          <w:rFonts w:hint="eastAsia" w:ascii="宋体" w:hAnsi="宋体" w:cs="宋体"/>
          <w:color w:val="000000" w:themeColor="text1"/>
          <w:sz w:val="30"/>
          <w:szCs w:val="30"/>
          <w:highlight w:val="none"/>
          <w:lang w:val="en-US" w:eastAsia="zh-CN"/>
          <w14:textFill>
            <w14:solidFill>
              <w14:schemeClr w14:val="tx1"/>
            </w14:solidFill>
          </w14:textFill>
        </w:rPr>
        <w:t xml:space="preserve">141 </w:t>
      </w:r>
      <w:r>
        <w:rPr>
          <w:rFonts w:hint="eastAsia" w:ascii="宋体" w:hAnsi="宋体" w:eastAsia="宋体" w:cs="宋体"/>
          <w:color w:val="000000" w:themeColor="text1"/>
          <w:sz w:val="30"/>
          <w:szCs w:val="30"/>
          <w:highlight w:val="none"/>
          <w14:textFill>
            <w14:solidFill>
              <w14:schemeClr w14:val="tx1"/>
            </w14:solidFill>
          </w14:textFill>
        </w:rPr>
        <w:t xml:space="preserve"> </w:t>
      </w:r>
    </w:p>
    <w:p w14:paraId="55A0A74E">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w:t>
      </w:r>
    </w:p>
    <w:p w14:paraId="7A2053BD">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75B6D40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A24096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88EECCE">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04758DC1">
      <w:pPr>
        <w:snapToGrid w:val="0"/>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采购人：</w:t>
      </w:r>
      <w:r>
        <w:rPr>
          <w:rFonts w:hint="eastAsia" w:ascii="宋体" w:hAnsi="宋体" w:cs="宋体"/>
          <w:color w:val="000000" w:themeColor="text1"/>
          <w:sz w:val="32"/>
          <w:szCs w:val="32"/>
          <w:highlight w:val="none"/>
          <w:lang w:eastAsia="zh-CN"/>
          <w14:textFill>
            <w14:solidFill>
              <w14:schemeClr w14:val="tx1"/>
            </w14:solidFill>
          </w14:textFill>
        </w:rPr>
        <w:t>杭州市生态环境局建德分局</w:t>
      </w:r>
      <w:r>
        <w:rPr>
          <w:rFonts w:hint="eastAsia" w:ascii="宋体" w:hAnsi="宋体" w:eastAsia="宋体" w:cs="宋体"/>
          <w:color w:val="000000" w:themeColor="text1"/>
          <w:sz w:val="32"/>
          <w:szCs w:val="32"/>
          <w:highlight w:val="none"/>
          <w14:textFill>
            <w14:solidFill>
              <w14:schemeClr w14:val="tx1"/>
            </w14:solidFill>
          </w14:textFill>
        </w:rPr>
        <w:t xml:space="preserve"> </w:t>
      </w:r>
    </w:p>
    <w:p w14:paraId="20F363E5">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采购代理机构：杭州欣兴建设工程招标代理有限公司</w:t>
      </w:r>
    </w:p>
    <w:p w14:paraId="46F648C8">
      <w:pPr>
        <w:snapToGrid w:val="0"/>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二〇二</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四</w:t>
      </w:r>
      <w:r>
        <w:rPr>
          <w:rFonts w:hint="eastAsia" w:ascii="宋体" w:hAnsi="宋体" w:eastAsia="宋体" w:cs="宋体"/>
          <w:bCs/>
          <w:color w:val="000000" w:themeColor="text1"/>
          <w:sz w:val="32"/>
          <w:szCs w:val="32"/>
          <w:highlight w:val="none"/>
          <w14:textFill>
            <w14:solidFill>
              <w14:schemeClr w14:val="tx1"/>
            </w14:solidFill>
          </w14:textFill>
        </w:rPr>
        <w:t>年</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highlight w:val="none"/>
          <w14:textFill>
            <w14:solidFill>
              <w14:schemeClr w14:val="tx1"/>
            </w14:solidFill>
          </w14:textFill>
        </w:rPr>
        <w:t>月</w:t>
      </w:r>
      <w:r>
        <w:rPr>
          <w:rFonts w:hint="eastAsia" w:ascii="宋体" w:hAnsi="宋体" w:cs="宋体"/>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highlight w:val="none"/>
          <w14:textFill>
            <w14:solidFill>
              <w14:schemeClr w14:val="tx1"/>
            </w14:solidFill>
          </w14:textFill>
        </w:rPr>
        <w:t>日</w:t>
      </w:r>
    </w:p>
    <w:p w14:paraId="33F63A6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0" w:name="_Hlt67893495"/>
      <w:bookmarkEnd w:id="0"/>
    </w:p>
    <w:p w14:paraId="47FA570C">
      <w:pPr>
        <w:pStyle w:val="638"/>
        <w:rPr>
          <w:rFonts w:hint="eastAsia" w:ascii="宋体" w:hAnsi="宋体" w:eastAsia="宋体" w:cs="宋体"/>
          <w:color w:val="000000" w:themeColor="text1"/>
          <w:highlight w:val="none"/>
          <w14:textFill>
            <w14:solidFill>
              <w14:schemeClr w14:val="tx1"/>
            </w14:solidFill>
          </w14:textFill>
        </w:rPr>
      </w:pPr>
    </w:p>
    <w:p w14:paraId="71BA4683">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t>目  录</w:t>
      </w:r>
    </w:p>
    <w:p w14:paraId="0AFA55FF">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118E4648">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3A0443CD">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第一部分      招标公告</w:t>
      </w:r>
    </w:p>
    <w:p w14:paraId="5D3BC19C">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第二部分      投标人须知</w:t>
      </w:r>
    </w:p>
    <w:p w14:paraId="01E02DAA">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第三部分      采购需求</w:t>
      </w:r>
    </w:p>
    <w:p w14:paraId="5DDF1669">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第四部分      评标办法</w:t>
      </w:r>
    </w:p>
    <w:p w14:paraId="2B676F13">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第五部分      拟签订的合同文本</w:t>
      </w:r>
    </w:p>
    <w:p w14:paraId="48623C4A">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第六部分      应提交的有关格式范例</w:t>
      </w:r>
    </w:p>
    <w:p w14:paraId="4DA73E8E">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bookmarkStart w:id="1" w:name="_Hlt91233176"/>
      <w:bookmarkEnd w:id="1"/>
      <w:bookmarkStart w:id="2" w:name="_Toc91899869"/>
    </w:p>
    <w:p w14:paraId="1B48B18E">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5C5B4133">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C3D7322">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8AC00A7">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2556426E">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61191254">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25BEB53C">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269F1956">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5773A486">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3973E59">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59C6E498">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00504EFB">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75DB962E">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55C1B6F3">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3" w:name="第一部分"/>
      <w:r>
        <w:rPr>
          <w:rFonts w:hint="eastAsia" w:ascii="宋体" w:hAnsi="宋体" w:eastAsia="宋体" w:cs="宋体"/>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000000" w:themeColor="text1"/>
          <w:sz w:val="36"/>
          <w:szCs w:val="20"/>
          <w:highlight w:val="none"/>
          <w14:textFill>
            <w14:solidFill>
              <w14:schemeClr w14:val="tx1"/>
            </w14:solidFill>
          </w14:textFill>
        </w:rPr>
        <w:t>第一部分 招标公告</w:t>
      </w:r>
    </w:p>
    <w:p w14:paraId="2620E68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67350E1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杭州市生态环境局建德分局2024-2026年建德市高空瞭望监控建设、服务租赁项目</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的潜在投标人应在政采云平台（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4</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 xml:space="preserve"> </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 xml:space="preserve">  </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 xml:space="preserve"> </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 xml:space="preserve"> </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 xml:space="preserve">  </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6"/>
          <w:rFonts w:hint="eastAsia" w:ascii="宋体" w:hAnsi="宋体" w:cs="宋体"/>
          <w:bCs/>
          <w:snapToGrid/>
          <w:color w:val="000000" w:themeColor="text1"/>
          <w:kern w:val="2"/>
          <w:sz w:val="24"/>
          <w:szCs w:val="24"/>
          <w:highlight w:val="none"/>
          <w:lang w:val="en-US" w:eastAsia="zh-CN"/>
          <w14:textFill>
            <w14:solidFill>
              <w14:schemeClr w14:val="tx1"/>
            </w14:solidFill>
          </w14:textFill>
        </w:rPr>
        <w:t xml:space="preserve">  </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highlight w:val="none"/>
          <w14:textFill>
            <w14:solidFill>
              <w14:schemeClr w14:val="tx1"/>
            </w14:solidFill>
          </w14:textFill>
        </w:rPr>
        <w:t>（北京时间）前</w:t>
      </w:r>
      <w:r>
        <w:rPr>
          <w:rFonts w:hint="eastAsia" w:ascii="宋体" w:hAnsi="宋体" w:eastAsia="宋体" w:cs="宋体"/>
          <w:color w:val="000000" w:themeColor="text1"/>
          <w:sz w:val="24"/>
          <w:highlight w:val="none"/>
          <w14:textFill>
            <w14:solidFill>
              <w14:schemeClr w14:val="tx1"/>
            </w14:solidFill>
          </w14:textFill>
        </w:rPr>
        <w:t>递交（上传）投标文件。</w:t>
      </w:r>
    </w:p>
    <w:p w14:paraId="571379F7">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一、项目基本情况                                            </w:t>
      </w:r>
    </w:p>
    <w:p w14:paraId="726F4248">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项目编号：</w:t>
      </w:r>
      <w:r>
        <w:rPr>
          <w:rFonts w:hint="eastAsia" w:ascii="宋体" w:hAnsi="宋体" w:eastAsia="宋体" w:cs="宋体"/>
          <w:bCs/>
          <w:color w:val="000000" w:themeColor="text1"/>
          <w:sz w:val="24"/>
          <w:highlight w:val="none"/>
          <w:lang w:eastAsia="zh-CN"/>
          <w14:textFill>
            <w14:solidFill>
              <w14:schemeClr w14:val="tx1"/>
            </w14:solidFill>
          </w14:textFill>
        </w:rPr>
        <w:t>JD2024BF-</w:t>
      </w:r>
      <w:r>
        <w:rPr>
          <w:rFonts w:hint="eastAsia" w:ascii="宋体" w:hAnsi="宋体" w:cs="宋体"/>
          <w:bCs/>
          <w:color w:val="000000" w:themeColor="text1"/>
          <w:sz w:val="24"/>
          <w:highlight w:val="none"/>
          <w:lang w:val="en-US" w:eastAsia="zh-CN"/>
          <w14:textFill>
            <w14:solidFill>
              <w14:schemeClr w14:val="tx1"/>
            </w14:solidFill>
          </w14:textFill>
        </w:rPr>
        <w:t xml:space="preserve">141 </w:t>
      </w:r>
    </w:p>
    <w:p w14:paraId="163B6041">
      <w:pPr>
        <w:spacing w:line="360" w:lineRule="auto"/>
        <w:ind w:left="1684" w:leftChars="228" w:hanging="1205" w:hangingChars="5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项目名称：</w:t>
      </w:r>
      <w:r>
        <w:rPr>
          <w:rFonts w:hint="eastAsia" w:ascii="宋体" w:hAnsi="宋体" w:cs="宋体"/>
          <w:bCs/>
          <w:color w:val="000000" w:themeColor="text1"/>
          <w:sz w:val="24"/>
          <w:highlight w:val="none"/>
          <w:lang w:eastAsia="zh-CN"/>
          <w14:textFill>
            <w14:solidFill>
              <w14:schemeClr w14:val="tx1"/>
            </w14:solidFill>
          </w14:textFill>
        </w:rPr>
        <w:t>杭州市生态环境局建德分局2024-2026年建德市高空瞭望监控建设、服务租赁项目</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 xml:space="preserve"> </w:t>
      </w:r>
    </w:p>
    <w:p w14:paraId="1896DBA2">
      <w:pPr>
        <w:spacing w:line="360" w:lineRule="auto"/>
        <w:ind w:firstLine="48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预算金额（元）：4</w:t>
      </w:r>
      <w:r>
        <w:rPr>
          <w:rFonts w:hint="eastAsia" w:ascii="宋体" w:hAnsi="宋体" w:eastAsia="宋体" w:cs="宋体"/>
          <w:b/>
          <w:color w:val="000000" w:themeColor="text1"/>
          <w:sz w:val="24"/>
          <w:highlight w:val="none"/>
          <w:lang w:val="en-US" w:eastAsia="zh-CN"/>
          <w14:textFill>
            <w14:solidFill>
              <w14:schemeClr w14:val="tx1"/>
            </w14:solidFill>
          </w14:textFill>
        </w:rPr>
        <w:t>38</w:t>
      </w:r>
      <w:r>
        <w:rPr>
          <w:rFonts w:hint="eastAsia" w:ascii="宋体" w:hAnsi="宋体" w:eastAsia="宋体" w:cs="宋体"/>
          <w:b/>
          <w:color w:val="000000" w:themeColor="text1"/>
          <w:sz w:val="24"/>
          <w:highlight w:val="none"/>
          <w14:textFill>
            <w14:solidFill>
              <w14:schemeClr w14:val="tx1"/>
            </w14:solidFill>
          </w14:textFill>
        </w:rPr>
        <w:t>0000元(</w:t>
      </w:r>
      <w:r>
        <w:rPr>
          <w:rFonts w:hint="eastAsia" w:ascii="宋体" w:hAnsi="宋体" w:eastAsia="宋体" w:cs="宋体"/>
          <w:b/>
          <w:color w:val="000000" w:themeColor="text1"/>
          <w:sz w:val="24"/>
          <w:highlight w:val="none"/>
          <w:lang w:val="en-US" w:eastAsia="zh-CN"/>
          <w14:textFill>
            <w14:solidFill>
              <w14:schemeClr w14:val="tx1"/>
            </w14:solidFill>
          </w14:textFill>
        </w:rPr>
        <w:t>146</w:t>
      </w:r>
      <w:r>
        <w:rPr>
          <w:rFonts w:hint="eastAsia" w:ascii="宋体" w:hAnsi="宋体" w:eastAsia="宋体" w:cs="宋体"/>
          <w:b/>
          <w:color w:val="000000" w:themeColor="text1"/>
          <w:sz w:val="24"/>
          <w:highlight w:val="none"/>
          <w14:textFill>
            <w14:solidFill>
              <w14:schemeClr w14:val="tx1"/>
            </w14:solidFill>
          </w14:textFill>
        </w:rPr>
        <w:t>0000元/年）</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1E8579F9">
      <w:pPr>
        <w:spacing w:line="360" w:lineRule="auto"/>
        <w:ind w:firstLine="48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最高限价（元）：4</w:t>
      </w:r>
      <w:r>
        <w:rPr>
          <w:rFonts w:hint="eastAsia" w:ascii="宋体" w:hAnsi="宋体" w:eastAsia="宋体" w:cs="宋体"/>
          <w:b/>
          <w:color w:val="000000" w:themeColor="text1"/>
          <w:sz w:val="24"/>
          <w:highlight w:val="none"/>
          <w:lang w:val="en-US" w:eastAsia="zh-CN"/>
          <w14:textFill>
            <w14:solidFill>
              <w14:schemeClr w14:val="tx1"/>
            </w14:solidFill>
          </w14:textFill>
        </w:rPr>
        <w:t>38</w:t>
      </w:r>
      <w:r>
        <w:rPr>
          <w:rFonts w:hint="eastAsia" w:ascii="宋体" w:hAnsi="宋体" w:eastAsia="宋体" w:cs="宋体"/>
          <w:b/>
          <w:color w:val="000000" w:themeColor="text1"/>
          <w:sz w:val="24"/>
          <w:highlight w:val="none"/>
          <w14:textFill>
            <w14:solidFill>
              <w14:schemeClr w14:val="tx1"/>
            </w14:solidFill>
          </w14:textFill>
        </w:rPr>
        <w:t>0000元(</w:t>
      </w:r>
      <w:r>
        <w:rPr>
          <w:rFonts w:hint="eastAsia" w:ascii="宋体" w:hAnsi="宋体" w:eastAsia="宋体" w:cs="宋体"/>
          <w:b/>
          <w:color w:val="000000" w:themeColor="text1"/>
          <w:sz w:val="24"/>
          <w:highlight w:val="none"/>
          <w:lang w:val="en-US" w:eastAsia="zh-CN"/>
          <w14:textFill>
            <w14:solidFill>
              <w14:schemeClr w14:val="tx1"/>
            </w14:solidFill>
          </w14:textFill>
        </w:rPr>
        <w:t>146</w:t>
      </w:r>
      <w:r>
        <w:rPr>
          <w:rFonts w:hint="eastAsia" w:ascii="宋体" w:hAnsi="宋体" w:eastAsia="宋体" w:cs="宋体"/>
          <w:b/>
          <w:color w:val="000000" w:themeColor="text1"/>
          <w:sz w:val="24"/>
          <w:highlight w:val="none"/>
          <w14:textFill>
            <w14:solidFill>
              <w14:schemeClr w14:val="tx1"/>
            </w14:solidFill>
          </w14:textFill>
        </w:rPr>
        <w:t>0000元/年）</w:t>
      </w:r>
      <w:r>
        <w:rPr>
          <w:rFonts w:hint="eastAsia" w:ascii="宋体" w:hAnsi="宋体" w:eastAsia="宋体" w:cs="宋体"/>
          <w:bCs/>
          <w:color w:val="000000" w:themeColor="text1"/>
          <w:sz w:val="24"/>
          <w:highlight w:val="none"/>
          <w14:textFill>
            <w14:solidFill>
              <w14:schemeClr w14:val="tx1"/>
            </w14:solidFill>
          </w14:textFill>
        </w:rPr>
        <w:t>；</w:t>
      </w:r>
    </w:p>
    <w:p w14:paraId="6A3C7DE7">
      <w:pPr>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采购需求：</w:t>
      </w:r>
      <w:r>
        <w:rPr>
          <w:rFonts w:hint="eastAsia" w:ascii="宋体" w:hAnsi="宋体" w:cs="宋体"/>
          <w:bCs/>
          <w:color w:val="000000" w:themeColor="text1"/>
          <w:sz w:val="24"/>
          <w:highlight w:val="none"/>
          <w:lang w:eastAsia="zh-CN"/>
          <w14:textFill>
            <w14:solidFill>
              <w14:schemeClr w14:val="tx1"/>
            </w14:solidFill>
          </w14:textFill>
        </w:rPr>
        <w:t>杭州市生态环境局建德分局2024-2026年建德市高空瞭望监控建设、服务租赁项目。本次区域高空视频监控系统服务内容包括：建设41个点位的高空监控用于秸秆禁烧巡查，建设48个点位的高空监控用于秸秆露天焚烧监测；建设9个</w:t>
      </w:r>
      <w:r>
        <w:rPr>
          <w:rFonts w:hint="eastAsia" w:ascii="宋体" w:hAnsi="宋体" w:cs="宋体"/>
          <w:bCs/>
          <w:color w:val="000000" w:themeColor="text1"/>
          <w:sz w:val="24"/>
          <w:highlight w:val="none"/>
          <w:lang w:val="en-US" w:eastAsia="zh-CN"/>
          <w14:textFill>
            <w14:solidFill>
              <w14:schemeClr w14:val="tx1"/>
            </w14:solidFill>
          </w14:textFill>
        </w:rPr>
        <w:t>点位的</w:t>
      </w:r>
      <w:r>
        <w:rPr>
          <w:rFonts w:hint="eastAsia" w:ascii="宋体" w:hAnsi="宋体" w:cs="宋体"/>
          <w:bCs/>
          <w:color w:val="000000" w:themeColor="text1"/>
          <w:sz w:val="24"/>
          <w:highlight w:val="none"/>
          <w:lang w:eastAsia="zh-CN"/>
          <w14:textFill>
            <w14:solidFill>
              <w14:schemeClr w14:val="tx1"/>
            </w14:solidFill>
          </w14:textFill>
        </w:rPr>
        <w:t>高空监控用于码头扬尘巡查，并在高空监控上定制开发视频分析软件，及时、主动发现农田焚烧秸秆行为，实现对违法行为的自动报警，</w:t>
      </w:r>
      <w:r>
        <w:rPr>
          <w:rFonts w:hint="eastAsia" w:ascii="宋体" w:hAnsi="宋体" w:cs="宋体"/>
          <w:bCs/>
          <w:color w:val="000000" w:themeColor="text1"/>
          <w:sz w:val="24"/>
          <w:highlight w:val="none"/>
          <w:lang w:val="en-US" w:eastAsia="zh-CN"/>
          <w14:textFill>
            <w14:solidFill>
              <w14:schemeClr w14:val="tx1"/>
            </w14:solidFill>
          </w14:textFill>
        </w:rPr>
        <w:t>以及存量服务器升级、算法和综合预警平台升级。</w:t>
      </w:r>
      <w:r>
        <w:rPr>
          <w:rFonts w:hint="eastAsia" w:ascii="宋体" w:hAnsi="宋体" w:eastAsia="宋体" w:cs="宋体"/>
          <w:color w:val="000000" w:themeColor="text1"/>
          <w:sz w:val="24"/>
          <w:highlight w:val="none"/>
          <w14:textFill>
            <w14:solidFill>
              <w14:schemeClr w14:val="tx1"/>
            </w14:solidFill>
          </w14:textFill>
        </w:rPr>
        <w:t>具体以招标文件第三部分采购需求为准，供应商可点击本公告下方“浏览采购文件”查看采购需求。</w:t>
      </w:r>
    </w:p>
    <w:p w14:paraId="43E81AF0">
      <w:pPr>
        <w:spacing w:line="360" w:lineRule="auto"/>
        <w:ind w:left="210" w:leftChars="100"/>
        <w:jc w:val="left"/>
        <w:rPr>
          <w:rFonts w:hint="eastAsia" w:ascii="宋体" w:hAnsi="宋体" w:eastAsia="宋体" w:cs="宋体"/>
          <w:bCs/>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合同履约期限：</w:t>
      </w:r>
      <w:r>
        <w:rPr>
          <w:rFonts w:hint="eastAsia" w:ascii="宋体" w:hAnsi="宋体" w:cs="宋体"/>
          <w:bCs/>
          <w:color w:val="000000" w:themeColor="text1"/>
          <w:sz w:val="24"/>
          <w:highlight w:val="none"/>
          <w:lang w:val="en-US" w:eastAsia="zh-CN"/>
          <w14:textFill>
            <w14:solidFill>
              <w14:schemeClr w14:val="tx1"/>
            </w14:solidFill>
          </w14:textFill>
        </w:rPr>
        <w:t>本项目的服务期为一年，自政府采购合同签订生效之日起计算。一年服务期满后，若年度考核平均分达到优秀（90分及以上，考核办法见附件）的，可以按照本次年度中标价续签一年，续签次数≤2次。除因政策性因素引起改变的，续签合同的主要条款不予调整。</w:t>
      </w:r>
    </w:p>
    <w:p w14:paraId="32706A4E">
      <w:pPr>
        <w:pStyle w:val="6"/>
        <w:spacing w:line="360" w:lineRule="auto"/>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本项目接受联合体投标：</w:t>
      </w:r>
      <w:r>
        <w:rPr>
          <w:rFonts w:hint="eastAsia" w:ascii="宋体" w:hAnsi="宋体" w:eastAsia="宋体" w:cs="宋体"/>
          <w:color w:val="000000" w:themeColor="text1"/>
          <w:kern w:val="0"/>
          <w:sz w:val="24"/>
          <w:highlight w:val="none"/>
          <w14:textFill>
            <w14:solidFill>
              <w14:schemeClr w14:val="tx1"/>
            </w14:solidFill>
          </w14:textFill>
        </w:rPr>
        <w:t xml:space="preserve"> </w:t>
      </w:r>
      <w:sdt>
        <w:sdtPr>
          <w:rPr>
            <w:rFonts w:hint="eastAsia" w:ascii="宋体" w:hAnsi="宋体" w:eastAsia="宋体" w:cs="宋体"/>
            <w:color w:val="000000" w:themeColor="text1"/>
            <w:kern w:val="0"/>
            <w:sz w:val="24"/>
            <w:highlight w:val="none"/>
            <w14:textFill>
              <w14:solidFill>
                <w14:schemeClr w14:val="tx1"/>
              </w14:solidFill>
            </w14:textFill>
          </w:rPr>
          <w:id w:val="-441836950"/>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b/>
          <w:color w:val="000000" w:themeColor="text1"/>
          <w:sz w:val="24"/>
          <w:highlight w:val="none"/>
          <w14:textFill>
            <w14:solidFill>
              <w14:schemeClr w14:val="tx1"/>
            </w14:solidFill>
          </w14:textFill>
        </w:rPr>
        <w:t>是；</w:t>
      </w:r>
      <w:sdt>
        <w:sdtPr>
          <w:rPr>
            <w:rFonts w:hint="eastAsia" w:ascii="宋体" w:hAnsi="宋体" w:eastAsia="宋体" w:cs="宋体"/>
            <w:color w:val="000000" w:themeColor="text1"/>
            <w:kern w:val="0"/>
            <w:sz w:val="24"/>
            <w:highlight w:val="none"/>
            <w14:textFill>
              <w14:solidFill>
                <w14:schemeClr w14:val="tx1"/>
              </w14:solidFill>
            </w14:textFill>
          </w:rPr>
          <w:id w:val="-1591624199"/>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b/>
          <w:color w:val="000000" w:themeColor="text1"/>
          <w:sz w:val="24"/>
          <w:highlight w:val="none"/>
          <w14:textFill>
            <w14:solidFill>
              <w14:schemeClr w14:val="tx1"/>
            </w14:solidFill>
          </w14:textFill>
        </w:rPr>
        <w:t>否</w:t>
      </w:r>
      <w:r>
        <w:rPr>
          <w:rFonts w:hint="eastAsia" w:ascii="宋体" w:hAnsi="宋体" w:eastAsia="宋体" w:cs="宋体"/>
          <w:color w:val="000000" w:themeColor="text1"/>
          <w:kern w:val="0"/>
          <w:sz w:val="24"/>
          <w:highlight w:val="none"/>
          <w14:textFill>
            <w14:solidFill>
              <w14:schemeClr w14:val="tx1"/>
            </w14:solidFill>
          </w14:textFill>
        </w:rPr>
        <w:t>。</w:t>
      </w:r>
    </w:p>
    <w:p w14:paraId="656848CD">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二、申请人的资格要求：</w:t>
      </w:r>
    </w:p>
    <w:p w14:paraId="449ECE9D">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27F885EE">
      <w:pPr>
        <w:spacing w:line="360" w:lineRule="auto"/>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 xml:space="preserve">    2.以联合体形式投标的，提供联合协议（本项目不接受联合体投标或者投标人不以联合体形式投标的，则不需要提供） ；</w:t>
      </w:r>
    </w:p>
    <w:p w14:paraId="75654D2C">
      <w:pPr>
        <w:spacing w:line="360" w:lineRule="auto"/>
        <w:ind w:firstLine="480" w:firstLineChars="2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3.落实政府采购政策需满足的资格要求：</w:t>
      </w:r>
    </w:p>
    <w:p w14:paraId="0EEC04B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28616923"/>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FE"/>
          </w:r>
        </w:sdtContent>
      </w:sdt>
      <w:r>
        <w:rPr>
          <w:rFonts w:hint="eastAsia" w:ascii="宋体" w:hAnsi="宋体" w:eastAsia="宋体" w:cs="宋体"/>
          <w:color w:val="000000" w:themeColor="text1"/>
          <w:sz w:val="24"/>
          <w:highlight w:val="none"/>
          <w14:textFill>
            <w14:solidFill>
              <w14:schemeClr w14:val="tx1"/>
            </w14:solidFill>
          </w14:textFill>
        </w:rPr>
        <w:t>无</w:t>
      </w:r>
      <w:r>
        <w:rPr>
          <w:rFonts w:hint="eastAsia" w:ascii="宋体" w:hAnsi="宋体" w:eastAsia="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74A98A1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24704304"/>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477286927"/>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A8"/>
              </w:r>
            </w:sdtContent>
          </w:sdt>
        </w:sdtContent>
      </w:sdt>
      <w:r>
        <w:rPr>
          <w:rFonts w:hint="eastAsia" w:ascii="宋体" w:hAnsi="宋体" w:eastAsia="宋体" w:cs="宋体"/>
          <w:color w:val="000000" w:themeColor="text1"/>
          <w:kern w:val="0"/>
          <w:sz w:val="24"/>
          <w:highlight w:val="none"/>
          <w14:textFill>
            <w14:solidFill>
              <w14:schemeClr w14:val="tx1"/>
            </w14:solidFill>
          </w14:textFill>
        </w:rPr>
        <w:t>专</w:t>
      </w:r>
      <w:r>
        <w:rPr>
          <w:rFonts w:hint="eastAsia" w:ascii="宋体" w:hAnsi="宋体" w:eastAsia="宋体" w:cs="宋体"/>
          <w:color w:val="000000" w:themeColor="text1"/>
          <w:sz w:val="24"/>
          <w:highlight w:val="none"/>
          <w14:textFill>
            <w14:solidFill>
              <w14:schemeClr w14:val="tx1"/>
            </w14:solidFill>
          </w14:textFill>
        </w:rPr>
        <w:t>门面向中小企业</w:t>
      </w:r>
    </w:p>
    <w:p w14:paraId="38A00EAD">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33685401"/>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557864065"/>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A8"/>
              </w:r>
            </w:sdtContent>
          </w:sdt>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服务全部由符合政策要求的中小企业承接，提供中小企业声明函；</w:t>
      </w:r>
    </w:p>
    <w:p w14:paraId="3BDBE736">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141025358"/>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服务全部由符合政策要求的小微企业承接，提供中小企业声明函；</w:t>
      </w:r>
    </w:p>
    <w:p w14:paraId="6BEBCED5">
      <w:pPr>
        <w:rPr>
          <w:rFonts w:hint="eastAsia" w:ascii="宋体" w:hAnsi="宋体" w:eastAsia="宋体" w:cs="宋体"/>
          <w:color w:val="000000" w:themeColor="text1"/>
          <w:highlight w:val="none"/>
          <w14:textFill>
            <w14:solidFill>
              <w14:schemeClr w14:val="tx1"/>
            </w14:solidFill>
          </w14:textFill>
        </w:rPr>
      </w:pPr>
    </w:p>
    <w:p w14:paraId="45F0C8F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85607795"/>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000000" w:themeColor="text1"/>
          <w:sz w:val="24"/>
          <w:highlight w:val="none"/>
          <w14:textFill>
            <w14:solidFill>
              <w14:schemeClr w14:val="tx1"/>
            </w14:solidFill>
          </w14:textFill>
        </w:rPr>
        <w:t>；</w:t>
      </w:r>
    </w:p>
    <w:p w14:paraId="42C6315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4630645"/>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w:t>
      </w:r>
      <w:r>
        <w:rPr>
          <w:rFonts w:hint="eastAsia" w:ascii="宋体" w:hAnsi="宋体" w:eastAsia="宋体" w:cs="宋体"/>
          <w:color w:val="000000" w:themeColor="text1"/>
          <w:sz w:val="24"/>
          <w:highlight w:val="none"/>
          <w:u w:val="single"/>
          <w14:textFill>
            <w14:solidFill>
              <w14:schemeClr w14:val="tx1"/>
            </w14:solidFill>
          </w14:textFill>
        </w:rPr>
        <w:t xml:space="preserve">达到  </w:t>
      </w:r>
      <w:r>
        <w:rPr>
          <w:rFonts w:hint="eastAsia" w:ascii="宋体" w:hAnsi="宋体" w:eastAsia="宋体" w:cs="宋体"/>
          <w:color w:val="000000" w:themeColor="text1"/>
          <w:sz w:val="24"/>
          <w:highlight w:val="none"/>
          <w14:textFill>
            <w14:solidFill>
              <w14:schemeClr w14:val="tx1"/>
            </w14:solidFill>
          </w14:textFill>
        </w:rPr>
        <w:t>% ，其中小微企业合同金额应当达到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000000" w:themeColor="text1"/>
          <w:sz w:val="24"/>
          <w:highlight w:val="none"/>
          <w14:textFill>
            <w14:solidFill>
              <w14:schemeClr w14:val="tx1"/>
            </w14:solidFill>
          </w14:textFill>
        </w:rPr>
        <w:t>；</w:t>
      </w:r>
    </w:p>
    <w:p w14:paraId="56580294">
      <w:pPr>
        <w:spacing w:line="360" w:lineRule="auto"/>
        <w:ind w:firstLine="480" w:firstLineChars="200"/>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w:t>
      </w:r>
      <w:r>
        <w:rPr>
          <w:rFonts w:hint="eastAsia" w:ascii="宋体" w:hAnsi="宋体" w:eastAsia="宋体" w:cs="宋体"/>
          <w:b/>
          <w:bCs/>
          <w:color w:val="000000" w:themeColor="text1"/>
          <w:sz w:val="24"/>
          <w:highlight w:val="none"/>
          <w:lang w:val="en-US" w:eastAsia="zh-CN"/>
          <w14:textFill>
            <w14:solidFill>
              <w14:schemeClr w14:val="tx1"/>
            </w14:solidFill>
          </w14:textFill>
        </w:rPr>
        <w:t>依据《浙江省生态环境保护条例》第六十五条规定的对生态环境服务机构作出行政处罚的，自作出行政处罚决定之日起三年内禁止该机构参与政府采购的生态环境服务项目。本项目禁止有上述情况的供应商参与投标</w:t>
      </w:r>
      <w:r>
        <w:rPr>
          <w:rFonts w:hint="eastAsia" w:ascii="宋体" w:hAnsi="宋体" w:eastAsia="宋体" w:cs="宋体"/>
          <w:b/>
          <w:bCs/>
          <w:color w:val="000000" w:themeColor="text1"/>
          <w:sz w:val="24"/>
          <w:highlight w:val="none"/>
          <w14:textFill>
            <w14:solidFill>
              <w14:schemeClr w14:val="tx1"/>
            </w14:solidFill>
          </w14:textFill>
        </w:rPr>
        <w:t>；</w:t>
      </w:r>
    </w:p>
    <w:p w14:paraId="4342F54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C8E14F2">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三、获取招标文件 </w:t>
      </w:r>
    </w:p>
    <w:p w14:paraId="73D44113">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0F504FFC">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50D68A25">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方式：</w:t>
      </w:r>
      <w:r>
        <w:rPr>
          <w:rFonts w:hint="eastAsia" w:ascii="宋体" w:hAnsi="宋体" w:eastAsia="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6B5DCAF7">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售价（元）：</w:t>
      </w:r>
      <w:r>
        <w:rPr>
          <w:rFonts w:hint="eastAsia" w:ascii="宋体" w:hAnsi="宋体" w:eastAsia="宋体" w:cs="宋体"/>
          <w:color w:val="000000" w:themeColor="text1"/>
          <w:sz w:val="24"/>
          <w:highlight w:val="none"/>
          <w14:textFill>
            <w14:solidFill>
              <w14:schemeClr w14:val="tx1"/>
            </w14:solidFill>
          </w14:textFill>
        </w:rPr>
        <w:t xml:space="preserve">0 </w:t>
      </w:r>
      <w:r>
        <w:rPr>
          <w:rFonts w:hint="eastAsia" w:ascii="宋体" w:hAnsi="宋体" w:eastAsia="宋体" w:cs="宋体"/>
          <w:color w:val="000000" w:themeColor="text1"/>
          <w:sz w:val="24"/>
          <w:highlight w:val="none"/>
          <w14:textFill>
            <w14:solidFill>
              <w14:schemeClr w14:val="tx1"/>
            </w14:solidFill>
          </w14:textFill>
        </w:rPr>
        <w:tab/>
      </w:r>
    </w:p>
    <w:p w14:paraId="55D865B5">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四、提交投标文件截止时间、开标时间和地点</w:t>
      </w:r>
    </w:p>
    <w:p w14:paraId="7A4D48C4">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提交投标文件截止时间：</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分</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秒</w:t>
      </w:r>
      <w:r>
        <w:rPr>
          <w:rFonts w:hint="eastAsia" w:ascii="宋体" w:hAnsi="宋体" w:eastAsia="宋体" w:cs="宋体"/>
          <w:color w:val="000000" w:themeColor="text1"/>
          <w:sz w:val="24"/>
          <w:highlight w:val="none"/>
          <w14:textFill>
            <w14:solidFill>
              <w14:schemeClr w14:val="tx1"/>
            </w14:solidFill>
          </w14:textFill>
        </w:rPr>
        <w:t>（北京时间）</w:t>
      </w:r>
    </w:p>
    <w:p w14:paraId="3D902224">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2C050BD6">
      <w:pPr>
        <w:spacing w:line="360" w:lineRule="auto"/>
        <w:ind w:firstLine="482"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开标时间：</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分</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秒</w:t>
      </w:r>
      <w:r>
        <w:rPr>
          <w:rFonts w:hint="eastAsia" w:ascii="宋体" w:hAnsi="宋体" w:eastAsia="宋体" w:cs="宋体"/>
          <w:bCs/>
          <w:color w:val="000000" w:themeColor="text1"/>
          <w:sz w:val="24"/>
          <w:highlight w:val="none"/>
          <w:u w:val="single"/>
          <w14:textFill>
            <w14:solidFill>
              <w14:schemeClr w14:val="tx1"/>
            </w14:solidFill>
          </w14:textFill>
        </w:rPr>
        <w:t xml:space="preserve">  </w:t>
      </w:r>
    </w:p>
    <w:p w14:paraId="55E8BDC6">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开标地点（网址）：</w:t>
      </w:r>
      <w:r>
        <w:rPr>
          <w:rFonts w:hint="eastAsia" w:ascii="宋体" w:hAnsi="宋体" w:eastAsia="宋体" w:cs="宋体"/>
          <w:color w:val="000000" w:themeColor="text1"/>
          <w:sz w:val="24"/>
          <w:highlight w:val="none"/>
          <w14:textFill>
            <w14:solidFill>
              <w14:schemeClr w14:val="tx1"/>
            </w14:solidFill>
          </w14:textFill>
        </w:rPr>
        <w:t>政采云平台（https://www.zcygov.cn/）</w:t>
      </w:r>
    </w:p>
    <w:p w14:paraId="53AE62A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五、公告期限 </w:t>
      </w:r>
    </w:p>
    <w:p w14:paraId="33F5A86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自本公告发布之日起5个工作日。</w:t>
      </w:r>
    </w:p>
    <w:p w14:paraId="1CB01C2F">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六、其他补充事宜</w:t>
      </w:r>
    </w:p>
    <w:p w14:paraId="5F0848E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A34CE4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D4B59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4AB70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1D7A22C">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七、对本次采购提出询问、质疑、投诉，请按以下方式联系</w:t>
      </w:r>
    </w:p>
    <w:p w14:paraId="18C91D6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1.采购人信息</w:t>
      </w:r>
    </w:p>
    <w:p w14:paraId="6985FC99">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lang w:val="en-US" w:eastAsia="zh-CN"/>
        </w:rPr>
        <w:t>名  称：</w:t>
      </w:r>
      <w:r>
        <w:rPr>
          <w:rFonts w:hint="eastAsia" w:ascii="宋体" w:hAnsi="宋体" w:cs="宋体"/>
          <w:sz w:val="24"/>
          <w:lang w:val="en-US" w:eastAsia="zh-CN"/>
        </w:rPr>
        <w:t>杭州市生态环境局建德分局</w:t>
      </w:r>
      <w:r>
        <w:rPr>
          <w:rFonts w:hint="eastAsia" w:ascii="宋体" w:hAnsi="宋体" w:eastAsia="宋体" w:cs="宋体"/>
          <w:sz w:val="24"/>
          <w:lang w:val="en-US" w:eastAsia="zh-CN"/>
        </w:rPr>
        <w:t>              </w:t>
      </w:r>
    </w:p>
    <w:p w14:paraId="43E55F3D">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lang w:val="en-US" w:eastAsia="zh-CN"/>
        </w:rPr>
        <w:t>地  址：</w:t>
      </w:r>
      <w:r>
        <w:rPr>
          <w:rFonts w:hint="eastAsia" w:ascii="宋体" w:hAnsi="宋体" w:eastAsia="宋体" w:cs="宋体"/>
          <w:color w:val="auto"/>
          <w:sz w:val="24"/>
          <w:highlight w:val="none"/>
          <w:lang w:eastAsia="zh-CN"/>
        </w:rPr>
        <w:t>建德市新安江街道新安东路</w:t>
      </w:r>
      <w:r>
        <w:rPr>
          <w:rFonts w:hint="eastAsia" w:ascii="宋体" w:hAnsi="宋体" w:eastAsia="宋体" w:cs="宋体"/>
          <w:color w:val="auto"/>
          <w:sz w:val="24"/>
          <w:highlight w:val="none"/>
          <w:lang w:val="en-US" w:eastAsia="zh-CN"/>
        </w:rPr>
        <w:t>581</w:t>
      </w:r>
      <w:r>
        <w:rPr>
          <w:rFonts w:hint="eastAsia" w:ascii="宋体" w:hAnsi="宋体" w:eastAsia="宋体" w:cs="宋体"/>
          <w:color w:val="auto"/>
          <w:sz w:val="24"/>
          <w:highlight w:val="none"/>
          <w:lang w:eastAsia="zh-CN"/>
        </w:rPr>
        <w:t>号</w:t>
      </w:r>
      <w:r>
        <w:rPr>
          <w:rFonts w:hint="eastAsia" w:ascii="宋体" w:hAnsi="宋体" w:eastAsia="宋体" w:cs="宋体"/>
          <w:sz w:val="24"/>
          <w:lang w:val="en-US" w:eastAsia="zh-CN"/>
        </w:rPr>
        <w:t>          </w:t>
      </w:r>
    </w:p>
    <w:p w14:paraId="6E32A5BE">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lang w:val="en-US" w:eastAsia="zh-CN"/>
        </w:rPr>
        <w:t>传  真：</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sz w:val="24"/>
          <w:lang w:val="en-US" w:eastAsia="zh-CN"/>
        </w:rPr>
        <w:t>             </w:t>
      </w:r>
    </w:p>
    <w:p w14:paraId="0EC4EF89">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项目联系人(询问):</w:t>
      </w:r>
      <w:r>
        <w:rPr>
          <w:rFonts w:hint="eastAsia" w:ascii="宋体" w:hAnsi="宋体" w:eastAsia="宋体" w:cs="宋体"/>
          <w:sz w:val="24"/>
          <w:highlight w:val="none"/>
          <w:lang w:val="en-US" w:eastAsia="zh-CN"/>
        </w:rPr>
        <w:t xml:space="preserve"> 谢哲 </w:t>
      </w:r>
    </w:p>
    <w:p w14:paraId="4AE18EB9">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项目联系方式(询问):</w:t>
      </w:r>
      <w:r>
        <w:rPr>
          <w:rFonts w:hint="eastAsia" w:ascii="宋体" w:hAnsi="宋体" w:eastAsia="宋体" w:cs="宋体"/>
          <w:sz w:val="24"/>
          <w:highlight w:val="none"/>
          <w:lang w:val="en-US" w:eastAsia="zh-CN"/>
        </w:rPr>
        <w:t xml:space="preserve"> 17767116213</w:t>
      </w:r>
    </w:p>
    <w:p w14:paraId="1203990D">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质疑联系人:刘宇锋  </w:t>
      </w:r>
      <w:r>
        <w:rPr>
          <w:rFonts w:hint="eastAsia" w:ascii="宋体" w:hAnsi="宋体" w:eastAsia="宋体" w:cs="宋体"/>
          <w:sz w:val="24"/>
          <w:highlight w:val="none"/>
          <w:lang w:val="en-US" w:eastAsia="zh-CN"/>
        </w:rPr>
        <w:t xml:space="preserve"> </w:t>
      </w:r>
    </w:p>
    <w:p w14:paraId="47DA784A">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highlight w:val="none"/>
        </w:rPr>
        <w:t>质疑联系方式:</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13291821639</w:t>
      </w:r>
      <w:r>
        <w:rPr>
          <w:rFonts w:hint="eastAsia" w:ascii="宋体" w:hAnsi="宋体" w:cs="宋体"/>
          <w:color w:val="auto"/>
          <w:sz w:val="24"/>
          <w:highlight w:val="none"/>
          <w:lang w:val="en-US" w:eastAsia="zh-CN"/>
        </w:rPr>
        <w:t xml:space="preserve">  </w:t>
      </w:r>
      <w:r>
        <w:rPr>
          <w:rFonts w:hint="eastAsia" w:ascii="宋体" w:hAnsi="宋体" w:eastAsia="宋体" w:cs="宋体"/>
          <w:sz w:val="24"/>
          <w:lang w:val="en-US" w:eastAsia="zh-CN"/>
        </w:rPr>
        <w:t xml:space="preserve">     </w:t>
      </w:r>
    </w:p>
    <w:p w14:paraId="774A710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2.采购代理机构信息            </w:t>
      </w:r>
    </w:p>
    <w:p w14:paraId="4E1DF2A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称：杭州欣兴建设工程招标代理有限公司</w:t>
      </w:r>
    </w:p>
    <w:p w14:paraId="369CEFA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址：浙江省建德市新安江街道严州大道水韵天城108幢201室</w:t>
      </w:r>
    </w:p>
    <w:p w14:paraId="037D3C0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传    真：0571-64716998               </w:t>
      </w:r>
    </w:p>
    <w:p w14:paraId="592DC3D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项目联系人（询问）：季姜春</w:t>
      </w:r>
    </w:p>
    <w:p w14:paraId="2299E37E">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项目联系方式（询问）：13567150257   </w:t>
      </w:r>
    </w:p>
    <w:p w14:paraId="5C2F441F">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质疑联系人：戴燕萍</w:t>
      </w:r>
    </w:p>
    <w:p w14:paraId="6444F1E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质疑联系方式：13456827235</w:t>
      </w:r>
    </w:p>
    <w:p w14:paraId="65A725B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3.同级政府采购监督管理部门            </w:t>
      </w:r>
    </w:p>
    <w:p w14:paraId="6D090DC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称：建德市财政局、浙江省政府采购行政裁决服务中心（杭州）</w:t>
      </w:r>
    </w:p>
    <w:p w14:paraId="2EEB5D0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址：杭州市上城区清泰街549号城建综合大楼11楼（快递仅限ems或顺丰）</w:t>
      </w:r>
    </w:p>
    <w:p w14:paraId="075F43F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 /</w:t>
      </w:r>
    </w:p>
    <w:p w14:paraId="49F9519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 ：朱女士、王女士</w:t>
      </w:r>
    </w:p>
    <w:p w14:paraId="76F5CD9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监督投诉电话：0571-87227671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0571-87800218</w:t>
      </w:r>
    </w:p>
    <w:p w14:paraId="444E9E28">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6124AB4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p>
    <w:p w14:paraId="518027A4">
      <w:pPr>
        <w:widowControl/>
        <w:adjustRightInd/>
        <w:jc w:val="left"/>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p>
    <w:p w14:paraId="2BEE748C">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第二部分</w:t>
      </w:r>
      <w:bookmarkEnd w:id="8"/>
      <w:r>
        <w:rPr>
          <w:rFonts w:hint="eastAsia" w:ascii="宋体" w:hAnsi="宋体" w:eastAsia="宋体" w:cs="宋体"/>
          <w:b/>
          <w:color w:val="000000" w:themeColor="text1"/>
          <w:sz w:val="36"/>
          <w:szCs w:val="20"/>
          <w:highlight w:val="none"/>
          <w14:textFill>
            <w14:solidFill>
              <w14:schemeClr w14:val="tx1"/>
            </w14:solidFill>
          </w14:textFill>
        </w:rPr>
        <w:t xml:space="preserve"> 投标人须知</w:t>
      </w:r>
      <w:bookmarkEnd w:id="9"/>
    </w:p>
    <w:p w14:paraId="7A9669D3">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625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5ACDB6E">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26FB4C6">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B2A9780">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本项目的特别规定</w:t>
            </w:r>
          </w:p>
        </w:tc>
      </w:tr>
      <w:tr w14:paraId="6A985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4E168A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313FDB9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EA34CA1">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99BF1F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服务类。</w:t>
            </w:r>
          </w:p>
        </w:tc>
      </w:tr>
      <w:tr w14:paraId="1647C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132E2F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665234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7C0F696">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74F9484">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eastAsia="zh-CN"/>
                <w14:textFill>
                  <w14:solidFill>
                    <w14:schemeClr w14:val="tx1"/>
                  </w14:solidFill>
                </w14:textFill>
              </w:rPr>
              <w:t>杭州市生态环境局建德分局2024-2026年建德市高空瞭望监控建设、服务租赁项目</w:t>
            </w:r>
            <w:r>
              <w:rPr>
                <w:rFonts w:hint="eastAsia" w:ascii="宋体" w:hAnsi="宋体" w:eastAsia="宋体" w:cs="宋体"/>
                <w:color w:val="000000" w:themeColor="text1"/>
                <w:kern w:val="0"/>
                <w:sz w:val="24"/>
                <w:highlight w:val="none"/>
                <w14:textFill>
                  <w14:solidFill>
                    <w14:schemeClr w14:val="tx1"/>
                  </w14:solidFill>
                </w14:textFill>
              </w:rPr>
              <w:t>，属于</w:t>
            </w:r>
            <w:r>
              <w:rPr>
                <w:rFonts w:hint="eastAsia" w:ascii="宋体" w:hAnsi="宋体" w:eastAsia="宋体" w:cs="宋体"/>
                <w:color w:val="000000" w:themeColor="text1"/>
                <w:kern w:val="0"/>
                <w:sz w:val="24"/>
                <w:highlight w:val="none"/>
                <w:u w:val="single"/>
                <w14:textFill>
                  <w14:solidFill>
                    <w14:schemeClr w14:val="tx1"/>
                  </w14:solidFill>
                </w14:textFill>
              </w:rPr>
              <w:t>其他未列明</w:t>
            </w:r>
            <w:r>
              <w:rPr>
                <w:rFonts w:hint="eastAsia" w:ascii="宋体" w:hAnsi="宋体" w:eastAsia="宋体" w:cs="宋体"/>
                <w:color w:val="000000" w:themeColor="text1"/>
                <w:kern w:val="0"/>
                <w:sz w:val="24"/>
                <w:highlight w:val="none"/>
                <w:u w:val="none"/>
                <w14:textFill>
                  <w14:solidFill>
                    <w14:schemeClr w14:val="tx1"/>
                  </w14:solidFill>
                </w14:textFill>
              </w:rPr>
              <w:t>行业</w:t>
            </w:r>
            <w:r>
              <w:rPr>
                <w:rFonts w:hint="eastAsia" w:ascii="宋体" w:hAnsi="宋体" w:eastAsia="宋体" w:cs="宋体"/>
                <w:color w:val="000000" w:themeColor="text1"/>
                <w:kern w:val="0"/>
                <w:sz w:val="24"/>
                <w:highlight w:val="none"/>
                <w14:textFill>
                  <w14:solidFill>
                    <w14:schemeClr w14:val="tx1"/>
                  </w14:solidFill>
                </w14:textFill>
              </w:rPr>
              <w:t>；</w:t>
            </w:r>
          </w:p>
        </w:tc>
      </w:tr>
      <w:tr w14:paraId="1560A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C31D11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52F7AD0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55E9E32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008AEB6">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235E5CD">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828425707"/>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FE"/>
                </w:r>
              </w:sdtContent>
            </w:sdt>
            <w:r>
              <w:rPr>
                <w:rFonts w:hint="eastAsia" w:ascii="宋体" w:hAnsi="宋体" w:eastAsia="宋体" w:cs="宋体"/>
                <w:color w:val="000000" w:themeColor="text1"/>
                <w:kern w:val="0"/>
                <w:sz w:val="24"/>
                <w:highlight w:val="none"/>
                <w14:textFill>
                  <w14:solidFill>
                    <w14:schemeClr w14:val="tx1"/>
                  </w14:solidFill>
                </w14:textFill>
              </w:rPr>
              <w:t>本项目不允许采购进口产品。</w:t>
            </w:r>
          </w:p>
          <w:p w14:paraId="007777B7">
            <w:pPr>
              <w:spacing w:line="360" w:lineRule="auto"/>
              <w:rPr>
                <w:rFonts w:hint="eastAsia" w:ascii="宋体" w:hAnsi="宋体" w:eastAsia="宋体" w:cs="宋体"/>
                <w:color w:val="000000" w:themeColor="text1"/>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52852824"/>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可以就</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采购进口产品。</w:t>
            </w:r>
          </w:p>
        </w:tc>
      </w:tr>
      <w:tr w14:paraId="457BE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0C1B02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60C862F">
            <w:pPr>
              <w:snapToGrid w:val="0"/>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9074EF2">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highlight w:val="none"/>
                  <w14:textFill>
                    <w14:solidFill>
                      <w14:schemeClr w14:val="tx1"/>
                    </w14:solidFill>
                  </w14:textFill>
                </w:rPr>
                <w:id w:val="-492645227"/>
              </w:sdtPr>
              <w:sdtEndPr>
                <w:rPr>
                  <w:rFonts w:hint="eastAsia" w:ascii="宋体" w:hAnsi="宋体" w:eastAsia="宋体" w:cs="宋体"/>
                  <w:color w:val="000000" w:themeColor="text1"/>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68465684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sdtContent>
            </w:sdt>
            <w:r>
              <w:rPr>
                <w:rFonts w:hint="eastAsia" w:ascii="宋体" w:hAnsi="宋体" w:eastAsia="宋体" w:cs="宋体"/>
                <w:color w:val="000000" w:themeColor="text1"/>
                <w:sz w:val="24"/>
                <w:highlight w:val="none"/>
                <w14:textFill>
                  <w14:solidFill>
                    <w14:schemeClr w14:val="tx1"/>
                  </w14:solidFill>
                </w14:textFill>
              </w:rPr>
              <w:t xml:space="preserve"> A同意将非主体、非关键性的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设备安装  </w:t>
            </w:r>
            <w:r>
              <w:rPr>
                <w:rFonts w:hint="eastAsia" w:ascii="宋体" w:hAnsi="宋体" w:eastAsia="宋体" w:cs="宋体"/>
                <w:color w:val="000000" w:themeColor="text1"/>
                <w:sz w:val="24"/>
                <w:highlight w:val="none"/>
                <w14:textFill>
                  <w14:solidFill>
                    <w14:schemeClr w14:val="tx1"/>
                  </w14:solidFill>
                </w14:textFill>
              </w:rPr>
              <w:t>工作分包。</w:t>
            </w:r>
          </w:p>
          <w:p w14:paraId="20D8B022">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sz w:val="24"/>
                  <w:highlight w:val="none"/>
                  <w14:textFill>
                    <w14:solidFill>
                      <w14:schemeClr w14:val="tx1"/>
                    </w14:solidFill>
                  </w14:textFill>
                </w:rPr>
                <w:id w:val="-1276331357"/>
              </w:sdtPr>
              <w:sdtEndPr>
                <w:rPr>
                  <w:rFonts w:hint="eastAsia" w:ascii="宋体" w:hAnsi="宋体" w:eastAsia="宋体" w:cs="宋体"/>
                  <w:color w:val="000000" w:themeColor="text1"/>
                  <w:sz w:val="24"/>
                  <w:highlight w:val="none"/>
                  <w14:textFill>
                    <w14:solidFill>
                      <w14:schemeClr w14:val="tx1"/>
                    </w14:solidFill>
                  </w14:textFill>
                </w:rPr>
              </w:sdtEndPr>
              <w:sdtContent>
                <w:r>
                  <w:rPr>
                    <w:rFonts w:hint="eastAsia" w:ascii="宋体" w:hAnsi="宋体" w:eastAsia="宋体" w:cs="宋体"/>
                    <w:color w:val="000000" w:themeColor="text1"/>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xml:space="preserve"> B不同意分包。</w:t>
            </w:r>
          </w:p>
          <w:p w14:paraId="455BAC0F">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注：不得限制大中型企业向小微企业合理分包。</w:t>
            </w:r>
          </w:p>
        </w:tc>
      </w:tr>
      <w:tr w14:paraId="656EA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61C3FE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8DE130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B9C3E3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DD43365">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8640310">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12966419"/>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855421628"/>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4746455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sdtContent>
                </w:sdt>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不组织。</w:t>
            </w:r>
          </w:p>
          <w:p w14:paraId="41A1158C">
            <w:pPr>
              <w:spacing w:line="360" w:lineRule="auto"/>
              <w:rPr>
                <w:rFonts w:hint="eastAsia" w:ascii="宋体" w:hAnsi="宋体" w:eastAsia="宋体" w:cs="宋体"/>
                <w:color w:val="000000" w:themeColor="text1"/>
                <w:sz w:val="24"/>
                <w:szCs w:val="20"/>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999802974"/>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B组织，</w:t>
            </w:r>
            <w:r>
              <w:rPr>
                <w:rFonts w:hint="eastAsia" w:ascii="宋体" w:hAnsi="宋体" w:eastAsia="宋体" w:cs="宋体"/>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w:t>
            </w:r>
          </w:p>
        </w:tc>
      </w:tr>
      <w:tr w14:paraId="10BF8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CC9084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5713BA9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52E3E53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3A3E545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4E6FE45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48EE975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7FB158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F4CB51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A287D8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46875C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EFACDBC">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9723948">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639946486"/>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985533501"/>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47466568"/>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sdtContent>
                </w:sdt>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不要求提供。</w:t>
            </w:r>
          </w:p>
          <w:p w14:paraId="7A2D65AF">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26831988"/>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B要求提供，</w:t>
            </w:r>
          </w:p>
          <w:p w14:paraId="04AA3594">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snapToGrid w:val="0"/>
                <w:color w:val="000000" w:themeColor="text1"/>
                <w:kern w:val="28"/>
                <w:sz w:val="24"/>
                <w:highlight w:val="none"/>
                <w14:textFill>
                  <w14:solidFill>
                    <w14:schemeClr w14:val="tx1"/>
                  </w14:solidFill>
                </w14:textFill>
              </w:rPr>
              <w:t>样品：</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1A50AD98">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4286D11C">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（3）样品的评审方法以及评审标准</w:t>
            </w:r>
            <w:r>
              <w:rPr>
                <w:rFonts w:hint="eastAsia" w:ascii="宋体" w:hAnsi="宋体" w:eastAsia="宋体" w:cs="宋体"/>
                <w:snapToGrid w:val="0"/>
                <w:color w:val="000000" w:themeColor="text1"/>
                <w:kern w:val="28"/>
                <w:sz w:val="24"/>
                <w:highlight w:val="none"/>
                <w14:textFill>
                  <w14:solidFill>
                    <w14:schemeClr w14:val="tx1"/>
                  </w14:solidFill>
                </w14:textFill>
              </w:rPr>
              <w:t>：详见</w:t>
            </w:r>
            <w:r>
              <w:rPr>
                <w:rFonts w:hint="eastAsia" w:ascii="宋体" w:hAnsi="宋体" w:eastAsia="宋体" w:cs="宋体"/>
                <w:color w:val="000000" w:themeColor="text1"/>
                <w:sz w:val="24"/>
                <w:highlight w:val="none"/>
                <w:u w:val="single"/>
                <w14:textFill>
                  <w14:solidFill>
                    <w14:schemeClr w14:val="tx1"/>
                  </w14:solidFill>
                </w14:textFill>
              </w:rPr>
              <w:t>评标办法</w:t>
            </w:r>
            <w:r>
              <w:rPr>
                <w:rFonts w:hint="eastAsia" w:ascii="宋体" w:hAnsi="宋体" w:eastAsia="宋体" w:cs="宋体"/>
                <w:color w:val="000000" w:themeColor="text1"/>
                <w:kern w:val="0"/>
                <w:sz w:val="24"/>
                <w:highlight w:val="none"/>
                <w14:textFill>
                  <w14:solidFill>
                    <w14:schemeClr w14:val="tx1"/>
                  </w14:solidFill>
                </w14:textFill>
              </w:rPr>
              <w:t>；</w:t>
            </w:r>
          </w:p>
          <w:p w14:paraId="030BA37F">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eastAsia="宋体" w:cs="宋体"/>
                  <w:color w:val="000000" w:themeColor="text1"/>
                  <w:kern w:val="0"/>
                  <w:sz w:val="24"/>
                  <w:highlight w:val="none"/>
                  <w14:textFill>
                    <w14:solidFill>
                      <w14:schemeClr w14:val="tx1"/>
                    </w14:solidFill>
                  </w14:textFill>
                </w:rPr>
                <w:id w:val="1303421454"/>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否；</w:t>
            </w:r>
            <w:sdt>
              <w:sdtPr>
                <w:rPr>
                  <w:rFonts w:hint="eastAsia" w:ascii="宋体" w:hAnsi="宋体" w:eastAsia="宋体" w:cs="宋体"/>
                  <w:color w:val="000000" w:themeColor="text1"/>
                  <w:kern w:val="0"/>
                  <w:sz w:val="24"/>
                  <w:highlight w:val="none"/>
                  <w14:textFill>
                    <w14:solidFill>
                      <w14:schemeClr w14:val="tx1"/>
                    </w14:solidFill>
                  </w14:textFill>
                </w:rPr>
                <w:id w:val="1621728433"/>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是，检测机构的要求</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；检测内容</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2088B1C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（5）提供样品的时间：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；地点：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；联系人</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28"/>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43AD6DC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F664354">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（7）制作、运输、安装和保管样品所发生的一切费用由投标人自理。</w:t>
            </w:r>
          </w:p>
        </w:tc>
      </w:tr>
      <w:tr w14:paraId="0B340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ACABDE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167D4B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19851E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90C762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EA9A87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2C530A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1CA263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586D421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370B72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B1F05F8">
            <w:pPr>
              <w:snapToGrid w:val="0"/>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6899D54">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1874"/>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sdt>
              <w:sdtPr>
                <w:rPr>
                  <w:rFonts w:hint="eastAsia" w:ascii="宋体" w:hAnsi="宋体" w:eastAsia="宋体" w:cs="宋体"/>
                  <w:color w:val="000000" w:themeColor="text1"/>
                  <w:kern w:val="0"/>
                  <w:sz w:val="24"/>
                  <w:highlight w:val="none"/>
                  <w14:textFill>
                    <w14:solidFill>
                      <w14:schemeClr w14:val="tx1"/>
                    </w14:solidFill>
                  </w14:textFill>
                </w:rPr>
                <w:id w:val="-1859348549"/>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626265995"/>
                    <w:showingPlcHdr/>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不组织。</w:t>
            </w:r>
          </w:p>
          <w:p w14:paraId="131F492B">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174071719"/>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B组织。</w:t>
            </w:r>
          </w:p>
          <w:p w14:paraId="5E3658CA">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eastAsia="宋体" w:cs="宋体"/>
                <w:color w:val="000000" w:themeColor="text1"/>
                <w:kern w:val="0"/>
                <w:sz w:val="24"/>
                <w:highlight w:val="none"/>
                <w:u w:val="single"/>
                <w14:textFill>
                  <w14:solidFill>
                    <w14:schemeClr w14:val="tx1"/>
                  </w14:solidFill>
                </w14:textFill>
              </w:rPr>
              <w:t>20（编制时可根据项目情况进行调整）</w:t>
            </w:r>
            <w:r>
              <w:rPr>
                <w:rFonts w:hint="eastAsia" w:ascii="宋体" w:hAnsi="宋体" w:eastAsia="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eastAsia="宋体" w:cs="宋体"/>
                <w:color w:val="000000" w:themeColor="text1"/>
                <w:kern w:val="0"/>
                <w:sz w:val="24"/>
                <w:highlight w:val="none"/>
                <w:u w:val="single"/>
                <w14:textFill>
                  <w14:solidFill>
                    <w14:schemeClr w14:val="tx1"/>
                  </w14:solidFill>
                </w14:textFill>
              </w:rPr>
              <w:t>3（编制时可根据项目情况进行调整）</w:t>
            </w:r>
            <w:r>
              <w:rPr>
                <w:rFonts w:hint="eastAsia" w:ascii="宋体" w:hAnsi="宋体" w:eastAsia="宋体" w:cs="宋体"/>
                <w:color w:val="000000" w:themeColor="text1"/>
                <w:kern w:val="0"/>
                <w:sz w:val="24"/>
                <w:highlight w:val="none"/>
                <w14:textFill>
                  <w14:solidFill>
                    <w14:schemeClr w14:val="tx1"/>
                  </w14:solidFill>
                </w14:textFill>
              </w:rPr>
              <w:t>人。讲解演示结束后按要求解答评标委员会提问。</w:t>
            </w:r>
          </w:p>
          <w:p w14:paraId="301F8DFF">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（2）方案讲解演示可选择以下其中一种方式：</w:t>
            </w:r>
          </w:p>
          <w:p w14:paraId="71378D9A">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26A154DD">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方式二：交易中心现场讲解演示。现场讲解地点为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339B3030">
            <w:pPr>
              <w:snapToGrid w:val="0"/>
              <w:spacing w:line="360" w:lineRule="auto"/>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5D072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vMerge w:val="restart"/>
            <w:tcBorders>
              <w:top w:val="single" w:color="auto" w:sz="4" w:space="0"/>
              <w:left w:val="single" w:color="auto" w:sz="4" w:space="0"/>
              <w:right w:val="single" w:color="auto" w:sz="4" w:space="0"/>
            </w:tcBorders>
          </w:tcPr>
          <w:p w14:paraId="50B75AF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7B879B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19B41B6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25F08417">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5CCF07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（1）资格证明文件：见招标文件第二部分11.1。</w:t>
            </w:r>
          </w:p>
          <w:p w14:paraId="1FD00A79">
            <w:pPr>
              <w:spacing w:line="360" w:lineRule="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30729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6" w:hRule="atLeast"/>
          <w:tblHeader/>
          <w:jc w:val="center"/>
        </w:trPr>
        <w:tc>
          <w:tcPr>
            <w:tcW w:w="629" w:type="dxa"/>
            <w:vMerge w:val="continue"/>
            <w:tcBorders>
              <w:left w:val="single" w:color="auto" w:sz="4" w:space="0"/>
              <w:bottom w:val="single" w:color="auto" w:sz="4" w:space="0"/>
              <w:right w:val="single" w:color="auto" w:sz="4" w:space="0"/>
            </w:tcBorders>
          </w:tcPr>
          <w:p w14:paraId="2D857E2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1F748C02">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E3B978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（2）资信证明文件：根据招标文件第四部分评标标准提供。</w:t>
            </w:r>
          </w:p>
        </w:tc>
      </w:tr>
      <w:tr w14:paraId="6EE36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626B640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FD8235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803D7E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0816446">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478FA4">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A47C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6665E27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A3DFF1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0180F8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491BF4A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E07F1D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03126B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63758FF">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33442">
            <w:pPr>
              <w:snapToGrid w:val="0"/>
              <w:spacing w:line="360" w:lineRule="auto"/>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eastAsia="宋体" w:cs="宋体"/>
                <w:b/>
                <w:bCs/>
                <w:color w:val="000000" w:themeColor="text1"/>
                <w:kern w:val="0"/>
                <w:sz w:val="24"/>
                <w:highlight w:val="none"/>
                <w:lang w:val="zh-CN"/>
                <w14:textFill>
                  <w14:solidFill>
                    <w14:schemeClr w14:val="tx1"/>
                  </w14:solidFill>
                </w14:textFill>
              </w:rPr>
              <w:t>投标文件</w:t>
            </w:r>
            <w:r>
              <w:rPr>
                <w:rFonts w:hint="eastAsia" w:ascii="宋体" w:hAnsi="宋体" w:eastAsia="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eastAsia="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6F21FA96">
            <w:pPr>
              <w:snapToGrid w:val="0"/>
              <w:spacing w:line="360" w:lineRule="auto"/>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投标报价出现下列情形的，投标无效：</w:t>
            </w:r>
          </w:p>
          <w:p w14:paraId="03B51A83">
            <w:pPr>
              <w:snapToGrid w:val="0"/>
              <w:spacing w:line="360" w:lineRule="auto"/>
              <w:ind w:firstLine="241" w:firstLineChars="100"/>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投标文件出现不是唯一的、有选择性投标报价的；</w:t>
            </w:r>
          </w:p>
          <w:p w14:paraId="6DC86BEF">
            <w:pPr>
              <w:snapToGrid w:val="0"/>
              <w:spacing w:line="360" w:lineRule="auto"/>
              <w:ind w:firstLine="241"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37D7454B">
            <w:pPr>
              <w:spacing w:line="360" w:lineRule="auto"/>
              <w:ind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14:paraId="666F27F4">
            <w:pPr>
              <w:spacing w:line="360" w:lineRule="auto"/>
              <w:ind w:firstLine="241"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eastAsia="宋体" w:cs="宋体"/>
                <w:b/>
                <w:color w:val="000000" w:themeColor="text1"/>
                <w:sz w:val="24"/>
                <w:highlight w:val="none"/>
                <w14:textFill>
                  <w14:solidFill>
                    <w14:schemeClr w14:val="tx1"/>
                  </w14:solidFill>
                </w14:textFill>
              </w:rPr>
              <w:t>。</w:t>
            </w:r>
          </w:p>
        </w:tc>
      </w:tr>
      <w:tr w14:paraId="2B7C3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64" w:hRule="atLeast"/>
          <w:tblHeader/>
          <w:jc w:val="center"/>
        </w:trPr>
        <w:tc>
          <w:tcPr>
            <w:tcW w:w="629" w:type="dxa"/>
            <w:tcBorders>
              <w:top w:val="single" w:color="auto" w:sz="4" w:space="0"/>
              <w:left w:val="single" w:color="000000" w:sz="8" w:space="0"/>
              <w:right w:val="single" w:color="000000" w:sz="2" w:space="0"/>
            </w:tcBorders>
          </w:tcPr>
          <w:p w14:paraId="3A8C448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95666D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0CA2351">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1C0E652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 。</w:t>
            </w:r>
          </w:p>
        </w:tc>
      </w:tr>
      <w:tr w14:paraId="46F50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9"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4558075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3F1DC6D">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61EE8E3">
            <w:pPr>
              <w:pStyle w:val="32"/>
              <w:spacing w:line="360" w:lineRule="auto"/>
              <w:rPr>
                <w:rFonts w:hint="eastAsia" w:ascii="宋体" w:hAnsi="宋体" w:eastAsia="宋体" w:cs="宋体"/>
                <w:color w:val="000000" w:themeColor="text1"/>
                <w:kern w:val="28"/>
                <w:sz w:val="24"/>
                <w:highlight w:val="none"/>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备份投标文件送达地点：</w:t>
            </w:r>
            <w:r>
              <w:rPr>
                <w:rFonts w:hint="eastAsia" w:ascii="宋体" w:hAnsi="宋体" w:eastAsia="宋体" w:cs="宋体"/>
                <w:color w:val="000000" w:themeColor="text1"/>
                <w:sz w:val="24"/>
                <w:highlight w:val="none"/>
                <w:u w:val="single"/>
                <w14:textFill>
                  <w14:solidFill>
                    <w14:schemeClr w14:val="tx1"/>
                  </w14:solidFill>
                </w14:textFill>
              </w:rPr>
              <w:t>浙江省杭州市建德市新安江街道严州大道水韵天城108幢201室</w:t>
            </w:r>
            <w:r>
              <w:rPr>
                <w:rFonts w:hint="eastAsia" w:ascii="宋体" w:hAnsi="宋体" w:eastAsia="宋体" w:cs="宋体"/>
                <w:color w:val="000000" w:themeColor="text1"/>
                <w:kern w:val="28"/>
                <w:sz w:val="24"/>
                <w:szCs w:val="24"/>
                <w:highlight w:val="none"/>
                <w14:textFill>
                  <w14:solidFill>
                    <w14:schemeClr w14:val="tx1"/>
                  </w14:solidFill>
                </w14:textFill>
              </w:rPr>
              <w:t>；备份投标文件签收人员联系电话：</w:t>
            </w:r>
            <w:r>
              <w:rPr>
                <w:rFonts w:hint="eastAsia" w:ascii="宋体" w:hAnsi="宋体" w:eastAsia="宋体" w:cs="宋体"/>
                <w:color w:val="000000" w:themeColor="text1"/>
                <w:kern w:val="28"/>
                <w:sz w:val="24"/>
                <w:szCs w:val="24"/>
                <w:highlight w:val="none"/>
                <w:u w:val="single"/>
                <w:lang w:eastAsia="zh-CN"/>
                <w14:textFill>
                  <w14:solidFill>
                    <w14:schemeClr w14:val="tx1"/>
                  </w14:solidFill>
                </w14:textFill>
              </w:rPr>
              <w:t>季姜春</w:t>
            </w:r>
            <w:r>
              <w:rPr>
                <w:rFonts w:hint="eastAsia" w:ascii="宋体" w:hAnsi="宋体" w:eastAsia="宋体" w:cs="宋体"/>
                <w:color w:val="000000" w:themeColor="text1"/>
                <w:kern w:val="28"/>
                <w:sz w:val="24"/>
                <w:szCs w:val="24"/>
                <w:highlight w:val="none"/>
                <w:u w:val="single"/>
                <w14:textFill>
                  <w14:solidFill>
                    <w14:schemeClr w14:val="tx1"/>
                  </w14:solidFill>
                </w14:textFill>
              </w:rPr>
              <w:t>，</w:t>
            </w:r>
            <w:r>
              <w:rPr>
                <w:rFonts w:hint="eastAsia" w:ascii="宋体" w:hAnsi="宋体" w:eastAsia="宋体" w:cs="宋体"/>
                <w:color w:val="000000" w:themeColor="text1"/>
                <w:kern w:val="28"/>
                <w:sz w:val="24"/>
                <w:szCs w:val="24"/>
                <w:highlight w:val="none"/>
                <w:u w:val="single"/>
                <w:lang w:val="en-US" w:eastAsia="zh-CN"/>
                <w14:textFill>
                  <w14:solidFill>
                    <w14:schemeClr w14:val="tx1"/>
                  </w14:solidFill>
                </w14:textFill>
              </w:rPr>
              <w:t>13567150257</w:t>
            </w:r>
            <w:r>
              <w:rPr>
                <w:rFonts w:hint="eastAsia" w:ascii="宋体" w:hAnsi="宋体" w:eastAsia="宋体" w:cs="宋体"/>
                <w:color w:val="000000" w:themeColor="text1"/>
                <w:kern w:val="28"/>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采购人、采购代理机构不强制或变相强制投标人提交备份投标文件。</w:t>
            </w:r>
            <w:r>
              <w:rPr>
                <w:rFonts w:hint="eastAsia" w:ascii="宋体" w:hAnsi="宋体" w:eastAsia="宋体" w:cs="宋体"/>
                <w:b/>
                <w:color w:val="auto"/>
                <w:sz w:val="24"/>
                <w:szCs w:val="24"/>
              </w:rPr>
              <w:t>未按规定提供相应的备份投标文件，造成项目开评标活动无法进行下去的，投标无效。</w:t>
            </w:r>
          </w:p>
        </w:tc>
      </w:tr>
      <w:tr w14:paraId="2E779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46F6F79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92F68D7">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35DA12E">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876584110"/>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本项目不收取采购代理服务费。</w:t>
            </w:r>
          </w:p>
          <w:p w14:paraId="3424A683">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876584111"/>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207622307"/>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4746689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sdtContent>
                </w:sdt>
              </w:sdtContent>
            </w:sdt>
            <w:r>
              <w:rPr>
                <w:rFonts w:hint="eastAsia" w:ascii="宋体" w:hAnsi="宋体" w:eastAsia="宋体" w:cs="宋体"/>
                <w:color w:val="000000" w:themeColor="text1"/>
                <w:kern w:val="0"/>
                <w:sz w:val="24"/>
                <w:highlight w:val="none"/>
                <w14:textFill>
                  <w14:solidFill>
                    <w14:schemeClr w14:val="tx1"/>
                  </w14:solidFill>
                </w14:textFill>
              </w:rPr>
              <w:t>B</w:t>
            </w:r>
            <w:r>
              <w:rPr>
                <w:rFonts w:hint="eastAsia" w:ascii="宋体" w:hAnsi="宋体" w:eastAsia="宋体" w:cs="宋体"/>
                <w:b/>
                <w:bCs/>
                <w:color w:val="000000" w:themeColor="text1"/>
                <w:sz w:val="24"/>
                <w:highlight w:val="none"/>
                <w14:textFill>
                  <w14:solidFill>
                    <w14:schemeClr w14:val="tx1"/>
                  </w14:solidFill>
                </w14:textFill>
              </w:rPr>
              <w:t>本项目收取采购代理服务费。</w:t>
            </w:r>
            <w:r>
              <w:rPr>
                <w:rFonts w:hint="eastAsia" w:ascii="宋体" w:hAnsi="宋体" w:eastAsia="宋体" w:cs="宋体"/>
                <w:b/>
                <w:bCs/>
                <w:snapToGrid w:val="0"/>
                <w:color w:val="000000" w:themeColor="text1"/>
                <w:kern w:val="28"/>
                <w:sz w:val="24"/>
                <w:highlight w:val="none"/>
                <w14:textFill>
                  <w14:solidFill>
                    <w14:schemeClr w14:val="tx1"/>
                  </w14:solidFill>
                </w14:textFill>
              </w:rPr>
              <w:t>投标总报价应包含采购服务费，</w:t>
            </w:r>
            <w:r>
              <w:rPr>
                <w:rFonts w:hint="eastAsia" w:ascii="宋体" w:hAnsi="宋体" w:eastAsia="宋体" w:cs="宋体"/>
                <w:b/>
                <w:bCs/>
                <w:snapToGrid w:val="0"/>
                <w:color w:val="000000" w:themeColor="text1"/>
                <w:kern w:val="28"/>
                <w:sz w:val="24"/>
                <w:highlight w:val="none"/>
                <w:u w:val="single"/>
                <w14:textFill>
                  <w14:solidFill>
                    <w14:schemeClr w14:val="tx1"/>
                  </w14:solidFill>
                </w14:textFill>
              </w:rPr>
              <w:t>采购服务费按</w:t>
            </w:r>
            <w:r>
              <w:rPr>
                <w:rFonts w:hint="eastAsia" w:ascii="宋体" w:hAnsi="宋体" w:eastAsia="宋体" w:cs="宋体"/>
                <w:b/>
                <w:bCs/>
                <w:color w:val="000000" w:themeColor="text1"/>
                <w:sz w:val="24"/>
                <w:highlight w:val="none"/>
                <w:u w:val="single"/>
                <w14:textFill>
                  <w14:solidFill>
                    <w14:schemeClr w14:val="tx1"/>
                  </w14:solidFill>
                </w14:textFill>
              </w:rPr>
              <w:t>国家发展计划委员会计价格[2002]1980 号文《招标代理服务费管理暂行办法》及发改办价格[2003]857号文的</w:t>
            </w:r>
            <w:r>
              <w:rPr>
                <w:rFonts w:hint="eastAsia" w:ascii="宋体" w:hAnsi="宋体" w:eastAsia="宋体" w:cs="宋体"/>
                <w:b/>
                <w:bCs/>
                <w:snapToGrid w:val="0"/>
                <w:color w:val="000000" w:themeColor="text1"/>
                <w:kern w:val="28"/>
                <w:sz w:val="24"/>
                <w:highlight w:val="none"/>
                <w:u w:val="single"/>
                <w14:textFill>
                  <w14:solidFill>
                    <w14:schemeClr w14:val="tx1"/>
                  </w14:solidFill>
                </w14:textFill>
              </w:rPr>
              <w:t>收费标准（</w:t>
            </w:r>
            <w:r>
              <w:rPr>
                <w:rFonts w:hint="eastAsia" w:ascii="宋体" w:hAnsi="宋体" w:eastAsia="宋体" w:cs="宋体"/>
                <w:b/>
                <w:bCs/>
                <w:color w:val="000000" w:themeColor="text1"/>
                <w:sz w:val="24"/>
                <w:highlight w:val="none"/>
                <w:u w:val="single"/>
                <w14:textFill>
                  <w14:solidFill>
                    <w14:schemeClr w14:val="tx1"/>
                  </w14:solidFill>
                </w14:textFill>
              </w:rPr>
              <w:t>服务</w:t>
            </w:r>
            <w:r>
              <w:rPr>
                <w:rFonts w:hint="eastAsia" w:ascii="宋体" w:hAnsi="宋体" w:eastAsia="宋体" w:cs="宋体"/>
                <w:b/>
                <w:bCs/>
                <w:snapToGrid w:val="0"/>
                <w:color w:val="000000" w:themeColor="text1"/>
                <w:kern w:val="28"/>
                <w:sz w:val="24"/>
                <w:highlight w:val="none"/>
                <w:u w:val="single"/>
                <w14:textFill>
                  <w14:solidFill>
                    <w14:schemeClr w14:val="tx1"/>
                  </w14:solidFill>
                </w14:textFill>
              </w:rPr>
              <w:t>类）计取，</w:t>
            </w:r>
            <w:r>
              <w:rPr>
                <w:rFonts w:hint="eastAsia" w:ascii="宋体" w:hAnsi="宋体" w:eastAsia="宋体" w:cs="宋体"/>
                <w:b/>
                <w:bCs/>
                <w:color w:val="000000" w:themeColor="text1"/>
                <w:spacing w:val="-2"/>
                <w:sz w:val="24"/>
                <w:highlight w:val="none"/>
                <w:u w:val="single"/>
                <w14:textFill>
                  <w14:solidFill>
                    <w14:schemeClr w14:val="tx1"/>
                  </w14:solidFill>
                </w14:textFill>
              </w:rPr>
              <w:t>采购服务费为人民币贰万玖仟肆佰贰拾捌</w:t>
            </w:r>
            <w:r>
              <w:rPr>
                <w:rFonts w:hint="eastAsia" w:ascii="宋体" w:hAnsi="宋体" w:eastAsia="宋体" w:cs="宋体"/>
                <w:b/>
                <w:bCs/>
                <w:color w:val="000000" w:themeColor="text1"/>
                <w:spacing w:val="-2"/>
                <w:sz w:val="24"/>
                <w:highlight w:val="none"/>
                <w:u w:val="single"/>
                <w14:textFill>
                  <w14:solidFill>
                    <w14:schemeClr w14:val="tx1"/>
                  </w14:solidFill>
                </w14:textFill>
              </w:rPr>
              <w:fldChar w:fldCharType="begin"/>
            </w:r>
            <w:r>
              <w:rPr>
                <w:rFonts w:hint="eastAsia" w:ascii="宋体" w:hAnsi="宋体" w:eastAsia="宋体" w:cs="宋体"/>
                <w:b/>
                <w:bCs/>
                <w:color w:val="000000" w:themeColor="text1"/>
                <w:spacing w:val="-2"/>
                <w:sz w:val="24"/>
                <w:highlight w:val="none"/>
                <w:u w:val="single"/>
                <w14:textFill>
                  <w14:solidFill>
                    <w14:schemeClr w14:val="tx1"/>
                  </w14:solidFill>
                </w14:textFill>
              </w:rPr>
              <w:instrText xml:space="preserve"> = 6900 \* CHINESENUM4 \* MERGEFORMAT </w:instrText>
            </w:r>
            <w:r>
              <w:rPr>
                <w:rFonts w:hint="eastAsia" w:ascii="宋体" w:hAnsi="宋体" w:eastAsia="宋体" w:cs="宋体"/>
                <w:b/>
                <w:bCs/>
                <w:color w:val="000000" w:themeColor="text1"/>
                <w:spacing w:val="-2"/>
                <w:sz w:val="24"/>
                <w:highlight w:val="none"/>
                <w:u w:val="single"/>
                <w14:textFill>
                  <w14:solidFill>
                    <w14:schemeClr w14:val="tx1"/>
                  </w14:solidFill>
                </w14:textFill>
              </w:rPr>
              <w:fldChar w:fldCharType="separate"/>
            </w:r>
            <w:r>
              <w:rPr>
                <w:rFonts w:hint="eastAsia" w:ascii="宋体" w:hAnsi="宋体" w:eastAsia="宋体" w:cs="宋体"/>
                <w:b/>
                <w:bCs/>
                <w:color w:val="000000" w:themeColor="text1"/>
                <w:spacing w:val="-2"/>
                <w:sz w:val="24"/>
                <w:highlight w:val="none"/>
                <w:u w:val="single"/>
                <w14:textFill>
                  <w14:solidFill>
                    <w14:schemeClr w14:val="tx1"/>
                  </w14:solidFill>
                </w14:textFill>
              </w:rPr>
              <w:t>元整</w:t>
            </w:r>
            <w:r>
              <w:rPr>
                <w:rFonts w:hint="eastAsia" w:ascii="宋体" w:hAnsi="宋体" w:eastAsia="宋体" w:cs="宋体"/>
                <w:b/>
                <w:bCs/>
                <w:color w:val="000000" w:themeColor="text1"/>
                <w:spacing w:val="-2"/>
                <w:sz w:val="24"/>
                <w:highlight w:val="none"/>
                <w:u w:val="single"/>
                <w14:textFill>
                  <w14:solidFill>
                    <w14:schemeClr w14:val="tx1"/>
                  </w14:solidFill>
                </w14:textFill>
              </w:rPr>
              <w:fldChar w:fldCharType="end"/>
            </w:r>
            <w:r>
              <w:rPr>
                <w:rFonts w:hint="eastAsia" w:ascii="宋体" w:hAnsi="宋体" w:eastAsia="宋体" w:cs="宋体"/>
                <w:b/>
                <w:bCs/>
                <w:color w:val="000000" w:themeColor="text1"/>
                <w:spacing w:val="-2"/>
                <w:sz w:val="24"/>
                <w:highlight w:val="none"/>
                <w:u w:val="single"/>
                <w14:textFill>
                  <w14:solidFill>
                    <w14:schemeClr w14:val="tx1"/>
                  </w14:solidFill>
                </w14:textFill>
              </w:rPr>
              <w:t>（¥</w:t>
            </w:r>
            <w:r>
              <w:rPr>
                <w:rFonts w:hint="eastAsia" w:ascii="宋体" w:hAnsi="宋体" w:cs="宋体"/>
                <w:b/>
                <w:bCs/>
                <w:color w:val="000000" w:themeColor="text1"/>
                <w:spacing w:val="-2"/>
                <w:sz w:val="24"/>
                <w:highlight w:val="none"/>
                <w:u w:val="single"/>
                <w:lang w:eastAsia="zh-CN"/>
                <w14:textFill>
                  <w14:solidFill>
                    <w14:schemeClr w14:val="tx1"/>
                  </w14:solidFill>
                </w14:textFill>
              </w:rPr>
              <w:t>：29428</w:t>
            </w:r>
            <w:r>
              <w:rPr>
                <w:rFonts w:hint="eastAsia" w:ascii="宋体" w:hAnsi="宋体" w:eastAsia="宋体" w:cs="宋体"/>
                <w:b/>
                <w:bCs/>
                <w:color w:val="000000" w:themeColor="text1"/>
                <w:spacing w:val="-2"/>
                <w:sz w:val="24"/>
                <w:highlight w:val="none"/>
                <w:u w:val="single"/>
                <w14:textFill>
                  <w14:solidFill>
                    <w14:schemeClr w14:val="tx1"/>
                  </w14:solidFill>
                </w14:textFill>
              </w:rPr>
              <w:t>元）。</w:t>
            </w:r>
            <w:r>
              <w:rPr>
                <w:rFonts w:hint="eastAsia" w:ascii="宋体" w:hAnsi="宋体" w:eastAsia="宋体" w:cs="宋体"/>
                <w:b/>
                <w:bCs/>
                <w:snapToGrid w:val="0"/>
                <w:color w:val="000000" w:themeColor="text1"/>
                <w:kern w:val="28"/>
                <w:sz w:val="24"/>
                <w:highlight w:val="none"/>
                <w:u w:val="single"/>
                <w14:textFill>
                  <w14:solidFill>
                    <w14:schemeClr w14:val="tx1"/>
                  </w14:solidFill>
                </w14:textFill>
              </w:rPr>
              <w:t>由中标供应商在领取中标通知书时支付给采购代理公司。</w:t>
            </w:r>
          </w:p>
        </w:tc>
      </w:tr>
      <w:tr w14:paraId="26015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tcPr>
          <w:p w14:paraId="1F0E37A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w:t>
            </w:r>
          </w:p>
        </w:tc>
        <w:tc>
          <w:tcPr>
            <w:tcW w:w="1843" w:type="dxa"/>
            <w:vMerge w:val="restart"/>
            <w:tcBorders>
              <w:top w:val="single" w:color="000000" w:sz="8" w:space="0"/>
              <w:left w:val="single" w:color="000000" w:sz="2" w:space="0"/>
              <w:right w:val="single" w:color="000000" w:sz="8" w:space="0"/>
            </w:tcBorders>
            <w:vAlign w:val="center"/>
          </w:tcPr>
          <w:p w14:paraId="5721A717">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4AC5BB2">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10A3B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76" w:hRule="atLeast"/>
          <w:tblHeader/>
          <w:jc w:val="center"/>
        </w:trPr>
        <w:tc>
          <w:tcPr>
            <w:tcW w:w="629" w:type="dxa"/>
            <w:vMerge w:val="continue"/>
            <w:tcBorders>
              <w:left w:val="single" w:color="000000" w:sz="8" w:space="0"/>
              <w:bottom w:val="single" w:color="auto" w:sz="4" w:space="0"/>
              <w:right w:val="single" w:color="000000" w:sz="2" w:space="0"/>
            </w:tcBorders>
          </w:tcPr>
          <w:p w14:paraId="6901A1D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14:paraId="001208B0">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37C0DBD1">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816336663"/>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5EA108E5">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32311894"/>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bl>
    <w:p w14:paraId="62EE57FD">
      <w:pPr>
        <w:snapToGrid w:val="0"/>
        <w:spacing w:line="360" w:lineRule="auto"/>
        <w:rPr>
          <w:rFonts w:hint="eastAsia" w:ascii="宋体" w:hAnsi="宋体" w:eastAsia="宋体" w:cs="宋体"/>
          <w:b/>
          <w:color w:val="000000" w:themeColor="text1"/>
          <w:sz w:val="32"/>
          <w:szCs w:val="20"/>
          <w:highlight w:val="none"/>
          <w14:textFill>
            <w14:solidFill>
              <w14:schemeClr w14:val="tx1"/>
            </w14:solidFill>
          </w14:textFill>
        </w:rPr>
      </w:pPr>
    </w:p>
    <w:bookmarkEnd w:id="10"/>
    <w:p w14:paraId="1CB70A01">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bookmarkStart w:id="11" w:name="第三部分"/>
      <w:bookmarkStart w:id="12" w:name="_Toc164416483"/>
      <w:r>
        <w:rPr>
          <w:rFonts w:hint="eastAsia" w:ascii="宋体" w:hAnsi="宋体" w:eastAsia="宋体" w:cs="宋体"/>
          <w:b/>
          <w:color w:val="000000" w:themeColor="text1"/>
          <w:sz w:val="32"/>
          <w:szCs w:val="20"/>
          <w:highlight w:val="none"/>
          <w14:textFill>
            <w14:solidFill>
              <w14:schemeClr w14:val="tx1"/>
            </w14:solidFill>
          </w14:textFill>
        </w:rPr>
        <w:t>一、总则</w:t>
      </w:r>
    </w:p>
    <w:p w14:paraId="3FC0D1D7">
      <w:pPr>
        <w:snapToGrid w:val="0"/>
        <w:spacing w:line="360" w:lineRule="auto"/>
        <w:ind w:firstLine="361" w:firstLineChars="150"/>
        <w:jc w:val="left"/>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 适用范围</w:t>
      </w:r>
    </w:p>
    <w:p w14:paraId="08E8B492">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143B73D1">
      <w:pPr>
        <w:adjustRightInd/>
        <w:spacing w:line="360" w:lineRule="auto"/>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2.定义</w:t>
      </w:r>
    </w:p>
    <w:p w14:paraId="4250AA8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“采购人”系指招标公告中载明的本项目的采购人。</w:t>
      </w:r>
    </w:p>
    <w:p w14:paraId="03C9FCD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“采购代理机构”系指招标公告中载明的本项目的采购代理机构。</w:t>
      </w:r>
    </w:p>
    <w:p w14:paraId="36FB2F0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 “投标人”系指是指响应招标、参加投标竞争的法人、其他组织或者自然人。</w:t>
      </w:r>
    </w:p>
    <w:p w14:paraId="599165C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6DD7F4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04CB69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6EF72E3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 “▲” 系指实质性要求条款，“</w:t>
      </w:r>
      <w:sdt>
        <w:sdtPr>
          <w:rPr>
            <w:rFonts w:hint="eastAsia" w:ascii="宋体" w:hAnsi="宋体" w:eastAsia="宋体" w:cs="宋体"/>
            <w:color w:val="000000" w:themeColor="text1"/>
            <w:kern w:val="0"/>
            <w:sz w:val="24"/>
            <w:highlight w:val="none"/>
            <w14:textFill>
              <w14:solidFill>
                <w14:schemeClr w14:val="tx1"/>
              </w14:solidFill>
            </w14:textFill>
          </w:rPr>
          <w:id w:val="512970236"/>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4747756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sdtContent>
      </w:sdt>
      <w:r>
        <w:rPr>
          <w:rFonts w:hint="eastAsia" w:ascii="宋体" w:hAnsi="宋体" w:eastAsia="宋体" w:cs="宋体"/>
          <w:color w:val="000000" w:themeColor="text1"/>
          <w:sz w:val="24"/>
          <w:highlight w:val="none"/>
          <w14:textFill>
            <w14:solidFill>
              <w14:schemeClr w14:val="tx1"/>
            </w14:solidFill>
          </w14:textFill>
        </w:rPr>
        <w:t>” 系指适用本项目的要求，“</w:t>
      </w:r>
      <w:sdt>
        <w:sdtPr>
          <w:rPr>
            <w:rFonts w:hint="eastAsia" w:ascii="宋体" w:hAnsi="宋体" w:eastAsia="宋体" w:cs="宋体"/>
            <w:color w:val="000000" w:themeColor="text1"/>
            <w:kern w:val="0"/>
            <w:sz w:val="24"/>
            <w:highlight w:val="none"/>
            <w14:textFill>
              <w14:solidFill>
                <w14:schemeClr w14:val="tx1"/>
              </w14:solidFill>
            </w14:textFill>
          </w:rPr>
          <w:id w:val="404888855"/>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系指不适用本项目的要求。</w:t>
      </w:r>
    </w:p>
    <w:p w14:paraId="573CF2E3">
      <w:pPr>
        <w:spacing w:line="360" w:lineRule="auto"/>
        <w:ind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采购项目需要落实的政府采购政策</w:t>
      </w:r>
    </w:p>
    <w:p w14:paraId="31880B50">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 w:val="24"/>
          <w:highlight w:val="none"/>
          <w14:textFill>
            <w14:solidFill>
              <w14:schemeClr w14:val="tx1"/>
            </w14:solidFill>
          </w14:textFill>
        </w:rPr>
        <w:t>。</w:t>
      </w:r>
    </w:p>
    <w:p w14:paraId="2EA3E5F6">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支持绿色发展</w:t>
      </w:r>
    </w:p>
    <w:p w14:paraId="0D866794">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648AD35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523CAF1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87E8C2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888AE16">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3.3支持中小企业发展</w:t>
      </w:r>
    </w:p>
    <w:p w14:paraId="4FA6CC5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AD3450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符合中小企业划分标准的个体工商户，在政府采购活动中视同中小企业。</w:t>
      </w:r>
    </w:p>
    <w:p w14:paraId="0063EA6A">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3.3.2</w:t>
      </w:r>
      <w:r>
        <w:rPr>
          <w:rFonts w:hint="eastAsia" w:ascii="宋体" w:hAnsi="宋体" w:eastAsia="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A9993D9">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162D33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79160E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6A583E1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E256F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88E638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62BA0E3D">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w:t>
      </w:r>
      <w:r>
        <w:rPr>
          <w:rFonts w:hint="eastAsia" w:ascii="宋体" w:hAnsi="宋体" w:eastAsia="宋体" w:cs="宋体"/>
          <w:bCs/>
          <w:color w:val="000000" w:themeColor="text1"/>
          <w:sz w:val="24"/>
          <w:highlight w:val="none"/>
          <w14:textFill>
            <w14:solidFill>
              <w14:schemeClr w14:val="tx1"/>
            </w14:solidFill>
          </w14:textFill>
        </w:rPr>
        <w:t>支持创新发展</w:t>
      </w:r>
    </w:p>
    <w:p w14:paraId="2C5583E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3.4.1 采购人优先采购被认定为首台套产品和“制造精品”的自主创新产品。</w:t>
      </w:r>
    </w:p>
    <w:p w14:paraId="4FDA1BB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E6FD11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3.5平等对待内外资企业和符合条件的破产重整企业</w:t>
      </w:r>
    </w:p>
    <w:p w14:paraId="7A2955FC">
      <w:pPr>
        <w:spacing w:line="360" w:lineRule="auto"/>
        <w:ind w:firstLine="240"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eastAsia="宋体" w:cs="宋体"/>
          <w:color w:val="000000" w:themeColor="text1"/>
          <w:sz w:val="24"/>
          <w:highlight w:val="none"/>
          <w14:textFill>
            <w14:solidFill>
              <w14:schemeClr w14:val="tx1"/>
            </w14:solidFill>
          </w14:textFill>
        </w:rPr>
        <w:cr/>
      </w:r>
      <w:r>
        <w:rPr>
          <w:rFonts w:hint="eastAsia" w:ascii="宋体" w:hAnsi="宋体" w:eastAsia="宋体" w:cs="宋体"/>
          <w:b/>
          <w:color w:val="000000" w:themeColor="text1"/>
          <w:sz w:val="24"/>
          <w:highlight w:val="none"/>
          <w14:textFill>
            <w14:solidFill>
              <w14:schemeClr w14:val="tx1"/>
            </w14:solidFill>
          </w14:textFill>
        </w:rPr>
        <w:t>4. 询问、质疑、投诉</w:t>
      </w:r>
    </w:p>
    <w:p w14:paraId="070850FD">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D8F21C">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4.2供应商询问</w:t>
      </w:r>
    </w:p>
    <w:p w14:paraId="62E351AD">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6B4856">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4.3供应商质疑</w:t>
      </w:r>
    </w:p>
    <w:p w14:paraId="1A33467E">
      <w:pPr>
        <w:pStyle w:val="32"/>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4CBBCC1B">
      <w:pPr>
        <w:pStyle w:val="32"/>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A2DC243">
      <w:pPr>
        <w:pStyle w:val="6"/>
        <w:spacing w:line="360" w:lineRule="auto"/>
        <w:ind w:firstLine="480" w:firstLineChars="20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275443C0">
      <w:pPr>
        <w:pStyle w:val="32"/>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0336CEB8">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4.3.3</w:t>
      </w:r>
      <w:r>
        <w:rPr>
          <w:rFonts w:hint="eastAsia" w:ascii="宋体" w:hAnsi="宋体" w:eastAsia="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7308C7B4">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43182199">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4.3.3.2质疑项目的名称、编号；</w:t>
      </w:r>
    </w:p>
    <w:p w14:paraId="3CDA8121">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4.3.3.3具体、明确的质疑事项和与质疑事项相关的请求；</w:t>
      </w:r>
    </w:p>
    <w:p w14:paraId="5D59CD11">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4.3.3.4事实依据；</w:t>
      </w:r>
    </w:p>
    <w:p w14:paraId="15236039">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4.3.3.5必要的法律依据；</w:t>
      </w:r>
    </w:p>
    <w:p w14:paraId="1A2CDC06">
      <w:pPr>
        <w:pStyle w:val="32"/>
        <w:spacing w:line="360" w:lineRule="auto"/>
        <w:ind w:firstLine="960" w:firstLineChars="4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4.3.3.6提出质疑的日期。</w:t>
      </w:r>
    </w:p>
    <w:p w14:paraId="46F8C546">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3C52226">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质疑函范本及制作说明详见附件2。</w:t>
      </w:r>
    </w:p>
    <w:p w14:paraId="2CC68BED">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4.3.4对同一采购程序环节的质疑，供应商须在法定质疑期内一次性提出。</w:t>
      </w:r>
    </w:p>
    <w:p w14:paraId="3CD807C1">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25615C5">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02DD37A8">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4.4供应商投诉</w:t>
      </w:r>
    </w:p>
    <w:p w14:paraId="4439DDFB">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0632BD15">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w:t>
      </w: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供应商投诉的事项不得超出已质疑事项的范围，基于质疑答复内容提出的投诉事项除外。</w:t>
      </w:r>
    </w:p>
    <w:p w14:paraId="037CABD3">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4.4.3供应商投诉应当有明确的请求和必要的证明材料。</w:t>
      </w:r>
    </w:p>
    <w:p w14:paraId="6B0B41A2">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4.4.4以联合体形式参加政府采购活动的，其投诉应当由组成联合体的所有供应商共同提出。</w:t>
      </w:r>
    </w:p>
    <w:p w14:paraId="72D59783">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投诉书范本及制作说明详见附件3。</w:t>
      </w:r>
    </w:p>
    <w:p w14:paraId="022996EE">
      <w:pP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 xml:space="preserve">      二、招标文件的构成、澄清、修改</w:t>
      </w:r>
    </w:p>
    <w:p w14:paraId="725B7FB4">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5．招标文件的构成</w:t>
      </w:r>
    </w:p>
    <w:p w14:paraId="75BBBE81">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招标文件包括下列文件及附件：</w:t>
      </w:r>
    </w:p>
    <w:p w14:paraId="303DA477">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5.1.1招标公告；</w:t>
      </w:r>
    </w:p>
    <w:p w14:paraId="719D4415">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5.1.2投标人须知；</w:t>
      </w:r>
    </w:p>
    <w:p w14:paraId="23C8AF98">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5.1.3采购需求；</w:t>
      </w:r>
    </w:p>
    <w:p w14:paraId="61B9937C">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5.1.4评标办法；</w:t>
      </w:r>
    </w:p>
    <w:p w14:paraId="6D3EEA1C">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5.1.5拟签订的合同文本；</w:t>
      </w:r>
    </w:p>
    <w:p w14:paraId="347246E4">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5.1.6</w:t>
      </w:r>
      <w:r>
        <w:rPr>
          <w:rFonts w:hint="eastAsia" w:ascii="宋体" w:hAnsi="宋体" w:eastAsia="宋体" w:cs="宋体"/>
          <w:color w:val="000000" w:themeColor="text1"/>
          <w:sz w:val="24"/>
          <w:szCs w:val="24"/>
          <w:highlight w:val="none"/>
          <w14:textFill>
            <w14:solidFill>
              <w14:schemeClr w14:val="tx1"/>
            </w14:solidFill>
          </w14:textFill>
        </w:rPr>
        <w:t>应提交的有关格式范例。</w:t>
      </w:r>
    </w:p>
    <w:p w14:paraId="77B42A9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eastAsia="宋体" w:cs="宋体"/>
          <w:color w:val="000000" w:themeColor="text1"/>
          <w:sz w:val="24"/>
          <w:highlight w:val="none"/>
          <w14:textFill>
            <w14:solidFill>
              <w14:schemeClr w14:val="tx1"/>
            </w14:solidFill>
          </w14:textFill>
        </w:rPr>
        <w:t>。</w:t>
      </w:r>
    </w:p>
    <w:p w14:paraId="5BB2307A">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 招标文件的澄清、修改</w:t>
      </w:r>
    </w:p>
    <w:p w14:paraId="41B8FF3C">
      <w:pPr>
        <w:pStyle w:val="133"/>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40DB4C21">
      <w:pPr>
        <w:pStyle w:val="133"/>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9A5EF48">
      <w:pPr>
        <w:pStyle w:val="2"/>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szCs w:val="24"/>
          <w:highlight w:val="none"/>
          <w:lang w:val="en-US"/>
          <w14:textFill>
            <w14:solidFill>
              <w14:schemeClr w14:val="tx1"/>
            </w14:solidFill>
          </w14:textFill>
        </w:rPr>
        <w:t xml:space="preserve">    </w:t>
      </w:r>
    </w:p>
    <w:p w14:paraId="686F8ECD">
      <w:pPr>
        <w:adjustRightInd/>
        <w:spacing w:line="360" w:lineRule="auto"/>
        <w:jc w:val="center"/>
        <w:outlineLvl w:val="0"/>
        <w:rPr>
          <w:rFonts w:hint="eastAsia" w:ascii="宋体" w:hAnsi="宋体" w:eastAsia="宋体" w:cs="宋体"/>
          <w:b/>
          <w:color w:val="000000" w:themeColor="text1"/>
          <w:sz w:val="30"/>
          <w:szCs w:val="20"/>
          <w:highlight w:val="none"/>
          <w14:textFill>
            <w14:solidFill>
              <w14:schemeClr w14:val="tx1"/>
            </w14:solidFill>
          </w14:textFill>
        </w:rPr>
      </w:pPr>
      <w:r>
        <w:rPr>
          <w:rFonts w:hint="eastAsia" w:ascii="宋体" w:hAnsi="宋体" w:eastAsia="宋体" w:cs="宋体"/>
          <w:b/>
          <w:color w:val="000000" w:themeColor="text1"/>
          <w:sz w:val="30"/>
          <w:szCs w:val="20"/>
          <w:highlight w:val="none"/>
          <w14:textFill>
            <w14:solidFill>
              <w14:schemeClr w14:val="tx1"/>
            </w14:solidFill>
          </w14:textFill>
        </w:rPr>
        <w:t>三、投标</w:t>
      </w:r>
    </w:p>
    <w:p w14:paraId="4AFAE77E">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 招标文件的获取</w:t>
      </w:r>
    </w:p>
    <w:p w14:paraId="1B7F8604">
      <w:pPr>
        <w:spacing w:line="360" w:lineRule="auto"/>
        <w:ind w:firstLine="480" w:firstLineChars="200"/>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19AF217A">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8.开标前答疑会或现场考察</w:t>
      </w:r>
    </w:p>
    <w:p w14:paraId="3C99B463">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BAA4D63">
      <w:pPr>
        <w:pStyle w:val="32"/>
        <w:spacing w:line="360" w:lineRule="auto"/>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kern w:val="28"/>
          <w:sz w:val="24"/>
          <w:szCs w:val="24"/>
          <w:highlight w:val="none"/>
          <w14:textFill>
            <w14:solidFill>
              <w14:schemeClr w14:val="tx1"/>
            </w14:solidFill>
          </w14:textFill>
        </w:rPr>
        <w:t>9.投标保证金</w:t>
      </w:r>
    </w:p>
    <w:p w14:paraId="4EBA29C7">
      <w:pPr>
        <w:pStyle w:val="6"/>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本项目不需缴纳投标保证金。</w:t>
      </w:r>
    </w:p>
    <w:p w14:paraId="6F935D90">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 投标文件的语言</w:t>
      </w:r>
    </w:p>
    <w:p w14:paraId="51ECCC70">
      <w:pPr>
        <w:autoSpaceDE w:val="0"/>
        <w:autoSpaceDN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投标文件及投标人与采购有关的来往通知、函件和文件均应使用中文。</w:t>
      </w:r>
    </w:p>
    <w:p w14:paraId="4782B667">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 投标文件的组成</w:t>
      </w:r>
    </w:p>
    <w:p w14:paraId="3A188DFB">
      <w:pPr>
        <w:snapToGrid w:val="0"/>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11.1</w:t>
      </w:r>
      <w:r>
        <w:rPr>
          <w:rFonts w:hint="eastAsia" w:ascii="宋体" w:hAnsi="宋体" w:eastAsia="宋体" w:cs="宋体"/>
          <w:b/>
          <w:color w:val="000000" w:themeColor="text1"/>
          <w:sz w:val="24"/>
          <w:highlight w:val="none"/>
          <w14:textFill>
            <w14:solidFill>
              <w14:schemeClr w14:val="tx1"/>
            </w14:solidFill>
          </w14:textFill>
        </w:rPr>
        <w:t>资格文件</w:t>
      </w:r>
      <w:r>
        <w:rPr>
          <w:rFonts w:hint="eastAsia" w:ascii="宋体" w:hAnsi="宋体" w:eastAsia="宋体" w:cs="宋体"/>
          <w:color w:val="000000" w:themeColor="text1"/>
          <w:sz w:val="24"/>
          <w:highlight w:val="none"/>
          <w14:textFill>
            <w14:solidFill>
              <w14:schemeClr w14:val="tx1"/>
            </w14:solidFill>
          </w14:textFill>
        </w:rPr>
        <w:t>：</w:t>
      </w:r>
    </w:p>
    <w:p w14:paraId="5807B6DD">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11.1.1符合参加政府采购活动应当具备的一般条件的承诺函；</w:t>
      </w:r>
    </w:p>
    <w:p w14:paraId="4DC4880B">
      <w:pPr>
        <w:snapToGrid w:val="0"/>
        <w:spacing w:line="360" w:lineRule="auto"/>
        <w:ind w:firstLine="960" w:firstLineChars="4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联合协议（如果有）；</w:t>
      </w:r>
    </w:p>
    <w:p w14:paraId="53C17680">
      <w:pPr>
        <w:snapToGrid w:val="0"/>
        <w:spacing w:line="360" w:lineRule="auto"/>
        <w:ind w:firstLine="960" w:firstLineChars="4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11.1.3落实政府采购政策需满足的资格要求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p>
    <w:p w14:paraId="178BF4EA">
      <w:pPr>
        <w:snapToGrid w:val="0"/>
        <w:spacing w:line="360" w:lineRule="auto"/>
        <w:ind w:firstLine="960" w:firstLineChars="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11.1.4本项目的特定资格要求</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b/>
          <w:bCs/>
          <w:color w:val="auto"/>
          <w:sz w:val="24"/>
          <w:lang w:val="en-US" w:eastAsia="zh-CN"/>
        </w:rPr>
        <w:t>依据《浙江省生态环境保护条例》第六十五条规定的对生态环境服务机构作出行政处罚的，自作出行政处罚决定之日起三年内禁止该机构参与政府采购的生态环境服务项目。本项目禁止有上述情况的供应商参与投标</w:t>
      </w:r>
      <w:r>
        <w:rPr>
          <w:rFonts w:hint="eastAsia" w:ascii="宋体" w:hAnsi="宋体" w:cs="宋体"/>
          <w:b/>
          <w:bCs/>
          <w:color w:val="auto"/>
          <w:sz w:val="24"/>
          <w:highlight w:val="none"/>
          <w:lang w:eastAsia="zh-CN"/>
        </w:rPr>
        <w:t>。</w:t>
      </w:r>
      <w:r>
        <w:rPr>
          <w:rFonts w:hint="eastAsia" w:hAnsi="宋体" w:cs="宋体"/>
          <w:b/>
          <w:bCs/>
          <w:color w:val="auto"/>
          <w:sz w:val="24"/>
          <w:highlight w:val="none"/>
          <w:lang w:eastAsia="zh-CN"/>
        </w:rPr>
        <w:t>(提供</w:t>
      </w:r>
      <w:r>
        <w:rPr>
          <w:rFonts w:hint="eastAsia" w:hAnsi="宋体" w:cs="宋体"/>
          <w:b/>
          <w:bCs/>
          <w:color w:val="auto"/>
          <w:sz w:val="24"/>
          <w:highlight w:val="none"/>
          <w:lang w:val="en-US" w:eastAsia="zh-CN"/>
        </w:rPr>
        <w:t>投标</w:t>
      </w:r>
      <w:r>
        <w:rPr>
          <w:rFonts w:hint="eastAsia" w:hAnsi="宋体" w:cs="宋体"/>
          <w:b/>
          <w:bCs/>
          <w:color w:val="auto"/>
          <w:sz w:val="24"/>
          <w:highlight w:val="none"/>
          <w:lang w:eastAsia="zh-CN"/>
        </w:rPr>
        <w:t>供应商声明函加盖公章)</w:t>
      </w:r>
      <w:r>
        <w:rPr>
          <w:rFonts w:hint="eastAsia" w:ascii="宋体" w:hAnsi="宋体" w:eastAsia="宋体" w:cs="宋体"/>
          <w:color w:val="auto"/>
          <w:sz w:val="24"/>
          <w:highlight w:val="none"/>
        </w:rPr>
        <w:t>。</w:t>
      </w:r>
    </w:p>
    <w:p w14:paraId="7554083A">
      <w:pPr>
        <w:snapToGrid w:val="0"/>
        <w:spacing w:line="360" w:lineRule="auto"/>
        <w:ind w:firstLine="482" w:firstLineChars="200"/>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11.</w:t>
      </w:r>
      <w:r>
        <w:rPr>
          <w:rFonts w:hint="eastAsia" w:ascii="宋体" w:hAnsi="宋体" w:eastAsia="宋体" w:cs="宋体"/>
          <w:b/>
          <w:bCs/>
          <w:color w:val="000000" w:themeColor="text1"/>
          <w:sz w:val="24"/>
          <w:highlight w:val="none"/>
          <w14:textFill>
            <w14:solidFill>
              <w14:schemeClr w14:val="tx1"/>
            </w14:solidFill>
          </w14:textFill>
        </w:rPr>
        <w:t>2</w:t>
      </w:r>
      <w:r>
        <w:rPr>
          <w:rFonts w:hint="eastAsia" w:ascii="宋体" w:hAnsi="宋体" w:eastAsia="宋体" w:cs="宋体"/>
          <w:b/>
          <w:bCs/>
          <w:color w:val="000000" w:themeColor="text1"/>
          <w:sz w:val="24"/>
          <w:highlight w:val="none"/>
          <w:lang w:val="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商务技术</w:t>
      </w:r>
      <w:r>
        <w:rPr>
          <w:rFonts w:hint="eastAsia" w:ascii="宋体" w:hAnsi="宋体" w:eastAsia="宋体" w:cs="宋体"/>
          <w:b/>
          <w:bCs/>
          <w:color w:val="000000" w:themeColor="text1"/>
          <w:sz w:val="24"/>
          <w:highlight w:val="none"/>
          <w:lang w:val="zh-CN"/>
          <w14:textFill>
            <w14:solidFill>
              <w14:schemeClr w14:val="tx1"/>
            </w14:solidFill>
          </w14:textFill>
        </w:rPr>
        <w:t>文件：</w:t>
      </w:r>
    </w:p>
    <w:p w14:paraId="46207B75">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2A9DE091">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11.2.2授权委托书或法定代表人（单位负责人、自然人本人）身份证明；</w:t>
      </w:r>
    </w:p>
    <w:p w14:paraId="5B2394EA">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11.2.3分包意向协议</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7A115779">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11.2.4符合性审查资料；</w:t>
      </w:r>
    </w:p>
    <w:p w14:paraId="51828EED">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11.2.5评标标准相应的商务技术资料；</w:t>
      </w:r>
    </w:p>
    <w:p w14:paraId="7BA63A98">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11.2.6投标标的清单；</w:t>
      </w:r>
    </w:p>
    <w:p w14:paraId="3AF704F0">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11.2.7商务技术偏离表；</w:t>
      </w:r>
    </w:p>
    <w:p w14:paraId="3992BE46">
      <w:pPr>
        <w:snapToGrid w:val="0"/>
        <w:spacing w:line="360" w:lineRule="auto"/>
        <w:ind w:firstLine="960" w:firstLineChars="4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324096C2">
      <w:pPr>
        <w:snapToGrid w:val="0"/>
        <w:spacing w:line="360" w:lineRule="auto"/>
        <w:ind w:firstLine="480" w:firstLineChars="200"/>
        <w:rPr>
          <w:rFonts w:hint="eastAsia" w:ascii="宋体" w:hAnsi="宋体" w:eastAsia="宋体" w:cs="宋体"/>
          <w:color w:val="000000" w:themeColor="text1"/>
          <w:sz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b/>
          <w:color w:val="000000" w:themeColor="text1"/>
          <w:sz w:val="24"/>
          <w:highlight w:val="none"/>
          <w14:textFill>
            <w14:solidFill>
              <w14:schemeClr w14:val="tx1"/>
            </w14:solidFill>
          </w14:textFill>
        </w:rPr>
        <w:t>报价文件：</w:t>
      </w:r>
      <w:r>
        <w:rPr>
          <w:rFonts w:hint="eastAsia" w:ascii="宋体" w:hAnsi="宋体" w:eastAsia="宋体" w:cs="宋体"/>
          <w:color w:val="000000" w:themeColor="text1"/>
          <w:sz w:val="24"/>
          <w:highlight w:val="none"/>
          <w14:textFill>
            <w14:solidFill>
              <w14:schemeClr w14:val="tx1"/>
            </w14:solidFill>
          </w14:textFill>
        </w:rPr>
        <w:t xml:space="preserve"> </w:t>
      </w:r>
    </w:p>
    <w:p w14:paraId="20D4D3C9">
      <w:pPr>
        <w:snapToGrid w:val="0"/>
        <w:spacing w:line="360" w:lineRule="auto"/>
        <w:ind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11.3.1开标一览表（报价表）</w:t>
      </w:r>
      <w:r>
        <w:rPr>
          <w:rFonts w:hint="eastAsia" w:ascii="宋体" w:hAnsi="宋体" w:cs="宋体"/>
          <w:color w:val="000000" w:themeColor="text1"/>
          <w:sz w:val="24"/>
          <w:highlight w:val="none"/>
          <w:lang w:eastAsia="zh-CN"/>
          <w14:textFill>
            <w14:solidFill>
              <w14:schemeClr w14:val="tx1"/>
            </w14:solidFill>
          </w14:textFill>
        </w:rPr>
        <w:t>；</w:t>
      </w:r>
    </w:p>
    <w:p w14:paraId="0BBCCCC8">
      <w:pPr>
        <w:snapToGrid w:val="0"/>
        <w:spacing w:line="360" w:lineRule="auto"/>
        <w:ind w:firstLine="960" w:firstLineChars="400"/>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b w:val="0"/>
          <w:bCs w:val="0"/>
          <w:kern w:val="2"/>
          <w:sz w:val="24"/>
          <w:szCs w:val="24"/>
          <w:lang w:val="en-US" w:eastAsia="zh-CN" w:bidi="ar-SA"/>
        </w:rPr>
        <w:t>中小企业声明函（如果有）</w:t>
      </w:r>
      <w:r>
        <w:rPr>
          <w:rFonts w:hint="eastAsia" w:ascii="宋体" w:hAnsi="宋体" w:eastAsia="宋体" w:cs="宋体"/>
          <w:b w:val="0"/>
          <w:bCs w:val="0"/>
          <w:color w:val="000000" w:themeColor="text1"/>
          <w:sz w:val="24"/>
          <w:highlight w:val="none"/>
          <w14:textFill>
            <w14:solidFill>
              <w14:schemeClr w14:val="tx1"/>
            </w14:solidFill>
          </w14:textFill>
        </w:rPr>
        <w:t>。</w:t>
      </w:r>
    </w:p>
    <w:p w14:paraId="2B7262B7">
      <w:pPr>
        <w:spacing w:line="360" w:lineRule="auto"/>
        <w:ind w:firstLine="723"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6E1C3900">
      <w:pPr>
        <w:spacing w:line="360" w:lineRule="auto"/>
        <w:ind w:firstLine="723" w:firstLineChars="3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投标人提供虚假材料投标的，投标无效。</w:t>
      </w:r>
    </w:p>
    <w:p w14:paraId="139FE963">
      <w:pPr>
        <w:pStyle w:val="133"/>
        <w:snapToGrid w:val="0"/>
        <w:spacing w:before="0"/>
        <w:ind w:firstLine="0" w:firstLineChars="0"/>
        <w:outlineLvl w:val="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12</w:t>
      </w:r>
      <w:r>
        <w:rPr>
          <w:rFonts w:hint="eastAsia" w:ascii="宋体" w:hAnsi="宋体" w:eastAsia="宋体" w:cs="宋体"/>
          <w:b/>
          <w:color w:val="000000" w:themeColor="text1"/>
          <w:kern w:val="0"/>
          <w:szCs w:val="24"/>
          <w:highlight w:val="none"/>
          <w:lang w:val="zh-CN"/>
          <w14:textFill>
            <w14:solidFill>
              <w14:schemeClr w14:val="tx1"/>
            </w14:solidFill>
          </w14:textFill>
        </w:rPr>
        <w:t xml:space="preserve">. </w:t>
      </w:r>
      <w:r>
        <w:rPr>
          <w:rFonts w:hint="eastAsia" w:ascii="宋体" w:hAnsi="宋体" w:eastAsia="宋体" w:cs="宋体"/>
          <w:b/>
          <w:color w:val="000000" w:themeColor="text1"/>
          <w:szCs w:val="24"/>
          <w:highlight w:val="none"/>
          <w14:textFill>
            <w14:solidFill>
              <w14:schemeClr w14:val="tx1"/>
            </w14:solidFill>
          </w14:textFill>
        </w:rPr>
        <w:t>投标文件的编制</w:t>
      </w:r>
    </w:p>
    <w:p w14:paraId="64D93D6E">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93060F7">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23DC1CED">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22FC52A8">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13.投标文件的签署、盖章</w:t>
      </w:r>
    </w:p>
    <w:p w14:paraId="6DDBEA1A">
      <w:pPr>
        <w:pStyle w:val="133"/>
        <w:snapToGrid w:val="0"/>
        <w:spacing w:before="0"/>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eastAsia="宋体" w:cs="宋体"/>
          <w:color w:val="000000" w:themeColor="text1"/>
          <w:highlight w:val="none"/>
          <w14:textFill>
            <w14:solidFill>
              <w14:schemeClr w14:val="tx1"/>
            </w14:solidFill>
          </w14:textFill>
        </w:rPr>
        <w:t>求进行签署、盖章。</w:t>
      </w:r>
      <w:r>
        <w:rPr>
          <w:rFonts w:hint="eastAsia" w:ascii="宋体" w:hAnsi="宋体" w:eastAsia="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eastAsia="宋体" w:cs="宋体"/>
          <w:color w:val="000000" w:themeColor="text1"/>
          <w:szCs w:val="24"/>
          <w:highlight w:val="none"/>
          <w14:textFill>
            <w14:solidFill>
              <w14:schemeClr w14:val="tx1"/>
            </w14:solidFill>
          </w14:textFill>
        </w:rPr>
        <w:t>。</w:t>
      </w:r>
    </w:p>
    <w:p w14:paraId="3F41B308">
      <w:pPr>
        <w:pStyle w:val="133"/>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08E4886A">
      <w:pPr>
        <w:pStyle w:val="133"/>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13.3招标文件对投标文件签署、盖章的要求适用于电子签名。</w:t>
      </w:r>
    </w:p>
    <w:p w14:paraId="0536217B">
      <w:pPr>
        <w:pStyle w:val="133"/>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14. 投标文件的提交、补充、修改、撤回</w:t>
      </w:r>
    </w:p>
    <w:p w14:paraId="5C12F28B">
      <w:pPr>
        <w:pStyle w:val="133"/>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350A26D">
      <w:pPr>
        <w:pStyle w:val="133"/>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76D9177">
      <w:pPr>
        <w:pStyle w:val="133"/>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1EC98EEC">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15.备份投标文件</w:t>
      </w:r>
    </w:p>
    <w:p w14:paraId="3E2DD9FE">
      <w:pPr>
        <w:pStyle w:val="32"/>
        <w:spacing w:line="360" w:lineRule="auto"/>
        <w:ind w:firstLine="360"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000000" w:themeColor="text1"/>
          <w:sz w:val="24"/>
          <w:szCs w:val="24"/>
          <w:highlight w:val="none"/>
          <w14:textFill>
            <w14:solidFill>
              <w14:schemeClr w14:val="tx1"/>
            </w14:solidFill>
          </w14:textFill>
        </w:rPr>
        <w:t>但采购人、采购代理机构不强制或变相强制投标人提交备份投标文件。</w:t>
      </w:r>
    </w:p>
    <w:p w14:paraId="13882337">
      <w:pPr>
        <w:pStyle w:val="32"/>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ascii="宋体" w:hAnsi="宋体" w:eastAsia="宋体" w:cs="宋体"/>
          <w:color w:val="000000" w:themeColor="text1"/>
          <w:sz w:val="24"/>
          <w:highlight w:val="none"/>
          <w14:textFill>
            <w14:solidFill>
              <w14:schemeClr w14:val="tx1"/>
            </w14:solidFill>
          </w14:textFill>
        </w:rPr>
        <w:t>DVD光盘等存储介质</w:t>
      </w:r>
      <w:r>
        <w:rPr>
          <w:rFonts w:hint="eastAsia" w:ascii="宋体" w:hAnsi="宋体" w:eastAsia="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000000" w:themeColor="text1"/>
          <w:sz w:val="24"/>
          <w:highlight w:val="none"/>
          <w14:textFill>
            <w14:solidFill>
              <w14:schemeClr w14:val="tx1"/>
            </w14:solidFill>
          </w14:textFill>
        </w:rPr>
        <w:t>不符合上述制作、</w:t>
      </w:r>
      <w:r>
        <w:rPr>
          <w:rFonts w:hint="eastAsia" w:ascii="宋体" w:hAnsi="宋体" w:eastAsia="宋体" w:cs="宋体"/>
          <w:b/>
          <w:color w:val="000000" w:themeColor="text1"/>
          <w:sz w:val="24"/>
          <w:szCs w:val="24"/>
          <w:highlight w:val="none"/>
          <w14:textFill>
            <w14:solidFill>
              <w14:schemeClr w14:val="tx1"/>
            </w14:solidFill>
          </w14:textFill>
        </w:rPr>
        <w:t>存储、密封规定的备份投标文件将被视为无效或者被拒绝接收。</w:t>
      </w:r>
    </w:p>
    <w:p w14:paraId="65D6FFF8">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51B57DE9">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宋体" w:hAnsi="宋体" w:eastAsia="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6F3EFF11">
      <w:pPr>
        <w:pStyle w:val="32"/>
        <w:spacing w:line="360" w:lineRule="auto"/>
        <w:ind w:firstLine="479" w:firstLineChars="19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3A4E3B3E">
      <w:pPr>
        <w:pStyle w:val="133"/>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16.投标文件的无效处理</w:t>
      </w:r>
    </w:p>
    <w:p w14:paraId="3C9D31F5">
      <w:pPr>
        <w:pStyle w:val="7"/>
        <w:spacing w:line="360" w:lineRule="auto"/>
        <w:ind w:firstLine="360"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有招标文件第四部分4.2规定的情形之一的，投标无效：</w:t>
      </w:r>
    </w:p>
    <w:p w14:paraId="784F1721">
      <w:pPr>
        <w:pStyle w:val="133"/>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17.投标有效期</w:t>
      </w:r>
    </w:p>
    <w:p w14:paraId="3EC16E4E">
      <w:pPr>
        <w:spacing w:line="360" w:lineRule="auto"/>
        <w:ind w:firstLine="480"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eastAsia="宋体" w:cs="宋体"/>
          <w:b/>
          <w:color w:val="000000" w:themeColor="text1"/>
          <w:sz w:val="24"/>
          <w:szCs w:val="20"/>
          <w:highlight w:val="none"/>
          <w14:textFill>
            <w14:solidFill>
              <w14:schemeClr w14:val="tx1"/>
            </w14:solidFill>
          </w14:textFill>
        </w:rPr>
        <w:t>投标人的投标文件中承</w:t>
      </w:r>
      <w:r>
        <w:rPr>
          <w:rFonts w:hint="eastAsia" w:ascii="宋体" w:hAnsi="宋体" w:eastAsia="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221EB5E3">
      <w:pPr>
        <w:pStyle w:val="133"/>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17.2投标文件合格投递后，自投标截止日期起，在投标有效期内有效。</w:t>
      </w:r>
    </w:p>
    <w:p w14:paraId="51EEA500">
      <w:pPr>
        <w:pStyle w:val="133"/>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7FF6E66F">
      <w:pPr>
        <w:pStyle w:val="133"/>
        <w:spacing w:before="0"/>
        <w:ind w:firstLine="643"/>
        <w:rPr>
          <w:rFonts w:hint="eastAsia" w:ascii="宋体" w:hAnsi="宋体" w:eastAsia="宋体" w:cs="宋体"/>
          <w:b/>
          <w:color w:val="000000" w:themeColor="text1"/>
          <w:sz w:val="32"/>
          <w:highlight w:val="none"/>
          <w14:textFill>
            <w14:solidFill>
              <w14:schemeClr w14:val="tx1"/>
            </w14:solidFill>
          </w14:textFill>
        </w:rPr>
      </w:pPr>
    </w:p>
    <w:p w14:paraId="1ADFA40D">
      <w:pPr>
        <w:pStyle w:val="133"/>
        <w:spacing w:before="0"/>
        <w:ind w:firstLine="1928" w:firstLineChars="6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四、开标、资格审查与信用信息查询</w:t>
      </w:r>
    </w:p>
    <w:p w14:paraId="03F53A23">
      <w:pPr>
        <w:pStyle w:val="558"/>
        <w:spacing w:before="0" w:line="360" w:lineRule="auto"/>
        <w:ind w:left="0" w:firstLine="241"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18.开标</w:t>
      </w:r>
      <w:r>
        <w:rPr>
          <w:rFonts w:hint="eastAsia" w:ascii="宋体" w:hAnsi="宋体" w:eastAsia="宋体" w:cs="宋体"/>
          <w:color w:val="000000" w:themeColor="text1"/>
          <w:sz w:val="24"/>
          <w:highlight w:val="none"/>
          <w14:textFill>
            <w14:solidFill>
              <w14:schemeClr w14:val="tx1"/>
            </w14:solidFill>
          </w14:textFill>
        </w:rPr>
        <w:t xml:space="preserve"> </w:t>
      </w:r>
    </w:p>
    <w:p w14:paraId="1A80353C">
      <w:pPr>
        <w:pStyle w:val="558"/>
        <w:spacing w:before="0" w:line="360" w:lineRule="auto"/>
        <w:ind w:left="0"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046D6566">
      <w:pPr>
        <w:pStyle w:val="558"/>
        <w:spacing w:before="0" w:line="360" w:lineRule="auto"/>
        <w:ind w:left="0" w:firstLine="240"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77E222E1">
      <w:pPr>
        <w:pStyle w:val="558"/>
        <w:spacing w:before="0" w:line="360" w:lineRule="auto"/>
        <w:ind w:left="0" w:firstLine="240" w:firstLineChars="100"/>
        <w:contextualSpacing/>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18.3</w:t>
      </w:r>
      <w:r>
        <w:rPr>
          <w:rFonts w:hint="eastAsia" w:ascii="宋体" w:hAnsi="宋体" w:eastAsia="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1B55D3A8">
      <w:pPr>
        <w:pStyle w:val="558"/>
        <w:spacing w:before="0" w:line="360" w:lineRule="auto"/>
        <w:ind w:left="0" w:firstLine="241" w:firstLineChars="100"/>
        <w:contextualSpacing/>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19.资格审查</w:t>
      </w:r>
    </w:p>
    <w:p w14:paraId="6B806F29">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19.1</w:t>
      </w:r>
      <w:r>
        <w:rPr>
          <w:rFonts w:hint="eastAsia" w:ascii="宋体" w:hAnsi="宋体" w:eastAsia="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6F47F48A">
      <w:pPr>
        <w:pStyle w:val="133"/>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eastAsia="宋体" w:cs="宋体"/>
          <w:color w:val="000000" w:themeColor="text1"/>
          <w:highlight w:val="none"/>
          <w14:textFill>
            <w14:solidFill>
              <w14:schemeClr w14:val="tx1"/>
            </w14:solidFill>
          </w14:textFill>
        </w:rPr>
        <w:t>资格条件相应的</w:t>
      </w:r>
      <w:r>
        <w:rPr>
          <w:rFonts w:hint="eastAsia" w:ascii="宋体" w:hAnsi="宋体" w:eastAsia="宋体" w:cs="宋体"/>
          <w:color w:val="000000" w:themeColor="text1"/>
          <w:kern w:val="0"/>
          <w:szCs w:val="24"/>
          <w:highlight w:val="none"/>
          <w14:textFill>
            <w14:solidFill>
              <w14:schemeClr w14:val="tx1"/>
            </w14:solidFill>
          </w14:textFill>
        </w:rPr>
        <w:t>有效资格证明材料的，视为</w:t>
      </w:r>
      <w:r>
        <w:rPr>
          <w:rFonts w:hint="eastAsia" w:ascii="宋体" w:hAnsi="宋体" w:eastAsia="宋体" w:cs="宋体"/>
          <w:color w:val="000000" w:themeColor="text1"/>
          <w:highlight w:val="none"/>
          <w14:textFill>
            <w14:solidFill>
              <w14:schemeClr w14:val="tx1"/>
            </w14:solidFill>
          </w14:textFill>
        </w:rPr>
        <w:t>投标人不具备招标文件中规定的资格要求，其投标无效。</w:t>
      </w:r>
    </w:p>
    <w:p w14:paraId="5CEEEB96">
      <w:pPr>
        <w:pStyle w:val="133"/>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3对未通过资格审查的投标人，采购人或采购代理机构告知其未通过的原因。</w:t>
      </w:r>
    </w:p>
    <w:p w14:paraId="11BF9636">
      <w:pPr>
        <w:pStyle w:val="133"/>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4合格投标人不足3家的，不再评标。</w:t>
      </w:r>
    </w:p>
    <w:p w14:paraId="6BA68B59">
      <w:pPr>
        <w:pStyle w:val="133"/>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20.信用信息查询</w:t>
      </w:r>
    </w:p>
    <w:p w14:paraId="1DDAA59B">
      <w:pPr>
        <w:pStyle w:val="133"/>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20.1信用信息查询渠道及截止时间：采购代理机构将在资格审查时通过“信用中国”网站（www.creditchina.gov.cn）、中国政府采购网（www.ccgp.gov.cn）渠道查询投标人接受资格时的信用记录。</w:t>
      </w:r>
    </w:p>
    <w:p w14:paraId="588ECB4F">
      <w:pPr>
        <w:pStyle w:val="133"/>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069629F8">
      <w:pPr>
        <w:pStyle w:val="133"/>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20.3信用信息的使用规则：经查询列入失信被执行人名单、重大税收违法失信主体、政府采购严重违法失信行为记录名单的投标人将被拒绝参与政府采购活动。</w:t>
      </w:r>
    </w:p>
    <w:p w14:paraId="2C41C69C">
      <w:pPr>
        <w:pStyle w:val="133"/>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themeColor="text1"/>
          <w:highlight w:val="none"/>
          <w14:textFill>
            <w14:solidFill>
              <w14:schemeClr w14:val="tx1"/>
            </w14:solidFill>
          </w14:textFill>
        </w:rPr>
        <w:t>。</w:t>
      </w:r>
    </w:p>
    <w:p w14:paraId="32CE8937">
      <w:pPr>
        <w:pStyle w:val="133"/>
        <w:spacing w:before="0"/>
        <w:ind w:firstLine="0" w:firstLineChars="0"/>
        <w:rPr>
          <w:rFonts w:hint="eastAsia" w:ascii="宋体" w:hAnsi="宋体" w:eastAsia="宋体" w:cs="宋体"/>
          <w:color w:val="000000" w:themeColor="text1"/>
          <w:kern w:val="0"/>
          <w:szCs w:val="24"/>
          <w:highlight w:val="none"/>
          <w14:textFill>
            <w14:solidFill>
              <w14:schemeClr w14:val="tx1"/>
            </w14:solidFill>
          </w14:textFill>
        </w:rPr>
      </w:pPr>
    </w:p>
    <w:p w14:paraId="4AEFF25C">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五、评标</w:t>
      </w:r>
    </w:p>
    <w:p w14:paraId="32A5F89F">
      <w:p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3" w:name="_Toc91899903"/>
      <w:r>
        <w:rPr>
          <w:rFonts w:hint="eastAsia" w:ascii="宋体" w:hAnsi="宋体" w:eastAsia="宋体" w:cs="宋体"/>
          <w:b/>
          <w:color w:val="000000" w:themeColor="text1"/>
          <w:sz w:val="24"/>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themeColor="text1"/>
          <w:sz w:val="24"/>
          <w:highlight w:val="none"/>
          <w14:textFill>
            <w14:solidFill>
              <w14:schemeClr w14:val="tx1"/>
            </w14:solidFill>
          </w14:textFill>
        </w:rPr>
        <w:t>详见招标文件第四部分评标办法。</w:t>
      </w:r>
    </w:p>
    <w:p w14:paraId="5F8065CC">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FF7AFAD">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六、定 标</w:t>
      </w:r>
    </w:p>
    <w:p w14:paraId="6F980250">
      <w:pPr>
        <w:pStyle w:val="7"/>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22. 确定中标供应商</w:t>
      </w:r>
    </w:p>
    <w:p w14:paraId="066953A8">
      <w:pPr>
        <w:pStyle w:val="133"/>
        <w:snapToGrid w:val="0"/>
        <w:spacing w:before="0"/>
        <w:ind w:firstLine="4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0F8C686">
      <w:pPr>
        <w:pStyle w:val="133"/>
        <w:snapToGrid w:val="0"/>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23. 中标通知与中标结果公告</w:t>
      </w:r>
    </w:p>
    <w:p w14:paraId="52BD94F8">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11906347">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eastAsia="宋体" w:cs="宋体"/>
          <w:color w:val="000000" w:themeColor="text1"/>
          <w:sz w:val="24"/>
          <w:highlight w:val="none"/>
          <w14:textFill>
            <w14:solidFill>
              <w14:schemeClr w14:val="tx1"/>
            </w14:solidFill>
          </w14:textFill>
        </w:rPr>
        <w:t>未中标情况说明、中标公告期限以及评审专家名单、评分汇总及明细。</w:t>
      </w:r>
    </w:p>
    <w:p w14:paraId="24F52F1C">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23.3公告期限为1个工作日。</w:t>
      </w:r>
    </w:p>
    <w:p w14:paraId="29F33DF7">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p>
    <w:p w14:paraId="50EF797A">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七、合同授予</w:t>
      </w:r>
    </w:p>
    <w:p w14:paraId="16078917">
      <w:pPr>
        <w:pStyle w:val="7"/>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24. </w:t>
      </w:r>
      <w:r>
        <w:rPr>
          <w:rFonts w:hint="eastAsia" w:ascii="宋体" w:hAnsi="宋体" w:eastAsia="宋体" w:cs="宋体"/>
          <w:color w:val="000000" w:themeColor="text1"/>
          <w:highlight w:val="none"/>
          <w14:textFill>
            <w14:solidFill>
              <w14:schemeClr w14:val="tx1"/>
            </w14:solidFill>
          </w14:textFill>
        </w:rPr>
        <w:t>合同主要条款详见第五部分拟签订的合同文本。</w:t>
      </w:r>
    </w:p>
    <w:p w14:paraId="6CBE9905">
      <w:pPr>
        <w:pStyle w:val="7"/>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25. 合同的签订</w:t>
      </w:r>
    </w:p>
    <w:p w14:paraId="2803C179">
      <w:pPr>
        <w:widowControl/>
        <w:shd w:val="clear" w:color="auto" w:fill="FFFFFF"/>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25.1</w:t>
      </w:r>
      <w:r>
        <w:rPr>
          <w:rFonts w:hint="eastAsia" w:ascii="宋体" w:hAnsi="宋体" w:eastAsia="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9EEDB5F">
      <w:pPr>
        <w:pStyle w:val="133"/>
        <w:snapToGrid w:val="0"/>
        <w:spacing w:before="0"/>
        <w:ind w:firstLine="48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0063C6B">
      <w:pPr>
        <w:pStyle w:val="133"/>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28BA582B">
      <w:pPr>
        <w:pStyle w:val="133"/>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0FD3ECDB">
      <w:pPr>
        <w:pStyle w:val="133"/>
        <w:snapToGrid w:val="0"/>
        <w:spacing w:before="0" w:after="12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130057A7">
      <w:pPr>
        <w:pStyle w:val="7"/>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26. 履约保证金</w:t>
      </w:r>
    </w:p>
    <w:p w14:paraId="7DA080FE">
      <w:pPr>
        <w:tabs>
          <w:tab w:val="left" w:pos="0"/>
        </w:tabs>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960269D">
      <w:pPr>
        <w:pStyle w:val="4"/>
        <w:ind w:left="0" w:firstLine="480" w:firstLineChars="200"/>
        <w:rPr>
          <w:rFonts w:hint="eastAsia"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EE59464">
      <w:pPr>
        <w:pStyle w:val="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en-US"/>
          <w14:textFill>
            <w14:solidFill>
              <w14:schemeClr w14:val="tx1"/>
            </w14:solidFill>
          </w14:textFill>
        </w:rPr>
        <w:t>27.预付款</w:t>
      </w:r>
    </w:p>
    <w:p w14:paraId="29A53A9B">
      <w:pPr>
        <w:adjustRightInd/>
        <w:spacing w:line="360" w:lineRule="auto"/>
        <w:ind w:firstLine="480" w:firstLineChars="2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BBA54B4">
      <w:pPr>
        <w:snapToGrid w:val="0"/>
        <w:spacing w:line="360" w:lineRule="auto"/>
        <w:ind w:firstLine="3357" w:firstLineChars="104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八、电子交易活动的中止</w:t>
      </w:r>
    </w:p>
    <w:p w14:paraId="546452A6">
      <w:pPr>
        <w:pStyle w:val="133"/>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w:t>
      </w:r>
      <w:r>
        <w:rPr>
          <w:rFonts w:hint="eastAsia" w:ascii="宋体" w:hAnsi="宋体" w:eastAsia="宋体" w:cs="宋体"/>
          <w:b/>
          <w:bCs/>
          <w:color w:val="000000" w:themeColor="text1"/>
          <w:szCs w:val="24"/>
          <w:highlight w:val="none"/>
          <w14:textFill>
            <w14:solidFill>
              <w14:schemeClr w14:val="tx1"/>
            </w14:solidFill>
          </w14:textFill>
        </w:rPr>
        <w:t>8</w:t>
      </w:r>
      <w:r>
        <w:rPr>
          <w:rFonts w:hint="eastAsia" w:ascii="宋体" w:hAnsi="宋体" w:eastAsia="宋体" w:cs="宋体"/>
          <w:b/>
          <w:color w:val="000000" w:themeColor="text1"/>
          <w:szCs w:val="24"/>
          <w:highlight w:val="none"/>
          <w14:textFill>
            <w14:solidFill>
              <w14:schemeClr w14:val="tx1"/>
            </w14:solidFill>
          </w14:textFill>
        </w:rPr>
        <w:t>. 电子交易活动的中止。</w:t>
      </w:r>
      <w:r>
        <w:rPr>
          <w:rFonts w:hint="eastAsia" w:ascii="宋体" w:hAnsi="宋体" w:eastAsia="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53F10F3D">
      <w:pPr>
        <w:pStyle w:val="133"/>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28.1电子交易平台发生故障而无法登录访问的； </w:t>
      </w:r>
    </w:p>
    <w:p w14:paraId="04826721">
      <w:pPr>
        <w:pStyle w:val="133"/>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28.2电子交易平台应用或数据库出现错误，不能进行正常操作的；</w:t>
      </w:r>
    </w:p>
    <w:p w14:paraId="484E33D9">
      <w:pPr>
        <w:pStyle w:val="133"/>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28.3电子交易平台发现严重安全漏洞，有潜在泄密危险的；</w:t>
      </w:r>
    </w:p>
    <w:p w14:paraId="08951225">
      <w:pPr>
        <w:pStyle w:val="133"/>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28.4病毒发作导致不能进行正常操作的； </w:t>
      </w:r>
    </w:p>
    <w:p w14:paraId="4B971108">
      <w:pPr>
        <w:pStyle w:val="133"/>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28.5其他无法保证电子交易的公平、公正和安全的情况。</w:t>
      </w:r>
    </w:p>
    <w:p w14:paraId="78806DCF">
      <w:pPr>
        <w:pStyle w:val="133"/>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D024369">
      <w:pPr>
        <w:tabs>
          <w:tab w:val="left" w:pos="0"/>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14:paraId="6B084AA4">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九、验收</w:t>
      </w:r>
    </w:p>
    <w:p w14:paraId="65889606">
      <w:pPr>
        <w:pStyle w:val="7"/>
        <w:spacing w:line="360" w:lineRule="auto"/>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30.验收</w:t>
      </w:r>
    </w:p>
    <w:p w14:paraId="4FB81455">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0D3042">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52922504">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AACEE2">
      <w:pPr>
        <w:tabs>
          <w:tab w:val="left" w:pos="0"/>
        </w:tabs>
        <w:spacing w:line="360" w:lineRule="auto"/>
        <w:ind w:firstLine="48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E663469">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72998"/>
      <w:bookmarkEnd w:id="16"/>
      <w:bookmarkStart w:id="17" w:name="_Hlt68057669"/>
      <w:bookmarkEnd w:id="17"/>
      <w:bookmarkStart w:id="18" w:name="_Hlt74730295"/>
      <w:bookmarkEnd w:id="18"/>
      <w:bookmarkStart w:id="19" w:name="_Hlt74707468"/>
      <w:bookmarkEnd w:id="19"/>
      <w:bookmarkStart w:id="20" w:name="_Hlt68072990"/>
      <w:bookmarkEnd w:id="20"/>
      <w:bookmarkStart w:id="21" w:name="_Hlt75236011"/>
      <w:bookmarkEnd w:id="21"/>
      <w:bookmarkStart w:id="22" w:name="_Hlt68073093"/>
      <w:bookmarkEnd w:id="22"/>
      <w:bookmarkStart w:id="23" w:name="_Hlt68403820"/>
      <w:bookmarkEnd w:id="23"/>
      <w:bookmarkStart w:id="24" w:name="_Hlt74714665"/>
      <w:bookmarkEnd w:id="24"/>
      <w:bookmarkStart w:id="25" w:name="_Hlt74729768"/>
      <w:bookmarkEnd w:id="25"/>
      <w:bookmarkStart w:id="26" w:name="_Hlt75236290"/>
      <w:bookmarkEnd w:id="26"/>
    </w:p>
    <w:bookmarkEnd w:id="11"/>
    <w:bookmarkEnd w:id="12"/>
    <w:p w14:paraId="48CADAB5">
      <w:pPr>
        <w:numPr>
          <w:ilvl w:val="0"/>
          <w:numId w:val="1"/>
        </w:numPr>
        <w:spacing w:line="360" w:lineRule="auto"/>
        <w:jc w:val="center"/>
        <w:outlineLvl w:val="0"/>
        <w:rPr>
          <w:rFonts w:hint="eastAsia" w:ascii="宋体" w:hAnsi="宋体" w:eastAsia="宋体" w:cs="宋体"/>
          <w:b/>
          <w:color w:val="FF0000"/>
          <w:sz w:val="36"/>
          <w:szCs w:val="36"/>
          <w:highlight w:val="none"/>
        </w:rPr>
      </w:pPr>
      <w:bookmarkStart w:id="27" w:name="第四部分"/>
      <w:r>
        <w:rPr>
          <w:rFonts w:hint="eastAsia" w:ascii="宋体" w:hAnsi="宋体" w:eastAsia="宋体" w:cs="宋体"/>
          <w:b/>
          <w:color w:val="auto"/>
          <w:sz w:val="36"/>
          <w:szCs w:val="36"/>
          <w:highlight w:val="none"/>
        </w:rPr>
        <w:t xml:space="preserve">  采购需求</w:t>
      </w:r>
    </w:p>
    <w:p w14:paraId="0FBF7A90">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kern w:val="0"/>
          <w:sz w:val="28"/>
          <w:szCs w:val="28"/>
          <w:highlight w:val="none"/>
        </w:rPr>
        <w:t>一、采购预算</w:t>
      </w:r>
    </w:p>
    <w:tbl>
      <w:tblPr>
        <w:tblStyle w:val="62"/>
        <w:tblW w:w="9747" w:type="dxa"/>
        <w:tblInd w:w="0" w:type="dxa"/>
        <w:tblLayout w:type="fixed"/>
        <w:tblCellMar>
          <w:top w:w="0" w:type="dxa"/>
          <w:left w:w="108" w:type="dxa"/>
          <w:bottom w:w="0" w:type="dxa"/>
          <w:right w:w="108" w:type="dxa"/>
        </w:tblCellMar>
      </w:tblPr>
      <w:tblGrid>
        <w:gridCol w:w="534"/>
        <w:gridCol w:w="2461"/>
        <w:gridCol w:w="2216"/>
        <w:gridCol w:w="674"/>
        <w:gridCol w:w="460"/>
        <w:gridCol w:w="1560"/>
        <w:gridCol w:w="1275"/>
        <w:gridCol w:w="567"/>
      </w:tblGrid>
      <w:tr w14:paraId="160A5306">
        <w:tblPrEx>
          <w:tblCellMar>
            <w:top w:w="0" w:type="dxa"/>
            <w:left w:w="108" w:type="dxa"/>
            <w:bottom w:w="0" w:type="dxa"/>
            <w:right w:w="108" w:type="dxa"/>
          </w:tblCellMar>
        </w:tblPrEx>
        <w:trPr>
          <w:trHeight w:val="983" w:hRule="atLeast"/>
        </w:trPr>
        <w:tc>
          <w:tcPr>
            <w:tcW w:w="5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411941">
            <w:pPr>
              <w:widowControl/>
              <w:jc w:val="center"/>
              <w:rPr>
                <w:rFonts w:ascii="宋体" w:hAnsi="宋体" w:cs="宋体"/>
                <w:b/>
                <w:bCs/>
                <w:kern w:val="0"/>
                <w:sz w:val="24"/>
              </w:rPr>
            </w:pPr>
            <w:r>
              <w:rPr>
                <w:rFonts w:hint="eastAsia" w:ascii="宋体" w:hAnsi="宋体" w:cs="宋体"/>
                <w:b/>
                <w:bCs/>
                <w:kern w:val="0"/>
                <w:sz w:val="24"/>
              </w:rPr>
              <w:t>序号</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340896">
            <w:pPr>
              <w:widowControl/>
              <w:jc w:val="center"/>
              <w:rPr>
                <w:rFonts w:ascii="宋体" w:hAnsi="宋体" w:cs="宋体"/>
                <w:b/>
                <w:bCs/>
                <w:kern w:val="0"/>
                <w:sz w:val="24"/>
              </w:rPr>
            </w:pPr>
            <w:r>
              <w:rPr>
                <w:rFonts w:hint="eastAsia" w:ascii="宋体" w:hAnsi="宋体" w:cs="宋体"/>
                <w:b/>
                <w:bCs/>
                <w:kern w:val="0"/>
                <w:sz w:val="24"/>
              </w:rPr>
              <w:t>项目名称</w:t>
            </w:r>
          </w:p>
        </w:tc>
        <w:tc>
          <w:tcPr>
            <w:tcW w:w="2216" w:type="dxa"/>
            <w:tcBorders>
              <w:top w:val="single" w:color="auto" w:sz="4" w:space="0"/>
              <w:left w:val="nil"/>
              <w:bottom w:val="single" w:color="auto" w:sz="4" w:space="0"/>
              <w:right w:val="single" w:color="auto" w:sz="4" w:space="0"/>
            </w:tcBorders>
            <w:shd w:val="clear" w:color="000000" w:fill="FFFFFF"/>
            <w:noWrap w:val="0"/>
            <w:vAlign w:val="center"/>
          </w:tcPr>
          <w:p w14:paraId="5635E6F9">
            <w:pPr>
              <w:widowControl/>
              <w:jc w:val="center"/>
              <w:rPr>
                <w:rFonts w:ascii="宋体" w:hAnsi="宋体" w:cs="宋体"/>
                <w:b/>
                <w:bCs/>
                <w:kern w:val="0"/>
                <w:sz w:val="24"/>
              </w:rPr>
            </w:pPr>
            <w:r>
              <w:rPr>
                <w:rFonts w:hint="eastAsia" w:ascii="宋体" w:hAnsi="宋体" w:cs="宋体"/>
                <w:b/>
                <w:bCs/>
                <w:kern w:val="0"/>
                <w:sz w:val="24"/>
              </w:rPr>
              <w:t>主要服务技术要求</w:t>
            </w:r>
          </w:p>
        </w:tc>
        <w:tc>
          <w:tcPr>
            <w:tcW w:w="6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C5DBC4">
            <w:pPr>
              <w:widowControl/>
              <w:jc w:val="center"/>
              <w:rPr>
                <w:rFonts w:ascii="宋体" w:hAnsi="宋体" w:cs="宋体"/>
                <w:b/>
                <w:bCs/>
                <w:kern w:val="0"/>
                <w:sz w:val="24"/>
              </w:rPr>
            </w:pPr>
            <w:r>
              <w:rPr>
                <w:rFonts w:hint="eastAsia" w:ascii="宋体" w:hAnsi="宋体" w:cs="宋体"/>
                <w:b/>
                <w:bCs/>
                <w:kern w:val="0"/>
                <w:sz w:val="24"/>
              </w:rPr>
              <w:t>单位</w:t>
            </w:r>
          </w:p>
        </w:tc>
        <w:tc>
          <w:tcPr>
            <w:tcW w:w="460" w:type="dxa"/>
            <w:tcBorders>
              <w:top w:val="single" w:color="auto" w:sz="4" w:space="0"/>
              <w:left w:val="nil"/>
              <w:bottom w:val="single" w:color="auto" w:sz="4" w:space="0"/>
              <w:right w:val="single" w:color="auto" w:sz="4" w:space="0"/>
            </w:tcBorders>
            <w:shd w:val="clear" w:color="000000" w:fill="FFFFFF"/>
            <w:noWrap w:val="0"/>
            <w:vAlign w:val="center"/>
          </w:tcPr>
          <w:p w14:paraId="6A527B7C">
            <w:pPr>
              <w:widowControl/>
              <w:jc w:val="center"/>
              <w:rPr>
                <w:rFonts w:ascii="宋体" w:hAnsi="宋体" w:cs="宋体"/>
                <w:b/>
                <w:bCs/>
                <w:kern w:val="0"/>
                <w:sz w:val="24"/>
              </w:rPr>
            </w:pPr>
            <w:r>
              <w:rPr>
                <w:rFonts w:hint="eastAsia" w:ascii="宋体" w:hAnsi="宋体" w:cs="宋体"/>
                <w:b/>
                <w:bCs/>
                <w:kern w:val="0"/>
                <w:sz w:val="24"/>
              </w:rPr>
              <w:t>数量</w:t>
            </w:r>
          </w:p>
        </w:tc>
        <w:tc>
          <w:tcPr>
            <w:tcW w:w="1560" w:type="dxa"/>
            <w:tcBorders>
              <w:top w:val="single" w:color="auto" w:sz="4" w:space="0"/>
              <w:left w:val="nil"/>
              <w:bottom w:val="single" w:color="auto" w:sz="4" w:space="0"/>
              <w:right w:val="single" w:color="auto" w:sz="4" w:space="0"/>
            </w:tcBorders>
            <w:shd w:val="clear" w:color="000000" w:fill="FFFFFF"/>
            <w:noWrap w:val="0"/>
            <w:vAlign w:val="center"/>
          </w:tcPr>
          <w:p w14:paraId="1305651E">
            <w:pPr>
              <w:widowControl/>
              <w:jc w:val="center"/>
              <w:rPr>
                <w:rFonts w:ascii="宋体" w:hAnsi="宋体"/>
                <w:b/>
                <w:kern w:val="0"/>
                <w:sz w:val="24"/>
              </w:rPr>
            </w:pPr>
            <w:r>
              <w:rPr>
                <w:rFonts w:hint="eastAsia" w:ascii="宋体" w:hAnsi="宋体"/>
                <w:b/>
                <w:kern w:val="0"/>
                <w:sz w:val="24"/>
              </w:rPr>
              <w:t>预算单价</w:t>
            </w:r>
          </w:p>
          <w:p w14:paraId="5662A41D">
            <w:pPr>
              <w:widowControl/>
              <w:jc w:val="center"/>
              <w:rPr>
                <w:rFonts w:ascii="宋体" w:hAnsi="宋体"/>
                <w:b/>
                <w:kern w:val="0"/>
                <w:sz w:val="24"/>
              </w:rPr>
            </w:pPr>
            <w:r>
              <w:rPr>
                <w:rFonts w:hint="eastAsia" w:ascii="宋体" w:hAnsi="宋体"/>
                <w:b/>
                <w:kern w:val="0"/>
                <w:sz w:val="24"/>
              </w:rPr>
              <w:t>（万元/年）</w:t>
            </w:r>
          </w:p>
        </w:tc>
        <w:tc>
          <w:tcPr>
            <w:tcW w:w="12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C2065C">
            <w:pPr>
              <w:widowControl/>
              <w:jc w:val="center"/>
              <w:rPr>
                <w:rFonts w:hint="eastAsia" w:ascii="宋体" w:hAnsi="宋体"/>
                <w:b/>
                <w:kern w:val="0"/>
                <w:sz w:val="24"/>
              </w:rPr>
            </w:pPr>
            <w:r>
              <w:rPr>
                <w:rFonts w:hint="eastAsia" w:ascii="宋体" w:hAnsi="宋体"/>
                <w:b/>
                <w:kern w:val="0"/>
                <w:sz w:val="24"/>
              </w:rPr>
              <w:t>预算总价</w:t>
            </w:r>
          </w:p>
          <w:p w14:paraId="48593725">
            <w:pPr>
              <w:widowControl/>
              <w:jc w:val="center"/>
              <w:rPr>
                <w:rFonts w:ascii="宋体" w:hAnsi="宋体"/>
                <w:b/>
                <w:kern w:val="0"/>
                <w:sz w:val="24"/>
              </w:rPr>
            </w:pPr>
            <w:r>
              <w:rPr>
                <w:rFonts w:hint="eastAsia" w:ascii="宋体" w:hAnsi="宋体"/>
                <w:b/>
                <w:kern w:val="0"/>
                <w:sz w:val="24"/>
              </w:rPr>
              <w:t>（万元）</w:t>
            </w:r>
          </w:p>
        </w:tc>
        <w:tc>
          <w:tcPr>
            <w:tcW w:w="56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9DD77C">
            <w:pPr>
              <w:widowControl/>
              <w:jc w:val="center"/>
              <w:rPr>
                <w:rFonts w:ascii="宋体" w:hAnsi="宋体" w:cs="宋体"/>
                <w:b/>
                <w:bCs/>
                <w:kern w:val="0"/>
                <w:sz w:val="24"/>
              </w:rPr>
            </w:pPr>
            <w:r>
              <w:rPr>
                <w:rFonts w:hint="eastAsia" w:ascii="宋体" w:hAnsi="宋体" w:cs="宋体"/>
                <w:b/>
                <w:bCs/>
                <w:kern w:val="0"/>
                <w:sz w:val="24"/>
              </w:rPr>
              <w:t>备注</w:t>
            </w:r>
          </w:p>
        </w:tc>
      </w:tr>
      <w:tr w14:paraId="78089C69">
        <w:trPr>
          <w:trHeight w:val="420" w:hRule="atLeast"/>
        </w:trPr>
        <w:tc>
          <w:tcPr>
            <w:tcW w:w="534" w:type="dxa"/>
            <w:tcBorders>
              <w:top w:val="nil"/>
              <w:left w:val="single" w:color="auto" w:sz="4" w:space="0"/>
              <w:bottom w:val="single" w:color="auto" w:sz="4" w:space="0"/>
              <w:right w:val="single" w:color="auto" w:sz="4" w:space="0"/>
            </w:tcBorders>
            <w:noWrap w:val="0"/>
            <w:vAlign w:val="center"/>
          </w:tcPr>
          <w:p w14:paraId="41E63DFE">
            <w:pPr>
              <w:widowControl/>
              <w:jc w:val="center"/>
              <w:rPr>
                <w:rFonts w:ascii="宋体" w:hAnsi="宋体" w:cs="宋体"/>
                <w:bCs/>
                <w:kern w:val="0"/>
                <w:sz w:val="24"/>
              </w:rPr>
            </w:pPr>
            <w:r>
              <w:rPr>
                <w:rFonts w:hint="eastAsia" w:ascii="宋体" w:hAnsi="宋体" w:cs="宋体"/>
                <w:bCs/>
                <w:kern w:val="0"/>
                <w:sz w:val="24"/>
              </w:rPr>
              <w:t>1</w:t>
            </w:r>
          </w:p>
        </w:tc>
        <w:tc>
          <w:tcPr>
            <w:tcW w:w="2461" w:type="dxa"/>
            <w:tcBorders>
              <w:top w:val="nil"/>
              <w:left w:val="single" w:color="auto" w:sz="4" w:space="0"/>
              <w:bottom w:val="single" w:color="auto" w:sz="4" w:space="0"/>
              <w:right w:val="single" w:color="auto" w:sz="4" w:space="0"/>
            </w:tcBorders>
            <w:noWrap w:val="0"/>
            <w:vAlign w:val="center"/>
          </w:tcPr>
          <w:p w14:paraId="647B2D01">
            <w:pPr>
              <w:widowControl/>
              <w:jc w:val="center"/>
              <w:rPr>
                <w:rFonts w:ascii="宋体" w:hAnsi="宋体" w:cs="宋体"/>
                <w:bCs/>
                <w:kern w:val="0"/>
                <w:sz w:val="24"/>
              </w:rPr>
            </w:pPr>
            <w:r>
              <w:rPr>
                <w:rFonts w:hint="eastAsia" w:ascii="宋体" w:hAnsi="宋体" w:cs="宋体"/>
                <w:bCs/>
                <w:kern w:val="0"/>
                <w:sz w:val="24"/>
                <w:lang w:eastAsia="zh-CN"/>
              </w:rPr>
              <w:t>杭州市生态环境局建德分局2024-2026年建德市高空瞭望监控建设、服务租赁项目</w:t>
            </w:r>
          </w:p>
        </w:tc>
        <w:tc>
          <w:tcPr>
            <w:tcW w:w="2216" w:type="dxa"/>
            <w:tcBorders>
              <w:top w:val="single" w:color="auto" w:sz="4" w:space="0"/>
              <w:left w:val="single" w:color="auto" w:sz="4" w:space="0"/>
              <w:bottom w:val="single" w:color="auto" w:sz="4" w:space="0"/>
              <w:right w:val="single" w:color="auto" w:sz="4" w:space="0"/>
            </w:tcBorders>
            <w:noWrap w:val="0"/>
            <w:vAlign w:val="center"/>
          </w:tcPr>
          <w:p w14:paraId="1F2CC8EB">
            <w:pPr>
              <w:widowControl/>
              <w:jc w:val="center"/>
              <w:rPr>
                <w:rFonts w:hint="eastAsia" w:ascii="宋体" w:hAnsi="宋体"/>
                <w:b/>
                <w:kern w:val="0"/>
                <w:sz w:val="24"/>
              </w:rPr>
            </w:pPr>
            <w:r>
              <w:rPr>
                <w:rFonts w:hint="eastAsia" w:ascii="宋体" w:hAnsi="宋体" w:cs="宋体"/>
                <w:bCs/>
                <w:kern w:val="0"/>
                <w:sz w:val="24"/>
              </w:rPr>
              <w:t>详见</w:t>
            </w:r>
          </w:p>
          <w:p w14:paraId="2D40F3DD">
            <w:pPr>
              <w:widowControl/>
              <w:jc w:val="center"/>
              <w:rPr>
                <w:rFonts w:ascii="宋体" w:hAnsi="宋体" w:cs="宋体"/>
                <w:bCs/>
                <w:kern w:val="0"/>
                <w:sz w:val="24"/>
              </w:rPr>
            </w:pPr>
            <w:r>
              <w:rPr>
                <w:rFonts w:hint="eastAsia" w:ascii="宋体" w:hAnsi="宋体" w:cs="宋体"/>
                <w:bCs/>
                <w:kern w:val="0"/>
                <w:sz w:val="24"/>
              </w:rPr>
              <w:t>“二、采购需求”</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0A9B8041">
            <w:pPr>
              <w:widowControl/>
              <w:jc w:val="center"/>
              <w:rPr>
                <w:rFonts w:ascii="宋体" w:hAnsi="宋体" w:cs="宋体"/>
                <w:bCs/>
                <w:kern w:val="0"/>
                <w:sz w:val="24"/>
              </w:rPr>
            </w:pPr>
            <w:r>
              <w:rPr>
                <w:rFonts w:hint="eastAsia" w:ascii="宋体" w:hAnsi="宋体" w:cs="宋体"/>
                <w:bCs/>
                <w:kern w:val="0"/>
                <w:sz w:val="24"/>
              </w:rPr>
              <w:t>年</w:t>
            </w:r>
          </w:p>
        </w:tc>
        <w:tc>
          <w:tcPr>
            <w:tcW w:w="460" w:type="dxa"/>
            <w:tcBorders>
              <w:top w:val="single" w:color="auto" w:sz="4" w:space="0"/>
              <w:left w:val="single" w:color="auto" w:sz="4" w:space="0"/>
              <w:bottom w:val="single" w:color="auto" w:sz="4" w:space="0"/>
              <w:right w:val="single" w:color="auto" w:sz="4" w:space="0"/>
            </w:tcBorders>
            <w:noWrap w:val="0"/>
            <w:vAlign w:val="center"/>
          </w:tcPr>
          <w:p w14:paraId="1748F385">
            <w:pPr>
              <w:widowControl/>
              <w:jc w:val="center"/>
              <w:rPr>
                <w:rFonts w:ascii="宋体" w:hAnsi="宋体" w:cs="宋体"/>
                <w:bCs/>
                <w:kern w:val="0"/>
                <w:sz w:val="24"/>
              </w:rPr>
            </w:pPr>
            <w:r>
              <w:rPr>
                <w:rFonts w:ascii="宋体" w:hAnsi="宋体" w:cs="宋体"/>
                <w:bCs/>
                <w:kern w:val="0"/>
                <w:sz w:val="24"/>
              </w:rPr>
              <w:t>3</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D30EB18">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146</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4234DBC">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438</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21121837">
            <w:pPr>
              <w:widowControl/>
              <w:jc w:val="center"/>
              <w:rPr>
                <w:rFonts w:ascii="宋体" w:hAnsi="宋体" w:cs="宋体"/>
                <w:bCs/>
                <w:kern w:val="0"/>
                <w:sz w:val="24"/>
              </w:rPr>
            </w:pPr>
          </w:p>
        </w:tc>
      </w:tr>
      <w:tr w14:paraId="558AD5E8">
        <w:tblPrEx>
          <w:tblCellMar>
            <w:top w:w="0" w:type="dxa"/>
            <w:left w:w="108" w:type="dxa"/>
            <w:bottom w:w="0" w:type="dxa"/>
            <w:right w:w="108" w:type="dxa"/>
          </w:tblCellMar>
        </w:tblPrEx>
        <w:trPr>
          <w:trHeight w:val="502" w:hRule="atLeast"/>
        </w:trPr>
        <w:tc>
          <w:tcPr>
            <w:tcW w:w="9747" w:type="dxa"/>
            <w:gridSpan w:val="8"/>
            <w:tcBorders>
              <w:top w:val="single" w:color="auto" w:sz="4" w:space="0"/>
              <w:left w:val="single" w:color="auto" w:sz="4" w:space="0"/>
              <w:bottom w:val="single" w:color="auto" w:sz="4" w:space="0"/>
              <w:right w:val="single" w:color="auto" w:sz="4" w:space="0"/>
            </w:tcBorders>
            <w:noWrap w:val="0"/>
            <w:vAlign w:val="center"/>
          </w:tcPr>
          <w:p w14:paraId="6ACAE988">
            <w:pPr>
              <w:widowControl/>
              <w:jc w:val="center"/>
              <w:rPr>
                <w:rFonts w:hint="default" w:ascii="宋体" w:hAnsi="宋体" w:eastAsia="宋体"/>
                <w:kern w:val="0"/>
                <w:szCs w:val="21"/>
                <w:lang w:val="en-US" w:eastAsia="zh-CN"/>
              </w:rPr>
            </w:pPr>
            <w:r>
              <w:rPr>
                <w:rFonts w:hint="eastAsia" w:ascii="宋体" w:hAnsi="宋体"/>
                <w:b/>
                <w:kern w:val="0"/>
                <w:sz w:val="24"/>
              </w:rPr>
              <w:t>预算总价</w:t>
            </w:r>
            <w:r>
              <w:rPr>
                <w:rFonts w:hint="eastAsia" w:ascii="宋体" w:hAnsi="宋体" w:cs="宋体"/>
                <w:b/>
                <w:bCs/>
                <w:kern w:val="0"/>
                <w:sz w:val="24"/>
              </w:rPr>
              <w:t>（大写）：人民币</w:t>
            </w:r>
            <w:r>
              <w:rPr>
                <w:rFonts w:hint="eastAsia" w:ascii="宋体" w:hAnsi="宋体" w:cs="宋体"/>
                <w:b/>
                <w:bCs/>
                <w:kern w:val="0"/>
                <w:sz w:val="24"/>
                <w:lang w:val="en-US" w:eastAsia="zh-CN"/>
              </w:rPr>
              <w:t>肆佰叁拾捌万元整</w:t>
            </w:r>
          </w:p>
        </w:tc>
      </w:tr>
    </w:tbl>
    <w:p w14:paraId="1C658135">
      <w:pPr>
        <w:spacing w:line="360" w:lineRule="auto"/>
        <w:rPr>
          <w:rFonts w:hint="eastAsia" w:ascii="宋体" w:hAnsi="宋体" w:eastAsia="宋体" w:cs="宋体"/>
          <w:b/>
          <w:color w:val="auto"/>
          <w:sz w:val="21"/>
          <w:szCs w:val="21"/>
          <w:highlight w:val="none"/>
        </w:rPr>
      </w:pPr>
      <w:r>
        <w:rPr>
          <w:rFonts w:hint="eastAsia" w:ascii="宋体" w:hAnsi="宋体"/>
          <w:b/>
          <w:bCs w:val="0"/>
          <w:szCs w:val="21"/>
        </w:rPr>
        <w:t>备注：</w:t>
      </w:r>
      <w:r>
        <w:rPr>
          <w:rFonts w:hint="eastAsia" w:ascii="宋体" w:hAnsi="宋体"/>
          <w:b/>
          <w:bCs/>
          <w:sz w:val="20"/>
          <w:szCs w:val="18"/>
        </w:rPr>
        <w:t>本项目为交钥匙工程，以上总金额包括</w:t>
      </w:r>
      <w:r>
        <w:rPr>
          <w:rFonts w:hint="eastAsia" w:ascii="宋体" w:hAnsi="宋体"/>
          <w:b/>
          <w:bCs/>
          <w:sz w:val="20"/>
          <w:szCs w:val="18"/>
          <w:lang w:eastAsia="zh-CN"/>
        </w:rPr>
        <w:t>高空瞭望监控建设、服务租赁</w:t>
      </w:r>
      <w:r>
        <w:rPr>
          <w:rFonts w:hint="eastAsia" w:ascii="宋体" w:hAnsi="宋体"/>
          <w:b/>
          <w:bCs/>
          <w:sz w:val="20"/>
          <w:szCs w:val="18"/>
        </w:rPr>
        <w:t>、税金、保险、备品备件、配件、附件、培训、验收、辅助工作及售后服务等完成本项目的所有费用。</w:t>
      </w:r>
    </w:p>
    <w:p w14:paraId="2317D17D">
      <w:pPr>
        <w:widowControl/>
        <w:spacing w:line="400" w:lineRule="exact"/>
        <w:jc w:val="left"/>
        <w:rPr>
          <w:rFonts w:hint="eastAsia" w:ascii="宋体" w:hAnsi="宋体" w:eastAsia="宋体" w:cs="宋体"/>
          <w:b/>
          <w:bCs/>
          <w:color w:val="auto"/>
          <w:sz w:val="24"/>
          <w:highlight w:val="none"/>
        </w:rPr>
      </w:pPr>
      <w:r>
        <w:rPr>
          <w:rFonts w:hint="eastAsia" w:ascii="宋体" w:hAnsi="宋体" w:eastAsia="宋体" w:cs="宋体"/>
          <w:b/>
          <w:color w:val="auto"/>
          <w:sz w:val="28"/>
          <w:szCs w:val="28"/>
          <w:highlight w:val="none"/>
        </w:rPr>
        <w:t>二、采购需求</w:t>
      </w:r>
    </w:p>
    <w:p w14:paraId="764045E6">
      <w:pPr>
        <w:pStyle w:val="87"/>
        <w:spacing w:line="500" w:lineRule="exact"/>
        <w:outlineLvl w:val="1"/>
        <w:rPr>
          <w:rFonts w:hint="eastAsia" w:ascii="宋体" w:hAnsi="宋体" w:cs="宋体"/>
          <w:b w:val="0"/>
          <w:bCs w:val="0"/>
          <w:sz w:val="24"/>
          <w:u w:val="none"/>
          <w:lang w:val="en-US" w:eastAsia="zh-CN"/>
        </w:rPr>
      </w:pPr>
      <w:r>
        <w:rPr>
          <w:rFonts w:hint="eastAsia" w:ascii="宋体" w:hAnsi="宋体" w:cs="宋体"/>
          <w:b w:val="0"/>
          <w:bCs w:val="0"/>
          <w:sz w:val="24"/>
          <w:u w:val="none"/>
          <w:lang w:eastAsia="zh-CN"/>
        </w:rPr>
        <w:t>杭州市生态环境局建德分局2024-2026年建德市高空瞭望监控建设、服务租赁项目。</w:t>
      </w:r>
      <w:r>
        <w:rPr>
          <w:rFonts w:hint="eastAsia" w:ascii="宋体" w:hAnsi="宋体" w:cs="宋体"/>
          <w:b w:val="0"/>
          <w:bCs w:val="0"/>
          <w:sz w:val="24"/>
          <w:u w:val="none"/>
        </w:rPr>
        <w:t>本次区域高空视频监控系统服务内容包括</w:t>
      </w:r>
      <w:r>
        <w:rPr>
          <w:rFonts w:hint="eastAsia" w:ascii="宋体" w:hAnsi="宋体" w:cs="宋体"/>
          <w:b w:val="0"/>
          <w:bCs w:val="0"/>
          <w:sz w:val="24"/>
          <w:u w:val="none"/>
          <w:lang w:eastAsia="zh-CN"/>
        </w:rPr>
        <w:t>：</w:t>
      </w:r>
      <w:r>
        <w:rPr>
          <w:rFonts w:hint="eastAsia" w:ascii="宋体" w:hAnsi="宋体" w:cs="宋体"/>
          <w:b w:val="0"/>
          <w:bCs w:val="0"/>
          <w:sz w:val="24"/>
          <w:u w:val="none"/>
        </w:rPr>
        <w:t>建设41个点位的高空监控用于秸秆禁烧巡查，建设48个点位</w:t>
      </w:r>
      <w:r>
        <w:rPr>
          <w:rFonts w:hint="eastAsia" w:ascii="宋体" w:hAnsi="宋体" w:cs="宋体"/>
          <w:b w:val="0"/>
          <w:bCs w:val="0"/>
          <w:sz w:val="24"/>
          <w:u w:val="none"/>
          <w:lang w:eastAsia="zh-CN"/>
        </w:rPr>
        <w:t>的</w:t>
      </w:r>
      <w:r>
        <w:rPr>
          <w:rFonts w:hint="eastAsia" w:ascii="宋体" w:hAnsi="宋体" w:cs="宋体"/>
          <w:b w:val="0"/>
          <w:bCs w:val="0"/>
          <w:sz w:val="24"/>
          <w:u w:val="none"/>
        </w:rPr>
        <w:t>高空监控用于秸秆露天焚烧监测；建设9</w:t>
      </w:r>
      <w:r>
        <w:rPr>
          <w:rFonts w:hint="eastAsia" w:ascii="宋体" w:hAnsi="宋体" w:cs="宋体"/>
          <w:b w:val="0"/>
          <w:bCs w:val="0"/>
          <w:sz w:val="24"/>
          <w:u w:val="none"/>
          <w:lang w:eastAsia="zh-CN"/>
        </w:rPr>
        <w:t>个</w:t>
      </w:r>
      <w:r>
        <w:rPr>
          <w:rFonts w:hint="eastAsia" w:ascii="宋体" w:hAnsi="宋体" w:cs="宋体"/>
          <w:b w:val="0"/>
          <w:bCs w:val="0"/>
          <w:sz w:val="24"/>
          <w:u w:val="none"/>
          <w:lang w:val="en-US" w:eastAsia="zh-CN"/>
        </w:rPr>
        <w:t>点位的</w:t>
      </w:r>
      <w:r>
        <w:rPr>
          <w:rFonts w:hint="eastAsia" w:ascii="宋体" w:hAnsi="宋体" w:cs="宋体"/>
          <w:b w:val="0"/>
          <w:bCs w:val="0"/>
          <w:sz w:val="24"/>
          <w:u w:val="none"/>
        </w:rPr>
        <w:t>高空监控用于码头扬尘巡查</w:t>
      </w:r>
      <w:r>
        <w:rPr>
          <w:rFonts w:hint="eastAsia" w:ascii="宋体" w:hAnsi="宋体" w:cs="宋体"/>
          <w:b w:val="0"/>
          <w:bCs w:val="0"/>
          <w:sz w:val="24"/>
          <w:u w:val="none"/>
          <w:lang w:eastAsia="zh-CN"/>
        </w:rPr>
        <w:t>，</w:t>
      </w:r>
      <w:r>
        <w:rPr>
          <w:rFonts w:hint="eastAsia" w:ascii="宋体" w:hAnsi="宋体" w:cs="宋体"/>
          <w:b w:val="0"/>
          <w:bCs w:val="0"/>
          <w:sz w:val="24"/>
          <w:u w:val="none"/>
        </w:rPr>
        <w:t>并在高空监控上定制开发视频分析软件，及时、主动发现农田焚烧秸秆行为，实现对违法行为的自动报警</w:t>
      </w:r>
      <w:r>
        <w:rPr>
          <w:rFonts w:hint="eastAsia" w:ascii="宋体" w:hAnsi="宋体" w:cs="宋体"/>
          <w:b w:val="0"/>
          <w:bCs w:val="0"/>
          <w:sz w:val="24"/>
          <w:u w:val="none"/>
          <w:lang w:eastAsia="zh-CN"/>
        </w:rPr>
        <w:t>，</w:t>
      </w:r>
      <w:r>
        <w:rPr>
          <w:rFonts w:hint="eastAsia" w:ascii="宋体" w:hAnsi="宋体" w:cs="宋体"/>
          <w:b w:val="0"/>
          <w:bCs w:val="0"/>
          <w:sz w:val="24"/>
          <w:u w:val="none"/>
          <w:lang w:val="en-US" w:eastAsia="zh-CN"/>
        </w:rPr>
        <w:t>以及存量服务器升级、算法和综合预警平台升级。</w:t>
      </w:r>
    </w:p>
    <w:p w14:paraId="5379D931">
      <w:pPr>
        <w:pStyle w:val="87"/>
        <w:spacing w:line="500" w:lineRule="exact"/>
        <w:ind w:left="0" w:leftChars="0" w:firstLine="0" w:firstLineChars="0"/>
        <w:outlineLvl w:val="1"/>
        <w:rPr>
          <w:rFonts w:hint="eastAsia" w:ascii="宋体" w:hAnsi="宋体" w:eastAsia="宋体" w:cs="宋体"/>
          <w:b/>
          <w:bCs/>
          <w:szCs w:val="28"/>
        </w:rPr>
      </w:pPr>
      <w:r>
        <w:rPr>
          <w:rFonts w:hint="eastAsia" w:ascii="宋体" w:hAnsi="宋体" w:eastAsia="宋体" w:cs="宋体"/>
          <w:b/>
          <w:bCs/>
          <w:szCs w:val="28"/>
        </w:rPr>
        <w:t>（一）主要服务内容包括：</w:t>
      </w:r>
    </w:p>
    <w:p w14:paraId="0950E76E">
      <w:pPr>
        <w:pStyle w:val="87"/>
        <w:spacing w:line="500" w:lineRule="exact"/>
        <w:ind w:firstLine="482"/>
        <w:rPr>
          <w:rFonts w:hint="eastAsia" w:ascii="宋体" w:hAnsi="宋体" w:eastAsia="宋体" w:cs="宋体"/>
          <w:b/>
          <w:bCs/>
          <w:szCs w:val="28"/>
        </w:rPr>
      </w:pPr>
      <w:r>
        <w:rPr>
          <w:rFonts w:hint="eastAsia" w:ascii="宋体" w:hAnsi="宋体" w:eastAsia="宋体" w:cs="宋体"/>
          <w:b/>
          <w:bCs/>
          <w:szCs w:val="28"/>
        </w:rPr>
        <w:t>1.农田焚烧秸秆行为巡查服务</w:t>
      </w:r>
    </w:p>
    <w:p w14:paraId="4DC6E9CF">
      <w:pPr>
        <w:pStyle w:val="87"/>
        <w:spacing w:line="500" w:lineRule="exact"/>
        <w:rPr>
          <w:rFonts w:hint="eastAsia" w:ascii="宋体" w:hAnsi="宋体" w:eastAsia="宋体" w:cs="宋体"/>
          <w:szCs w:val="28"/>
        </w:rPr>
      </w:pPr>
      <w:r>
        <w:rPr>
          <w:rFonts w:hint="eastAsia" w:ascii="宋体" w:hAnsi="宋体" w:eastAsia="宋体" w:cs="宋体"/>
          <w:szCs w:val="28"/>
        </w:rPr>
        <w:t>（1）塔上站址服务及机房站址服务；</w:t>
      </w:r>
    </w:p>
    <w:p w14:paraId="61C22656">
      <w:pPr>
        <w:pStyle w:val="87"/>
        <w:spacing w:line="500" w:lineRule="exact"/>
        <w:rPr>
          <w:rFonts w:hint="eastAsia" w:ascii="宋体" w:hAnsi="宋体" w:eastAsia="宋体" w:cs="宋体"/>
          <w:szCs w:val="28"/>
        </w:rPr>
      </w:pPr>
      <w:r>
        <w:rPr>
          <w:rFonts w:hint="eastAsia" w:ascii="宋体" w:hAnsi="宋体" w:eastAsia="宋体" w:cs="宋体"/>
          <w:szCs w:val="28"/>
        </w:rPr>
        <w:t>（2）光纤租用及接入（包括前端41条以及存储中心至监控中心1条），现场端光纤带宽≥100M；</w:t>
      </w:r>
    </w:p>
    <w:p w14:paraId="429E4DCF">
      <w:pPr>
        <w:pStyle w:val="87"/>
        <w:spacing w:line="500" w:lineRule="exact"/>
        <w:rPr>
          <w:rFonts w:hint="eastAsia" w:ascii="宋体" w:hAnsi="宋体" w:eastAsia="宋体" w:cs="宋体"/>
          <w:szCs w:val="28"/>
        </w:rPr>
      </w:pPr>
      <w:r>
        <w:rPr>
          <w:rFonts w:hint="eastAsia" w:ascii="宋体" w:hAnsi="宋体" w:eastAsia="宋体" w:cs="宋体"/>
          <w:szCs w:val="28"/>
        </w:rPr>
        <w:t>（3）运维服务；</w:t>
      </w:r>
    </w:p>
    <w:p w14:paraId="303B9F5E">
      <w:pPr>
        <w:pStyle w:val="87"/>
        <w:spacing w:line="500" w:lineRule="exact"/>
        <w:rPr>
          <w:rFonts w:hint="eastAsia" w:ascii="宋体" w:hAnsi="宋体" w:eastAsia="宋体" w:cs="宋体"/>
          <w:szCs w:val="28"/>
        </w:rPr>
      </w:pPr>
      <w:r>
        <w:rPr>
          <w:rFonts w:hint="eastAsia" w:ascii="宋体" w:hAnsi="宋体" w:eastAsia="宋体" w:cs="宋体"/>
          <w:szCs w:val="28"/>
        </w:rPr>
        <w:t>（4）前端设备41套（具备巡航功能）及配套采集传输设备；</w:t>
      </w:r>
    </w:p>
    <w:p w14:paraId="5664122A">
      <w:pPr>
        <w:pStyle w:val="87"/>
        <w:spacing w:line="500" w:lineRule="exact"/>
        <w:rPr>
          <w:rFonts w:hint="eastAsia" w:ascii="宋体" w:hAnsi="宋体" w:eastAsia="宋体" w:cs="宋体"/>
          <w:szCs w:val="28"/>
        </w:rPr>
      </w:pPr>
      <w:r>
        <w:rPr>
          <w:rFonts w:hint="eastAsia" w:ascii="宋体" w:hAnsi="宋体" w:eastAsia="宋体" w:cs="宋体"/>
          <w:szCs w:val="28"/>
        </w:rPr>
        <w:t>（5）服务器升级、预警综合平台、算法及预警推送。</w:t>
      </w:r>
    </w:p>
    <w:p w14:paraId="7EDE4491">
      <w:pPr>
        <w:pStyle w:val="87"/>
        <w:spacing w:line="500" w:lineRule="exact"/>
        <w:rPr>
          <w:rFonts w:hint="eastAsia" w:ascii="宋体" w:hAnsi="宋体" w:eastAsia="宋体" w:cs="宋体"/>
          <w:szCs w:val="28"/>
        </w:rPr>
      </w:pPr>
      <w:r>
        <w:rPr>
          <w:rFonts w:hint="eastAsia" w:ascii="宋体" w:hAnsi="宋体" w:eastAsia="宋体" w:cs="宋体"/>
          <w:szCs w:val="28"/>
        </w:rPr>
        <w:t>（6）数据传输所需流量及链路。</w:t>
      </w:r>
    </w:p>
    <w:p w14:paraId="3E247A39">
      <w:pPr>
        <w:pStyle w:val="87"/>
        <w:spacing w:line="500" w:lineRule="exact"/>
        <w:ind w:firstLine="482"/>
        <w:rPr>
          <w:rFonts w:hint="eastAsia" w:ascii="宋体" w:hAnsi="宋体" w:eastAsia="宋体" w:cs="宋体"/>
          <w:b/>
          <w:bCs/>
          <w:szCs w:val="28"/>
        </w:rPr>
      </w:pPr>
      <w:r>
        <w:rPr>
          <w:rFonts w:hint="eastAsia" w:ascii="宋体" w:hAnsi="宋体" w:eastAsia="宋体" w:cs="宋体"/>
          <w:b/>
          <w:bCs/>
          <w:szCs w:val="28"/>
        </w:rPr>
        <w:t>2.秸秆露天焚烧监测预警服务</w:t>
      </w:r>
    </w:p>
    <w:p w14:paraId="288CC473">
      <w:pPr>
        <w:pStyle w:val="87"/>
        <w:spacing w:line="500" w:lineRule="exact"/>
        <w:rPr>
          <w:rFonts w:hint="eastAsia" w:ascii="宋体" w:hAnsi="宋体" w:eastAsia="宋体" w:cs="宋体"/>
          <w:szCs w:val="28"/>
        </w:rPr>
      </w:pPr>
      <w:r>
        <w:rPr>
          <w:rFonts w:hint="eastAsia" w:ascii="宋体" w:hAnsi="宋体" w:eastAsia="宋体" w:cs="宋体"/>
          <w:szCs w:val="28"/>
        </w:rPr>
        <w:t>根据省厅下达第一、二批高空瞭望建设任务，新增48座高空瞭望用于秸秆禁烧巡查</w:t>
      </w:r>
      <w:r>
        <w:rPr>
          <w:rFonts w:hint="eastAsia" w:ascii="宋体" w:hAnsi="宋体" w:eastAsia="宋体" w:cs="宋体"/>
          <w:szCs w:val="28"/>
          <w:lang w:eastAsia="zh-CN"/>
        </w:rPr>
        <w:t>，</w:t>
      </w:r>
      <w:r>
        <w:rPr>
          <w:rFonts w:hint="eastAsia" w:ascii="宋体" w:hAnsi="宋体" w:eastAsia="宋体" w:cs="宋体"/>
          <w:szCs w:val="28"/>
        </w:rPr>
        <w:t>48个生态环境高位瞭望监测预警服务所需的平台及配套算法，48条10M专线服务；以及服务期内的质保和运维服务。</w:t>
      </w:r>
    </w:p>
    <w:p w14:paraId="2DF377BF">
      <w:pPr>
        <w:pStyle w:val="87"/>
        <w:spacing w:line="500" w:lineRule="exact"/>
        <w:ind w:firstLine="482"/>
        <w:rPr>
          <w:rFonts w:hint="eastAsia" w:ascii="宋体" w:hAnsi="宋体" w:eastAsia="宋体" w:cs="宋体"/>
          <w:b/>
          <w:bCs/>
          <w:szCs w:val="28"/>
        </w:rPr>
      </w:pPr>
      <w:r>
        <w:rPr>
          <w:rFonts w:hint="eastAsia" w:ascii="宋体" w:hAnsi="宋体" w:eastAsia="宋体" w:cs="宋体"/>
          <w:b/>
          <w:bCs/>
          <w:szCs w:val="28"/>
        </w:rPr>
        <w:t>3.码头扬尘巡查服务</w:t>
      </w:r>
    </w:p>
    <w:p w14:paraId="385ED5E6">
      <w:pPr>
        <w:pStyle w:val="87"/>
        <w:spacing w:line="500" w:lineRule="exact"/>
        <w:rPr>
          <w:rFonts w:hint="eastAsia" w:ascii="宋体" w:hAnsi="宋体" w:eastAsia="宋体" w:cs="宋体"/>
          <w:szCs w:val="28"/>
        </w:rPr>
      </w:pPr>
      <w:r>
        <w:rPr>
          <w:rFonts w:hint="eastAsia" w:ascii="宋体" w:hAnsi="宋体" w:eastAsia="宋体" w:cs="宋体"/>
          <w:szCs w:val="28"/>
        </w:rPr>
        <w:t>根据省厅第二批高空瞭望建设任务，新增9座高空瞭望用于码头扬尘巡查</w:t>
      </w:r>
      <w:r>
        <w:rPr>
          <w:rFonts w:hint="eastAsia" w:ascii="宋体" w:hAnsi="宋体" w:eastAsia="宋体" w:cs="宋体"/>
          <w:szCs w:val="28"/>
          <w:lang w:eastAsia="zh-CN"/>
        </w:rPr>
        <w:t>，</w:t>
      </w:r>
      <w:r>
        <w:rPr>
          <w:rFonts w:hint="eastAsia" w:ascii="宋体" w:hAnsi="宋体" w:eastAsia="宋体" w:cs="宋体"/>
          <w:szCs w:val="28"/>
        </w:rPr>
        <w:t>9个高空瞭望码头扬尘巡查服务所需的平台及配套算法9条10M专线服务；以及服务期内的质保和运维服务。</w:t>
      </w:r>
    </w:p>
    <w:p w14:paraId="3A5DAC39">
      <w:pPr>
        <w:pStyle w:val="87"/>
        <w:spacing w:line="500" w:lineRule="exact"/>
        <w:ind w:left="0" w:leftChars="0" w:firstLine="0" w:firstLineChars="0"/>
        <w:outlineLvl w:val="1"/>
        <w:rPr>
          <w:rFonts w:hint="eastAsia" w:ascii="宋体" w:hAnsi="宋体" w:eastAsia="宋体" w:cs="宋体"/>
          <w:b/>
          <w:szCs w:val="28"/>
        </w:rPr>
      </w:pPr>
      <w:r>
        <w:rPr>
          <w:rFonts w:hint="eastAsia" w:ascii="宋体" w:hAnsi="宋体" w:eastAsia="宋体" w:cs="宋体"/>
          <w:b/>
          <w:szCs w:val="28"/>
        </w:rPr>
        <w:t>（二）项目简介</w:t>
      </w:r>
    </w:p>
    <w:p w14:paraId="0211996D">
      <w:pPr>
        <w:pStyle w:val="87"/>
        <w:spacing w:line="500" w:lineRule="exact"/>
        <w:ind w:firstLine="482"/>
        <w:outlineLvl w:val="2"/>
        <w:rPr>
          <w:rFonts w:hint="eastAsia" w:ascii="宋体" w:hAnsi="宋体" w:eastAsia="宋体" w:cs="宋体"/>
          <w:b/>
          <w:szCs w:val="28"/>
        </w:rPr>
      </w:pPr>
      <w:r>
        <w:rPr>
          <w:rFonts w:hint="eastAsia" w:ascii="宋体" w:hAnsi="宋体" w:eastAsia="宋体" w:cs="宋体"/>
          <w:b/>
          <w:szCs w:val="28"/>
        </w:rPr>
        <w:t>1.项目背景</w:t>
      </w:r>
    </w:p>
    <w:p w14:paraId="5AD2BE44">
      <w:pPr>
        <w:pStyle w:val="87"/>
        <w:spacing w:line="500" w:lineRule="exact"/>
        <w:rPr>
          <w:rFonts w:hint="eastAsia" w:ascii="宋体" w:hAnsi="宋体" w:eastAsia="宋体" w:cs="宋体"/>
          <w:szCs w:val="28"/>
        </w:rPr>
      </w:pPr>
      <w:r>
        <w:rPr>
          <w:rFonts w:hint="eastAsia" w:ascii="宋体" w:hAnsi="宋体" w:eastAsia="宋体" w:cs="宋体"/>
          <w:szCs w:val="28"/>
        </w:rPr>
        <w:t>根据省委省政府和生态环境厅的相关监管要求，本项目拟以秸秆焚烧监管区域全覆盖为目标，基于省市两级管理、区县闭环处置的系统架构，以存量复用为主、新增补盲为辅的高空瞭望选点思路，快速构建一张全天候、全实时、全方位秸秆禁烧预警监测网络，通过“人防+技防”的形式，做到秸秆露天焚烧问题源头的“可视、可管、可控”，实现“发现在初始，制止在萌芽”。</w:t>
      </w:r>
    </w:p>
    <w:p w14:paraId="1619DCF0">
      <w:pPr>
        <w:pStyle w:val="87"/>
        <w:spacing w:line="500" w:lineRule="exact"/>
        <w:rPr>
          <w:rFonts w:hint="eastAsia" w:ascii="宋体" w:hAnsi="宋体" w:eastAsia="宋体" w:cs="宋体"/>
          <w:szCs w:val="28"/>
        </w:rPr>
      </w:pPr>
      <w:r>
        <w:rPr>
          <w:rFonts w:hint="eastAsia" w:ascii="宋体" w:hAnsi="宋体" w:eastAsia="宋体" w:cs="宋体"/>
          <w:szCs w:val="28"/>
        </w:rPr>
        <w:t>面向未来，基于此次建成的秸秆禁烧“高空瞭望”预警监测网络，持续创新推动在“水、气、土、固废、噪声、辐射、碳监测”等场景等方面的生态环境数字化研究和应用，推动形成覆盖全省域、全要素的生态环境保护监管视联网络，打造数字生态文明建设的标志性成果。</w:t>
      </w:r>
    </w:p>
    <w:p w14:paraId="3793A0CB">
      <w:pPr>
        <w:pStyle w:val="87"/>
        <w:spacing w:line="500" w:lineRule="exact"/>
        <w:rPr>
          <w:rFonts w:hint="eastAsia" w:ascii="宋体" w:hAnsi="宋体" w:eastAsia="宋体" w:cs="宋体"/>
          <w:szCs w:val="28"/>
        </w:rPr>
      </w:pPr>
      <w:r>
        <w:rPr>
          <w:rFonts w:hint="eastAsia" w:ascii="宋体" w:hAnsi="宋体" w:eastAsia="宋体" w:cs="宋体"/>
          <w:szCs w:val="28"/>
        </w:rPr>
        <w:t>1）采用智能视频分析新一代信息技术。实现“技防为主、人防为辅、相互结合、互相补充、协同监管”，创新秸秆露天焚烧监测监管模式，有效遏制农村秸秆露天焚烧所带来的问题。</w:t>
      </w:r>
    </w:p>
    <w:p w14:paraId="5C69FA9A">
      <w:pPr>
        <w:pStyle w:val="87"/>
        <w:spacing w:line="500" w:lineRule="exact"/>
        <w:rPr>
          <w:rFonts w:hint="eastAsia" w:ascii="宋体" w:hAnsi="宋体" w:eastAsia="宋体" w:cs="宋体"/>
          <w:szCs w:val="28"/>
        </w:rPr>
      </w:pPr>
      <w:r>
        <w:rPr>
          <w:rFonts w:hint="eastAsia" w:ascii="宋体" w:hAnsi="宋体" w:eastAsia="宋体" w:cs="宋体"/>
          <w:szCs w:val="28"/>
        </w:rPr>
        <w:t>2）通过利用多源视频融合技术、智能视频分析技术等新兴信息技术为监管部门装上“千里眼”，用信息数据在网络中的快速传输来代替监管部门的人工跑腿巡查。</w:t>
      </w:r>
    </w:p>
    <w:p w14:paraId="3E8529B4">
      <w:pPr>
        <w:pStyle w:val="87"/>
        <w:spacing w:line="500" w:lineRule="exact"/>
        <w:rPr>
          <w:rFonts w:hint="eastAsia" w:ascii="宋体" w:hAnsi="宋体" w:eastAsia="宋体" w:cs="宋体"/>
          <w:szCs w:val="28"/>
        </w:rPr>
      </w:pPr>
      <w:r>
        <w:rPr>
          <w:rFonts w:hint="eastAsia" w:ascii="宋体" w:hAnsi="宋体" w:eastAsia="宋体" w:cs="宋体"/>
          <w:szCs w:val="28"/>
        </w:rPr>
        <w:t>3）火情在秸秆焚烧初期便可被安装在基站上的摄像机快速捕获而预警，第一时间通过智能手机等移动互联终端通知监管部门进行应急处置，提高监管部门的响应、处置效率，从而有效制止桔秆焚烧现象，保护社会生态环境及人民群众生命及财产安全。</w:t>
      </w:r>
    </w:p>
    <w:p w14:paraId="08DAC47E">
      <w:pPr>
        <w:pStyle w:val="87"/>
        <w:spacing w:line="500" w:lineRule="exact"/>
        <w:rPr>
          <w:rFonts w:hint="eastAsia" w:ascii="宋体" w:hAnsi="宋体" w:eastAsia="宋体" w:cs="宋体"/>
          <w:szCs w:val="28"/>
        </w:rPr>
      </w:pPr>
      <w:r>
        <w:rPr>
          <w:rFonts w:hint="eastAsia" w:ascii="宋体" w:hAnsi="宋体" w:eastAsia="宋体" w:cs="宋体"/>
          <w:szCs w:val="28"/>
        </w:rPr>
        <w:t>4）打造秸秆焚烧监控系统，实现环境问题智能化识别，实现污染控制的精细化。“秸秆焚烧”监控系统是集硬件、软件、网络于一体的监控系统，以可视化监管服务为核心，对定远县全县农田重点区域实现全天候、全方位监控，且可对前端设备进行统一管理。具有实时区域环境监控、焚烧智能识别、自动预警功能等优点，能够有效提高秸秆禁烧监管效能、降低行政成本。</w:t>
      </w:r>
    </w:p>
    <w:p w14:paraId="5B952C0B">
      <w:pPr>
        <w:pStyle w:val="87"/>
        <w:spacing w:line="500" w:lineRule="exact"/>
        <w:ind w:left="0" w:leftChars="0" w:firstLine="241" w:firstLineChars="100"/>
        <w:outlineLvl w:val="2"/>
        <w:rPr>
          <w:rFonts w:hint="eastAsia" w:ascii="宋体" w:hAnsi="宋体" w:eastAsia="宋体" w:cs="宋体"/>
          <w:b/>
          <w:szCs w:val="28"/>
        </w:rPr>
      </w:pPr>
      <w:r>
        <w:rPr>
          <w:rFonts w:hint="eastAsia" w:ascii="宋体" w:hAnsi="宋体" w:eastAsia="宋体" w:cs="宋体"/>
          <w:b/>
          <w:szCs w:val="28"/>
        </w:rPr>
        <w:t>2.平台技术及算法要求</w:t>
      </w:r>
    </w:p>
    <w:p w14:paraId="33ECF15A">
      <w:pPr>
        <w:pStyle w:val="259"/>
        <w:numPr>
          <w:ilvl w:val="0"/>
          <w:numId w:val="2"/>
        </w:numPr>
        <w:spacing w:line="360" w:lineRule="auto"/>
        <w:ind w:firstLineChars="0"/>
        <w:jc w:val="left"/>
        <w:outlineLvl w:val="1"/>
        <w:rPr>
          <w:rFonts w:hint="eastAsia" w:ascii="宋体" w:hAnsi="宋体" w:eastAsia="宋体" w:cs="宋体"/>
          <w:b/>
          <w:vanish/>
          <w:sz w:val="24"/>
          <w:szCs w:val="24"/>
        </w:rPr>
      </w:pPr>
    </w:p>
    <w:p w14:paraId="16090D15">
      <w:pPr>
        <w:pStyle w:val="259"/>
        <w:numPr>
          <w:ilvl w:val="0"/>
          <w:numId w:val="2"/>
        </w:numPr>
        <w:spacing w:line="360" w:lineRule="auto"/>
        <w:ind w:firstLineChars="0"/>
        <w:jc w:val="left"/>
        <w:outlineLvl w:val="1"/>
        <w:rPr>
          <w:rFonts w:hint="eastAsia" w:ascii="宋体" w:hAnsi="宋体" w:eastAsia="宋体" w:cs="宋体"/>
          <w:b/>
          <w:vanish/>
          <w:sz w:val="24"/>
          <w:szCs w:val="24"/>
        </w:rPr>
      </w:pPr>
    </w:p>
    <w:p w14:paraId="615CF27B">
      <w:pPr>
        <w:pStyle w:val="672"/>
        <w:numPr>
          <w:ilvl w:val="1"/>
          <w:numId w:val="2"/>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平台技术要求</w:t>
      </w:r>
    </w:p>
    <w:p w14:paraId="01FA85F8">
      <w:pPr>
        <w:pStyle w:val="880"/>
        <w:numPr>
          <w:ilvl w:val="2"/>
          <w:numId w:val="2"/>
        </w:numPr>
        <w:spacing w:line="360" w:lineRule="auto"/>
        <w:rPr>
          <w:rFonts w:hint="eastAsia" w:ascii="宋体" w:hAnsi="宋体" w:eastAsia="宋体" w:cs="宋体"/>
          <w:sz w:val="24"/>
          <w:szCs w:val="24"/>
        </w:rPr>
      </w:pPr>
      <w:bookmarkStart w:id="28" w:name="_Toc12081"/>
      <w:bookmarkStart w:id="29" w:name="_Toc145449212"/>
      <w:bookmarkStart w:id="30" w:name="_Toc75012810"/>
      <w:bookmarkStart w:id="31" w:name="_Toc68188817"/>
      <w:bookmarkStart w:id="32" w:name="_Toc51832780"/>
      <w:bookmarkStart w:id="33" w:name="_Toc69306149"/>
      <w:r>
        <w:rPr>
          <w:rFonts w:hint="eastAsia" w:ascii="宋体" w:hAnsi="宋体" w:eastAsia="宋体" w:cs="宋体"/>
          <w:sz w:val="24"/>
          <w:szCs w:val="24"/>
        </w:rPr>
        <w:t>平台业务流程</w:t>
      </w:r>
      <w:bookmarkEnd w:id="28"/>
      <w:bookmarkEnd w:id="29"/>
      <w:r>
        <w:rPr>
          <w:rFonts w:hint="eastAsia" w:ascii="宋体" w:hAnsi="宋体" w:eastAsia="宋体" w:cs="宋体"/>
          <w:sz w:val="24"/>
          <w:szCs w:val="24"/>
        </w:rPr>
        <w:t>需求</w:t>
      </w:r>
    </w:p>
    <w:p w14:paraId="134F6C5E">
      <w:pPr>
        <w:pStyle w:val="476"/>
        <w:numPr>
          <w:ilvl w:val="3"/>
          <w:numId w:val="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发现事件</w:t>
      </w:r>
    </w:p>
    <w:p w14:paraId="17BC63A9">
      <w:pPr>
        <w:spacing w:line="360" w:lineRule="auto"/>
        <w:ind w:firstLine="480"/>
        <w:rPr>
          <w:rFonts w:hint="eastAsia" w:ascii="宋体" w:hAnsi="宋体" w:eastAsia="宋体" w:cs="宋体"/>
          <w:sz w:val="24"/>
        </w:rPr>
      </w:pPr>
      <w:r>
        <w:rPr>
          <w:rFonts w:hint="eastAsia" w:ascii="宋体" w:hAnsi="宋体" w:eastAsia="宋体" w:cs="宋体"/>
          <w:sz w:val="24"/>
        </w:rPr>
        <w:t>通过智能化、信息化手段自动监控与分析发现监管区域内的秸秆焚烧事件。</w:t>
      </w:r>
    </w:p>
    <w:p w14:paraId="4CAE97FF">
      <w:pPr>
        <w:pStyle w:val="476"/>
        <w:numPr>
          <w:ilvl w:val="3"/>
          <w:numId w:val="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事件处置</w:t>
      </w:r>
    </w:p>
    <w:p w14:paraId="1BFDAE25">
      <w:pPr>
        <w:spacing w:line="360" w:lineRule="auto"/>
        <w:ind w:firstLine="480"/>
        <w:rPr>
          <w:rFonts w:hint="eastAsia" w:ascii="宋体" w:hAnsi="宋体" w:eastAsia="宋体" w:cs="宋体"/>
          <w:sz w:val="24"/>
        </w:rPr>
      </w:pPr>
      <w:r>
        <w:rPr>
          <w:rFonts w:hint="eastAsia" w:ascii="宋体" w:hAnsi="宋体" w:eastAsia="宋体" w:cs="宋体"/>
          <w:sz w:val="24"/>
        </w:rPr>
        <w:t>“智慧监管”的核心作用是通过AI智慧化监控手段，提高监管团队及巡查人员的监管力度和工作效率，加强监管力度。</w:t>
      </w:r>
    </w:p>
    <w:p w14:paraId="117B4ABC">
      <w:pPr>
        <w:spacing w:line="360" w:lineRule="auto"/>
        <w:ind w:firstLine="480"/>
        <w:rPr>
          <w:rFonts w:hint="eastAsia" w:ascii="宋体" w:hAnsi="宋体" w:eastAsia="宋体" w:cs="宋体"/>
          <w:sz w:val="24"/>
        </w:rPr>
      </w:pPr>
      <w:r>
        <w:rPr>
          <w:rFonts w:hint="eastAsia" w:ascii="宋体" w:hAnsi="宋体" w:eastAsia="宋体" w:cs="宋体"/>
          <w:sz w:val="24"/>
        </w:rPr>
        <w:t>业务管理的核心是及时发现疑似违法行为进行取证、处置、并向执法单位报备及时解决问题。</w:t>
      </w:r>
    </w:p>
    <w:p w14:paraId="5C601D58">
      <w:pPr>
        <w:spacing w:line="360" w:lineRule="auto"/>
        <w:ind w:firstLine="480"/>
        <w:rPr>
          <w:rFonts w:hint="eastAsia" w:ascii="宋体" w:hAnsi="宋体" w:eastAsia="宋体" w:cs="宋体"/>
          <w:sz w:val="24"/>
        </w:rPr>
      </w:pPr>
      <w:r>
        <w:rPr>
          <w:rFonts w:hint="eastAsia" w:ascii="宋体" w:hAnsi="宋体" w:eastAsia="宋体" w:cs="宋体"/>
          <w:sz w:val="24"/>
        </w:rPr>
        <w:t>视频监控识别、配备移动执法设备等工作都是提供更容易发现违法行为的途径，最终目的是为了及时准确的识别疑似违法行为，然后针对具体事件进行监管执法。</w:t>
      </w:r>
    </w:p>
    <w:p w14:paraId="48C810C2">
      <w:pPr>
        <w:pStyle w:val="476"/>
        <w:numPr>
          <w:ilvl w:val="3"/>
          <w:numId w:val="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事件受理</w:t>
      </w:r>
    </w:p>
    <w:p w14:paraId="7B53F46B">
      <w:pPr>
        <w:spacing w:line="360" w:lineRule="auto"/>
        <w:ind w:firstLine="480"/>
        <w:rPr>
          <w:rFonts w:hint="eastAsia" w:ascii="宋体" w:hAnsi="宋体" w:eastAsia="宋体" w:cs="宋体"/>
          <w:sz w:val="24"/>
        </w:rPr>
      </w:pPr>
      <w:r>
        <w:rPr>
          <w:rFonts w:hint="eastAsia" w:ascii="宋体" w:hAnsi="宋体" w:eastAsia="宋体" w:cs="宋体"/>
          <w:sz w:val="24"/>
        </w:rPr>
        <w:t>基于疑似违法行为发生区域及级别，实现疑似违法行为的自动提醒推送，在指挥中心或手机端进行查看。</w:t>
      </w:r>
    </w:p>
    <w:p w14:paraId="24A0A5C8">
      <w:pPr>
        <w:pStyle w:val="476"/>
        <w:numPr>
          <w:ilvl w:val="3"/>
          <w:numId w:val="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调度与处置</w:t>
      </w:r>
    </w:p>
    <w:p w14:paraId="2331FF3B">
      <w:pPr>
        <w:spacing w:line="360" w:lineRule="auto"/>
        <w:ind w:firstLine="480"/>
        <w:rPr>
          <w:rFonts w:hint="eastAsia" w:ascii="宋体" w:hAnsi="宋体" w:eastAsia="宋体" w:cs="宋体"/>
          <w:sz w:val="24"/>
        </w:rPr>
      </w:pPr>
      <w:r>
        <w:rPr>
          <w:rFonts w:hint="eastAsia" w:ascii="宋体" w:hAnsi="宋体" w:eastAsia="宋体" w:cs="宋体"/>
          <w:sz w:val="24"/>
        </w:rPr>
        <w:t>对于已发生的违法行为，相关工作人员对预警时间进行确认后，根据事件的严重性、影响范围等情况进行调度与处置，包括本级处理、通知执法部门、联动其他委办局等。</w:t>
      </w:r>
    </w:p>
    <w:p w14:paraId="0AF3774E">
      <w:pPr>
        <w:pStyle w:val="476"/>
        <w:numPr>
          <w:ilvl w:val="3"/>
          <w:numId w:val="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事件办结</w:t>
      </w:r>
    </w:p>
    <w:p w14:paraId="15B4A220">
      <w:pPr>
        <w:spacing w:line="360" w:lineRule="auto"/>
        <w:ind w:firstLine="480"/>
        <w:rPr>
          <w:rFonts w:hint="eastAsia" w:ascii="宋体" w:hAnsi="宋体" w:eastAsia="宋体" w:cs="宋体"/>
          <w:sz w:val="24"/>
        </w:rPr>
      </w:pPr>
      <w:r>
        <w:rPr>
          <w:rFonts w:hint="eastAsia" w:ascii="宋体" w:hAnsi="宋体" w:eastAsia="宋体" w:cs="宋体"/>
          <w:sz w:val="24"/>
        </w:rPr>
        <w:t>对于已确定的违法行为事件，在系统中上传处理结果，进行执法监管的闭环管理。</w:t>
      </w:r>
      <w:bookmarkEnd w:id="30"/>
      <w:bookmarkEnd w:id="31"/>
      <w:bookmarkEnd w:id="32"/>
      <w:bookmarkEnd w:id="33"/>
    </w:p>
    <w:p w14:paraId="6F95075A">
      <w:pPr>
        <w:pStyle w:val="880"/>
        <w:numPr>
          <w:ilvl w:val="2"/>
          <w:numId w:val="2"/>
        </w:numPr>
        <w:spacing w:line="360" w:lineRule="auto"/>
        <w:rPr>
          <w:rFonts w:hint="eastAsia" w:ascii="宋体" w:hAnsi="宋体" w:eastAsia="宋体" w:cs="宋体"/>
          <w:sz w:val="24"/>
          <w:szCs w:val="24"/>
        </w:rPr>
      </w:pPr>
      <w:bookmarkStart w:id="34" w:name="_Toc10579"/>
      <w:bookmarkStart w:id="35" w:name="_Toc145432783"/>
      <w:bookmarkStart w:id="36" w:name="_Toc145449213"/>
      <w:r>
        <w:rPr>
          <w:rFonts w:hint="eastAsia" w:ascii="宋体" w:hAnsi="宋体" w:eastAsia="宋体" w:cs="宋体"/>
          <w:sz w:val="24"/>
          <w:szCs w:val="24"/>
        </w:rPr>
        <w:t>平台功能</w:t>
      </w:r>
      <w:bookmarkEnd w:id="34"/>
      <w:bookmarkEnd w:id="35"/>
      <w:bookmarkEnd w:id="36"/>
      <w:r>
        <w:rPr>
          <w:rFonts w:hint="eastAsia" w:ascii="宋体" w:hAnsi="宋体" w:eastAsia="宋体" w:cs="宋体"/>
          <w:sz w:val="24"/>
          <w:szCs w:val="24"/>
        </w:rPr>
        <w:t>需求</w:t>
      </w:r>
    </w:p>
    <w:p w14:paraId="4CC4CF0B">
      <w:pPr>
        <w:spacing w:line="360" w:lineRule="auto"/>
        <w:ind w:firstLine="480"/>
        <w:rPr>
          <w:rFonts w:hint="eastAsia" w:ascii="宋体" w:hAnsi="宋体" w:eastAsia="宋体" w:cs="宋体"/>
          <w:sz w:val="24"/>
        </w:rPr>
      </w:pPr>
      <w:r>
        <w:rPr>
          <w:rFonts w:hint="eastAsia" w:ascii="宋体" w:hAnsi="宋体" w:eastAsia="宋体" w:cs="宋体"/>
          <w:sz w:val="24"/>
        </w:rPr>
        <w:t>通过秸秆禁烧预警系统，对于焚烧行为及时捕捉、识别和取证。将事件信息发送至各个相关人员执法终端。相关执法人员在处理完相关事件之后给出反馈，达到事件闭环处理的效果。</w:t>
      </w:r>
    </w:p>
    <w:p w14:paraId="1578A8C3">
      <w:pPr>
        <w:pStyle w:val="476"/>
        <w:numPr>
          <w:ilvl w:val="3"/>
          <w:numId w:val="2"/>
        </w:numPr>
        <w:spacing w:line="360" w:lineRule="auto"/>
        <w:rPr>
          <w:rFonts w:hint="eastAsia" w:ascii="宋体" w:hAnsi="宋体" w:eastAsia="宋体" w:cs="宋体"/>
          <w:b/>
          <w:bCs/>
          <w:sz w:val="24"/>
          <w:szCs w:val="24"/>
        </w:rPr>
      </w:pPr>
      <w:bookmarkStart w:id="542" w:name="_GoBack"/>
      <w:r>
        <w:rPr>
          <w:rFonts w:hint="eastAsia" w:ascii="宋体" w:hAnsi="宋体" w:eastAsia="宋体" w:cs="宋体"/>
          <w:b/>
          <w:bCs/>
          <w:sz w:val="24"/>
          <w:szCs w:val="24"/>
        </w:rPr>
        <w:t>数据综合展示</w:t>
      </w:r>
    </w:p>
    <w:bookmarkEnd w:id="542"/>
    <w:p w14:paraId="442CFEEB">
      <w:pPr>
        <w:spacing w:line="360" w:lineRule="auto"/>
        <w:ind w:firstLine="480"/>
        <w:rPr>
          <w:rFonts w:hint="eastAsia" w:ascii="宋体" w:hAnsi="宋体" w:eastAsia="宋体" w:cs="宋体"/>
          <w:sz w:val="24"/>
        </w:rPr>
      </w:pPr>
      <w:r>
        <w:rPr>
          <w:rFonts w:hint="eastAsia" w:ascii="宋体" w:hAnsi="宋体" w:eastAsia="宋体" w:cs="宋体"/>
          <w:sz w:val="24"/>
        </w:rPr>
        <w:t>实时展示秸秆禁烧系统各类数据，以看板形式显示秸秆禁烧各项统计数据，包括设备状态数据以及事件数据，数据综合展示提供点位列表、地图信息显示、预警事件分布热力图、设备在线情况统计、预警类型统计、预警事件趋势分析、报警分布、告警日历、多路数展示、展现形式选择、设备管理等功能，便于系统使用者通过直观的数据图表，充分掌握系统运行状态和业务数据情况。</w:t>
      </w:r>
    </w:p>
    <w:p w14:paraId="690EF5E6">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点位列表</w:t>
      </w:r>
    </w:p>
    <w:p w14:paraId="5DBCF4D6">
      <w:pPr>
        <w:spacing w:line="360" w:lineRule="auto"/>
        <w:ind w:firstLine="480"/>
        <w:rPr>
          <w:rFonts w:hint="eastAsia" w:ascii="宋体" w:hAnsi="宋体" w:eastAsia="宋体" w:cs="宋体"/>
          <w:sz w:val="24"/>
        </w:rPr>
      </w:pPr>
      <w:r>
        <w:rPr>
          <w:rFonts w:hint="eastAsia" w:ascii="宋体" w:hAnsi="宋体" w:eastAsia="宋体" w:cs="宋体"/>
          <w:sz w:val="24"/>
        </w:rPr>
        <w:t>汇总显示所有前端设备，根据设备的所属区域，进行分类显示。</w:t>
      </w:r>
    </w:p>
    <w:p w14:paraId="68B24ED4">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地图信息显示</w:t>
      </w:r>
    </w:p>
    <w:p w14:paraId="175C128A">
      <w:pPr>
        <w:spacing w:line="360" w:lineRule="auto"/>
        <w:ind w:firstLine="480"/>
        <w:rPr>
          <w:rFonts w:hint="eastAsia" w:ascii="宋体" w:hAnsi="宋体" w:eastAsia="宋体" w:cs="宋体"/>
          <w:sz w:val="24"/>
        </w:rPr>
      </w:pPr>
      <w:r>
        <w:rPr>
          <w:rFonts w:hint="eastAsia" w:ascii="宋体" w:hAnsi="宋体" w:eastAsia="宋体" w:cs="宋体"/>
          <w:sz w:val="24"/>
        </w:rPr>
        <w:t>在地图上展示监控设备，实时显示相关设备的状态、覆盖范围和边界，支持地图模式切换。</w:t>
      </w:r>
    </w:p>
    <w:p w14:paraId="5BFD2D87">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预警事件分布热力图</w:t>
      </w:r>
    </w:p>
    <w:p w14:paraId="67FC409C">
      <w:pPr>
        <w:spacing w:line="360" w:lineRule="auto"/>
        <w:ind w:firstLine="480"/>
        <w:rPr>
          <w:rFonts w:hint="eastAsia" w:ascii="宋体" w:hAnsi="宋体" w:eastAsia="宋体" w:cs="宋体"/>
          <w:sz w:val="24"/>
        </w:rPr>
      </w:pPr>
      <w:r>
        <w:rPr>
          <w:rFonts w:hint="eastAsia" w:ascii="宋体" w:hAnsi="宋体" w:eastAsia="宋体" w:cs="宋体"/>
          <w:sz w:val="24"/>
        </w:rPr>
        <w:t>根据发生的预警事件定位进行数量统计，自动生成所有监管范围内的事件分布热力图，由颜色来区分事件高发区域和低发区域。</w:t>
      </w:r>
    </w:p>
    <w:p w14:paraId="05C3AA3D">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设备在线情况（提供系统界面截图）</w:t>
      </w:r>
    </w:p>
    <w:p w14:paraId="1B5DC357">
      <w:pPr>
        <w:spacing w:line="360" w:lineRule="auto"/>
        <w:ind w:firstLine="480"/>
        <w:rPr>
          <w:rFonts w:hint="eastAsia" w:ascii="宋体" w:hAnsi="宋体" w:eastAsia="宋体" w:cs="宋体"/>
          <w:sz w:val="24"/>
        </w:rPr>
      </w:pPr>
      <w:r>
        <w:rPr>
          <w:rFonts w:hint="eastAsia" w:ascii="宋体" w:hAnsi="宋体" w:eastAsia="宋体" w:cs="宋体"/>
          <w:sz w:val="24"/>
        </w:rPr>
        <w:t>实时监测前端设备的在线状态，将前端设备总数及在线、离线情况进行统计和展示。</w:t>
      </w:r>
    </w:p>
    <w:p w14:paraId="6593E320">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预警事件统计</w:t>
      </w:r>
    </w:p>
    <w:p w14:paraId="2673F8B1">
      <w:pPr>
        <w:spacing w:line="360" w:lineRule="auto"/>
        <w:ind w:firstLine="480"/>
        <w:rPr>
          <w:rFonts w:hint="eastAsia" w:ascii="宋体" w:hAnsi="宋体" w:eastAsia="宋体" w:cs="宋体"/>
          <w:sz w:val="24"/>
        </w:rPr>
      </w:pPr>
      <w:r>
        <w:rPr>
          <w:rFonts w:hint="eastAsia" w:ascii="宋体" w:hAnsi="宋体" w:eastAsia="宋体" w:cs="宋体"/>
          <w:sz w:val="24"/>
        </w:rPr>
        <w:t>对各类型预警事件进行统计，通过图表表现出各类型事件的占比关系，为管理部门提供决策依据。</w:t>
      </w:r>
    </w:p>
    <w:p w14:paraId="72A61DE0">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预警事件趋势分析</w:t>
      </w:r>
    </w:p>
    <w:p w14:paraId="58D91211">
      <w:pPr>
        <w:spacing w:line="360" w:lineRule="auto"/>
        <w:ind w:firstLine="480"/>
        <w:rPr>
          <w:rFonts w:hint="eastAsia" w:ascii="宋体" w:hAnsi="宋体" w:eastAsia="宋体" w:cs="宋体"/>
          <w:sz w:val="24"/>
        </w:rPr>
      </w:pPr>
      <w:r>
        <w:rPr>
          <w:rFonts w:hint="eastAsia" w:ascii="宋体" w:hAnsi="宋体" w:eastAsia="宋体" w:cs="宋体"/>
          <w:sz w:val="24"/>
        </w:rPr>
        <w:t>统计预警事件出现数量与时间，分析预警事件出现数量与时间的关系，对疑似违法事件的发生趋势进行展示。</w:t>
      </w:r>
    </w:p>
    <w:p w14:paraId="424BFA55">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报警分布</w:t>
      </w:r>
    </w:p>
    <w:p w14:paraId="53E207F0">
      <w:pPr>
        <w:spacing w:line="360" w:lineRule="auto"/>
        <w:ind w:firstLine="480"/>
        <w:rPr>
          <w:rFonts w:hint="eastAsia" w:ascii="宋体" w:hAnsi="宋体" w:eastAsia="宋体" w:cs="宋体"/>
          <w:sz w:val="24"/>
        </w:rPr>
      </w:pPr>
      <w:r>
        <w:rPr>
          <w:rFonts w:hint="eastAsia" w:ascii="宋体" w:hAnsi="宋体" w:eastAsia="宋体" w:cs="宋体"/>
          <w:sz w:val="24"/>
        </w:rPr>
        <w:t>将历史告警信息的地理位置分布情况叠加到地图中，展示监测区域内告警情况分布，便于监管部门判断出重点区域、区段。</w:t>
      </w:r>
    </w:p>
    <w:p w14:paraId="7FE6211F">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告警日历（提供系统界面截图）</w:t>
      </w:r>
    </w:p>
    <w:p w14:paraId="321F0B58">
      <w:pPr>
        <w:spacing w:line="360" w:lineRule="auto"/>
        <w:ind w:firstLine="480"/>
        <w:rPr>
          <w:rFonts w:hint="eastAsia" w:ascii="宋体" w:hAnsi="宋体" w:eastAsia="宋体" w:cs="宋体"/>
          <w:sz w:val="24"/>
        </w:rPr>
      </w:pPr>
      <w:r>
        <w:rPr>
          <w:rFonts w:hint="eastAsia" w:ascii="宋体" w:hAnsi="宋体" w:eastAsia="宋体" w:cs="宋体"/>
          <w:sz w:val="24"/>
        </w:rPr>
        <w:t>对每日发生的预警数量进行统计，并在日历上以不同颜色进行标注。</w:t>
      </w:r>
    </w:p>
    <w:p w14:paraId="3A503450">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多路数展示</w:t>
      </w:r>
    </w:p>
    <w:p w14:paraId="6ACC0084">
      <w:pPr>
        <w:spacing w:line="360" w:lineRule="auto"/>
        <w:ind w:firstLine="480"/>
        <w:rPr>
          <w:rFonts w:hint="eastAsia" w:ascii="宋体" w:hAnsi="宋体" w:eastAsia="宋体" w:cs="宋体"/>
          <w:sz w:val="24"/>
        </w:rPr>
      </w:pPr>
      <w:r>
        <w:rPr>
          <w:rFonts w:hint="eastAsia" w:ascii="宋体" w:hAnsi="宋体" w:eastAsia="宋体" w:cs="宋体"/>
          <w:sz w:val="24"/>
        </w:rPr>
        <w:t xml:space="preserve">点击点位列表可以选择需要展示的画面，展现方式支持四分屏、九分屏等。 </w:t>
      </w:r>
    </w:p>
    <w:p w14:paraId="13B36AF2">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展现形式选择</w:t>
      </w:r>
    </w:p>
    <w:p w14:paraId="074C60B7">
      <w:pPr>
        <w:spacing w:line="360" w:lineRule="auto"/>
        <w:ind w:firstLine="480"/>
        <w:rPr>
          <w:rFonts w:hint="eastAsia" w:ascii="宋体" w:hAnsi="宋体" w:eastAsia="宋体" w:cs="宋体"/>
          <w:sz w:val="24"/>
        </w:rPr>
      </w:pPr>
      <w:r>
        <w:rPr>
          <w:rFonts w:hint="eastAsia" w:ascii="宋体" w:hAnsi="宋体" w:eastAsia="宋体" w:cs="宋体"/>
          <w:sz w:val="24"/>
        </w:rPr>
        <w:t>支持选择快照/巡航模式、晴/雨天、白天/夜晚模式等屏幕展现形式。</w:t>
      </w:r>
    </w:p>
    <w:p w14:paraId="63EBA04A">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设备管理（提供系统界面截图）</w:t>
      </w:r>
    </w:p>
    <w:p w14:paraId="6B2A9228">
      <w:pPr>
        <w:spacing w:line="360" w:lineRule="auto"/>
        <w:ind w:firstLine="480"/>
        <w:rPr>
          <w:rFonts w:hint="eastAsia" w:ascii="宋体" w:hAnsi="宋体" w:eastAsia="宋体" w:cs="宋体"/>
          <w:sz w:val="24"/>
        </w:rPr>
      </w:pPr>
      <w:r>
        <w:rPr>
          <w:rFonts w:hint="eastAsia" w:ascii="宋体" w:hAnsi="宋体" w:eastAsia="宋体" w:cs="宋体"/>
          <w:sz w:val="24"/>
        </w:rPr>
        <w:t>按设备所在区域显示监控点位设备列表，点选设备名称可以自动跳转到该点位具体位置，并能显示监控点位监管区域和查看实时视频。</w:t>
      </w:r>
    </w:p>
    <w:p w14:paraId="4F734E8A">
      <w:pPr>
        <w:pStyle w:val="476"/>
        <w:numPr>
          <w:ilvl w:val="3"/>
          <w:numId w:val="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预警分析</w:t>
      </w:r>
    </w:p>
    <w:p w14:paraId="37FEDB29">
      <w:pPr>
        <w:spacing w:line="360" w:lineRule="auto"/>
        <w:ind w:firstLine="480"/>
        <w:rPr>
          <w:rFonts w:hint="eastAsia" w:ascii="宋体" w:hAnsi="宋体" w:eastAsia="宋体" w:cs="宋体"/>
          <w:sz w:val="24"/>
        </w:rPr>
      </w:pPr>
      <w:r>
        <w:rPr>
          <w:rFonts w:hint="eastAsia" w:ascii="宋体" w:hAnsi="宋体" w:eastAsia="宋体" w:cs="宋体"/>
          <w:sz w:val="24"/>
        </w:rPr>
        <w:t>对系统捕获的视频数据进行采集和分析，全流程展现预警事件状态，提供算法配置、报警监控、预警事件列表展示、预警事件处理状态、预警事件处理结果、预警事件筛选功能等功能，帮助系统使用人员从多维度掌握事件状态，通过统计分析，为管理工作提供决策辅助。</w:t>
      </w:r>
    </w:p>
    <w:p w14:paraId="1F876DB4">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算法配置</w:t>
      </w:r>
    </w:p>
    <w:p w14:paraId="79731886">
      <w:pPr>
        <w:spacing w:line="360" w:lineRule="auto"/>
        <w:ind w:firstLine="480"/>
        <w:rPr>
          <w:rFonts w:hint="eastAsia" w:ascii="宋体" w:hAnsi="宋体" w:eastAsia="宋体" w:cs="宋体"/>
          <w:sz w:val="24"/>
        </w:rPr>
      </w:pPr>
      <w:r>
        <w:rPr>
          <w:rFonts w:hint="eastAsia" w:ascii="宋体" w:hAnsi="宋体" w:eastAsia="宋体" w:cs="宋体"/>
          <w:sz w:val="24"/>
        </w:rPr>
        <w:t>根据不同前端设备所处的场景不同，能够按照摄像机通道、起止时间、阈值等因素配置算法。</w:t>
      </w:r>
    </w:p>
    <w:p w14:paraId="48492973">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报警监控</w:t>
      </w:r>
    </w:p>
    <w:p w14:paraId="1FBB49EE">
      <w:pPr>
        <w:spacing w:line="360" w:lineRule="auto"/>
        <w:ind w:firstLine="480"/>
        <w:rPr>
          <w:rFonts w:hint="eastAsia" w:ascii="宋体" w:hAnsi="宋体" w:eastAsia="宋体" w:cs="宋体"/>
          <w:sz w:val="24"/>
        </w:rPr>
      </w:pPr>
      <w:r>
        <w:rPr>
          <w:rFonts w:hint="eastAsia" w:ascii="宋体" w:hAnsi="宋体" w:eastAsia="宋体" w:cs="宋体"/>
          <w:sz w:val="24"/>
        </w:rPr>
        <w:t>展示所有类型告警总数以及最新告警录像，方便执法人员随时查看最新报警详情。</w:t>
      </w:r>
    </w:p>
    <w:p w14:paraId="4C29067C">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预警事件列表展示</w:t>
      </w:r>
    </w:p>
    <w:p w14:paraId="574C473A">
      <w:pPr>
        <w:spacing w:line="360" w:lineRule="auto"/>
        <w:ind w:firstLine="480"/>
        <w:rPr>
          <w:rFonts w:hint="eastAsia" w:ascii="宋体" w:hAnsi="宋体" w:eastAsia="宋体" w:cs="宋体"/>
          <w:sz w:val="24"/>
        </w:rPr>
      </w:pPr>
      <w:r>
        <w:rPr>
          <w:rFonts w:hint="eastAsia" w:ascii="宋体" w:hAnsi="宋体" w:eastAsia="宋体" w:cs="宋体"/>
          <w:sz w:val="24"/>
        </w:rPr>
        <w:t>展现所有的预警事件或根据条件筛选后的事件，点击相关事件可以展现事件的详情及反馈记录等信息。</w:t>
      </w:r>
    </w:p>
    <w:p w14:paraId="6BE622E1">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预警事件处理结果</w:t>
      </w:r>
    </w:p>
    <w:p w14:paraId="3E33D270">
      <w:pPr>
        <w:spacing w:line="360" w:lineRule="auto"/>
        <w:ind w:firstLine="480"/>
        <w:rPr>
          <w:rFonts w:hint="eastAsia" w:ascii="宋体" w:hAnsi="宋体" w:eastAsia="宋体" w:cs="宋体"/>
          <w:sz w:val="24"/>
        </w:rPr>
      </w:pPr>
      <w:r>
        <w:rPr>
          <w:rFonts w:hint="eastAsia" w:ascii="宋体" w:hAnsi="宋体" w:eastAsia="宋体" w:cs="宋体"/>
          <w:sz w:val="24"/>
        </w:rPr>
        <w:t>显示预警事件调度流转状态、处理进展及结果，可以通过移动端上传现场处理照片，形成闭环。</w:t>
      </w:r>
    </w:p>
    <w:p w14:paraId="7FB35795">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预警事件筛选</w:t>
      </w:r>
    </w:p>
    <w:p w14:paraId="2D7470AB">
      <w:pPr>
        <w:spacing w:line="360" w:lineRule="auto"/>
        <w:ind w:firstLine="480"/>
        <w:rPr>
          <w:rFonts w:hint="eastAsia" w:ascii="宋体" w:hAnsi="宋体" w:eastAsia="宋体" w:cs="宋体"/>
          <w:sz w:val="24"/>
          <w:highlight w:val="yellow"/>
        </w:rPr>
      </w:pPr>
      <w:r>
        <w:rPr>
          <w:rFonts w:hint="eastAsia" w:ascii="宋体" w:hAnsi="宋体" w:eastAsia="宋体" w:cs="宋体"/>
          <w:sz w:val="24"/>
        </w:rPr>
        <w:t>通过自定义筛选条件，根据预警时间，事件类型，事件状态，报警点位等信息对预警事件进行筛选。</w:t>
      </w:r>
    </w:p>
    <w:p w14:paraId="749614C5">
      <w:pPr>
        <w:pStyle w:val="476"/>
        <w:numPr>
          <w:ilvl w:val="3"/>
          <w:numId w:val="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综合调度决策</w:t>
      </w:r>
    </w:p>
    <w:p w14:paraId="42823949">
      <w:pPr>
        <w:spacing w:line="360" w:lineRule="auto"/>
        <w:ind w:firstLine="480"/>
        <w:rPr>
          <w:rFonts w:hint="eastAsia" w:ascii="宋体" w:hAnsi="宋体" w:eastAsia="宋体" w:cs="宋体"/>
          <w:sz w:val="24"/>
        </w:rPr>
      </w:pPr>
      <w:r>
        <w:rPr>
          <w:rFonts w:hint="eastAsia" w:ascii="宋体" w:hAnsi="宋体" w:eastAsia="宋体" w:cs="宋体"/>
          <w:sz w:val="24"/>
        </w:rPr>
        <w:t>对经系统研判后被认定为疑似违法的事件进行推送、调度、处置和上传回执，形成完整的执法闭环。共包含执法人员配置、多种预警提示、报警推送、告警历史、巡查任务管理、事件调度处理、预警事件转案件、收藏事件、事件导出、手动录像、事件录像下载等功能。</w:t>
      </w:r>
    </w:p>
    <w:p w14:paraId="0DE84C78">
      <w:pPr>
        <w:pStyle w:val="475"/>
        <w:numPr>
          <w:ilvl w:val="4"/>
          <w:numId w:val="2"/>
        </w:numPr>
        <w:spacing w:before="32" w:after="32" w:line="360" w:lineRule="auto"/>
        <w:rPr>
          <w:rFonts w:hint="eastAsia" w:ascii="宋体" w:hAnsi="宋体" w:eastAsia="宋体" w:cs="宋体"/>
          <w:sz w:val="24"/>
          <w:szCs w:val="24"/>
        </w:rPr>
      </w:pPr>
      <w:bookmarkStart w:id="37" w:name="_Ref29151"/>
      <w:r>
        <w:rPr>
          <w:rFonts w:hint="eastAsia" w:ascii="宋体" w:hAnsi="宋体" w:eastAsia="宋体" w:cs="宋体"/>
          <w:sz w:val="24"/>
          <w:szCs w:val="24"/>
        </w:rPr>
        <w:t>执法人员配置</w:t>
      </w:r>
    </w:p>
    <w:p w14:paraId="22DB105F">
      <w:pPr>
        <w:spacing w:line="360" w:lineRule="auto"/>
        <w:ind w:firstLine="480"/>
        <w:rPr>
          <w:rFonts w:hint="eastAsia" w:ascii="宋体" w:hAnsi="宋体" w:eastAsia="宋体" w:cs="宋体"/>
          <w:sz w:val="24"/>
        </w:rPr>
      </w:pPr>
      <w:r>
        <w:rPr>
          <w:rFonts w:hint="eastAsia" w:ascii="宋体" w:hAnsi="宋体" w:eastAsia="宋体" w:cs="宋体"/>
          <w:sz w:val="24"/>
        </w:rPr>
        <w:t>按照预置位和事件类型配置对应执法人员。</w:t>
      </w:r>
    </w:p>
    <w:p w14:paraId="7EDACB63">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多种预警提示</w:t>
      </w:r>
      <w:r>
        <w:rPr>
          <w:rFonts w:hint="eastAsia" w:ascii="宋体" w:hAnsi="宋体" w:eastAsia="宋体" w:cs="宋体"/>
          <w:sz w:val="24"/>
          <w:szCs w:val="24"/>
        </w:rPr>
        <w:tab/>
      </w:r>
      <w:bookmarkEnd w:id="37"/>
    </w:p>
    <w:p w14:paraId="6F58F2BD">
      <w:pPr>
        <w:spacing w:line="360" w:lineRule="auto"/>
        <w:ind w:firstLine="480"/>
        <w:rPr>
          <w:rFonts w:hint="eastAsia" w:ascii="宋体" w:hAnsi="宋体" w:eastAsia="宋体" w:cs="宋体"/>
          <w:sz w:val="24"/>
        </w:rPr>
      </w:pPr>
      <w:r>
        <w:rPr>
          <w:rFonts w:hint="eastAsia" w:ascii="宋体" w:hAnsi="宋体" w:eastAsia="宋体" w:cs="宋体"/>
          <w:sz w:val="24"/>
        </w:rPr>
        <w:t>识别预警后可以在电脑端系统平台和移动端多种方式进行提示。</w:t>
      </w:r>
    </w:p>
    <w:p w14:paraId="2750E08F">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报警推送</w:t>
      </w:r>
      <w:r>
        <w:rPr>
          <w:rFonts w:hint="eastAsia" w:ascii="宋体" w:hAnsi="宋体" w:eastAsia="宋体" w:cs="宋体"/>
          <w:sz w:val="24"/>
          <w:szCs w:val="24"/>
        </w:rPr>
        <w:tab/>
      </w:r>
    </w:p>
    <w:p w14:paraId="17C9640C">
      <w:pPr>
        <w:spacing w:line="360" w:lineRule="auto"/>
        <w:ind w:firstLine="480"/>
        <w:rPr>
          <w:rFonts w:hint="eastAsia" w:ascii="宋体" w:hAnsi="宋体" w:eastAsia="宋体" w:cs="宋体"/>
          <w:sz w:val="24"/>
        </w:rPr>
      </w:pPr>
      <w:r>
        <w:rPr>
          <w:rFonts w:hint="eastAsia" w:ascii="宋体" w:hAnsi="宋体" w:eastAsia="宋体" w:cs="宋体"/>
          <w:sz w:val="24"/>
        </w:rPr>
        <w:t>通推送疑似告警信息至预先配置绑定的相关责任人员移动终端，便于事件的处理和反馈。</w:t>
      </w:r>
    </w:p>
    <w:p w14:paraId="22B68913">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告警历史</w:t>
      </w:r>
      <w:r>
        <w:rPr>
          <w:rFonts w:hint="eastAsia" w:ascii="宋体" w:hAnsi="宋体" w:eastAsia="宋体" w:cs="宋体"/>
          <w:sz w:val="24"/>
          <w:szCs w:val="24"/>
        </w:rPr>
        <w:tab/>
      </w:r>
    </w:p>
    <w:p w14:paraId="3BB5F4AA">
      <w:pPr>
        <w:spacing w:line="360" w:lineRule="auto"/>
        <w:ind w:firstLine="480"/>
        <w:rPr>
          <w:rFonts w:hint="eastAsia" w:ascii="宋体" w:hAnsi="宋体" w:eastAsia="宋体" w:cs="宋体"/>
          <w:sz w:val="24"/>
        </w:rPr>
      </w:pPr>
      <w:r>
        <w:rPr>
          <w:rFonts w:hint="eastAsia" w:ascii="宋体" w:hAnsi="宋体" w:eastAsia="宋体" w:cs="宋体"/>
          <w:sz w:val="24"/>
        </w:rPr>
        <w:t>对所有发出的告警记录进行入库备案，包含报警时间、地点、对应责任人、处理状态等信息，记录一个事件的全过程信息，并形成一组告警视频及告警历史图片。</w:t>
      </w:r>
    </w:p>
    <w:p w14:paraId="06111FD5">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事件调度处理（提供系统界面截图）</w:t>
      </w:r>
    </w:p>
    <w:p w14:paraId="0A908BBF">
      <w:pPr>
        <w:spacing w:line="360" w:lineRule="auto"/>
        <w:ind w:firstLine="480"/>
        <w:rPr>
          <w:rFonts w:hint="eastAsia" w:ascii="宋体" w:hAnsi="宋体" w:eastAsia="宋体" w:cs="宋体"/>
          <w:sz w:val="24"/>
        </w:rPr>
      </w:pPr>
      <w:r>
        <w:rPr>
          <w:rFonts w:hint="eastAsia" w:ascii="宋体" w:hAnsi="宋体" w:eastAsia="宋体" w:cs="宋体"/>
          <w:sz w:val="24"/>
        </w:rPr>
        <w:t>允许管理人员通过手动调度的方式将相关事件信息推送信息给所选择的被调度人员进行事件处理和反馈。</w:t>
      </w:r>
    </w:p>
    <w:p w14:paraId="01F6C118">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收藏事件</w:t>
      </w:r>
    </w:p>
    <w:p w14:paraId="060DA38A">
      <w:pPr>
        <w:spacing w:line="360" w:lineRule="auto"/>
        <w:ind w:firstLine="480"/>
        <w:rPr>
          <w:rFonts w:hint="eastAsia" w:ascii="宋体" w:hAnsi="宋体" w:eastAsia="宋体" w:cs="宋体"/>
          <w:sz w:val="24"/>
        </w:rPr>
      </w:pPr>
      <w:r>
        <w:rPr>
          <w:rFonts w:hint="eastAsia" w:ascii="宋体" w:hAnsi="宋体" w:eastAsia="宋体" w:cs="宋体"/>
          <w:sz w:val="24"/>
        </w:rPr>
        <w:t>允许用户对相关事件进行收藏，便于用户对重点事件进行处置、反馈和汇报。</w:t>
      </w:r>
    </w:p>
    <w:p w14:paraId="4BACA74B">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事件导出</w:t>
      </w:r>
    </w:p>
    <w:p w14:paraId="72BE5501">
      <w:pPr>
        <w:spacing w:line="360" w:lineRule="auto"/>
        <w:ind w:firstLine="480"/>
        <w:rPr>
          <w:rFonts w:hint="eastAsia" w:ascii="宋体" w:hAnsi="宋体" w:eastAsia="宋体" w:cs="宋体"/>
          <w:sz w:val="24"/>
        </w:rPr>
      </w:pPr>
      <w:r>
        <w:rPr>
          <w:rFonts w:hint="eastAsia" w:ascii="宋体" w:hAnsi="宋体" w:eastAsia="宋体" w:cs="宋体"/>
          <w:sz w:val="24"/>
        </w:rPr>
        <w:t>可以导出系统内的疑似违法事件列表，导出内容包含报警时间，事件类型等维度的统计信息。</w:t>
      </w:r>
    </w:p>
    <w:p w14:paraId="7F332615">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手动录像</w:t>
      </w:r>
    </w:p>
    <w:p w14:paraId="19AC5794">
      <w:pPr>
        <w:spacing w:line="360" w:lineRule="auto"/>
        <w:ind w:firstLine="480"/>
        <w:rPr>
          <w:rFonts w:hint="eastAsia" w:ascii="宋体" w:hAnsi="宋体" w:eastAsia="宋体" w:cs="宋体"/>
          <w:sz w:val="24"/>
        </w:rPr>
      </w:pPr>
      <w:r>
        <w:rPr>
          <w:rFonts w:hint="eastAsia" w:ascii="宋体" w:hAnsi="宋体" w:eastAsia="宋体" w:cs="宋体"/>
          <w:sz w:val="24"/>
        </w:rPr>
        <w:t>通过平台控制前端设备进行手动录像，并能生成报警信息。</w:t>
      </w:r>
    </w:p>
    <w:p w14:paraId="709F1B02">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事件录像下载</w:t>
      </w:r>
    </w:p>
    <w:p w14:paraId="35CC9C0D">
      <w:pPr>
        <w:spacing w:line="360" w:lineRule="auto"/>
        <w:ind w:firstLine="480"/>
        <w:rPr>
          <w:rFonts w:hint="eastAsia" w:ascii="宋体" w:hAnsi="宋体" w:eastAsia="宋体" w:cs="宋体"/>
          <w:sz w:val="24"/>
        </w:rPr>
      </w:pPr>
      <w:r>
        <w:rPr>
          <w:rFonts w:hint="eastAsia" w:ascii="宋体" w:hAnsi="宋体" w:eastAsia="宋体" w:cs="宋体"/>
          <w:sz w:val="24"/>
        </w:rPr>
        <w:t>对系统保存的预警事件录像信息，支持视频证据下载。</w:t>
      </w:r>
    </w:p>
    <w:p w14:paraId="7B227D44">
      <w:pPr>
        <w:pStyle w:val="476"/>
        <w:numPr>
          <w:ilvl w:val="3"/>
          <w:numId w:val="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事件管理跟踪</w:t>
      </w:r>
    </w:p>
    <w:p w14:paraId="7F3B0224">
      <w:pPr>
        <w:spacing w:line="360" w:lineRule="auto"/>
        <w:ind w:firstLine="480"/>
        <w:rPr>
          <w:rFonts w:hint="eastAsia" w:ascii="宋体" w:hAnsi="宋体" w:eastAsia="宋体" w:cs="宋体"/>
          <w:sz w:val="24"/>
        </w:rPr>
      </w:pPr>
      <w:r>
        <w:rPr>
          <w:rFonts w:hint="eastAsia" w:ascii="宋体" w:hAnsi="宋体" w:eastAsia="宋体" w:cs="宋体"/>
          <w:sz w:val="24"/>
        </w:rPr>
        <w:t>对疑似违法行为进行数据可视化管理，从报案、处置、结案到归档进行数据统一的信息留存，包括预警时间分布、设备预警数量统计、预警状态统计、预警设备排名、报表导出等功能。</w:t>
      </w:r>
    </w:p>
    <w:p w14:paraId="6408327E">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预警时间分布</w:t>
      </w:r>
    </w:p>
    <w:p w14:paraId="343835E2">
      <w:pPr>
        <w:spacing w:line="360" w:lineRule="auto"/>
        <w:ind w:firstLine="480"/>
        <w:rPr>
          <w:rFonts w:hint="eastAsia" w:ascii="宋体" w:hAnsi="宋体" w:eastAsia="宋体" w:cs="宋体"/>
          <w:sz w:val="24"/>
        </w:rPr>
      </w:pPr>
      <w:r>
        <w:rPr>
          <w:rFonts w:hint="eastAsia" w:ascii="宋体" w:hAnsi="宋体" w:eastAsia="宋体" w:cs="宋体"/>
          <w:sz w:val="24"/>
        </w:rPr>
        <w:t>分析预警事件发生的时间段，形成统计结果，并以统计图的形式进行展示。</w:t>
      </w:r>
    </w:p>
    <w:p w14:paraId="59A75428">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设备预警数量统计</w:t>
      </w:r>
    </w:p>
    <w:p w14:paraId="4FFBF928">
      <w:pPr>
        <w:spacing w:line="360" w:lineRule="auto"/>
        <w:ind w:firstLine="480"/>
        <w:rPr>
          <w:rFonts w:hint="eastAsia" w:ascii="宋体" w:hAnsi="宋体" w:eastAsia="宋体" w:cs="宋体"/>
          <w:sz w:val="24"/>
        </w:rPr>
      </w:pPr>
      <w:r>
        <w:rPr>
          <w:rFonts w:hint="eastAsia" w:ascii="宋体" w:hAnsi="宋体" w:eastAsia="宋体" w:cs="宋体"/>
          <w:sz w:val="24"/>
        </w:rPr>
        <w:t>以单个前端点位为筛选条件，统计该点位发生过的所有预警信息，形成统计结果，并以图的形式进行展示。</w:t>
      </w:r>
    </w:p>
    <w:p w14:paraId="219A2F36">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预警状态统计</w:t>
      </w:r>
    </w:p>
    <w:p w14:paraId="102E00D4">
      <w:pPr>
        <w:spacing w:line="360" w:lineRule="auto"/>
        <w:ind w:firstLine="480"/>
        <w:rPr>
          <w:rFonts w:hint="eastAsia" w:ascii="宋体" w:hAnsi="宋体" w:eastAsia="宋体" w:cs="宋体"/>
          <w:sz w:val="24"/>
        </w:rPr>
      </w:pPr>
      <w:r>
        <w:rPr>
          <w:rFonts w:hint="eastAsia" w:ascii="宋体" w:hAnsi="宋体" w:eastAsia="宋体" w:cs="宋体"/>
          <w:sz w:val="24"/>
        </w:rPr>
        <w:t>对预警事件处理状态进行统计，状态分为四种：未反馈、已调度、处理中、已完成，形成统计结果，并以图的形式进行展示。</w:t>
      </w:r>
    </w:p>
    <w:p w14:paraId="4BB4C937">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预警设备排名</w:t>
      </w:r>
    </w:p>
    <w:p w14:paraId="5EA67656">
      <w:pPr>
        <w:spacing w:line="360" w:lineRule="auto"/>
        <w:ind w:firstLine="480"/>
        <w:rPr>
          <w:rFonts w:hint="eastAsia" w:ascii="宋体" w:hAnsi="宋体" w:eastAsia="宋体" w:cs="宋体"/>
          <w:sz w:val="24"/>
        </w:rPr>
      </w:pPr>
      <w:r>
        <w:rPr>
          <w:rFonts w:hint="eastAsia" w:ascii="宋体" w:hAnsi="宋体" w:eastAsia="宋体" w:cs="宋体"/>
          <w:sz w:val="24"/>
        </w:rPr>
        <w:t>统计各前端点位当日的预警数量，形成统计结果，并以表的形式进行展示。</w:t>
      </w:r>
    </w:p>
    <w:p w14:paraId="0DDCF5A3">
      <w:pPr>
        <w:pStyle w:val="476"/>
        <w:numPr>
          <w:ilvl w:val="3"/>
          <w:numId w:val="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实时视频管控</w:t>
      </w:r>
    </w:p>
    <w:p w14:paraId="13387CEF">
      <w:pPr>
        <w:spacing w:line="360" w:lineRule="auto"/>
        <w:ind w:firstLine="480"/>
        <w:rPr>
          <w:rFonts w:hint="eastAsia" w:ascii="宋体" w:hAnsi="宋体" w:eastAsia="宋体" w:cs="宋体"/>
          <w:sz w:val="24"/>
        </w:rPr>
      </w:pPr>
      <w:r>
        <w:rPr>
          <w:rFonts w:hint="eastAsia" w:ascii="宋体" w:hAnsi="宋体" w:eastAsia="宋体" w:cs="宋体"/>
          <w:sz w:val="24"/>
        </w:rPr>
        <w:t>用于常态情况下的视频查看，也应用于案件处置过程中的调查取证。能在系统中通过预置位管理设置云台自动轮廵节奏，也能通过调整云台方向控制监控设备的查看范围。包含预置位管理、实时视频、云台控制等功能。</w:t>
      </w:r>
    </w:p>
    <w:p w14:paraId="2C476279">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预置位管理（提供系统界面截图）</w:t>
      </w:r>
    </w:p>
    <w:p w14:paraId="05B94FBC">
      <w:pPr>
        <w:spacing w:line="360" w:lineRule="auto"/>
        <w:ind w:firstLine="480"/>
        <w:rPr>
          <w:rFonts w:hint="eastAsia" w:ascii="宋体" w:hAnsi="宋体" w:eastAsia="宋体" w:cs="宋体"/>
          <w:sz w:val="24"/>
        </w:rPr>
      </w:pPr>
      <w:r>
        <w:rPr>
          <w:rFonts w:hint="eastAsia" w:ascii="宋体" w:hAnsi="宋体" w:eastAsia="宋体" w:cs="宋体"/>
          <w:sz w:val="24"/>
        </w:rPr>
        <w:t>对各个前端点为进行预置位管理，通过系统可以对前端点位的预置位进行新增、删除、修改等操作。</w:t>
      </w:r>
    </w:p>
    <w:p w14:paraId="59829253">
      <w:pPr>
        <w:pStyle w:val="475"/>
        <w:numPr>
          <w:ilvl w:val="4"/>
          <w:numId w:val="2"/>
        </w:numPr>
        <w:spacing w:before="32" w:after="32" w:line="360" w:lineRule="auto"/>
        <w:rPr>
          <w:rFonts w:hint="eastAsia" w:ascii="宋体" w:hAnsi="宋体" w:eastAsia="宋体" w:cs="宋体"/>
          <w:sz w:val="24"/>
          <w:szCs w:val="24"/>
        </w:rPr>
      </w:pPr>
      <w:bookmarkStart w:id="38" w:name="_Toc5812"/>
      <w:bookmarkStart w:id="39" w:name="_Toc1905"/>
      <w:bookmarkStart w:id="40" w:name="_Toc24364"/>
      <w:r>
        <w:rPr>
          <w:rFonts w:hint="eastAsia" w:ascii="宋体" w:hAnsi="宋体" w:eastAsia="宋体" w:cs="宋体"/>
          <w:sz w:val="24"/>
          <w:szCs w:val="24"/>
        </w:rPr>
        <w:t>实时视频</w:t>
      </w:r>
      <w:bookmarkEnd w:id="38"/>
    </w:p>
    <w:p w14:paraId="26641D9F">
      <w:pPr>
        <w:spacing w:line="360" w:lineRule="auto"/>
        <w:ind w:firstLine="480"/>
        <w:rPr>
          <w:rFonts w:hint="eastAsia" w:ascii="宋体" w:hAnsi="宋体" w:eastAsia="宋体" w:cs="宋体"/>
          <w:sz w:val="24"/>
        </w:rPr>
      </w:pPr>
      <w:r>
        <w:rPr>
          <w:rFonts w:hint="eastAsia" w:ascii="宋体" w:hAnsi="宋体" w:eastAsia="宋体" w:cs="宋体"/>
          <w:sz w:val="24"/>
        </w:rPr>
        <w:t>在应急调度时，通过点位预览窗口直接进行单个监控画面实时查看。</w:t>
      </w:r>
    </w:p>
    <w:p w14:paraId="348A086F">
      <w:pPr>
        <w:pStyle w:val="476"/>
        <w:numPr>
          <w:ilvl w:val="3"/>
          <w:numId w:val="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系统配置</w:t>
      </w:r>
      <w:bookmarkEnd w:id="39"/>
      <w:bookmarkEnd w:id="40"/>
      <w:r>
        <w:rPr>
          <w:rFonts w:hint="eastAsia" w:ascii="宋体" w:hAnsi="宋体" w:eastAsia="宋体" w:cs="宋体"/>
          <w:b/>
          <w:bCs/>
          <w:sz w:val="24"/>
          <w:szCs w:val="24"/>
        </w:rPr>
        <w:t>管理</w:t>
      </w:r>
    </w:p>
    <w:p w14:paraId="3B1C2456">
      <w:pPr>
        <w:spacing w:line="360" w:lineRule="auto"/>
        <w:ind w:firstLine="480"/>
        <w:rPr>
          <w:rFonts w:hint="eastAsia" w:ascii="宋体" w:hAnsi="宋体" w:eastAsia="宋体" w:cs="宋体"/>
          <w:sz w:val="24"/>
        </w:rPr>
      </w:pPr>
      <w:r>
        <w:rPr>
          <w:rFonts w:hint="eastAsia" w:ascii="宋体" w:hAnsi="宋体" w:eastAsia="宋体" w:cs="宋体"/>
          <w:sz w:val="24"/>
        </w:rPr>
        <w:t>对用户信息进行录入和用户权限分配，以及系统中点、线、面资源进行配置。包含数据字典、用户管理、角色管理、点资源设置、线资源设置、面资源设置等功能。</w:t>
      </w:r>
    </w:p>
    <w:p w14:paraId="0755FA13">
      <w:pPr>
        <w:pStyle w:val="475"/>
        <w:numPr>
          <w:ilvl w:val="4"/>
          <w:numId w:val="2"/>
        </w:numPr>
        <w:spacing w:before="32" w:after="32" w:line="360" w:lineRule="auto"/>
        <w:rPr>
          <w:rFonts w:hint="eastAsia" w:ascii="宋体" w:hAnsi="宋体" w:eastAsia="宋体" w:cs="宋体"/>
          <w:sz w:val="24"/>
          <w:szCs w:val="24"/>
        </w:rPr>
      </w:pPr>
      <w:bookmarkStart w:id="41" w:name="_Toc574"/>
      <w:r>
        <w:rPr>
          <w:rFonts w:hint="eastAsia" w:ascii="宋体" w:hAnsi="宋体" w:eastAsia="宋体" w:cs="宋体"/>
          <w:sz w:val="24"/>
          <w:szCs w:val="24"/>
        </w:rPr>
        <w:t>数据字典</w:t>
      </w:r>
      <w:bookmarkEnd w:id="41"/>
    </w:p>
    <w:p w14:paraId="55E539AC">
      <w:pPr>
        <w:spacing w:line="360" w:lineRule="auto"/>
        <w:ind w:firstLine="480"/>
        <w:rPr>
          <w:rFonts w:hint="eastAsia" w:ascii="宋体" w:hAnsi="宋体" w:eastAsia="宋体" w:cs="宋体"/>
          <w:sz w:val="24"/>
        </w:rPr>
      </w:pPr>
      <w:r>
        <w:rPr>
          <w:rFonts w:hint="eastAsia" w:ascii="宋体" w:hAnsi="宋体" w:eastAsia="宋体" w:cs="宋体"/>
          <w:sz w:val="24"/>
        </w:rPr>
        <w:t>能够将系统中所有可配置的下拉及多选项目的进行配置，配置内容包括点资源类型、面资源类型、案件类型等。</w:t>
      </w:r>
    </w:p>
    <w:p w14:paraId="7DF74232">
      <w:pPr>
        <w:pStyle w:val="475"/>
        <w:numPr>
          <w:ilvl w:val="4"/>
          <w:numId w:val="2"/>
        </w:numPr>
        <w:spacing w:before="32" w:after="32" w:line="360" w:lineRule="auto"/>
        <w:rPr>
          <w:rFonts w:hint="eastAsia" w:ascii="宋体" w:hAnsi="宋体" w:eastAsia="宋体" w:cs="宋体"/>
          <w:sz w:val="24"/>
          <w:szCs w:val="24"/>
        </w:rPr>
      </w:pPr>
      <w:bookmarkStart w:id="42" w:name="_Toc13866"/>
      <w:r>
        <w:rPr>
          <w:rFonts w:hint="eastAsia" w:ascii="宋体" w:hAnsi="宋体" w:eastAsia="宋体" w:cs="宋体"/>
          <w:sz w:val="24"/>
          <w:szCs w:val="24"/>
        </w:rPr>
        <w:t>用户管理</w:t>
      </w:r>
      <w:bookmarkEnd w:id="42"/>
    </w:p>
    <w:p w14:paraId="54F177A7">
      <w:pPr>
        <w:spacing w:line="360" w:lineRule="auto"/>
        <w:ind w:firstLine="480"/>
        <w:rPr>
          <w:rFonts w:hint="eastAsia" w:ascii="宋体" w:hAnsi="宋体" w:eastAsia="宋体" w:cs="宋体"/>
          <w:sz w:val="24"/>
        </w:rPr>
      </w:pPr>
      <w:r>
        <w:rPr>
          <w:rFonts w:hint="eastAsia" w:ascii="宋体" w:hAnsi="宋体" w:eastAsia="宋体" w:cs="宋体"/>
          <w:sz w:val="24"/>
        </w:rPr>
        <w:t>对系统用户与各个项目用户登录账号进行管理，能够在本模块完成对用户信息的新增、修改、查看、检索、删除操作，能够为不同用户划分对应角色权限，数据权限，用户信息包括：用户登陆账号、密码、角色、到期时间等。</w:t>
      </w:r>
    </w:p>
    <w:p w14:paraId="00F4D333">
      <w:pPr>
        <w:pStyle w:val="475"/>
        <w:numPr>
          <w:ilvl w:val="4"/>
          <w:numId w:val="2"/>
        </w:numPr>
        <w:spacing w:before="32" w:after="32" w:line="360" w:lineRule="auto"/>
        <w:rPr>
          <w:rFonts w:hint="eastAsia" w:ascii="宋体" w:hAnsi="宋体" w:eastAsia="宋体" w:cs="宋体"/>
          <w:sz w:val="24"/>
          <w:szCs w:val="24"/>
        </w:rPr>
      </w:pPr>
      <w:bookmarkStart w:id="43" w:name="_Toc14511"/>
      <w:r>
        <w:rPr>
          <w:rFonts w:hint="eastAsia" w:ascii="宋体" w:hAnsi="宋体" w:eastAsia="宋体" w:cs="宋体"/>
          <w:sz w:val="24"/>
          <w:szCs w:val="24"/>
        </w:rPr>
        <w:t>角色管理</w:t>
      </w:r>
      <w:bookmarkEnd w:id="43"/>
    </w:p>
    <w:p w14:paraId="6BB08B3A">
      <w:pPr>
        <w:spacing w:line="360" w:lineRule="auto"/>
        <w:ind w:firstLine="480"/>
        <w:rPr>
          <w:rFonts w:hint="eastAsia" w:ascii="宋体" w:hAnsi="宋体" w:eastAsia="宋体" w:cs="宋体"/>
          <w:sz w:val="24"/>
        </w:rPr>
      </w:pPr>
      <w:r>
        <w:rPr>
          <w:rFonts w:hint="eastAsia" w:ascii="宋体" w:hAnsi="宋体" w:eastAsia="宋体" w:cs="宋体"/>
          <w:sz w:val="24"/>
        </w:rPr>
        <w:t>对系统内用户使用到的不同角色进行管理，完成对角色的新增、修改、查看、检索、删除操作，能够为不同的角色关联不同的功能权限，以进行控制划分，角色信息包括：角色名称、功能权限等信息。</w:t>
      </w:r>
    </w:p>
    <w:p w14:paraId="3B3F6635">
      <w:pPr>
        <w:pStyle w:val="475"/>
        <w:numPr>
          <w:ilvl w:val="4"/>
          <w:numId w:val="2"/>
        </w:numPr>
        <w:spacing w:before="32" w:after="32" w:line="360" w:lineRule="auto"/>
        <w:rPr>
          <w:rFonts w:hint="eastAsia" w:ascii="宋体" w:hAnsi="宋体" w:eastAsia="宋体" w:cs="宋体"/>
          <w:sz w:val="24"/>
          <w:szCs w:val="24"/>
        </w:rPr>
      </w:pPr>
      <w:bookmarkStart w:id="44" w:name="_Toc1374"/>
      <w:r>
        <w:rPr>
          <w:rFonts w:hint="eastAsia" w:ascii="宋体" w:hAnsi="宋体" w:eastAsia="宋体" w:cs="宋体"/>
          <w:sz w:val="24"/>
          <w:szCs w:val="24"/>
        </w:rPr>
        <w:t>点资源设置</w:t>
      </w:r>
      <w:bookmarkEnd w:id="44"/>
      <w:r>
        <w:rPr>
          <w:rFonts w:hint="eastAsia" w:ascii="宋体" w:hAnsi="宋体" w:eastAsia="宋体" w:cs="宋体"/>
          <w:sz w:val="24"/>
          <w:szCs w:val="24"/>
        </w:rPr>
        <w:t>（提供系统界面截图）</w:t>
      </w:r>
    </w:p>
    <w:p w14:paraId="52BF197B">
      <w:pPr>
        <w:spacing w:line="360" w:lineRule="auto"/>
        <w:ind w:firstLine="480"/>
        <w:rPr>
          <w:rFonts w:hint="eastAsia" w:ascii="宋体" w:hAnsi="宋体" w:eastAsia="宋体" w:cs="宋体"/>
          <w:sz w:val="24"/>
        </w:rPr>
      </w:pPr>
      <w:r>
        <w:rPr>
          <w:rFonts w:hint="eastAsia" w:ascii="宋体" w:hAnsi="宋体" w:eastAsia="宋体" w:cs="宋体"/>
          <w:sz w:val="24"/>
        </w:rPr>
        <w:t>对系统中需要的各种点位资源进行集中管理，能够在系统上完成点资源数据的新增、修改、查看、检索、删除操作，能够定义点位类型，在后台进行录入、在地图上同步展示。点资源的信息包括：点位名称、点位地址、点位类型、点位经纬度等。</w:t>
      </w:r>
    </w:p>
    <w:p w14:paraId="43A2505F">
      <w:pPr>
        <w:pStyle w:val="475"/>
        <w:numPr>
          <w:ilvl w:val="4"/>
          <w:numId w:val="2"/>
        </w:numPr>
        <w:spacing w:before="32" w:after="32" w:line="360" w:lineRule="auto"/>
        <w:rPr>
          <w:rFonts w:hint="eastAsia" w:ascii="宋体" w:hAnsi="宋体" w:eastAsia="宋体" w:cs="宋体"/>
          <w:sz w:val="24"/>
          <w:szCs w:val="24"/>
        </w:rPr>
      </w:pPr>
      <w:bookmarkStart w:id="45" w:name="_Toc28810"/>
      <w:r>
        <w:rPr>
          <w:rFonts w:hint="eastAsia" w:ascii="宋体" w:hAnsi="宋体" w:eastAsia="宋体" w:cs="宋体"/>
          <w:sz w:val="24"/>
          <w:szCs w:val="24"/>
        </w:rPr>
        <w:t>线资源设置</w:t>
      </w:r>
      <w:bookmarkEnd w:id="45"/>
      <w:r>
        <w:rPr>
          <w:rFonts w:hint="eastAsia" w:ascii="宋体" w:hAnsi="宋体" w:eastAsia="宋体" w:cs="宋体"/>
          <w:sz w:val="24"/>
          <w:szCs w:val="24"/>
        </w:rPr>
        <w:t>（提供系统界面截图）</w:t>
      </w:r>
    </w:p>
    <w:p w14:paraId="7729321F">
      <w:pPr>
        <w:spacing w:line="360" w:lineRule="auto"/>
        <w:ind w:firstLine="480"/>
        <w:rPr>
          <w:rFonts w:hint="eastAsia" w:ascii="宋体" w:hAnsi="宋体" w:eastAsia="宋体" w:cs="宋体"/>
          <w:sz w:val="24"/>
        </w:rPr>
      </w:pPr>
      <w:r>
        <w:rPr>
          <w:rFonts w:hint="eastAsia" w:ascii="宋体" w:hAnsi="宋体" w:eastAsia="宋体" w:cs="宋体"/>
          <w:sz w:val="24"/>
        </w:rPr>
        <w:t>对系统中需要的各种线资源进行集中管理，能够在系统上完成线资源数据的新增、修改、查看、检索、删除操作，能够定义线段类型，在后台进行录入、在地图上同步展示。线资源的信息包括：资源名称、资源类型、起点与终点、线段长度等。</w:t>
      </w:r>
    </w:p>
    <w:p w14:paraId="7B07E631">
      <w:pPr>
        <w:pStyle w:val="475"/>
        <w:numPr>
          <w:ilvl w:val="4"/>
          <w:numId w:val="2"/>
        </w:numPr>
        <w:spacing w:before="32" w:after="32" w:line="360" w:lineRule="auto"/>
        <w:rPr>
          <w:rFonts w:hint="eastAsia" w:ascii="宋体" w:hAnsi="宋体" w:eastAsia="宋体" w:cs="宋体"/>
          <w:sz w:val="24"/>
          <w:szCs w:val="24"/>
        </w:rPr>
      </w:pPr>
      <w:bookmarkStart w:id="46" w:name="_Toc32687"/>
      <w:r>
        <w:rPr>
          <w:rFonts w:hint="eastAsia" w:ascii="宋体" w:hAnsi="宋体" w:eastAsia="宋体" w:cs="宋体"/>
          <w:sz w:val="24"/>
          <w:szCs w:val="24"/>
        </w:rPr>
        <w:t>面资源设置</w:t>
      </w:r>
      <w:bookmarkEnd w:id="46"/>
      <w:r>
        <w:rPr>
          <w:rFonts w:hint="eastAsia" w:ascii="宋体" w:hAnsi="宋体" w:eastAsia="宋体" w:cs="宋体"/>
          <w:sz w:val="24"/>
          <w:szCs w:val="24"/>
        </w:rPr>
        <w:t>（提供系统界面截图）</w:t>
      </w:r>
    </w:p>
    <w:p w14:paraId="535A5EED">
      <w:pPr>
        <w:spacing w:line="360" w:lineRule="auto"/>
        <w:ind w:firstLine="480"/>
        <w:rPr>
          <w:rFonts w:hint="eastAsia" w:ascii="宋体" w:hAnsi="宋体" w:eastAsia="宋体" w:cs="宋体"/>
          <w:sz w:val="24"/>
        </w:rPr>
      </w:pPr>
      <w:r>
        <w:rPr>
          <w:rFonts w:hint="eastAsia" w:ascii="宋体" w:hAnsi="宋体" w:eastAsia="宋体" w:cs="宋体"/>
          <w:sz w:val="24"/>
        </w:rPr>
        <w:t>对系统中需要的各种面资源进行集中管理，能够在系统上完成面资源数据的新增、修改、查看、检索、删除操作，能够定义面类型，在后台进行录入、在地图上同步展示。面资源的信息包括：资源名称、资源类型、所属机构等。</w:t>
      </w:r>
    </w:p>
    <w:p w14:paraId="63DF98B5">
      <w:pPr>
        <w:pStyle w:val="476"/>
        <w:numPr>
          <w:ilvl w:val="3"/>
          <w:numId w:val="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移动端</w:t>
      </w:r>
      <w:r>
        <w:rPr>
          <w:rFonts w:hint="eastAsia" w:ascii="宋体" w:hAnsi="宋体" w:eastAsia="宋体" w:cs="宋体"/>
          <w:b/>
          <w:bCs/>
          <w:sz w:val="24"/>
          <w:szCs w:val="24"/>
        </w:rPr>
        <w:tab/>
      </w:r>
    </w:p>
    <w:p w14:paraId="192A71FD">
      <w:pPr>
        <w:spacing w:line="360" w:lineRule="auto"/>
        <w:ind w:firstLine="480"/>
        <w:rPr>
          <w:rFonts w:hint="eastAsia" w:ascii="宋体" w:hAnsi="宋体" w:eastAsia="宋体" w:cs="宋体"/>
          <w:sz w:val="24"/>
        </w:rPr>
      </w:pPr>
      <w:r>
        <w:rPr>
          <w:rFonts w:hint="eastAsia" w:ascii="宋体" w:hAnsi="宋体" w:eastAsia="宋体" w:cs="宋体"/>
          <w:sz w:val="24"/>
        </w:rPr>
        <w:t>通过移动端功能使现场执法更具灵活性、便捷性和可操作性。包含事件接受/通知、事件处理、一键处理、一键导航、视频实时预览等功能。</w:t>
      </w:r>
    </w:p>
    <w:p w14:paraId="77DADDB1">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事件接受/通知</w:t>
      </w:r>
      <w:r>
        <w:rPr>
          <w:rFonts w:hint="eastAsia" w:ascii="宋体" w:hAnsi="宋体" w:eastAsia="宋体" w:cs="宋体"/>
          <w:sz w:val="24"/>
          <w:szCs w:val="24"/>
        </w:rPr>
        <w:tab/>
      </w:r>
    </w:p>
    <w:p w14:paraId="4B763CD8">
      <w:pPr>
        <w:spacing w:line="360" w:lineRule="auto"/>
        <w:ind w:firstLine="480"/>
        <w:rPr>
          <w:rFonts w:hint="eastAsia" w:ascii="宋体" w:hAnsi="宋体" w:eastAsia="宋体" w:cs="宋体"/>
          <w:sz w:val="24"/>
        </w:rPr>
      </w:pPr>
      <w:r>
        <w:rPr>
          <w:rFonts w:hint="eastAsia" w:ascii="宋体" w:hAnsi="宋体" w:eastAsia="宋体" w:cs="宋体"/>
          <w:sz w:val="24"/>
        </w:rPr>
        <w:t>通过移动端接收系统的事件信息及调度指令。</w:t>
      </w:r>
    </w:p>
    <w:p w14:paraId="71478667">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事件处理</w:t>
      </w:r>
      <w:r>
        <w:rPr>
          <w:rFonts w:hint="eastAsia" w:ascii="宋体" w:hAnsi="宋体" w:eastAsia="宋体" w:cs="宋体"/>
          <w:sz w:val="24"/>
          <w:szCs w:val="24"/>
        </w:rPr>
        <w:tab/>
      </w:r>
    </w:p>
    <w:p w14:paraId="48BD4F2D">
      <w:pPr>
        <w:spacing w:line="360" w:lineRule="auto"/>
        <w:ind w:firstLine="480"/>
        <w:rPr>
          <w:rFonts w:hint="eastAsia" w:ascii="宋体" w:hAnsi="宋体" w:eastAsia="宋体" w:cs="宋体"/>
          <w:sz w:val="24"/>
          <w:highlight w:val="yellow"/>
        </w:rPr>
      </w:pPr>
      <w:r>
        <w:rPr>
          <w:rFonts w:hint="eastAsia" w:ascii="宋体" w:hAnsi="宋体" w:eastAsia="宋体" w:cs="宋体"/>
          <w:sz w:val="24"/>
        </w:rPr>
        <w:t>现场处置人员以填报的方式上报处置信息，包括事件处置情况、现场处置照片等信息，形成事件闭环管理。</w:t>
      </w:r>
    </w:p>
    <w:p w14:paraId="19A1BF21">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一键处理</w:t>
      </w:r>
    </w:p>
    <w:p w14:paraId="5138B4BF">
      <w:pPr>
        <w:spacing w:line="360" w:lineRule="auto"/>
        <w:ind w:firstLine="480"/>
        <w:rPr>
          <w:rFonts w:hint="eastAsia" w:ascii="宋体" w:hAnsi="宋体" w:eastAsia="宋体" w:cs="宋体"/>
          <w:sz w:val="24"/>
        </w:rPr>
      </w:pPr>
      <w:r>
        <w:rPr>
          <w:rFonts w:hint="eastAsia" w:ascii="宋体" w:hAnsi="宋体" w:eastAsia="宋体" w:cs="宋体"/>
          <w:sz w:val="24"/>
        </w:rPr>
        <w:t>移动端在处理事件时，事件处理进度等信息自动同步至平台。</w:t>
      </w:r>
    </w:p>
    <w:p w14:paraId="62CD9CA2">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一键导航</w:t>
      </w:r>
    </w:p>
    <w:p w14:paraId="696716EB">
      <w:pPr>
        <w:spacing w:line="360" w:lineRule="auto"/>
        <w:ind w:firstLine="480"/>
        <w:rPr>
          <w:rFonts w:hint="eastAsia" w:ascii="宋体" w:hAnsi="宋体" w:eastAsia="宋体" w:cs="宋体"/>
          <w:sz w:val="24"/>
        </w:rPr>
      </w:pPr>
      <w:r>
        <w:rPr>
          <w:rFonts w:hint="eastAsia" w:ascii="宋体" w:hAnsi="宋体" w:eastAsia="宋体" w:cs="宋体"/>
          <w:sz w:val="24"/>
        </w:rPr>
        <w:t>根据系统推送的事件定位信息，调用移动端导航软件导航到事件位置。</w:t>
      </w:r>
    </w:p>
    <w:p w14:paraId="06E91522">
      <w:pPr>
        <w:pStyle w:val="475"/>
        <w:numPr>
          <w:ilvl w:val="4"/>
          <w:numId w:val="2"/>
        </w:numPr>
        <w:spacing w:before="32" w:after="32" w:line="360" w:lineRule="auto"/>
        <w:rPr>
          <w:rFonts w:hint="eastAsia" w:ascii="宋体" w:hAnsi="宋体" w:eastAsia="宋体" w:cs="宋体"/>
          <w:sz w:val="24"/>
          <w:szCs w:val="24"/>
        </w:rPr>
      </w:pPr>
      <w:r>
        <w:rPr>
          <w:rFonts w:hint="eastAsia" w:ascii="宋体" w:hAnsi="宋体" w:eastAsia="宋体" w:cs="宋体"/>
          <w:sz w:val="24"/>
          <w:szCs w:val="24"/>
        </w:rPr>
        <w:t>视频实时预览</w:t>
      </w:r>
    </w:p>
    <w:p w14:paraId="168F0332">
      <w:pPr>
        <w:spacing w:line="360" w:lineRule="auto"/>
        <w:ind w:firstLine="480"/>
        <w:rPr>
          <w:rFonts w:hint="eastAsia" w:ascii="宋体" w:hAnsi="宋体" w:eastAsia="宋体" w:cs="宋体"/>
          <w:sz w:val="24"/>
        </w:rPr>
      </w:pPr>
      <w:r>
        <w:rPr>
          <w:rFonts w:hint="eastAsia" w:ascii="宋体" w:hAnsi="宋体" w:eastAsia="宋体" w:cs="宋体"/>
          <w:sz w:val="24"/>
        </w:rPr>
        <w:t>用户在移动端可以对前端点位的视频，进行预览、抓拍等操作。</w:t>
      </w:r>
    </w:p>
    <w:p w14:paraId="46D18CE8">
      <w:pPr>
        <w:pStyle w:val="880"/>
        <w:numPr>
          <w:ilvl w:val="2"/>
          <w:numId w:val="2"/>
        </w:numPr>
        <w:spacing w:line="360" w:lineRule="auto"/>
        <w:rPr>
          <w:rFonts w:hint="eastAsia" w:ascii="宋体" w:hAnsi="宋体" w:eastAsia="宋体" w:cs="宋体"/>
          <w:sz w:val="24"/>
          <w:szCs w:val="24"/>
        </w:rPr>
      </w:pPr>
      <w:r>
        <w:rPr>
          <w:rFonts w:hint="eastAsia" w:ascii="宋体" w:hAnsi="宋体" w:eastAsia="宋体" w:cs="宋体"/>
          <w:sz w:val="24"/>
          <w:szCs w:val="24"/>
        </w:rPr>
        <w:t>平台兼容性需求</w:t>
      </w:r>
    </w:p>
    <w:p w14:paraId="54FB8F82">
      <w:pPr>
        <w:spacing w:line="360" w:lineRule="auto"/>
        <w:ind w:firstLine="480"/>
        <w:rPr>
          <w:rFonts w:hint="eastAsia" w:ascii="宋体" w:hAnsi="宋体" w:eastAsia="宋体" w:cs="宋体"/>
          <w:sz w:val="24"/>
        </w:rPr>
      </w:pPr>
      <w:r>
        <w:rPr>
          <w:rFonts w:hint="eastAsia" w:ascii="宋体" w:hAnsi="宋体" w:eastAsia="宋体" w:cs="宋体"/>
          <w:sz w:val="24"/>
        </w:rPr>
        <w:t>预警平台应具有较好的兼容性，符合政府信息化项目国产化替代的政策：</w:t>
      </w:r>
    </w:p>
    <w:p w14:paraId="5B7C6D79">
      <w:pPr>
        <w:spacing w:line="360" w:lineRule="auto"/>
        <w:ind w:firstLine="480"/>
        <w:rPr>
          <w:rFonts w:hint="eastAsia" w:ascii="宋体" w:hAnsi="宋体" w:eastAsia="宋体" w:cs="宋体"/>
          <w:sz w:val="24"/>
        </w:rPr>
      </w:pPr>
      <w:r>
        <w:rPr>
          <w:rFonts w:hint="eastAsia" w:ascii="宋体" w:hAnsi="宋体" w:eastAsia="宋体" w:cs="仿宋_GB2312"/>
          <w:color w:val="000000"/>
          <w:sz w:val="24"/>
        </w:rPr>
        <w:t>△</w:t>
      </w:r>
      <w:r>
        <w:rPr>
          <w:rFonts w:hint="eastAsia" w:ascii="宋体" w:hAnsi="宋体" w:eastAsia="宋体" w:cs="宋体"/>
          <w:sz w:val="24"/>
        </w:rPr>
        <w:t>兼容国产操作系统；（提供相关兼容性证书）</w:t>
      </w:r>
    </w:p>
    <w:p w14:paraId="5922413A">
      <w:pPr>
        <w:spacing w:line="360" w:lineRule="auto"/>
        <w:ind w:firstLine="480"/>
        <w:rPr>
          <w:rFonts w:hint="eastAsia" w:ascii="宋体" w:hAnsi="宋体" w:eastAsia="宋体" w:cs="宋体"/>
          <w:sz w:val="24"/>
        </w:rPr>
      </w:pPr>
      <w:r>
        <w:rPr>
          <w:rFonts w:hint="eastAsia" w:ascii="宋体" w:hAnsi="宋体" w:eastAsia="宋体" w:cs="仿宋_GB2312"/>
          <w:color w:val="000000"/>
          <w:sz w:val="24"/>
        </w:rPr>
        <w:t>△</w:t>
      </w:r>
      <w:r>
        <w:rPr>
          <w:rFonts w:hint="eastAsia" w:ascii="宋体" w:hAnsi="宋体" w:eastAsia="宋体" w:cs="宋体"/>
          <w:sz w:val="24"/>
        </w:rPr>
        <w:t>兼容国产数据库；（提供相关兼容性证书）</w:t>
      </w:r>
    </w:p>
    <w:p w14:paraId="2E060DFA">
      <w:pPr>
        <w:pStyle w:val="2"/>
        <w:spacing w:line="360" w:lineRule="auto"/>
        <w:ind w:firstLine="480"/>
        <w:rPr>
          <w:rFonts w:hint="eastAsia" w:ascii="宋体" w:hAnsi="宋体" w:eastAsia="宋体" w:cs="宋体"/>
          <w:sz w:val="24"/>
        </w:rPr>
      </w:pPr>
      <w:r>
        <w:rPr>
          <w:rFonts w:hint="eastAsia" w:ascii="宋体" w:hAnsi="宋体" w:eastAsia="宋体" w:cs="仿宋_GB2312"/>
          <w:color w:val="000000"/>
          <w:sz w:val="24"/>
        </w:rPr>
        <w:t>△</w:t>
      </w:r>
      <w:r>
        <w:rPr>
          <w:rFonts w:hint="eastAsia" w:ascii="宋体" w:hAnsi="宋体" w:eastAsia="宋体" w:cs="宋体"/>
          <w:sz w:val="24"/>
        </w:rPr>
        <w:t>兼容国产服务器；（提供相关兼容性证书）</w:t>
      </w:r>
    </w:p>
    <w:p w14:paraId="346E529A">
      <w:pPr>
        <w:pStyle w:val="672"/>
        <w:numPr>
          <w:ilvl w:val="1"/>
          <w:numId w:val="2"/>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AI算法服务需求</w:t>
      </w:r>
    </w:p>
    <w:p w14:paraId="13A349F9">
      <w:pPr>
        <w:pStyle w:val="880"/>
        <w:numPr>
          <w:ilvl w:val="2"/>
          <w:numId w:val="2"/>
        </w:numPr>
        <w:spacing w:line="360" w:lineRule="auto"/>
        <w:rPr>
          <w:rFonts w:hint="eastAsia" w:ascii="宋体" w:hAnsi="宋体" w:eastAsia="宋体" w:cs="宋体"/>
          <w:sz w:val="24"/>
          <w:szCs w:val="24"/>
        </w:rPr>
      </w:pPr>
      <w:r>
        <w:rPr>
          <w:rFonts w:hint="eastAsia" w:ascii="宋体" w:hAnsi="宋体" w:eastAsia="宋体" w:cs="宋体"/>
          <w:sz w:val="24"/>
          <w:szCs w:val="24"/>
        </w:rPr>
        <w:t>AI算法功能需求</w:t>
      </w:r>
    </w:p>
    <w:tbl>
      <w:tblPr>
        <w:tblStyle w:val="62"/>
        <w:tblW w:w="5000" w:type="pct"/>
        <w:tblInd w:w="0" w:type="dxa"/>
        <w:tblLayout w:type="fixed"/>
        <w:tblCellMar>
          <w:top w:w="0" w:type="dxa"/>
          <w:left w:w="108" w:type="dxa"/>
          <w:bottom w:w="0" w:type="dxa"/>
          <w:right w:w="108" w:type="dxa"/>
        </w:tblCellMar>
      </w:tblPr>
      <w:tblGrid>
        <w:gridCol w:w="3171"/>
        <w:gridCol w:w="6229"/>
      </w:tblGrid>
      <w:tr w14:paraId="76036248">
        <w:tblPrEx>
          <w:tblCellMar>
            <w:top w:w="0" w:type="dxa"/>
            <w:left w:w="108" w:type="dxa"/>
            <w:bottom w:w="0" w:type="dxa"/>
            <w:right w:w="108" w:type="dxa"/>
          </w:tblCellMar>
        </w:tblPrEx>
        <w:trPr>
          <w:trHeight w:val="285" w:hRule="atLeast"/>
        </w:trPr>
        <w:tc>
          <w:tcPr>
            <w:tcW w:w="1687" w:type="pct"/>
            <w:tcBorders>
              <w:top w:val="single" w:color="auto" w:sz="4" w:space="0"/>
              <w:left w:val="single" w:color="auto" w:sz="4" w:space="0"/>
              <w:bottom w:val="single" w:color="auto" w:sz="4" w:space="0"/>
              <w:right w:val="single" w:color="auto" w:sz="4" w:space="0"/>
            </w:tcBorders>
            <w:vAlign w:val="center"/>
          </w:tcPr>
          <w:p w14:paraId="7B204072">
            <w:pPr>
              <w:spacing w:line="360" w:lineRule="auto"/>
              <w:ind w:firstLine="462"/>
              <w:jc w:val="center"/>
              <w:rPr>
                <w:rFonts w:hint="eastAsia" w:ascii="宋体" w:hAnsi="宋体" w:eastAsia="宋体" w:cs="宋体"/>
                <w:b/>
                <w:bCs/>
                <w:sz w:val="24"/>
              </w:rPr>
            </w:pPr>
            <w:r>
              <w:rPr>
                <w:rFonts w:hint="eastAsia" w:ascii="宋体" w:hAnsi="宋体" w:eastAsia="宋体" w:cs="宋体"/>
                <w:b/>
                <w:bCs/>
                <w:sz w:val="24"/>
              </w:rPr>
              <w:t>AI 定制算法场景</w:t>
            </w:r>
          </w:p>
        </w:tc>
        <w:tc>
          <w:tcPr>
            <w:tcW w:w="3313" w:type="pct"/>
            <w:tcBorders>
              <w:top w:val="single" w:color="auto" w:sz="4" w:space="0"/>
              <w:left w:val="nil"/>
              <w:bottom w:val="single" w:color="auto" w:sz="4" w:space="0"/>
              <w:right w:val="single" w:color="auto" w:sz="4" w:space="0"/>
            </w:tcBorders>
            <w:vAlign w:val="center"/>
          </w:tcPr>
          <w:p w14:paraId="1A1B30C5">
            <w:pPr>
              <w:spacing w:line="360" w:lineRule="auto"/>
              <w:ind w:firstLine="462"/>
              <w:jc w:val="center"/>
              <w:rPr>
                <w:rFonts w:hint="eastAsia" w:ascii="宋体" w:hAnsi="宋体" w:eastAsia="宋体" w:cs="宋体"/>
                <w:b/>
                <w:bCs/>
                <w:sz w:val="24"/>
              </w:rPr>
            </w:pPr>
            <w:r>
              <w:rPr>
                <w:rFonts w:hint="eastAsia" w:ascii="宋体" w:hAnsi="宋体" w:eastAsia="宋体" w:cs="宋体"/>
                <w:b/>
                <w:bCs/>
                <w:sz w:val="24"/>
              </w:rPr>
              <w:t>算法服务能力要求</w:t>
            </w:r>
          </w:p>
        </w:tc>
      </w:tr>
      <w:tr w14:paraId="0F10DC6A">
        <w:tblPrEx>
          <w:tblCellMar>
            <w:top w:w="0" w:type="dxa"/>
            <w:left w:w="108" w:type="dxa"/>
            <w:bottom w:w="0" w:type="dxa"/>
            <w:right w:w="108" w:type="dxa"/>
          </w:tblCellMar>
        </w:tblPrEx>
        <w:trPr>
          <w:trHeight w:val="540" w:hRule="atLeast"/>
        </w:trPr>
        <w:tc>
          <w:tcPr>
            <w:tcW w:w="1687" w:type="pct"/>
            <w:tcBorders>
              <w:top w:val="nil"/>
              <w:left w:val="single" w:color="auto" w:sz="4" w:space="0"/>
              <w:bottom w:val="single" w:color="auto" w:sz="4" w:space="0"/>
              <w:right w:val="single" w:color="auto" w:sz="4" w:space="0"/>
            </w:tcBorders>
            <w:shd w:val="clear" w:color="000000" w:fill="FFFFFF"/>
            <w:noWrap/>
            <w:vAlign w:val="center"/>
          </w:tcPr>
          <w:p w14:paraId="26895CC0">
            <w:pPr>
              <w:spacing w:line="360" w:lineRule="auto"/>
              <w:ind w:firstLine="440"/>
              <w:jc w:val="center"/>
              <w:rPr>
                <w:rFonts w:hint="eastAsia" w:ascii="宋体" w:hAnsi="宋体" w:eastAsia="宋体" w:cs="宋体"/>
                <w:sz w:val="24"/>
              </w:rPr>
            </w:pPr>
            <w:r>
              <w:rPr>
                <w:rFonts w:hint="eastAsia" w:ascii="宋体" w:hAnsi="宋体" w:eastAsia="宋体" w:cs="宋体"/>
                <w:sz w:val="24"/>
              </w:rPr>
              <w:t>秸秆禁烧算法服务</w:t>
            </w:r>
          </w:p>
        </w:tc>
        <w:tc>
          <w:tcPr>
            <w:tcW w:w="3313" w:type="pct"/>
            <w:tcBorders>
              <w:top w:val="nil"/>
              <w:left w:val="nil"/>
              <w:bottom w:val="single" w:color="auto" w:sz="4" w:space="0"/>
              <w:right w:val="single" w:color="auto" w:sz="4" w:space="0"/>
            </w:tcBorders>
            <w:vAlign w:val="center"/>
          </w:tcPr>
          <w:p w14:paraId="1443C9FC">
            <w:pPr>
              <w:spacing w:line="360" w:lineRule="auto"/>
              <w:ind w:firstLine="440"/>
              <w:rPr>
                <w:rFonts w:hint="eastAsia" w:ascii="宋体" w:hAnsi="宋体" w:eastAsia="宋体" w:cs="宋体"/>
                <w:sz w:val="24"/>
              </w:rPr>
            </w:pPr>
            <w:r>
              <w:rPr>
                <w:rFonts w:hint="eastAsia" w:ascii="宋体" w:hAnsi="宋体" w:eastAsia="宋体" w:cs="宋体"/>
                <w:sz w:val="24"/>
              </w:rPr>
              <w:t>基于人工智能算法，对场景基本信息进行结构化，包含烟、火等场景信息，配合平台完成自动捕捉、自动录像取证、自动生成预警业务流。</w:t>
            </w:r>
          </w:p>
        </w:tc>
      </w:tr>
      <w:tr w14:paraId="0E83F165">
        <w:tblPrEx>
          <w:tblCellMar>
            <w:top w:w="0" w:type="dxa"/>
            <w:left w:w="108" w:type="dxa"/>
            <w:bottom w:w="0" w:type="dxa"/>
            <w:right w:w="108" w:type="dxa"/>
          </w:tblCellMar>
        </w:tblPrEx>
        <w:trPr>
          <w:trHeight w:val="415" w:hRule="atLeast"/>
        </w:trPr>
        <w:tc>
          <w:tcPr>
            <w:tcW w:w="1687" w:type="pct"/>
            <w:vMerge w:val="restart"/>
            <w:tcBorders>
              <w:top w:val="nil"/>
              <w:left w:val="single" w:color="auto" w:sz="4" w:space="0"/>
              <w:right w:val="single" w:color="auto" w:sz="4" w:space="0"/>
            </w:tcBorders>
            <w:shd w:val="clear" w:color="000000" w:fill="FFFFFF"/>
            <w:noWrap/>
            <w:vAlign w:val="center"/>
          </w:tcPr>
          <w:p w14:paraId="2D3637E7">
            <w:pPr>
              <w:spacing w:line="360" w:lineRule="auto"/>
              <w:ind w:firstLine="440"/>
              <w:jc w:val="center"/>
              <w:rPr>
                <w:rFonts w:hint="eastAsia" w:ascii="宋体" w:hAnsi="宋体" w:eastAsia="宋体" w:cs="宋体"/>
                <w:sz w:val="24"/>
              </w:rPr>
            </w:pPr>
            <w:r>
              <w:rPr>
                <w:rFonts w:hint="eastAsia" w:ascii="宋体" w:hAnsi="宋体" w:eastAsia="宋体" w:cs="宋体"/>
                <w:sz w:val="24"/>
              </w:rPr>
              <w:t>数据清洗、整理和算法升级服务</w:t>
            </w:r>
          </w:p>
        </w:tc>
        <w:tc>
          <w:tcPr>
            <w:tcW w:w="3313" w:type="pct"/>
            <w:tcBorders>
              <w:top w:val="nil"/>
              <w:left w:val="nil"/>
              <w:bottom w:val="single" w:color="auto" w:sz="4" w:space="0"/>
              <w:right w:val="single" w:color="auto" w:sz="4" w:space="0"/>
            </w:tcBorders>
            <w:vAlign w:val="center"/>
          </w:tcPr>
          <w:p w14:paraId="0A33F769">
            <w:pPr>
              <w:spacing w:line="360" w:lineRule="auto"/>
              <w:ind w:firstLine="440"/>
              <w:rPr>
                <w:rFonts w:hint="eastAsia" w:ascii="宋体" w:hAnsi="宋体" w:eastAsia="宋体" w:cs="宋体"/>
                <w:sz w:val="24"/>
              </w:rPr>
            </w:pPr>
            <w:r>
              <w:rPr>
                <w:rFonts w:hint="eastAsia" w:ascii="宋体" w:hAnsi="宋体" w:eastAsia="宋体" w:cs="宋体"/>
                <w:sz w:val="24"/>
              </w:rPr>
              <w:t>无效数据清洗</w:t>
            </w:r>
          </w:p>
        </w:tc>
      </w:tr>
      <w:tr w14:paraId="03613BC8">
        <w:tblPrEx>
          <w:tblCellMar>
            <w:top w:w="0" w:type="dxa"/>
            <w:left w:w="108" w:type="dxa"/>
            <w:bottom w:w="0" w:type="dxa"/>
            <w:right w:w="108" w:type="dxa"/>
          </w:tblCellMar>
        </w:tblPrEx>
        <w:trPr>
          <w:trHeight w:val="355" w:hRule="atLeast"/>
        </w:trPr>
        <w:tc>
          <w:tcPr>
            <w:tcW w:w="1687" w:type="pct"/>
            <w:vMerge w:val="continue"/>
            <w:tcBorders>
              <w:left w:val="single" w:color="auto" w:sz="4" w:space="0"/>
              <w:right w:val="single" w:color="auto" w:sz="4" w:space="0"/>
            </w:tcBorders>
            <w:shd w:val="clear" w:color="000000" w:fill="FFFFFF"/>
            <w:noWrap/>
            <w:vAlign w:val="center"/>
          </w:tcPr>
          <w:p w14:paraId="0075F655">
            <w:pPr>
              <w:spacing w:line="360" w:lineRule="auto"/>
              <w:ind w:firstLine="440"/>
              <w:jc w:val="center"/>
              <w:rPr>
                <w:rFonts w:hint="eastAsia" w:ascii="宋体" w:hAnsi="宋体" w:eastAsia="宋体" w:cs="宋体"/>
                <w:sz w:val="24"/>
              </w:rPr>
            </w:pPr>
          </w:p>
        </w:tc>
        <w:tc>
          <w:tcPr>
            <w:tcW w:w="3313" w:type="pct"/>
            <w:tcBorders>
              <w:top w:val="nil"/>
              <w:left w:val="nil"/>
              <w:bottom w:val="single" w:color="auto" w:sz="4" w:space="0"/>
              <w:right w:val="single" w:color="auto" w:sz="4" w:space="0"/>
            </w:tcBorders>
            <w:vAlign w:val="center"/>
          </w:tcPr>
          <w:p w14:paraId="7D70CED0">
            <w:pPr>
              <w:spacing w:line="360" w:lineRule="auto"/>
              <w:ind w:firstLine="440"/>
              <w:rPr>
                <w:rFonts w:hint="eastAsia" w:ascii="宋体" w:hAnsi="宋体" w:eastAsia="宋体" w:cs="宋体"/>
                <w:sz w:val="24"/>
              </w:rPr>
            </w:pPr>
            <w:r>
              <w:rPr>
                <w:rFonts w:hint="eastAsia" w:ascii="宋体" w:hAnsi="宋体" w:eastAsia="宋体" w:cs="宋体"/>
                <w:sz w:val="24"/>
              </w:rPr>
              <w:t>字符集转换</w:t>
            </w:r>
          </w:p>
        </w:tc>
      </w:tr>
      <w:tr w14:paraId="22B15E39">
        <w:tblPrEx>
          <w:tblCellMar>
            <w:top w:w="0" w:type="dxa"/>
            <w:left w:w="108" w:type="dxa"/>
            <w:bottom w:w="0" w:type="dxa"/>
            <w:right w:w="108" w:type="dxa"/>
          </w:tblCellMar>
        </w:tblPrEx>
        <w:trPr>
          <w:trHeight w:val="400" w:hRule="atLeast"/>
        </w:trPr>
        <w:tc>
          <w:tcPr>
            <w:tcW w:w="1687" w:type="pct"/>
            <w:vMerge w:val="continue"/>
            <w:tcBorders>
              <w:left w:val="single" w:color="auto" w:sz="4" w:space="0"/>
              <w:right w:val="single" w:color="auto" w:sz="4" w:space="0"/>
            </w:tcBorders>
            <w:shd w:val="clear" w:color="000000" w:fill="FFFFFF"/>
            <w:noWrap/>
            <w:vAlign w:val="center"/>
          </w:tcPr>
          <w:p w14:paraId="65C0CD50">
            <w:pPr>
              <w:spacing w:line="360" w:lineRule="auto"/>
              <w:ind w:firstLine="440"/>
              <w:jc w:val="center"/>
              <w:rPr>
                <w:rFonts w:hint="eastAsia" w:ascii="宋体" w:hAnsi="宋体" w:eastAsia="宋体" w:cs="宋体"/>
                <w:sz w:val="24"/>
              </w:rPr>
            </w:pPr>
          </w:p>
        </w:tc>
        <w:tc>
          <w:tcPr>
            <w:tcW w:w="3313" w:type="pct"/>
            <w:tcBorders>
              <w:top w:val="nil"/>
              <w:left w:val="nil"/>
              <w:bottom w:val="single" w:color="auto" w:sz="4" w:space="0"/>
              <w:right w:val="single" w:color="auto" w:sz="4" w:space="0"/>
            </w:tcBorders>
            <w:vAlign w:val="center"/>
          </w:tcPr>
          <w:p w14:paraId="4E81E1F8">
            <w:pPr>
              <w:spacing w:line="360" w:lineRule="auto"/>
              <w:ind w:firstLine="440"/>
              <w:rPr>
                <w:rFonts w:hint="eastAsia" w:ascii="宋体" w:hAnsi="宋体" w:eastAsia="宋体" w:cs="宋体"/>
                <w:sz w:val="24"/>
              </w:rPr>
            </w:pPr>
            <w:r>
              <w:rPr>
                <w:rFonts w:hint="eastAsia" w:ascii="宋体" w:hAnsi="宋体" w:eastAsia="宋体" w:cs="宋体"/>
                <w:sz w:val="24"/>
              </w:rPr>
              <w:t>业务逻辑错误数据清洗</w:t>
            </w:r>
          </w:p>
        </w:tc>
      </w:tr>
      <w:tr w14:paraId="25141BCA">
        <w:tblPrEx>
          <w:tblCellMar>
            <w:top w:w="0" w:type="dxa"/>
            <w:left w:w="108" w:type="dxa"/>
            <w:bottom w:w="0" w:type="dxa"/>
            <w:right w:w="108" w:type="dxa"/>
          </w:tblCellMar>
        </w:tblPrEx>
        <w:trPr>
          <w:trHeight w:val="400" w:hRule="atLeast"/>
        </w:trPr>
        <w:tc>
          <w:tcPr>
            <w:tcW w:w="1687" w:type="pct"/>
            <w:vMerge w:val="continue"/>
            <w:tcBorders>
              <w:left w:val="single" w:color="auto" w:sz="4" w:space="0"/>
              <w:right w:val="single" w:color="auto" w:sz="4" w:space="0"/>
            </w:tcBorders>
            <w:shd w:val="clear" w:color="000000" w:fill="FFFFFF"/>
            <w:noWrap/>
            <w:vAlign w:val="center"/>
          </w:tcPr>
          <w:p w14:paraId="7B770DB7">
            <w:pPr>
              <w:spacing w:line="360" w:lineRule="auto"/>
              <w:ind w:firstLine="440"/>
              <w:jc w:val="center"/>
              <w:rPr>
                <w:rFonts w:hint="eastAsia" w:ascii="宋体" w:hAnsi="宋体" w:eastAsia="宋体" w:cs="宋体"/>
                <w:sz w:val="24"/>
              </w:rPr>
            </w:pPr>
          </w:p>
        </w:tc>
        <w:tc>
          <w:tcPr>
            <w:tcW w:w="3313" w:type="pct"/>
            <w:tcBorders>
              <w:top w:val="nil"/>
              <w:left w:val="nil"/>
              <w:bottom w:val="single" w:color="auto" w:sz="4" w:space="0"/>
              <w:right w:val="single" w:color="auto" w:sz="4" w:space="0"/>
            </w:tcBorders>
            <w:vAlign w:val="center"/>
          </w:tcPr>
          <w:p w14:paraId="3B9F6F1A">
            <w:pPr>
              <w:spacing w:line="360" w:lineRule="auto"/>
              <w:ind w:firstLine="440"/>
              <w:rPr>
                <w:rFonts w:hint="eastAsia" w:ascii="宋体" w:hAnsi="宋体" w:eastAsia="宋体" w:cs="宋体"/>
                <w:sz w:val="24"/>
              </w:rPr>
            </w:pPr>
            <w:r>
              <w:rPr>
                <w:rFonts w:hint="eastAsia" w:ascii="宋体" w:hAnsi="宋体" w:eastAsia="宋体" w:cs="宋体"/>
                <w:sz w:val="24"/>
              </w:rPr>
              <w:t>全量数据入库去重</w:t>
            </w:r>
          </w:p>
        </w:tc>
      </w:tr>
      <w:tr w14:paraId="0050E30F">
        <w:tblPrEx>
          <w:tblCellMar>
            <w:top w:w="0" w:type="dxa"/>
            <w:left w:w="108" w:type="dxa"/>
            <w:bottom w:w="0" w:type="dxa"/>
            <w:right w:w="108" w:type="dxa"/>
          </w:tblCellMar>
        </w:tblPrEx>
        <w:trPr>
          <w:trHeight w:val="370" w:hRule="atLeast"/>
        </w:trPr>
        <w:tc>
          <w:tcPr>
            <w:tcW w:w="1687" w:type="pct"/>
            <w:vMerge w:val="continue"/>
            <w:tcBorders>
              <w:left w:val="single" w:color="auto" w:sz="4" w:space="0"/>
              <w:right w:val="single" w:color="auto" w:sz="4" w:space="0"/>
            </w:tcBorders>
            <w:shd w:val="clear" w:color="000000" w:fill="FFFFFF"/>
            <w:noWrap/>
            <w:vAlign w:val="center"/>
          </w:tcPr>
          <w:p w14:paraId="131340C0">
            <w:pPr>
              <w:spacing w:line="360" w:lineRule="auto"/>
              <w:ind w:firstLine="440"/>
              <w:jc w:val="center"/>
              <w:rPr>
                <w:rFonts w:hint="eastAsia" w:ascii="宋体" w:hAnsi="宋体" w:eastAsia="宋体" w:cs="宋体"/>
                <w:sz w:val="24"/>
              </w:rPr>
            </w:pPr>
          </w:p>
        </w:tc>
        <w:tc>
          <w:tcPr>
            <w:tcW w:w="3313" w:type="pct"/>
            <w:tcBorders>
              <w:top w:val="nil"/>
              <w:left w:val="nil"/>
              <w:bottom w:val="single" w:color="auto" w:sz="4" w:space="0"/>
              <w:right w:val="single" w:color="auto" w:sz="4" w:space="0"/>
            </w:tcBorders>
            <w:vAlign w:val="center"/>
          </w:tcPr>
          <w:p w14:paraId="5850E7DB">
            <w:pPr>
              <w:spacing w:line="360" w:lineRule="auto"/>
              <w:ind w:firstLine="440"/>
              <w:rPr>
                <w:rFonts w:hint="eastAsia" w:ascii="宋体" w:hAnsi="宋体" w:eastAsia="宋体" w:cs="宋体"/>
                <w:sz w:val="24"/>
              </w:rPr>
            </w:pPr>
            <w:r>
              <w:rPr>
                <w:rFonts w:hint="eastAsia" w:ascii="宋体" w:hAnsi="宋体" w:eastAsia="宋体" w:cs="宋体"/>
                <w:sz w:val="24"/>
              </w:rPr>
              <w:t>业务字段去重</w:t>
            </w:r>
          </w:p>
        </w:tc>
      </w:tr>
      <w:tr w14:paraId="35ABF9F1">
        <w:tblPrEx>
          <w:tblCellMar>
            <w:top w:w="0" w:type="dxa"/>
            <w:left w:w="108" w:type="dxa"/>
            <w:bottom w:w="0" w:type="dxa"/>
            <w:right w:w="108" w:type="dxa"/>
          </w:tblCellMar>
        </w:tblPrEx>
        <w:trPr>
          <w:trHeight w:val="370" w:hRule="atLeast"/>
        </w:trPr>
        <w:tc>
          <w:tcPr>
            <w:tcW w:w="1687" w:type="pct"/>
            <w:vMerge w:val="continue"/>
            <w:tcBorders>
              <w:left w:val="single" w:color="auto" w:sz="4" w:space="0"/>
              <w:right w:val="single" w:color="auto" w:sz="4" w:space="0"/>
            </w:tcBorders>
            <w:shd w:val="clear" w:color="000000" w:fill="FFFFFF"/>
            <w:noWrap/>
            <w:vAlign w:val="center"/>
          </w:tcPr>
          <w:p w14:paraId="203C31CC">
            <w:pPr>
              <w:spacing w:line="360" w:lineRule="auto"/>
              <w:ind w:firstLine="440"/>
              <w:jc w:val="center"/>
              <w:rPr>
                <w:rFonts w:hint="eastAsia" w:ascii="宋体" w:hAnsi="宋体" w:eastAsia="宋体" w:cs="宋体"/>
                <w:sz w:val="24"/>
              </w:rPr>
            </w:pPr>
          </w:p>
        </w:tc>
        <w:tc>
          <w:tcPr>
            <w:tcW w:w="3313" w:type="pct"/>
            <w:tcBorders>
              <w:top w:val="nil"/>
              <w:left w:val="nil"/>
              <w:bottom w:val="single" w:color="auto" w:sz="4" w:space="0"/>
              <w:right w:val="single" w:color="auto" w:sz="4" w:space="0"/>
            </w:tcBorders>
            <w:vAlign w:val="center"/>
          </w:tcPr>
          <w:p w14:paraId="39BC5BE9">
            <w:pPr>
              <w:spacing w:line="360" w:lineRule="auto"/>
              <w:ind w:firstLine="440"/>
              <w:rPr>
                <w:rFonts w:hint="eastAsia" w:ascii="宋体" w:hAnsi="宋体" w:eastAsia="宋体" w:cs="宋体"/>
                <w:sz w:val="24"/>
              </w:rPr>
            </w:pPr>
            <w:r>
              <w:rPr>
                <w:rFonts w:hint="eastAsia" w:ascii="宋体" w:hAnsi="宋体" w:eastAsia="宋体" w:cs="宋体"/>
                <w:sz w:val="24"/>
              </w:rPr>
              <w:t>业务时间去重</w:t>
            </w:r>
          </w:p>
        </w:tc>
      </w:tr>
      <w:tr w14:paraId="7C7F8BF9">
        <w:tblPrEx>
          <w:tblCellMar>
            <w:top w:w="0" w:type="dxa"/>
            <w:left w:w="108" w:type="dxa"/>
            <w:bottom w:w="0" w:type="dxa"/>
            <w:right w:w="108" w:type="dxa"/>
          </w:tblCellMar>
        </w:tblPrEx>
        <w:trPr>
          <w:trHeight w:val="400" w:hRule="atLeast"/>
        </w:trPr>
        <w:tc>
          <w:tcPr>
            <w:tcW w:w="1687" w:type="pct"/>
            <w:vMerge w:val="continue"/>
            <w:tcBorders>
              <w:left w:val="single" w:color="auto" w:sz="4" w:space="0"/>
              <w:right w:val="single" w:color="auto" w:sz="4" w:space="0"/>
            </w:tcBorders>
            <w:shd w:val="clear" w:color="000000" w:fill="FFFFFF"/>
            <w:noWrap/>
            <w:vAlign w:val="center"/>
          </w:tcPr>
          <w:p w14:paraId="6A896BB7">
            <w:pPr>
              <w:spacing w:line="360" w:lineRule="auto"/>
              <w:ind w:firstLine="440"/>
              <w:jc w:val="center"/>
              <w:rPr>
                <w:rFonts w:hint="eastAsia" w:ascii="宋体" w:hAnsi="宋体" w:eastAsia="宋体" w:cs="宋体"/>
                <w:sz w:val="24"/>
              </w:rPr>
            </w:pPr>
          </w:p>
        </w:tc>
        <w:tc>
          <w:tcPr>
            <w:tcW w:w="3313" w:type="pct"/>
            <w:tcBorders>
              <w:top w:val="nil"/>
              <w:left w:val="nil"/>
              <w:bottom w:val="single" w:color="auto" w:sz="4" w:space="0"/>
              <w:right w:val="single" w:color="auto" w:sz="4" w:space="0"/>
            </w:tcBorders>
            <w:vAlign w:val="center"/>
          </w:tcPr>
          <w:p w14:paraId="4E011A6D">
            <w:pPr>
              <w:spacing w:line="360" w:lineRule="auto"/>
              <w:ind w:firstLine="440"/>
              <w:rPr>
                <w:rFonts w:hint="eastAsia" w:ascii="宋体" w:hAnsi="宋体" w:eastAsia="宋体" w:cs="宋体"/>
                <w:sz w:val="24"/>
              </w:rPr>
            </w:pPr>
            <w:r>
              <w:rPr>
                <w:rFonts w:hint="eastAsia" w:ascii="宋体" w:hAnsi="宋体" w:eastAsia="宋体" w:cs="宋体"/>
                <w:sz w:val="24"/>
              </w:rPr>
              <w:t>系统入库时间去重</w:t>
            </w:r>
          </w:p>
        </w:tc>
      </w:tr>
      <w:tr w14:paraId="21853BF9">
        <w:tblPrEx>
          <w:tblCellMar>
            <w:top w:w="0" w:type="dxa"/>
            <w:left w:w="108" w:type="dxa"/>
            <w:bottom w:w="0" w:type="dxa"/>
            <w:right w:w="108" w:type="dxa"/>
          </w:tblCellMar>
        </w:tblPrEx>
        <w:trPr>
          <w:trHeight w:val="540" w:hRule="atLeast"/>
        </w:trPr>
        <w:tc>
          <w:tcPr>
            <w:tcW w:w="1687" w:type="pct"/>
            <w:vMerge w:val="continue"/>
            <w:tcBorders>
              <w:left w:val="single" w:color="auto" w:sz="4" w:space="0"/>
              <w:right w:val="single" w:color="auto" w:sz="4" w:space="0"/>
            </w:tcBorders>
            <w:shd w:val="clear" w:color="000000" w:fill="FFFFFF"/>
            <w:noWrap/>
            <w:vAlign w:val="center"/>
          </w:tcPr>
          <w:p w14:paraId="637FB053">
            <w:pPr>
              <w:spacing w:line="360" w:lineRule="auto"/>
              <w:ind w:firstLine="440"/>
              <w:jc w:val="center"/>
              <w:rPr>
                <w:rFonts w:hint="eastAsia" w:ascii="宋体" w:hAnsi="宋体" w:eastAsia="宋体" w:cs="宋体"/>
                <w:sz w:val="24"/>
              </w:rPr>
            </w:pPr>
          </w:p>
        </w:tc>
        <w:tc>
          <w:tcPr>
            <w:tcW w:w="3313" w:type="pct"/>
            <w:tcBorders>
              <w:top w:val="nil"/>
              <w:left w:val="nil"/>
              <w:bottom w:val="single" w:color="auto" w:sz="4" w:space="0"/>
              <w:right w:val="single" w:color="auto" w:sz="4" w:space="0"/>
            </w:tcBorders>
            <w:vAlign w:val="center"/>
          </w:tcPr>
          <w:p w14:paraId="7BDCC4A9">
            <w:pPr>
              <w:spacing w:line="360" w:lineRule="auto"/>
              <w:ind w:firstLine="440"/>
              <w:rPr>
                <w:rFonts w:hint="eastAsia" w:ascii="宋体" w:hAnsi="宋体" w:eastAsia="宋体" w:cs="宋体"/>
                <w:sz w:val="24"/>
              </w:rPr>
            </w:pPr>
            <w:r>
              <w:rPr>
                <w:rFonts w:hint="eastAsia" w:ascii="宋体" w:hAnsi="宋体" w:eastAsia="宋体" w:cs="宋体"/>
                <w:sz w:val="24"/>
              </w:rPr>
              <w:t>数据冗余处理</w:t>
            </w:r>
          </w:p>
        </w:tc>
      </w:tr>
      <w:tr w14:paraId="47F80A30">
        <w:tblPrEx>
          <w:tblCellMar>
            <w:top w:w="0" w:type="dxa"/>
            <w:left w:w="108" w:type="dxa"/>
            <w:bottom w:w="0" w:type="dxa"/>
            <w:right w:w="108" w:type="dxa"/>
          </w:tblCellMar>
        </w:tblPrEx>
        <w:trPr>
          <w:trHeight w:val="540" w:hRule="atLeast"/>
        </w:trPr>
        <w:tc>
          <w:tcPr>
            <w:tcW w:w="1687" w:type="pct"/>
            <w:vMerge w:val="continue"/>
            <w:tcBorders>
              <w:left w:val="single" w:color="auto" w:sz="4" w:space="0"/>
              <w:right w:val="single" w:color="auto" w:sz="4" w:space="0"/>
            </w:tcBorders>
            <w:shd w:val="clear" w:color="000000" w:fill="FFFFFF"/>
            <w:noWrap/>
            <w:vAlign w:val="center"/>
          </w:tcPr>
          <w:p w14:paraId="050B31A5">
            <w:pPr>
              <w:spacing w:line="360" w:lineRule="auto"/>
              <w:ind w:firstLine="440"/>
              <w:jc w:val="center"/>
              <w:rPr>
                <w:rFonts w:hint="eastAsia" w:ascii="宋体" w:hAnsi="宋体" w:eastAsia="宋体" w:cs="宋体"/>
                <w:sz w:val="24"/>
              </w:rPr>
            </w:pPr>
          </w:p>
        </w:tc>
        <w:tc>
          <w:tcPr>
            <w:tcW w:w="3313" w:type="pct"/>
            <w:tcBorders>
              <w:top w:val="nil"/>
              <w:left w:val="nil"/>
              <w:bottom w:val="single" w:color="auto" w:sz="4" w:space="0"/>
              <w:right w:val="single" w:color="auto" w:sz="4" w:space="0"/>
            </w:tcBorders>
            <w:vAlign w:val="center"/>
          </w:tcPr>
          <w:p w14:paraId="744BB0CA">
            <w:pPr>
              <w:spacing w:line="360" w:lineRule="auto"/>
              <w:ind w:firstLine="440"/>
              <w:rPr>
                <w:rFonts w:hint="eastAsia" w:ascii="宋体" w:hAnsi="宋体" w:eastAsia="宋体" w:cs="宋体"/>
                <w:sz w:val="24"/>
              </w:rPr>
            </w:pPr>
            <w:r>
              <w:rPr>
                <w:rFonts w:hint="eastAsia" w:ascii="宋体" w:hAnsi="宋体" w:eastAsia="宋体" w:cs="宋体"/>
                <w:sz w:val="24"/>
              </w:rPr>
              <w:t>原表拓宽</w:t>
            </w:r>
          </w:p>
        </w:tc>
      </w:tr>
      <w:tr w14:paraId="4F44DF78">
        <w:tblPrEx>
          <w:tblCellMar>
            <w:top w:w="0" w:type="dxa"/>
            <w:left w:w="108" w:type="dxa"/>
            <w:bottom w:w="0" w:type="dxa"/>
            <w:right w:w="108" w:type="dxa"/>
          </w:tblCellMar>
        </w:tblPrEx>
        <w:trPr>
          <w:trHeight w:val="540" w:hRule="atLeast"/>
        </w:trPr>
        <w:tc>
          <w:tcPr>
            <w:tcW w:w="1687" w:type="pct"/>
            <w:vMerge w:val="continue"/>
            <w:tcBorders>
              <w:left w:val="single" w:color="auto" w:sz="4" w:space="0"/>
              <w:right w:val="single" w:color="auto" w:sz="4" w:space="0"/>
            </w:tcBorders>
            <w:shd w:val="clear" w:color="000000" w:fill="FFFFFF"/>
            <w:noWrap/>
            <w:vAlign w:val="center"/>
          </w:tcPr>
          <w:p w14:paraId="5A50C41B">
            <w:pPr>
              <w:spacing w:line="360" w:lineRule="auto"/>
              <w:ind w:firstLine="440"/>
              <w:jc w:val="center"/>
              <w:rPr>
                <w:rFonts w:hint="eastAsia" w:ascii="宋体" w:hAnsi="宋体" w:eastAsia="宋体" w:cs="宋体"/>
                <w:sz w:val="24"/>
              </w:rPr>
            </w:pPr>
          </w:p>
        </w:tc>
        <w:tc>
          <w:tcPr>
            <w:tcW w:w="3313" w:type="pct"/>
            <w:tcBorders>
              <w:top w:val="nil"/>
              <w:left w:val="nil"/>
              <w:bottom w:val="single" w:color="auto" w:sz="4" w:space="0"/>
              <w:right w:val="single" w:color="auto" w:sz="4" w:space="0"/>
            </w:tcBorders>
            <w:vAlign w:val="center"/>
          </w:tcPr>
          <w:p w14:paraId="58DFD720">
            <w:pPr>
              <w:spacing w:line="360" w:lineRule="auto"/>
              <w:ind w:firstLine="440"/>
              <w:rPr>
                <w:rFonts w:hint="eastAsia" w:ascii="宋体" w:hAnsi="宋体" w:eastAsia="宋体" w:cs="宋体"/>
                <w:sz w:val="24"/>
              </w:rPr>
            </w:pPr>
            <w:r>
              <w:rPr>
                <w:rFonts w:hint="eastAsia" w:ascii="宋体" w:hAnsi="宋体" w:eastAsia="宋体" w:cs="宋体"/>
                <w:sz w:val="24"/>
              </w:rPr>
              <w:t>下游应用JOIN实现</w:t>
            </w:r>
          </w:p>
        </w:tc>
      </w:tr>
      <w:tr w14:paraId="0FA459CC">
        <w:tblPrEx>
          <w:tblCellMar>
            <w:top w:w="0" w:type="dxa"/>
            <w:left w:w="108" w:type="dxa"/>
            <w:bottom w:w="0" w:type="dxa"/>
            <w:right w:w="108" w:type="dxa"/>
          </w:tblCellMar>
        </w:tblPrEx>
        <w:trPr>
          <w:trHeight w:val="540" w:hRule="atLeast"/>
        </w:trPr>
        <w:tc>
          <w:tcPr>
            <w:tcW w:w="1687" w:type="pct"/>
            <w:vMerge w:val="continue"/>
            <w:tcBorders>
              <w:left w:val="single" w:color="auto" w:sz="4" w:space="0"/>
              <w:right w:val="single" w:color="auto" w:sz="4" w:space="0"/>
            </w:tcBorders>
            <w:shd w:val="clear" w:color="000000" w:fill="FFFFFF"/>
            <w:noWrap/>
            <w:vAlign w:val="center"/>
          </w:tcPr>
          <w:p w14:paraId="398C44AD">
            <w:pPr>
              <w:spacing w:line="360" w:lineRule="auto"/>
              <w:ind w:firstLine="440"/>
              <w:jc w:val="center"/>
              <w:rPr>
                <w:rFonts w:hint="eastAsia" w:ascii="宋体" w:hAnsi="宋体" w:eastAsia="宋体" w:cs="宋体"/>
                <w:sz w:val="24"/>
              </w:rPr>
            </w:pPr>
          </w:p>
        </w:tc>
        <w:tc>
          <w:tcPr>
            <w:tcW w:w="3313" w:type="pct"/>
            <w:tcBorders>
              <w:top w:val="nil"/>
              <w:left w:val="nil"/>
              <w:bottom w:val="single" w:color="auto" w:sz="4" w:space="0"/>
              <w:right w:val="single" w:color="auto" w:sz="4" w:space="0"/>
            </w:tcBorders>
            <w:vAlign w:val="center"/>
          </w:tcPr>
          <w:p w14:paraId="07DE53CC">
            <w:pPr>
              <w:spacing w:line="360" w:lineRule="auto"/>
              <w:ind w:firstLine="440"/>
              <w:rPr>
                <w:rFonts w:hint="eastAsia" w:ascii="宋体" w:hAnsi="宋体" w:eastAsia="宋体" w:cs="宋体"/>
                <w:sz w:val="24"/>
              </w:rPr>
            </w:pPr>
            <w:r>
              <w:rPr>
                <w:rFonts w:hint="eastAsia" w:ascii="宋体" w:hAnsi="宋体" w:eastAsia="宋体" w:cs="宋体"/>
                <w:sz w:val="24"/>
              </w:rPr>
              <w:t>字符集转换</w:t>
            </w:r>
          </w:p>
        </w:tc>
      </w:tr>
      <w:tr w14:paraId="44316255">
        <w:tblPrEx>
          <w:tblCellMar>
            <w:top w:w="0" w:type="dxa"/>
            <w:left w:w="108" w:type="dxa"/>
            <w:bottom w:w="0" w:type="dxa"/>
            <w:right w:w="108" w:type="dxa"/>
          </w:tblCellMar>
        </w:tblPrEx>
        <w:trPr>
          <w:trHeight w:val="540" w:hRule="atLeast"/>
        </w:trPr>
        <w:tc>
          <w:tcPr>
            <w:tcW w:w="1687" w:type="pct"/>
            <w:vMerge w:val="continue"/>
            <w:tcBorders>
              <w:left w:val="single" w:color="auto" w:sz="4" w:space="0"/>
              <w:right w:val="single" w:color="auto" w:sz="4" w:space="0"/>
            </w:tcBorders>
            <w:shd w:val="clear" w:color="000000" w:fill="FFFFFF"/>
            <w:noWrap/>
            <w:vAlign w:val="center"/>
          </w:tcPr>
          <w:p w14:paraId="3BE9378C">
            <w:pPr>
              <w:spacing w:line="360" w:lineRule="auto"/>
              <w:ind w:firstLine="440"/>
              <w:jc w:val="center"/>
              <w:rPr>
                <w:rFonts w:hint="eastAsia" w:ascii="宋体" w:hAnsi="宋体" w:eastAsia="宋体" w:cs="宋体"/>
                <w:sz w:val="24"/>
              </w:rPr>
            </w:pPr>
          </w:p>
        </w:tc>
        <w:tc>
          <w:tcPr>
            <w:tcW w:w="3313" w:type="pct"/>
            <w:tcBorders>
              <w:top w:val="nil"/>
              <w:left w:val="nil"/>
              <w:bottom w:val="single" w:color="auto" w:sz="4" w:space="0"/>
              <w:right w:val="single" w:color="auto" w:sz="4" w:space="0"/>
            </w:tcBorders>
            <w:vAlign w:val="center"/>
          </w:tcPr>
          <w:p w14:paraId="583DEFC9">
            <w:pPr>
              <w:spacing w:line="360" w:lineRule="auto"/>
              <w:ind w:firstLine="440"/>
              <w:rPr>
                <w:rFonts w:hint="eastAsia" w:ascii="宋体" w:hAnsi="宋体" w:eastAsia="宋体" w:cs="宋体"/>
                <w:sz w:val="24"/>
              </w:rPr>
            </w:pPr>
            <w:r>
              <w:rPr>
                <w:rFonts w:hint="eastAsia" w:ascii="宋体" w:hAnsi="宋体" w:eastAsia="宋体" w:cs="宋体"/>
                <w:sz w:val="24"/>
              </w:rPr>
              <w:t>数据格式标准化转换</w:t>
            </w:r>
          </w:p>
        </w:tc>
      </w:tr>
      <w:tr w14:paraId="4572563C">
        <w:tblPrEx>
          <w:tblCellMar>
            <w:top w:w="0" w:type="dxa"/>
            <w:left w:w="108" w:type="dxa"/>
            <w:bottom w:w="0" w:type="dxa"/>
            <w:right w:w="108" w:type="dxa"/>
          </w:tblCellMar>
        </w:tblPrEx>
        <w:trPr>
          <w:trHeight w:val="540" w:hRule="atLeast"/>
        </w:trPr>
        <w:tc>
          <w:tcPr>
            <w:tcW w:w="1687" w:type="pct"/>
            <w:vMerge w:val="continue"/>
            <w:tcBorders>
              <w:left w:val="single" w:color="auto" w:sz="4" w:space="0"/>
              <w:right w:val="single" w:color="auto" w:sz="4" w:space="0"/>
            </w:tcBorders>
            <w:shd w:val="clear" w:color="000000" w:fill="FFFFFF"/>
            <w:noWrap/>
            <w:vAlign w:val="center"/>
          </w:tcPr>
          <w:p w14:paraId="5AD7E705">
            <w:pPr>
              <w:spacing w:line="360" w:lineRule="auto"/>
              <w:ind w:firstLine="440"/>
              <w:jc w:val="center"/>
              <w:rPr>
                <w:rFonts w:hint="eastAsia" w:ascii="宋体" w:hAnsi="宋体" w:eastAsia="宋体" w:cs="宋体"/>
                <w:sz w:val="24"/>
              </w:rPr>
            </w:pPr>
          </w:p>
        </w:tc>
        <w:tc>
          <w:tcPr>
            <w:tcW w:w="3313" w:type="pct"/>
            <w:tcBorders>
              <w:top w:val="nil"/>
              <w:left w:val="nil"/>
              <w:bottom w:val="single" w:color="auto" w:sz="4" w:space="0"/>
              <w:right w:val="single" w:color="auto" w:sz="4" w:space="0"/>
            </w:tcBorders>
            <w:vAlign w:val="center"/>
          </w:tcPr>
          <w:p w14:paraId="599C0D3B">
            <w:pPr>
              <w:spacing w:line="360" w:lineRule="auto"/>
              <w:ind w:firstLine="440"/>
              <w:rPr>
                <w:rFonts w:hint="eastAsia" w:ascii="宋体" w:hAnsi="宋体" w:eastAsia="宋体" w:cs="宋体"/>
                <w:sz w:val="24"/>
              </w:rPr>
            </w:pPr>
            <w:r>
              <w:rPr>
                <w:rFonts w:hint="eastAsia" w:ascii="宋体" w:hAnsi="宋体" w:eastAsia="宋体" w:cs="宋体"/>
                <w:sz w:val="24"/>
              </w:rPr>
              <w:t>信息代码标准化转换</w:t>
            </w:r>
          </w:p>
        </w:tc>
      </w:tr>
      <w:tr w14:paraId="6B7ACAD6">
        <w:tblPrEx>
          <w:tblCellMar>
            <w:top w:w="0" w:type="dxa"/>
            <w:left w:w="108" w:type="dxa"/>
            <w:bottom w:w="0" w:type="dxa"/>
            <w:right w:w="108" w:type="dxa"/>
          </w:tblCellMar>
        </w:tblPrEx>
        <w:trPr>
          <w:trHeight w:val="460" w:hRule="atLeast"/>
        </w:trPr>
        <w:tc>
          <w:tcPr>
            <w:tcW w:w="1687" w:type="pct"/>
            <w:vMerge w:val="continue"/>
            <w:tcBorders>
              <w:left w:val="single" w:color="auto" w:sz="4" w:space="0"/>
              <w:right w:val="single" w:color="auto" w:sz="4" w:space="0"/>
            </w:tcBorders>
            <w:shd w:val="clear" w:color="000000" w:fill="FFFFFF"/>
            <w:noWrap/>
            <w:vAlign w:val="center"/>
          </w:tcPr>
          <w:p w14:paraId="739C529F">
            <w:pPr>
              <w:spacing w:line="360" w:lineRule="auto"/>
              <w:ind w:firstLine="440"/>
              <w:jc w:val="center"/>
              <w:rPr>
                <w:rFonts w:hint="eastAsia" w:ascii="宋体" w:hAnsi="宋体" w:eastAsia="宋体" w:cs="宋体"/>
                <w:sz w:val="24"/>
              </w:rPr>
            </w:pPr>
          </w:p>
        </w:tc>
        <w:tc>
          <w:tcPr>
            <w:tcW w:w="3313" w:type="pct"/>
            <w:tcBorders>
              <w:top w:val="nil"/>
              <w:left w:val="nil"/>
              <w:bottom w:val="single" w:color="auto" w:sz="4" w:space="0"/>
              <w:right w:val="single" w:color="auto" w:sz="4" w:space="0"/>
            </w:tcBorders>
            <w:vAlign w:val="center"/>
          </w:tcPr>
          <w:p w14:paraId="6C44A7AD">
            <w:pPr>
              <w:spacing w:line="360" w:lineRule="auto"/>
              <w:ind w:firstLine="440"/>
              <w:rPr>
                <w:rFonts w:hint="eastAsia" w:ascii="宋体" w:hAnsi="宋体" w:eastAsia="宋体" w:cs="宋体"/>
                <w:sz w:val="24"/>
              </w:rPr>
            </w:pPr>
            <w:r>
              <w:rPr>
                <w:rFonts w:hint="eastAsia" w:ascii="宋体" w:hAnsi="宋体" w:eastAsia="宋体" w:cs="宋体"/>
                <w:sz w:val="24"/>
              </w:rPr>
              <w:t>值转化</w:t>
            </w:r>
          </w:p>
        </w:tc>
      </w:tr>
      <w:tr w14:paraId="3033B554">
        <w:tblPrEx>
          <w:tblCellMar>
            <w:top w:w="0" w:type="dxa"/>
            <w:left w:w="108" w:type="dxa"/>
            <w:bottom w:w="0" w:type="dxa"/>
            <w:right w:w="108" w:type="dxa"/>
          </w:tblCellMar>
        </w:tblPrEx>
        <w:trPr>
          <w:trHeight w:val="430" w:hRule="atLeast"/>
        </w:trPr>
        <w:tc>
          <w:tcPr>
            <w:tcW w:w="1687" w:type="pct"/>
            <w:vMerge w:val="continue"/>
            <w:tcBorders>
              <w:left w:val="single" w:color="auto" w:sz="4" w:space="0"/>
              <w:right w:val="single" w:color="auto" w:sz="4" w:space="0"/>
            </w:tcBorders>
            <w:shd w:val="clear" w:color="000000" w:fill="FFFFFF"/>
            <w:noWrap/>
            <w:vAlign w:val="center"/>
          </w:tcPr>
          <w:p w14:paraId="49DE88F4">
            <w:pPr>
              <w:spacing w:line="360" w:lineRule="auto"/>
              <w:ind w:firstLine="440"/>
              <w:jc w:val="center"/>
              <w:rPr>
                <w:rFonts w:hint="eastAsia" w:ascii="宋体" w:hAnsi="宋体" w:eastAsia="宋体" w:cs="宋体"/>
                <w:sz w:val="24"/>
              </w:rPr>
            </w:pPr>
          </w:p>
        </w:tc>
        <w:tc>
          <w:tcPr>
            <w:tcW w:w="3313" w:type="pct"/>
            <w:tcBorders>
              <w:top w:val="nil"/>
              <w:left w:val="nil"/>
              <w:bottom w:val="single" w:color="auto" w:sz="4" w:space="0"/>
              <w:right w:val="single" w:color="auto" w:sz="4" w:space="0"/>
            </w:tcBorders>
            <w:vAlign w:val="center"/>
          </w:tcPr>
          <w:p w14:paraId="1E6D7BA9">
            <w:pPr>
              <w:spacing w:line="360" w:lineRule="auto"/>
              <w:ind w:firstLine="440"/>
              <w:rPr>
                <w:rFonts w:hint="eastAsia" w:ascii="宋体" w:hAnsi="宋体" w:eastAsia="宋体" w:cs="宋体"/>
                <w:sz w:val="24"/>
              </w:rPr>
            </w:pPr>
            <w:r>
              <w:rPr>
                <w:rFonts w:hint="eastAsia" w:ascii="宋体" w:hAnsi="宋体" w:eastAsia="宋体" w:cs="宋体"/>
                <w:sz w:val="24"/>
              </w:rPr>
              <w:t>特征一致性校验</w:t>
            </w:r>
          </w:p>
        </w:tc>
      </w:tr>
      <w:tr w14:paraId="5C8527E3">
        <w:tblPrEx>
          <w:tblCellMar>
            <w:top w:w="0" w:type="dxa"/>
            <w:left w:w="108" w:type="dxa"/>
            <w:bottom w:w="0" w:type="dxa"/>
            <w:right w:w="108" w:type="dxa"/>
          </w:tblCellMar>
        </w:tblPrEx>
        <w:trPr>
          <w:trHeight w:val="415" w:hRule="atLeast"/>
        </w:trPr>
        <w:tc>
          <w:tcPr>
            <w:tcW w:w="1687" w:type="pct"/>
            <w:vMerge w:val="continue"/>
            <w:tcBorders>
              <w:left w:val="single" w:color="auto" w:sz="4" w:space="0"/>
              <w:right w:val="single" w:color="auto" w:sz="4" w:space="0"/>
            </w:tcBorders>
            <w:shd w:val="clear" w:color="000000" w:fill="FFFFFF"/>
            <w:noWrap/>
            <w:vAlign w:val="center"/>
          </w:tcPr>
          <w:p w14:paraId="48DB6E73">
            <w:pPr>
              <w:spacing w:line="360" w:lineRule="auto"/>
              <w:ind w:firstLine="440"/>
              <w:jc w:val="center"/>
              <w:rPr>
                <w:rFonts w:hint="eastAsia" w:ascii="宋体" w:hAnsi="宋体" w:eastAsia="宋体" w:cs="宋体"/>
                <w:sz w:val="24"/>
              </w:rPr>
            </w:pPr>
          </w:p>
        </w:tc>
        <w:tc>
          <w:tcPr>
            <w:tcW w:w="3313" w:type="pct"/>
            <w:tcBorders>
              <w:top w:val="nil"/>
              <w:left w:val="nil"/>
              <w:bottom w:val="single" w:color="auto" w:sz="4" w:space="0"/>
              <w:right w:val="single" w:color="auto" w:sz="4" w:space="0"/>
            </w:tcBorders>
            <w:vAlign w:val="center"/>
          </w:tcPr>
          <w:p w14:paraId="4CACBA8E">
            <w:pPr>
              <w:spacing w:line="360" w:lineRule="auto"/>
              <w:ind w:firstLine="440"/>
              <w:rPr>
                <w:rFonts w:hint="eastAsia" w:ascii="宋体" w:hAnsi="宋体" w:eastAsia="宋体" w:cs="宋体"/>
                <w:sz w:val="24"/>
              </w:rPr>
            </w:pPr>
            <w:r>
              <w:rPr>
                <w:rFonts w:hint="eastAsia" w:ascii="宋体" w:hAnsi="宋体" w:eastAsia="宋体" w:cs="宋体"/>
                <w:sz w:val="24"/>
              </w:rPr>
              <w:t>识别唯一性校验</w:t>
            </w:r>
          </w:p>
        </w:tc>
      </w:tr>
      <w:tr w14:paraId="2B73EBBB">
        <w:tblPrEx>
          <w:tblCellMar>
            <w:top w:w="0" w:type="dxa"/>
            <w:left w:w="108" w:type="dxa"/>
            <w:bottom w:w="0" w:type="dxa"/>
            <w:right w:w="108" w:type="dxa"/>
          </w:tblCellMar>
        </w:tblPrEx>
        <w:trPr>
          <w:trHeight w:val="445" w:hRule="atLeast"/>
        </w:trPr>
        <w:tc>
          <w:tcPr>
            <w:tcW w:w="1687" w:type="pct"/>
            <w:vMerge w:val="continue"/>
            <w:tcBorders>
              <w:left w:val="single" w:color="auto" w:sz="4" w:space="0"/>
              <w:right w:val="single" w:color="auto" w:sz="4" w:space="0"/>
            </w:tcBorders>
            <w:shd w:val="clear" w:color="000000" w:fill="FFFFFF"/>
            <w:noWrap/>
            <w:vAlign w:val="center"/>
          </w:tcPr>
          <w:p w14:paraId="2A5FBDB3">
            <w:pPr>
              <w:spacing w:line="360" w:lineRule="auto"/>
              <w:ind w:firstLine="440"/>
              <w:jc w:val="center"/>
              <w:rPr>
                <w:rFonts w:hint="eastAsia" w:ascii="宋体" w:hAnsi="宋体" w:eastAsia="宋体" w:cs="宋体"/>
                <w:sz w:val="24"/>
              </w:rPr>
            </w:pPr>
          </w:p>
        </w:tc>
        <w:tc>
          <w:tcPr>
            <w:tcW w:w="3313" w:type="pct"/>
            <w:tcBorders>
              <w:top w:val="nil"/>
              <w:left w:val="nil"/>
              <w:bottom w:val="single" w:color="auto" w:sz="4" w:space="0"/>
              <w:right w:val="single" w:color="auto" w:sz="4" w:space="0"/>
            </w:tcBorders>
            <w:vAlign w:val="center"/>
          </w:tcPr>
          <w:p w14:paraId="139DA803">
            <w:pPr>
              <w:spacing w:line="360" w:lineRule="auto"/>
              <w:ind w:firstLine="440"/>
              <w:rPr>
                <w:rFonts w:hint="eastAsia" w:ascii="宋体" w:hAnsi="宋体" w:eastAsia="宋体" w:cs="宋体"/>
                <w:sz w:val="24"/>
              </w:rPr>
            </w:pPr>
            <w:r>
              <w:rPr>
                <w:rFonts w:hint="eastAsia" w:ascii="宋体" w:hAnsi="宋体" w:eastAsia="宋体" w:cs="宋体"/>
                <w:sz w:val="24"/>
              </w:rPr>
              <w:t>数据完整性校验</w:t>
            </w:r>
          </w:p>
        </w:tc>
      </w:tr>
      <w:tr w14:paraId="31543AD8">
        <w:tblPrEx>
          <w:tblCellMar>
            <w:top w:w="0" w:type="dxa"/>
            <w:left w:w="108" w:type="dxa"/>
            <w:bottom w:w="0" w:type="dxa"/>
            <w:right w:w="108" w:type="dxa"/>
          </w:tblCellMar>
        </w:tblPrEx>
        <w:trPr>
          <w:trHeight w:val="445" w:hRule="atLeast"/>
        </w:trPr>
        <w:tc>
          <w:tcPr>
            <w:tcW w:w="1687" w:type="pct"/>
            <w:vMerge w:val="continue"/>
            <w:tcBorders>
              <w:left w:val="single" w:color="auto" w:sz="4" w:space="0"/>
              <w:right w:val="single" w:color="auto" w:sz="4" w:space="0"/>
            </w:tcBorders>
            <w:shd w:val="clear" w:color="000000" w:fill="FFFFFF"/>
            <w:noWrap/>
            <w:vAlign w:val="center"/>
          </w:tcPr>
          <w:p w14:paraId="289C9392">
            <w:pPr>
              <w:spacing w:line="360" w:lineRule="auto"/>
              <w:ind w:firstLine="440"/>
              <w:jc w:val="center"/>
              <w:rPr>
                <w:rFonts w:hint="eastAsia" w:ascii="宋体" w:hAnsi="宋体" w:eastAsia="宋体" w:cs="宋体"/>
                <w:sz w:val="24"/>
              </w:rPr>
            </w:pPr>
          </w:p>
        </w:tc>
        <w:tc>
          <w:tcPr>
            <w:tcW w:w="3313" w:type="pct"/>
            <w:tcBorders>
              <w:top w:val="nil"/>
              <w:left w:val="nil"/>
              <w:bottom w:val="single" w:color="auto" w:sz="4" w:space="0"/>
              <w:right w:val="single" w:color="auto" w:sz="4" w:space="0"/>
            </w:tcBorders>
            <w:vAlign w:val="center"/>
          </w:tcPr>
          <w:p w14:paraId="077AA33B">
            <w:pPr>
              <w:spacing w:line="360" w:lineRule="auto"/>
              <w:ind w:firstLine="440"/>
              <w:rPr>
                <w:rFonts w:hint="eastAsia" w:ascii="宋体" w:hAnsi="宋体" w:eastAsia="宋体" w:cs="宋体"/>
                <w:sz w:val="24"/>
              </w:rPr>
            </w:pPr>
            <w:r>
              <w:rPr>
                <w:rFonts w:hint="eastAsia" w:ascii="宋体" w:hAnsi="宋体" w:eastAsia="宋体" w:cs="宋体"/>
                <w:sz w:val="24"/>
              </w:rPr>
              <w:t>长期有效性校验</w:t>
            </w:r>
          </w:p>
        </w:tc>
      </w:tr>
      <w:tr w14:paraId="23EEDFA7">
        <w:tblPrEx>
          <w:tblCellMar>
            <w:top w:w="0" w:type="dxa"/>
            <w:left w:w="108" w:type="dxa"/>
            <w:bottom w:w="0" w:type="dxa"/>
            <w:right w:w="108" w:type="dxa"/>
          </w:tblCellMar>
        </w:tblPrEx>
        <w:trPr>
          <w:trHeight w:val="420" w:hRule="atLeast"/>
        </w:trPr>
        <w:tc>
          <w:tcPr>
            <w:tcW w:w="1687" w:type="pct"/>
            <w:vMerge w:val="continue"/>
            <w:tcBorders>
              <w:left w:val="single" w:color="auto" w:sz="4" w:space="0"/>
              <w:bottom w:val="single" w:color="auto" w:sz="4" w:space="0"/>
              <w:right w:val="single" w:color="auto" w:sz="4" w:space="0"/>
            </w:tcBorders>
            <w:shd w:val="clear" w:color="000000" w:fill="FFFFFF"/>
            <w:noWrap/>
            <w:vAlign w:val="center"/>
          </w:tcPr>
          <w:p w14:paraId="093ECA03">
            <w:pPr>
              <w:spacing w:line="360" w:lineRule="auto"/>
              <w:ind w:firstLine="440"/>
              <w:jc w:val="center"/>
              <w:rPr>
                <w:rFonts w:hint="eastAsia" w:ascii="宋体" w:hAnsi="宋体" w:eastAsia="宋体" w:cs="宋体"/>
                <w:sz w:val="24"/>
              </w:rPr>
            </w:pPr>
          </w:p>
        </w:tc>
        <w:tc>
          <w:tcPr>
            <w:tcW w:w="3313" w:type="pct"/>
            <w:tcBorders>
              <w:top w:val="nil"/>
              <w:left w:val="nil"/>
              <w:bottom w:val="single" w:color="auto" w:sz="4" w:space="0"/>
              <w:right w:val="single" w:color="auto" w:sz="4" w:space="0"/>
            </w:tcBorders>
            <w:vAlign w:val="center"/>
          </w:tcPr>
          <w:p w14:paraId="682C3234">
            <w:pPr>
              <w:spacing w:line="360" w:lineRule="auto"/>
              <w:ind w:firstLine="440"/>
              <w:rPr>
                <w:rFonts w:hint="eastAsia" w:ascii="宋体" w:hAnsi="宋体" w:eastAsia="宋体" w:cs="宋体"/>
                <w:sz w:val="24"/>
              </w:rPr>
            </w:pPr>
            <w:r>
              <w:rPr>
                <w:rFonts w:hint="eastAsia" w:ascii="宋体" w:hAnsi="宋体" w:eastAsia="宋体" w:cs="宋体"/>
                <w:sz w:val="24"/>
              </w:rPr>
              <w:t>业务逻辑性校验</w:t>
            </w:r>
          </w:p>
        </w:tc>
      </w:tr>
      <w:tr w14:paraId="39EED611">
        <w:tblPrEx>
          <w:tblCellMar>
            <w:top w:w="0" w:type="dxa"/>
            <w:left w:w="108" w:type="dxa"/>
            <w:bottom w:w="0" w:type="dxa"/>
            <w:right w:w="108" w:type="dxa"/>
          </w:tblCellMar>
        </w:tblPrEx>
        <w:trPr>
          <w:trHeight w:val="540" w:hRule="atLeast"/>
        </w:trPr>
        <w:tc>
          <w:tcPr>
            <w:tcW w:w="1687" w:type="pct"/>
            <w:vMerge w:val="restart"/>
            <w:tcBorders>
              <w:top w:val="nil"/>
              <w:left w:val="single" w:color="auto" w:sz="4" w:space="0"/>
              <w:right w:val="single" w:color="auto" w:sz="4" w:space="0"/>
            </w:tcBorders>
            <w:shd w:val="clear" w:color="000000" w:fill="FFFFFF"/>
            <w:noWrap/>
            <w:vAlign w:val="center"/>
          </w:tcPr>
          <w:p w14:paraId="683C8BA7">
            <w:pPr>
              <w:spacing w:line="360" w:lineRule="auto"/>
              <w:ind w:firstLine="440"/>
              <w:jc w:val="center"/>
              <w:rPr>
                <w:rFonts w:hint="eastAsia" w:ascii="宋体" w:hAnsi="宋体" w:eastAsia="宋体" w:cs="宋体"/>
                <w:sz w:val="24"/>
              </w:rPr>
            </w:pPr>
            <w:r>
              <w:rPr>
                <w:rFonts w:hint="eastAsia" w:ascii="宋体" w:hAnsi="宋体" w:eastAsia="宋体" w:cs="宋体"/>
                <w:sz w:val="24"/>
              </w:rPr>
              <w:t>地理建模以及地理信息标定服务</w:t>
            </w:r>
          </w:p>
        </w:tc>
        <w:tc>
          <w:tcPr>
            <w:tcW w:w="3313" w:type="pct"/>
            <w:tcBorders>
              <w:top w:val="nil"/>
              <w:left w:val="nil"/>
              <w:bottom w:val="single" w:color="auto" w:sz="4" w:space="0"/>
              <w:right w:val="single" w:color="auto" w:sz="4" w:space="0"/>
            </w:tcBorders>
            <w:vAlign w:val="center"/>
          </w:tcPr>
          <w:p w14:paraId="02E4E324">
            <w:pPr>
              <w:spacing w:line="360" w:lineRule="auto"/>
              <w:ind w:firstLine="440"/>
              <w:rPr>
                <w:rFonts w:hint="eastAsia" w:ascii="宋体" w:hAnsi="宋体" w:eastAsia="宋体" w:cs="宋体"/>
                <w:sz w:val="24"/>
              </w:rPr>
            </w:pPr>
            <w:r>
              <w:rPr>
                <w:rFonts w:hint="eastAsia" w:ascii="宋体" w:hAnsi="宋体" w:eastAsia="宋体" w:cs="宋体"/>
                <w:sz w:val="24"/>
              </w:rPr>
              <w:t>地理信息建模及图层展示</w:t>
            </w:r>
          </w:p>
        </w:tc>
      </w:tr>
      <w:tr w14:paraId="456C7DCB">
        <w:tblPrEx>
          <w:tblCellMar>
            <w:top w:w="0" w:type="dxa"/>
            <w:left w:w="108" w:type="dxa"/>
            <w:bottom w:w="0" w:type="dxa"/>
            <w:right w:w="108" w:type="dxa"/>
          </w:tblCellMar>
        </w:tblPrEx>
        <w:trPr>
          <w:trHeight w:val="540" w:hRule="atLeast"/>
        </w:trPr>
        <w:tc>
          <w:tcPr>
            <w:tcW w:w="1687" w:type="pct"/>
            <w:vMerge w:val="continue"/>
            <w:tcBorders>
              <w:left w:val="single" w:color="auto" w:sz="4" w:space="0"/>
              <w:right w:val="single" w:color="auto" w:sz="4" w:space="0"/>
            </w:tcBorders>
            <w:shd w:val="clear" w:color="000000" w:fill="FFFFFF"/>
            <w:noWrap/>
            <w:vAlign w:val="center"/>
          </w:tcPr>
          <w:p w14:paraId="229A25AD">
            <w:pPr>
              <w:spacing w:line="360" w:lineRule="auto"/>
              <w:ind w:firstLine="440"/>
              <w:jc w:val="center"/>
              <w:rPr>
                <w:rFonts w:hint="eastAsia" w:ascii="宋体" w:hAnsi="宋体" w:eastAsia="宋体" w:cs="宋体"/>
                <w:sz w:val="24"/>
              </w:rPr>
            </w:pPr>
          </w:p>
        </w:tc>
        <w:tc>
          <w:tcPr>
            <w:tcW w:w="3313" w:type="pct"/>
            <w:tcBorders>
              <w:top w:val="nil"/>
              <w:left w:val="nil"/>
              <w:bottom w:val="single" w:color="auto" w:sz="4" w:space="0"/>
              <w:right w:val="single" w:color="auto" w:sz="4" w:space="0"/>
            </w:tcBorders>
            <w:vAlign w:val="center"/>
          </w:tcPr>
          <w:p w14:paraId="1F2E9EB9">
            <w:pPr>
              <w:spacing w:line="360" w:lineRule="auto"/>
              <w:ind w:firstLine="440"/>
              <w:rPr>
                <w:rFonts w:hint="eastAsia" w:ascii="宋体" w:hAnsi="宋体" w:eastAsia="宋体" w:cs="宋体"/>
                <w:sz w:val="24"/>
              </w:rPr>
            </w:pPr>
            <w:r>
              <w:rPr>
                <w:rFonts w:hint="eastAsia" w:ascii="宋体" w:hAnsi="宋体" w:eastAsia="宋体" w:cs="宋体"/>
                <w:sz w:val="24"/>
              </w:rPr>
              <w:t>基于地理信息做摄像机标定</w:t>
            </w:r>
          </w:p>
        </w:tc>
      </w:tr>
      <w:tr w14:paraId="52C6820E">
        <w:tblPrEx>
          <w:tblCellMar>
            <w:top w:w="0" w:type="dxa"/>
            <w:left w:w="108" w:type="dxa"/>
            <w:bottom w:w="0" w:type="dxa"/>
            <w:right w:w="108" w:type="dxa"/>
          </w:tblCellMar>
        </w:tblPrEx>
        <w:trPr>
          <w:trHeight w:val="540" w:hRule="atLeast"/>
        </w:trPr>
        <w:tc>
          <w:tcPr>
            <w:tcW w:w="1687" w:type="pct"/>
            <w:vMerge w:val="continue"/>
            <w:tcBorders>
              <w:left w:val="single" w:color="auto" w:sz="4" w:space="0"/>
              <w:bottom w:val="single" w:color="auto" w:sz="4" w:space="0"/>
              <w:right w:val="single" w:color="auto" w:sz="4" w:space="0"/>
            </w:tcBorders>
            <w:shd w:val="clear" w:color="000000" w:fill="FFFFFF"/>
            <w:noWrap/>
            <w:vAlign w:val="center"/>
          </w:tcPr>
          <w:p w14:paraId="100BEBDC">
            <w:pPr>
              <w:spacing w:line="360" w:lineRule="auto"/>
              <w:ind w:firstLine="440"/>
              <w:jc w:val="center"/>
              <w:rPr>
                <w:rFonts w:hint="eastAsia" w:ascii="宋体" w:hAnsi="宋体" w:eastAsia="宋体" w:cs="宋体"/>
                <w:sz w:val="24"/>
              </w:rPr>
            </w:pPr>
          </w:p>
        </w:tc>
        <w:tc>
          <w:tcPr>
            <w:tcW w:w="3313" w:type="pct"/>
            <w:tcBorders>
              <w:top w:val="nil"/>
              <w:left w:val="nil"/>
              <w:bottom w:val="single" w:color="auto" w:sz="4" w:space="0"/>
              <w:right w:val="single" w:color="auto" w:sz="4" w:space="0"/>
            </w:tcBorders>
            <w:vAlign w:val="center"/>
          </w:tcPr>
          <w:p w14:paraId="1D4171AF">
            <w:pPr>
              <w:spacing w:line="360" w:lineRule="auto"/>
              <w:ind w:firstLine="440"/>
              <w:rPr>
                <w:rFonts w:hint="eastAsia" w:ascii="宋体" w:hAnsi="宋体" w:eastAsia="宋体" w:cs="宋体"/>
                <w:sz w:val="24"/>
              </w:rPr>
            </w:pPr>
            <w:r>
              <w:rPr>
                <w:rFonts w:hint="eastAsia" w:ascii="宋体" w:hAnsi="宋体" w:eastAsia="宋体" w:cs="宋体"/>
                <w:sz w:val="24"/>
              </w:rPr>
              <w:t>摄像机预置位自动检测及校准</w:t>
            </w:r>
          </w:p>
        </w:tc>
      </w:tr>
    </w:tbl>
    <w:p w14:paraId="465A539A">
      <w:pPr>
        <w:pStyle w:val="880"/>
        <w:numPr>
          <w:ilvl w:val="2"/>
          <w:numId w:val="2"/>
        </w:numPr>
        <w:spacing w:line="360" w:lineRule="auto"/>
        <w:rPr>
          <w:rFonts w:hint="eastAsia" w:ascii="宋体" w:hAnsi="宋体" w:eastAsia="宋体" w:cs="宋体"/>
          <w:sz w:val="24"/>
          <w:szCs w:val="24"/>
        </w:rPr>
      </w:pPr>
      <w:r>
        <w:rPr>
          <w:rFonts w:hint="eastAsia" w:ascii="宋体" w:hAnsi="宋体" w:eastAsia="宋体" w:cs="宋体"/>
          <w:sz w:val="24"/>
          <w:szCs w:val="24"/>
        </w:rPr>
        <w:t>AI算法性能需求</w:t>
      </w:r>
    </w:p>
    <w:p w14:paraId="184B076C">
      <w:pPr>
        <w:spacing w:line="360" w:lineRule="auto"/>
        <w:ind w:firstLine="480"/>
        <w:rPr>
          <w:rFonts w:hint="eastAsia" w:ascii="宋体" w:hAnsi="宋体" w:eastAsia="宋体" w:cs="宋体"/>
          <w:sz w:val="24"/>
        </w:rPr>
      </w:pPr>
      <w:r>
        <w:rPr>
          <w:rFonts w:hint="eastAsia" w:ascii="宋体" w:hAnsi="宋体" w:eastAsia="宋体" w:cs="宋体"/>
          <w:sz w:val="24"/>
        </w:rPr>
        <w:t>核心烟火识别预警算法应具有先进的成熟度，符合相关科技成果评价标准，算法识别精准率要求在95%及以上：</w:t>
      </w:r>
    </w:p>
    <w:p w14:paraId="7271BD25">
      <w:pPr>
        <w:spacing w:line="360" w:lineRule="auto"/>
        <w:ind w:firstLine="480"/>
        <w:rPr>
          <w:rFonts w:hint="eastAsia" w:ascii="宋体" w:hAnsi="宋体" w:eastAsia="宋体" w:cs="宋体"/>
          <w:sz w:val="24"/>
        </w:rPr>
      </w:pPr>
      <w:r>
        <w:rPr>
          <w:rFonts w:hint="eastAsia" w:ascii="宋体" w:hAnsi="宋体" w:eastAsia="宋体" w:cs="仿宋_GB2312"/>
          <w:color w:val="000000"/>
          <w:sz w:val="24"/>
        </w:rPr>
        <w:t>△</w:t>
      </w:r>
      <w:r>
        <w:rPr>
          <w:rFonts w:hint="eastAsia" w:ascii="宋体" w:hAnsi="宋体" w:eastAsia="宋体" w:cs="宋体"/>
          <w:sz w:val="24"/>
        </w:rPr>
        <w:t>技术成熟度≥8级；(提供第三方出具的相关技术评价认定材料)</w:t>
      </w:r>
    </w:p>
    <w:p w14:paraId="1BFA5BBA">
      <w:pPr>
        <w:spacing w:line="360" w:lineRule="auto"/>
        <w:ind w:firstLine="480"/>
        <w:rPr>
          <w:rFonts w:hint="eastAsia" w:ascii="宋体" w:hAnsi="宋体" w:eastAsia="宋体" w:cs="宋体"/>
          <w:sz w:val="24"/>
        </w:rPr>
      </w:pPr>
      <w:r>
        <w:rPr>
          <w:rFonts w:hint="eastAsia" w:ascii="宋体" w:hAnsi="宋体" w:eastAsia="宋体" w:cs="宋体"/>
          <w:sz w:val="24"/>
        </w:rPr>
        <w:t>技术创新度≥2级；(提供第三方出具的相关技术评价认定材料)</w:t>
      </w:r>
    </w:p>
    <w:p w14:paraId="0E39D2BD">
      <w:pPr>
        <w:spacing w:line="360" w:lineRule="auto"/>
        <w:ind w:firstLine="480"/>
        <w:rPr>
          <w:rFonts w:hint="eastAsia" w:ascii="宋体" w:hAnsi="宋体" w:eastAsia="宋体" w:cs="宋体"/>
          <w:sz w:val="24"/>
        </w:rPr>
      </w:pPr>
      <w:r>
        <w:rPr>
          <w:rFonts w:hint="eastAsia" w:ascii="宋体" w:hAnsi="宋体" w:eastAsia="宋体" w:cs="宋体"/>
          <w:sz w:val="24"/>
        </w:rPr>
        <w:t>技术先进度≥4级；(提供第三方出具的相关技术评价认定材料)。</w:t>
      </w:r>
    </w:p>
    <w:p w14:paraId="6BE3EAFD">
      <w:pPr>
        <w:spacing w:line="360" w:lineRule="auto"/>
        <w:ind w:firstLine="480"/>
        <w:rPr>
          <w:rFonts w:hint="eastAsia" w:ascii="宋体" w:hAnsi="宋体" w:eastAsia="宋体" w:cs="宋体"/>
          <w:szCs w:val="28"/>
        </w:rPr>
      </w:pPr>
      <w:r>
        <w:rPr>
          <w:rFonts w:hint="eastAsia" w:ascii="宋体" w:hAnsi="宋体" w:eastAsia="宋体" w:cs="仿宋_GB2312"/>
          <w:color w:val="000000"/>
          <w:sz w:val="24"/>
        </w:rPr>
        <w:t>△</w:t>
      </w:r>
      <w:r>
        <w:rPr>
          <w:rFonts w:hint="eastAsia" w:ascii="宋体" w:hAnsi="宋体" w:eastAsia="宋体" w:cs="宋体"/>
          <w:sz w:val="24"/>
        </w:rPr>
        <w:t>算法识别精准率≥95%（提供CNAS或CMA认证的第三方出具的检测报告）</w:t>
      </w:r>
    </w:p>
    <w:p w14:paraId="1AB565EF">
      <w:pPr>
        <w:pStyle w:val="87"/>
        <w:spacing w:line="440" w:lineRule="exact"/>
        <w:ind w:firstLine="482"/>
        <w:outlineLvl w:val="2"/>
        <w:rPr>
          <w:rFonts w:hint="eastAsia" w:ascii="宋体" w:hAnsi="宋体" w:eastAsia="宋体" w:cs="宋体"/>
          <w:b/>
          <w:szCs w:val="28"/>
        </w:rPr>
      </w:pPr>
      <w:r>
        <w:rPr>
          <w:rFonts w:hint="eastAsia" w:ascii="宋体" w:hAnsi="宋体" w:eastAsia="宋体" w:cs="宋体"/>
          <w:b/>
          <w:szCs w:val="28"/>
        </w:rPr>
        <w:t>3.监控服务点位建议表及高度见下表：</w:t>
      </w:r>
    </w:p>
    <w:tbl>
      <w:tblPr>
        <w:tblStyle w:val="62"/>
        <w:tblW w:w="8517" w:type="dxa"/>
        <w:tblInd w:w="250" w:type="dxa"/>
        <w:tblLayout w:type="fixed"/>
        <w:tblCellMar>
          <w:top w:w="0" w:type="dxa"/>
          <w:left w:w="108" w:type="dxa"/>
          <w:bottom w:w="0" w:type="dxa"/>
          <w:right w:w="108" w:type="dxa"/>
        </w:tblCellMar>
      </w:tblPr>
      <w:tblGrid>
        <w:gridCol w:w="1418"/>
        <w:gridCol w:w="1588"/>
        <w:gridCol w:w="3063"/>
        <w:gridCol w:w="2448"/>
      </w:tblGrid>
      <w:tr w14:paraId="4B172A9D">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vAlign w:val="center"/>
          </w:tcPr>
          <w:p w14:paraId="4143D17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1588" w:type="dxa"/>
            <w:tcBorders>
              <w:top w:val="single" w:color="auto" w:sz="4" w:space="0"/>
              <w:left w:val="nil"/>
              <w:bottom w:val="single" w:color="auto" w:sz="4" w:space="0"/>
              <w:right w:val="single" w:color="auto" w:sz="4" w:space="0"/>
            </w:tcBorders>
            <w:vAlign w:val="center"/>
          </w:tcPr>
          <w:p w14:paraId="0AFB9D5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大致区域</w:t>
            </w:r>
          </w:p>
        </w:tc>
        <w:tc>
          <w:tcPr>
            <w:tcW w:w="3063" w:type="dxa"/>
            <w:tcBorders>
              <w:top w:val="single" w:color="auto" w:sz="4" w:space="0"/>
              <w:left w:val="nil"/>
              <w:bottom w:val="single" w:color="auto" w:sz="4" w:space="0"/>
              <w:right w:val="single" w:color="auto" w:sz="4" w:space="0"/>
            </w:tcBorders>
            <w:vAlign w:val="center"/>
          </w:tcPr>
          <w:p w14:paraId="3D6B7E07">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高度要求</w:t>
            </w:r>
          </w:p>
        </w:tc>
        <w:tc>
          <w:tcPr>
            <w:tcW w:w="2448" w:type="dxa"/>
            <w:tcBorders>
              <w:top w:val="single" w:color="auto" w:sz="4" w:space="0"/>
              <w:left w:val="nil"/>
              <w:bottom w:val="single" w:color="auto" w:sz="4" w:space="0"/>
              <w:right w:val="single" w:color="auto" w:sz="4" w:space="0"/>
            </w:tcBorders>
            <w:vAlign w:val="center"/>
          </w:tcPr>
          <w:p w14:paraId="4D2E9DB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点位数要求</w:t>
            </w:r>
          </w:p>
        </w:tc>
      </w:tr>
      <w:tr w14:paraId="064F00A4">
        <w:tblPrEx>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vAlign w:val="center"/>
          </w:tcPr>
          <w:p w14:paraId="6D82A7C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588" w:type="dxa"/>
            <w:tcBorders>
              <w:top w:val="nil"/>
              <w:left w:val="nil"/>
              <w:bottom w:val="single" w:color="auto" w:sz="4" w:space="0"/>
              <w:right w:val="single" w:color="auto" w:sz="4" w:space="0"/>
            </w:tcBorders>
            <w:vAlign w:val="center"/>
          </w:tcPr>
          <w:p w14:paraId="5DCA7225">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李家镇</w:t>
            </w:r>
          </w:p>
        </w:tc>
        <w:tc>
          <w:tcPr>
            <w:tcW w:w="3063" w:type="dxa"/>
            <w:tcBorders>
              <w:top w:val="nil"/>
              <w:left w:val="nil"/>
              <w:bottom w:val="single" w:color="auto" w:sz="4" w:space="0"/>
              <w:right w:val="single" w:color="auto" w:sz="4" w:space="0"/>
            </w:tcBorders>
            <w:vAlign w:val="center"/>
          </w:tcPr>
          <w:p w14:paraId="6E22D23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30米以上制高点</w:t>
            </w:r>
          </w:p>
        </w:tc>
        <w:tc>
          <w:tcPr>
            <w:tcW w:w="2448" w:type="dxa"/>
            <w:tcBorders>
              <w:top w:val="nil"/>
              <w:left w:val="nil"/>
              <w:bottom w:val="single" w:color="auto" w:sz="4" w:space="0"/>
              <w:right w:val="single" w:color="auto" w:sz="4" w:space="0"/>
            </w:tcBorders>
            <w:vAlign w:val="center"/>
          </w:tcPr>
          <w:p w14:paraId="56F34E55">
            <w:pPr>
              <w:widowControl/>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5</w:t>
            </w:r>
          </w:p>
        </w:tc>
      </w:tr>
      <w:tr w14:paraId="155A342D">
        <w:tblPrEx>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vAlign w:val="center"/>
          </w:tcPr>
          <w:p w14:paraId="2E153A4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588" w:type="dxa"/>
            <w:tcBorders>
              <w:top w:val="nil"/>
              <w:left w:val="nil"/>
              <w:bottom w:val="single" w:color="auto" w:sz="4" w:space="0"/>
              <w:right w:val="single" w:color="auto" w:sz="4" w:space="0"/>
            </w:tcBorders>
            <w:vAlign w:val="center"/>
          </w:tcPr>
          <w:p w14:paraId="44F9F958">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大同镇</w:t>
            </w:r>
          </w:p>
        </w:tc>
        <w:tc>
          <w:tcPr>
            <w:tcW w:w="3063" w:type="dxa"/>
            <w:tcBorders>
              <w:top w:val="nil"/>
              <w:left w:val="nil"/>
              <w:bottom w:val="single" w:color="auto" w:sz="4" w:space="0"/>
              <w:right w:val="single" w:color="auto" w:sz="4" w:space="0"/>
            </w:tcBorders>
            <w:vAlign w:val="center"/>
          </w:tcPr>
          <w:p w14:paraId="46BC59D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30米以上制高点</w:t>
            </w:r>
          </w:p>
        </w:tc>
        <w:tc>
          <w:tcPr>
            <w:tcW w:w="2448" w:type="dxa"/>
            <w:tcBorders>
              <w:top w:val="nil"/>
              <w:left w:val="nil"/>
              <w:bottom w:val="single" w:color="auto" w:sz="4" w:space="0"/>
              <w:right w:val="single" w:color="auto" w:sz="4" w:space="0"/>
            </w:tcBorders>
            <w:vAlign w:val="center"/>
          </w:tcPr>
          <w:p w14:paraId="70072E25">
            <w:pPr>
              <w:widowControl/>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6</w:t>
            </w:r>
          </w:p>
        </w:tc>
      </w:tr>
      <w:tr w14:paraId="69388D75">
        <w:tblPrEx>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vAlign w:val="center"/>
          </w:tcPr>
          <w:p w14:paraId="6AC99F8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588" w:type="dxa"/>
            <w:tcBorders>
              <w:top w:val="nil"/>
              <w:left w:val="nil"/>
              <w:bottom w:val="single" w:color="auto" w:sz="4" w:space="0"/>
              <w:right w:val="single" w:color="auto" w:sz="4" w:space="0"/>
            </w:tcBorders>
            <w:vAlign w:val="center"/>
          </w:tcPr>
          <w:p w14:paraId="5B9B7942">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航头镇</w:t>
            </w:r>
          </w:p>
        </w:tc>
        <w:tc>
          <w:tcPr>
            <w:tcW w:w="3063" w:type="dxa"/>
            <w:tcBorders>
              <w:top w:val="nil"/>
              <w:left w:val="nil"/>
              <w:bottom w:val="single" w:color="auto" w:sz="4" w:space="0"/>
              <w:right w:val="single" w:color="auto" w:sz="4" w:space="0"/>
            </w:tcBorders>
            <w:vAlign w:val="center"/>
          </w:tcPr>
          <w:p w14:paraId="7F8FE767">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30米以上制高点</w:t>
            </w:r>
          </w:p>
        </w:tc>
        <w:tc>
          <w:tcPr>
            <w:tcW w:w="2448" w:type="dxa"/>
            <w:tcBorders>
              <w:top w:val="nil"/>
              <w:left w:val="nil"/>
              <w:bottom w:val="single" w:color="auto" w:sz="4" w:space="0"/>
              <w:right w:val="single" w:color="auto" w:sz="4" w:space="0"/>
            </w:tcBorders>
            <w:vAlign w:val="center"/>
          </w:tcPr>
          <w:p w14:paraId="572BAE91">
            <w:pPr>
              <w:widowControl/>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5</w:t>
            </w:r>
          </w:p>
        </w:tc>
      </w:tr>
      <w:tr w14:paraId="33743ECE">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vAlign w:val="center"/>
          </w:tcPr>
          <w:p w14:paraId="409F8C0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588" w:type="dxa"/>
            <w:tcBorders>
              <w:top w:val="single" w:color="auto" w:sz="4" w:space="0"/>
              <w:left w:val="nil"/>
              <w:bottom w:val="single" w:color="auto" w:sz="4" w:space="0"/>
              <w:right w:val="single" w:color="auto" w:sz="4" w:space="0"/>
            </w:tcBorders>
            <w:vAlign w:val="center"/>
          </w:tcPr>
          <w:p w14:paraId="665DDAFF">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寿昌镇</w:t>
            </w:r>
          </w:p>
        </w:tc>
        <w:tc>
          <w:tcPr>
            <w:tcW w:w="3063" w:type="dxa"/>
            <w:tcBorders>
              <w:top w:val="single" w:color="auto" w:sz="4" w:space="0"/>
              <w:left w:val="nil"/>
              <w:bottom w:val="single" w:color="auto" w:sz="4" w:space="0"/>
              <w:right w:val="single" w:color="auto" w:sz="4" w:space="0"/>
            </w:tcBorders>
            <w:vAlign w:val="center"/>
          </w:tcPr>
          <w:p w14:paraId="54A789B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30米以上制高点</w:t>
            </w:r>
          </w:p>
        </w:tc>
        <w:tc>
          <w:tcPr>
            <w:tcW w:w="2448" w:type="dxa"/>
            <w:tcBorders>
              <w:top w:val="single" w:color="auto" w:sz="4" w:space="0"/>
              <w:left w:val="nil"/>
              <w:bottom w:val="single" w:color="auto" w:sz="4" w:space="0"/>
              <w:right w:val="single" w:color="auto" w:sz="4" w:space="0"/>
            </w:tcBorders>
            <w:vAlign w:val="center"/>
          </w:tcPr>
          <w:p w14:paraId="4C6D7BFF">
            <w:pPr>
              <w:widowControl/>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5</w:t>
            </w:r>
          </w:p>
        </w:tc>
      </w:tr>
      <w:tr w14:paraId="06721485">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vAlign w:val="center"/>
          </w:tcPr>
          <w:p w14:paraId="1BC1AF4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1588" w:type="dxa"/>
            <w:tcBorders>
              <w:top w:val="single" w:color="auto" w:sz="4" w:space="0"/>
              <w:left w:val="nil"/>
              <w:bottom w:val="single" w:color="auto" w:sz="4" w:space="0"/>
              <w:right w:val="single" w:color="auto" w:sz="4" w:space="0"/>
            </w:tcBorders>
            <w:vAlign w:val="center"/>
          </w:tcPr>
          <w:p w14:paraId="54905979">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大慈岩</w:t>
            </w:r>
          </w:p>
        </w:tc>
        <w:tc>
          <w:tcPr>
            <w:tcW w:w="3063" w:type="dxa"/>
            <w:tcBorders>
              <w:top w:val="single" w:color="auto" w:sz="4" w:space="0"/>
              <w:left w:val="nil"/>
              <w:bottom w:val="single" w:color="auto" w:sz="4" w:space="0"/>
              <w:right w:val="single" w:color="auto" w:sz="4" w:space="0"/>
            </w:tcBorders>
            <w:vAlign w:val="center"/>
          </w:tcPr>
          <w:p w14:paraId="571A2E8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30米以上制高点</w:t>
            </w:r>
          </w:p>
        </w:tc>
        <w:tc>
          <w:tcPr>
            <w:tcW w:w="2448" w:type="dxa"/>
            <w:tcBorders>
              <w:top w:val="single" w:color="auto" w:sz="4" w:space="0"/>
              <w:left w:val="nil"/>
              <w:bottom w:val="single" w:color="auto" w:sz="4" w:space="0"/>
              <w:right w:val="single" w:color="auto" w:sz="4" w:space="0"/>
            </w:tcBorders>
            <w:vAlign w:val="center"/>
          </w:tcPr>
          <w:p w14:paraId="6A0A81D6">
            <w:pPr>
              <w:widowControl/>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4</w:t>
            </w:r>
          </w:p>
        </w:tc>
      </w:tr>
      <w:tr w14:paraId="5318F2B4">
        <w:tblPrEx>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vAlign w:val="center"/>
          </w:tcPr>
          <w:p w14:paraId="32435CD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1588" w:type="dxa"/>
            <w:tcBorders>
              <w:top w:val="nil"/>
              <w:left w:val="nil"/>
              <w:bottom w:val="single" w:color="auto" w:sz="4" w:space="0"/>
              <w:right w:val="single" w:color="auto" w:sz="4" w:space="0"/>
            </w:tcBorders>
            <w:vAlign w:val="center"/>
          </w:tcPr>
          <w:p w14:paraId="4A6F03DD">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更楼街道</w:t>
            </w:r>
          </w:p>
        </w:tc>
        <w:tc>
          <w:tcPr>
            <w:tcW w:w="3063" w:type="dxa"/>
            <w:tcBorders>
              <w:top w:val="nil"/>
              <w:left w:val="nil"/>
              <w:bottom w:val="single" w:color="auto" w:sz="4" w:space="0"/>
              <w:right w:val="single" w:color="auto" w:sz="4" w:space="0"/>
            </w:tcBorders>
            <w:vAlign w:val="center"/>
          </w:tcPr>
          <w:p w14:paraId="5D50B8E4">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30米以上制高点</w:t>
            </w:r>
          </w:p>
        </w:tc>
        <w:tc>
          <w:tcPr>
            <w:tcW w:w="2448" w:type="dxa"/>
            <w:tcBorders>
              <w:top w:val="nil"/>
              <w:left w:val="nil"/>
              <w:bottom w:val="single" w:color="auto" w:sz="4" w:space="0"/>
              <w:right w:val="single" w:color="auto" w:sz="4" w:space="0"/>
            </w:tcBorders>
            <w:vAlign w:val="center"/>
          </w:tcPr>
          <w:p w14:paraId="00B4F885">
            <w:pPr>
              <w:widowControl/>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5</w:t>
            </w:r>
          </w:p>
        </w:tc>
      </w:tr>
      <w:tr w14:paraId="51558E8D">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vAlign w:val="center"/>
          </w:tcPr>
          <w:p w14:paraId="3A171DF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1588" w:type="dxa"/>
            <w:tcBorders>
              <w:top w:val="single" w:color="auto" w:sz="4" w:space="0"/>
              <w:left w:val="nil"/>
              <w:bottom w:val="single" w:color="auto" w:sz="4" w:space="0"/>
              <w:right w:val="single" w:color="auto" w:sz="4" w:space="0"/>
            </w:tcBorders>
            <w:vAlign w:val="center"/>
          </w:tcPr>
          <w:p w14:paraId="2895ED40">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新安江街道</w:t>
            </w:r>
          </w:p>
        </w:tc>
        <w:tc>
          <w:tcPr>
            <w:tcW w:w="3063" w:type="dxa"/>
            <w:tcBorders>
              <w:top w:val="single" w:color="auto" w:sz="4" w:space="0"/>
              <w:left w:val="nil"/>
              <w:bottom w:val="single" w:color="auto" w:sz="4" w:space="0"/>
              <w:right w:val="single" w:color="auto" w:sz="4" w:space="0"/>
            </w:tcBorders>
            <w:vAlign w:val="center"/>
          </w:tcPr>
          <w:p w14:paraId="354C669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30米以上制高点</w:t>
            </w:r>
          </w:p>
        </w:tc>
        <w:tc>
          <w:tcPr>
            <w:tcW w:w="2448" w:type="dxa"/>
            <w:tcBorders>
              <w:top w:val="single" w:color="auto" w:sz="4" w:space="0"/>
              <w:left w:val="nil"/>
              <w:bottom w:val="single" w:color="auto" w:sz="4" w:space="0"/>
              <w:right w:val="single" w:color="auto" w:sz="4" w:space="0"/>
            </w:tcBorders>
            <w:vAlign w:val="center"/>
          </w:tcPr>
          <w:p w14:paraId="78D5A3A8">
            <w:pPr>
              <w:widowControl/>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9</w:t>
            </w:r>
          </w:p>
        </w:tc>
      </w:tr>
      <w:tr w14:paraId="3F3C4B9C">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vAlign w:val="center"/>
          </w:tcPr>
          <w:p w14:paraId="33F5CB3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1588" w:type="dxa"/>
            <w:tcBorders>
              <w:top w:val="single" w:color="auto" w:sz="4" w:space="0"/>
              <w:left w:val="nil"/>
              <w:bottom w:val="single" w:color="auto" w:sz="4" w:space="0"/>
              <w:right w:val="single" w:color="auto" w:sz="4" w:space="0"/>
            </w:tcBorders>
            <w:vAlign w:val="center"/>
          </w:tcPr>
          <w:p w14:paraId="3BA14CE9">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洋溪街道</w:t>
            </w:r>
          </w:p>
        </w:tc>
        <w:tc>
          <w:tcPr>
            <w:tcW w:w="3063" w:type="dxa"/>
            <w:tcBorders>
              <w:top w:val="single" w:color="auto" w:sz="4" w:space="0"/>
              <w:left w:val="nil"/>
              <w:bottom w:val="single" w:color="auto" w:sz="4" w:space="0"/>
              <w:right w:val="single" w:color="auto" w:sz="4" w:space="0"/>
            </w:tcBorders>
            <w:vAlign w:val="center"/>
          </w:tcPr>
          <w:p w14:paraId="71B555D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30米以上制高点</w:t>
            </w:r>
          </w:p>
        </w:tc>
        <w:tc>
          <w:tcPr>
            <w:tcW w:w="2448" w:type="dxa"/>
            <w:tcBorders>
              <w:top w:val="single" w:color="auto" w:sz="4" w:space="0"/>
              <w:left w:val="nil"/>
              <w:bottom w:val="single" w:color="auto" w:sz="4" w:space="0"/>
              <w:right w:val="single" w:color="auto" w:sz="4" w:space="0"/>
            </w:tcBorders>
            <w:vAlign w:val="center"/>
          </w:tcPr>
          <w:p w14:paraId="6B86F90A">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5</w:t>
            </w:r>
          </w:p>
        </w:tc>
      </w:tr>
      <w:tr w14:paraId="5D722BA1">
        <w:tblPrEx>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vAlign w:val="center"/>
          </w:tcPr>
          <w:p w14:paraId="6639F23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1588" w:type="dxa"/>
            <w:tcBorders>
              <w:top w:val="nil"/>
              <w:left w:val="nil"/>
              <w:bottom w:val="single" w:color="auto" w:sz="4" w:space="0"/>
              <w:right w:val="single" w:color="auto" w:sz="4" w:space="0"/>
            </w:tcBorders>
            <w:vAlign w:val="center"/>
          </w:tcPr>
          <w:p w14:paraId="090C79AB">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莲花镇</w:t>
            </w:r>
          </w:p>
        </w:tc>
        <w:tc>
          <w:tcPr>
            <w:tcW w:w="3063" w:type="dxa"/>
            <w:tcBorders>
              <w:top w:val="nil"/>
              <w:left w:val="nil"/>
              <w:bottom w:val="single" w:color="auto" w:sz="4" w:space="0"/>
              <w:right w:val="single" w:color="auto" w:sz="4" w:space="0"/>
            </w:tcBorders>
            <w:vAlign w:val="center"/>
          </w:tcPr>
          <w:p w14:paraId="035FC07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30米以上制高点</w:t>
            </w:r>
          </w:p>
        </w:tc>
        <w:tc>
          <w:tcPr>
            <w:tcW w:w="2448" w:type="dxa"/>
            <w:tcBorders>
              <w:top w:val="nil"/>
              <w:left w:val="nil"/>
              <w:bottom w:val="single" w:color="auto" w:sz="4" w:space="0"/>
              <w:right w:val="single" w:color="auto" w:sz="4" w:space="0"/>
            </w:tcBorders>
            <w:vAlign w:val="center"/>
          </w:tcPr>
          <w:p w14:paraId="6D985976">
            <w:pPr>
              <w:widowControl/>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5</w:t>
            </w:r>
          </w:p>
        </w:tc>
      </w:tr>
      <w:tr w14:paraId="0EA9F508">
        <w:tblPrEx>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vAlign w:val="center"/>
          </w:tcPr>
          <w:p w14:paraId="0AA4081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1588" w:type="dxa"/>
            <w:tcBorders>
              <w:top w:val="nil"/>
              <w:left w:val="nil"/>
              <w:bottom w:val="single" w:color="auto" w:sz="4" w:space="0"/>
              <w:right w:val="single" w:color="auto" w:sz="4" w:space="0"/>
            </w:tcBorders>
            <w:vAlign w:val="center"/>
          </w:tcPr>
          <w:p w14:paraId="0198CEBC">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下涯镇</w:t>
            </w:r>
          </w:p>
        </w:tc>
        <w:tc>
          <w:tcPr>
            <w:tcW w:w="3063" w:type="dxa"/>
            <w:tcBorders>
              <w:top w:val="nil"/>
              <w:left w:val="nil"/>
              <w:bottom w:val="single" w:color="auto" w:sz="4" w:space="0"/>
              <w:right w:val="single" w:color="auto" w:sz="4" w:space="0"/>
            </w:tcBorders>
            <w:vAlign w:val="center"/>
          </w:tcPr>
          <w:p w14:paraId="3C38882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30米以上制高点</w:t>
            </w:r>
          </w:p>
        </w:tc>
        <w:tc>
          <w:tcPr>
            <w:tcW w:w="2448" w:type="dxa"/>
            <w:tcBorders>
              <w:top w:val="nil"/>
              <w:left w:val="nil"/>
              <w:bottom w:val="single" w:color="auto" w:sz="4" w:space="0"/>
              <w:right w:val="single" w:color="auto" w:sz="4" w:space="0"/>
            </w:tcBorders>
            <w:vAlign w:val="center"/>
          </w:tcPr>
          <w:p w14:paraId="07C61CAC">
            <w:pPr>
              <w:widowControl/>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7</w:t>
            </w:r>
          </w:p>
        </w:tc>
      </w:tr>
      <w:tr w14:paraId="00991349">
        <w:tblPrEx>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vAlign w:val="center"/>
          </w:tcPr>
          <w:p w14:paraId="4DD31DA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w:t>
            </w:r>
          </w:p>
        </w:tc>
        <w:tc>
          <w:tcPr>
            <w:tcW w:w="1588" w:type="dxa"/>
            <w:tcBorders>
              <w:top w:val="single" w:color="auto" w:sz="4" w:space="0"/>
              <w:left w:val="nil"/>
              <w:bottom w:val="single" w:color="auto" w:sz="4" w:space="0"/>
              <w:right w:val="single" w:color="auto" w:sz="4" w:space="0"/>
            </w:tcBorders>
            <w:vAlign w:val="center"/>
          </w:tcPr>
          <w:p w14:paraId="233C0B0D">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杨村桥镇</w:t>
            </w:r>
          </w:p>
        </w:tc>
        <w:tc>
          <w:tcPr>
            <w:tcW w:w="3063" w:type="dxa"/>
            <w:tcBorders>
              <w:top w:val="single" w:color="auto" w:sz="4" w:space="0"/>
              <w:left w:val="nil"/>
              <w:bottom w:val="single" w:color="auto" w:sz="4" w:space="0"/>
              <w:right w:val="single" w:color="auto" w:sz="4" w:space="0"/>
            </w:tcBorders>
            <w:vAlign w:val="center"/>
          </w:tcPr>
          <w:p w14:paraId="52F2CBF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30米以上制高点</w:t>
            </w:r>
          </w:p>
        </w:tc>
        <w:tc>
          <w:tcPr>
            <w:tcW w:w="2448" w:type="dxa"/>
            <w:tcBorders>
              <w:top w:val="single" w:color="auto" w:sz="4" w:space="0"/>
              <w:left w:val="nil"/>
              <w:bottom w:val="single" w:color="auto" w:sz="4" w:space="0"/>
              <w:right w:val="single" w:color="auto" w:sz="4" w:space="0"/>
            </w:tcBorders>
            <w:vAlign w:val="center"/>
          </w:tcPr>
          <w:p w14:paraId="4F7D5CB7">
            <w:pPr>
              <w:widowControl/>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5</w:t>
            </w:r>
          </w:p>
        </w:tc>
      </w:tr>
      <w:tr w14:paraId="16638792">
        <w:tblPrEx>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vAlign w:val="center"/>
          </w:tcPr>
          <w:p w14:paraId="158BF44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p>
        </w:tc>
        <w:tc>
          <w:tcPr>
            <w:tcW w:w="1588" w:type="dxa"/>
            <w:tcBorders>
              <w:top w:val="nil"/>
              <w:left w:val="nil"/>
              <w:bottom w:val="single" w:color="auto" w:sz="4" w:space="0"/>
              <w:right w:val="single" w:color="auto" w:sz="4" w:space="0"/>
            </w:tcBorders>
            <w:vAlign w:val="center"/>
          </w:tcPr>
          <w:p w14:paraId="6A310160">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梅城镇</w:t>
            </w:r>
          </w:p>
        </w:tc>
        <w:tc>
          <w:tcPr>
            <w:tcW w:w="3063" w:type="dxa"/>
            <w:tcBorders>
              <w:top w:val="nil"/>
              <w:left w:val="nil"/>
              <w:bottom w:val="single" w:color="auto" w:sz="4" w:space="0"/>
              <w:right w:val="single" w:color="auto" w:sz="4" w:space="0"/>
            </w:tcBorders>
            <w:vAlign w:val="center"/>
          </w:tcPr>
          <w:p w14:paraId="7948377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30米以上制高点</w:t>
            </w:r>
          </w:p>
        </w:tc>
        <w:tc>
          <w:tcPr>
            <w:tcW w:w="2448" w:type="dxa"/>
            <w:tcBorders>
              <w:top w:val="nil"/>
              <w:left w:val="nil"/>
              <w:bottom w:val="single" w:color="auto" w:sz="4" w:space="0"/>
              <w:right w:val="single" w:color="auto" w:sz="4" w:space="0"/>
            </w:tcBorders>
            <w:vAlign w:val="center"/>
          </w:tcPr>
          <w:p w14:paraId="7CADF7B5">
            <w:pPr>
              <w:widowControl/>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8</w:t>
            </w:r>
          </w:p>
        </w:tc>
      </w:tr>
      <w:tr w14:paraId="68000248">
        <w:tblPrEx>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vAlign w:val="center"/>
          </w:tcPr>
          <w:p w14:paraId="0467F56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1588" w:type="dxa"/>
            <w:tcBorders>
              <w:top w:val="nil"/>
              <w:left w:val="nil"/>
              <w:bottom w:val="single" w:color="auto" w:sz="4" w:space="0"/>
              <w:right w:val="single" w:color="auto" w:sz="4" w:space="0"/>
            </w:tcBorders>
            <w:vAlign w:val="center"/>
          </w:tcPr>
          <w:p w14:paraId="5D06B715">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三都镇</w:t>
            </w:r>
          </w:p>
        </w:tc>
        <w:tc>
          <w:tcPr>
            <w:tcW w:w="3063" w:type="dxa"/>
            <w:tcBorders>
              <w:top w:val="nil"/>
              <w:left w:val="nil"/>
              <w:bottom w:val="single" w:color="auto" w:sz="4" w:space="0"/>
              <w:right w:val="single" w:color="auto" w:sz="4" w:space="0"/>
            </w:tcBorders>
            <w:vAlign w:val="center"/>
          </w:tcPr>
          <w:p w14:paraId="0B5F18D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30米以上制高点</w:t>
            </w:r>
          </w:p>
        </w:tc>
        <w:tc>
          <w:tcPr>
            <w:tcW w:w="2448" w:type="dxa"/>
            <w:tcBorders>
              <w:top w:val="nil"/>
              <w:left w:val="nil"/>
              <w:bottom w:val="single" w:color="auto" w:sz="4" w:space="0"/>
              <w:right w:val="single" w:color="auto" w:sz="4" w:space="0"/>
            </w:tcBorders>
            <w:vAlign w:val="center"/>
          </w:tcPr>
          <w:p w14:paraId="747F1574">
            <w:pPr>
              <w:widowControl/>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4</w:t>
            </w:r>
          </w:p>
        </w:tc>
      </w:tr>
      <w:tr w14:paraId="3F7FFDAC">
        <w:tblPrEx>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vAlign w:val="center"/>
          </w:tcPr>
          <w:p w14:paraId="319D1A3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w:t>
            </w:r>
          </w:p>
        </w:tc>
        <w:tc>
          <w:tcPr>
            <w:tcW w:w="1588" w:type="dxa"/>
            <w:tcBorders>
              <w:top w:val="nil"/>
              <w:left w:val="nil"/>
              <w:bottom w:val="single" w:color="auto" w:sz="4" w:space="0"/>
              <w:right w:val="single" w:color="auto" w:sz="4" w:space="0"/>
            </w:tcBorders>
            <w:vAlign w:val="center"/>
          </w:tcPr>
          <w:p w14:paraId="0B0633CE">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大洋镇</w:t>
            </w:r>
          </w:p>
        </w:tc>
        <w:tc>
          <w:tcPr>
            <w:tcW w:w="3063" w:type="dxa"/>
            <w:tcBorders>
              <w:top w:val="nil"/>
              <w:left w:val="nil"/>
              <w:bottom w:val="single" w:color="auto" w:sz="4" w:space="0"/>
              <w:right w:val="single" w:color="auto" w:sz="4" w:space="0"/>
            </w:tcBorders>
            <w:vAlign w:val="center"/>
          </w:tcPr>
          <w:p w14:paraId="65DF76C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30米以上制高点</w:t>
            </w:r>
          </w:p>
        </w:tc>
        <w:tc>
          <w:tcPr>
            <w:tcW w:w="2448" w:type="dxa"/>
            <w:tcBorders>
              <w:top w:val="nil"/>
              <w:left w:val="nil"/>
              <w:bottom w:val="single" w:color="auto" w:sz="4" w:space="0"/>
              <w:right w:val="single" w:color="auto" w:sz="4" w:space="0"/>
            </w:tcBorders>
            <w:vAlign w:val="center"/>
          </w:tcPr>
          <w:p w14:paraId="4F05D7A1">
            <w:pPr>
              <w:widowControl/>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9</w:t>
            </w:r>
          </w:p>
        </w:tc>
      </w:tr>
      <w:tr w14:paraId="7D66B852">
        <w:tblPrEx>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vAlign w:val="center"/>
          </w:tcPr>
          <w:p w14:paraId="55A98A3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w:t>
            </w:r>
          </w:p>
        </w:tc>
        <w:tc>
          <w:tcPr>
            <w:tcW w:w="1588" w:type="dxa"/>
            <w:tcBorders>
              <w:top w:val="nil"/>
              <w:left w:val="nil"/>
              <w:bottom w:val="single" w:color="auto" w:sz="4" w:space="0"/>
              <w:right w:val="single" w:color="auto" w:sz="4" w:space="0"/>
            </w:tcBorders>
            <w:vAlign w:val="center"/>
          </w:tcPr>
          <w:p w14:paraId="1FF7A205">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乾潭镇</w:t>
            </w:r>
          </w:p>
        </w:tc>
        <w:tc>
          <w:tcPr>
            <w:tcW w:w="3063" w:type="dxa"/>
            <w:tcBorders>
              <w:top w:val="nil"/>
              <w:left w:val="nil"/>
              <w:bottom w:val="single" w:color="auto" w:sz="4" w:space="0"/>
              <w:right w:val="single" w:color="auto" w:sz="4" w:space="0"/>
            </w:tcBorders>
            <w:vAlign w:val="center"/>
          </w:tcPr>
          <w:p w14:paraId="411A78D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30米以上制高点</w:t>
            </w:r>
          </w:p>
        </w:tc>
        <w:tc>
          <w:tcPr>
            <w:tcW w:w="2448" w:type="dxa"/>
            <w:tcBorders>
              <w:top w:val="nil"/>
              <w:left w:val="nil"/>
              <w:bottom w:val="single" w:color="auto" w:sz="4" w:space="0"/>
              <w:right w:val="single" w:color="auto" w:sz="4" w:space="0"/>
            </w:tcBorders>
            <w:vAlign w:val="center"/>
          </w:tcPr>
          <w:p w14:paraId="2EB86441">
            <w:pPr>
              <w:widowControl/>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6</w:t>
            </w:r>
          </w:p>
        </w:tc>
      </w:tr>
      <w:tr w14:paraId="452724F8">
        <w:tblPrEx>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vAlign w:val="center"/>
          </w:tcPr>
          <w:p w14:paraId="039942D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w:t>
            </w:r>
          </w:p>
        </w:tc>
        <w:tc>
          <w:tcPr>
            <w:tcW w:w="1588" w:type="dxa"/>
            <w:tcBorders>
              <w:top w:val="nil"/>
              <w:left w:val="nil"/>
              <w:bottom w:val="single" w:color="auto" w:sz="4" w:space="0"/>
              <w:right w:val="single" w:color="auto" w:sz="4" w:space="0"/>
            </w:tcBorders>
            <w:vAlign w:val="center"/>
          </w:tcPr>
          <w:p w14:paraId="56A1B099">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钦堂乡</w:t>
            </w:r>
          </w:p>
        </w:tc>
        <w:tc>
          <w:tcPr>
            <w:tcW w:w="3063" w:type="dxa"/>
            <w:tcBorders>
              <w:top w:val="nil"/>
              <w:left w:val="nil"/>
              <w:bottom w:val="single" w:color="auto" w:sz="4" w:space="0"/>
              <w:right w:val="single" w:color="auto" w:sz="4" w:space="0"/>
            </w:tcBorders>
            <w:vAlign w:val="center"/>
          </w:tcPr>
          <w:p w14:paraId="7CB0BDB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30米以上制高点</w:t>
            </w:r>
          </w:p>
        </w:tc>
        <w:tc>
          <w:tcPr>
            <w:tcW w:w="2448" w:type="dxa"/>
            <w:tcBorders>
              <w:top w:val="nil"/>
              <w:left w:val="nil"/>
              <w:bottom w:val="single" w:color="auto" w:sz="4" w:space="0"/>
              <w:right w:val="single" w:color="auto" w:sz="4" w:space="0"/>
            </w:tcBorders>
            <w:vAlign w:val="center"/>
          </w:tcPr>
          <w:p w14:paraId="141703C2">
            <w:pPr>
              <w:widowControl/>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4</w:t>
            </w:r>
          </w:p>
        </w:tc>
      </w:tr>
      <w:tr w14:paraId="1CBE97E6">
        <w:tblPrEx>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vAlign w:val="center"/>
          </w:tcPr>
          <w:p w14:paraId="047EED0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1588" w:type="dxa"/>
            <w:tcBorders>
              <w:top w:val="nil"/>
              <w:left w:val="nil"/>
              <w:bottom w:val="single" w:color="auto" w:sz="4" w:space="0"/>
              <w:right w:val="single" w:color="auto" w:sz="4" w:space="0"/>
            </w:tcBorders>
            <w:vAlign w:val="center"/>
          </w:tcPr>
          <w:p w14:paraId="6D3EC647">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高铁新区</w:t>
            </w:r>
          </w:p>
        </w:tc>
        <w:tc>
          <w:tcPr>
            <w:tcW w:w="3063" w:type="dxa"/>
            <w:tcBorders>
              <w:top w:val="nil"/>
              <w:left w:val="nil"/>
              <w:bottom w:val="single" w:color="auto" w:sz="4" w:space="0"/>
              <w:right w:val="single" w:color="auto" w:sz="4" w:space="0"/>
            </w:tcBorders>
            <w:vAlign w:val="center"/>
          </w:tcPr>
          <w:p w14:paraId="529614B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30米以上制高点</w:t>
            </w:r>
          </w:p>
        </w:tc>
        <w:tc>
          <w:tcPr>
            <w:tcW w:w="2448" w:type="dxa"/>
            <w:tcBorders>
              <w:top w:val="nil"/>
              <w:left w:val="nil"/>
              <w:bottom w:val="single" w:color="auto" w:sz="4" w:space="0"/>
              <w:right w:val="single" w:color="auto" w:sz="4" w:space="0"/>
            </w:tcBorders>
            <w:vAlign w:val="center"/>
          </w:tcPr>
          <w:p w14:paraId="3C403038">
            <w:pPr>
              <w:widowControl/>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6</w:t>
            </w:r>
          </w:p>
        </w:tc>
      </w:tr>
      <w:tr w14:paraId="27308345">
        <w:tblPrEx>
          <w:tblCellMar>
            <w:top w:w="0" w:type="dxa"/>
            <w:left w:w="108" w:type="dxa"/>
            <w:bottom w:w="0" w:type="dxa"/>
            <w:right w:w="108" w:type="dxa"/>
          </w:tblCellMar>
        </w:tblPrEx>
        <w:trPr>
          <w:trHeight w:val="600" w:hRule="atLeast"/>
        </w:trPr>
        <w:tc>
          <w:tcPr>
            <w:tcW w:w="6069" w:type="dxa"/>
            <w:gridSpan w:val="3"/>
            <w:tcBorders>
              <w:top w:val="single" w:color="auto" w:sz="4" w:space="0"/>
              <w:left w:val="single" w:color="auto" w:sz="4" w:space="0"/>
              <w:bottom w:val="single" w:color="auto" w:sz="4" w:space="0"/>
              <w:right w:val="single" w:color="auto" w:sz="4" w:space="0"/>
            </w:tcBorders>
            <w:vAlign w:val="center"/>
          </w:tcPr>
          <w:p w14:paraId="353EA16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2448" w:type="dxa"/>
            <w:tcBorders>
              <w:top w:val="single" w:color="auto" w:sz="4" w:space="0"/>
              <w:left w:val="nil"/>
              <w:bottom w:val="single" w:color="auto" w:sz="4" w:space="0"/>
              <w:right w:val="single" w:color="auto" w:sz="4" w:space="0"/>
            </w:tcBorders>
            <w:vAlign w:val="center"/>
          </w:tcPr>
          <w:p w14:paraId="5EDF9763">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98</w:t>
            </w:r>
          </w:p>
        </w:tc>
      </w:tr>
    </w:tbl>
    <w:p w14:paraId="7BFA2B3A">
      <w:pPr>
        <w:pStyle w:val="81"/>
        <w:numPr>
          <w:ilvl w:val="0"/>
          <w:numId w:val="0"/>
        </w:numPr>
        <w:spacing w:before="163"/>
        <w:ind w:leftChars="0"/>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lang w:val="en-US" w:eastAsia="zh-CN"/>
          <w14:textFill>
            <w14:solidFill>
              <w14:schemeClr w14:val="tx1"/>
            </w14:solidFill>
          </w14:textFill>
        </w:rPr>
        <w:t>4.</w:t>
      </w:r>
      <w:r>
        <w:rPr>
          <w:rFonts w:hint="eastAsia" w:ascii="宋体" w:hAnsi="宋体" w:eastAsia="宋体" w:cs="宋体"/>
          <w:b/>
          <w:color w:val="000000" w:themeColor="text1"/>
          <w:szCs w:val="28"/>
          <w14:textFill>
            <w14:solidFill>
              <w14:schemeClr w14:val="tx1"/>
            </w14:solidFill>
          </w14:textFill>
        </w:rPr>
        <w:t>租用设备参考主要技术参数</w:t>
      </w:r>
    </w:p>
    <w:tbl>
      <w:tblPr>
        <w:tblStyle w:val="62"/>
        <w:tblW w:w="8517" w:type="dxa"/>
        <w:tblInd w:w="250" w:type="dxa"/>
        <w:tblLayout w:type="fixed"/>
        <w:tblCellMar>
          <w:top w:w="0" w:type="dxa"/>
          <w:left w:w="108" w:type="dxa"/>
          <w:bottom w:w="0" w:type="dxa"/>
          <w:right w:w="108" w:type="dxa"/>
        </w:tblCellMar>
      </w:tblPr>
      <w:tblGrid>
        <w:gridCol w:w="1305"/>
        <w:gridCol w:w="5148"/>
        <w:gridCol w:w="972"/>
        <w:gridCol w:w="1092"/>
      </w:tblGrid>
      <w:tr w14:paraId="3FE8345F">
        <w:tblPrEx>
          <w:tblCellMar>
            <w:top w:w="0" w:type="dxa"/>
            <w:left w:w="108" w:type="dxa"/>
            <w:bottom w:w="0" w:type="dxa"/>
            <w:right w:w="108" w:type="dxa"/>
          </w:tblCellMar>
        </w:tblPrEx>
        <w:trPr>
          <w:trHeight w:val="983"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vAlign w:val="center"/>
          </w:tcPr>
          <w:p w14:paraId="11F48266">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设备名称</w:t>
            </w:r>
          </w:p>
        </w:tc>
        <w:tc>
          <w:tcPr>
            <w:tcW w:w="5148" w:type="dxa"/>
            <w:tcBorders>
              <w:top w:val="single" w:color="auto" w:sz="4" w:space="0"/>
              <w:left w:val="nil"/>
              <w:bottom w:val="single" w:color="auto" w:sz="4" w:space="0"/>
              <w:right w:val="single" w:color="auto" w:sz="4" w:space="0"/>
            </w:tcBorders>
            <w:shd w:val="clear" w:color="000000" w:fill="FFFFFF"/>
            <w:noWrap/>
            <w:vAlign w:val="center"/>
          </w:tcPr>
          <w:p w14:paraId="086EA31D">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技术规格</w:t>
            </w:r>
          </w:p>
        </w:tc>
        <w:tc>
          <w:tcPr>
            <w:tcW w:w="972" w:type="dxa"/>
            <w:tcBorders>
              <w:top w:val="single" w:color="auto" w:sz="4" w:space="0"/>
              <w:left w:val="nil"/>
              <w:bottom w:val="single" w:color="auto" w:sz="4" w:space="0"/>
              <w:right w:val="single" w:color="auto" w:sz="4" w:space="0"/>
            </w:tcBorders>
            <w:shd w:val="clear" w:color="000000" w:fill="FFFFFF"/>
            <w:vAlign w:val="center"/>
          </w:tcPr>
          <w:p w14:paraId="741E0BF5">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单位</w:t>
            </w:r>
          </w:p>
        </w:tc>
        <w:tc>
          <w:tcPr>
            <w:tcW w:w="1092" w:type="dxa"/>
            <w:tcBorders>
              <w:top w:val="single" w:color="auto" w:sz="4" w:space="0"/>
              <w:left w:val="nil"/>
              <w:bottom w:val="single" w:color="auto" w:sz="4" w:space="0"/>
              <w:right w:val="single" w:color="auto" w:sz="4" w:space="0"/>
            </w:tcBorders>
            <w:shd w:val="clear" w:color="000000" w:fill="FFFFFF"/>
            <w:vAlign w:val="center"/>
          </w:tcPr>
          <w:p w14:paraId="0FFA9F63">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数量</w:t>
            </w:r>
          </w:p>
        </w:tc>
      </w:tr>
      <w:tr w14:paraId="76EE3BCA">
        <w:tblPrEx>
          <w:tblCellMar>
            <w:top w:w="0" w:type="dxa"/>
            <w:left w:w="108" w:type="dxa"/>
            <w:bottom w:w="0" w:type="dxa"/>
            <w:right w:w="108" w:type="dxa"/>
          </w:tblCellMar>
        </w:tblPrEx>
        <w:trPr>
          <w:trHeight w:val="420" w:hRule="atLeast"/>
        </w:trPr>
        <w:tc>
          <w:tcPr>
            <w:tcW w:w="1305" w:type="dxa"/>
            <w:tcBorders>
              <w:top w:val="nil"/>
              <w:left w:val="single" w:color="auto" w:sz="4" w:space="0"/>
              <w:bottom w:val="single" w:color="auto" w:sz="4" w:space="0"/>
              <w:right w:val="single" w:color="auto" w:sz="4" w:space="0"/>
            </w:tcBorders>
            <w:vAlign w:val="center"/>
          </w:tcPr>
          <w:p w14:paraId="165A552D">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热成像中载摄像机</w:t>
            </w:r>
          </w:p>
        </w:tc>
        <w:tc>
          <w:tcPr>
            <w:tcW w:w="5148" w:type="dxa"/>
            <w:tcBorders>
              <w:top w:val="single" w:color="auto" w:sz="4" w:space="0"/>
              <w:left w:val="single" w:color="auto" w:sz="4" w:space="0"/>
              <w:bottom w:val="single" w:color="auto" w:sz="4" w:space="0"/>
              <w:right w:val="single" w:color="auto" w:sz="4" w:space="0"/>
            </w:tcBorders>
            <w:noWrap/>
            <w:vAlign w:val="center"/>
          </w:tcPr>
          <w:p w14:paraId="7D7F1B57">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内置GPU芯片（以公安部检测报告为准）</w:t>
            </w:r>
          </w:p>
          <w:p w14:paraId="6B41045F">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最大图像尺寸：384×288</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焦距（镜头）：25mm</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云台定位准确度小于等于0.03°（以公安部检测报告为准）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人员探测距离（以1.8m的人为准）：735m</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车辆探测距离（以1.4m*4m的车辆为准）：2255m</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火源探测距离（以2m×2m的火源为准）：1500m</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视场角：14.9°x11.2°</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热成像视频图像具有白热、黑热、融合1、融合2、彩虹、铁红1、铁红2、深褐色、色彩1、色彩2、冰火、雨、红热、绿热及深蓝15种显示模式；（以公安部检测报告为准）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应具有3100个预置位可设置，存预置位和调预置位功能应正常，并可对预置位进行导入和导出操作（以公安部检测报告为准）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可见光镜头：5.6-208mm</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支持500米激光补光</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噪声等效温差(NETD)在9mk及以下（以公安部检测报告为准）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最小可分辨温差（MRTD）≤ 250mK（以公安部检测报告为准）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水平方向360°连续旋转，垂直方向-90°～40°</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在丢包率设置为33%的网络环境下，可正常显示监视画面（以公安部检测报告为准）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电源：AC24V，130W MAX</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工作温度和湿度：-40℃-65℃，湿度小于90%</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防护等级：IP67；</w:t>
            </w:r>
          </w:p>
        </w:tc>
        <w:tc>
          <w:tcPr>
            <w:tcW w:w="972" w:type="dxa"/>
            <w:tcBorders>
              <w:top w:val="single" w:color="auto" w:sz="4" w:space="0"/>
              <w:left w:val="single" w:color="auto" w:sz="4" w:space="0"/>
              <w:bottom w:val="single" w:color="auto" w:sz="4" w:space="0"/>
              <w:right w:val="single" w:color="auto" w:sz="4" w:space="0"/>
            </w:tcBorders>
            <w:vAlign w:val="center"/>
          </w:tcPr>
          <w:p w14:paraId="49676F3C">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1092" w:type="dxa"/>
            <w:tcBorders>
              <w:top w:val="single" w:color="auto" w:sz="4" w:space="0"/>
              <w:left w:val="single" w:color="auto" w:sz="4" w:space="0"/>
              <w:bottom w:val="single" w:color="auto" w:sz="4" w:space="0"/>
              <w:right w:val="single" w:color="auto" w:sz="4" w:space="0"/>
            </w:tcBorders>
            <w:vAlign w:val="center"/>
          </w:tcPr>
          <w:p w14:paraId="64521FDD">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14:paraId="36A07F43">
        <w:tblPrEx>
          <w:tblCellMar>
            <w:top w:w="0" w:type="dxa"/>
            <w:left w:w="108" w:type="dxa"/>
            <w:bottom w:w="0" w:type="dxa"/>
            <w:right w:w="108" w:type="dxa"/>
          </w:tblCellMar>
        </w:tblPrEx>
        <w:trPr>
          <w:trHeight w:val="380" w:hRule="atLeast"/>
        </w:trPr>
        <w:tc>
          <w:tcPr>
            <w:tcW w:w="1305" w:type="dxa"/>
            <w:tcBorders>
              <w:top w:val="nil"/>
              <w:left w:val="single" w:color="auto" w:sz="4" w:space="0"/>
              <w:bottom w:val="single" w:color="auto" w:sz="4" w:space="0"/>
              <w:right w:val="single" w:color="auto" w:sz="4" w:space="0"/>
            </w:tcBorders>
            <w:shd w:val="clear" w:color="000000" w:fill="FFFFFF"/>
            <w:vAlign w:val="center"/>
          </w:tcPr>
          <w:p w14:paraId="7F0F97AB">
            <w:pPr>
              <w:widowControl/>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可见光摄像机</w:t>
            </w:r>
            <w:r>
              <w:rPr>
                <w:rFonts w:hint="eastAsia" w:ascii="宋体" w:hAnsi="宋体" w:cs="宋体"/>
                <w:color w:val="000000" w:themeColor="text1"/>
                <w:kern w:val="0"/>
                <w:szCs w:val="21"/>
                <w:lang w:val="en-US" w:eastAsia="zh-CN"/>
                <w14:textFill>
                  <w14:solidFill>
                    <w14:schemeClr w14:val="tx1"/>
                  </w14:solidFill>
                </w14:textFill>
              </w:rPr>
              <w:t>1</w:t>
            </w:r>
          </w:p>
        </w:tc>
        <w:tc>
          <w:tcPr>
            <w:tcW w:w="514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B6BF52">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400万40倍网络云台摄像机</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人脸抓拍、区域入侵侦测、越界侦测、进入区域侦测、离开区域侦测、徘徊侦测、人员聚集侦测、快速移动侦测、停车侦测、物品遗留侦测、物品拿取侦测、音频异常侦测、移动侦测、视频遮挡侦测</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混合目标检测：支持人脸、人体、车辆同时抓拍，人脸、人体关联输出</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前端建模比对：前端存储15万张人脸图片进行建模后，对场景中抓拍的人脸进行比对并输出结果。</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内置GPS、北斗卫星定位模块，电子罗盘，支持可视域</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支持35114加密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自动智能雨刷，采用汽车雨刮片，耐候性好，更换方便</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图像传感器: 1/1.8" Progressive Scan CMOS</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最低照度: 彩色：0.0005Lux@（F1.2,AGC ON）黑白：0.0002Lux@（F1.2,AGC ON）</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 xml:space="preserve">分辨率及帧率: 主码流： 50Hz: 25fps(2560×1440); 60Hz: 30fps(2560×1440) </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视频压缩: H.265（Main Profile）/H.264（Baseline、Main、High Profile）/MJPEG/Smart 264/Smart 265</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焦距: 6.0-240mm，40倍光学变倍</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Smart图像增强: 透雾、混合防抖、背光补偿、强光抑制、120dB超宽动态</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水平及垂直范围: 水平0°~360°连续旋转垂直+40°～ -90°</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 xml:space="preserve">水平速度: 水平0.1°~100°/s </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垂直速度: 垂直0.1°~50°/s</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 xml:space="preserve">电源接口: AC24V±25% </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网络接口: RJ45网口，自适应10M/100M网络数据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音频输入/输出: 1路音频输入；1路音频输出</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报警输入/输出: 7路报警输入；2路报警输出</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具有RS485控制接口</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SD卡接口: 内置Micro SD卡插槽，支持Micro SD(即TF卡)/Micro SDHC/Micro SDXC卡（最大支持256G），可支持手动录像/报警录像，支持断网续传,录像不丢失</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功耗: AC24V ,70W,max</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工作温度和湿度: -40℃-70℃；湿度小于95%</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防护等级: IP66、防雷、防浪涌、防突波</w:t>
            </w:r>
          </w:p>
        </w:tc>
        <w:tc>
          <w:tcPr>
            <w:tcW w:w="972" w:type="dxa"/>
            <w:tcBorders>
              <w:top w:val="single" w:color="auto" w:sz="4" w:space="0"/>
              <w:left w:val="single" w:color="auto" w:sz="4" w:space="0"/>
              <w:bottom w:val="single" w:color="auto" w:sz="4" w:space="0"/>
              <w:right w:val="single" w:color="auto" w:sz="4" w:space="0"/>
            </w:tcBorders>
            <w:shd w:val="clear" w:color="000000" w:fill="FFFFFF"/>
            <w:vAlign w:val="center"/>
          </w:tcPr>
          <w:p w14:paraId="295BE59B">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1092" w:type="dxa"/>
            <w:tcBorders>
              <w:top w:val="single" w:color="auto" w:sz="4" w:space="0"/>
              <w:left w:val="single" w:color="auto" w:sz="4" w:space="0"/>
              <w:bottom w:val="single" w:color="auto" w:sz="4" w:space="0"/>
              <w:right w:val="single" w:color="auto" w:sz="4" w:space="0"/>
            </w:tcBorders>
            <w:shd w:val="clear" w:color="000000" w:fill="FFFFFF"/>
            <w:vAlign w:val="center"/>
          </w:tcPr>
          <w:p w14:paraId="1537E87C">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37</w:t>
            </w:r>
          </w:p>
        </w:tc>
      </w:tr>
      <w:tr w14:paraId="58F3269C">
        <w:tblPrEx>
          <w:tblCellMar>
            <w:top w:w="0" w:type="dxa"/>
            <w:left w:w="108" w:type="dxa"/>
            <w:bottom w:w="0" w:type="dxa"/>
            <w:right w:w="108" w:type="dxa"/>
          </w:tblCellMar>
        </w:tblPrEx>
        <w:trPr>
          <w:trHeight w:val="380" w:hRule="atLeast"/>
        </w:trPr>
        <w:tc>
          <w:tcPr>
            <w:tcW w:w="1305" w:type="dxa"/>
            <w:tcBorders>
              <w:top w:val="nil"/>
              <w:left w:val="single" w:color="auto" w:sz="4" w:space="0"/>
              <w:bottom w:val="single" w:color="auto" w:sz="4" w:space="0"/>
              <w:right w:val="single" w:color="auto" w:sz="4" w:space="0"/>
            </w:tcBorders>
            <w:vAlign w:val="center"/>
          </w:tcPr>
          <w:p w14:paraId="7BFA106A">
            <w:pPr>
              <w:widowControl/>
              <w:jc w:val="center"/>
              <w:rPr>
                <w:rFonts w:hint="eastAsia" w:ascii="宋体" w:hAnsi="宋体" w:eastAsia="宋体" w:cs="宋体"/>
                <w:kern w:val="0"/>
                <w:szCs w:val="21"/>
                <w:lang w:val="en-US" w:eastAsia="zh-CN"/>
              </w:rPr>
            </w:pPr>
            <w:r>
              <w:rPr>
                <w:rFonts w:hint="eastAsia" w:ascii="宋体" w:hAnsi="宋体" w:eastAsia="宋体" w:cs="宋体"/>
                <w:color w:val="000000" w:themeColor="text1"/>
                <w:kern w:val="0"/>
                <w:szCs w:val="21"/>
                <w14:textFill>
                  <w14:solidFill>
                    <w14:schemeClr w14:val="tx1"/>
                  </w14:solidFill>
                </w14:textFill>
              </w:rPr>
              <w:t>可见光摄像机</w:t>
            </w:r>
            <w:r>
              <w:rPr>
                <w:rFonts w:hint="eastAsia" w:ascii="宋体" w:hAnsi="宋体" w:cs="宋体"/>
                <w:color w:val="000000" w:themeColor="text1"/>
                <w:kern w:val="0"/>
                <w:szCs w:val="21"/>
                <w:lang w:val="en-US" w:eastAsia="zh-CN"/>
                <w14:textFill>
                  <w14:solidFill>
                    <w14:schemeClr w14:val="tx1"/>
                  </w14:solidFill>
                </w14:textFill>
              </w:rPr>
              <w:t>2</w:t>
            </w:r>
          </w:p>
        </w:tc>
        <w:tc>
          <w:tcPr>
            <w:tcW w:w="5148" w:type="dxa"/>
            <w:tcBorders>
              <w:top w:val="single" w:color="auto" w:sz="4" w:space="0"/>
              <w:left w:val="single" w:color="auto" w:sz="4" w:space="0"/>
              <w:bottom w:val="single" w:color="auto" w:sz="4" w:space="0"/>
              <w:right w:val="single" w:color="auto" w:sz="4" w:space="0"/>
            </w:tcBorders>
            <w:noWrap/>
            <w:vAlign w:val="center"/>
          </w:tcPr>
          <w:p w14:paraId="33D32E54">
            <w:pPr>
              <w:widowControl/>
              <w:jc w:val="left"/>
              <w:rPr>
                <w:rFonts w:hint="eastAsia" w:ascii="宋体" w:hAnsi="宋体" w:eastAsia="宋体" w:cs="宋体"/>
                <w:kern w:val="0"/>
                <w:szCs w:val="21"/>
              </w:rPr>
            </w:pPr>
            <w:r>
              <w:rPr>
                <w:rFonts w:hint="eastAsia" w:ascii="宋体" w:hAnsi="宋体" w:eastAsia="宋体" w:cs="宋体"/>
                <w:kern w:val="0"/>
                <w:szCs w:val="21"/>
              </w:rPr>
              <w:t>支持 56 倍光学变倍，16 倍数字变倍</w:t>
            </w:r>
          </w:p>
          <w:p w14:paraId="0E5B0C93">
            <w:pPr>
              <w:widowControl/>
              <w:jc w:val="left"/>
              <w:rPr>
                <w:rFonts w:hint="eastAsia" w:ascii="宋体" w:hAnsi="宋体" w:eastAsia="宋体" w:cs="宋体"/>
                <w:kern w:val="0"/>
                <w:szCs w:val="21"/>
              </w:rPr>
            </w:pPr>
            <w:r>
              <w:rPr>
                <w:rFonts w:hint="eastAsia" w:ascii="宋体" w:hAnsi="宋体" w:eastAsia="宋体" w:cs="宋体"/>
                <w:kern w:val="0"/>
                <w:szCs w:val="21"/>
              </w:rPr>
              <w:t>采用 400 万像素 1/1.8 英寸 CMOS 传感器</w:t>
            </w:r>
          </w:p>
          <w:p w14:paraId="46BD8CCA">
            <w:pPr>
              <w:widowControl/>
              <w:jc w:val="left"/>
              <w:rPr>
                <w:rFonts w:hint="eastAsia" w:ascii="宋体" w:hAnsi="宋体" w:eastAsia="宋体" w:cs="宋体"/>
                <w:kern w:val="0"/>
                <w:szCs w:val="21"/>
              </w:rPr>
            </w:pPr>
            <w:r>
              <w:rPr>
                <w:rFonts w:hint="eastAsia" w:ascii="宋体" w:hAnsi="宋体" w:eastAsia="宋体" w:cs="宋体"/>
                <w:kern w:val="0"/>
                <w:szCs w:val="21"/>
              </w:rPr>
              <w:t>支持 H.265 编码，实现超低码流传输</w:t>
            </w:r>
          </w:p>
          <w:p w14:paraId="42F98686">
            <w:pPr>
              <w:widowControl/>
              <w:jc w:val="left"/>
              <w:rPr>
                <w:rFonts w:hint="eastAsia" w:ascii="宋体" w:hAnsi="宋体" w:eastAsia="宋体" w:cs="宋体"/>
                <w:kern w:val="0"/>
                <w:szCs w:val="21"/>
              </w:rPr>
            </w:pPr>
            <w:r>
              <w:rPr>
                <w:rFonts w:hint="eastAsia" w:ascii="宋体" w:hAnsi="宋体" w:eastAsia="宋体" w:cs="宋体"/>
                <w:kern w:val="0"/>
                <w:szCs w:val="21"/>
              </w:rPr>
              <w:t>内置 250 米红外灯补光，采用倍率与红外灯功率匹配算法，补光效果更均匀</w:t>
            </w:r>
          </w:p>
          <w:p w14:paraId="489ED189">
            <w:pPr>
              <w:widowControl/>
              <w:jc w:val="left"/>
              <w:rPr>
                <w:rFonts w:hint="eastAsia" w:ascii="宋体" w:hAnsi="宋体" w:eastAsia="宋体" w:cs="宋体"/>
                <w:kern w:val="0"/>
                <w:szCs w:val="21"/>
              </w:rPr>
            </w:pPr>
            <w:r>
              <w:rPr>
                <w:rFonts w:hint="eastAsia" w:ascii="宋体" w:hAnsi="宋体" w:eastAsia="宋体" w:cs="宋体"/>
                <w:kern w:val="0"/>
                <w:szCs w:val="21"/>
              </w:rPr>
              <w:t>内置 GPU 芯片，支持深度学习算法，有效提升检测准确率</w:t>
            </w:r>
          </w:p>
          <w:p w14:paraId="18F87901">
            <w:pPr>
              <w:widowControl/>
              <w:jc w:val="left"/>
              <w:rPr>
                <w:rFonts w:hint="eastAsia" w:ascii="宋体" w:hAnsi="宋体" w:eastAsia="宋体" w:cs="宋体"/>
                <w:kern w:val="0"/>
                <w:szCs w:val="21"/>
              </w:rPr>
            </w:pPr>
            <w:r>
              <w:rPr>
                <w:rFonts w:hint="eastAsia" w:ascii="宋体" w:hAnsi="宋体" w:eastAsia="宋体" w:cs="宋体"/>
                <w:kern w:val="0"/>
                <w:szCs w:val="21"/>
              </w:rPr>
              <w:t>支持机动车、非机动车、人体检测；支持跟踪；支持优选；支持抓拍；支持上报最优的机动车属性抓图</w:t>
            </w:r>
          </w:p>
          <w:p w14:paraId="598936D9">
            <w:pPr>
              <w:widowControl/>
              <w:jc w:val="left"/>
              <w:rPr>
                <w:rFonts w:hint="eastAsia" w:ascii="宋体" w:hAnsi="宋体" w:eastAsia="宋体" w:cs="宋体"/>
                <w:kern w:val="0"/>
                <w:szCs w:val="21"/>
              </w:rPr>
            </w:pPr>
            <w:r>
              <w:rPr>
                <w:rFonts w:hint="eastAsia" w:ascii="宋体" w:hAnsi="宋体" w:eastAsia="宋体" w:cs="宋体"/>
                <w:kern w:val="0"/>
                <w:szCs w:val="21"/>
              </w:rPr>
              <w:t>支持人脸检测；支持优选；支持抓拍；支持上报最优的人脸抓图；支持人脸增强，支持人脸属性提取，7 种属性 5 种</w:t>
            </w:r>
          </w:p>
          <w:p w14:paraId="441EC6E0">
            <w:pPr>
              <w:widowControl/>
              <w:jc w:val="left"/>
              <w:rPr>
                <w:rFonts w:hint="eastAsia" w:ascii="宋体" w:hAnsi="宋体" w:eastAsia="宋体" w:cs="宋体"/>
                <w:kern w:val="0"/>
                <w:szCs w:val="21"/>
              </w:rPr>
            </w:pPr>
            <w:r>
              <w:rPr>
                <w:rFonts w:hint="eastAsia" w:ascii="宋体" w:hAnsi="宋体" w:eastAsia="宋体" w:cs="宋体"/>
                <w:kern w:val="0"/>
                <w:szCs w:val="21"/>
              </w:rPr>
              <w:t>表情</w:t>
            </w:r>
          </w:p>
          <w:p w14:paraId="1E1292B8">
            <w:pPr>
              <w:widowControl/>
              <w:jc w:val="left"/>
              <w:rPr>
                <w:rFonts w:hint="eastAsia" w:ascii="宋体" w:hAnsi="宋体" w:eastAsia="宋体" w:cs="宋体"/>
                <w:kern w:val="0"/>
                <w:szCs w:val="21"/>
              </w:rPr>
            </w:pPr>
            <w:r>
              <w:rPr>
                <w:rFonts w:hint="eastAsia" w:ascii="宋体" w:hAnsi="宋体" w:eastAsia="宋体" w:cs="宋体"/>
                <w:kern w:val="0"/>
                <w:szCs w:val="21"/>
              </w:rPr>
              <w:t>支持绊线入侵、区域入侵、穿越围栏、徘徊、物品遗留、物品搬移、快速移动、停车、人员聚集检测；支持人车分类</w:t>
            </w:r>
          </w:p>
          <w:p w14:paraId="605482C2">
            <w:pPr>
              <w:widowControl/>
              <w:jc w:val="left"/>
              <w:rPr>
                <w:rFonts w:hint="eastAsia" w:ascii="宋体" w:hAnsi="宋体" w:eastAsia="宋体" w:cs="宋体"/>
                <w:kern w:val="0"/>
                <w:szCs w:val="21"/>
              </w:rPr>
            </w:pPr>
            <w:r>
              <w:rPr>
                <w:rFonts w:hint="eastAsia" w:ascii="宋体" w:hAnsi="宋体" w:eastAsia="宋体" w:cs="宋体"/>
                <w:kern w:val="0"/>
                <w:szCs w:val="21"/>
              </w:rPr>
              <w:t>报警；支持联动跟踪</w:t>
            </w:r>
          </w:p>
          <w:p w14:paraId="1F2A5B69">
            <w:pPr>
              <w:widowControl/>
              <w:jc w:val="left"/>
              <w:rPr>
                <w:rFonts w:hint="eastAsia" w:ascii="宋体" w:hAnsi="宋体" w:eastAsia="宋体" w:cs="宋体"/>
                <w:kern w:val="0"/>
                <w:szCs w:val="21"/>
              </w:rPr>
            </w:pPr>
            <w:r>
              <w:rPr>
                <w:rFonts w:hint="eastAsia" w:ascii="宋体" w:hAnsi="宋体" w:eastAsia="宋体" w:cs="宋体"/>
                <w:kern w:val="0"/>
                <w:szCs w:val="21"/>
              </w:rPr>
              <w:t>水平方向 360°连续旋转，垂直方向-30°～90°自动翻转 180°后连续监视,无监视盲区</w:t>
            </w:r>
          </w:p>
          <w:p w14:paraId="67ACAB7C">
            <w:pPr>
              <w:widowControl/>
              <w:jc w:val="left"/>
              <w:rPr>
                <w:rFonts w:hint="eastAsia" w:ascii="宋体" w:hAnsi="宋体" w:eastAsia="宋体" w:cs="宋体"/>
                <w:kern w:val="0"/>
                <w:szCs w:val="21"/>
              </w:rPr>
            </w:pPr>
            <w:r>
              <w:rPr>
                <w:rFonts w:hint="eastAsia" w:ascii="宋体" w:hAnsi="宋体" w:eastAsia="宋体" w:cs="宋体"/>
                <w:kern w:val="0"/>
                <w:szCs w:val="21"/>
              </w:rPr>
              <w:t>支持 300 个预置位，8 条巡航路径，5 条巡迹路径</w:t>
            </w:r>
          </w:p>
          <w:p w14:paraId="30605E59">
            <w:pPr>
              <w:widowControl/>
              <w:jc w:val="left"/>
              <w:rPr>
                <w:rFonts w:hint="eastAsia" w:ascii="宋体" w:hAnsi="宋体" w:eastAsia="宋体" w:cs="宋体"/>
                <w:kern w:val="0"/>
                <w:szCs w:val="21"/>
              </w:rPr>
            </w:pPr>
            <w:r>
              <w:rPr>
                <w:rFonts w:hint="eastAsia" w:ascii="宋体" w:hAnsi="宋体" w:eastAsia="宋体" w:cs="宋体"/>
                <w:kern w:val="0"/>
                <w:szCs w:val="21"/>
              </w:rPr>
              <w:t>支持 1 路音频输入和 1 路音频输出</w:t>
            </w:r>
          </w:p>
          <w:p w14:paraId="7D8F8EF2">
            <w:pPr>
              <w:widowControl/>
              <w:jc w:val="left"/>
              <w:rPr>
                <w:rFonts w:hint="eastAsia" w:ascii="宋体" w:hAnsi="宋体" w:eastAsia="宋体" w:cs="宋体"/>
                <w:kern w:val="0"/>
                <w:szCs w:val="21"/>
              </w:rPr>
            </w:pPr>
            <w:r>
              <w:rPr>
                <w:rFonts w:hint="eastAsia" w:ascii="宋体" w:hAnsi="宋体" w:eastAsia="宋体" w:cs="宋体"/>
                <w:kern w:val="0"/>
                <w:szCs w:val="21"/>
              </w:rPr>
              <w:t>内置 2 路报警输入和 1 路报警输出，支持报警联动功能</w:t>
            </w:r>
          </w:p>
          <w:p w14:paraId="61553932">
            <w:pPr>
              <w:widowControl/>
              <w:jc w:val="left"/>
              <w:rPr>
                <w:rFonts w:hint="eastAsia" w:ascii="宋体" w:hAnsi="宋体" w:eastAsia="宋体" w:cs="宋体"/>
                <w:kern w:val="0"/>
                <w:szCs w:val="21"/>
              </w:rPr>
            </w:pPr>
            <w:r>
              <w:rPr>
                <w:rFonts w:hint="eastAsia" w:ascii="宋体" w:hAnsi="宋体" w:eastAsia="宋体" w:cs="宋体"/>
                <w:kern w:val="0"/>
                <w:szCs w:val="21"/>
              </w:rPr>
              <w:t>支持 485 功能支持 IP67 防护等级，6000V 防雷、防浪涌和防突波保护</w:t>
            </w:r>
          </w:p>
          <w:p w14:paraId="70EF50F8">
            <w:pPr>
              <w:widowControl/>
              <w:jc w:val="left"/>
              <w:rPr>
                <w:rFonts w:hint="eastAsia" w:ascii="宋体" w:hAnsi="宋体" w:eastAsia="宋体" w:cs="宋体"/>
                <w:kern w:val="0"/>
                <w:szCs w:val="21"/>
              </w:rPr>
            </w:pPr>
            <w:r>
              <w:rPr>
                <w:rFonts w:hint="eastAsia" w:ascii="宋体" w:hAnsi="宋体" w:eastAsia="宋体" w:cs="宋体"/>
                <w:kern w:val="0"/>
                <w:szCs w:val="21"/>
              </w:rPr>
              <w:t>支持 DC48V±25%宽电压输入</w:t>
            </w:r>
          </w:p>
          <w:p w14:paraId="1C0DA052">
            <w:pPr>
              <w:widowControl/>
              <w:jc w:val="left"/>
              <w:rPr>
                <w:rFonts w:hint="eastAsia" w:ascii="宋体" w:hAnsi="宋体" w:eastAsia="宋体" w:cs="宋体"/>
                <w:kern w:val="0"/>
                <w:szCs w:val="21"/>
              </w:rPr>
            </w:pPr>
            <w:r>
              <w:rPr>
                <w:rFonts w:hint="eastAsia" w:ascii="宋体" w:hAnsi="宋体" w:eastAsia="宋体" w:cs="宋体"/>
                <w:kern w:val="0"/>
                <w:szCs w:val="21"/>
              </w:rPr>
              <w:t>支持国密算法 SM1、SM2、SM3、SM4，支持 GB35114A 级</w:t>
            </w:r>
          </w:p>
        </w:tc>
        <w:tc>
          <w:tcPr>
            <w:tcW w:w="972" w:type="dxa"/>
            <w:tcBorders>
              <w:top w:val="single" w:color="auto" w:sz="4" w:space="0"/>
              <w:left w:val="single" w:color="auto" w:sz="4" w:space="0"/>
              <w:bottom w:val="single" w:color="auto" w:sz="4" w:space="0"/>
              <w:right w:val="single" w:color="auto" w:sz="4" w:space="0"/>
            </w:tcBorders>
            <w:vAlign w:val="center"/>
          </w:tcPr>
          <w:p w14:paraId="29A47217">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1092" w:type="dxa"/>
            <w:tcBorders>
              <w:top w:val="single" w:color="auto" w:sz="4" w:space="0"/>
              <w:left w:val="single" w:color="auto" w:sz="4" w:space="0"/>
              <w:bottom w:val="single" w:color="auto" w:sz="4" w:space="0"/>
              <w:right w:val="single" w:color="auto" w:sz="4" w:space="0"/>
            </w:tcBorders>
            <w:vAlign w:val="center"/>
          </w:tcPr>
          <w:p w14:paraId="1B5B2C61">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57</w:t>
            </w:r>
          </w:p>
        </w:tc>
      </w:tr>
      <w:tr w14:paraId="6F375754">
        <w:tblPrEx>
          <w:tblCellMar>
            <w:top w:w="0" w:type="dxa"/>
            <w:left w:w="108" w:type="dxa"/>
            <w:bottom w:w="0" w:type="dxa"/>
            <w:right w:w="108" w:type="dxa"/>
          </w:tblCellMar>
        </w:tblPrEx>
        <w:trPr>
          <w:trHeight w:val="380" w:hRule="atLeast"/>
        </w:trPr>
        <w:tc>
          <w:tcPr>
            <w:tcW w:w="1305" w:type="dxa"/>
            <w:tcBorders>
              <w:top w:val="nil"/>
              <w:left w:val="single" w:color="auto" w:sz="4" w:space="0"/>
              <w:bottom w:val="single" w:color="auto" w:sz="4" w:space="0"/>
              <w:right w:val="single" w:color="auto" w:sz="4" w:space="0"/>
            </w:tcBorders>
            <w:vAlign w:val="center"/>
          </w:tcPr>
          <w:p w14:paraId="223241FD">
            <w:pPr>
              <w:widowControl/>
              <w:jc w:val="center"/>
              <w:rPr>
                <w:rFonts w:hint="eastAsia" w:ascii="宋体" w:hAnsi="宋体" w:eastAsia="宋体" w:cs="宋体"/>
                <w:kern w:val="0"/>
                <w:szCs w:val="21"/>
              </w:rPr>
            </w:pPr>
            <w:r>
              <w:rPr>
                <w:rFonts w:hint="eastAsia" w:ascii="宋体" w:hAnsi="宋体" w:eastAsia="宋体" w:cs="宋体"/>
                <w:kern w:val="0"/>
                <w:szCs w:val="21"/>
              </w:rPr>
              <w:t>核心交换机</w:t>
            </w:r>
          </w:p>
        </w:tc>
        <w:tc>
          <w:tcPr>
            <w:tcW w:w="5148" w:type="dxa"/>
            <w:tcBorders>
              <w:top w:val="single" w:color="auto" w:sz="4" w:space="0"/>
              <w:left w:val="single" w:color="auto" w:sz="4" w:space="0"/>
              <w:bottom w:val="single" w:color="auto" w:sz="4" w:space="0"/>
              <w:right w:val="single" w:color="auto" w:sz="4" w:space="0"/>
            </w:tcBorders>
            <w:noWrap/>
            <w:vAlign w:val="center"/>
          </w:tcPr>
          <w:p w14:paraId="5C465A70">
            <w:pPr>
              <w:widowControl/>
              <w:jc w:val="left"/>
              <w:rPr>
                <w:rFonts w:hint="eastAsia" w:ascii="宋体" w:hAnsi="宋体" w:eastAsia="宋体" w:cs="宋体"/>
                <w:kern w:val="0"/>
                <w:szCs w:val="21"/>
              </w:rPr>
            </w:pPr>
            <w:r>
              <w:rPr>
                <w:rFonts w:hint="eastAsia" w:ascii="宋体" w:hAnsi="宋体" w:eastAsia="宋体" w:cs="宋体"/>
                <w:kern w:val="0"/>
                <w:szCs w:val="21"/>
              </w:rPr>
              <w:t>全网管三层交换机，机架式，24个千兆电口，8个复用的千兆SFP光口，4个万兆SFP+光口；1个业务扩展槽，2个电源模块槽位，2个风扇模块槽位，交换容量598Gbps，包转发率222Mpps，1U高度，19英寸宽，工作温度：0℃～45℃，支持交直流供电，满负荷功耗87W（单交流电源情况下）；支持RIP/OSPF/BGP/IS-IS/VRRP，IPv6，VLAN，流量控制，ACL，QoS，端口镜像，环网RRPP/ERPS、支持SNMP V1/V2c/V3网管。</w:t>
            </w:r>
          </w:p>
        </w:tc>
        <w:tc>
          <w:tcPr>
            <w:tcW w:w="972" w:type="dxa"/>
            <w:tcBorders>
              <w:top w:val="single" w:color="auto" w:sz="4" w:space="0"/>
              <w:left w:val="single" w:color="auto" w:sz="4" w:space="0"/>
              <w:bottom w:val="single" w:color="auto" w:sz="4" w:space="0"/>
              <w:right w:val="single" w:color="auto" w:sz="4" w:space="0"/>
            </w:tcBorders>
            <w:vAlign w:val="center"/>
          </w:tcPr>
          <w:p w14:paraId="0239D7F6">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1092" w:type="dxa"/>
            <w:tcBorders>
              <w:top w:val="single" w:color="auto" w:sz="4" w:space="0"/>
              <w:left w:val="single" w:color="auto" w:sz="4" w:space="0"/>
              <w:bottom w:val="single" w:color="auto" w:sz="4" w:space="0"/>
              <w:right w:val="single" w:color="auto" w:sz="4" w:space="0"/>
            </w:tcBorders>
            <w:vAlign w:val="center"/>
          </w:tcPr>
          <w:p w14:paraId="3C39585D">
            <w:pPr>
              <w:widowControl/>
              <w:jc w:val="center"/>
              <w:rPr>
                <w:rFonts w:hint="eastAsia" w:ascii="宋体" w:hAnsi="宋体" w:eastAsia="宋体" w:cs="宋体"/>
                <w:kern w:val="0"/>
                <w:szCs w:val="21"/>
              </w:rPr>
            </w:pPr>
            <w:r>
              <w:rPr>
                <w:rFonts w:hint="eastAsia" w:ascii="宋体" w:hAnsi="宋体" w:eastAsia="宋体" w:cs="宋体"/>
                <w:kern w:val="0"/>
                <w:szCs w:val="21"/>
              </w:rPr>
              <w:t>1</w:t>
            </w:r>
          </w:p>
        </w:tc>
      </w:tr>
      <w:tr w14:paraId="09B2C3A7">
        <w:tblPrEx>
          <w:tblCellMar>
            <w:top w:w="0" w:type="dxa"/>
            <w:left w:w="108" w:type="dxa"/>
            <w:bottom w:w="0" w:type="dxa"/>
            <w:right w:w="108" w:type="dxa"/>
          </w:tblCellMar>
        </w:tblPrEx>
        <w:trPr>
          <w:trHeight w:val="420" w:hRule="atLeast"/>
        </w:trPr>
        <w:tc>
          <w:tcPr>
            <w:tcW w:w="1305" w:type="dxa"/>
            <w:tcBorders>
              <w:top w:val="nil"/>
              <w:left w:val="single" w:color="auto" w:sz="4" w:space="0"/>
              <w:bottom w:val="single" w:color="auto" w:sz="4" w:space="0"/>
              <w:right w:val="single" w:color="auto" w:sz="4" w:space="0"/>
            </w:tcBorders>
            <w:vAlign w:val="center"/>
          </w:tcPr>
          <w:p w14:paraId="778A98D6">
            <w:pPr>
              <w:widowControl/>
              <w:jc w:val="center"/>
              <w:rPr>
                <w:rFonts w:hint="eastAsia" w:ascii="宋体" w:hAnsi="宋体" w:eastAsia="宋体" w:cs="宋体"/>
                <w:kern w:val="0"/>
                <w:szCs w:val="21"/>
              </w:rPr>
            </w:pPr>
            <w:r>
              <w:rPr>
                <w:rFonts w:hint="eastAsia" w:ascii="宋体" w:hAnsi="宋体" w:eastAsia="宋体" w:cs="宋体"/>
                <w:kern w:val="0"/>
                <w:szCs w:val="21"/>
              </w:rPr>
              <w:t>视频存储CVR-IOT</w:t>
            </w:r>
          </w:p>
        </w:tc>
        <w:tc>
          <w:tcPr>
            <w:tcW w:w="5148" w:type="dxa"/>
            <w:tcBorders>
              <w:top w:val="single" w:color="auto" w:sz="4" w:space="0"/>
              <w:left w:val="single" w:color="auto" w:sz="4" w:space="0"/>
              <w:bottom w:val="single" w:color="auto" w:sz="4" w:space="0"/>
              <w:right w:val="single" w:color="auto" w:sz="4" w:space="0"/>
            </w:tcBorders>
            <w:noWrap/>
            <w:vAlign w:val="center"/>
          </w:tcPr>
          <w:p w14:paraId="57D31390">
            <w:pPr>
              <w:widowControl/>
              <w:jc w:val="left"/>
              <w:rPr>
                <w:rFonts w:hint="eastAsia" w:ascii="宋体" w:hAnsi="宋体" w:eastAsia="宋体" w:cs="宋体"/>
                <w:kern w:val="0"/>
                <w:szCs w:val="21"/>
              </w:rPr>
            </w:pPr>
            <w:r>
              <w:rPr>
                <w:rFonts w:hint="eastAsia" w:ascii="宋体" w:hAnsi="宋体" w:eastAsia="宋体" w:cs="宋体"/>
                <w:kern w:val="0"/>
                <w:szCs w:val="21"/>
              </w:rPr>
              <w:t>16盘位控制器磁盘阵列；640Mbps接入带宽,3个千兆数据网口；流媒体模式：160路接入+160路录像+160路转发；支持视频流和图片、smart、视频文件进行混合直写存储；支持SMART IPC接入，支持存储智能信息，实现智能事件检索功能，精确定位重点事件，并可通过平台进行智能浓缩播放，有效节省客户时间。3U机架式16盘位、单控制器、16块6T企业级SATA磁盘；64位多核处理器、4GB（标配，可扩展至32G）；2个HDMI接口；2个SAS2.0接口；支持RAID 0、1、3、5、6、10、50，60；网络协议：RTSP/ONVIF/PSIA/SIP（GB/T28181）</w:t>
            </w:r>
            <w:r>
              <w:rPr>
                <w:rFonts w:hint="eastAsia" w:ascii="宋体" w:hAnsi="宋体" w:eastAsia="宋体" w:cs="宋体"/>
                <w:kern w:val="0"/>
                <w:szCs w:val="21"/>
              </w:rPr>
              <w:br w:type="textWrapping"/>
            </w:r>
            <w:r>
              <w:rPr>
                <w:rFonts w:hint="eastAsia" w:ascii="宋体" w:hAnsi="宋体" w:eastAsia="宋体" w:cs="宋体"/>
                <w:kern w:val="0"/>
                <w:szCs w:val="21"/>
              </w:rPr>
              <w:t>内置不少于16块6TB企业级硬盘，实现视频不少于90天24小时录像资料的存储</w:t>
            </w:r>
          </w:p>
          <w:p w14:paraId="73A29461">
            <w:pPr>
              <w:widowControl/>
              <w:jc w:val="left"/>
              <w:rPr>
                <w:rFonts w:hint="eastAsia" w:ascii="宋体" w:hAnsi="宋体" w:eastAsia="宋体" w:cs="宋体"/>
                <w:kern w:val="0"/>
                <w:szCs w:val="21"/>
              </w:rPr>
            </w:pPr>
            <w:r>
              <w:rPr>
                <w:rFonts w:hint="eastAsia" w:ascii="宋体" w:hAnsi="宋体" w:eastAsia="宋体" w:cs="宋体"/>
                <w:kern w:val="0"/>
                <w:szCs w:val="21"/>
              </w:rPr>
              <w:t>应能对视音频、图片、智能分析录像的混合直存，无需存储服务器和图片服务器参与；（以公安部检测报告为准）</w:t>
            </w:r>
            <w:r>
              <w:rPr>
                <w:rFonts w:hint="eastAsia" w:ascii="宋体" w:hAnsi="宋体" w:eastAsia="宋体" w:cs="宋体"/>
                <w:kern w:val="0"/>
                <w:szCs w:val="21"/>
              </w:rPr>
              <w:br w:type="textWrapping"/>
            </w:r>
            <w:r>
              <w:rPr>
                <w:rFonts w:hint="eastAsia" w:ascii="宋体" w:hAnsi="宋体" w:eastAsia="宋体" w:cs="宋体"/>
                <w:kern w:val="0"/>
                <w:szCs w:val="21"/>
              </w:rPr>
              <w:t>控制器架构，单控制器应配置≥64位多核处理器，≥4GB内存，并可扩展至≥32GB，应标配≥3个千兆网口，可接入≥16块硬盘，支持双系统（以公安部检测报告为准）</w:t>
            </w:r>
            <w:r>
              <w:rPr>
                <w:rFonts w:hint="eastAsia" w:ascii="宋体" w:hAnsi="宋体" w:eastAsia="宋体" w:cs="宋体"/>
                <w:kern w:val="0"/>
                <w:szCs w:val="21"/>
              </w:rPr>
              <w:br w:type="textWrapping"/>
            </w:r>
            <w:r>
              <w:rPr>
                <w:rFonts w:hint="eastAsia" w:ascii="宋体" w:hAnsi="宋体" w:eastAsia="宋体" w:cs="宋体"/>
                <w:kern w:val="0"/>
                <w:szCs w:val="21"/>
              </w:rPr>
              <w:t>应支持IPSAN、NAS存储功能（以公安部检测报告为准）</w:t>
            </w:r>
          </w:p>
        </w:tc>
        <w:tc>
          <w:tcPr>
            <w:tcW w:w="972" w:type="dxa"/>
            <w:tcBorders>
              <w:top w:val="single" w:color="auto" w:sz="4" w:space="0"/>
              <w:left w:val="single" w:color="auto" w:sz="4" w:space="0"/>
              <w:bottom w:val="single" w:color="auto" w:sz="4" w:space="0"/>
              <w:right w:val="single" w:color="auto" w:sz="4" w:space="0"/>
            </w:tcBorders>
            <w:vAlign w:val="center"/>
          </w:tcPr>
          <w:p w14:paraId="537EFA08">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1092" w:type="dxa"/>
            <w:tcBorders>
              <w:top w:val="single" w:color="auto" w:sz="4" w:space="0"/>
              <w:left w:val="single" w:color="auto" w:sz="4" w:space="0"/>
              <w:bottom w:val="single" w:color="auto" w:sz="4" w:space="0"/>
              <w:right w:val="single" w:color="auto" w:sz="4" w:space="0"/>
            </w:tcBorders>
            <w:vAlign w:val="center"/>
          </w:tcPr>
          <w:p w14:paraId="0A312803">
            <w:pPr>
              <w:widowControl/>
              <w:jc w:val="center"/>
              <w:rPr>
                <w:rFonts w:hint="eastAsia" w:ascii="宋体" w:hAnsi="宋体" w:eastAsia="宋体" w:cs="宋体"/>
                <w:kern w:val="0"/>
                <w:szCs w:val="21"/>
              </w:rPr>
            </w:pPr>
            <w:r>
              <w:rPr>
                <w:rFonts w:hint="eastAsia" w:ascii="宋体" w:hAnsi="宋体" w:eastAsia="宋体" w:cs="宋体"/>
                <w:kern w:val="0"/>
                <w:szCs w:val="21"/>
              </w:rPr>
              <w:t>2</w:t>
            </w:r>
          </w:p>
        </w:tc>
      </w:tr>
      <w:tr w14:paraId="4500C22B">
        <w:tblPrEx>
          <w:tblCellMar>
            <w:top w:w="0" w:type="dxa"/>
            <w:left w:w="108" w:type="dxa"/>
            <w:bottom w:w="0" w:type="dxa"/>
            <w:right w:w="108" w:type="dxa"/>
          </w:tblCellMar>
        </w:tblPrEx>
        <w:trPr>
          <w:trHeight w:val="420" w:hRule="atLeast"/>
        </w:trPr>
        <w:tc>
          <w:tcPr>
            <w:tcW w:w="1305" w:type="dxa"/>
            <w:tcBorders>
              <w:top w:val="nil"/>
              <w:left w:val="single" w:color="auto" w:sz="4" w:space="0"/>
              <w:bottom w:val="single" w:color="auto" w:sz="4" w:space="0"/>
              <w:right w:val="single" w:color="auto" w:sz="4" w:space="0"/>
            </w:tcBorders>
            <w:vAlign w:val="center"/>
          </w:tcPr>
          <w:p w14:paraId="1DB433F7">
            <w:pPr>
              <w:widowControl/>
              <w:jc w:val="center"/>
              <w:rPr>
                <w:rFonts w:hint="eastAsia" w:ascii="宋体" w:hAnsi="宋体" w:eastAsia="宋体" w:cs="宋体"/>
                <w:kern w:val="0"/>
                <w:szCs w:val="21"/>
              </w:rPr>
            </w:pPr>
            <w:r>
              <w:rPr>
                <w:rFonts w:hint="eastAsia" w:ascii="宋体" w:hAnsi="宋体" w:eastAsia="宋体" w:cs="宋体"/>
                <w:kern w:val="0"/>
                <w:szCs w:val="21"/>
              </w:rPr>
              <w:t>视频环境监测平台软件</w:t>
            </w:r>
          </w:p>
        </w:tc>
        <w:tc>
          <w:tcPr>
            <w:tcW w:w="5148" w:type="dxa"/>
            <w:tcBorders>
              <w:top w:val="single" w:color="auto" w:sz="4" w:space="0"/>
              <w:left w:val="single" w:color="auto" w:sz="4" w:space="0"/>
              <w:bottom w:val="single" w:color="auto" w:sz="4" w:space="0"/>
              <w:right w:val="single" w:color="auto" w:sz="4" w:space="0"/>
            </w:tcBorders>
            <w:noWrap/>
            <w:vAlign w:val="center"/>
          </w:tcPr>
          <w:p w14:paraId="68B4F2F0">
            <w:pPr>
              <w:widowControl/>
              <w:jc w:val="left"/>
              <w:rPr>
                <w:rFonts w:hint="eastAsia" w:ascii="宋体" w:hAnsi="宋体" w:eastAsia="宋体" w:cs="宋体"/>
                <w:kern w:val="0"/>
                <w:szCs w:val="21"/>
              </w:rPr>
            </w:pPr>
            <w:r>
              <w:rPr>
                <w:rFonts w:hint="eastAsia" w:ascii="宋体" w:hAnsi="宋体" w:eastAsia="宋体" w:cs="宋体"/>
                <w:kern w:val="0"/>
                <w:szCs w:val="21"/>
              </w:rPr>
              <w:t>基础视频应用、基础系统配置。</w:t>
            </w:r>
            <w:r>
              <w:rPr>
                <w:rFonts w:hint="eastAsia" w:ascii="宋体" w:hAnsi="宋体" w:eastAsia="宋体" w:cs="宋体"/>
                <w:kern w:val="0"/>
                <w:szCs w:val="21"/>
              </w:rPr>
              <w:br w:type="textWrapping"/>
            </w:r>
            <w:r>
              <w:rPr>
                <w:rFonts w:hint="eastAsia" w:ascii="宋体" w:hAnsi="宋体" w:eastAsia="宋体" w:cs="宋体"/>
                <w:kern w:val="0"/>
                <w:szCs w:val="21"/>
              </w:rPr>
              <w:t>对秸秆火情的研判、交办、签收、处置、反馈的业务形成闭环。</w:t>
            </w:r>
            <w:r>
              <w:rPr>
                <w:rFonts w:hint="eastAsia" w:ascii="宋体" w:hAnsi="宋体" w:eastAsia="宋体" w:cs="宋体"/>
                <w:kern w:val="0"/>
                <w:szCs w:val="21"/>
              </w:rPr>
              <w:br w:type="textWrapping"/>
            </w:r>
            <w:r>
              <w:rPr>
                <w:rFonts w:hint="eastAsia" w:ascii="宋体" w:hAnsi="宋体" w:eastAsia="宋体" w:cs="宋体"/>
                <w:kern w:val="0"/>
                <w:szCs w:val="21"/>
              </w:rPr>
              <w:t>支持卡口设备管理、卡口业务配置，支持车辆测速、黑名单布控、白名单管理；支持过车记录查看，支持过车报警记录的查询，支持过车记录统计分析。需支持300路以上视频信号接入和级联。短信平台（三年），可通过短信息平台发出调度指令和报警信息。</w:t>
            </w:r>
          </w:p>
        </w:tc>
        <w:tc>
          <w:tcPr>
            <w:tcW w:w="972" w:type="dxa"/>
            <w:tcBorders>
              <w:top w:val="single" w:color="auto" w:sz="4" w:space="0"/>
              <w:left w:val="single" w:color="auto" w:sz="4" w:space="0"/>
              <w:bottom w:val="single" w:color="auto" w:sz="4" w:space="0"/>
              <w:right w:val="single" w:color="auto" w:sz="4" w:space="0"/>
            </w:tcBorders>
            <w:vAlign w:val="center"/>
          </w:tcPr>
          <w:p w14:paraId="2C2F0D0A">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1092" w:type="dxa"/>
            <w:tcBorders>
              <w:top w:val="single" w:color="auto" w:sz="4" w:space="0"/>
              <w:left w:val="single" w:color="auto" w:sz="4" w:space="0"/>
              <w:bottom w:val="single" w:color="auto" w:sz="4" w:space="0"/>
              <w:right w:val="single" w:color="auto" w:sz="4" w:space="0"/>
            </w:tcBorders>
            <w:vAlign w:val="center"/>
          </w:tcPr>
          <w:p w14:paraId="11A2DCC6">
            <w:pPr>
              <w:widowControl/>
              <w:jc w:val="center"/>
              <w:rPr>
                <w:rFonts w:hint="eastAsia" w:ascii="宋体" w:hAnsi="宋体" w:eastAsia="宋体" w:cs="宋体"/>
                <w:kern w:val="0"/>
                <w:szCs w:val="21"/>
              </w:rPr>
            </w:pPr>
            <w:r>
              <w:rPr>
                <w:rFonts w:hint="eastAsia" w:ascii="宋体" w:hAnsi="宋体" w:eastAsia="宋体" w:cs="宋体"/>
                <w:kern w:val="0"/>
                <w:szCs w:val="21"/>
              </w:rPr>
              <w:t>1</w:t>
            </w:r>
          </w:p>
        </w:tc>
      </w:tr>
      <w:tr w14:paraId="216CA73F">
        <w:tblPrEx>
          <w:tblCellMar>
            <w:top w:w="0" w:type="dxa"/>
            <w:left w:w="108" w:type="dxa"/>
            <w:bottom w:w="0" w:type="dxa"/>
            <w:right w:w="108" w:type="dxa"/>
          </w:tblCellMar>
        </w:tblPrEx>
        <w:trPr>
          <w:trHeight w:val="380" w:hRule="atLeast"/>
        </w:trPr>
        <w:tc>
          <w:tcPr>
            <w:tcW w:w="1305" w:type="dxa"/>
            <w:tcBorders>
              <w:top w:val="nil"/>
              <w:left w:val="single" w:color="auto" w:sz="4" w:space="0"/>
              <w:bottom w:val="single" w:color="auto" w:sz="4" w:space="0"/>
              <w:right w:val="single" w:color="auto" w:sz="4" w:space="0"/>
            </w:tcBorders>
            <w:vAlign w:val="center"/>
          </w:tcPr>
          <w:p w14:paraId="428BF95C">
            <w:pPr>
              <w:widowControl/>
              <w:jc w:val="center"/>
              <w:rPr>
                <w:rFonts w:hint="eastAsia" w:ascii="宋体" w:hAnsi="宋体" w:eastAsia="宋体" w:cs="宋体"/>
                <w:kern w:val="0"/>
                <w:szCs w:val="21"/>
              </w:rPr>
            </w:pPr>
            <w:r>
              <w:rPr>
                <w:rFonts w:hint="eastAsia" w:ascii="宋体" w:hAnsi="宋体" w:eastAsia="宋体" w:cs="宋体"/>
                <w:kern w:val="0"/>
                <w:szCs w:val="21"/>
              </w:rPr>
              <w:t>主服务器</w:t>
            </w:r>
          </w:p>
        </w:tc>
        <w:tc>
          <w:tcPr>
            <w:tcW w:w="5148" w:type="dxa"/>
            <w:tcBorders>
              <w:top w:val="single" w:color="auto" w:sz="4" w:space="0"/>
              <w:left w:val="single" w:color="auto" w:sz="4" w:space="0"/>
              <w:bottom w:val="single" w:color="auto" w:sz="4" w:space="0"/>
              <w:right w:val="single" w:color="auto" w:sz="4" w:space="0"/>
            </w:tcBorders>
            <w:noWrap/>
            <w:vAlign w:val="center"/>
          </w:tcPr>
          <w:p w14:paraId="2E042C9F">
            <w:pPr>
              <w:widowControl/>
              <w:jc w:val="left"/>
              <w:rPr>
                <w:rFonts w:hint="eastAsia" w:ascii="宋体" w:hAnsi="宋体" w:eastAsia="宋体" w:cs="宋体"/>
                <w:kern w:val="0"/>
                <w:szCs w:val="21"/>
              </w:rPr>
            </w:pPr>
            <w:r>
              <w:rPr>
                <w:rFonts w:hint="eastAsia" w:ascii="宋体" w:hAnsi="宋体" w:eastAsia="宋体" w:cs="宋体"/>
                <w:kern w:val="0"/>
                <w:szCs w:val="21"/>
              </w:rPr>
              <w:t>HG7163(16核2.4GHz)×1/32GB DDR4/600GB SAS*2（RAID 1）/SAS_HBA/1GbE*2/550W(1+1)/2U/16DIMM</w:t>
            </w:r>
            <w:r>
              <w:rPr>
                <w:rFonts w:hint="eastAsia" w:ascii="宋体" w:hAnsi="宋体" w:eastAsia="宋体" w:cs="宋体"/>
                <w:kern w:val="0"/>
                <w:szCs w:val="21"/>
              </w:rPr>
              <w:br w:type="textWrapping"/>
            </w:r>
            <w:r>
              <w:rPr>
                <w:rFonts w:hint="eastAsia" w:ascii="宋体" w:hAnsi="宋体" w:eastAsia="宋体" w:cs="宋体"/>
                <w:kern w:val="0"/>
                <w:szCs w:val="21"/>
              </w:rPr>
              <w:t>2U单路标准机架式服务器</w:t>
            </w:r>
            <w:r>
              <w:rPr>
                <w:rFonts w:hint="eastAsia" w:ascii="宋体" w:hAnsi="宋体" w:eastAsia="宋体" w:cs="宋体"/>
                <w:kern w:val="0"/>
                <w:szCs w:val="21"/>
              </w:rPr>
              <w:br w:type="textWrapping"/>
            </w:r>
            <w:r>
              <w:rPr>
                <w:rFonts w:hint="eastAsia" w:ascii="宋体" w:hAnsi="宋体" w:eastAsia="宋体" w:cs="宋体"/>
                <w:kern w:val="0"/>
                <w:szCs w:val="21"/>
              </w:rPr>
              <w:t>CPU：1颗 HG7163(16核，2.4GHz)</w:t>
            </w:r>
            <w:r>
              <w:rPr>
                <w:rFonts w:hint="eastAsia" w:ascii="宋体" w:hAnsi="宋体" w:eastAsia="宋体" w:cs="宋体"/>
                <w:kern w:val="0"/>
                <w:szCs w:val="21"/>
              </w:rPr>
              <w:br w:type="textWrapping"/>
            </w:r>
            <w:r>
              <w:rPr>
                <w:rFonts w:hint="eastAsia" w:ascii="宋体" w:hAnsi="宋体" w:eastAsia="宋体" w:cs="宋体"/>
                <w:kern w:val="0"/>
                <w:szCs w:val="21"/>
              </w:rPr>
              <w:t>内存2*16G DDR4，16根内存插槽，最大支持扩展至2TB内存</w:t>
            </w:r>
            <w:r>
              <w:rPr>
                <w:rFonts w:hint="eastAsia" w:ascii="宋体" w:hAnsi="宋体" w:eastAsia="宋体" w:cs="宋体"/>
                <w:kern w:val="0"/>
                <w:szCs w:val="21"/>
              </w:rPr>
              <w:br w:type="textWrapping"/>
            </w:r>
            <w:r>
              <w:rPr>
                <w:rFonts w:hint="eastAsia" w:ascii="宋体" w:hAnsi="宋体" w:eastAsia="宋体" w:cs="宋体"/>
                <w:kern w:val="0"/>
                <w:szCs w:val="21"/>
              </w:rPr>
              <w:t>硬盘：2块600G 10K 2.5英寸SAS盘</w:t>
            </w:r>
            <w:r>
              <w:rPr>
                <w:rFonts w:hint="eastAsia" w:ascii="宋体" w:hAnsi="宋体" w:eastAsia="宋体" w:cs="宋体"/>
                <w:kern w:val="0"/>
                <w:szCs w:val="21"/>
              </w:rPr>
              <w:br w:type="textWrapping"/>
            </w:r>
            <w:r>
              <w:rPr>
                <w:rFonts w:hint="eastAsia" w:ascii="宋体" w:hAnsi="宋体" w:eastAsia="宋体" w:cs="宋体"/>
                <w:kern w:val="0"/>
                <w:szCs w:val="21"/>
              </w:rPr>
              <w:t>可选支持12块前置3.5寸(兼容2.5寸)热插拔SAS/SATA硬盘</w:t>
            </w:r>
            <w:r>
              <w:rPr>
                <w:rFonts w:hint="eastAsia" w:ascii="宋体" w:hAnsi="宋体" w:eastAsia="宋体" w:cs="宋体"/>
                <w:kern w:val="0"/>
                <w:szCs w:val="21"/>
              </w:rPr>
              <w:br w:type="textWrapping"/>
            </w:r>
            <w:r>
              <w:rPr>
                <w:rFonts w:hint="eastAsia" w:ascii="宋体" w:hAnsi="宋体" w:eastAsia="宋体" w:cs="宋体"/>
                <w:kern w:val="0"/>
                <w:szCs w:val="21"/>
              </w:rPr>
              <w:t>可选支持2块后置2.5寸热插拔SAS/SATA硬盘</w:t>
            </w:r>
            <w:r>
              <w:rPr>
                <w:rFonts w:hint="eastAsia" w:ascii="宋体" w:hAnsi="宋体" w:eastAsia="宋体" w:cs="宋体"/>
                <w:kern w:val="0"/>
                <w:szCs w:val="21"/>
              </w:rPr>
              <w:br w:type="textWrapping"/>
            </w:r>
            <w:r>
              <w:rPr>
                <w:rFonts w:hint="eastAsia" w:ascii="宋体" w:hAnsi="宋体" w:eastAsia="宋体" w:cs="宋体"/>
                <w:kern w:val="0"/>
                <w:szCs w:val="21"/>
              </w:rPr>
              <w:t>可选支持4块NVME U.2热插拔硬盘</w:t>
            </w:r>
            <w:r>
              <w:rPr>
                <w:rFonts w:hint="eastAsia" w:ascii="宋体" w:hAnsi="宋体" w:eastAsia="宋体" w:cs="宋体"/>
                <w:kern w:val="0"/>
                <w:szCs w:val="21"/>
              </w:rPr>
              <w:br w:type="textWrapping"/>
            </w:r>
            <w:r>
              <w:rPr>
                <w:rFonts w:hint="eastAsia" w:ascii="宋体" w:hAnsi="宋体" w:eastAsia="宋体" w:cs="宋体"/>
                <w:kern w:val="0"/>
                <w:szCs w:val="21"/>
              </w:rPr>
              <w:t>支持1个M.2插槽</w:t>
            </w:r>
            <w:r>
              <w:rPr>
                <w:rFonts w:hint="eastAsia" w:ascii="宋体" w:hAnsi="宋体" w:eastAsia="宋体" w:cs="宋体"/>
                <w:kern w:val="0"/>
                <w:szCs w:val="21"/>
              </w:rPr>
              <w:br w:type="textWrapping"/>
            </w:r>
            <w:r>
              <w:rPr>
                <w:rFonts w:hint="eastAsia" w:ascii="宋体" w:hAnsi="宋体" w:eastAsia="宋体" w:cs="宋体"/>
                <w:kern w:val="0"/>
                <w:szCs w:val="21"/>
              </w:rPr>
              <w:t>支持1个TF插槽</w:t>
            </w:r>
            <w:r>
              <w:rPr>
                <w:rFonts w:hint="eastAsia" w:ascii="宋体" w:hAnsi="宋体" w:eastAsia="宋体" w:cs="宋体"/>
                <w:kern w:val="0"/>
                <w:szCs w:val="21"/>
              </w:rPr>
              <w:br w:type="textWrapping"/>
            </w:r>
            <w:r>
              <w:rPr>
                <w:rFonts w:hint="eastAsia" w:ascii="宋体" w:hAnsi="宋体" w:eastAsia="宋体" w:cs="宋体"/>
                <w:kern w:val="0"/>
                <w:szCs w:val="21"/>
              </w:rPr>
              <w:t>阵列卡：标配SAS_HBA卡，支持RAID0/1/10</w:t>
            </w:r>
            <w:r>
              <w:rPr>
                <w:rFonts w:hint="eastAsia" w:ascii="宋体" w:hAnsi="宋体" w:eastAsia="宋体" w:cs="宋体"/>
                <w:kern w:val="0"/>
                <w:szCs w:val="21"/>
              </w:rPr>
              <w:br w:type="textWrapping"/>
            </w:r>
            <w:r>
              <w:rPr>
                <w:rFonts w:hint="eastAsia" w:ascii="宋体" w:hAnsi="宋体" w:eastAsia="宋体" w:cs="宋体"/>
                <w:kern w:val="0"/>
                <w:szCs w:val="21"/>
              </w:rPr>
              <w:t>可选RAID_2G卡，支持0/1/5/6/10/50/60，可选支持断电保护</w:t>
            </w:r>
            <w:r>
              <w:rPr>
                <w:rFonts w:hint="eastAsia" w:ascii="宋体" w:hAnsi="宋体" w:eastAsia="宋体" w:cs="宋体"/>
                <w:kern w:val="0"/>
                <w:szCs w:val="21"/>
              </w:rPr>
              <w:br w:type="textWrapping"/>
            </w:r>
            <w:r>
              <w:rPr>
                <w:rFonts w:hint="eastAsia" w:ascii="宋体" w:hAnsi="宋体" w:eastAsia="宋体" w:cs="宋体"/>
                <w:kern w:val="0"/>
                <w:szCs w:val="21"/>
              </w:rPr>
              <w:t>PCIE扩展：最大可支持6个PCIe扩展插槽</w:t>
            </w:r>
            <w:r>
              <w:rPr>
                <w:rFonts w:hint="eastAsia" w:ascii="宋体" w:hAnsi="宋体" w:eastAsia="宋体" w:cs="宋体"/>
                <w:kern w:val="0"/>
                <w:szCs w:val="21"/>
              </w:rPr>
              <w:br w:type="textWrapping"/>
            </w:r>
            <w:r>
              <w:rPr>
                <w:rFonts w:hint="eastAsia" w:ascii="宋体" w:hAnsi="宋体" w:eastAsia="宋体" w:cs="宋体"/>
                <w:kern w:val="0"/>
                <w:szCs w:val="21"/>
              </w:rPr>
              <w:t>网口：2个千兆电口</w:t>
            </w:r>
            <w:r>
              <w:rPr>
                <w:rFonts w:hint="eastAsia" w:ascii="宋体" w:hAnsi="宋体" w:eastAsia="宋体" w:cs="宋体"/>
                <w:kern w:val="0"/>
                <w:szCs w:val="21"/>
              </w:rPr>
              <w:br w:type="textWrapping"/>
            </w:r>
            <w:r>
              <w:rPr>
                <w:rFonts w:hint="eastAsia" w:ascii="宋体" w:hAnsi="宋体" w:eastAsia="宋体" w:cs="宋体"/>
                <w:kern w:val="0"/>
                <w:szCs w:val="21"/>
              </w:rPr>
              <w:t>其他接口：1个千兆RJ-45管理接口，4个USB 3.0接口，2个位于机箱后部，2个位于机箱前部</w:t>
            </w:r>
            <w:r>
              <w:rPr>
                <w:rFonts w:hint="eastAsia" w:ascii="宋体" w:hAnsi="宋体" w:eastAsia="宋体" w:cs="宋体"/>
                <w:kern w:val="0"/>
                <w:szCs w:val="21"/>
              </w:rPr>
              <w:br w:type="textWrapping"/>
            </w:r>
            <w:r>
              <w:rPr>
                <w:rFonts w:hint="eastAsia" w:ascii="宋体" w:hAnsi="宋体" w:eastAsia="宋体" w:cs="宋体"/>
                <w:kern w:val="0"/>
                <w:szCs w:val="21"/>
              </w:rPr>
              <w:t>1个VGA口，位于机箱后部</w:t>
            </w:r>
            <w:r>
              <w:rPr>
                <w:rFonts w:hint="eastAsia" w:ascii="宋体" w:hAnsi="宋体" w:eastAsia="宋体" w:cs="宋体"/>
                <w:kern w:val="0"/>
                <w:szCs w:val="21"/>
              </w:rPr>
              <w:br w:type="textWrapping"/>
            </w:r>
            <w:r>
              <w:rPr>
                <w:rFonts w:hint="eastAsia" w:ascii="宋体" w:hAnsi="宋体" w:eastAsia="宋体" w:cs="宋体"/>
                <w:kern w:val="0"/>
                <w:szCs w:val="21"/>
              </w:rPr>
              <w:t>电源：标配550W（1+1）白金冗余电源</w:t>
            </w:r>
            <w:r>
              <w:rPr>
                <w:rFonts w:hint="eastAsia" w:ascii="宋体" w:hAnsi="宋体" w:eastAsia="宋体" w:cs="宋体"/>
                <w:kern w:val="0"/>
                <w:szCs w:val="21"/>
              </w:rPr>
              <w:br w:type="textWrapping"/>
            </w:r>
            <w:r>
              <w:rPr>
                <w:rFonts w:hint="eastAsia" w:ascii="宋体" w:hAnsi="宋体" w:eastAsia="宋体" w:cs="宋体"/>
                <w:kern w:val="0"/>
                <w:szCs w:val="21"/>
              </w:rPr>
              <w:t>支持200-240V 50/60Hz AC/HVDC</w:t>
            </w:r>
            <w:r>
              <w:rPr>
                <w:rFonts w:hint="eastAsia" w:ascii="宋体" w:hAnsi="宋体" w:eastAsia="宋体" w:cs="宋体"/>
                <w:kern w:val="0"/>
                <w:szCs w:val="21"/>
              </w:rPr>
              <w:br w:type="textWrapping"/>
            </w:r>
            <w:r>
              <w:rPr>
                <w:rFonts w:hint="eastAsia" w:ascii="宋体" w:hAnsi="宋体" w:eastAsia="宋体" w:cs="宋体"/>
                <w:kern w:val="0"/>
                <w:szCs w:val="21"/>
              </w:rPr>
              <w:t>机箱规格：87.8mm(高)x 448mm(宽)x730mm(深)</w:t>
            </w:r>
            <w:r>
              <w:rPr>
                <w:rFonts w:hint="eastAsia" w:ascii="宋体" w:hAnsi="宋体" w:eastAsia="宋体" w:cs="宋体"/>
                <w:kern w:val="0"/>
                <w:szCs w:val="21"/>
              </w:rPr>
              <w:br w:type="textWrapping"/>
            </w:r>
            <w:r>
              <w:rPr>
                <w:rFonts w:hint="eastAsia" w:ascii="宋体" w:hAnsi="宋体" w:eastAsia="宋体" w:cs="宋体"/>
                <w:kern w:val="0"/>
                <w:szCs w:val="21"/>
              </w:rPr>
              <w:t>设备重量：约25KG（不含导轨）</w:t>
            </w:r>
          </w:p>
        </w:tc>
        <w:tc>
          <w:tcPr>
            <w:tcW w:w="972" w:type="dxa"/>
            <w:tcBorders>
              <w:top w:val="single" w:color="auto" w:sz="4" w:space="0"/>
              <w:left w:val="single" w:color="auto" w:sz="4" w:space="0"/>
              <w:bottom w:val="single" w:color="auto" w:sz="4" w:space="0"/>
              <w:right w:val="single" w:color="auto" w:sz="4" w:space="0"/>
            </w:tcBorders>
            <w:vAlign w:val="center"/>
          </w:tcPr>
          <w:p w14:paraId="244ADBA6">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1092" w:type="dxa"/>
            <w:tcBorders>
              <w:top w:val="single" w:color="auto" w:sz="4" w:space="0"/>
              <w:left w:val="single" w:color="auto" w:sz="4" w:space="0"/>
              <w:bottom w:val="single" w:color="auto" w:sz="4" w:space="0"/>
              <w:right w:val="single" w:color="auto" w:sz="4" w:space="0"/>
            </w:tcBorders>
            <w:vAlign w:val="center"/>
          </w:tcPr>
          <w:p w14:paraId="5BC7F26D">
            <w:pPr>
              <w:widowControl/>
              <w:jc w:val="center"/>
              <w:rPr>
                <w:rFonts w:hint="eastAsia" w:ascii="宋体" w:hAnsi="宋体" w:eastAsia="宋体" w:cs="宋体"/>
                <w:kern w:val="0"/>
                <w:szCs w:val="21"/>
              </w:rPr>
            </w:pPr>
            <w:r>
              <w:rPr>
                <w:rFonts w:hint="eastAsia" w:ascii="宋体" w:hAnsi="宋体" w:eastAsia="宋体" w:cs="宋体"/>
                <w:kern w:val="0"/>
                <w:szCs w:val="21"/>
              </w:rPr>
              <w:t>1</w:t>
            </w:r>
          </w:p>
        </w:tc>
      </w:tr>
      <w:tr w14:paraId="72E86A61">
        <w:tblPrEx>
          <w:tblCellMar>
            <w:top w:w="0" w:type="dxa"/>
            <w:left w:w="108" w:type="dxa"/>
            <w:bottom w:w="0" w:type="dxa"/>
            <w:right w:w="108" w:type="dxa"/>
          </w:tblCellMar>
        </w:tblPrEx>
        <w:trPr>
          <w:trHeight w:val="380" w:hRule="atLeast"/>
        </w:trPr>
        <w:tc>
          <w:tcPr>
            <w:tcW w:w="1305" w:type="dxa"/>
            <w:tcBorders>
              <w:top w:val="nil"/>
              <w:left w:val="single" w:color="auto" w:sz="4" w:space="0"/>
              <w:bottom w:val="single" w:color="auto" w:sz="4" w:space="0"/>
              <w:right w:val="single" w:color="auto" w:sz="4" w:space="0"/>
            </w:tcBorders>
            <w:vAlign w:val="center"/>
          </w:tcPr>
          <w:p w14:paraId="32C66ED4">
            <w:pPr>
              <w:widowControl/>
              <w:jc w:val="center"/>
              <w:rPr>
                <w:rFonts w:hint="eastAsia" w:ascii="宋体" w:hAnsi="宋体" w:eastAsia="宋体" w:cs="宋体"/>
                <w:kern w:val="0"/>
                <w:szCs w:val="21"/>
              </w:rPr>
            </w:pPr>
            <w:r>
              <w:rPr>
                <w:rFonts w:hint="eastAsia" w:ascii="宋体" w:hAnsi="宋体" w:eastAsia="宋体" w:cs="宋体"/>
                <w:kern w:val="0"/>
                <w:szCs w:val="21"/>
              </w:rPr>
              <w:t>流媒体服务器</w:t>
            </w:r>
          </w:p>
        </w:tc>
        <w:tc>
          <w:tcPr>
            <w:tcW w:w="5148" w:type="dxa"/>
            <w:tcBorders>
              <w:top w:val="single" w:color="auto" w:sz="4" w:space="0"/>
              <w:left w:val="single" w:color="auto" w:sz="4" w:space="0"/>
              <w:bottom w:val="single" w:color="auto" w:sz="4" w:space="0"/>
              <w:right w:val="single" w:color="auto" w:sz="4" w:space="0"/>
            </w:tcBorders>
            <w:noWrap/>
            <w:vAlign w:val="center"/>
          </w:tcPr>
          <w:p w14:paraId="711CA672">
            <w:pPr>
              <w:widowControl/>
              <w:jc w:val="left"/>
              <w:rPr>
                <w:rFonts w:hint="eastAsia" w:ascii="宋体" w:hAnsi="宋体" w:eastAsia="宋体" w:cs="宋体"/>
                <w:kern w:val="0"/>
                <w:szCs w:val="21"/>
              </w:rPr>
            </w:pPr>
            <w:r>
              <w:rPr>
                <w:rFonts w:hint="eastAsia" w:ascii="宋体" w:hAnsi="宋体" w:eastAsia="宋体" w:cs="宋体"/>
                <w:kern w:val="0"/>
                <w:szCs w:val="21"/>
              </w:rPr>
              <w:t>HG3189(8核3.5GHz)×1/16GB DDR4/1T 7.2K SATA×1/1GbE×2/350W金牌/1U</w:t>
            </w:r>
            <w:r>
              <w:rPr>
                <w:rFonts w:hint="eastAsia" w:ascii="宋体" w:hAnsi="宋体" w:eastAsia="宋体" w:cs="宋体"/>
                <w:kern w:val="0"/>
                <w:szCs w:val="21"/>
              </w:rPr>
              <w:br w:type="textWrapping"/>
            </w:r>
            <w:r>
              <w:rPr>
                <w:rFonts w:hint="eastAsia" w:ascii="宋体" w:hAnsi="宋体" w:eastAsia="宋体" w:cs="宋体"/>
                <w:kern w:val="0"/>
                <w:szCs w:val="21"/>
              </w:rPr>
              <w:t>1U单路标准机架式服务器</w:t>
            </w:r>
            <w:r>
              <w:rPr>
                <w:rFonts w:hint="eastAsia" w:ascii="宋体" w:hAnsi="宋体" w:eastAsia="宋体" w:cs="宋体"/>
                <w:kern w:val="0"/>
                <w:szCs w:val="21"/>
              </w:rPr>
              <w:br w:type="textWrapping"/>
            </w:r>
            <w:r>
              <w:rPr>
                <w:rFonts w:hint="eastAsia" w:ascii="宋体" w:hAnsi="宋体" w:eastAsia="宋体" w:cs="宋体"/>
                <w:kern w:val="0"/>
                <w:szCs w:val="21"/>
              </w:rPr>
              <w:t>CPU：1颗 HG3189(8核，3.5GHz)</w:t>
            </w:r>
            <w:r>
              <w:rPr>
                <w:rFonts w:hint="eastAsia" w:ascii="宋体" w:hAnsi="宋体" w:eastAsia="宋体" w:cs="宋体"/>
                <w:kern w:val="0"/>
                <w:szCs w:val="21"/>
              </w:rPr>
              <w:br w:type="textWrapping"/>
            </w:r>
            <w:r>
              <w:rPr>
                <w:rFonts w:hint="eastAsia" w:ascii="宋体" w:hAnsi="宋体" w:eastAsia="宋体" w:cs="宋体"/>
                <w:kern w:val="0"/>
                <w:szCs w:val="21"/>
              </w:rPr>
              <w:t>内存1*16G DDR4，4根内存插槽，最大支持扩展至128GB</w:t>
            </w:r>
            <w:r>
              <w:rPr>
                <w:rFonts w:hint="eastAsia" w:ascii="宋体" w:hAnsi="宋体" w:eastAsia="宋体" w:cs="宋体"/>
                <w:kern w:val="0"/>
                <w:szCs w:val="21"/>
              </w:rPr>
              <w:br w:type="textWrapping"/>
            </w:r>
            <w:r>
              <w:rPr>
                <w:rFonts w:hint="eastAsia" w:ascii="宋体" w:hAnsi="宋体" w:eastAsia="宋体" w:cs="宋体"/>
                <w:kern w:val="0"/>
                <w:szCs w:val="21"/>
              </w:rPr>
              <w:t>支持单条容量16GB/32GB</w:t>
            </w:r>
            <w:r>
              <w:rPr>
                <w:rFonts w:hint="eastAsia" w:ascii="宋体" w:hAnsi="宋体" w:eastAsia="宋体" w:cs="宋体"/>
                <w:kern w:val="0"/>
                <w:szCs w:val="21"/>
              </w:rPr>
              <w:br w:type="textWrapping"/>
            </w:r>
            <w:r>
              <w:rPr>
                <w:rFonts w:hint="eastAsia" w:ascii="宋体" w:hAnsi="宋体" w:eastAsia="宋体" w:cs="宋体"/>
                <w:kern w:val="0"/>
                <w:szCs w:val="21"/>
              </w:rPr>
              <w:t>内存频率支持2666/2400MHz</w:t>
            </w:r>
            <w:r>
              <w:rPr>
                <w:rFonts w:hint="eastAsia" w:ascii="宋体" w:hAnsi="宋体" w:eastAsia="宋体" w:cs="宋体"/>
                <w:kern w:val="0"/>
                <w:szCs w:val="21"/>
              </w:rPr>
              <w:br w:type="textWrapping"/>
            </w:r>
            <w:r>
              <w:rPr>
                <w:rFonts w:hint="eastAsia" w:ascii="宋体" w:hAnsi="宋体" w:eastAsia="宋体" w:cs="宋体"/>
                <w:kern w:val="0"/>
                <w:szCs w:val="21"/>
              </w:rPr>
              <w:t>支持内存RAS技术</w:t>
            </w:r>
            <w:r>
              <w:rPr>
                <w:rFonts w:hint="eastAsia" w:ascii="宋体" w:hAnsi="宋体" w:eastAsia="宋体" w:cs="宋体"/>
                <w:kern w:val="0"/>
                <w:szCs w:val="21"/>
              </w:rPr>
              <w:br w:type="textWrapping"/>
            </w:r>
            <w:r>
              <w:rPr>
                <w:rFonts w:hint="eastAsia" w:ascii="宋体" w:hAnsi="宋体" w:eastAsia="宋体" w:cs="宋体"/>
                <w:kern w:val="0"/>
                <w:szCs w:val="21"/>
              </w:rPr>
              <w:t>硬盘：1块1T 7.2K 3.5英寸SATA盘，最高支持4块3.5寸（兼容2.5寸）热插拔SATA/SAS硬盘，内置1个TF插槽</w:t>
            </w:r>
            <w:r>
              <w:rPr>
                <w:rFonts w:hint="eastAsia" w:ascii="宋体" w:hAnsi="宋体" w:eastAsia="宋体" w:cs="宋体"/>
                <w:kern w:val="0"/>
                <w:szCs w:val="21"/>
              </w:rPr>
              <w:br w:type="textWrapping"/>
            </w:r>
            <w:r>
              <w:rPr>
                <w:rFonts w:hint="eastAsia" w:ascii="宋体" w:hAnsi="宋体" w:eastAsia="宋体" w:cs="宋体"/>
                <w:kern w:val="0"/>
                <w:szCs w:val="21"/>
              </w:rPr>
              <w:t>阵列卡：标配SAS_HBA卡，支持RAID0/1/10</w:t>
            </w:r>
            <w:r>
              <w:rPr>
                <w:rFonts w:hint="eastAsia" w:ascii="宋体" w:hAnsi="宋体" w:eastAsia="宋体" w:cs="宋体"/>
                <w:kern w:val="0"/>
                <w:szCs w:val="21"/>
              </w:rPr>
              <w:br w:type="textWrapping"/>
            </w:r>
            <w:r>
              <w:rPr>
                <w:rFonts w:hint="eastAsia" w:ascii="宋体" w:hAnsi="宋体" w:eastAsia="宋体" w:cs="宋体"/>
                <w:kern w:val="0"/>
                <w:szCs w:val="21"/>
              </w:rPr>
              <w:t>可选RAID_2G卡，支持0/1/5/6/10/50/60，可选支持断电保护</w:t>
            </w:r>
            <w:r>
              <w:rPr>
                <w:rFonts w:hint="eastAsia" w:ascii="宋体" w:hAnsi="宋体" w:eastAsia="宋体" w:cs="宋体"/>
                <w:kern w:val="0"/>
                <w:szCs w:val="21"/>
              </w:rPr>
              <w:br w:type="textWrapping"/>
            </w:r>
            <w:r>
              <w:rPr>
                <w:rFonts w:hint="eastAsia" w:ascii="宋体" w:hAnsi="宋体" w:eastAsia="宋体" w:cs="宋体"/>
                <w:kern w:val="0"/>
                <w:szCs w:val="21"/>
              </w:rPr>
              <w:t>PCIE扩展：支持1个PCIE*8+1个PCIE*16</w:t>
            </w:r>
            <w:r>
              <w:rPr>
                <w:rFonts w:hint="eastAsia" w:ascii="宋体" w:hAnsi="宋体" w:eastAsia="宋体" w:cs="宋体"/>
                <w:kern w:val="0"/>
                <w:szCs w:val="21"/>
              </w:rPr>
              <w:br w:type="textWrapping"/>
            </w:r>
            <w:r>
              <w:rPr>
                <w:rFonts w:hint="eastAsia" w:ascii="宋体" w:hAnsi="宋体" w:eastAsia="宋体" w:cs="宋体"/>
                <w:kern w:val="0"/>
                <w:szCs w:val="21"/>
              </w:rPr>
              <w:t>网口：2个千兆电口</w:t>
            </w:r>
            <w:r>
              <w:rPr>
                <w:rFonts w:hint="eastAsia" w:ascii="宋体" w:hAnsi="宋体" w:eastAsia="宋体" w:cs="宋体"/>
                <w:kern w:val="0"/>
                <w:szCs w:val="21"/>
              </w:rPr>
              <w:br w:type="textWrapping"/>
            </w:r>
            <w:r>
              <w:rPr>
                <w:rFonts w:hint="eastAsia" w:ascii="宋体" w:hAnsi="宋体" w:eastAsia="宋体" w:cs="宋体"/>
                <w:kern w:val="0"/>
                <w:szCs w:val="21"/>
              </w:rPr>
              <w:t>其他接口：1个千兆RJ-45管理接口，4个USB 3.0接口，2个位于机箱后部，2个位于机箱前部</w:t>
            </w:r>
            <w:r>
              <w:rPr>
                <w:rFonts w:hint="eastAsia" w:ascii="宋体" w:hAnsi="宋体" w:eastAsia="宋体" w:cs="宋体"/>
                <w:kern w:val="0"/>
                <w:szCs w:val="21"/>
              </w:rPr>
              <w:br w:type="textWrapping"/>
            </w:r>
            <w:r>
              <w:rPr>
                <w:rFonts w:hint="eastAsia" w:ascii="宋体" w:hAnsi="宋体" w:eastAsia="宋体" w:cs="宋体"/>
                <w:kern w:val="0"/>
                <w:szCs w:val="21"/>
              </w:rPr>
              <w:t>1个VGA口，位于机箱后部</w:t>
            </w:r>
            <w:r>
              <w:rPr>
                <w:rFonts w:hint="eastAsia" w:ascii="宋体" w:hAnsi="宋体" w:eastAsia="宋体" w:cs="宋体"/>
                <w:kern w:val="0"/>
                <w:szCs w:val="21"/>
              </w:rPr>
              <w:br w:type="textWrapping"/>
            </w:r>
            <w:r>
              <w:rPr>
                <w:rFonts w:hint="eastAsia" w:ascii="宋体" w:hAnsi="宋体" w:eastAsia="宋体" w:cs="宋体"/>
                <w:kern w:val="0"/>
                <w:szCs w:val="21"/>
              </w:rPr>
              <w:t>电源：350W高效单电源</w:t>
            </w:r>
            <w:r>
              <w:rPr>
                <w:rFonts w:hint="eastAsia" w:ascii="宋体" w:hAnsi="宋体" w:eastAsia="宋体" w:cs="宋体"/>
                <w:kern w:val="0"/>
                <w:szCs w:val="21"/>
              </w:rPr>
              <w:br w:type="textWrapping"/>
            </w:r>
            <w:r>
              <w:rPr>
                <w:rFonts w:hint="eastAsia" w:ascii="宋体" w:hAnsi="宋体" w:eastAsia="宋体" w:cs="宋体"/>
                <w:kern w:val="0"/>
                <w:szCs w:val="21"/>
              </w:rPr>
              <w:t>机箱规格：43.5mm(高)x 433mm(宽)x521.5mm(深)</w:t>
            </w:r>
          </w:p>
        </w:tc>
        <w:tc>
          <w:tcPr>
            <w:tcW w:w="972" w:type="dxa"/>
            <w:tcBorders>
              <w:top w:val="single" w:color="auto" w:sz="4" w:space="0"/>
              <w:left w:val="single" w:color="auto" w:sz="4" w:space="0"/>
              <w:bottom w:val="single" w:color="auto" w:sz="4" w:space="0"/>
              <w:right w:val="single" w:color="auto" w:sz="4" w:space="0"/>
            </w:tcBorders>
            <w:vAlign w:val="center"/>
          </w:tcPr>
          <w:p w14:paraId="0C7F8636">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1092" w:type="dxa"/>
            <w:tcBorders>
              <w:top w:val="single" w:color="auto" w:sz="4" w:space="0"/>
              <w:left w:val="single" w:color="auto" w:sz="4" w:space="0"/>
              <w:bottom w:val="single" w:color="auto" w:sz="4" w:space="0"/>
              <w:right w:val="single" w:color="auto" w:sz="4" w:space="0"/>
            </w:tcBorders>
            <w:vAlign w:val="center"/>
          </w:tcPr>
          <w:p w14:paraId="571157D9">
            <w:pPr>
              <w:widowControl/>
              <w:jc w:val="center"/>
              <w:rPr>
                <w:rFonts w:hint="eastAsia" w:ascii="宋体" w:hAnsi="宋体" w:eastAsia="宋体" w:cs="宋体"/>
                <w:kern w:val="0"/>
                <w:szCs w:val="21"/>
              </w:rPr>
            </w:pPr>
            <w:r>
              <w:rPr>
                <w:rFonts w:hint="eastAsia" w:ascii="宋体" w:hAnsi="宋体" w:eastAsia="宋体" w:cs="宋体"/>
                <w:kern w:val="0"/>
                <w:szCs w:val="21"/>
              </w:rPr>
              <w:t>1</w:t>
            </w:r>
          </w:p>
        </w:tc>
      </w:tr>
      <w:tr w14:paraId="1CB186B2">
        <w:tblPrEx>
          <w:tblCellMar>
            <w:top w:w="0" w:type="dxa"/>
            <w:left w:w="108" w:type="dxa"/>
            <w:bottom w:w="0" w:type="dxa"/>
            <w:right w:w="108" w:type="dxa"/>
          </w:tblCellMar>
        </w:tblPrEx>
        <w:trPr>
          <w:trHeight w:val="380" w:hRule="atLeast"/>
        </w:trPr>
        <w:tc>
          <w:tcPr>
            <w:tcW w:w="1305" w:type="dxa"/>
            <w:tcBorders>
              <w:top w:val="single" w:color="auto" w:sz="4" w:space="0"/>
              <w:left w:val="single" w:color="auto" w:sz="4" w:space="0"/>
              <w:bottom w:val="single" w:color="auto" w:sz="4" w:space="0"/>
              <w:right w:val="single" w:color="auto" w:sz="4" w:space="0"/>
            </w:tcBorders>
            <w:vAlign w:val="center"/>
          </w:tcPr>
          <w:p w14:paraId="5E882A22">
            <w:pPr>
              <w:widowControl/>
              <w:jc w:val="center"/>
              <w:rPr>
                <w:rFonts w:hint="eastAsia" w:ascii="宋体" w:hAnsi="宋体" w:eastAsia="宋体" w:cs="宋体"/>
                <w:kern w:val="0"/>
                <w:szCs w:val="21"/>
              </w:rPr>
            </w:pPr>
            <w:r>
              <w:rPr>
                <w:rFonts w:hint="eastAsia" w:ascii="宋体" w:hAnsi="宋体" w:eastAsia="宋体" w:cs="宋体"/>
                <w:kern w:val="0"/>
                <w:szCs w:val="21"/>
              </w:rPr>
              <w:t>防雷器</w:t>
            </w:r>
          </w:p>
        </w:tc>
        <w:tc>
          <w:tcPr>
            <w:tcW w:w="5148" w:type="dxa"/>
            <w:tcBorders>
              <w:top w:val="single" w:color="auto" w:sz="4" w:space="0"/>
              <w:left w:val="single" w:color="auto" w:sz="4" w:space="0"/>
              <w:bottom w:val="single" w:color="auto" w:sz="4" w:space="0"/>
              <w:right w:val="single" w:color="auto" w:sz="4" w:space="0"/>
            </w:tcBorders>
            <w:noWrap/>
            <w:vAlign w:val="center"/>
          </w:tcPr>
          <w:p w14:paraId="0F29FE1D">
            <w:pPr>
              <w:widowControl/>
              <w:jc w:val="left"/>
              <w:rPr>
                <w:rFonts w:hint="eastAsia" w:ascii="宋体" w:hAnsi="宋体" w:eastAsia="宋体" w:cs="宋体"/>
                <w:kern w:val="0"/>
                <w:szCs w:val="21"/>
              </w:rPr>
            </w:pPr>
            <w:r>
              <w:rPr>
                <w:rFonts w:hint="eastAsia" w:ascii="宋体" w:hAnsi="宋体" w:eastAsia="宋体" w:cs="宋体"/>
                <w:kern w:val="0"/>
                <w:szCs w:val="21"/>
              </w:rPr>
              <w:t>标准工作电压：220V AC</w:t>
            </w:r>
            <w:r>
              <w:rPr>
                <w:rFonts w:hint="eastAsia" w:ascii="宋体" w:hAnsi="宋体" w:eastAsia="宋体" w:cs="宋体"/>
                <w:kern w:val="0"/>
                <w:szCs w:val="21"/>
              </w:rPr>
              <w:br w:type="textWrapping"/>
            </w:r>
            <w:r>
              <w:rPr>
                <w:rFonts w:hint="eastAsia" w:ascii="宋体" w:hAnsi="宋体" w:eastAsia="宋体" w:cs="宋体"/>
                <w:kern w:val="0"/>
                <w:szCs w:val="21"/>
              </w:rPr>
              <w:t>最大持续工作电压：385V AC</w:t>
            </w:r>
            <w:r>
              <w:rPr>
                <w:rFonts w:hint="eastAsia" w:ascii="宋体" w:hAnsi="宋体" w:eastAsia="宋体" w:cs="宋体"/>
                <w:kern w:val="0"/>
                <w:szCs w:val="21"/>
              </w:rPr>
              <w:br w:type="textWrapping"/>
            </w:r>
            <w:r>
              <w:rPr>
                <w:rFonts w:hint="eastAsia" w:ascii="宋体" w:hAnsi="宋体" w:eastAsia="宋体" w:cs="宋体"/>
                <w:kern w:val="0"/>
                <w:szCs w:val="21"/>
              </w:rPr>
              <w:t>标称放电电流：20kA（8/20μs）</w:t>
            </w:r>
            <w:r>
              <w:rPr>
                <w:rFonts w:hint="eastAsia" w:ascii="宋体" w:hAnsi="宋体" w:eastAsia="宋体" w:cs="宋体"/>
                <w:kern w:val="0"/>
                <w:szCs w:val="21"/>
              </w:rPr>
              <w:br w:type="textWrapping"/>
            </w:r>
            <w:r>
              <w:rPr>
                <w:rFonts w:hint="eastAsia" w:ascii="宋体" w:hAnsi="宋体" w:eastAsia="宋体" w:cs="宋体"/>
                <w:kern w:val="0"/>
                <w:szCs w:val="21"/>
              </w:rPr>
              <w:t>最大通流容量：40kA（8/20μs）</w:t>
            </w:r>
            <w:r>
              <w:rPr>
                <w:rFonts w:hint="eastAsia" w:ascii="宋体" w:hAnsi="宋体" w:eastAsia="宋体" w:cs="宋体"/>
                <w:kern w:val="0"/>
                <w:szCs w:val="21"/>
              </w:rPr>
              <w:br w:type="textWrapping"/>
            </w:r>
            <w:r>
              <w:rPr>
                <w:rFonts w:hint="eastAsia" w:ascii="宋体" w:hAnsi="宋体" w:eastAsia="宋体" w:cs="宋体"/>
                <w:kern w:val="0"/>
                <w:szCs w:val="21"/>
              </w:rPr>
              <w:t>保护水平：1.8kV(In); 1.5kV(10kA 8/20μs)</w:t>
            </w:r>
            <w:r>
              <w:rPr>
                <w:rFonts w:hint="eastAsia" w:ascii="宋体" w:hAnsi="宋体" w:eastAsia="宋体" w:cs="宋体"/>
                <w:kern w:val="0"/>
                <w:szCs w:val="21"/>
              </w:rPr>
              <w:br w:type="textWrapping"/>
            </w:r>
            <w:r>
              <w:rPr>
                <w:rFonts w:hint="eastAsia" w:ascii="宋体" w:hAnsi="宋体" w:eastAsia="宋体" w:cs="宋体"/>
                <w:kern w:val="0"/>
                <w:szCs w:val="21"/>
              </w:rPr>
              <w:t>保护模式：L，N-PE</w:t>
            </w:r>
            <w:r>
              <w:rPr>
                <w:rFonts w:hint="eastAsia" w:ascii="宋体" w:hAnsi="宋体" w:eastAsia="宋体" w:cs="宋体"/>
                <w:kern w:val="0"/>
                <w:szCs w:val="21"/>
              </w:rPr>
              <w:br w:type="textWrapping"/>
            </w:r>
            <w:r>
              <w:rPr>
                <w:rFonts w:hint="eastAsia" w:ascii="宋体" w:hAnsi="宋体" w:eastAsia="宋体" w:cs="宋体"/>
                <w:kern w:val="0"/>
                <w:szCs w:val="21"/>
              </w:rPr>
              <w:t>响应时间：≤25ns</w:t>
            </w:r>
            <w:r>
              <w:rPr>
                <w:rFonts w:hint="eastAsia" w:ascii="宋体" w:hAnsi="宋体" w:eastAsia="宋体" w:cs="宋体"/>
                <w:kern w:val="0"/>
                <w:szCs w:val="21"/>
              </w:rPr>
              <w:br w:type="textWrapping"/>
            </w:r>
            <w:r>
              <w:rPr>
                <w:rFonts w:hint="eastAsia" w:ascii="宋体" w:hAnsi="宋体" w:eastAsia="宋体" w:cs="宋体"/>
                <w:kern w:val="0"/>
                <w:szCs w:val="21"/>
              </w:rPr>
              <w:t>外形尺寸：95×36×65mm</w:t>
            </w:r>
            <w:r>
              <w:rPr>
                <w:rFonts w:hint="eastAsia" w:ascii="宋体" w:hAnsi="宋体" w:eastAsia="宋体" w:cs="宋体"/>
                <w:kern w:val="0"/>
                <w:szCs w:val="21"/>
              </w:rPr>
              <w:br w:type="textWrapping"/>
            </w:r>
            <w:r>
              <w:rPr>
                <w:rFonts w:hint="eastAsia" w:ascii="宋体" w:hAnsi="宋体" w:eastAsia="宋体" w:cs="宋体"/>
                <w:kern w:val="0"/>
                <w:szCs w:val="21"/>
              </w:rPr>
              <w:t>接线线径：L/N （2.5mm2）； PE（6mm2）</w:t>
            </w:r>
            <w:r>
              <w:rPr>
                <w:rFonts w:hint="eastAsia" w:ascii="宋体" w:hAnsi="宋体" w:eastAsia="宋体" w:cs="宋体"/>
                <w:kern w:val="0"/>
                <w:szCs w:val="21"/>
              </w:rPr>
              <w:br w:type="textWrapping"/>
            </w:r>
            <w:r>
              <w:rPr>
                <w:rFonts w:hint="eastAsia" w:ascii="宋体" w:hAnsi="宋体" w:eastAsia="宋体" w:cs="宋体"/>
                <w:kern w:val="0"/>
                <w:szCs w:val="21"/>
              </w:rPr>
              <w:t>防护等级：IP20</w:t>
            </w:r>
            <w:r>
              <w:rPr>
                <w:rFonts w:hint="eastAsia" w:ascii="宋体" w:hAnsi="宋体" w:eastAsia="宋体" w:cs="宋体"/>
                <w:kern w:val="0"/>
                <w:szCs w:val="21"/>
              </w:rPr>
              <w:br w:type="textWrapping"/>
            </w:r>
            <w:r>
              <w:rPr>
                <w:rFonts w:hint="eastAsia" w:ascii="宋体" w:hAnsi="宋体" w:eastAsia="宋体" w:cs="宋体"/>
                <w:kern w:val="0"/>
                <w:szCs w:val="21"/>
              </w:rPr>
              <w:t>安装方式：35mm导轨安装</w:t>
            </w:r>
            <w:r>
              <w:rPr>
                <w:rFonts w:hint="eastAsia" w:ascii="宋体" w:hAnsi="宋体" w:eastAsia="宋体" w:cs="宋体"/>
                <w:kern w:val="0"/>
                <w:szCs w:val="21"/>
              </w:rPr>
              <w:br w:type="textWrapping"/>
            </w:r>
            <w:r>
              <w:rPr>
                <w:rFonts w:hint="eastAsia" w:ascii="宋体" w:hAnsi="宋体" w:eastAsia="宋体" w:cs="宋体"/>
                <w:kern w:val="0"/>
                <w:szCs w:val="21"/>
              </w:rPr>
              <w:t xml:space="preserve">工作环境：环境温度：－40℃～＋85℃；      </w:t>
            </w:r>
            <w:r>
              <w:rPr>
                <w:rFonts w:hint="eastAsia" w:ascii="宋体" w:hAnsi="宋体" w:eastAsia="宋体" w:cs="宋体"/>
                <w:kern w:val="0"/>
                <w:szCs w:val="21"/>
              </w:rPr>
              <w:br w:type="textWrapping"/>
            </w:r>
            <w:r>
              <w:rPr>
                <w:rFonts w:hint="eastAsia" w:ascii="宋体" w:hAnsi="宋体" w:eastAsia="宋体" w:cs="宋体"/>
                <w:kern w:val="0"/>
                <w:szCs w:val="21"/>
              </w:rPr>
              <w:t>相对湿度：≤95%；海拔≤3km</w:t>
            </w:r>
          </w:p>
        </w:tc>
        <w:tc>
          <w:tcPr>
            <w:tcW w:w="972" w:type="dxa"/>
            <w:tcBorders>
              <w:top w:val="single" w:color="auto" w:sz="4" w:space="0"/>
              <w:left w:val="single" w:color="auto" w:sz="4" w:space="0"/>
              <w:bottom w:val="single" w:color="auto" w:sz="4" w:space="0"/>
              <w:right w:val="single" w:color="auto" w:sz="4" w:space="0"/>
            </w:tcBorders>
            <w:vAlign w:val="center"/>
          </w:tcPr>
          <w:p w14:paraId="631171A3">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1092" w:type="dxa"/>
            <w:tcBorders>
              <w:top w:val="single" w:color="auto" w:sz="4" w:space="0"/>
              <w:left w:val="single" w:color="auto" w:sz="4" w:space="0"/>
              <w:bottom w:val="single" w:color="auto" w:sz="4" w:space="0"/>
              <w:right w:val="single" w:color="auto" w:sz="4" w:space="0"/>
            </w:tcBorders>
            <w:vAlign w:val="center"/>
          </w:tcPr>
          <w:p w14:paraId="4342A710">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98</w:t>
            </w:r>
          </w:p>
        </w:tc>
      </w:tr>
      <w:tr w14:paraId="4DCCACAF">
        <w:tblPrEx>
          <w:tblCellMar>
            <w:top w:w="0" w:type="dxa"/>
            <w:left w:w="108" w:type="dxa"/>
            <w:bottom w:w="0" w:type="dxa"/>
            <w:right w:w="108" w:type="dxa"/>
          </w:tblCellMar>
        </w:tblPrEx>
        <w:trPr>
          <w:trHeight w:val="537" w:hRule="atLeast"/>
        </w:trPr>
        <w:tc>
          <w:tcPr>
            <w:tcW w:w="1305" w:type="dxa"/>
            <w:tcBorders>
              <w:top w:val="single" w:color="auto" w:sz="4" w:space="0"/>
              <w:left w:val="single" w:color="auto" w:sz="4" w:space="0"/>
              <w:bottom w:val="single" w:color="auto" w:sz="4" w:space="0"/>
              <w:right w:val="single" w:color="auto" w:sz="4" w:space="0"/>
            </w:tcBorders>
            <w:vAlign w:val="center"/>
          </w:tcPr>
          <w:p w14:paraId="4E4218B9">
            <w:pPr>
              <w:widowControl/>
              <w:jc w:val="center"/>
              <w:rPr>
                <w:rFonts w:hint="eastAsia" w:ascii="宋体" w:hAnsi="宋体" w:eastAsia="宋体" w:cs="宋体"/>
                <w:kern w:val="0"/>
                <w:szCs w:val="21"/>
              </w:rPr>
            </w:pPr>
            <w:r>
              <w:rPr>
                <w:rFonts w:hint="eastAsia" w:ascii="宋体" w:hAnsi="宋体" w:eastAsia="宋体" w:cs="宋体"/>
                <w:kern w:val="0"/>
                <w:szCs w:val="21"/>
              </w:rPr>
              <w:t>挂载要求</w:t>
            </w:r>
          </w:p>
        </w:tc>
        <w:tc>
          <w:tcPr>
            <w:tcW w:w="5148" w:type="dxa"/>
            <w:tcBorders>
              <w:top w:val="single" w:color="auto" w:sz="4" w:space="0"/>
              <w:left w:val="single" w:color="auto" w:sz="4" w:space="0"/>
              <w:bottom w:val="single" w:color="auto" w:sz="4" w:space="0"/>
              <w:right w:val="single" w:color="auto" w:sz="4" w:space="0"/>
            </w:tcBorders>
            <w:noWrap/>
            <w:vAlign w:val="center"/>
          </w:tcPr>
          <w:p w14:paraId="0690A6F4">
            <w:pPr>
              <w:widowControl/>
              <w:jc w:val="left"/>
              <w:rPr>
                <w:rFonts w:hint="eastAsia" w:ascii="宋体" w:hAnsi="宋体" w:eastAsia="宋体" w:cs="宋体"/>
                <w:kern w:val="0"/>
                <w:szCs w:val="21"/>
              </w:rPr>
            </w:pPr>
            <w:r>
              <w:rPr>
                <w:rFonts w:hint="eastAsia" w:ascii="宋体" w:hAnsi="宋体" w:eastAsia="宋体" w:cs="宋体"/>
                <w:kern w:val="0"/>
                <w:szCs w:val="21"/>
              </w:rPr>
              <w:t>摄像头挂载高度离地不小于30米</w:t>
            </w:r>
          </w:p>
        </w:tc>
        <w:tc>
          <w:tcPr>
            <w:tcW w:w="972" w:type="dxa"/>
            <w:tcBorders>
              <w:top w:val="single" w:color="auto" w:sz="4" w:space="0"/>
              <w:left w:val="single" w:color="auto" w:sz="4" w:space="0"/>
              <w:bottom w:val="single" w:color="auto" w:sz="4" w:space="0"/>
              <w:right w:val="single" w:color="auto" w:sz="4" w:space="0"/>
            </w:tcBorders>
            <w:vAlign w:val="center"/>
          </w:tcPr>
          <w:p w14:paraId="7F7B99FB">
            <w:pPr>
              <w:widowControl/>
              <w:jc w:val="center"/>
              <w:rPr>
                <w:rFonts w:hint="eastAsia" w:ascii="宋体" w:hAnsi="宋体" w:eastAsia="宋体" w:cs="宋体"/>
                <w:kern w:val="0"/>
                <w:szCs w:val="21"/>
              </w:rPr>
            </w:pPr>
            <w:r>
              <w:rPr>
                <w:rFonts w:hint="eastAsia" w:ascii="宋体" w:hAnsi="宋体" w:eastAsia="宋体" w:cs="宋体"/>
                <w:kern w:val="0"/>
                <w:szCs w:val="21"/>
              </w:rPr>
              <w:t>项</w:t>
            </w:r>
          </w:p>
        </w:tc>
        <w:tc>
          <w:tcPr>
            <w:tcW w:w="1092" w:type="dxa"/>
            <w:tcBorders>
              <w:top w:val="single" w:color="auto" w:sz="4" w:space="0"/>
              <w:left w:val="single" w:color="auto" w:sz="4" w:space="0"/>
              <w:bottom w:val="single" w:color="auto" w:sz="4" w:space="0"/>
              <w:right w:val="single" w:color="auto" w:sz="4" w:space="0"/>
            </w:tcBorders>
            <w:vAlign w:val="center"/>
          </w:tcPr>
          <w:p w14:paraId="06E31E55">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98</w:t>
            </w:r>
          </w:p>
        </w:tc>
      </w:tr>
      <w:tr w14:paraId="082C31B0">
        <w:tblPrEx>
          <w:tblCellMar>
            <w:top w:w="0" w:type="dxa"/>
            <w:left w:w="108" w:type="dxa"/>
            <w:bottom w:w="0" w:type="dxa"/>
            <w:right w:w="108" w:type="dxa"/>
          </w:tblCellMar>
        </w:tblPrEx>
        <w:trPr>
          <w:trHeight w:val="715" w:hRule="atLeast"/>
        </w:trPr>
        <w:tc>
          <w:tcPr>
            <w:tcW w:w="1305" w:type="dxa"/>
            <w:tcBorders>
              <w:top w:val="single" w:color="auto" w:sz="4" w:space="0"/>
              <w:left w:val="single" w:color="auto" w:sz="4" w:space="0"/>
              <w:bottom w:val="single" w:color="auto" w:sz="4" w:space="0"/>
              <w:right w:val="single" w:color="auto" w:sz="4" w:space="0"/>
            </w:tcBorders>
            <w:vAlign w:val="center"/>
          </w:tcPr>
          <w:p w14:paraId="1F604D00">
            <w:pPr>
              <w:widowControl/>
              <w:jc w:val="center"/>
              <w:rPr>
                <w:rFonts w:hint="eastAsia" w:ascii="宋体" w:hAnsi="宋体" w:eastAsia="宋体" w:cs="宋体"/>
                <w:kern w:val="0"/>
                <w:szCs w:val="21"/>
              </w:rPr>
            </w:pPr>
            <w:r>
              <w:rPr>
                <w:rFonts w:hint="eastAsia" w:ascii="宋体" w:hAnsi="宋体" w:eastAsia="宋体" w:cs="宋体"/>
                <w:kern w:val="0"/>
                <w:szCs w:val="21"/>
              </w:rPr>
              <w:t>汇聚交换机</w:t>
            </w:r>
          </w:p>
        </w:tc>
        <w:tc>
          <w:tcPr>
            <w:tcW w:w="5148" w:type="dxa"/>
            <w:tcBorders>
              <w:top w:val="single" w:color="auto" w:sz="4" w:space="0"/>
              <w:left w:val="single" w:color="auto" w:sz="4" w:space="0"/>
              <w:bottom w:val="single" w:color="auto" w:sz="4" w:space="0"/>
              <w:right w:val="single" w:color="auto" w:sz="4" w:space="0"/>
            </w:tcBorders>
            <w:noWrap/>
            <w:vAlign w:val="center"/>
          </w:tcPr>
          <w:p w14:paraId="3A27B14F">
            <w:pPr>
              <w:widowControl/>
              <w:jc w:val="left"/>
              <w:rPr>
                <w:rFonts w:hint="eastAsia" w:ascii="宋体" w:hAnsi="宋体" w:eastAsia="宋体" w:cs="宋体"/>
              </w:rPr>
            </w:pPr>
            <w:r>
              <w:rPr>
                <w:rFonts w:hint="eastAsia" w:ascii="宋体" w:hAnsi="宋体" w:eastAsia="宋体" w:cs="宋体"/>
                <w:kern w:val="0"/>
                <w:szCs w:val="21"/>
              </w:rPr>
              <w:t>24口千兆全网管二层交换机，机架式，24个千兆电口，4个万兆SFP+万口，支持通过console口管理。交换容量256Gbps，包转发率96Mpps，1U高度，19英寸宽，工作温度：0℃～45℃，满负荷功耗10W。支持VLAN,流量控制，ACL，QOS，环网RRPP，支持SNMP V1/V2c/V3网管。</w:t>
            </w:r>
          </w:p>
        </w:tc>
        <w:tc>
          <w:tcPr>
            <w:tcW w:w="972" w:type="dxa"/>
            <w:tcBorders>
              <w:top w:val="single" w:color="auto" w:sz="4" w:space="0"/>
              <w:left w:val="single" w:color="auto" w:sz="4" w:space="0"/>
              <w:bottom w:val="single" w:color="auto" w:sz="4" w:space="0"/>
              <w:right w:val="single" w:color="auto" w:sz="4" w:space="0"/>
            </w:tcBorders>
            <w:vAlign w:val="center"/>
          </w:tcPr>
          <w:p w14:paraId="4D9DDB83">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1092" w:type="dxa"/>
            <w:tcBorders>
              <w:top w:val="single" w:color="auto" w:sz="4" w:space="0"/>
              <w:left w:val="single" w:color="auto" w:sz="4" w:space="0"/>
              <w:bottom w:val="single" w:color="auto" w:sz="4" w:space="0"/>
              <w:right w:val="single" w:color="auto" w:sz="4" w:space="0"/>
            </w:tcBorders>
            <w:vAlign w:val="center"/>
          </w:tcPr>
          <w:p w14:paraId="2E460A02">
            <w:pPr>
              <w:widowControl/>
              <w:jc w:val="center"/>
              <w:rPr>
                <w:rFonts w:hint="eastAsia" w:ascii="宋体" w:hAnsi="宋体" w:eastAsia="宋体" w:cs="宋体"/>
                <w:kern w:val="0"/>
                <w:szCs w:val="21"/>
              </w:rPr>
            </w:pPr>
            <w:r>
              <w:rPr>
                <w:rFonts w:hint="eastAsia" w:ascii="宋体" w:hAnsi="宋体" w:eastAsia="宋体" w:cs="宋体"/>
                <w:kern w:val="0"/>
                <w:szCs w:val="21"/>
              </w:rPr>
              <w:t>1</w:t>
            </w:r>
          </w:p>
        </w:tc>
      </w:tr>
      <w:tr w14:paraId="265F5B44">
        <w:tblPrEx>
          <w:tblCellMar>
            <w:top w:w="0" w:type="dxa"/>
            <w:left w:w="108" w:type="dxa"/>
            <w:bottom w:w="0" w:type="dxa"/>
            <w:right w:w="108" w:type="dxa"/>
          </w:tblCellMar>
        </w:tblPrEx>
        <w:trPr>
          <w:trHeight w:val="715" w:hRule="atLeast"/>
        </w:trPr>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095981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气象五参</w:t>
            </w:r>
          </w:p>
        </w:tc>
        <w:tc>
          <w:tcPr>
            <w:tcW w:w="51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7AE56">
            <w:pPr>
              <w:rPr>
                <w:rFonts w:hint="eastAsia" w:ascii="宋体" w:hAnsi="宋体" w:eastAsia="宋体" w:cs="宋体"/>
              </w:rPr>
            </w:pPr>
            <w:r>
              <w:rPr>
                <w:rFonts w:hint="eastAsia" w:ascii="宋体" w:hAnsi="宋体" w:eastAsia="宋体" w:cs="宋体"/>
              </w:rPr>
              <w:t xml:space="preserve">1．风速，测量原理超声波精度±0.3m/s（风速＜10m/s）或读数的±3%   分辨率0.1m/s    测量范围（0~60）m/s </w:t>
            </w:r>
          </w:p>
          <w:p w14:paraId="4241619F">
            <w:pPr>
              <w:rPr>
                <w:rFonts w:hint="eastAsia" w:ascii="宋体" w:hAnsi="宋体" w:eastAsia="宋体" w:cs="宋体"/>
              </w:rPr>
            </w:pPr>
            <w:r>
              <w:rPr>
                <w:rFonts w:hint="eastAsia" w:ascii="宋体" w:hAnsi="宋体" w:eastAsia="宋体" w:cs="宋体"/>
              </w:rPr>
              <w:t xml:space="preserve">2．风向测量原理超声波精度±3°  分辨率0.1° 测量范围（0~360）° </w:t>
            </w:r>
          </w:p>
          <w:p w14:paraId="150FBDB6">
            <w:pPr>
              <w:rPr>
                <w:rFonts w:hint="eastAsia" w:ascii="宋体" w:hAnsi="宋体" w:eastAsia="宋体" w:cs="宋体"/>
              </w:rPr>
            </w:pPr>
            <w:r>
              <w:rPr>
                <w:rFonts w:hint="eastAsia" w:ascii="宋体" w:hAnsi="宋体" w:eastAsia="宋体" w:cs="宋体"/>
              </w:rPr>
              <w:t>3．温度测量原理二极管结电压精度±0.3℃ 分辨率0.1℃ 测量范围（-40~85）℃</w:t>
            </w:r>
          </w:p>
          <w:p w14:paraId="59C23005">
            <w:pPr>
              <w:rPr>
                <w:rFonts w:hint="eastAsia" w:ascii="宋体" w:hAnsi="宋体" w:eastAsia="宋体" w:cs="宋体"/>
              </w:rPr>
            </w:pPr>
            <w:r>
              <w:rPr>
                <w:rFonts w:hint="eastAsia" w:ascii="宋体" w:hAnsi="宋体" w:eastAsia="宋体" w:cs="宋体"/>
              </w:rPr>
              <w:t xml:space="preserve">4．湿度测量原理电容式湿度传感器精度±2%RH分辨率0.1%RH测量范围（0~100）%RH </w:t>
            </w:r>
          </w:p>
          <w:p w14:paraId="478AFC23">
            <w:pPr>
              <w:rPr>
                <w:rFonts w:hint="eastAsia" w:ascii="宋体" w:hAnsi="宋体" w:eastAsia="宋体" w:cs="宋体"/>
              </w:rPr>
            </w:pPr>
            <w:r>
              <w:rPr>
                <w:rFonts w:hint="eastAsia" w:ascii="宋体" w:hAnsi="宋体" w:eastAsia="宋体" w:cs="宋体"/>
              </w:rPr>
              <w:t>5．压力测量原理压阻传感器精度±0.3hpa   分辨率0.1hpa测量范围（300~1200）hpa。</w:t>
            </w:r>
          </w:p>
          <w:p w14:paraId="042F9CFD">
            <w:pPr>
              <w:rPr>
                <w:rFonts w:hint="eastAsia" w:ascii="宋体" w:hAnsi="宋体" w:eastAsia="宋体" w:cs="宋体"/>
                <w:kern w:val="2"/>
                <w:sz w:val="21"/>
                <w:szCs w:val="20"/>
                <w:lang w:val="en-US" w:eastAsia="zh-CN" w:bidi="ar-SA"/>
              </w:rPr>
            </w:pPr>
            <w:r>
              <w:rPr>
                <w:rFonts w:hint="eastAsia" w:ascii="宋体" w:hAnsi="宋体" w:eastAsia="宋体" w:cs="宋体"/>
              </w:rPr>
              <w:t>数字输出 RS485（标配）模拟输出（选配）（4~20）mA 或（1~5）V 供电 12VDC±10% 功耗＜1W（不加热）；＜20W（加热）工作温度（-40~85）℃ 工作湿度（0~100）%RH 电缆长度标配 5m，可定制。带4G传输模块和SIM卡。</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698A58E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套</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5E4FCE9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2</w:t>
            </w:r>
          </w:p>
        </w:tc>
      </w:tr>
      <w:tr w14:paraId="482DF898">
        <w:tblPrEx>
          <w:tblCellMar>
            <w:top w:w="0" w:type="dxa"/>
            <w:left w:w="108" w:type="dxa"/>
            <w:bottom w:w="0" w:type="dxa"/>
            <w:right w:w="108" w:type="dxa"/>
          </w:tblCellMar>
        </w:tblPrEx>
        <w:trPr>
          <w:trHeight w:val="715" w:hRule="atLeast"/>
        </w:trPr>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066130A">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算法</w:t>
            </w:r>
          </w:p>
        </w:tc>
        <w:tc>
          <w:tcPr>
            <w:tcW w:w="51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6FDEB">
            <w:pPr>
              <w:rPr>
                <w:rFonts w:hint="eastAsia" w:ascii="宋体" w:hAnsi="宋体" w:eastAsia="宋体" w:cs="宋体"/>
              </w:rPr>
            </w:pPr>
            <w:r>
              <w:rPr>
                <w:rFonts w:hint="eastAsia" w:ascii="宋体" w:hAnsi="宋体" w:eastAsia="宋体" w:cs="宋体"/>
                <w:szCs w:val="28"/>
                <w:lang w:val="en-US" w:eastAsia="zh-CN"/>
              </w:rPr>
              <w:t>秸秆焚烧及扬尘预警算法及预警推送</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1F0A8796">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项</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02D53B5E">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98</w:t>
            </w:r>
          </w:p>
        </w:tc>
      </w:tr>
    </w:tbl>
    <w:p w14:paraId="1FDB63A6">
      <w:pPr>
        <w:spacing w:line="360" w:lineRule="auto"/>
        <w:jc w:val="left"/>
        <w:rPr>
          <w:rFonts w:hint="eastAsia" w:ascii="宋体" w:hAnsi="宋体" w:eastAsia="宋体" w:cs="宋体"/>
          <w:b/>
          <w:bCs/>
          <w:color w:val="000000" w:themeColor="text1"/>
          <w:sz w:val="24"/>
          <w:szCs w:val="28"/>
          <w:u w:val="none"/>
          <w14:textFill>
            <w14:solidFill>
              <w14:schemeClr w14:val="tx1"/>
            </w14:solidFill>
          </w14:textFill>
        </w:rPr>
      </w:pPr>
      <w:r>
        <w:rPr>
          <w:rFonts w:hint="eastAsia" w:ascii="宋体" w:hAnsi="宋体" w:cs="宋体"/>
          <w:b/>
          <w:bCs/>
          <w:color w:val="000000" w:themeColor="text1"/>
          <w:sz w:val="24"/>
          <w:szCs w:val="28"/>
          <w:u w:val="none"/>
          <w:lang w:val="en-US" w:eastAsia="zh-CN"/>
          <w14:textFill>
            <w14:solidFill>
              <w14:schemeClr w14:val="tx1"/>
            </w14:solidFill>
          </w14:textFill>
        </w:rPr>
        <w:t>5.</w:t>
      </w:r>
      <w:r>
        <w:rPr>
          <w:rFonts w:hint="eastAsia" w:ascii="宋体" w:hAnsi="宋体" w:eastAsia="宋体" w:cs="宋体"/>
          <w:b/>
          <w:bCs/>
          <w:color w:val="000000" w:themeColor="text1"/>
          <w:sz w:val="24"/>
          <w:szCs w:val="28"/>
          <w:u w:val="none"/>
          <w14:textFill>
            <w14:solidFill>
              <w14:schemeClr w14:val="tx1"/>
            </w14:solidFill>
          </w14:textFill>
        </w:rPr>
        <w:t>设备（材料）要求</w:t>
      </w:r>
    </w:p>
    <w:p w14:paraId="08A52E86">
      <w:pPr>
        <w:spacing w:line="360" w:lineRule="auto"/>
        <w:jc w:val="left"/>
        <w:rPr>
          <w:rFonts w:hint="eastAsia" w:ascii="宋体" w:hAnsi="宋体" w:eastAsia="宋体" w:cs="宋体"/>
          <w:b w:val="0"/>
          <w:bCs w:val="0"/>
          <w:color w:val="000000" w:themeColor="text1"/>
          <w:sz w:val="24"/>
          <w:szCs w:val="28"/>
          <w:u w:val="none"/>
          <w14:textFill>
            <w14:solidFill>
              <w14:schemeClr w14:val="tx1"/>
            </w14:solidFill>
          </w14:textFill>
        </w:rPr>
      </w:pPr>
      <w:r>
        <w:rPr>
          <w:rFonts w:hint="eastAsia" w:ascii="宋体" w:hAnsi="宋体" w:eastAsia="宋体" w:cs="宋体"/>
          <w:b w:val="0"/>
          <w:bCs w:val="0"/>
          <w:color w:val="000000" w:themeColor="text1"/>
          <w:sz w:val="24"/>
          <w:szCs w:val="28"/>
          <w:u w:val="none"/>
          <w14:textFill>
            <w14:solidFill>
              <w14:schemeClr w14:val="tx1"/>
            </w14:solidFill>
          </w14:textFill>
        </w:rPr>
        <w:t>（1）投标人投标提供的设备必须是厂商原装的、全新的，型号、性能及指标符合国家及招标文件提出的有关技术、质量、安全标准。</w:t>
      </w:r>
    </w:p>
    <w:p w14:paraId="70CEDF30">
      <w:pPr>
        <w:spacing w:line="360" w:lineRule="auto"/>
        <w:jc w:val="left"/>
        <w:rPr>
          <w:rFonts w:hint="eastAsia" w:ascii="宋体" w:hAnsi="宋体" w:eastAsia="宋体" w:cs="宋体"/>
          <w:b w:val="0"/>
          <w:bCs w:val="0"/>
          <w:color w:val="000000" w:themeColor="text1"/>
          <w:sz w:val="24"/>
          <w:szCs w:val="28"/>
          <w:u w:val="none"/>
          <w14:textFill>
            <w14:solidFill>
              <w14:schemeClr w14:val="tx1"/>
            </w14:solidFill>
          </w14:textFill>
        </w:rPr>
      </w:pPr>
      <w:r>
        <w:rPr>
          <w:rFonts w:hint="eastAsia" w:ascii="宋体" w:hAnsi="宋体" w:eastAsia="宋体" w:cs="宋体"/>
          <w:b w:val="0"/>
          <w:bCs w:val="0"/>
          <w:color w:val="000000" w:themeColor="text1"/>
          <w:sz w:val="24"/>
          <w:szCs w:val="28"/>
          <w:u w:val="none"/>
          <w14:textFill>
            <w14:solidFill>
              <w14:schemeClr w14:val="tx1"/>
            </w14:solidFill>
          </w14:textFill>
        </w:rPr>
        <w:t>（2）所有设备在开箱检验时必须完好，无破损，配置与装箱单相符。数量、质量及性能不低于本需求书中提出的要求。</w:t>
      </w:r>
    </w:p>
    <w:p w14:paraId="4AA00CC2">
      <w:pPr>
        <w:spacing w:line="360" w:lineRule="auto"/>
        <w:jc w:val="left"/>
        <w:rPr>
          <w:rFonts w:hint="eastAsia" w:ascii="宋体" w:hAnsi="宋体" w:eastAsia="宋体" w:cs="宋体"/>
          <w:b w:val="0"/>
          <w:bCs w:val="0"/>
          <w:color w:val="000000" w:themeColor="text1"/>
          <w:sz w:val="24"/>
          <w:szCs w:val="28"/>
          <w:u w:val="none"/>
          <w14:textFill>
            <w14:solidFill>
              <w14:schemeClr w14:val="tx1"/>
            </w14:solidFill>
          </w14:textFill>
        </w:rPr>
      </w:pPr>
      <w:r>
        <w:rPr>
          <w:rFonts w:hint="eastAsia" w:ascii="宋体" w:hAnsi="宋体" w:eastAsia="宋体" w:cs="宋体"/>
          <w:b w:val="0"/>
          <w:bCs w:val="0"/>
          <w:color w:val="000000" w:themeColor="text1"/>
          <w:sz w:val="24"/>
          <w:szCs w:val="28"/>
          <w:u w:val="none"/>
          <w14:textFill>
            <w14:solidFill>
              <w14:schemeClr w14:val="tx1"/>
            </w14:solidFill>
          </w14:textFill>
        </w:rPr>
        <w:t>（3）设备外观清洁，标记编号以及盘面显示等字体清晰，明确。铭牌、使用指示、警告指示应以中文或英文及易懂的通用符号来表示；应准确无误地表明设备之型号、规格、制造厂及生产或出厂日期。</w:t>
      </w:r>
    </w:p>
    <w:p w14:paraId="2876E9BA">
      <w:pPr>
        <w:spacing w:line="360" w:lineRule="auto"/>
        <w:jc w:val="left"/>
        <w:rPr>
          <w:rFonts w:hint="eastAsia" w:ascii="宋体" w:hAnsi="宋体" w:eastAsia="宋体" w:cs="宋体"/>
          <w:b w:val="0"/>
          <w:bCs w:val="0"/>
          <w:color w:val="000000" w:themeColor="text1"/>
          <w:sz w:val="24"/>
          <w:szCs w:val="28"/>
          <w:u w:val="none"/>
          <w14:textFill>
            <w14:solidFill>
              <w14:schemeClr w14:val="tx1"/>
            </w14:solidFill>
          </w14:textFill>
        </w:rPr>
      </w:pPr>
      <w:r>
        <w:rPr>
          <w:rFonts w:hint="eastAsia" w:ascii="宋体" w:hAnsi="宋体" w:eastAsia="宋体" w:cs="宋体"/>
          <w:b w:val="0"/>
          <w:bCs w:val="0"/>
          <w:color w:val="000000" w:themeColor="text1"/>
          <w:sz w:val="24"/>
          <w:szCs w:val="28"/>
          <w:u w:val="none"/>
          <w14:textFill>
            <w14:solidFill>
              <w14:schemeClr w14:val="tx1"/>
            </w14:solidFill>
          </w14:textFill>
        </w:rPr>
        <w:t>（4）对于影响设备正常工作的必要组成部分，无论在技术规范中指出与否，投标人都应提供并在投标文件中明确列出。</w:t>
      </w:r>
    </w:p>
    <w:p w14:paraId="05447BBD">
      <w:pPr>
        <w:spacing w:line="360" w:lineRule="auto"/>
        <w:jc w:val="left"/>
        <w:rPr>
          <w:rFonts w:hint="eastAsia" w:ascii="宋体" w:hAnsi="宋体" w:eastAsia="宋体" w:cs="宋体"/>
          <w:b w:val="0"/>
          <w:bCs w:val="0"/>
          <w:color w:val="000000" w:themeColor="text1"/>
          <w:sz w:val="24"/>
          <w:szCs w:val="28"/>
          <w:u w:val="none"/>
          <w14:textFill>
            <w14:solidFill>
              <w14:schemeClr w14:val="tx1"/>
            </w14:solidFill>
          </w14:textFill>
        </w:rPr>
      </w:pPr>
      <w:r>
        <w:rPr>
          <w:rFonts w:hint="eastAsia" w:ascii="宋体" w:hAnsi="宋体" w:eastAsia="宋体" w:cs="宋体"/>
          <w:b w:val="0"/>
          <w:bCs w:val="0"/>
          <w:color w:val="000000" w:themeColor="text1"/>
          <w:sz w:val="24"/>
          <w:szCs w:val="28"/>
          <w:u w:val="none"/>
          <w14:textFill>
            <w14:solidFill>
              <w14:schemeClr w14:val="tx1"/>
            </w14:solidFill>
          </w14:textFill>
        </w:rPr>
        <w:t>（5）所有货物提供出厂合格证等质量证明文件，国外生产的必须有合法的进货渠道证明，如海关报关单、原产地证明、商检证明等。</w:t>
      </w:r>
    </w:p>
    <w:p w14:paraId="470AE881">
      <w:pPr>
        <w:spacing w:line="360" w:lineRule="auto"/>
        <w:jc w:val="left"/>
        <w:rPr>
          <w:rFonts w:hint="eastAsia" w:eastAsia="宋体"/>
          <w:u w:val="none"/>
          <w:lang w:eastAsia="zh-CN"/>
        </w:rPr>
      </w:pPr>
      <w:r>
        <w:rPr>
          <w:rFonts w:hint="eastAsia" w:ascii="宋体" w:hAnsi="宋体" w:eastAsia="宋体" w:cs="宋体"/>
          <w:b w:val="0"/>
          <w:bCs w:val="0"/>
          <w:color w:val="000000" w:themeColor="text1"/>
          <w:sz w:val="24"/>
          <w:szCs w:val="28"/>
          <w:u w:val="none"/>
          <w14:textFill>
            <w14:solidFill>
              <w14:schemeClr w14:val="tx1"/>
            </w14:solidFill>
          </w14:textFill>
        </w:rPr>
        <w:t>（6）所有货物（如管芯）到现场安装使用前，招标人将进行抽样检验或试验。</w:t>
      </w:r>
    </w:p>
    <w:p w14:paraId="300104C2">
      <w:pPr>
        <w:pStyle w:val="8"/>
        <w:spacing w:before="0" w:after="0" w:line="500" w:lineRule="exact"/>
        <w:rPr>
          <w:rFonts w:ascii="宋体" w:hAnsi="宋体" w:eastAsia="宋体" w:cs="宋体"/>
          <w:sz w:val="24"/>
        </w:rPr>
      </w:pPr>
      <w:r>
        <w:rPr>
          <w:rFonts w:hint="eastAsia" w:ascii="宋体" w:hAnsi="宋体" w:eastAsia="宋体" w:cs="宋体"/>
          <w:sz w:val="24"/>
          <w:lang w:val="en-US" w:eastAsia="zh-CN"/>
        </w:rPr>
        <w:t>6</w:t>
      </w:r>
      <w:r>
        <w:rPr>
          <w:rFonts w:ascii="宋体" w:hAnsi="宋体" w:eastAsia="宋体" w:cs="宋体"/>
          <w:sz w:val="24"/>
        </w:rPr>
        <w:t>.</w:t>
      </w:r>
      <w:r>
        <w:rPr>
          <w:rFonts w:hint="eastAsia" w:ascii="宋体" w:hAnsi="宋体" w:eastAsia="宋体" w:cs="宋体"/>
          <w:sz w:val="24"/>
        </w:rPr>
        <w:t>安装及调试</w:t>
      </w:r>
    </w:p>
    <w:p w14:paraId="21D40189">
      <w:pPr>
        <w:spacing w:line="360" w:lineRule="auto"/>
        <w:jc w:val="left"/>
        <w:rPr>
          <w:rFonts w:ascii="宋体" w:hAnsi="宋体" w:cs="宋体"/>
          <w:b w:val="0"/>
          <w:bCs w:val="0"/>
          <w:color w:val="000000" w:themeColor="text1"/>
          <w:sz w:val="24"/>
          <w:szCs w:val="28"/>
          <w:u w:val="none"/>
          <w14:textFill>
            <w14:solidFill>
              <w14:schemeClr w14:val="tx1"/>
            </w14:solidFill>
          </w14:textFill>
        </w:rPr>
      </w:pPr>
      <w:r>
        <w:rPr>
          <w:rFonts w:hint="eastAsia" w:ascii="宋体" w:hAnsi="宋体" w:cs="宋体"/>
          <w:b w:val="0"/>
          <w:bCs w:val="0"/>
          <w:color w:val="000000" w:themeColor="text1"/>
          <w:sz w:val="24"/>
          <w:szCs w:val="28"/>
          <w:u w:val="none"/>
          <w14:textFill>
            <w14:solidFill>
              <w14:schemeClr w14:val="tx1"/>
            </w14:solidFill>
          </w14:textFill>
        </w:rPr>
        <w:t>（1）中标人应派经招标人认可的有经验和能力、具有相应资质的技术人员，负责系统设备安装工作，在设备安装期间应充分了解设备安装进度要求，解决安装中出现的技术问题。</w:t>
      </w:r>
    </w:p>
    <w:p w14:paraId="4D5DAA88">
      <w:pPr>
        <w:spacing w:line="360" w:lineRule="auto"/>
        <w:jc w:val="left"/>
        <w:rPr>
          <w:rFonts w:ascii="宋体" w:hAnsi="宋体" w:cs="宋体"/>
          <w:b w:val="0"/>
          <w:bCs w:val="0"/>
          <w:color w:val="000000" w:themeColor="text1"/>
          <w:sz w:val="24"/>
          <w:szCs w:val="28"/>
          <w:u w:val="none"/>
          <w14:textFill>
            <w14:solidFill>
              <w14:schemeClr w14:val="tx1"/>
            </w14:solidFill>
          </w14:textFill>
        </w:rPr>
      </w:pPr>
      <w:r>
        <w:rPr>
          <w:rFonts w:hint="eastAsia" w:ascii="宋体" w:hAnsi="宋体" w:cs="宋体"/>
          <w:b w:val="0"/>
          <w:bCs w:val="0"/>
          <w:color w:val="000000" w:themeColor="text1"/>
          <w:sz w:val="24"/>
          <w:szCs w:val="28"/>
          <w:u w:val="none"/>
          <w14:textFill>
            <w14:solidFill>
              <w14:schemeClr w14:val="tx1"/>
            </w14:solidFill>
          </w14:textFill>
        </w:rPr>
        <w:t>（2）中标人负责设备的安装、调试。</w:t>
      </w:r>
    </w:p>
    <w:p w14:paraId="3097B956">
      <w:pPr>
        <w:spacing w:line="360" w:lineRule="auto"/>
        <w:jc w:val="left"/>
        <w:rPr>
          <w:rFonts w:ascii="宋体" w:hAnsi="宋体" w:cs="宋体"/>
          <w:b w:val="0"/>
          <w:bCs w:val="0"/>
          <w:color w:val="000000" w:themeColor="text1"/>
          <w:sz w:val="24"/>
          <w:szCs w:val="28"/>
          <w:u w:val="none"/>
          <w14:textFill>
            <w14:solidFill>
              <w14:schemeClr w14:val="tx1"/>
            </w14:solidFill>
          </w14:textFill>
        </w:rPr>
      </w:pPr>
      <w:r>
        <w:rPr>
          <w:rFonts w:hint="eastAsia" w:ascii="宋体" w:hAnsi="宋体" w:cs="宋体"/>
          <w:b w:val="0"/>
          <w:bCs w:val="0"/>
          <w:color w:val="000000" w:themeColor="text1"/>
          <w:sz w:val="24"/>
          <w:szCs w:val="28"/>
          <w:u w:val="none"/>
          <w14:textFill>
            <w14:solidFill>
              <w14:schemeClr w14:val="tx1"/>
            </w14:solidFill>
          </w14:textFill>
        </w:rPr>
        <w:t>（3）调试所需专用工具设施物料由中标人自备、自费运到现场，完工后自费搬走。</w:t>
      </w:r>
    </w:p>
    <w:p w14:paraId="4789DCFD">
      <w:pPr>
        <w:spacing w:line="360" w:lineRule="auto"/>
        <w:jc w:val="left"/>
        <w:rPr>
          <w:rFonts w:ascii="宋体" w:hAnsi="宋体" w:cs="宋体"/>
          <w:b w:val="0"/>
          <w:bCs w:val="0"/>
          <w:color w:val="000000" w:themeColor="text1"/>
          <w:sz w:val="24"/>
          <w:szCs w:val="28"/>
          <w:u w:val="none"/>
          <w14:textFill>
            <w14:solidFill>
              <w14:schemeClr w14:val="tx1"/>
            </w14:solidFill>
          </w14:textFill>
        </w:rPr>
      </w:pPr>
      <w:r>
        <w:rPr>
          <w:rFonts w:hint="eastAsia" w:ascii="宋体" w:hAnsi="宋体" w:cs="宋体"/>
          <w:b w:val="0"/>
          <w:bCs w:val="0"/>
          <w:color w:val="000000" w:themeColor="text1"/>
          <w:sz w:val="24"/>
          <w:szCs w:val="28"/>
          <w:u w:val="none"/>
          <w14:textFill>
            <w14:solidFill>
              <w14:schemeClr w14:val="tx1"/>
            </w14:solidFill>
          </w14:textFill>
        </w:rPr>
        <w:t>（4）安装完成后，进行调试、验收按国家有关规范标准（国家无验收规范标准的按双方合同规定的要求）进行。</w:t>
      </w:r>
    </w:p>
    <w:p w14:paraId="01EF2F73">
      <w:pPr>
        <w:spacing w:line="360" w:lineRule="auto"/>
        <w:jc w:val="left"/>
        <w:rPr>
          <w:rFonts w:ascii="宋体" w:hAnsi="宋体" w:cs="宋体"/>
          <w:b w:val="0"/>
          <w:bCs w:val="0"/>
          <w:color w:val="000000" w:themeColor="text1"/>
          <w:sz w:val="24"/>
          <w:szCs w:val="28"/>
          <w:u w:val="none"/>
          <w14:textFill>
            <w14:solidFill>
              <w14:schemeClr w14:val="tx1"/>
            </w14:solidFill>
          </w14:textFill>
        </w:rPr>
      </w:pPr>
      <w:r>
        <w:rPr>
          <w:rFonts w:hint="eastAsia" w:ascii="宋体" w:hAnsi="宋体" w:cs="宋体"/>
          <w:b w:val="0"/>
          <w:bCs w:val="0"/>
          <w:color w:val="000000" w:themeColor="text1"/>
          <w:sz w:val="24"/>
          <w:szCs w:val="28"/>
          <w:u w:val="none"/>
          <w14:textFill>
            <w14:solidFill>
              <w14:schemeClr w14:val="tx1"/>
            </w14:solidFill>
          </w14:textFill>
        </w:rPr>
        <w:t>（5）设备的拆箱、通电、调试等各项工作由中标人负责，但必须在招标人指定人员的参与下进行。在实际实施前必须先经招标人同意方可进行。调试的原始记录须经各方签字后作为验收的文件之一。</w:t>
      </w:r>
    </w:p>
    <w:p w14:paraId="0C3597A2">
      <w:pPr>
        <w:spacing w:line="360" w:lineRule="auto"/>
        <w:jc w:val="left"/>
        <w:rPr>
          <w:rFonts w:ascii="宋体" w:hAnsi="宋体" w:cs="宋体"/>
          <w:b w:val="0"/>
          <w:bCs w:val="0"/>
          <w:color w:val="000000" w:themeColor="text1"/>
          <w:sz w:val="24"/>
          <w:szCs w:val="28"/>
          <w:u w:val="none"/>
          <w14:textFill>
            <w14:solidFill>
              <w14:schemeClr w14:val="tx1"/>
            </w14:solidFill>
          </w14:textFill>
        </w:rPr>
      </w:pPr>
      <w:r>
        <w:rPr>
          <w:rFonts w:hint="eastAsia" w:ascii="宋体" w:hAnsi="宋体" w:cs="宋体"/>
          <w:b w:val="0"/>
          <w:bCs w:val="0"/>
          <w:color w:val="000000" w:themeColor="text1"/>
          <w:sz w:val="24"/>
          <w:szCs w:val="28"/>
          <w:u w:val="none"/>
          <w14:textFill>
            <w14:solidFill>
              <w14:schemeClr w14:val="tx1"/>
            </w14:solidFill>
          </w14:textFill>
        </w:rPr>
        <w:t>（6）所有的招标设备应按照国家有关技术标准在制造厂检查和试验合格，以表明其运行性能、安全性能以及设备材料和结构在电气、机械上的完整性。</w:t>
      </w:r>
    </w:p>
    <w:p w14:paraId="5C27CAD4">
      <w:pPr>
        <w:spacing w:line="360" w:lineRule="auto"/>
        <w:jc w:val="left"/>
        <w:rPr>
          <w:rFonts w:ascii="宋体" w:hAnsi="宋体" w:cs="宋体"/>
          <w:b w:val="0"/>
          <w:bCs w:val="0"/>
          <w:color w:val="000000" w:themeColor="text1"/>
          <w:sz w:val="24"/>
          <w:szCs w:val="28"/>
          <w:u w:val="none"/>
          <w14:textFill>
            <w14:solidFill>
              <w14:schemeClr w14:val="tx1"/>
            </w14:solidFill>
          </w14:textFill>
        </w:rPr>
      </w:pPr>
      <w:r>
        <w:rPr>
          <w:rFonts w:ascii="宋体" w:hAnsi="宋体" w:cs="宋体"/>
          <w:b w:val="0"/>
          <w:bCs w:val="0"/>
          <w:color w:val="000000" w:themeColor="text1"/>
          <w:sz w:val="24"/>
          <w:szCs w:val="28"/>
          <w:u w:val="none"/>
          <w14:textFill>
            <w14:solidFill>
              <w14:schemeClr w14:val="tx1"/>
            </w14:solidFill>
          </w14:textFill>
        </w:rPr>
        <w:t>（</w:t>
      </w:r>
      <w:r>
        <w:rPr>
          <w:rFonts w:hint="eastAsia" w:ascii="宋体" w:hAnsi="宋体" w:cs="宋体"/>
          <w:b w:val="0"/>
          <w:bCs w:val="0"/>
          <w:color w:val="000000" w:themeColor="text1"/>
          <w:sz w:val="24"/>
          <w:szCs w:val="28"/>
          <w:u w:val="none"/>
          <w14:textFill>
            <w14:solidFill>
              <w14:schemeClr w14:val="tx1"/>
            </w14:solidFill>
          </w14:textFill>
        </w:rPr>
        <w:t>7</w:t>
      </w:r>
      <w:r>
        <w:rPr>
          <w:rFonts w:ascii="宋体" w:hAnsi="宋体" w:cs="宋体"/>
          <w:b w:val="0"/>
          <w:bCs w:val="0"/>
          <w:color w:val="000000" w:themeColor="text1"/>
          <w:sz w:val="24"/>
          <w:szCs w:val="28"/>
          <w:u w:val="none"/>
          <w14:textFill>
            <w14:solidFill>
              <w14:schemeClr w14:val="tx1"/>
            </w14:solidFill>
          </w14:textFill>
        </w:rPr>
        <w:t>）保密要求</w:t>
      </w:r>
      <w:r>
        <w:rPr>
          <w:rFonts w:hint="eastAsia" w:ascii="宋体" w:hAnsi="宋体" w:cs="宋体"/>
          <w:b w:val="0"/>
          <w:bCs w:val="0"/>
          <w:color w:val="000000" w:themeColor="text1"/>
          <w:sz w:val="24"/>
          <w:szCs w:val="28"/>
          <w:u w:val="none"/>
          <w14:textFill>
            <w14:solidFill>
              <w14:schemeClr w14:val="tx1"/>
            </w14:solidFill>
          </w14:textFill>
        </w:rPr>
        <w:t>。</w:t>
      </w:r>
      <w:r>
        <w:rPr>
          <w:rFonts w:ascii="宋体" w:hAnsi="宋体" w:cs="宋体"/>
          <w:b w:val="0"/>
          <w:bCs w:val="0"/>
          <w:color w:val="000000" w:themeColor="text1"/>
          <w:sz w:val="24"/>
          <w:szCs w:val="28"/>
          <w:u w:val="none"/>
          <w14:textFill>
            <w14:solidFill>
              <w14:schemeClr w14:val="tx1"/>
            </w14:solidFill>
          </w14:textFill>
        </w:rPr>
        <w:t>中标人应对招标、实施、运行、维护等过程中数据和信息安全负保密责任，并在信息系统中采取保密措施，因此造成的不良影响和损失，应承担相应责任。</w:t>
      </w:r>
    </w:p>
    <w:p w14:paraId="775B12D4">
      <w:pPr>
        <w:pStyle w:val="8"/>
        <w:spacing w:before="0" w:after="0" w:line="500" w:lineRule="exact"/>
        <w:rPr>
          <w:rFonts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技术培训</w:t>
      </w:r>
    </w:p>
    <w:p w14:paraId="42A5D99C">
      <w:pPr>
        <w:pStyle w:val="87"/>
        <w:spacing w:line="500" w:lineRule="exact"/>
        <w:ind w:left="0" w:leftChars="0" w:firstLine="0" w:firstLineChars="0"/>
        <w:rPr>
          <w:rFonts w:eastAsia="宋体" w:cs="宋体"/>
          <w:szCs w:val="28"/>
          <w:highlight w:val="none"/>
        </w:rPr>
      </w:pPr>
      <w:r>
        <w:rPr>
          <w:rFonts w:hint="eastAsia" w:ascii="宋体" w:hAnsi="宋体" w:cs="宋体"/>
          <w:b w:val="0"/>
          <w:bCs w:val="0"/>
          <w:color w:val="000000" w:themeColor="text1"/>
          <w:sz w:val="24"/>
          <w:szCs w:val="28"/>
          <w:u w:val="none"/>
          <w14:textFill>
            <w14:solidFill>
              <w14:schemeClr w14:val="tx1"/>
            </w14:solidFill>
          </w14:textFill>
        </w:rPr>
        <w:t>（1）</w:t>
      </w:r>
      <w:r>
        <w:rPr>
          <w:rFonts w:hint="eastAsia" w:eastAsia="宋体" w:cs="宋体"/>
          <w:szCs w:val="28"/>
          <w:highlight w:val="none"/>
        </w:rPr>
        <w:t>中标人须对招标人的技术人员培训。投标人须在投标文件中提供详细的培训计划，包括培训内容、培训时间、培训费用等。</w:t>
      </w:r>
    </w:p>
    <w:p w14:paraId="50621F52">
      <w:pPr>
        <w:pStyle w:val="87"/>
        <w:spacing w:line="500" w:lineRule="exact"/>
        <w:ind w:left="0" w:leftChars="0" w:firstLine="0" w:firstLineChars="0"/>
        <w:rPr>
          <w:rFonts w:eastAsia="宋体" w:cs="宋体"/>
          <w:szCs w:val="28"/>
          <w:highlight w:val="none"/>
        </w:rPr>
      </w:pPr>
      <w:r>
        <w:rPr>
          <w:rFonts w:hint="eastAsia" w:ascii="宋体" w:hAnsi="宋体" w:cs="宋体"/>
          <w:b w:val="0"/>
          <w:bCs w:val="0"/>
          <w:color w:val="000000" w:themeColor="text1"/>
          <w:sz w:val="24"/>
          <w:szCs w:val="28"/>
          <w:u w:val="none"/>
          <w14:textFill>
            <w14:solidFill>
              <w14:schemeClr w14:val="tx1"/>
            </w14:solidFill>
          </w14:textFill>
        </w:rPr>
        <w:t>（</w:t>
      </w:r>
      <w:r>
        <w:rPr>
          <w:rFonts w:hint="eastAsia" w:cs="宋体"/>
          <w:b w:val="0"/>
          <w:bCs w:val="0"/>
          <w:color w:val="000000" w:themeColor="text1"/>
          <w:sz w:val="24"/>
          <w:szCs w:val="28"/>
          <w:u w:val="none"/>
          <w:lang w:val="en-US" w:eastAsia="zh-CN"/>
          <w14:textFill>
            <w14:solidFill>
              <w14:schemeClr w14:val="tx1"/>
            </w14:solidFill>
          </w14:textFill>
        </w:rPr>
        <w:t>2</w:t>
      </w:r>
      <w:r>
        <w:rPr>
          <w:rFonts w:hint="eastAsia" w:ascii="宋体" w:hAnsi="宋体" w:cs="宋体"/>
          <w:b w:val="0"/>
          <w:bCs w:val="0"/>
          <w:color w:val="000000" w:themeColor="text1"/>
          <w:sz w:val="24"/>
          <w:szCs w:val="28"/>
          <w:u w:val="none"/>
          <w14:textFill>
            <w14:solidFill>
              <w14:schemeClr w14:val="tx1"/>
            </w14:solidFill>
          </w14:textFill>
        </w:rPr>
        <w:t>）</w:t>
      </w:r>
      <w:r>
        <w:rPr>
          <w:rFonts w:hint="eastAsia" w:eastAsia="宋体" w:cs="宋体"/>
          <w:szCs w:val="28"/>
          <w:highlight w:val="none"/>
        </w:rPr>
        <w:t>中标人提供的负责培训的人员应具备同类设备五年以上的经验。</w:t>
      </w:r>
    </w:p>
    <w:p w14:paraId="0198EE19">
      <w:pPr>
        <w:pStyle w:val="87"/>
        <w:spacing w:line="500" w:lineRule="exact"/>
        <w:ind w:left="0" w:leftChars="0" w:firstLine="0" w:firstLineChars="0"/>
        <w:rPr>
          <w:rFonts w:hint="eastAsia" w:eastAsia="宋体" w:cs="宋体"/>
          <w:szCs w:val="28"/>
          <w:highlight w:val="none"/>
        </w:rPr>
      </w:pPr>
      <w:r>
        <w:rPr>
          <w:rFonts w:hint="eastAsia" w:ascii="宋体" w:hAnsi="宋体" w:cs="宋体"/>
          <w:b w:val="0"/>
          <w:bCs w:val="0"/>
          <w:color w:val="000000" w:themeColor="text1"/>
          <w:sz w:val="24"/>
          <w:szCs w:val="28"/>
          <w:u w:val="none"/>
          <w14:textFill>
            <w14:solidFill>
              <w14:schemeClr w14:val="tx1"/>
            </w14:solidFill>
          </w14:textFill>
        </w:rPr>
        <w:t>（</w:t>
      </w:r>
      <w:r>
        <w:rPr>
          <w:rFonts w:hint="eastAsia" w:cs="宋体"/>
          <w:b w:val="0"/>
          <w:bCs w:val="0"/>
          <w:color w:val="000000" w:themeColor="text1"/>
          <w:sz w:val="24"/>
          <w:szCs w:val="28"/>
          <w:u w:val="none"/>
          <w:lang w:val="en-US" w:eastAsia="zh-CN"/>
          <w14:textFill>
            <w14:solidFill>
              <w14:schemeClr w14:val="tx1"/>
            </w14:solidFill>
          </w14:textFill>
        </w:rPr>
        <w:t>3</w:t>
      </w:r>
      <w:r>
        <w:rPr>
          <w:rFonts w:hint="eastAsia" w:ascii="宋体" w:hAnsi="宋体" w:cs="宋体"/>
          <w:b w:val="0"/>
          <w:bCs w:val="0"/>
          <w:color w:val="000000" w:themeColor="text1"/>
          <w:sz w:val="24"/>
          <w:szCs w:val="28"/>
          <w:u w:val="none"/>
          <w14:textFill>
            <w14:solidFill>
              <w14:schemeClr w14:val="tx1"/>
            </w14:solidFill>
          </w14:textFill>
        </w:rPr>
        <w:t>）</w:t>
      </w:r>
      <w:r>
        <w:rPr>
          <w:rFonts w:hint="eastAsia" w:eastAsia="宋体" w:cs="宋体"/>
          <w:szCs w:val="28"/>
          <w:highlight w:val="none"/>
        </w:rPr>
        <w:t>技术培训费用应包含在投标总价中。</w:t>
      </w:r>
    </w:p>
    <w:p w14:paraId="1F6E7505">
      <w:pPr>
        <w:pStyle w:val="87"/>
        <w:spacing w:line="500" w:lineRule="exact"/>
        <w:ind w:left="0" w:leftChars="0" w:firstLine="0" w:firstLineChars="0"/>
        <w:rPr>
          <w:rFonts w:eastAsia="宋体" w:cs="宋体"/>
          <w:szCs w:val="28"/>
          <w:highlight w:val="none"/>
        </w:rPr>
      </w:pPr>
      <w:r>
        <w:rPr>
          <w:rFonts w:hint="eastAsia" w:cs="宋体"/>
          <w:szCs w:val="28"/>
          <w:highlight w:val="none"/>
          <w:lang w:eastAsia="zh-CN"/>
        </w:rPr>
        <w:t>（</w:t>
      </w:r>
      <w:r>
        <w:rPr>
          <w:rFonts w:hint="eastAsia" w:cs="宋体"/>
          <w:szCs w:val="28"/>
          <w:highlight w:val="none"/>
          <w:lang w:val="en-US" w:eastAsia="zh-CN"/>
        </w:rPr>
        <w:t>4</w:t>
      </w:r>
      <w:r>
        <w:rPr>
          <w:rFonts w:hint="eastAsia" w:cs="宋体"/>
          <w:szCs w:val="28"/>
          <w:highlight w:val="none"/>
          <w:lang w:eastAsia="zh-CN"/>
        </w:rPr>
        <w:t>）</w:t>
      </w:r>
      <w:r>
        <w:rPr>
          <w:rFonts w:hint="eastAsia" w:eastAsia="宋体" w:cs="宋体"/>
          <w:szCs w:val="28"/>
          <w:highlight w:val="none"/>
        </w:rPr>
        <w:t>技术培训至少应包括下列内容：</w:t>
      </w:r>
    </w:p>
    <w:p w14:paraId="59B12163">
      <w:pPr>
        <w:pStyle w:val="87"/>
        <w:spacing w:line="500" w:lineRule="exact"/>
        <w:rPr>
          <w:rFonts w:eastAsia="宋体" w:cs="宋体"/>
          <w:szCs w:val="28"/>
          <w:highlight w:val="none"/>
        </w:rPr>
      </w:pPr>
      <w:r>
        <w:rPr>
          <w:rFonts w:hint="eastAsia" w:eastAsia="宋体" w:cs="宋体"/>
          <w:szCs w:val="28"/>
          <w:highlight w:val="none"/>
        </w:rPr>
        <w:t>原理、构成和功能的描述。</w:t>
      </w:r>
    </w:p>
    <w:p w14:paraId="195C3BDB">
      <w:pPr>
        <w:pStyle w:val="87"/>
        <w:spacing w:line="500" w:lineRule="exact"/>
        <w:rPr>
          <w:rFonts w:eastAsia="宋体" w:cs="宋体"/>
          <w:szCs w:val="28"/>
          <w:highlight w:val="none"/>
        </w:rPr>
      </w:pPr>
      <w:r>
        <w:rPr>
          <w:rFonts w:hint="eastAsia" w:eastAsia="宋体" w:cs="宋体"/>
          <w:szCs w:val="28"/>
          <w:highlight w:val="none"/>
        </w:rPr>
        <w:t>常见故障的处理或排除。</w:t>
      </w:r>
    </w:p>
    <w:p w14:paraId="2748CC97">
      <w:pPr>
        <w:pStyle w:val="87"/>
        <w:spacing w:line="500" w:lineRule="exact"/>
        <w:rPr>
          <w:rFonts w:eastAsia="宋体" w:cs="宋体"/>
          <w:szCs w:val="28"/>
          <w:highlight w:val="none"/>
        </w:rPr>
      </w:pPr>
      <w:r>
        <w:rPr>
          <w:rFonts w:hint="eastAsia" w:eastAsia="宋体" w:cs="宋体"/>
          <w:szCs w:val="28"/>
          <w:highlight w:val="none"/>
        </w:rPr>
        <w:t>各系统部件（设备）的检查、调整和维护。</w:t>
      </w:r>
    </w:p>
    <w:p w14:paraId="3FEF73F0">
      <w:pPr>
        <w:pStyle w:val="87"/>
        <w:spacing w:line="500" w:lineRule="exact"/>
        <w:rPr>
          <w:rFonts w:eastAsia="宋体" w:cs="宋体"/>
          <w:szCs w:val="28"/>
          <w:highlight w:val="none"/>
        </w:rPr>
      </w:pPr>
      <w:r>
        <w:rPr>
          <w:rFonts w:hint="eastAsia" w:eastAsia="宋体" w:cs="宋体"/>
          <w:szCs w:val="28"/>
          <w:highlight w:val="none"/>
        </w:rPr>
        <w:t>对使用者关于设备基本操作技能的培训。</w:t>
      </w:r>
    </w:p>
    <w:p w14:paraId="129BF403">
      <w:pPr>
        <w:pStyle w:val="8"/>
        <w:spacing w:before="0" w:after="0" w:line="500" w:lineRule="exact"/>
        <w:rPr>
          <w:rFonts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服务要求</w:t>
      </w:r>
    </w:p>
    <w:p w14:paraId="0135BCEF">
      <w:pPr>
        <w:pStyle w:val="87"/>
        <w:spacing w:line="500" w:lineRule="exact"/>
        <w:ind w:left="0" w:leftChars="0" w:firstLine="240" w:firstLineChars="100"/>
        <w:rPr>
          <w:rFonts w:eastAsia="宋体" w:cs="宋体"/>
          <w:szCs w:val="28"/>
          <w:highlight w:val="none"/>
        </w:rPr>
      </w:pPr>
      <w:r>
        <w:rPr>
          <w:rFonts w:hint="eastAsia" w:ascii="Calibri" w:hAnsi="Calibri" w:cs="Calibri"/>
          <w:szCs w:val="28"/>
          <w:highlight w:val="none"/>
          <w:lang w:eastAsia="zh-CN"/>
        </w:rPr>
        <w:t>（</w:t>
      </w:r>
      <w:r>
        <w:rPr>
          <w:rFonts w:hint="eastAsia" w:ascii="Calibri" w:hAnsi="Calibri" w:cs="Calibri"/>
          <w:szCs w:val="28"/>
          <w:highlight w:val="none"/>
          <w:lang w:val="en-US" w:eastAsia="zh-CN"/>
        </w:rPr>
        <w:t>1</w:t>
      </w:r>
      <w:r>
        <w:rPr>
          <w:rFonts w:hint="eastAsia" w:ascii="Calibri" w:hAnsi="Calibri" w:cs="Calibri"/>
          <w:szCs w:val="28"/>
          <w:highlight w:val="none"/>
          <w:lang w:eastAsia="zh-CN"/>
        </w:rPr>
        <w:t>）</w:t>
      </w:r>
      <w:r>
        <w:rPr>
          <w:rFonts w:hint="eastAsia" w:eastAsia="宋体" w:cs="宋体"/>
          <w:szCs w:val="28"/>
          <w:highlight w:val="none"/>
        </w:rPr>
        <w:t>设备包修期内，如出现故障，中标人在接到电话4小时内到达采购人指定地点，</w:t>
      </w:r>
    </w:p>
    <w:p w14:paraId="4A95350C">
      <w:pPr>
        <w:pStyle w:val="87"/>
        <w:spacing w:line="500" w:lineRule="exact"/>
        <w:ind w:left="0" w:leftChars="0" w:firstLine="240" w:firstLineChars="100"/>
        <w:rPr>
          <w:rFonts w:eastAsia="宋体" w:cs="宋体"/>
          <w:szCs w:val="28"/>
          <w:highlight w:val="none"/>
        </w:rPr>
      </w:pPr>
      <w:r>
        <w:rPr>
          <w:rFonts w:hint="eastAsia" w:ascii="Calibri" w:hAnsi="Calibri" w:cs="Calibri"/>
          <w:szCs w:val="28"/>
          <w:highlight w:val="none"/>
          <w:lang w:eastAsia="zh-CN"/>
        </w:rPr>
        <w:t>（</w:t>
      </w:r>
      <w:r>
        <w:rPr>
          <w:rFonts w:hint="eastAsia" w:ascii="Calibri" w:hAnsi="Calibri" w:cs="Calibri"/>
          <w:szCs w:val="28"/>
          <w:highlight w:val="none"/>
          <w:lang w:val="en-US" w:eastAsia="zh-CN"/>
        </w:rPr>
        <w:t>2</w:t>
      </w:r>
      <w:r>
        <w:rPr>
          <w:rFonts w:hint="eastAsia" w:ascii="Calibri" w:hAnsi="Calibri" w:cs="Calibri"/>
          <w:szCs w:val="28"/>
          <w:highlight w:val="none"/>
          <w:lang w:eastAsia="zh-CN"/>
        </w:rPr>
        <w:t>）</w:t>
      </w:r>
      <w:r>
        <w:rPr>
          <w:rFonts w:hint="eastAsia" w:eastAsia="宋体" w:cs="宋体"/>
          <w:szCs w:val="28"/>
          <w:highlight w:val="none"/>
        </w:rPr>
        <w:t>中标人提供的设备，必须符合招标文件及其投标文件规定的要求，如有不符，采购人可以无条件退货，造成的损失由中标人承担。</w:t>
      </w:r>
    </w:p>
    <w:p w14:paraId="5AA3A3CE">
      <w:pPr>
        <w:pStyle w:val="87"/>
        <w:spacing w:line="500" w:lineRule="exact"/>
        <w:ind w:left="0" w:leftChars="0" w:firstLine="240" w:firstLineChars="100"/>
        <w:rPr>
          <w:rFonts w:hint="eastAsia" w:eastAsia="宋体" w:cs="宋体"/>
          <w:szCs w:val="28"/>
          <w:highlight w:val="none"/>
        </w:rPr>
      </w:pPr>
      <w:r>
        <w:rPr>
          <w:rFonts w:hint="eastAsia" w:ascii="Calibri" w:hAnsi="Calibri" w:cs="Calibri"/>
          <w:szCs w:val="28"/>
          <w:highlight w:val="none"/>
          <w:lang w:eastAsia="zh-CN"/>
        </w:rPr>
        <w:t>（</w:t>
      </w:r>
      <w:r>
        <w:rPr>
          <w:rFonts w:hint="eastAsia" w:ascii="Calibri" w:hAnsi="Calibri" w:cs="Calibri"/>
          <w:szCs w:val="28"/>
          <w:highlight w:val="none"/>
          <w:lang w:val="en-US" w:eastAsia="zh-CN"/>
        </w:rPr>
        <w:t>3</w:t>
      </w:r>
      <w:r>
        <w:rPr>
          <w:rFonts w:hint="eastAsia" w:ascii="Calibri" w:hAnsi="Calibri" w:cs="Calibri"/>
          <w:szCs w:val="28"/>
          <w:highlight w:val="none"/>
          <w:lang w:eastAsia="zh-CN"/>
        </w:rPr>
        <w:t>）</w:t>
      </w:r>
      <w:r>
        <w:rPr>
          <w:rFonts w:hint="eastAsia" w:eastAsia="宋体" w:cs="宋体"/>
          <w:szCs w:val="28"/>
          <w:highlight w:val="none"/>
        </w:rPr>
        <w:t>中标人、供货人名称必须一致，否则作违约处理。</w:t>
      </w:r>
    </w:p>
    <w:p w14:paraId="6DC58FB4">
      <w:pPr>
        <w:pStyle w:val="87"/>
        <w:spacing w:line="500" w:lineRule="exact"/>
        <w:ind w:left="0" w:leftChars="0" w:firstLine="240" w:firstLineChars="100"/>
        <w:rPr>
          <w:rFonts w:hint="eastAsia" w:ascii="宋体" w:hAnsi="宋体" w:eastAsia="宋体" w:cs="宋体"/>
          <w:b w:val="0"/>
          <w:bCs w:val="0"/>
          <w:kern w:val="0"/>
          <w:sz w:val="24"/>
          <w:szCs w:val="28"/>
          <w:highlight w:val="none"/>
          <w:lang w:val="en-US" w:eastAsia="zh-CN" w:bidi="ar-SA"/>
        </w:rPr>
      </w:pPr>
      <w:r>
        <w:rPr>
          <w:rFonts w:hint="eastAsia" w:cs="宋体"/>
          <w:szCs w:val="28"/>
          <w:highlight w:val="none"/>
          <w:lang w:eastAsia="zh-CN"/>
        </w:rPr>
        <w:t>（</w:t>
      </w:r>
      <w:r>
        <w:rPr>
          <w:rFonts w:hint="eastAsia" w:cs="宋体"/>
          <w:szCs w:val="28"/>
          <w:highlight w:val="none"/>
          <w:lang w:val="en-US" w:eastAsia="zh-CN"/>
        </w:rPr>
        <w:t>4</w:t>
      </w:r>
      <w:r>
        <w:rPr>
          <w:rFonts w:hint="eastAsia" w:cs="宋体"/>
          <w:szCs w:val="28"/>
          <w:highlight w:val="none"/>
          <w:lang w:eastAsia="zh-CN"/>
        </w:rPr>
        <w:t>）</w:t>
      </w:r>
      <w:r>
        <w:rPr>
          <w:rFonts w:hint="eastAsia" w:ascii="宋体" w:hAnsi="宋体" w:eastAsia="宋体" w:cs="宋体"/>
          <w:b w:val="0"/>
          <w:bCs w:val="0"/>
          <w:kern w:val="0"/>
          <w:sz w:val="24"/>
          <w:szCs w:val="28"/>
          <w:highlight w:val="none"/>
          <w:lang w:val="en-US" w:eastAsia="zh-CN" w:bidi="ar-SA"/>
        </w:rPr>
        <w:t>项目实施人员费用</w:t>
      </w:r>
      <w:r>
        <w:rPr>
          <w:rFonts w:hint="eastAsia" w:cs="宋体"/>
          <w:b w:val="0"/>
          <w:bCs w:val="0"/>
          <w:kern w:val="0"/>
          <w:sz w:val="24"/>
          <w:szCs w:val="28"/>
          <w:highlight w:val="none"/>
          <w:lang w:val="en-US" w:eastAsia="zh-CN" w:bidi="ar-SA"/>
        </w:rPr>
        <w:t>：</w:t>
      </w:r>
      <w:r>
        <w:rPr>
          <w:rFonts w:hint="eastAsia" w:ascii="宋体" w:hAnsi="宋体" w:eastAsia="宋体" w:cs="宋体"/>
          <w:b w:val="0"/>
          <w:bCs w:val="0"/>
          <w:kern w:val="0"/>
          <w:sz w:val="24"/>
          <w:szCs w:val="28"/>
          <w:highlight w:val="none"/>
          <w:lang w:val="en-US" w:eastAsia="zh-CN" w:bidi="ar-SA"/>
        </w:rPr>
        <w:t>中标人应自行承担选派专业人员的住宿、就餐和交通等费用。</w:t>
      </w:r>
    </w:p>
    <w:p w14:paraId="2C0582B9">
      <w:pPr>
        <w:pStyle w:val="8"/>
        <w:spacing w:before="0" w:after="0" w:line="500" w:lineRule="exact"/>
        <w:rPr>
          <w:rFonts w:ascii="宋体" w:hAnsi="宋体" w:eastAsia="宋体" w:cs="宋体"/>
          <w:sz w:val="24"/>
          <w:highlight w:val="none"/>
        </w:rPr>
      </w:pPr>
      <w:r>
        <w:rPr>
          <w:rFonts w:hint="eastAsia" w:ascii="宋体" w:hAnsi="宋体" w:eastAsia="宋体" w:cs="宋体"/>
          <w:sz w:val="24"/>
          <w:highlight w:val="none"/>
          <w:lang w:val="en-US" w:eastAsia="zh-CN"/>
        </w:rPr>
        <w:t>9.服务响应及维护</w:t>
      </w:r>
      <w:r>
        <w:rPr>
          <w:rFonts w:hint="eastAsia" w:ascii="宋体" w:hAnsi="宋体" w:eastAsia="宋体" w:cs="宋体"/>
          <w:sz w:val="24"/>
          <w:highlight w:val="none"/>
        </w:rPr>
        <w:t>：</w:t>
      </w:r>
    </w:p>
    <w:p w14:paraId="35AF4D26">
      <w:pPr>
        <w:pStyle w:val="87"/>
        <w:spacing w:line="500" w:lineRule="exact"/>
        <w:rPr>
          <w:rFonts w:eastAsia="宋体" w:cs="宋体"/>
          <w:szCs w:val="28"/>
          <w:highlight w:val="none"/>
        </w:rPr>
      </w:pPr>
      <w:r>
        <w:rPr>
          <w:rFonts w:hint="eastAsia" w:ascii="Calibri" w:hAnsi="Calibri" w:cs="Calibri"/>
          <w:szCs w:val="28"/>
          <w:highlight w:val="none"/>
          <w:lang w:eastAsia="zh-CN"/>
        </w:rPr>
        <w:t>（</w:t>
      </w:r>
      <w:r>
        <w:rPr>
          <w:rFonts w:hint="eastAsia" w:ascii="Calibri" w:hAnsi="Calibri" w:cs="Calibri"/>
          <w:szCs w:val="28"/>
          <w:highlight w:val="none"/>
          <w:lang w:val="en-US" w:eastAsia="zh-CN"/>
        </w:rPr>
        <w:t>1</w:t>
      </w:r>
      <w:r>
        <w:rPr>
          <w:rFonts w:hint="eastAsia" w:ascii="Calibri" w:hAnsi="Calibri" w:cs="Calibri"/>
          <w:szCs w:val="28"/>
          <w:highlight w:val="none"/>
          <w:lang w:eastAsia="zh-CN"/>
        </w:rPr>
        <w:t>）</w:t>
      </w:r>
      <w:r>
        <w:rPr>
          <w:rFonts w:hint="eastAsia" w:eastAsia="宋体" w:cs="宋体"/>
          <w:szCs w:val="28"/>
          <w:highlight w:val="none"/>
        </w:rPr>
        <w:t>服务响应及维护：投标单位提供7×24全天候服务，监控报警需在1小时内报至招标单位，并于每月5日之前出具上月度高空瞭望分析报告；及时解决故障，故障电话</w:t>
      </w:r>
      <w:r>
        <w:rPr>
          <w:rFonts w:hint="eastAsia" w:cs="宋体"/>
          <w:szCs w:val="28"/>
          <w:highlight w:val="none"/>
          <w:lang w:val="en-US" w:eastAsia="zh-CN"/>
        </w:rPr>
        <w:t>0.5</w:t>
      </w:r>
      <w:r>
        <w:rPr>
          <w:rFonts w:hint="eastAsia" w:eastAsia="宋体" w:cs="宋体"/>
          <w:szCs w:val="28"/>
          <w:highlight w:val="none"/>
        </w:rPr>
        <w:t>小时内必须响应，现场排除故障响应时间</w:t>
      </w:r>
      <w:r>
        <w:rPr>
          <w:rFonts w:hint="eastAsia" w:cs="宋体"/>
          <w:szCs w:val="28"/>
          <w:highlight w:val="none"/>
          <w:lang w:val="en-US" w:eastAsia="zh-CN"/>
        </w:rPr>
        <w:t>4</w:t>
      </w:r>
      <w:r>
        <w:rPr>
          <w:rFonts w:hint="eastAsia" w:eastAsia="宋体" w:cs="宋体"/>
          <w:szCs w:val="28"/>
          <w:highlight w:val="none"/>
        </w:rPr>
        <w:t>小时</w:t>
      </w:r>
      <w:r>
        <w:rPr>
          <w:rFonts w:hint="eastAsia" w:cs="宋体"/>
          <w:szCs w:val="28"/>
          <w:highlight w:val="none"/>
          <w:lang w:val="en-US" w:eastAsia="zh-CN"/>
        </w:rPr>
        <w:t>内</w:t>
      </w:r>
      <w:r>
        <w:rPr>
          <w:rFonts w:hint="eastAsia" w:eastAsia="宋体" w:cs="宋体"/>
          <w:szCs w:val="28"/>
          <w:highlight w:val="none"/>
        </w:rPr>
        <w:t>，24小时内恢复系统正常运行。若短期无法修复的，应及时提供相应备用设备并负责安装调试。</w:t>
      </w:r>
    </w:p>
    <w:p w14:paraId="5B8C7E0A">
      <w:pPr>
        <w:autoSpaceDE w:val="0"/>
        <w:adjustRightInd w:val="0"/>
        <w:spacing w:line="440" w:lineRule="exact"/>
        <w:ind w:firstLine="420" w:firstLineChars="200"/>
        <w:jc w:val="left"/>
        <w:rPr>
          <w:rFonts w:hint="eastAsia" w:eastAsia="宋体" w:cs="宋体"/>
          <w:color w:val="FF0000"/>
          <w:szCs w:val="28"/>
          <w:highlight w:val="none"/>
          <w:lang w:val="en-US" w:eastAsia="zh-CN"/>
        </w:rPr>
      </w:pPr>
      <w:r>
        <w:rPr>
          <w:rFonts w:hint="eastAsia" w:ascii="Calibri" w:hAnsi="Calibri" w:cs="Calibri"/>
          <w:szCs w:val="28"/>
          <w:highlight w:val="none"/>
          <w:lang w:eastAsia="zh-CN"/>
        </w:rPr>
        <w:t>（</w:t>
      </w:r>
      <w:r>
        <w:rPr>
          <w:rFonts w:hint="eastAsia" w:ascii="Calibri" w:hAnsi="Calibri" w:cs="Calibri"/>
          <w:szCs w:val="28"/>
          <w:highlight w:val="none"/>
          <w:lang w:val="en-US" w:eastAsia="zh-CN"/>
        </w:rPr>
        <w:t>2</w:t>
      </w:r>
      <w:r>
        <w:rPr>
          <w:rFonts w:hint="eastAsia" w:ascii="Calibri" w:hAnsi="Calibri" w:cs="Calibri"/>
          <w:szCs w:val="28"/>
          <w:highlight w:val="none"/>
          <w:lang w:eastAsia="zh-CN"/>
        </w:rPr>
        <w:t>）</w:t>
      </w:r>
      <w:r>
        <w:rPr>
          <w:rFonts w:hint="eastAsia" w:ascii="宋体" w:hAnsi="宋体" w:eastAsia="宋体" w:cs="宋体"/>
          <w:kern w:val="0"/>
          <w:sz w:val="24"/>
          <w:szCs w:val="28"/>
          <w:highlight w:val="none"/>
          <w:lang w:val="en-US" w:eastAsia="zh-CN" w:bidi="ar-SA"/>
        </w:rPr>
        <w:t>工期要求：投标单位签订合同后30日历天内（15天内完成选址并经采购单位确认）完成搭建监控平台和安装相关设备，同时调试成功后开始提供监控服务。 如在规定的时间内由于供应商的原因不能完成搭建</w:t>
      </w:r>
      <w:r>
        <w:rPr>
          <w:rFonts w:hint="eastAsia" w:ascii="宋体" w:hAnsi="宋体" w:cs="宋体"/>
          <w:kern w:val="0"/>
          <w:sz w:val="24"/>
          <w:szCs w:val="28"/>
          <w:highlight w:val="none"/>
          <w:lang w:val="en-US" w:eastAsia="zh-CN" w:bidi="ar-SA"/>
        </w:rPr>
        <w:t>、</w:t>
      </w:r>
      <w:r>
        <w:rPr>
          <w:rFonts w:hint="eastAsia" w:ascii="宋体" w:hAnsi="宋体" w:eastAsia="宋体" w:cs="宋体"/>
          <w:kern w:val="0"/>
          <w:sz w:val="24"/>
          <w:szCs w:val="28"/>
          <w:highlight w:val="none"/>
          <w:lang w:val="en-US" w:eastAsia="zh-CN" w:bidi="ar-SA"/>
        </w:rPr>
        <w:t>安装和服务的，供应商应承担由此给采购单位造成的损失。</w:t>
      </w:r>
    </w:p>
    <w:p w14:paraId="754AC9CC">
      <w:pPr>
        <w:pStyle w:val="87"/>
        <w:spacing w:line="360" w:lineRule="auto"/>
        <w:ind w:left="0" w:leftChars="0" w:firstLine="240" w:firstLineChars="100"/>
        <w:rPr>
          <w:rFonts w:hint="eastAsia" w:ascii="宋体" w:hAnsi="宋体" w:eastAsia="宋体" w:cs="宋体"/>
          <w:kern w:val="0"/>
          <w:sz w:val="24"/>
          <w:szCs w:val="28"/>
          <w:highlight w:val="none"/>
          <w:lang w:val="en-US" w:eastAsia="zh-CN" w:bidi="ar-SA"/>
        </w:rPr>
      </w:pPr>
      <w:r>
        <w:rPr>
          <w:rFonts w:hint="eastAsia" w:ascii="Calibri" w:hAnsi="Calibri" w:cs="Calibri"/>
          <w:szCs w:val="28"/>
          <w:highlight w:val="none"/>
          <w:lang w:eastAsia="zh-CN"/>
        </w:rPr>
        <w:t>（</w:t>
      </w:r>
      <w:r>
        <w:rPr>
          <w:rFonts w:hint="eastAsia" w:ascii="Calibri" w:hAnsi="Calibri" w:cs="Calibri"/>
          <w:szCs w:val="28"/>
          <w:highlight w:val="none"/>
          <w:lang w:val="en-US" w:eastAsia="zh-CN"/>
        </w:rPr>
        <w:t>3</w:t>
      </w:r>
      <w:r>
        <w:rPr>
          <w:rFonts w:hint="eastAsia" w:ascii="Calibri" w:hAnsi="Calibri" w:cs="Calibri"/>
          <w:szCs w:val="28"/>
          <w:highlight w:val="none"/>
          <w:lang w:eastAsia="zh-CN"/>
        </w:rPr>
        <w:t>）</w:t>
      </w:r>
      <w:r>
        <w:rPr>
          <w:rFonts w:hint="eastAsia" w:eastAsia="宋体" w:cs="宋体"/>
          <w:szCs w:val="28"/>
          <w:highlight w:val="none"/>
        </w:rPr>
        <w:t>投标人提供的服务期内，应当列举出相关的资源优势来满足及应对备选站址。</w:t>
      </w:r>
    </w:p>
    <w:p w14:paraId="0F31C652">
      <w:pPr>
        <w:spacing w:line="360" w:lineRule="auto"/>
        <w:ind w:firstLine="240" w:firstLineChars="100"/>
        <w:jc w:val="left"/>
        <w:rPr>
          <w:rFonts w:hint="eastAsia" w:ascii="宋体" w:hAnsi="宋体" w:eastAsia="宋体" w:cs="宋体"/>
          <w:kern w:val="0"/>
          <w:sz w:val="24"/>
          <w:szCs w:val="28"/>
          <w:highlight w:val="none"/>
          <w:lang w:val="en-US" w:eastAsia="zh-CN" w:bidi="ar-SA"/>
        </w:rPr>
      </w:pPr>
      <w:r>
        <w:rPr>
          <w:rFonts w:hint="eastAsia" w:ascii="宋体" w:hAnsi="宋体" w:eastAsia="宋体" w:cs="宋体"/>
          <w:kern w:val="0"/>
          <w:sz w:val="24"/>
          <w:szCs w:val="28"/>
          <w:highlight w:val="none"/>
          <w:lang w:val="en-US" w:eastAsia="zh-CN" w:bidi="ar-SA"/>
        </w:rPr>
        <w:t>10.</w:t>
      </w:r>
      <w:r>
        <w:rPr>
          <w:rFonts w:hint="eastAsia" w:ascii="宋体" w:hAnsi="宋体" w:eastAsia="宋体" w:cs="宋体"/>
          <w:b/>
          <w:bCs/>
          <w:kern w:val="0"/>
          <w:sz w:val="24"/>
          <w:szCs w:val="28"/>
          <w:highlight w:val="none"/>
          <w:lang w:val="en-US" w:eastAsia="zh-CN" w:bidi="ar-SA"/>
        </w:rPr>
        <w:t>参照杭州市生态环境局建德分局2024-2026年建德市高空瞭望监控建设、服务租赁项目考核细则。年度考核采用百分制评分，从建档率、在线率、完好率、故障修复及时率、系统功能应用准确性、更新率、安全保障、重大事件保障等8个方面综合评分考核。本项目的服务期为一年，自政府采购合同签订生效之日起计算。一年服务期满后，若年度考核平均分达到优秀（90分及以上，考核办法见附件）的，可以按照本次年度中标价续签一年，续签次数≤2次。除因政策性因素引起改变的，续签合同的主要条款不予调整。</w:t>
      </w:r>
    </w:p>
    <w:p w14:paraId="54B9A14C">
      <w:pPr>
        <w:pStyle w:val="81"/>
        <w:ind w:left="3368" w:leftChars="399" w:hanging="2530" w:hangingChars="900"/>
        <w:rPr>
          <w:rFonts w:hint="eastAsia" w:ascii="宋体" w:hAnsi="宋体"/>
          <w:b/>
          <w:bCs/>
          <w:sz w:val="28"/>
          <w:szCs w:val="28"/>
          <w:u w:val="none"/>
        </w:rPr>
      </w:pPr>
      <w:r>
        <w:rPr>
          <w:rFonts w:hint="eastAsia" w:ascii="宋体" w:hAnsi="宋体"/>
          <w:b/>
          <w:bCs/>
          <w:sz w:val="28"/>
          <w:szCs w:val="28"/>
          <w:u w:val="none"/>
        </w:rPr>
        <w:t>杭州市生态环境局建德分局</w:t>
      </w:r>
      <w:r>
        <w:rPr>
          <w:rFonts w:hint="eastAsia" w:ascii="宋体" w:hAnsi="宋体"/>
          <w:b/>
          <w:bCs/>
          <w:sz w:val="28"/>
          <w:szCs w:val="28"/>
          <w:u w:val="none"/>
          <w:lang w:eastAsia="zh-CN"/>
        </w:rPr>
        <w:t>2024-2026</w:t>
      </w:r>
      <w:r>
        <w:rPr>
          <w:rFonts w:hint="eastAsia" w:ascii="宋体" w:hAnsi="宋体"/>
          <w:b/>
          <w:bCs/>
          <w:sz w:val="28"/>
          <w:szCs w:val="28"/>
          <w:u w:val="none"/>
        </w:rPr>
        <w:t>年建德市高空瞭望监控建设、服务租赁项目考核细则</w:t>
      </w:r>
    </w:p>
    <w:tbl>
      <w:tblPr>
        <w:tblStyle w:val="62"/>
        <w:tblW w:w="91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159"/>
        <w:gridCol w:w="4025"/>
        <w:gridCol w:w="2154"/>
        <w:gridCol w:w="974"/>
      </w:tblGrid>
      <w:tr w14:paraId="30AC1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844" w:type="dxa"/>
            <w:vAlign w:val="center"/>
          </w:tcPr>
          <w:p w14:paraId="60E1DF86">
            <w:pPr>
              <w:pStyle w:val="341"/>
              <w:jc w:val="center"/>
              <w:rPr>
                <w:rFonts w:hint="eastAsia" w:ascii="宋体" w:hAnsi="宋体" w:eastAsia="宋体" w:cs="宋体"/>
                <w:sz w:val="24"/>
                <w:szCs w:val="24"/>
              </w:rPr>
            </w:pPr>
            <w:r>
              <w:rPr>
                <w:rFonts w:hint="eastAsia" w:ascii="宋体" w:hAnsi="宋体" w:eastAsia="宋体" w:cs="宋体"/>
                <w:b/>
                <w:bCs/>
                <w:spacing w:val="-5"/>
                <w:sz w:val="24"/>
                <w:szCs w:val="24"/>
              </w:rPr>
              <w:t>序号</w:t>
            </w:r>
          </w:p>
        </w:tc>
        <w:tc>
          <w:tcPr>
            <w:tcW w:w="1159" w:type="dxa"/>
            <w:vAlign w:val="center"/>
          </w:tcPr>
          <w:p w14:paraId="635EC793">
            <w:pPr>
              <w:pStyle w:val="341"/>
              <w:jc w:val="center"/>
              <w:rPr>
                <w:rFonts w:hint="eastAsia" w:ascii="宋体" w:hAnsi="宋体" w:eastAsia="宋体" w:cs="宋体"/>
                <w:sz w:val="24"/>
                <w:szCs w:val="24"/>
              </w:rPr>
            </w:pPr>
            <w:r>
              <w:rPr>
                <w:rFonts w:hint="eastAsia" w:ascii="宋体" w:hAnsi="宋体" w:eastAsia="宋体" w:cs="宋体"/>
                <w:b/>
                <w:bCs/>
                <w:spacing w:val="-7"/>
                <w:sz w:val="24"/>
                <w:szCs w:val="24"/>
              </w:rPr>
              <w:t>考评</w:t>
            </w:r>
            <w:r>
              <w:rPr>
                <w:rFonts w:hint="eastAsia" w:ascii="宋体" w:hAnsi="宋体" w:eastAsia="宋体" w:cs="宋体"/>
                <w:b/>
                <w:bCs/>
                <w:spacing w:val="14"/>
                <w:sz w:val="24"/>
                <w:szCs w:val="24"/>
              </w:rPr>
              <w:t>类目</w:t>
            </w:r>
          </w:p>
        </w:tc>
        <w:tc>
          <w:tcPr>
            <w:tcW w:w="4025" w:type="dxa"/>
            <w:vAlign w:val="center"/>
          </w:tcPr>
          <w:p w14:paraId="1A06E2E6">
            <w:pPr>
              <w:pStyle w:val="341"/>
              <w:jc w:val="center"/>
              <w:rPr>
                <w:rFonts w:hint="eastAsia" w:ascii="宋体" w:hAnsi="宋体" w:eastAsia="宋体" w:cs="宋体"/>
                <w:sz w:val="24"/>
                <w:szCs w:val="24"/>
              </w:rPr>
            </w:pPr>
            <w:r>
              <w:rPr>
                <w:rFonts w:hint="eastAsia" w:ascii="宋体" w:hAnsi="宋体" w:eastAsia="宋体" w:cs="宋体"/>
                <w:b/>
                <w:bCs/>
                <w:spacing w:val="-4"/>
                <w:sz w:val="24"/>
                <w:szCs w:val="24"/>
              </w:rPr>
              <w:t>服务标准</w:t>
            </w:r>
          </w:p>
        </w:tc>
        <w:tc>
          <w:tcPr>
            <w:tcW w:w="2154" w:type="dxa"/>
            <w:vAlign w:val="center"/>
          </w:tcPr>
          <w:p w14:paraId="16AC2079">
            <w:pPr>
              <w:pStyle w:val="341"/>
              <w:jc w:val="center"/>
              <w:rPr>
                <w:rFonts w:hint="eastAsia" w:ascii="宋体" w:hAnsi="宋体" w:eastAsia="宋体" w:cs="宋体"/>
                <w:sz w:val="24"/>
                <w:szCs w:val="24"/>
              </w:rPr>
            </w:pPr>
            <w:r>
              <w:rPr>
                <w:rFonts w:hint="eastAsia" w:ascii="宋体" w:hAnsi="宋体" w:eastAsia="宋体" w:cs="宋体"/>
                <w:b/>
                <w:bCs/>
                <w:spacing w:val="-4"/>
                <w:sz w:val="24"/>
                <w:szCs w:val="24"/>
              </w:rPr>
              <w:t>考核标准</w:t>
            </w:r>
          </w:p>
        </w:tc>
        <w:tc>
          <w:tcPr>
            <w:tcW w:w="974" w:type="dxa"/>
            <w:vAlign w:val="center"/>
          </w:tcPr>
          <w:p w14:paraId="51D93C51">
            <w:pPr>
              <w:pStyle w:val="341"/>
              <w:jc w:val="center"/>
              <w:rPr>
                <w:rFonts w:hint="eastAsia" w:ascii="宋体" w:hAnsi="宋体" w:eastAsia="宋体" w:cs="宋体"/>
                <w:sz w:val="24"/>
                <w:szCs w:val="24"/>
              </w:rPr>
            </w:pPr>
            <w:r>
              <w:rPr>
                <w:rFonts w:hint="eastAsia" w:ascii="宋体" w:hAnsi="宋体" w:eastAsia="宋体" w:cs="宋体"/>
                <w:b/>
                <w:bCs/>
                <w:spacing w:val="-5"/>
                <w:sz w:val="24"/>
                <w:szCs w:val="24"/>
              </w:rPr>
              <w:t>考核权</w:t>
            </w:r>
            <w:r>
              <w:rPr>
                <w:rFonts w:hint="eastAsia" w:ascii="宋体" w:hAnsi="宋体" w:eastAsia="宋体" w:cs="宋体"/>
                <w:b/>
                <w:bCs/>
                <w:spacing w:val="-3"/>
                <w:sz w:val="24"/>
                <w:szCs w:val="24"/>
              </w:rPr>
              <w:t>重</w:t>
            </w:r>
          </w:p>
        </w:tc>
      </w:tr>
      <w:tr w14:paraId="6A999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844" w:type="dxa"/>
            <w:vAlign w:val="center"/>
          </w:tcPr>
          <w:p w14:paraId="0B9EBEC8">
            <w:pPr>
              <w:pStyle w:val="341"/>
              <w:jc w:val="center"/>
              <w:rPr>
                <w:rFonts w:hint="eastAsia" w:ascii="宋体" w:hAnsi="宋体" w:eastAsia="宋体" w:cs="宋体"/>
                <w:sz w:val="24"/>
                <w:szCs w:val="24"/>
              </w:rPr>
            </w:pPr>
            <w:r>
              <w:rPr>
                <w:rFonts w:hint="eastAsia" w:ascii="宋体" w:hAnsi="宋体" w:eastAsia="宋体" w:cs="宋体"/>
                <w:sz w:val="24"/>
                <w:szCs w:val="24"/>
              </w:rPr>
              <w:t>1</w:t>
            </w:r>
          </w:p>
        </w:tc>
        <w:tc>
          <w:tcPr>
            <w:tcW w:w="1159" w:type="dxa"/>
            <w:vAlign w:val="center"/>
          </w:tcPr>
          <w:p w14:paraId="15E7BDC5">
            <w:pPr>
              <w:pStyle w:val="341"/>
              <w:jc w:val="center"/>
              <w:rPr>
                <w:rFonts w:hint="eastAsia" w:ascii="宋体" w:hAnsi="宋体" w:eastAsia="宋体" w:cs="宋体"/>
                <w:sz w:val="24"/>
                <w:szCs w:val="24"/>
              </w:rPr>
            </w:pPr>
            <w:r>
              <w:rPr>
                <w:rFonts w:hint="eastAsia" w:ascii="宋体" w:hAnsi="宋体" w:eastAsia="宋体" w:cs="宋体"/>
                <w:spacing w:val="3"/>
                <w:sz w:val="24"/>
                <w:szCs w:val="24"/>
              </w:rPr>
              <w:t>建档率</w:t>
            </w:r>
          </w:p>
        </w:tc>
        <w:tc>
          <w:tcPr>
            <w:tcW w:w="4025" w:type="dxa"/>
            <w:vAlign w:val="center"/>
          </w:tcPr>
          <w:p w14:paraId="48A69714">
            <w:pPr>
              <w:pStyle w:val="341"/>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按《“一机一档”属性表》规范进行</w:t>
            </w:r>
            <w:r>
              <w:rPr>
                <w:rFonts w:hint="eastAsia" w:ascii="宋体" w:hAnsi="宋体" w:eastAsia="宋体" w:cs="宋体"/>
                <w:spacing w:val="6"/>
                <w:sz w:val="24"/>
                <w:szCs w:val="24"/>
                <w:lang w:eastAsia="zh-CN"/>
              </w:rPr>
              <w:t>建档，信息必须全面、完整、准确、</w:t>
            </w:r>
            <w:r>
              <w:rPr>
                <w:rFonts w:hint="eastAsia" w:ascii="宋体" w:hAnsi="宋体" w:eastAsia="宋体" w:cs="宋体"/>
                <w:sz w:val="24"/>
                <w:szCs w:val="24"/>
                <w:lang w:eastAsia="zh-CN"/>
              </w:rPr>
              <w:t>真实，字段必填项中出现错填、漏填</w:t>
            </w:r>
            <w:r>
              <w:rPr>
                <w:rFonts w:hint="eastAsia" w:ascii="宋体" w:hAnsi="宋体" w:eastAsia="宋体" w:cs="宋体"/>
                <w:spacing w:val="-2"/>
                <w:sz w:val="24"/>
                <w:szCs w:val="24"/>
                <w:lang w:eastAsia="zh-CN"/>
              </w:rPr>
              <w:t>的点位视为建档不合格。</w:t>
            </w:r>
          </w:p>
        </w:tc>
        <w:tc>
          <w:tcPr>
            <w:tcW w:w="2154" w:type="dxa"/>
            <w:vAlign w:val="center"/>
          </w:tcPr>
          <w:p w14:paraId="61E0C285">
            <w:pPr>
              <w:pStyle w:val="341"/>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准确率及完整率</w:t>
            </w:r>
            <w:r>
              <w:rPr>
                <w:rFonts w:hint="eastAsia" w:ascii="宋体" w:hAnsi="宋体" w:eastAsia="宋体" w:cs="宋体"/>
                <w:spacing w:val="3"/>
                <w:sz w:val="24"/>
                <w:szCs w:val="24"/>
                <w:lang w:eastAsia="zh-CN"/>
              </w:rPr>
              <w:t>要求100%,每下降</w:t>
            </w:r>
            <w:r>
              <w:rPr>
                <w:rFonts w:hint="eastAsia" w:ascii="宋体" w:hAnsi="宋体" w:eastAsia="宋体" w:cs="宋体"/>
                <w:spacing w:val="13"/>
                <w:sz w:val="24"/>
                <w:szCs w:val="24"/>
                <w:lang w:eastAsia="zh-CN"/>
              </w:rPr>
              <w:t>1个百分比，扣1</w:t>
            </w:r>
            <w:r>
              <w:rPr>
                <w:rFonts w:hint="eastAsia" w:ascii="宋体" w:hAnsi="宋体" w:eastAsia="宋体" w:cs="宋体"/>
                <w:spacing w:val="-1"/>
                <w:sz w:val="24"/>
                <w:szCs w:val="24"/>
                <w:lang w:eastAsia="zh-CN"/>
              </w:rPr>
              <w:t>分，扣完为止。</w:t>
            </w:r>
          </w:p>
        </w:tc>
        <w:tc>
          <w:tcPr>
            <w:tcW w:w="974" w:type="dxa"/>
            <w:vAlign w:val="center"/>
          </w:tcPr>
          <w:p w14:paraId="45B0FF73">
            <w:pPr>
              <w:pStyle w:val="341"/>
              <w:jc w:val="center"/>
              <w:rPr>
                <w:rFonts w:hint="eastAsia" w:ascii="宋体" w:hAnsi="宋体" w:eastAsia="宋体" w:cs="宋体"/>
                <w:sz w:val="24"/>
                <w:szCs w:val="24"/>
              </w:rPr>
            </w:pPr>
            <w:r>
              <w:rPr>
                <w:rFonts w:hint="eastAsia" w:ascii="宋体" w:hAnsi="宋体" w:eastAsia="宋体" w:cs="宋体"/>
                <w:sz w:val="24"/>
                <w:szCs w:val="24"/>
              </w:rPr>
              <w:t>5</w:t>
            </w:r>
          </w:p>
        </w:tc>
      </w:tr>
      <w:tr w14:paraId="3CB87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9" w:hRule="atLeast"/>
          <w:jc w:val="center"/>
        </w:trPr>
        <w:tc>
          <w:tcPr>
            <w:tcW w:w="844" w:type="dxa"/>
            <w:vAlign w:val="center"/>
          </w:tcPr>
          <w:p w14:paraId="5AA39E35">
            <w:pPr>
              <w:pStyle w:val="341"/>
              <w:jc w:val="center"/>
              <w:rPr>
                <w:rFonts w:hint="eastAsia" w:ascii="宋体" w:hAnsi="宋体" w:eastAsia="宋体" w:cs="宋体"/>
                <w:sz w:val="24"/>
                <w:szCs w:val="24"/>
              </w:rPr>
            </w:pPr>
            <w:r>
              <w:rPr>
                <w:rFonts w:hint="eastAsia" w:ascii="宋体" w:hAnsi="宋体" w:eastAsia="宋体" w:cs="宋体"/>
                <w:sz w:val="24"/>
                <w:szCs w:val="24"/>
              </w:rPr>
              <w:t>2</w:t>
            </w:r>
          </w:p>
        </w:tc>
        <w:tc>
          <w:tcPr>
            <w:tcW w:w="1159" w:type="dxa"/>
            <w:vAlign w:val="center"/>
          </w:tcPr>
          <w:p w14:paraId="454EF398">
            <w:pPr>
              <w:pStyle w:val="341"/>
              <w:jc w:val="center"/>
              <w:rPr>
                <w:rFonts w:hint="eastAsia" w:ascii="宋体" w:hAnsi="宋体" w:eastAsia="宋体" w:cs="宋体"/>
                <w:sz w:val="24"/>
                <w:szCs w:val="24"/>
              </w:rPr>
            </w:pPr>
            <w:r>
              <w:rPr>
                <w:rFonts w:hint="eastAsia" w:ascii="宋体" w:hAnsi="宋体" w:eastAsia="宋体" w:cs="宋体"/>
                <w:spacing w:val="-2"/>
                <w:sz w:val="24"/>
                <w:szCs w:val="24"/>
              </w:rPr>
              <w:t>在线率</w:t>
            </w:r>
          </w:p>
        </w:tc>
        <w:tc>
          <w:tcPr>
            <w:tcW w:w="4025" w:type="dxa"/>
            <w:vAlign w:val="center"/>
          </w:tcPr>
          <w:p w14:paraId="0F9AAD42">
            <w:pPr>
              <w:pStyle w:val="341"/>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因电源、线路、设备等原因导致前端</w:t>
            </w:r>
            <w:r>
              <w:rPr>
                <w:rFonts w:hint="eastAsia" w:ascii="宋体" w:hAnsi="宋体" w:eastAsia="宋体" w:cs="宋体"/>
                <w:spacing w:val="9"/>
                <w:sz w:val="24"/>
                <w:szCs w:val="24"/>
                <w:lang w:eastAsia="zh-CN"/>
              </w:rPr>
              <w:t>摄像头离线的故障率(因道路修建、</w:t>
            </w:r>
            <w:r>
              <w:rPr>
                <w:rFonts w:hint="eastAsia" w:ascii="宋体" w:hAnsi="宋体" w:eastAsia="宋体" w:cs="宋体"/>
                <w:sz w:val="24"/>
                <w:szCs w:val="24"/>
                <w:lang w:eastAsia="zh-CN"/>
              </w:rPr>
              <w:t>洪水台风、局方或大数据局方网络安</w:t>
            </w:r>
            <w:r>
              <w:rPr>
                <w:rFonts w:hint="eastAsia" w:ascii="宋体" w:hAnsi="宋体" w:eastAsia="宋体" w:cs="宋体"/>
                <w:spacing w:val="-1"/>
                <w:sz w:val="24"/>
                <w:szCs w:val="24"/>
                <w:lang w:eastAsia="zh-CN"/>
              </w:rPr>
              <w:t>全调整引起的视频流及预警中断等不</w:t>
            </w:r>
            <w:r>
              <w:rPr>
                <w:rFonts w:hint="eastAsia" w:ascii="宋体" w:hAnsi="宋体" w:eastAsia="宋体" w:cs="宋体"/>
                <w:spacing w:val="7"/>
                <w:sz w:val="24"/>
                <w:szCs w:val="24"/>
                <w:lang w:eastAsia="zh-CN"/>
              </w:rPr>
              <w:t>可抗力引起的故障点位另计),在线</w:t>
            </w:r>
            <w:r>
              <w:rPr>
                <w:rFonts w:hint="eastAsia" w:ascii="宋体" w:hAnsi="宋体" w:eastAsia="宋体" w:cs="宋体"/>
                <w:spacing w:val="-1"/>
                <w:sz w:val="24"/>
                <w:szCs w:val="24"/>
                <w:lang w:eastAsia="zh-CN"/>
              </w:rPr>
              <w:t>率要求95%及以上。在线率=在线点位</w:t>
            </w:r>
            <w:r>
              <w:rPr>
                <w:rFonts w:hint="eastAsia" w:ascii="宋体" w:hAnsi="宋体" w:eastAsia="宋体" w:cs="宋体"/>
                <w:sz w:val="24"/>
                <w:szCs w:val="24"/>
                <w:lang w:eastAsia="zh-CN"/>
              </w:rPr>
              <w:t>数/总点位数。</w:t>
            </w:r>
          </w:p>
        </w:tc>
        <w:tc>
          <w:tcPr>
            <w:tcW w:w="2154" w:type="dxa"/>
            <w:vAlign w:val="center"/>
          </w:tcPr>
          <w:p w14:paraId="1D8662C6">
            <w:pPr>
              <w:pStyle w:val="341"/>
              <w:jc w:val="both"/>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在线率要求95%,</w:t>
            </w:r>
          </w:p>
          <w:p w14:paraId="14E4FB2A">
            <w:pPr>
              <w:pStyle w:val="341"/>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每下降1个百分</w:t>
            </w:r>
            <w:r>
              <w:rPr>
                <w:rFonts w:hint="eastAsia" w:ascii="宋体" w:hAnsi="宋体" w:eastAsia="宋体" w:cs="宋体"/>
                <w:spacing w:val="1"/>
                <w:sz w:val="24"/>
                <w:szCs w:val="24"/>
                <w:lang w:eastAsia="zh-CN"/>
              </w:rPr>
              <w:t>比，扣1分，扣完</w:t>
            </w:r>
            <w:r>
              <w:rPr>
                <w:rFonts w:hint="eastAsia" w:ascii="宋体" w:hAnsi="宋体" w:eastAsia="宋体" w:cs="宋体"/>
                <w:spacing w:val="-2"/>
                <w:sz w:val="24"/>
                <w:szCs w:val="24"/>
                <w:lang w:eastAsia="zh-CN"/>
              </w:rPr>
              <w:t>为止。</w:t>
            </w:r>
          </w:p>
        </w:tc>
        <w:tc>
          <w:tcPr>
            <w:tcW w:w="974" w:type="dxa"/>
            <w:vAlign w:val="center"/>
          </w:tcPr>
          <w:p w14:paraId="191CBFF0">
            <w:pPr>
              <w:pStyle w:val="341"/>
              <w:jc w:val="center"/>
              <w:rPr>
                <w:rFonts w:hint="eastAsia" w:ascii="宋体" w:hAnsi="宋体" w:eastAsia="宋体" w:cs="宋体"/>
                <w:sz w:val="24"/>
                <w:szCs w:val="24"/>
              </w:rPr>
            </w:pPr>
            <w:r>
              <w:rPr>
                <w:rFonts w:hint="eastAsia" w:ascii="宋体" w:hAnsi="宋体" w:eastAsia="宋体" w:cs="宋体"/>
                <w:spacing w:val="-6"/>
                <w:sz w:val="24"/>
                <w:szCs w:val="24"/>
              </w:rPr>
              <w:t>10</w:t>
            </w:r>
          </w:p>
        </w:tc>
      </w:tr>
      <w:tr w14:paraId="4F432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jc w:val="center"/>
        </w:trPr>
        <w:tc>
          <w:tcPr>
            <w:tcW w:w="844" w:type="dxa"/>
            <w:vAlign w:val="center"/>
          </w:tcPr>
          <w:p w14:paraId="2D1821A9">
            <w:pPr>
              <w:pStyle w:val="341"/>
              <w:jc w:val="center"/>
              <w:rPr>
                <w:rFonts w:hint="eastAsia" w:ascii="宋体" w:hAnsi="宋体" w:eastAsia="宋体" w:cs="宋体"/>
                <w:sz w:val="24"/>
                <w:szCs w:val="24"/>
              </w:rPr>
            </w:pPr>
            <w:r>
              <w:rPr>
                <w:rFonts w:hint="eastAsia" w:ascii="宋体" w:hAnsi="宋体" w:eastAsia="宋体" w:cs="宋体"/>
                <w:sz w:val="24"/>
                <w:szCs w:val="24"/>
              </w:rPr>
              <w:t>3</w:t>
            </w:r>
          </w:p>
        </w:tc>
        <w:tc>
          <w:tcPr>
            <w:tcW w:w="1159" w:type="dxa"/>
            <w:vAlign w:val="center"/>
          </w:tcPr>
          <w:p w14:paraId="375C2F6C">
            <w:pPr>
              <w:pStyle w:val="341"/>
              <w:jc w:val="center"/>
              <w:rPr>
                <w:rFonts w:hint="eastAsia" w:ascii="宋体" w:hAnsi="宋体" w:eastAsia="宋体" w:cs="宋体"/>
                <w:sz w:val="24"/>
                <w:szCs w:val="24"/>
              </w:rPr>
            </w:pPr>
            <w:r>
              <w:rPr>
                <w:rFonts w:hint="eastAsia" w:ascii="宋体" w:hAnsi="宋体" w:eastAsia="宋体" w:cs="宋体"/>
                <w:spacing w:val="-3"/>
                <w:sz w:val="24"/>
                <w:szCs w:val="24"/>
              </w:rPr>
              <w:t>完好率</w:t>
            </w:r>
          </w:p>
        </w:tc>
        <w:tc>
          <w:tcPr>
            <w:tcW w:w="4025" w:type="dxa"/>
            <w:vAlign w:val="center"/>
          </w:tcPr>
          <w:p w14:paraId="1B2D4001">
            <w:pPr>
              <w:pStyle w:val="341"/>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指在线前端摄像头图像质量的完好率</w:t>
            </w:r>
            <w:r>
              <w:rPr>
                <w:rFonts w:hint="eastAsia" w:ascii="宋体" w:hAnsi="宋体" w:eastAsia="宋体" w:cs="宋体"/>
                <w:spacing w:val="6"/>
                <w:sz w:val="24"/>
                <w:szCs w:val="24"/>
                <w:lang w:eastAsia="zh-CN"/>
              </w:rPr>
              <w:t>(视频遮挡、亮度异常、色彩失真、</w:t>
            </w:r>
            <w:r>
              <w:rPr>
                <w:rFonts w:hint="eastAsia" w:ascii="宋体" w:hAnsi="宋体" w:eastAsia="宋体" w:cs="宋体"/>
                <w:spacing w:val="2"/>
                <w:sz w:val="24"/>
                <w:szCs w:val="24"/>
                <w:lang w:eastAsia="zh-CN"/>
              </w:rPr>
              <w:t>视频模糊、时钟同步等现象),完好</w:t>
            </w:r>
            <w:r>
              <w:rPr>
                <w:rFonts w:hint="eastAsia" w:ascii="宋体" w:hAnsi="宋体" w:eastAsia="宋体" w:cs="宋体"/>
                <w:spacing w:val="1"/>
                <w:sz w:val="24"/>
                <w:szCs w:val="24"/>
                <w:lang w:eastAsia="zh-CN"/>
              </w:rPr>
              <w:t>要求95%及以上。完好率=图像完好点</w:t>
            </w:r>
            <w:r>
              <w:rPr>
                <w:rFonts w:hint="eastAsia" w:ascii="宋体" w:hAnsi="宋体" w:eastAsia="宋体" w:cs="宋体"/>
                <w:sz w:val="24"/>
                <w:szCs w:val="24"/>
                <w:lang w:eastAsia="zh-CN"/>
              </w:rPr>
              <w:t>位数/在线点位数。</w:t>
            </w:r>
          </w:p>
        </w:tc>
        <w:tc>
          <w:tcPr>
            <w:tcW w:w="2154" w:type="dxa"/>
            <w:vAlign w:val="center"/>
          </w:tcPr>
          <w:p w14:paraId="07D010C9">
            <w:pPr>
              <w:pStyle w:val="341"/>
              <w:jc w:val="both"/>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完好率要求95%,</w:t>
            </w:r>
            <w:r>
              <w:rPr>
                <w:rFonts w:hint="eastAsia" w:ascii="宋体" w:hAnsi="宋体" w:eastAsia="宋体" w:cs="宋体"/>
                <w:spacing w:val="16"/>
                <w:sz w:val="24"/>
                <w:szCs w:val="24"/>
                <w:lang w:eastAsia="zh-CN"/>
              </w:rPr>
              <w:t>每下降1个百分</w:t>
            </w:r>
            <w:r>
              <w:rPr>
                <w:rFonts w:hint="eastAsia" w:ascii="宋体" w:hAnsi="宋体" w:eastAsia="宋体" w:cs="宋体"/>
                <w:sz w:val="24"/>
                <w:szCs w:val="24"/>
                <w:lang w:eastAsia="zh-CN"/>
              </w:rPr>
              <w:t>比，扣1分，扣完</w:t>
            </w:r>
            <w:r>
              <w:rPr>
                <w:rFonts w:hint="eastAsia" w:ascii="宋体" w:hAnsi="宋体" w:eastAsia="宋体" w:cs="宋体"/>
                <w:spacing w:val="1"/>
                <w:sz w:val="24"/>
                <w:szCs w:val="24"/>
                <w:lang w:eastAsia="zh-CN"/>
              </w:rPr>
              <w:t>为止。</w:t>
            </w:r>
          </w:p>
        </w:tc>
        <w:tc>
          <w:tcPr>
            <w:tcW w:w="974" w:type="dxa"/>
            <w:vAlign w:val="center"/>
          </w:tcPr>
          <w:p w14:paraId="4D9985D9">
            <w:pPr>
              <w:pStyle w:val="341"/>
              <w:jc w:val="center"/>
              <w:rPr>
                <w:rFonts w:hint="eastAsia" w:ascii="宋体" w:hAnsi="宋体" w:eastAsia="宋体" w:cs="宋体"/>
                <w:sz w:val="24"/>
                <w:szCs w:val="24"/>
              </w:rPr>
            </w:pPr>
            <w:r>
              <w:rPr>
                <w:rFonts w:hint="eastAsia" w:ascii="宋体" w:hAnsi="宋体" w:eastAsia="宋体" w:cs="宋体"/>
                <w:spacing w:val="-6"/>
                <w:sz w:val="24"/>
                <w:szCs w:val="24"/>
              </w:rPr>
              <w:t>10</w:t>
            </w:r>
          </w:p>
        </w:tc>
      </w:tr>
      <w:tr w14:paraId="410BD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8" w:hRule="atLeast"/>
          <w:jc w:val="center"/>
        </w:trPr>
        <w:tc>
          <w:tcPr>
            <w:tcW w:w="844" w:type="dxa"/>
            <w:vAlign w:val="center"/>
          </w:tcPr>
          <w:p w14:paraId="50BA72F6">
            <w:pPr>
              <w:pStyle w:val="341"/>
              <w:jc w:val="center"/>
              <w:rPr>
                <w:rFonts w:hint="eastAsia" w:ascii="宋体" w:hAnsi="宋体" w:eastAsia="宋体" w:cs="宋体"/>
                <w:sz w:val="24"/>
                <w:szCs w:val="24"/>
              </w:rPr>
            </w:pPr>
            <w:r>
              <w:rPr>
                <w:rFonts w:hint="eastAsia" w:ascii="宋体" w:hAnsi="宋体" w:eastAsia="宋体" w:cs="宋体"/>
                <w:sz w:val="24"/>
                <w:szCs w:val="24"/>
              </w:rPr>
              <w:t>4</w:t>
            </w:r>
          </w:p>
        </w:tc>
        <w:tc>
          <w:tcPr>
            <w:tcW w:w="1159" w:type="dxa"/>
            <w:vAlign w:val="center"/>
          </w:tcPr>
          <w:p w14:paraId="7747C2B6">
            <w:pPr>
              <w:pStyle w:val="341"/>
              <w:jc w:val="center"/>
              <w:rPr>
                <w:rFonts w:hint="eastAsia" w:ascii="宋体" w:hAnsi="宋体" w:eastAsia="宋体" w:cs="宋体"/>
                <w:sz w:val="24"/>
                <w:szCs w:val="24"/>
              </w:rPr>
            </w:pPr>
            <w:r>
              <w:rPr>
                <w:rFonts w:hint="eastAsia" w:ascii="宋体" w:hAnsi="宋体" w:eastAsia="宋体" w:cs="宋体"/>
                <w:spacing w:val="2"/>
                <w:sz w:val="24"/>
                <w:szCs w:val="24"/>
              </w:rPr>
              <w:t>故障修复</w:t>
            </w:r>
            <w:r>
              <w:rPr>
                <w:rFonts w:hint="eastAsia" w:ascii="宋体" w:hAnsi="宋体" w:eastAsia="宋体" w:cs="宋体"/>
                <w:spacing w:val="-2"/>
                <w:sz w:val="24"/>
                <w:szCs w:val="24"/>
              </w:rPr>
              <w:t>及时率</w:t>
            </w:r>
          </w:p>
        </w:tc>
        <w:tc>
          <w:tcPr>
            <w:tcW w:w="4025" w:type="dxa"/>
            <w:vAlign w:val="center"/>
          </w:tcPr>
          <w:p w14:paraId="3B379F16">
            <w:pPr>
              <w:pStyle w:val="341"/>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一般故障(指特殊故障以外的故障):</w:t>
            </w:r>
            <w:r>
              <w:rPr>
                <w:rFonts w:hint="eastAsia" w:ascii="宋体" w:hAnsi="宋体" w:eastAsia="宋体" w:cs="宋体"/>
                <w:spacing w:val="3"/>
                <w:sz w:val="24"/>
                <w:szCs w:val="24"/>
                <w:lang w:eastAsia="zh-CN"/>
              </w:rPr>
              <w:t>乙方在接到故障通知(包括甲方通知</w:t>
            </w:r>
            <w:r>
              <w:rPr>
                <w:rFonts w:hint="eastAsia" w:ascii="宋体" w:hAnsi="宋体" w:eastAsia="宋体" w:cs="宋体"/>
                <w:sz w:val="24"/>
                <w:szCs w:val="24"/>
                <w:lang w:eastAsia="zh-CN"/>
              </w:rPr>
              <w:t>及运维系统自动检测发现并通知)起，</w:t>
            </w:r>
            <w:r>
              <w:rPr>
                <w:rFonts w:hint="eastAsia" w:ascii="宋体" w:hAnsi="宋体" w:eastAsia="宋体" w:cs="宋体"/>
                <w:spacing w:val="-4"/>
                <w:sz w:val="24"/>
                <w:szCs w:val="24"/>
                <w:lang w:eastAsia="zh-CN"/>
              </w:rPr>
              <w:t>必须1小时内响应，4小时以内到现场，</w:t>
            </w:r>
            <w:r>
              <w:rPr>
                <w:rFonts w:hint="eastAsia" w:ascii="宋体" w:hAnsi="宋体" w:eastAsia="宋体" w:cs="宋体"/>
                <w:sz w:val="24"/>
                <w:szCs w:val="24"/>
                <w:lang w:eastAsia="zh-CN"/>
              </w:rPr>
              <w:t>8小时以内解决问题；不能当场修复的，必须采取提供备品、备件或备机</w:t>
            </w:r>
            <w:r>
              <w:rPr>
                <w:rFonts w:hint="eastAsia" w:ascii="宋体" w:hAnsi="宋体" w:eastAsia="宋体" w:cs="宋体"/>
                <w:spacing w:val="-1"/>
                <w:sz w:val="24"/>
                <w:szCs w:val="24"/>
                <w:lang w:eastAsia="zh-CN"/>
              </w:rPr>
              <w:t>等措施，前端系统24小时内保证系统</w:t>
            </w:r>
            <w:r>
              <w:rPr>
                <w:rFonts w:hint="eastAsia" w:ascii="宋体" w:hAnsi="宋体" w:eastAsia="宋体" w:cs="宋体"/>
                <w:sz w:val="24"/>
                <w:szCs w:val="24"/>
                <w:lang w:eastAsia="zh-CN"/>
              </w:rPr>
              <w:t>投入正常使用，网络要求24小时内恢</w:t>
            </w:r>
            <w:r>
              <w:rPr>
                <w:rFonts w:hint="eastAsia" w:ascii="宋体" w:hAnsi="宋体" w:eastAsia="宋体" w:cs="宋体"/>
                <w:spacing w:val="-4"/>
                <w:sz w:val="24"/>
                <w:szCs w:val="24"/>
                <w:lang w:eastAsia="zh-CN"/>
              </w:rPr>
              <w:t>复。故障如因特殊原因无法按时修复，</w:t>
            </w:r>
            <w:r>
              <w:rPr>
                <w:rFonts w:hint="eastAsia" w:ascii="宋体" w:hAnsi="宋体" w:eastAsia="宋体" w:cs="宋体"/>
                <w:spacing w:val="1"/>
                <w:sz w:val="24"/>
                <w:szCs w:val="24"/>
                <w:lang w:eastAsia="zh-CN"/>
              </w:rPr>
              <w:t>自接到通知起12小时内回复具体原</w:t>
            </w:r>
            <w:r>
              <w:rPr>
                <w:rFonts w:hint="eastAsia" w:ascii="宋体" w:hAnsi="宋体" w:eastAsia="宋体" w:cs="宋体"/>
                <w:sz w:val="24"/>
                <w:szCs w:val="24"/>
                <w:lang w:eastAsia="zh-CN"/>
              </w:rPr>
              <w:t>因，经甲方认定，可适当延长修复时</w:t>
            </w:r>
            <w:r>
              <w:rPr>
                <w:rFonts w:hint="eastAsia" w:ascii="宋体" w:hAnsi="宋体" w:eastAsia="宋体" w:cs="宋体"/>
                <w:spacing w:val="1"/>
                <w:sz w:val="24"/>
                <w:szCs w:val="24"/>
                <w:lang w:eastAsia="zh-CN"/>
              </w:rPr>
              <w:t>间。特殊故障(指因不可抗力或其它原因造成的故障):根据实际情况调</w:t>
            </w:r>
            <w:r>
              <w:rPr>
                <w:rFonts w:hint="eastAsia" w:ascii="宋体" w:hAnsi="宋体" w:eastAsia="宋体" w:cs="宋体"/>
                <w:sz w:val="24"/>
                <w:szCs w:val="24"/>
                <w:lang w:eastAsia="zh-CN"/>
              </w:rPr>
              <w:t>整。每月根据修复回执进行统计，及时率要求90%及以上。</w:t>
            </w:r>
          </w:p>
        </w:tc>
        <w:tc>
          <w:tcPr>
            <w:tcW w:w="2154" w:type="dxa"/>
            <w:vAlign w:val="center"/>
          </w:tcPr>
          <w:p w14:paraId="02DF6E50">
            <w:pPr>
              <w:pStyle w:val="341"/>
              <w:jc w:val="both"/>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及时率要求95%,</w:t>
            </w:r>
          </w:p>
          <w:p w14:paraId="238807A7">
            <w:pPr>
              <w:pStyle w:val="341"/>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每下降1个百分</w:t>
            </w:r>
            <w:r>
              <w:rPr>
                <w:rFonts w:hint="eastAsia" w:ascii="宋体" w:hAnsi="宋体" w:eastAsia="宋体" w:cs="宋体"/>
                <w:spacing w:val="3"/>
                <w:sz w:val="24"/>
                <w:szCs w:val="24"/>
                <w:lang w:eastAsia="zh-CN"/>
              </w:rPr>
              <w:t>比，扣1分，扣完</w:t>
            </w:r>
            <w:r>
              <w:rPr>
                <w:rFonts w:hint="eastAsia" w:ascii="宋体" w:hAnsi="宋体" w:eastAsia="宋体" w:cs="宋体"/>
                <w:spacing w:val="-2"/>
                <w:sz w:val="24"/>
                <w:szCs w:val="24"/>
                <w:lang w:eastAsia="zh-CN"/>
              </w:rPr>
              <w:t>为止。</w:t>
            </w:r>
          </w:p>
        </w:tc>
        <w:tc>
          <w:tcPr>
            <w:tcW w:w="974" w:type="dxa"/>
            <w:vAlign w:val="center"/>
          </w:tcPr>
          <w:p w14:paraId="7AC6813D">
            <w:pPr>
              <w:pStyle w:val="341"/>
              <w:jc w:val="center"/>
              <w:rPr>
                <w:rFonts w:hint="eastAsia" w:ascii="宋体" w:hAnsi="宋体" w:eastAsia="宋体" w:cs="宋体"/>
                <w:sz w:val="24"/>
                <w:szCs w:val="24"/>
              </w:rPr>
            </w:pPr>
            <w:r>
              <w:rPr>
                <w:rFonts w:hint="eastAsia" w:ascii="宋体" w:hAnsi="宋体" w:eastAsia="宋体" w:cs="宋体"/>
                <w:spacing w:val="-3"/>
                <w:sz w:val="24"/>
                <w:szCs w:val="24"/>
              </w:rPr>
              <w:t>20</w:t>
            </w:r>
          </w:p>
        </w:tc>
      </w:tr>
      <w:tr w14:paraId="7F3A7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jc w:val="center"/>
        </w:trPr>
        <w:tc>
          <w:tcPr>
            <w:tcW w:w="844" w:type="dxa"/>
            <w:vAlign w:val="center"/>
          </w:tcPr>
          <w:p w14:paraId="3050B2E3">
            <w:pPr>
              <w:pStyle w:val="341"/>
              <w:jc w:val="center"/>
              <w:rPr>
                <w:rFonts w:hint="eastAsia" w:ascii="宋体" w:hAnsi="宋体" w:eastAsia="宋体" w:cs="宋体"/>
                <w:sz w:val="24"/>
                <w:szCs w:val="24"/>
              </w:rPr>
            </w:pPr>
            <w:r>
              <w:rPr>
                <w:rFonts w:hint="eastAsia" w:ascii="宋体" w:hAnsi="宋体" w:eastAsia="宋体" w:cs="宋体"/>
                <w:sz w:val="24"/>
                <w:szCs w:val="24"/>
              </w:rPr>
              <w:t>5</w:t>
            </w:r>
          </w:p>
        </w:tc>
        <w:tc>
          <w:tcPr>
            <w:tcW w:w="1159" w:type="dxa"/>
            <w:vAlign w:val="center"/>
          </w:tcPr>
          <w:p w14:paraId="4F5605C9">
            <w:pPr>
              <w:pStyle w:val="341"/>
              <w:jc w:val="center"/>
              <w:rPr>
                <w:rFonts w:hint="eastAsia" w:ascii="宋体" w:hAnsi="宋体" w:eastAsia="宋体" w:cs="宋体"/>
                <w:color w:val="auto"/>
                <w:spacing w:val="2"/>
                <w:sz w:val="24"/>
                <w:szCs w:val="24"/>
              </w:rPr>
            </w:pPr>
            <w:r>
              <w:rPr>
                <w:rFonts w:hint="eastAsia" w:ascii="宋体" w:hAnsi="宋体" w:eastAsia="宋体" w:cs="宋体"/>
                <w:color w:val="auto"/>
                <w:spacing w:val="4"/>
                <w:sz w:val="24"/>
                <w:szCs w:val="24"/>
              </w:rPr>
              <w:t>系统功能应用准确性</w:t>
            </w:r>
          </w:p>
        </w:tc>
        <w:tc>
          <w:tcPr>
            <w:tcW w:w="4025" w:type="dxa"/>
            <w:vAlign w:val="center"/>
          </w:tcPr>
          <w:p w14:paraId="0B819713">
            <w:pPr>
              <w:pStyle w:val="341"/>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4"/>
                <w:sz w:val="24"/>
                <w:szCs w:val="24"/>
                <w:lang w:eastAsia="zh-CN"/>
              </w:rPr>
              <w:t>对监控可视范围内的耕地预警（对违法用地未及时预警）、视频分析错误、图层叠加分析、以地找视频等系统功能应用服务。</w:t>
            </w:r>
          </w:p>
        </w:tc>
        <w:tc>
          <w:tcPr>
            <w:tcW w:w="2154" w:type="dxa"/>
            <w:vAlign w:val="center"/>
          </w:tcPr>
          <w:p w14:paraId="7C0F8363">
            <w:pPr>
              <w:pStyle w:val="341"/>
              <w:jc w:val="both"/>
              <w:rPr>
                <w:rFonts w:hint="eastAsia" w:ascii="宋体" w:hAnsi="宋体" w:eastAsia="宋体" w:cs="宋体"/>
                <w:color w:val="auto"/>
                <w:spacing w:val="7"/>
                <w:sz w:val="24"/>
                <w:szCs w:val="24"/>
                <w:lang w:eastAsia="zh-CN"/>
              </w:rPr>
            </w:pPr>
            <w:r>
              <w:rPr>
                <w:rFonts w:hint="eastAsia" w:ascii="宋体" w:hAnsi="宋体" w:eastAsia="宋体" w:cs="宋体"/>
                <w:color w:val="auto"/>
                <w:spacing w:val="4"/>
                <w:sz w:val="24"/>
                <w:szCs w:val="24"/>
                <w:lang w:eastAsia="zh-CN"/>
              </w:rPr>
              <w:t>每发现一次扣0.5分，扣完为止。对及时发现及时整改到位的服务及点位经双方确认后考虑适当扣分。</w:t>
            </w:r>
          </w:p>
        </w:tc>
        <w:tc>
          <w:tcPr>
            <w:tcW w:w="974" w:type="dxa"/>
            <w:vAlign w:val="center"/>
          </w:tcPr>
          <w:p w14:paraId="323834DC">
            <w:pPr>
              <w:pStyle w:val="341"/>
              <w:jc w:val="center"/>
              <w:rPr>
                <w:rFonts w:hint="eastAsia" w:ascii="宋体" w:hAnsi="宋体" w:eastAsia="宋体" w:cs="宋体"/>
                <w:color w:val="auto"/>
                <w:spacing w:val="-3"/>
                <w:sz w:val="24"/>
                <w:szCs w:val="24"/>
              </w:rPr>
            </w:pPr>
            <w:r>
              <w:rPr>
                <w:rFonts w:hint="eastAsia" w:ascii="宋体" w:hAnsi="宋体" w:eastAsia="宋体" w:cs="宋体"/>
                <w:color w:val="auto"/>
                <w:spacing w:val="4"/>
                <w:sz w:val="24"/>
                <w:szCs w:val="24"/>
              </w:rPr>
              <w:t>20</w:t>
            </w:r>
          </w:p>
        </w:tc>
      </w:tr>
      <w:tr w14:paraId="6DD29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jc w:val="center"/>
        </w:trPr>
        <w:tc>
          <w:tcPr>
            <w:tcW w:w="844" w:type="dxa"/>
            <w:vAlign w:val="center"/>
          </w:tcPr>
          <w:p w14:paraId="3BD8122B">
            <w:pPr>
              <w:pStyle w:val="341"/>
              <w:jc w:val="center"/>
              <w:rPr>
                <w:rFonts w:hint="eastAsia" w:ascii="宋体" w:hAnsi="宋体" w:eastAsia="宋体" w:cs="宋体"/>
                <w:sz w:val="24"/>
                <w:szCs w:val="24"/>
              </w:rPr>
            </w:pPr>
            <w:r>
              <w:rPr>
                <w:rFonts w:hint="eastAsia" w:ascii="宋体" w:hAnsi="宋体" w:eastAsia="宋体" w:cs="宋体"/>
                <w:sz w:val="24"/>
                <w:szCs w:val="24"/>
                <w:lang w:eastAsia="zh-CN"/>
              </w:rPr>
              <w:t>6</w:t>
            </w:r>
          </w:p>
        </w:tc>
        <w:tc>
          <w:tcPr>
            <w:tcW w:w="1159" w:type="dxa"/>
            <w:vAlign w:val="center"/>
          </w:tcPr>
          <w:p w14:paraId="2B13E69B">
            <w:pPr>
              <w:pStyle w:val="341"/>
              <w:jc w:val="center"/>
              <w:rPr>
                <w:rFonts w:hint="eastAsia" w:ascii="宋体" w:hAnsi="宋体" w:eastAsia="宋体" w:cs="宋体"/>
                <w:spacing w:val="2"/>
                <w:sz w:val="24"/>
                <w:szCs w:val="24"/>
              </w:rPr>
            </w:pPr>
            <w:r>
              <w:rPr>
                <w:rFonts w:hint="eastAsia" w:ascii="宋体" w:hAnsi="宋体" w:eastAsia="宋体" w:cs="宋体"/>
                <w:spacing w:val="4"/>
                <w:sz w:val="24"/>
                <w:szCs w:val="24"/>
              </w:rPr>
              <w:t>更新率</w:t>
            </w:r>
          </w:p>
        </w:tc>
        <w:tc>
          <w:tcPr>
            <w:tcW w:w="4025" w:type="dxa"/>
            <w:vAlign w:val="center"/>
          </w:tcPr>
          <w:p w14:paraId="0DEEA775">
            <w:pPr>
              <w:pStyle w:val="341"/>
              <w:jc w:val="both"/>
              <w:rPr>
                <w:rFonts w:hint="eastAsia" w:ascii="宋体" w:hAnsi="宋体" w:eastAsia="宋体" w:cs="宋体"/>
                <w:spacing w:val="-2"/>
                <w:sz w:val="24"/>
                <w:szCs w:val="24"/>
                <w:lang w:eastAsia="zh-CN"/>
              </w:rPr>
            </w:pPr>
            <w:r>
              <w:rPr>
                <w:rFonts w:hint="eastAsia" w:ascii="宋体" w:hAnsi="宋体" w:eastAsia="宋体" w:cs="宋体"/>
                <w:spacing w:val="4"/>
                <w:sz w:val="24"/>
                <w:szCs w:val="24"/>
                <w:lang w:eastAsia="zh-CN"/>
              </w:rPr>
              <w:t>在规定期限内，根据采购人要求完成电子围栏、高位探头调整，以及相关系统服务提升，完成率达到100%。</w:t>
            </w:r>
          </w:p>
        </w:tc>
        <w:tc>
          <w:tcPr>
            <w:tcW w:w="2154" w:type="dxa"/>
            <w:vAlign w:val="center"/>
          </w:tcPr>
          <w:p w14:paraId="51D18EDD">
            <w:pPr>
              <w:pStyle w:val="341"/>
              <w:jc w:val="both"/>
              <w:rPr>
                <w:rFonts w:hint="eastAsia" w:ascii="宋体" w:hAnsi="宋体" w:eastAsia="宋体" w:cs="宋体"/>
                <w:spacing w:val="7"/>
                <w:sz w:val="24"/>
                <w:szCs w:val="24"/>
                <w:lang w:eastAsia="zh-CN"/>
              </w:rPr>
            </w:pPr>
            <w:r>
              <w:rPr>
                <w:rFonts w:hint="eastAsia" w:ascii="宋体" w:hAnsi="宋体" w:eastAsia="宋体" w:cs="宋体"/>
                <w:spacing w:val="4"/>
                <w:sz w:val="24"/>
                <w:szCs w:val="24"/>
                <w:lang w:eastAsia="zh-CN"/>
              </w:rPr>
              <w:t>每下降一个百分比扣1分，扣完为止。</w:t>
            </w:r>
          </w:p>
        </w:tc>
        <w:tc>
          <w:tcPr>
            <w:tcW w:w="974" w:type="dxa"/>
            <w:vAlign w:val="center"/>
          </w:tcPr>
          <w:p w14:paraId="23FC744E">
            <w:pPr>
              <w:pStyle w:val="341"/>
              <w:jc w:val="center"/>
              <w:rPr>
                <w:rFonts w:hint="eastAsia" w:ascii="宋体" w:hAnsi="宋体" w:eastAsia="宋体" w:cs="宋体"/>
                <w:spacing w:val="-3"/>
                <w:sz w:val="24"/>
                <w:szCs w:val="24"/>
              </w:rPr>
            </w:pPr>
            <w:r>
              <w:rPr>
                <w:rFonts w:hint="eastAsia" w:ascii="宋体" w:hAnsi="宋体" w:eastAsia="宋体" w:cs="宋体"/>
                <w:spacing w:val="4"/>
                <w:sz w:val="24"/>
                <w:szCs w:val="24"/>
              </w:rPr>
              <w:t>20</w:t>
            </w:r>
          </w:p>
        </w:tc>
      </w:tr>
      <w:tr w14:paraId="4B268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jc w:val="center"/>
        </w:trPr>
        <w:tc>
          <w:tcPr>
            <w:tcW w:w="844" w:type="dxa"/>
            <w:vAlign w:val="center"/>
          </w:tcPr>
          <w:p w14:paraId="39327608">
            <w:pPr>
              <w:pStyle w:val="341"/>
              <w:jc w:val="center"/>
              <w:rPr>
                <w:rFonts w:hint="eastAsia" w:ascii="宋体" w:hAnsi="宋体" w:eastAsia="宋体" w:cs="宋体"/>
                <w:sz w:val="24"/>
                <w:szCs w:val="24"/>
              </w:rPr>
            </w:pPr>
            <w:r>
              <w:rPr>
                <w:rFonts w:hint="eastAsia" w:ascii="宋体" w:hAnsi="宋体" w:eastAsia="宋体" w:cs="宋体"/>
                <w:sz w:val="24"/>
                <w:szCs w:val="24"/>
              </w:rPr>
              <w:t>7</w:t>
            </w:r>
          </w:p>
        </w:tc>
        <w:tc>
          <w:tcPr>
            <w:tcW w:w="1159" w:type="dxa"/>
            <w:vAlign w:val="center"/>
          </w:tcPr>
          <w:p w14:paraId="7AC6B81D">
            <w:pPr>
              <w:pStyle w:val="341"/>
              <w:jc w:val="center"/>
              <w:rPr>
                <w:rFonts w:hint="eastAsia" w:ascii="宋体" w:hAnsi="宋体" w:eastAsia="宋体" w:cs="宋体"/>
                <w:spacing w:val="2"/>
                <w:sz w:val="24"/>
                <w:szCs w:val="24"/>
                <w:lang w:eastAsia="zh-CN"/>
              </w:rPr>
            </w:pPr>
            <w:r>
              <w:rPr>
                <w:rFonts w:hint="eastAsia" w:ascii="宋体" w:hAnsi="宋体" w:eastAsia="宋体" w:cs="宋体"/>
                <w:spacing w:val="4"/>
                <w:sz w:val="24"/>
                <w:szCs w:val="24"/>
              </w:rPr>
              <w:t>安全</w:t>
            </w:r>
            <w:r>
              <w:rPr>
                <w:rFonts w:hint="eastAsia" w:ascii="宋体" w:hAnsi="宋体" w:eastAsia="宋体" w:cs="宋体"/>
                <w:spacing w:val="4"/>
                <w:sz w:val="24"/>
                <w:szCs w:val="24"/>
                <w:lang w:eastAsia="zh-CN"/>
              </w:rPr>
              <w:t>保障</w:t>
            </w:r>
          </w:p>
        </w:tc>
        <w:tc>
          <w:tcPr>
            <w:tcW w:w="4025" w:type="dxa"/>
            <w:vAlign w:val="center"/>
          </w:tcPr>
          <w:p w14:paraId="54E27D44">
            <w:pPr>
              <w:pStyle w:val="341"/>
              <w:jc w:val="both"/>
              <w:rPr>
                <w:rFonts w:hint="eastAsia" w:ascii="宋体" w:hAnsi="宋体" w:eastAsia="宋体" w:cs="宋体"/>
                <w:spacing w:val="-2"/>
                <w:sz w:val="24"/>
                <w:szCs w:val="24"/>
                <w:lang w:eastAsia="zh-CN"/>
              </w:rPr>
            </w:pPr>
            <w:r>
              <w:rPr>
                <w:rFonts w:hint="eastAsia" w:ascii="宋体" w:hAnsi="宋体" w:eastAsia="宋体" w:cs="宋体"/>
                <w:spacing w:val="4"/>
                <w:sz w:val="24"/>
                <w:szCs w:val="24"/>
                <w:lang w:eastAsia="zh-CN"/>
              </w:rPr>
              <w:t>根据等保2.0三级要求，全方位保障视频数据安全，不得发生数据泄露或私自将高位探头用作其他用途的情形。</w:t>
            </w:r>
          </w:p>
        </w:tc>
        <w:tc>
          <w:tcPr>
            <w:tcW w:w="2154" w:type="dxa"/>
            <w:vAlign w:val="center"/>
          </w:tcPr>
          <w:p w14:paraId="628F4EE0">
            <w:pPr>
              <w:pStyle w:val="341"/>
              <w:jc w:val="both"/>
              <w:rPr>
                <w:rFonts w:hint="eastAsia" w:ascii="宋体" w:hAnsi="宋体" w:eastAsia="宋体" w:cs="宋体"/>
                <w:spacing w:val="4"/>
                <w:sz w:val="24"/>
                <w:szCs w:val="24"/>
                <w:lang w:eastAsia="zh-CN"/>
              </w:rPr>
            </w:pPr>
          </w:p>
          <w:p w14:paraId="6D260E45">
            <w:pPr>
              <w:pStyle w:val="341"/>
              <w:jc w:val="both"/>
              <w:rPr>
                <w:rFonts w:hint="eastAsia" w:ascii="宋体" w:hAnsi="宋体" w:eastAsia="宋体" w:cs="宋体"/>
                <w:spacing w:val="7"/>
                <w:sz w:val="24"/>
                <w:szCs w:val="24"/>
                <w:lang w:eastAsia="zh-CN"/>
              </w:rPr>
            </w:pPr>
            <w:r>
              <w:rPr>
                <w:rFonts w:hint="eastAsia" w:ascii="宋体" w:hAnsi="宋体" w:eastAsia="宋体" w:cs="宋体"/>
                <w:spacing w:val="4"/>
                <w:sz w:val="24"/>
                <w:szCs w:val="24"/>
              </w:rPr>
              <w:t>出现一次，扣5分。</w:t>
            </w:r>
          </w:p>
        </w:tc>
        <w:tc>
          <w:tcPr>
            <w:tcW w:w="974" w:type="dxa"/>
            <w:vAlign w:val="center"/>
          </w:tcPr>
          <w:p w14:paraId="528815B1">
            <w:pPr>
              <w:pStyle w:val="341"/>
              <w:jc w:val="center"/>
              <w:rPr>
                <w:rFonts w:hint="eastAsia" w:ascii="宋体" w:hAnsi="宋体" w:eastAsia="宋体" w:cs="宋体"/>
                <w:spacing w:val="-3"/>
                <w:sz w:val="24"/>
                <w:szCs w:val="24"/>
              </w:rPr>
            </w:pPr>
            <w:r>
              <w:rPr>
                <w:rFonts w:hint="eastAsia" w:ascii="宋体" w:hAnsi="宋体" w:eastAsia="宋体" w:cs="宋体"/>
                <w:spacing w:val="4"/>
                <w:sz w:val="24"/>
                <w:szCs w:val="24"/>
              </w:rPr>
              <w:t>15</w:t>
            </w:r>
          </w:p>
        </w:tc>
      </w:tr>
      <w:tr w14:paraId="02284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jc w:val="center"/>
        </w:trPr>
        <w:tc>
          <w:tcPr>
            <w:tcW w:w="844" w:type="dxa"/>
            <w:vAlign w:val="center"/>
          </w:tcPr>
          <w:p w14:paraId="71C5B4CA">
            <w:pPr>
              <w:pStyle w:val="341"/>
              <w:jc w:val="center"/>
              <w:rPr>
                <w:rFonts w:hint="eastAsia" w:ascii="宋体" w:hAnsi="宋体" w:eastAsia="宋体" w:cs="宋体"/>
                <w:sz w:val="24"/>
                <w:szCs w:val="24"/>
              </w:rPr>
            </w:pPr>
            <w:r>
              <w:rPr>
                <w:rFonts w:hint="eastAsia" w:ascii="宋体" w:hAnsi="宋体" w:eastAsia="宋体" w:cs="宋体"/>
                <w:sz w:val="24"/>
                <w:szCs w:val="24"/>
              </w:rPr>
              <w:t>8</w:t>
            </w:r>
          </w:p>
        </w:tc>
        <w:tc>
          <w:tcPr>
            <w:tcW w:w="1159" w:type="dxa"/>
            <w:vAlign w:val="center"/>
          </w:tcPr>
          <w:p w14:paraId="46DFF238">
            <w:pPr>
              <w:pStyle w:val="341"/>
              <w:jc w:val="center"/>
              <w:rPr>
                <w:rFonts w:hint="eastAsia" w:ascii="宋体" w:hAnsi="宋体" w:eastAsia="宋体" w:cs="宋体"/>
                <w:spacing w:val="2"/>
                <w:sz w:val="24"/>
                <w:szCs w:val="24"/>
              </w:rPr>
            </w:pPr>
            <w:r>
              <w:rPr>
                <w:rFonts w:hint="eastAsia" w:ascii="宋体" w:hAnsi="宋体" w:eastAsia="宋体" w:cs="宋体"/>
                <w:spacing w:val="4"/>
                <w:sz w:val="24"/>
                <w:szCs w:val="24"/>
              </w:rPr>
              <w:t>重大事件保障</w:t>
            </w:r>
          </w:p>
        </w:tc>
        <w:tc>
          <w:tcPr>
            <w:tcW w:w="4025" w:type="dxa"/>
            <w:vAlign w:val="center"/>
          </w:tcPr>
          <w:p w14:paraId="75102DAB">
            <w:pPr>
              <w:pStyle w:val="341"/>
              <w:jc w:val="both"/>
              <w:rPr>
                <w:rFonts w:hint="eastAsia" w:ascii="宋体" w:hAnsi="宋体" w:eastAsia="宋体" w:cs="宋体"/>
                <w:spacing w:val="-2"/>
                <w:sz w:val="24"/>
                <w:szCs w:val="24"/>
                <w:lang w:eastAsia="zh-CN"/>
              </w:rPr>
            </w:pPr>
            <w:r>
              <w:rPr>
                <w:rFonts w:hint="eastAsia" w:ascii="宋体" w:hAnsi="宋体" w:eastAsia="宋体" w:cs="宋体"/>
                <w:spacing w:val="4"/>
                <w:sz w:val="24"/>
                <w:szCs w:val="24"/>
                <w:lang w:eastAsia="zh-CN"/>
              </w:rPr>
              <w:t>根据采购人要求每完成一次重大事件保障，加1分。</w:t>
            </w:r>
          </w:p>
        </w:tc>
        <w:tc>
          <w:tcPr>
            <w:tcW w:w="2154" w:type="dxa"/>
            <w:vAlign w:val="center"/>
          </w:tcPr>
          <w:p w14:paraId="4E037CCC">
            <w:pPr>
              <w:pStyle w:val="341"/>
              <w:jc w:val="both"/>
              <w:rPr>
                <w:rFonts w:hint="eastAsia" w:ascii="宋体" w:hAnsi="宋体" w:eastAsia="宋体" w:cs="宋体"/>
                <w:spacing w:val="7"/>
                <w:sz w:val="24"/>
                <w:szCs w:val="24"/>
                <w:lang w:eastAsia="zh-CN"/>
              </w:rPr>
            </w:pPr>
            <w:r>
              <w:rPr>
                <w:rFonts w:hint="eastAsia" w:ascii="宋体" w:hAnsi="宋体" w:eastAsia="宋体" w:cs="宋体"/>
                <w:spacing w:val="4"/>
                <w:sz w:val="24"/>
                <w:szCs w:val="24"/>
              </w:rPr>
              <w:t>每发生一次加1分。</w:t>
            </w:r>
          </w:p>
        </w:tc>
        <w:tc>
          <w:tcPr>
            <w:tcW w:w="974" w:type="dxa"/>
            <w:vAlign w:val="center"/>
          </w:tcPr>
          <w:p w14:paraId="7AEB4E29">
            <w:pPr>
              <w:pStyle w:val="341"/>
              <w:jc w:val="center"/>
              <w:rPr>
                <w:rFonts w:hint="eastAsia" w:ascii="宋体" w:hAnsi="宋体" w:eastAsia="宋体" w:cs="宋体"/>
                <w:spacing w:val="-3"/>
                <w:sz w:val="24"/>
                <w:szCs w:val="24"/>
              </w:rPr>
            </w:pPr>
            <w:r>
              <w:rPr>
                <w:rFonts w:hint="eastAsia" w:ascii="宋体" w:hAnsi="宋体" w:eastAsia="宋体" w:cs="宋体"/>
                <w:spacing w:val="4"/>
                <w:sz w:val="24"/>
                <w:szCs w:val="24"/>
              </w:rPr>
              <w:t>加分项</w:t>
            </w:r>
          </w:p>
        </w:tc>
      </w:tr>
    </w:tbl>
    <w:p w14:paraId="1D7F2777">
      <w:pPr>
        <w:pStyle w:val="87"/>
        <w:spacing w:line="500" w:lineRule="exact"/>
        <w:ind w:left="0" w:leftChars="0" w:firstLine="240" w:firstLineChars="100"/>
        <w:rPr>
          <w:rFonts w:hint="default" w:eastAsia="宋体" w:cs="宋体"/>
          <w:szCs w:val="28"/>
          <w:highlight w:val="none"/>
          <w:lang w:val="en-US" w:eastAsia="zh-CN"/>
        </w:rPr>
      </w:pPr>
    </w:p>
    <w:p w14:paraId="6941FBAE">
      <w:pPr>
        <w:pStyle w:val="800"/>
        <w:tabs>
          <w:tab w:val="left" w:pos="822"/>
        </w:tabs>
        <w:spacing w:line="360" w:lineRule="auto"/>
        <w:ind w:left="0" w:firstLine="480" w:firstLineChars="200"/>
        <w:rPr>
          <w:rFonts w:hint="eastAsia" w:ascii="宋体" w:hAnsi="宋体" w:cs="宋体"/>
          <w:color w:val="000000"/>
          <w:sz w:val="24"/>
          <w:szCs w:val="28"/>
          <w:highlight w:val="none"/>
        </w:rPr>
        <w:sectPr>
          <w:pgSz w:w="11906" w:h="16838"/>
          <w:pgMar w:top="680" w:right="1361" w:bottom="680" w:left="1361" w:header="851" w:footer="992" w:gutter="0"/>
          <w:cols w:space="720" w:num="1"/>
          <w:docGrid w:type="lines" w:linePitch="312" w:charSpace="0"/>
        </w:sectPr>
      </w:pPr>
      <w:bookmarkStart w:id="47" w:name="_Toc234829829"/>
      <w:bookmarkStart w:id="48" w:name="_Toc438629186"/>
    </w:p>
    <w:bookmarkEnd w:id="47"/>
    <w:bookmarkEnd w:id="48"/>
    <w:p w14:paraId="17BF60A8">
      <w:pPr>
        <w:spacing w:line="360" w:lineRule="auto"/>
        <w:ind w:firstLine="241" w:firstLineChars="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商务要求</w:t>
      </w:r>
    </w:p>
    <w:p w14:paraId="5A221115">
      <w:pPr>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1.总体要求：</w:t>
      </w:r>
      <w:r>
        <w:rPr>
          <w:rFonts w:hint="eastAsia" w:ascii="宋体" w:hAnsi="宋体" w:eastAsia="宋体" w:cs="宋体"/>
          <w:color w:val="auto"/>
          <w:sz w:val="24"/>
          <w:highlight w:val="none"/>
        </w:rPr>
        <w:t>必须符合招标文件（包括补充更正，如有）的服务要求，符合国家相关服务标准和招标文件规定标准。</w:t>
      </w:r>
    </w:p>
    <w:p w14:paraId="16CD2403">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2.付款方式：</w:t>
      </w:r>
      <w:r>
        <w:rPr>
          <w:rFonts w:hint="eastAsia" w:ascii="宋体" w:hAnsi="宋体" w:eastAsia="宋体" w:cs="宋体"/>
          <w:color w:val="auto"/>
          <w:sz w:val="24"/>
          <w:highlight w:val="none"/>
        </w:rPr>
        <w:t>按财务结算要求，通过银行划账方式结算。</w:t>
      </w:r>
    </w:p>
    <w:p w14:paraId="0E4D875D">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3.服务期限</w:t>
      </w:r>
    </w:p>
    <w:p w14:paraId="5D98A30D">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）本项目的服务期为一年，自政府采购合同签订生效之日起计算。一年服务期满后，若年度考核平均分达到优秀（90分及以上，考核办法见附件）的，可以按照本次</w:t>
      </w:r>
      <w:r>
        <w:rPr>
          <w:rFonts w:hint="eastAsia" w:ascii="宋体" w:hAnsi="宋体" w:cs="宋体"/>
          <w:bCs/>
          <w:color w:val="000000" w:themeColor="text1"/>
          <w:sz w:val="24"/>
          <w:highlight w:val="none"/>
          <w:lang w:val="en-US" w:eastAsia="zh-CN"/>
          <w14:textFill>
            <w14:solidFill>
              <w14:schemeClr w14:val="tx1"/>
            </w14:solidFill>
          </w14:textFill>
        </w:rPr>
        <w:t>年度</w:t>
      </w:r>
      <w:r>
        <w:rPr>
          <w:rFonts w:hint="eastAsia" w:ascii="宋体" w:hAnsi="宋体" w:eastAsia="宋体" w:cs="宋体"/>
          <w:color w:val="auto"/>
          <w:sz w:val="24"/>
          <w:highlight w:val="none"/>
          <w:lang w:eastAsia="zh-CN"/>
        </w:rPr>
        <w:t>中标价续签一年，续签次数≤2次。除因政策性因素引起改变的，续签合同的主要条款不予调整。</w:t>
      </w:r>
    </w:p>
    <w:p w14:paraId="63175F33">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标准：符合我国国家或部门有关技术规范要求和技术标准。</w:t>
      </w:r>
    </w:p>
    <w:p w14:paraId="3F5A5DD0">
      <w:pPr>
        <w:spacing w:line="360" w:lineRule="auto"/>
        <w:ind w:firstLine="480"/>
        <w:jc w:val="left"/>
        <w:rPr>
          <w:rFonts w:hint="eastAsia" w:ascii="宋体" w:hAnsi="宋体" w:cs="宋体"/>
          <w:bCs/>
          <w:kern w:val="0"/>
          <w:sz w:val="24"/>
          <w:szCs w:val="24"/>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投标供应商应在投标文件中应提供实施计划。</w:t>
      </w:r>
    </w:p>
    <w:p w14:paraId="621BE0D2">
      <w:pPr>
        <w:autoSpaceDE w:val="0"/>
        <w:autoSpaceDN w:val="0"/>
        <w:adjustRightInd w:val="0"/>
        <w:snapToGrid w:val="0"/>
        <w:spacing w:line="460" w:lineRule="exact"/>
        <w:ind w:firstLine="472" w:firstLineChars="196"/>
        <w:textAlignment w:val="bottom"/>
        <w:rPr>
          <w:rFonts w:hint="eastAsia" w:ascii="宋体" w:hAnsi="宋体"/>
          <w:b/>
          <w:sz w:val="24"/>
        </w:rPr>
      </w:pPr>
      <w:r>
        <w:rPr>
          <w:rFonts w:hint="eastAsia" w:ascii="宋体" w:hAnsi="宋体"/>
          <w:b/>
          <w:sz w:val="24"/>
          <w:lang w:val="en-US" w:eastAsia="zh-CN"/>
        </w:rPr>
        <w:t>4.</w:t>
      </w:r>
      <w:r>
        <w:rPr>
          <w:rFonts w:hint="eastAsia" w:ascii="宋体" w:hAnsi="宋体"/>
          <w:b/>
          <w:sz w:val="24"/>
        </w:rPr>
        <w:t>售后服务</w:t>
      </w:r>
    </w:p>
    <w:p w14:paraId="6DC4B0E9">
      <w:pPr>
        <w:pStyle w:val="87"/>
        <w:spacing w:line="500" w:lineRule="exact"/>
        <w:rPr>
          <w:rFonts w:hint="eastAsia" w:eastAsia="宋体" w:cs="宋体"/>
          <w:color w:val="000000"/>
          <w:szCs w:val="28"/>
        </w:rPr>
      </w:pPr>
      <w:r>
        <w:rPr>
          <w:rFonts w:hint="eastAsia" w:eastAsia="宋体" w:cs="宋体"/>
          <w:color w:val="000000"/>
          <w:szCs w:val="28"/>
        </w:rPr>
        <w:t>（</w:t>
      </w:r>
      <w:r>
        <w:rPr>
          <w:rFonts w:eastAsia="宋体" w:cs="宋体"/>
          <w:color w:val="000000"/>
          <w:szCs w:val="28"/>
        </w:rPr>
        <w:t>1</w:t>
      </w:r>
      <w:r>
        <w:rPr>
          <w:rFonts w:hint="eastAsia" w:eastAsia="宋体" w:cs="宋体"/>
          <w:color w:val="000000"/>
          <w:szCs w:val="28"/>
        </w:rPr>
        <w:t>）投标供应商须提供经调试、试运行、验收合格后至少3年的质保期</w:t>
      </w:r>
      <w:r>
        <w:rPr>
          <w:rFonts w:eastAsia="宋体" w:cs="宋体"/>
          <w:color w:val="000000"/>
          <w:szCs w:val="28"/>
        </w:rPr>
        <w:t>(</w:t>
      </w:r>
      <w:r>
        <w:rPr>
          <w:rFonts w:hint="eastAsia" w:eastAsia="宋体" w:cs="宋体"/>
          <w:color w:val="000000"/>
          <w:szCs w:val="28"/>
        </w:rPr>
        <w:t>投标人可根据自身实力作出更长时间的质保承诺</w:t>
      </w:r>
      <w:r>
        <w:rPr>
          <w:rFonts w:eastAsia="宋体" w:cs="宋体"/>
          <w:color w:val="000000"/>
          <w:szCs w:val="28"/>
        </w:rPr>
        <w:t>)</w:t>
      </w:r>
      <w:r>
        <w:rPr>
          <w:rFonts w:hint="eastAsia" w:eastAsia="宋体" w:cs="宋体"/>
          <w:color w:val="000000"/>
          <w:szCs w:val="28"/>
        </w:rPr>
        <w:t>。在此期间，投标人应免费处理因质量发生的故障，并进行正常保养。</w:t>
      </w:r>
    </w:p>
    <w:p w14:paraId="4560874F">
      <w:pPr>
        <w:pStyle w:val="87"/>
        <w:spacing w:line="500" w:lineRule="exact"/>
        <w:rPr>
          <w:rFonts w:eastAsia="宋体" w:cs="宋体"/>
          <w:color w:val="000000"/>
          <w:szCs w:val="28"/>
        </w:rPr>
      </w:pPr>
      <w:r>
        <w:rPr>
          <w:rFonts w:hint="eastAsia" w:eastAsia="宋体" w:cs="宋体"/>
          <w:color w:val="000000"/>
          <w:szCs w:val="28"/>
        </w:rPr>
        <w:t>（2）服务响应及维护：投标单位提供7×24全天候服务，监控报警需在1小时内报至招标单位，并于每月5日之前出具上月度高空瞭望分析报告；及时解决故障，故障电话半小时内必须响应，现场排除故障响应时间小于8小时，24小时内恢复系统正常运行。若24小时内无法修复的，应48小时内提供相应备用设备并负责安装调试。</w:t>
      </w:r>
    </w:p>
    <w:p w14:paraId="55D51701">
      <w:pPr>
        <w:pStyle w:val="87"/>
        <w:spacing w:line="500" w:lineRule="exact"/>
        <w:rPr>
          <w:rFonts w:hint="eastAsia" w:eastAsia="宋体" w:cs="宋体"/>
          <w:color w:val="000000"/>
          <w:szCs w:val="28"/>
        </w:rPr>
      </w:pPr>
      <w:r>
        <w:rPr>
          <w:rFonts w:hint="eastAsia" w:eastAsia="宋体" w:cs="宋体"/>
          <w:color w:val="000000"/>
          <w:szCs w:val="28"/>
        </w:rPr>
        <w:t>（3）中标供应商必须有可靠的售后服务保障包括但不限于在附近有固定的维修服务点，能提供正常的技术、备品备件服务。中标人在接到招标人通知后，在接到用户维修要求后在0.5小时内响应并提出解决方案，4小时内派人赴现场处理设备质量问题。</w:t>
      </w:r>
      <w:r>
        <w:rPr>
          <w:rFonts w:eastAsia="宋体" w:cs="宋体"/>
          <w:color w:val="000000"/>
          <w:szCs w:val="28"/>
        </w:rPr>
        <w:t>24</w:t>
      </w:r>
      <w:r>
        <w:rPr>
          <w:rFonts w:hint="eastAsia" w:eastAsia="宋体" w:cs="宋体"/>
          <w:color w:val="000000"/>
          <w:szCs w:val="28"/>
        </w:rPr>
        <w:t>小时内不能修复的，则无偿提供备机或备用零件供采购人使用。</w:t>
      </w:r>
    </w:p>
    <w:p w14:paraId="48CA86A9">
      <w:pPr>
        <w:pStyle w:val="32"/>
        <w:spacing w:line="440" w:lineRule="exact"/>
        <w:ind w:firstLine="360" w:firstLineChars="150"/>
        <w:rPr>
          <w:rFonts w:hAnsi="宋体" w:cs="宋体"/>
          <w:sz w:val="24"/>
          <w:szCs w:val="24"/>
        </w:rPr>
      </w:pPr>
      <w:r>
        <w:rPr>
          <w:rFonts w:hAnsi="宋体" w:cs="宋体"/>
          <w:sz w:val="24"/>
          <w:szCs w:val="24"/>
        </w:rPr>
        <w:t>（4）中标供应商设有售后服务机构，提供长期的专业化服务和技术支持。技术支持的方式包括：电话咨询、现场维护、现场培训、定期巡查、技术升级等。</w:t>
      </w:r>
      <w:r>
        <w:rPr>
          <w:rFonts w:hint="eastAsia" w:hAnsi="宋体" w:cs="宋体"/>
          <w:sz w:val="24"/>
          <w:szCs w:val="24"/>
        </w:rPr>
        <w:t>中标供应商免费提供涉及本项目工作的相关后续服务工作。</w:t>
      </w:r>
    </w:p>
    <w:p w14:paraId="6DE5ECFC">
      <w:pPr>
        <w:autoSpaceDE w:val="0"/>
        <w:autoSpaceDN w:val="0"/>
        <w:adjustRightInd w:val="0"/>
        <w:snapToGrid w:val="0"/>
        <w:spacing w:line="460" w:lineRule="exact"/>
        <w:ind w:left="-181" w:leftChars="-86" w:right="-178" w:rightChars="-85" w:firstLine="597" w:firstLineChars="249"/>
        <w:textAlignment w:val="bottom"/>
        <w:rPr>
          <w:rFonts w:hint="eastAsia" w:ascii="宋体" w:hAnsi="宋体" w:cs="宋体"/>
          <w:sz w:val="24"/>
        </w:rPr>
      </w:pPr>
      <w:r>
        <w:rPr>
          <w:rFonts w:hint="eastAsia" w:ascii="宋体" w:hAnsi="宋体" w:cs="宋体"/>
          <w:sz w:val="24"/>
        </w:rPr>
        <w:t>（5）供应商在投标文件中须说明保修期内提供的服务计划。</w:t>
      </w:r>
    </w:p>
    <w:p w14:paraId="74FBA8A2">
      <w:pPr>
        <w:autoSpaceDE w:val="0"/>
        <w:autoSpaceDN w:val="0"/>
        <w:adjustRightInd w:val="0"/>
        <w:snapToGrid w:val="0"/>
        <w:spacing w:line="440" w:lineRule="exact"/>
        <w:ind w:left="-181" w:leftChars="-86" w:right="-178" w:rightChars="-85" w:firstLine="723" w:firstLineChars="300"/>
        <w:textAlignment w:val="bottom"/>
        <w:rPr>
          <w:rFonts w:hint="eastAsia" w:ascii="宋体" w:hAnsi="宋体"/>
          <w:b/>
          <w:sz w:val="24"/>
        </w:rPr>
      </w:pPr>
      <w:r>
        <w:rPr>
          <w:rFonts w:hint="eastAsia" w:ascii="宋体" w:hAnsi="宋体"/>
          <w:b/>
          <w:sz w:val="24"/>
          <w:lang w:val="en-US" w:eastAsia="zh-CN"/>
        </w:rPr>
        <w:t>5.</w:t>
      </w:r>
      <w:r>
        <w:rPr>
          <w:rFonts w:hint="eastAsia" w:ascii="宋体" w:hAnsi="宋体"/>
          <w:b/>
          <w:sz w:val="24"/>
        </w:rPr>
        <w:t>培训</w:t>
      </w:r>
    </w:p>
    <w:p w14:paraId="357E3B97">
      <w:pPr>
        <w:spacing w:line="440" w:lineRule="exact"/>
        <w:ind w:right="-176" w:rightChars="-84" w:firstLine="480" w:firstLineChars="200"/>
        <w:rPr>
          <w:rFonts w:hint="default" w:ascii="宋体" w:hAnsi="宋体" w:eastAsia="宋体"/>
          <w:bCs/>
          <w:sz w:val="24"/>
          <w:szCs w:val="24"/>
          <w:lang w:val="en-US" w:eastAsia="zh-CN"/>
        </w:rPr>
      </w:pPr>
      <w:r>
        <w:rPr>
          <w:rFonts w:hint="eastAsia" w:ascii="宋体" w:hAnsi="宋体" w:cs="宋体"/>
          <w:sz w:val="24"/>
        </w:rPr>
        <w:t>中标供应商应对采购人的操作人员及维修人员提供技术培训，使其能对设备进行日常操作和维护保养及能对一般故障进行维修。</w:t>
      </w:r>
      <w:r>
        <w:rPr>
          <w:rFonts w:hint="eastAsia" w:ascii="宋体" w:hAnsi="宋体"/>
          <w:snapToGrid w:val="0"/>
          <w:kern w:val="0"/>
          <w:sz w:val="24"/>
        </w:rPr>
        <w:t>投标方应提供相应的培训计划，详细说明培训的方式、地点、人数、</w:t>
      </w:r>
      <w:r>
        <w:rPr>
          <w:rFonts w:hint="eastAsia" w:ascii="宋体" w:hAnsi="宋体"/>
          <w:sz w:val="24"/>
        </w:rPr>
        <w:t>时间等实质性内容。</w:t>
      </w:r>
    </w:p>
    <w:p w14:paraId="7435A48D">
      <w:pPr>
        <w:spacing w:line="360" w:lineRule="auto"/>
        <w:ind w:firstLine="480"/>
        <w:jc w:val="left"/>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rPr>
        <w:t>.项目款的结算</w:t>
      </w:r>
    </w:p>
    <w:p w14:paraId="3A3F8989">
      <w:pPr>
        <w:spacing w:line="360" w:lineRule="auto"/>
        <w:ind w:firstLine="48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采购单位根据合同、投标文件等资料进行验收。</w:t>
      </w:r>
    </w:p>
    <w:p w14:paraId="242F2B5B">
      <w:pPr>
        <w:spacing w:line="360" w:lineRule="auto"/>
        <w:ind w:firstLine="480" w:firstLineChars="200"/>
        <w:jc w:val="left"/>
        <w:rPr>
          <w:rFonts w:hint="eastAsia" w:ascii="宋体" w:hAnsi="宋体" w:eastAsia="宋体" w:cs="宋体"/>
          <w:b w:val="0"/>
          <w:bCs w:val="0"/>
          <w:color w:val="auto"/>
          <w:sz w:val="24"/>
          <w:highlight w:val="none"/>
          <w:lang w:val="en-US"/>
        </w:rPr>
      </w:pPr>
      <w:r>
        <w:rPr>
          <w:rFonts w:hint="eastAsia" w:ascii="宋体" w:hAnsi="宋体" w:cs="宋体"/>
          <w:b w:val="0"/>
          <w:bCs w:val="0"/>
          <w:color w:val="auto"/>
          <w:sz w:val="24"/>
          <w:highlight w:val="none"/>
          <w:lang w:val="en-US" w:eastAsia="zh-CN"/>
        </w:rPr>
        <w:t xml:space="preserve">签订合同后7个工作日内支付一年合同价的50%预付款（供应商需提供相应金额的预付款保函至采购单位） </w:t>
      </w: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val="en-US" w:eastAsia="zh-CN"/>
        </w:rPr>
        <w:t>一年</w:t>
      </w:r>
      <w:r>
        <w:rPr>
          <w:rFonts w:hint="eastAsia" w:ascii="宋体" w:hAnsi="宋体" w:cs="宋体"/>
          <w:bCs/>
          <w:sz w:val="24"/>
        </w:rPr>
        <w:t>服务期满经验收合格后</w:t>
      </w:r>
      <w:r>
        <w:rPr>
          <w:rFonts w:hint="eastAsia" w:ascii="宋体" w:hAnsi="宋体" w:cs="宋体"/>
          <w:sz w:val="24"/>
        </w:rPr>
        <w:t>5个工作日内支付一年合同价的50%。</w:t>
      </w:r>
    </w:p>
    <w:p w14:paraId="70BDD677">
      <w:pPr>
        <w:spacing w:line="360" w:lineRule="auto"/>
        <w:ind w:firstLine="48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 xml:space="preserve"> </w:t>
      </w:r>
      <w:r>
        <w:rPr>
          <w:rFonts w:hint="eastAsia" w:ascii="宋体" w:hAnsi="宋体" w:eastAsia="宋体" w:cs="宋体"/>
          <w:color w:val="auto"/>
          <w:sz w:val="24"/>
          <w:highlight w:val="none"/>
        </w:rPr>
        <w:t>结算时供应商将结款申请1份、发票原件及复印件1份、合同复印件1份和经采购</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验收确认的《建德市政府采购验收反馈表》（还需提供验收报告）提交采购</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应自收到发票后5个工作日内支付相应款项。</w:t>
      </w:r>
    </w:p>
    <w:p w14:paraId="627C6819">
      <w:pPr>
        <w:spacing w:line="360" w:lineRule="auto"/>
        <w:ind w:firstLine="480"/>
        <w:jc w:val="left"/>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rPr>
        <w:t>.验收：</w:t>
      </w:r>
    </w:p>
    <w:p w14:paraId="7EB4B936">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货方应提供系统设备的有效检验材料，经采购单位认可后，与合同的技术指标一起作为验收标准。采购单位对系统设备验收合格后，在《建德市政府采购验收反馈表》上签署意见并加盖单位公章。验收中发现系统设备达不到验收标准或合同规定的技术指标，卖方必须更换，并负担由此给用户造成的损失，直到验收合格为止。</w:t>
      </w:r>
    </w:p>
    <w:p w14:paraId="057BDF7B">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（2）投标方应于投标书中提供系统设备的验收标准和检测办法，并在验收中提供买方认可的相应检测手段，验收标准应符合中国有关的国家、地方、行业的标准，如若中标，经买方确认后作为验收的依据。</w:t>
      </w:r>
    </w:p>
    <w:p w14:paraId="71726DD3">
      <w:pPr>
        <w:spacing w:line="360" w:lineRule="auto"/>
        <w:ind w:firstLine="480"/>
        <w:jc w:val="left"/>
        <w:rPr>
          <w:rFonts w:hint="eastAsia" w:ascii="宋体" w:hAnsi="宋体" w:eastAsia="宋体" w:cs="Times New Roman"/>
          <w:bCs/>
          <w:sz w:val="24"/>
          <w:szCs w:val="24"/>
          <w:lang w:val="en-US" w:eastAsia="zh-CN"/>
        </w:rPr>
      </w:pPr>
      <w:r>
        <w:rPr>
          <w:rFonts w:hint="eastAsia" w:ascii="宋体" w:hAnsi="宋体" w:eastAsia="宋体" w:cs="宋体"/>
          <w:color w:val="auto"/>
          <w:sz w:val="24"/>
          <w:highlight w:val="none"/>
        </w:rPr>
        <w:t>（3）验收费用由产品供应商承担。</w:t>
      </w:r>
    </w:p>
    <w:p w14:paraId="250F278E">
      <w:pPr>
        <w:pStyle w:val="81"/>
        <w:spacing w:before="120"/>
        <w:ind w:firstLine="482"/>
        <w:rPr>
          <w:rFonts w:hint="eastAsia" w:ascii="宋体" w:hAnsi="宋体" w:eastAsia="宋体" w:cs="宋体"/>
          <w:color w:val="auto"/>
          <w:sz w:val="24"/>
          <w:highlight w:val="none"/>
        </w:rPr>
      </w:pP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.履约保证金</w:t>
      </w:r>
      <w:r>
        <w:rPr>
          <w:rFonts w:hint="eastAsia" w:ascii="宋体" w:hAnsi="宋体" w:eastAsia="宋体" w:cs="宋体"/>
          <w:b/>
          <w:bCs/>
          <w:color w:val="auto"/>
          <w:highlight w:val="none"/>
          <w:lang w:eastAsia="zh-CN"/>
        </w:rPr>
        <w:t>：</w:t>
      </w: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highlight w:val="none"/>
        </w:rPr>
        <w:t>免收履约保证金。</w:t>
      </w:r>
    </w:p>
    <w:p w14:paraId="019B84D8">
      <w:pPr>
        <w:pStyle w:val="81"/>
        <w:spacing w:before="120"/>
        <w:ind w:firstLine="482"/>
        <w:rPr>
          <w:rFonts w:hint="eastAsia" w:ascii="宋体" w:hAnsi="宋体" w:eastAsia="宋体" w:cs="宋体"/>
          <w:color w:val="auto"/>
          <w:sz w:val="24"/>
          <w:highlight w:val="none"/>
        </w:rPr>
      </w:pPr>
    </w:p>
    <w:p w14:paraId="04C6D4D6">
      <w:pPr>
        <w:pStyle w:val="81"/>
        <w:spacing w:before="120"/>
        <w:ind w:firstLine="482"/>
        <w:rPr>
          <w:rFonts w:hint="eastAsia" w:ascii="宋体" w:hAnsi="宋体" w:eastAsia="宋体" w:cs="宋体"/>
          <w:color w:val="auto"/>
          <w:sz w:val="24"/>
          <w:highlight w:val="none"/>
        </w:rPr>
      </w:pPr>
    </w:p>
    <w:p w14:paraId="65E664AA">
      <w:pPr>
        <w:pStyle w:val="81"/>
        <w:spacing w:before="120"/>
        <w:ind w:firstLine="482"/>
        <w:rPr>
          <w:rFonts w:hint="eastAsia" w:ascii="宋体" w:hAnsi="宋体" w:eastAsia="宋体" w:cs="宋体"/>
          <w:color w:val="auto"/>
          <w:sz w:val="24"/>
          <w:highlight w:val="none"/>
        </w:rPr>
      </w:pPr>
    </w:p>
    <w:p w14:paraId="1E0957E0">
      <w:pPr>
        <w:pStyle w:val="81"/>
        <w:spacing w:before="120"/>
        <w:ind w:firstLine="482"/>
        <w:rPr>
          <w:rFonts w:hint="eastAsia" w:ascii="宋体" w:hAnsi="宋体" w:eastAsia="宋体" w:cs="宋体"/>
          <w:color w:val="auto"/>
          <w:sz w:val="24"/>
          <w:highlight w:val="none"/>
        </w:rPr>
      </w:pPr>
    </w:p>
    <w:p w14:paraId="0B597A9C">
      <w:pPr>
        <w:pStyle w:val="81"/>
        <w:spacing w:before="120"/>
        <w:ind w:firstLine="482"/>
        <w:rPr>
          <w:rFonts w:hint="eastAsia" w:ascii="宋体" w:hAnsi="宋体" w:eastAsia="宋体" w:cs="宋体"/>
          <w:color w:val="auto"/>
          <w:sz w:val="24"/>
          <w:highlight w:val="none"/>
        </w:rPr>
      </w:pPr>
    </w:p>
    <w:p w14:paraId="7DFA777A">
      <w:pPr>
        <w:pStyle w:val="81"/>
        <w:spacing w:before="120"/>
        <w:ind w:firstLine="482"/>
        <w:rPr>
          <w:rFonts w:hint="eastAsia" w:ascii="宋体" w:hAnsi="宋体" w:eastAsia="宋体" w:cs="宋体"/>
          <w:color w:val="auto"/>
          <w:sz w:val="24"/>
          <w:highlight w:val="none"/>
        </w:rPr>
      </w:pPr>
    </w:p>
    <w:p w14:paraId="0B7C5791">
      <w:pPr>
        <w:pStyle w:val="81"/>
        <w:spacing w:before="120"/>
        <w:ind w:firstLine="482"/>
        <w:rPr>
          <w:rFonts w:hint="eastAsia" w:ascii="宋体" w:hAnsi="宋体" w:eastAsia="宋体" w:cs="宋体"/>
          <w:color w:val="auto"/>
          <w:sz w:val="24"/>
          <w:highlight w:val="none"/>
        </w:rPr>
      </w:pPr>
    </w:p>
    <w:p w14:paraId="5B214968">
      <w:pPr>
        <w:numPr>
          <w:ilvl w:val="0"/>
          <w:numId w:val="1"/>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bookmarkStart w:id="49" w:name="_Toc184310287"/>
      <w:bookmarkEnd w:id="49"/>
      <w:bookmarkStart w:id="50" w:name="_Toc184312110"/>
      <w:bookmarkEnd w:id="50"/>
      <w:bookmarkStart w:id="51" w:name="_Toc184313262"/>
      <w:bookmarkEnd w:id="51"/>
      <w:bookmarkStart w:id="52" w:name="_Toc184314422"/>
      <w:bookmarkEnd w:id="52"/>
      <w:bookmarkStart w:id="53" w:name="_Toc184314462"/>
      <w:bookmarkEnd w:id="53"/>
      <w:bookmarkStart w:id="54" w:name="_Toc184310316"/>
      <w:bookmarkEnd w:id="54"/>
      <w:bookmarkStart w:id="55" w:name="_Toc184314458"/>
      <w:bookmarkEnd w:id="55"/>
      <w:bookmarkStart w:id="56" w:name="_Toc184312130"/>
      <w:bookmarkEnd w:id="56"/>
      <w:bookmarkStart w:id="57" w:name="_Toc184308068"/>
      <w:bookmarkEnd w:id="57"/>
      <w:bookmarkStart w:id="58" w:name="_Toc184313246"/>
      <w:bookmarkEnd w:id="58"/>
      <w:bookmarkStart w:id="59" w:name="_Toc184314437"/>
      <w:bookmarkEnd w:id="59"/>
      <w:bookmarkStart w:id="60" w:name="_Toc184310333"/>
      <w:bookmarkEnd w:id="60"/>
      <w:bookmarkStart w:id="61" w:name="_Toc184312077"/>
      <w:bookmarkEnd w:id="61"/>
      <w:bookmarkStart w:id="62" w:name="_Toc184313285"/>
      <w:bookmarkEnd w:id="62"/>
      <w:bookmarkStart w:id="63" w:name="_Toc184308083"/>
      <w:bookmarkEnd w:id="63"/>
      <w:bookmarkStart w:id="64" w:name="_Toc184312073"/>
      <w:bookmarkEnd w:id="64"/>
      <w:bookmarkStart w:id="65" w:name="_Toc184308105"/>
      <w:bookmarkEnd w:id="65"/>
      <w:bookmarkStart w:id="66" w:name="_Toc184314460"/>
      <w:bookmarkEnd w:id="66"/>
      <w:bookmarkStart w:id="67" w:name="_Toc184310274"/>
      <w:bookmarkEnd w:id="67"/>
      <w:bookmarkStart w:id="68" w:name="_Toc184312122"/>
      <w:bookmarkEnd w:id="68"/>
      <w:bookmarkStart w:id="69" w:name="_Toc184313278"/>
      <w:bookmarkEnd w:id="69"/>
      <w:bookmarkStart w:id="70" w:name="_Toc184313282"/>
      <w:bookmarkEnd w:id="70"/>
      <w:bookmarkStart w:id="71" w:name="_Toc184308078"/>
      <w:bookmarkEnd w:id="71"/>
      <w:bookmarkStart w:id="72" w:name="_Toc184308087"/>
      <w:bookmarkEnd w:id="72"/>
      <w:bookmarkStart w:id="73" w:name="_Toc184310327"/>
      <w:bookmarkEnd w:id="73"/>
      <w:bookmarkStart w:id="74" w:name="_Toc184313307"/>
      <w:bookmarkEnd w:id="74"/>
      <w:bookmarkStart w:id="75" w:name="_Toc184313310"/>
      <w:bookmarkEnd w:id="75"/>
      <w:bookmarkStart w:id="76" w:name="_Toc184308084"/>
      <w:bookmarkEnd w:id="76"/>
      <w:bookmarkStart w:id="77" w:name="_Toc184313250"/>
      <w:bookmarkEnd w:id="77"/>
      <w:bookmarkStart w:id="78" w:name="_Toc184313258"/>
      <w:bookmarkEnd w:id="78"/>
      <w:bookmarkStart w:id="79" w:name="_Toc184313270"/>
      <w:bookmarkEnd w:id="79"/>
      <w:bookmarkStart w:id="80" w:name="_Toc184310272"/>
      <w:bookmarkEnd w:id="80"/>
      <w:bookmarkStart w:id="81" w:name="_Toc184310342"/>
      <w:bookmarkEnd w:id="81"/>
      <w:bookmarkStart w:id="82" w:name="_Toc184312071"/>
      <w:bookmarkEnd w:id="82"/>
      <w:bookmarkStart w:id="83" w:name="_Toc184308098"/>
      <w:bookmarkEnd w:id="83"/>
      <w:bookmarkStart w:id="84" w:name="_Toc184308092"/>
      <w:bookmarkEnd w:id="84"/>
      <w:bookmarkStart w:id="85" w:name="_Toc184313276"/>
      <w:bookmarkEnd w:id="85"/>
      <w:bookmarkStart w:id="86" w:name="_Toc184314470"/>
      <w:bookmarkEnd w:id="86"/>
      <w:bookmarkStart w:id="87" w:name="_Toc184314446"/>
      <w:bookmarkEnd w:id="87"/>
      <w:bookmarkStart w:id="88" w:name="_Toc184314473"/>
      <w:bookmarkEnd w:id="88"/>
      <w:bookmarkStart w:id="89" w:name="_Toc184314442"/>
      <w:bookmarkEnd w:id="89"/>
      <w:bookmarkStart w:id="90" w:name="_Toc184314421"/>
      <w:bookmarkEnd w:id="90"/>
      <w:bookmarkStart w:id="91" w:name="_Toc184314424"/>
      <w:bookmarkEnd w:id="91"/>
      <w:bookmarkStart w:id="92" w:name="_Toc184313303"/>
      <w:bookmarkEnd w:id="92"/>
      <w:bookmarkStart w:id="93" w:name="_Toc184308102"/>
      <w:bookmarkEnd w:id="93"/>
      <w:bookmarkStart w:id="94" w:name="_Toc184310311"/>
      <w:bookmarkEnd w:id="94"/>
      <w:bookmarkStart w:id="95" w:name="_Toc184312125"/>
      <w:bookmarkEnd w:id="95"/>
      <w:bookmarkStart w:id="96" w:name="_Toc184314445"/>
      <w:bookmarkEnd w:id="96"/>
      <w:bookmarkStart w:id="97" w:name="_Toc184313241"/>
      <w:bookmarkEnd w:id="97"/>
      <w:bookmarkStart w:id="98" w:name="_Toc184313288"/>
      <w:bookmarkEnd w:id="98"/>
      <w:bookmarkStart w:id="99" w:name="_Toc184314469"/>
      <w:bookmarkEnd w:id="99"/>
      <w:bookmarkStart w:id="100" w:name="_Toc184313252"/>
      <w:bookmarkEnd w:id="100"/>
      <w:bookmarkStart w:id="101" w:name="_Toc184312129"/>
      <w:bookmarkEnd w:id="101"/>
      <w:bookmarkStart w:id="102" w:name="_Toc184310344"/>
      <w:bookmarkEnd w:id="102"/>
      <w:bookmarkStart w:id="103" w:name="_Toc184308091"/>
      <w:bookmarkEnd w:id="103"/>
      <w:bookmarkStart w:id="104" w:name="_Toc184313269"/>
      <w:bookmarkEnd w:id="104"/>
      <w:bookmarkStart w:id="105" w:name="_Toc184312126"/>
      <w:bookmarkEnd w:id="105"/>
      <w:bookmarkStart w:id="106" w:name="_Toc184308049"/>
      <w:bookmarkEnd w:id="106"/>
      <w:bookmarkStart w:id="107" w:name="_Toc184312081"/>
      <w:bookmarkEnd w:id="107"/>
      <w:bookmarkStart w:id="108" w:name="_Toc184314459"/>
      <w:bookmarkEnd w:id="108"/>
      <w:bookmarkStart w:id="109" w:name="_Toc184312087"/>
      <w:bookmarkEnd w:id="109"/>
      <w:bookmarkStart w:id="110" w:name="_Toc184314476"/>
      <w:bookmarkEnd w:id="110"/>
      <w:bookmarkStart w:id="111" w:name="_Toc184313302"/>
      <w:bookmarkEnd w:id="111"/>
      <w:bookmarkStart w:id="112" w:name="_Toc184314425"/>
      <w:bookmarkEnd w:id="112"/>
      <w:bookmarkStart w:id="113" w:name="_Toc184313264"/>
      <w:bookmarkEnd w:id="113"/>
      <w:bookmarkStart w:id="114" w:name="_Toc184308071"/>
      <w:bookmarkEnd w:id="114"/>
      <w:bookmarkStart w:id="115" w:name="_Toc184313265"/>
      <w:bookmarkEnd w:id="115"/>
      <w:bookmarkStart w:id="116" w:name="_Toc184313244"/>
      <w:bookmarkEnd w:id="116"/>
      <w:bookmarkStart w:id="117" w:name="_Toc184314449"/>
      <w:bookmarkEnd w:id="117"/>
      <w:bookmarkStart w:id="118" w:name="_Toc184308085"/>
      <w:bookmarkEnd w:id="118"/>
      <w:bookmarkStart w:id="119" w:name="_Toc184308106"/>
      <w:bookmarkEnd w:id="119"/>
      <w:bookmarkStart w:id="120" w:name="_Toc184310280"/>
      <w:bookmarkEnd w:id="120"/>
      <w:bookmarkStart w:id="121" w:name="_Toc184308038"/>
      <w:bookmarkEnd w:id="121"/>
      <w:bookmarkStart w:id="122" w:name="_Toc184310312"/>
      <w:bookmarkEnd w:id="122"/>
      <w:bookmarkStart w:id="123" w:name="_Toc184310326"/>
      <w:bookmarkEnd w:id="123"/>
      <w:bookmarkStart w:id="124" w:name="_Toc184310275"/>
      <w:bookmarkEnd w:id="124"/>
      <w:bookmarkStart w:id="125" w:name="_Toc184308039"/>
      <w:bookmarkEnd w:id="125"/>
      <w:bookmarkStart w:id="126" w:name="_Toc184308061"/>
      <w:bookmarkEnd w:id="126"/>
      <w:bookmarkStart w:id="127" w:name="_Toc184310276"/>
      <w:bookmarkEnd w:id="127"/>
      <w:bookmarkStart w:id="128" w:name="_Toc184312123"/>
      <w:bookmarkEnd w:id="128"/>
      <w:bookmarkStart w:id="129" w:name="_Toc184308082"/>
      <w:bookmarkEnd w:id="129"/>
      <w:bookmarkStart w:id="130" w:name="_Toc184308086"/>
      <w:bookmarkEnd w:id="130"/>
      <w:bookmarkStart w:id="131" w:name="_Toc184314417"/>
      <w:bookmarkEnd w:id="131"/>
      <w:bookmarkStart w:id="132" w:name="_Toc184308051"/>
      <w:bookmarkEnd w:id="132"/>
      <w:bookmarkStart w:id="133" w:name="_Toc184312137"/>
      <w:bookmarkEnd w:id="133"/>
      <w:bookmarkStart w:id="134" w:name="_Toc184313284"/>
      <w:bookmarkEnd w:id="134"/>
      <w:bookmarkStart w:id="135" w:name="_Toc184312106"/>
      <w:bookmarkEnd w:id="135"/>
      <w:bookmarkStart w:id="136" w:name="_Toc184308090"/>
      <w:bookmarkEnd w:id="136"/>
      <w:bookmarkStart w:id="137" w:name="_Toc184308067"/>
      <w:bookmarkEnd w:id="137"/>
      <w:bookmarkStart w:id="138" w:name="_Toc184314428"/>
      <w:bookmarkEnd w:id="138"/>
      <w:bookmarkStart w:id="139" w:name="_Toc184310301"/>
      <w:bookmarkEnd w:id="139"/>
      <w:bookmarkStart w:id="140" w:name="_Toc184310340"/>
      <w:bookmarkEnd w:id="140"/>
      <w:bookmarkStart w:id="141" w:name="_Toc184314455"/>
      <w:bookmarkEnd w:id="141"/>
      <w:bookmarkStart w:id="142" w:name="_Toc184313289"/>
      <w:bookmarkEnd w:id="142"/>
      <w:bookmarkStart w:id="143" w:name="_Toc184308108"/>
      <w:bookmarkEnd w:id="143"/>
      <w:bookmarkStart w:id="144" w:name="_Toc184314477"/>
      <w:bookmarkEnd w:id="144"/>
      <w:bookmarkStart w:id="145" w:name="_Toc184314452"/>
      <w:bookmarkEnd w:id="145"/>
      <w:bookmarkStart w:id="146" w:name="_Toc184312134"/>
      <w:bookmarkEnd w:id="146"/>
      <w:bookmarkStart w:id="147" w:name="_Toc184314432"/>
      <w:bookmarkEnd w:id="147"/>
      <w:bookmarkStart w:id="148" w:name="_Toc184312082"/>
      <w:bookmarkEnd w:id="148"/>
      <w:bookmarkStart w:id="149" w:name="_Toc184310332"/>
      <w:bookmarkEnd w:id="149"/>
      <w:bookmarkStart w:id="150" w:name="_Toc184312069"/>
      <w:bookmarkEnd w:id="150"/>
      <w:bookmarkStart w:id="151" w:name="_Toc184310343"/>
      <w:bookmarkEnd w:id="151"/>
      <w:bookmarkStart w:id="152" w:name="_Toc184312124"/>
      <w:bookmarkEnd w:id="152"/>
      <w:bookmarkStart w:id="153" w:name="_Toc184313243"/>
      <w:bookmarkEnd w:id="153"/>
      <w:bookmarkStart w:id="154" w:name="_Toc184313287"/>
      <w:bookmarkEnd w:id="154"/>
      <w:bookmarkStart w:id="155" w:name="_Toc184310286"/>
      <w:bookmarkEnd w:id="155"/>
      <w:bookmarkStart w:id="156" w:name="_Toc184313275"/>
      <w:bookmarkEnd w:id="156"/>
      <w:bookmarkStart w:id="157" w:name="_Toc184310299"/>
      <w:bookmarkEnd w:id="157"/>
      <w:bookmarkStart w:id="158" w:name="_Toc184313247"/>
      <w:bookmarkEnd w:id="158"/>
      <w:bookmarkStart w:id="159" w:name="_Toc184312099"/>
      <w:bookmarkEnd w:id="159"/>
      <w:bookmarkStart w:id="160" w:name="_Toc184314430"/>
      <w:bookmarkEnd w:id="160"/>
      <w:bookmarkStart w:id="161" w:name="_Toc184312090"/>
      <w:bookmarkEnd w:id="161"/>
      <w:bookmarkStart w:id="162" w:name="_Toc184313308"/>
      <w:bookmarkEnd w:id="162"/>
      <w:bookmarkStart w:id="163" w:name="_Toc184310335"/>
      <w:bookmarkEnd w:id="163"/>
      <w:bookmarkStart w:id="164" w:name="_Toc184313306"/>
      <w:bookmarkEnd w:id="164"/>
      <w:bookmarkStart w:id="165" w:name="_Toc184313294"/>
      <w:bookmarkEnd w:id="165"/>
      <w:bookmarkStart w:id="166" w:name="_Toc184314479"/>
      <w:bookmarkEnd w:id="166"/>
      <w:bookmarkStart w:id="167" w:name="_Toc184312119"/>
      <w:bookmarkEnd w:id="167"/>
      <w:bookmarkStart w:id="168" w:name="_Toc184308064"/>
      <w:bookmarkEnd w:id="168"/>
      <w:bookmarkStart w:id="169" w:name="_Toc184308088"/>
      <w:bookmarkEnd w:id="169"/>
      <w:bookmarkStart w:id="170" w:name="_Toc184310297"/>
      <w:bookmarkEnd w:id="170"/>
      <w:bookmarkStart w:id="171" w:name="_Toc184312094"/>
      <w:bookmarkEnd w:id="171"/>
      <w:bookmarkStart w:id="172" w:name="_Toc184314427"/>
      <w:bookmarkEnd w:id="172"/>
      <w:bookmarkStart w:id="173" w:name="_Toc184314461"/>
      <w:bookmarkEnd w:id="173"/>
      <w:bookmarkStart w:id="174" w:name="_Toc184310330"/>
      <w:bookmarkEnd w:id="174"/>
      <w:bookmarkStart w:id="175" w:name="_Toc184312111"/>
      <w:bookmarkEnd w:id="175"/>
      <w:bookmarkStart w:id="176" w:name="_Toc184312102"/>
      <w:bookmarkEnd w:id="176"/>
      <w:bookmarkStart w:id="177" w:name="_Toc184312104"/>
      <w:bookmarkEnd w:id="177"/>
      <w:bookmarkStart w:id="178" w:name="_Toc184312095"/>
      <w:bookmarkEnd w:id="178"/>
      <w:bookmarkStart w:id="179" w:name="_Toc184313242"/>
      <w:bookmarkEnd w:id="179"/>
      <w:bookmarkStart w:id="180" w:name="_Toc184313304"/>
      <w:bookmarkEnd w:id="180"/>
      <w:bookmarkStart w:id="181" w:name="_Toc184308103"/>
      <w:bookmarkEnd w:id="181"/>
      <w:bookmarkStart w:id="182" w:name="_Toc184314457"/>
      <w:bookmarkEnd w:id="182"/>
      <w:bookmarkStart w:id="183" w:name="_Toc184313271"/>
      <w:bookmarkEnd w:id="183"/>
      <w:bookmarkStart w:id="184" w:name="_Toc184308080"/>
      <w:bookmarkEnd w:id="184"/>
      <w:bookmarkStart w:id="185" w:name="_Toc184313273"/>
      <w:bookmarkEnd w:id="185"/>
      <w:bookmarkStart w:id="186" w:name="_Toc184314413"/>
      <w:bookmarkEnd w:id="186"/>
      <w:bookmarkStart w:id="187" w:name="_Toc184314416"/>
      <w:bookmarkEnd w:id="187"/>
      <w:bookmarkStart w:id="188" w:name="_Toc184310328"/>
      <w:bookmarkEnd w:id="188"/>
      <w:bookmarkStart w:id="189" w:name="_Toc184310318"/>
      <w:bookmarkEnd w:id="189"/>
      <w:bookmarkStart w:id="190" w:name="_Toc184308048"/>
      <w:bookmarkEnd w:id="190"/>
      <w:bookmarkStart w:id="191" w:name="_Toc184310289"/>
      <w:bookmarkEnd w:id="191"/>
      <w:bookmarkStart w:id="192" w:name="_Toc184312075"/>
      <w:bookmarkEnd w:id="192"/>
      <w:bookmarkStart w:id="193" w:name="_Toc184310315"/>
      <w:bookmarkEnd w:id="193"/>
      <w:bookmarkStart w:id="194" w:name="_Toc184313256"/>
      <w:bookmarkEnd w:id="194"/>
      <w:bookmarkStart w:id="195" w:name="_Toc184314467"/>
      <w:bookmarkEnd w:id="195"/>
      <w:bookmarkStart w:id="196" w:name="_Toc184313261"/>
      <w:bookmarkEnd w:id="196"/>
      <w:bookmarkStart w:id="197" w:name="_Toc184313293"/>
      <w:bookmarkEnd w:id="197"/>
      <w:bookmarkStart w:id="198" w:name="_Toc184314447"/>
      <w:bookmarkEnd w:id="198"/>
      <w:bookmarkStart w:id="199" w:name="_Toc184312096"/>
      <w:bookmarkEnd w:id="199"/>
      <w:bookmarkStart w:id="200" w:name="_Toc184312086"/>
      <w:bookmarkEnd w:id="200"/>
      <w:bookmarkStart w:id="201" w:name="_Toc184310292"/>
      <w:bookmarkEnd w:id="201"/>
      <w:bookmarkStart w:id="202" w:name="_Toc184314450"/>
      <w:bookmarkEnd w:id="202"/>
      <w:bookmarkStart w:id="203" w:name="_Toc184308075"/>
      <w:bookmarkEnd w:id="203"/>
      <w:bookmarkStart w:id="204" w:name="_Toc184310331"/>
      <w:bookmarkEnd w:id="204"/>
      <w:bookmarkStart w:id="205" w:name="_Toc184310339"/>
      <w:bookmarkEnd w:id="205"/>
      <w:bookmarkStart w:id="206" w:name="_Toc184310296"/>
      <w:bookmarkEnd w:id="206"/>
      <w:bookmarkStart w:id="207" w:name="_Toc184313301"/>
      <w:bookmarkEnd w:id="207"/>
      <w:bookmarkStart w:id="208" w:name="_Toc184314436"/>
      <w:bookmarkEnd w:id="208"/>
      <w:bookmarkStart w:id="209" w:name="_Toc184310321"/>
      <w:bookmarkEnd w:id="209"/>
      <w:bookmarkStart w:id="210" w:name="_Toc184313260"/>
      <w:bookmarkEnd w:id="210"/>
      <w:bookmarkStart w:id="211" w:name="_Toc184314478"/>
      <w:bookmarkEnd w:id="211"/>
      <w:bookmarkStart w:id="212" w:name="_Toc184312083"/>
      <w:bookmarkEnd w:id="212"/>
      <w:bookmarkStart w:id="213" w:name="_Toc184314419"/>
      <w:bookmarkEnd w:id="213"/>
      <w:bookmarkStart w:id="214" w:name="_Toc184310334"/>
      <w:bookmarkEnd w:id="214"/>
      <w:bookmarkStart w:id="215" w:name="_Toc184314431"/>
      <w:bookmarkEnd w:id="215"/>
      <w:bookmarkStart w:id="216" w:name="_Toc184308101"/>
      <w:bookmarkEnd w:id="216"/>
      <w:bookmarkStart w:id="217" w:name="_Toc184312103"/>
      <w:bookmarkEnd w:id="217"/>
      <w:bookmarkStart w:id="218" w:name="_Toc184308096"/>
      <w:bookmarkEnd w:id="218"/>
      <w:bookmarkStart w:id="219" w:name="_Toc184310278"/>
      <w:bookmarkEnd w:id="219"/>
      <w:bookmarkStart w:id="220" w:name="_Toc184312092"/>
      <w:bookmarkEnd w:id="220"/>
      <w:bookmarkStart w:id="221" w:name="_Toc184312068"/>
      <w:bookmarkEnd w:id="221"/>
      <w:bookmarkStart w:id="222" w:name="_Toc184312108"/>
      <w:bookmarkEnd w:id="222"/>
      <w:bookmarkStart w:id="223" w:name="_Toc184313286"/>
      <w:bookmarkEnd w:id="223"/>
      <w:bookmarkStart w:id="224" w:name="_Toc184313257"/>
      <w:bookmarkEnd w:id="224"/>
      <w:bookmarkStart w:id="225" w:name="_Toc184308042"/>
      <w:bookmarkEnd w:id="225"/>
      <w:bookmarkStart w:id="226" w:name="_Toc184313274"/>
      <w:bookmarkEnd w:id="226"/>
      <w:bookmarkStart w:id="227" w:name="_Toc184312093"/>
      <w:bookmarkEnd w:id="227"/>
      <w:bookmarkStart w:id="228" w:name="_Toc184310338"/>
      <w:bookmarkEnd w:id="228"/>
      <w:bookmarkStart w:id="229" w:name="_Toc184310323"/>
      <w:bookmarkEnd w:id="229"/>
      <w:bookmarkStart w:id="230" w:name="_Toc184312109"/>
      <w:bookmarkEnd w:id="230"/>
      <w:bookmarkStart w:id="231" w:name="_Toc184313259"/>
      <w:bookmarkEnd w:id="231"/>
      <w:bookmarkStart w:id="232" w:name="_Toc184312085"/>
      <w:bookmarkEnd w:id="232"/>
      <w:bookmarkStart w:id="233" w:name="_Toc184313254"/>
      <w:bookmarkEnd w:id="233"/>
      <w:bookmarkStart w:id="234" w:name="_Toc184314474"/>
      <w:bookmarkEnd w:id="234"/>
      <w:bookmarkStart w:id="235" w:name="_Toc184308089"/>
      <w:bookmarkEnd w:id="235"/>
      <w:bookmarkStart w:id="236" w:name="_Toc184312133"/>
      <w:bookmarkEnd w:id="236"/>
      <w:bookmarkStart w:id="237" w:name="_Toc184313277"/>
      <w:bookmarkEnd w:id="237"/>
      <w:bookmarkStart w:id="238" w:name="_Toc184310277"/>
      <w:bookmarkEnd w:id="238"/>
      <w:bookmarkStart w:id="239" w:name="_Toc184310325"/>
      <w:bookmarkEnd w:id="239"/>
      <w:bookmarkStart w:id="240" w:name="_Toc184308095"/>
      <w:bookmarkEnd w:id="240"/>
      <w:bookmarkStart w:id="241" w:name="_Toc184310306"/>
      <w:bookmarkEnd w:id="241"/>
      <w:bookmarkStart w:id="242" w:name="_Toc184312135"/>
      <w:bookmarkEnd w:id="242"/>
      <w:bookmarkStart w:id="243" w:name="_Toc184308050"/>
      <w:bookmarkEnd w:id="243"/>
      <w:bookmarkStart w:id="244" w:name="_Toc184314464"/>
      <w:bookmarkEnd w:id="244"/>
      <w:bookmarkStart w:id="245" w:name="_Toc184312105"/>
      <w:bookmarkEnd w:id="245"/>
      <w:bookmarkStart w:id="246" w:name="_Toc184313300"/>
      <w:bookmarkEnd w:id="246"/>
      <w:bookmarkStart w:id="247" w:name="_Toc184308063"/>
      <w:bookmarkEnd w:id="247"/>
      <w:bookmarkStart w:id="248" w:name="_Toc184308069"/>
      <w:bookmarkEnd w:id="248"/>
      <w:bookmarkStart w:id="249" w:name="_Toc184308044"/>
      <w:bookmarkEnd w:id="249"/>
      <w:bookmarkStart w:id="250" w:name="_Toc184314443"/>
      <w:bookmarkEnd w:id="250"/>
      <w:bookmarkStart w:id="251" w:name="_Toc184308099"/>
      <w:bookmarkEnd w:id="251"/>
      <w:bookmarkStart w:id="252" w:name="_Toc184314439"/>
      <w:bookmarkEnd w:id="252"/>
      <w:bookmarkStart w:id="253" w:name="_Toc184308041"/>
      <w:bookmarkEnd w:id="253"/>
      <w:bookmarkStart w:id="254" w:name="_Toc184313280"/>
      <w:bookmarkEnd w:id="254"/>
      <w:bookmarkStart w:id="255" w:name="_Toc184308055"/>
      <w:bookmarkEnd w:id="255"/>
      <w:bookmarkStart w:id="256" w:name="_Toc184308058"/>
      <w:bookmarkEnd w:id="256"/>
      <w:bookmarkStart w:id="257" w:name="_Toc184310309"/>
      <w:bookmarkEnd w:id="257"/>
      <w:bookmarkStart w:id="258" w:name="_Toc184312136"/>
      <w:bookmarkEnd w:id="258"/>
      <w:bookmarkStart w:id="259" w:name="_Toc184312070"/>
      <w:bookmarkEnd w:id="259"/>
      <w:bookmarkStart w:id="260" w:name="_Toc184313266"/>
      <w:bookmarkEnd w:id="260"/>
      <w:bookmarkStart w:id="261" w:name="_Toc184312114"/>
      <w:bookmarkEnd w:id="261"/>
      <w:bookmarkStart w:id="262" w:name="_Toc184314471"/>
      <w:bookmarkEnd w:id="262"/>
      <w:bookmarkStart w:id="263" w:name="_Toc184308065"/>
      <w:bookmarkEnd w:id="263"/>
      <w:bookmarkStart w:id="264" w:name="_Toc184312091"/>
      <w:bookmarkEnd w:id="264"/>
      <w:bookmarkStart w:id="265" w:name="_Toc184310313"/>
      <w:bookmarkEnd w:id="265"/>
      <w:bookmarkStart w:id="266" w:name="_Toc184313239"/>
      <w:bookmarkEnd w:id="266"/>
      <w:bookmarkStart w:id="267" w:name="_Toc184310290"/>
      <w:bookmarkEnd w:id="267"/>
      <w:bookmarkStart w:id="268" w:name="_Toc184313297"/>
      <w:bookmarkEnd w:id="268"/>
      <w:bookmarkStart w:id="269" w:name="_Toc184313309"/>
      <w:bookmarkEnd w:id="269"/>
      <w:bookmarkStart w:id="270" w:name="_Toc184312128"/>
      <w:bookmarkEnd w:id="270"/>
      <w:bookmarkStart w:id="271" w:name="_Toc184308045"/>
      <w:bookmarkEnd w:id="271"/>
      <w:bookmarkStart w:id="272" w:name="_Toc184313251"/>
      <w:bookmarkEnd w:id="272"/>
      <w:bookmarkStart w:id="273" w:name="_Toc184313272"/>
      <w:bookmarkEnd w:id="273"/>
      <w:bookmarkStart w:id="274" w:name="_Toc184314412"/>
      <w:bookmarkEnd w:id="274"/>
      <w:bookmarkStart w:id="275" w:name="_Toc184308066"/>
      <w:bookmarkEnd w:id="275"/>
      <w:bookmarkStart w:id="276" w:name="_Toc184314411"/>
      <w:bookmarkEnd w:id="276"/>
      <w:bookmarkStart w:id="277" w:name="_Toc184310295"/>
      <w:bookmarkEnd w:id="277"/>
      <w:bookmarkStart w:id="278" w:name="_Toc184312089"/>
      <w:bookmarkEnd w:id="278"/>
      <w:bookmarkStart w:id="279" w:name="_Toc184310282"/>
      <w:bookmarkEnd w:id="279"/>
      <w:bookmarkStart w:id="280" w:name="_Toc184310298"/>
      <w:bookmarkEnd w:id="280"/>
      <w:bookmarkStart w:id="281" w:name="_Toc184313238"/>
      <w:bookmarkEnd w:id="281"/>
      <w:bookmarkStart w:id="282" w:name="_Toc184310305"/>
      <w:bookmarkEnd w:id="282"/>
      <w:bookmarkStart w:id="283" w:name="_Toc184313267"/>
      <w:bookmarkEnd w:id="283"/>
      <w:bookmarkStart w:id="284" w:name="_Toc184310279"/>
      <w:bookmarkEnd w:id="284"/>
      <w:bookmarkStart w:id="285" w:name="_Toc184308052"/>
      <w:bookmarkEnd w:id="285"/>
      <w:bookmarkStart w:id="286" w:name="_Toc184310303"/>
      <w:bookmarkEnd w:id="286"/>
      <w:bookmarkStart w:id="287" w:name="_Toc184314468"/>
      <w:bookmarkEnd w:id="287"/>
      <w:bookmarkStart w:id="288" w:name="_Toc184308097"/>
      <w:bookmarkEnd w:id="288"/>
      <w:bookmarkStart w:id="289" w:name="_Toc184312120"/>
      <w:bookmarkEnd w:id="289"/>
      <w:bookmarkStart w:id="290" w:name="_Toc184310310"/>
      <w:bookmarkEnd w:id="290"/>
      <w:bookmarkStart w:id="291" w:name="_Toc184308054"/>
      <w:bookmarkEnd w:id="291"/>
      <w:bookmarkStart w:id="292" w:name="_Toc184308043"/>
      <w:bookmarkEnd w:id="292"/>
      <w:bookmarkStart w:id="293" w:name="_Toc184310300"/>
      <w:bookmarkEnd w:id="293"/>
      <w:bookmarkStart w:id="294" w:name="_Toc184314426"/>
      <w:bookmarkEnd w:id="294"/>
      <w:bookmarkStart w:id="295" w:name="_Toc184314472"/>
      <w:bookmarkEnd w:id="295"/>
      <w:bookmarkStart w:id="296" w:name="_Toc184313292"/>
      <w:bookmarkEnd w:id="296"/>
      <w:bookmarkStart w:id="297" w:name="_Toc184314451"/>
      <w:bookmarkEnd w:id="297"/>
      <w:bookmarkStart w:id="298" w:name="_Toc184310281"/>
      <w:bookmarkEnd w:id="298"/>
      <w:bookmarkStart w:id="299" w:name="_Toc184314418"/>
      <w:bookmarkEnd w:id="299"/>
      <w:bookmarkStart w:id="300" w:name="_Toc184314438"/>
      <w:bookmarkEnd w:id="300"/>
      <w:bookmarkStart w:id="301" w:name="_Toc184312079"/>
      <w:bookmarkEnd w:id="301"/>
      <w:bookmarkStart w:id="302" w:name="_Toc184308076"/>
      <w:bookmarkEnd w:id="302"/>
      <w:bookmarkStart w:id="303" w:name="_Toc184310283"/>
      <w:bookmarkEnd w:id="303"/>
      <w:bookmarkStart w:id="304" w:name="_Toc184308053"/>
      <w:bookmarkEnd w:id="304"/>
      <w:bookmarkStart w:id="305" w:name="_Toc184314414"/>
      <w:bookmarkEnd w:id="305"/>
      <w:bookmarkStart w:id="306" w:name="_Toc184312115"/>
      <w:bookmarkEnd w:id="306"/>
      <w:bookmarkStart w:id="307" w:name="_Toc184314482"/>
      <w:bookmarkEnd w:id="307"/>
      <w:bookmarkStart w:id="308" w:name="_Toc184310319"/>
      <w:bookmarkEnd w:id="308"/>
      <w:bookmarkStart w:id="309" w:name="_Toc184313305"/>
      <w:bookmarkEnd w:id="309"/>
      <w:bookmarkStart w:id="310" w:name="_Toc184313281"/>
      <w:bookmarkEnd w:id="310"/>
      <w:bookmarkStart w:id="311" w:name="_Toc184310329"/>
      <w:bookmarkEnd w:id="311"/>
      <w:bookmarkStart w:id="312" w:name="_Toc184312139"/>
      <w:bookmarkEnd w:id="312"/>
      <w:bookmarkStart w:id="313" w:name="_Toc184310336"/>
      <w:bookmarkEnd w:id="313"/>
      <w:bookmarkStart w:id="314" w:name="_Toc184314481"/>
      <w:bookmarkEnd w:id="314"/>
      <w:bookmarkStart w:id="315" w:name="_Toc184308062"/>
      <w:bookmarkEnd w:id="315"/>
      <w:bookmarkStart w:id="316" w:name="_Toc184314440"/>
      <w:bookmarkEnd w:id="316"/>
      <w:bookmarkStart w:id="317" w:name="_Toc184312112"/>
      <w:bookmarkEnd w:id="317"/>
      <w:bookmarkStart w:id="318" w:name="_Toc184310314"/>
      <w:bookmarkEnd w:id="318"/>
      <w:bookmarkStart w:id="319" w:name="_Toc184312113"/>
      <w:bookmarkEnd w:id="319"/>
      <w:bookmarkStart w:id="320" w:name="_Toc184313255"/>
      <w:bookmarkEnd w:id="320"/>
      <w:bookmarkStart w:id="321" w:name="_Toc184310293"/>
      <w:bookmarkEnd w:id="321"/>
      <w:bookmarkStart w:id="322" w:name="_Toc184308079"/>
      <w:bookmarkEnd w:id="322"/>
      <w:bookmarkStart w:id="323" w:name="_Toc184308077"/>
      <w:bookmarkEnd w:id="323"/>
      <w:bookmarkStart w:id="324" w:name="_Toc184312100"/>
      <w:bookmarkEnd w:id="324"/>
      <w:bookmarkStart w:id="325" w:name="_Toc184310324"/>
      <w:bookmarkEnd w:id="325"/>
      <w:bookmarkStart w:id="326" w:name="_Toc184314435"/>
      <w:bookmarkEnd w:id="326"/>
      <w:bookmarkStart w:id="327" w:name="_Toc184308060"/>
      <w:bookmarkEnd w:id="327"/>
      <w:bookmarkStart w:id="328" w:name="_Toc184308070"/>
      <w:bookmarkEnd w:id="328"/>
      <w:bookmarkStart w:id="329" w:name="_Toc184313291"/>
      <w:bookmarkEnd w:id="329"/>
      <w:bookmarkStart w:id="330" w:name="_Toc184308074"/>
      <w:bookmarkEnd w:id="330"/>
      <w:bookmarkStart w:id="331" w:name="_Toc184308047"/>
      <w:bookmarkEnd w:id="331"/>
      <w:bookmarkStart w:id="332" w:name="_Toc184313296"/>
      <w:bookmarkEnd w:id="332"/>
      <w:bookmarkStart w:id="333" w:name="_Toc184310317"/>
      <w:bookmarkEnd w:id="333"/>
      <w:bookmarkStart w:id="334" w:name="_Toc184310320"/>
      <w:bookmarkEnd w:id="334"/>
      <w:bookmarkStart w:id="335" w:name="_Toc184312121"/>
      <w:bookmarkEnd w:id="335"/>
      <w:bookmarkStart w:id="336" w:name="_Toc184313299"/>
      <w:bookmarkEnd w:id="336"/>
      <w:bookmarkStart w:id="337" w:name="_Toc184312117"/>
      <w:bookmarkEnd w:id="337"/>
      <w:bookmarkStart w:id="338" w:name="_Toc184312074"/>
      <w:bookmarkEnd w:id="338"/>
      <w:bookmarkStart w:id="339" w:name="_Toc184313290"/>
      <w:bookmarkEnd w:id="339"/>
      <w:bookmarkStart w:id="340" w:name="_Toc184313283"/>
      <w:bookmarkEnd w:id="340"/>
      <w:bookmarkStart w:id="341" w:name="_Toc184313249"/>
      <w:bookmarkEnd w:id="341"/>
      <w:bookmarkStart w:id="342" w:name="_Toc184310341"/>
      <w:bookmarkEnd w:id="342"/>
      <w:bookmarkStart w:id="343" w:name="_Toc184314456"/>
      <w:bookmarkEnd w:id="343"/>
      <w:bookmarkStart w:id="344" w:name="_Toc184314480"/>
      <w:bookmarkEnd w:id="344"/>
      <w:bookmarkStart w:id="345" w:name="_Toc184308093"/>
      <w:bookmarkEnd w:id="345"/>
      <w:bookmarkStart w:id="346" w:name="_Toc184312116"/>
      <w:bookmarkEnd w:id="346"/>
      <w:bookmarkStart w:id="347" w:name="_Toc184308107"/>
      <w:bookmarkEnd w:id="347"/>
      <w:bookmarkStart w:id="348" w:name="_Toc184314465"/>
      <w:bookmarkEnd w:id="348"/>
      <w:bookmarkStart w:id="349" w:name="_Toc184308037"/>
      <w:bookmarkEnd w:id="349"/>
      <w:bookmarkStart w:id="350" w:name="_Toc184308046"/>
      <w:bookmarkEnd w:id="350"/>
      <w:bookmarkStart w:id="351" w:name="_Toc184313268"/>
      <w:bookmarkEnd w:id="351"/>
      <w:bookmarkStart w:id="352" w:name="_Toc184308094"/>
      <w:bookmarkEnd w:id="352"/>
      <w:bookmarkStart w:id="353" w:name="_Toc184313240"/>
      <w:bookmarkEnd w:id="353"/>
      <w:bookmarkStart w:id="354" w:name="_Toc184312138"/>
      <w:bookmarkEnd w:id="354"/>
      <w:bookmarkStart w:id="355" w:name="_Toc184310304"/>
      <w:bookmarkEnd w:id="355"/>
      <w:bookmarkStart w:id="356" w:name="_Toc184314448"/>
      <w:bookmarkEnd w:id="356"/>
      <w:bookmarkStart w:id="357" w:name="_Toc184314463"/>
      <w:bookmarkEnd w:id="357"/>
      <w:bookmarkStart w:id="358" w:name="_Toc184312067"/>
      <w:bookmarkEnd w:id="358"/>
      <w:bookmarkStart w:id="359" w:name="_Toc184308100"/>
      <w:bookmarkEnd w:id="359"/>
      <w:bookmarkStart w:id="360" w:name="_Toc184312107"/>
      <w:bookmarkEnd w:id="360"/>
      <w:bookmarkStart w:id="361" w:name="_Toc184314420"/>
      <w:bookmarkEnd w:id="361"/>
      <w:bookmarkStart w:id="362" w:name="_Toc184308057"/>
      <w:bookmarkEnd w:id="362"/>
      <w:bookmarkStart w:id="363" w:name="_Toc184312088"/>
      <w:bookmarkEnd w:id="363"/>
      <w:bookmarkStart w:id="364" w:name="_Toc184312076"/>
      <w:bookmarkEnd w:id="364"/>
      <w:bookmarkStart w:id="365" w:name="_Toc184313248"/>
      <w:bookmarkEnd w:id="365"/>
      <w:bookmarkStart w:id="366" w:name="_Toc184314475"/>
      <w:bookmarkEnd w:id="366"/>
      <w:bookmarkStart w:id="367" w:name="_Toc184308059"/>
      <w:bookmarkEnd w:id="367"/>
      <w:bookmarkStart w:id="368" w:name="_Toc184314423"/>
      <w:bookmarkEnd w:id="368"/>
      <w:bookmarkStart w:id="369" w:name="_Toc184314410"/>
      <w:bookmarkEnd w:id="369"/>
      <w:bookmarkStart w:id="370" w:name="_Toc184308081"/>
      <w:bookmarkEnd w:id="370"/>
      <w:bookmarkStart w:id="371" w:name="_Toc184312072"/>
      <w:bookmarkEnd w:id="371"/>
      <w:bookmarkStart w:id="372" w:name="_Toc184314454"/>
      <w:bookmarkEnd w:id="372"/>
      <w:bookmarkStart w:id="373" w:name="_Toc184312080"/>
      <w:bookmarkEnd w:id="373"/>
      <w:bookmarkStart w:id="374" w:name="_Toc184312097"/>
      <w:bookmarkEnd w:id="374"/>
      <w:bookmarkStart w:id="375" w:name="_Toc184312101"/>
      <w:bookmarkEnd w:id="375"/>
      <w:bookmarkStart w:id="376" w:name="_Toc184313279"/>
      <w:bookmarkEnd w:id="376"/>
      <w:bookmarkStart w:id="377" w:name="_Toc184310337"/>
      <w:bookmarkEnd w:id="377"/>
      <w:bookmarkStart w:id="378" w:name="_Toc184314441"/>
      <w:bookmarkEnd w:id="378"/>
      <w:bookmarkStart w:id="379" w:name="_Toc184314466"/>
      <w:bookmarkEnd w:id="379"/>
      <w:bookmarkStart w:id="380" w:name="_Toc184310273"/>
      <w:bookmarkEnd w:id="380"/>
      <w:bookmarkStart w:id="381" w:name="_Toc184310284"/>
      <w:bookmarkEnd w:id="381"/>
      <w:bookmarkStart w:id="382" w:name="_Toc184308040"/>
      <w:bookmarkEnd w:id="382"/>
      <w:bookmarkStart w:id="383" w:name="_Toc184312131"/>
      <w:bookmarkEnd w:id="383"/>
      <w:bookmarkStart w:id="384" w:name="_Toc184312098"/>
      <w:bookmarkEnd w:id="384"/>
      <w:bookmarkStart w:id="385" w:name="_Toc184313245"/>
      <w:bookmarkEnd w:id="385"/>
      <w:bookmarkStart w:id="386" w:name="_Toc184314453"/>
      <w:bookmarkEnd w:id="386"/>
      <w:bookmarkStart w:id="387" w:name="_Toc184310288"/>
      <w:bookmarkEnd w:id="387"/>
      <w:bookmarkStart w:id="388" w:name="_Toc184308036"/>
      <w:bookmarkEnd w:id="388"/>
      <w:bookmarkStart w:id="389" w:name="_Toc184314444"/>
      <w:bookmarkEnd w:id="389"/>
      <w:bookmarkStart w:id="390" w:name="_Toc184308104"/>
      <w:bookmarkEnd w:id="390"/>
      <w:bookmarkStart w:id="391" w:name="_Toc184313263"/>
      <w:bookmarkEnd w:id="391"/>
      <w:bookmarkStart w:id="392" w:name="_Toc184312132"/>
      <w:bookmarkEnd w:id="392"/>
      <w:bookmarkStart w:id="393" w:name="_Toc184314433"/>
      <w:bookmarkEnd w:id="393"/>
      <w:bookmarkStart w:id="394" w:name="_Toc184312118"/>
      <w:bookmarkEnd w:id="394"/>
      <w:bookmarkStart w:id="395" w:name="_Toc184314434"/>
      <w:bookmarkEnd w:id="395"/>
      <w:bookmarkStart w:id="396" w:name="_Toc184310285"/>
      <w:bookmarkEnd w:id="396"/>
      <w:bookmarkStart w:id="397" w:name="_Toc184308072"/>
      <w:bookmarkEnd w:id="397"/>
      <w:bookmarkStart w:id="398" w:name="_Toc184308056"/>
      <w:bookmarkEnd w:id="398"/>
      <w:bookmarkStart w:id="399" w:name="_Toc184310294"/>
      <w:bookmarkEnd w:id="399"/>
      <w:bookmarkStart w:id="400" w:name="_Toc184312127"/>
      <w:bookmarkEnd w:id="400"/>
      <w:bookmarkStart w:id="401" w:name="_Toc184310307"/>
      <w:bookmarkEnd w:id="401"/>
      <w:bookmarkStart w:id="402" w:name="_Toc184313253"/>
      <w:bookmarkEnd w:id="402"/>
      <w:bookmarkStart w:id="403" w:name="_Toc184310302"/>
      <w:bookmarkEnd w:id="403"/>
      <w:bookmarkStart w:id="404" w:name="_Toc184308073"/>
      <w:bookmarkEnd w:id="404"/>
      <w:bookmarkStart w:id="405" w:name="_Toc184314415"/>
      <w:bookmarkEnd w:id="405"/>
      <w:bookmarkStart w:id="406" w:name="_Toc184314429"/>
      <w:bookmarkEnd w:id="406"/>
      <w:bookmarkStart w:id="407" w:name="_Toc184312084"/>
      <w:bookmarkEnd w:id="407"/>
      <w:bookmarkStart w:id="408" w:name="_Toc184310308"/>
      <w:bookmarkEnd w:id="408"/>
      <w:bookmarkStart w:id="409" w:name="_Toc184313295"/>
      <w:bookmarkEnd w:id="409"/>
      <w:bookmarkStart w:id="410" w:name="_Toc184312078"/>
      <w:bookmarkEnd w:id="410"/>
      <w:bookmarkStart w:id="411" w:name="_Toc184313298"/>
      <w:bookmarkEnd w:id="411"/>
      <w:bookmarkStart w:id="412" w:name="_Toc184310322"/>
      <w:bookmarkEnd w:id="412"/>
      <w:bookmarkStart w:id="413" w:name="_Toc184310291"/>
      <w:bookmarkEnd w:id="413"/>
      <w:r>
        <w:rPr>
          <w:rFonts w:hint="eastAsia" w:ascii="宋体" w:hAnsi="宋体" w:eastAsia="宋体" w:cs="宋体"/>
          <w:b/>
          <w:color w:val="auto"/>
          <w:sz w:val="36"/>
          <w:szCs w:val="36"/>
          <w:highlight w:val="none"/>
        </w:rPr>
        <w:t>评标办法</w:t>
      </w:r>
    </w:p>
    <w:p w14:paraId="19184D73">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W w:w="10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6640"/>
        <w:gridCol w:w="614"/>
        <w:gridCol w:w="1026"/>
        <w:gridCol w:w="1575"/>
      </w:tblGrid>
      <w:tr w14:paraId="3CD8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59" w:type="dxa"/>
            <w:noWrap/>
            <w:vAlign w:val="center"/>
          </w:tcPr>
          <w:p w14:paraId="14374AF5">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6640" w:type="dxa"/>
            <w:noWrap/>
            <w:vAlign w:val="center"/>
          </w:tcPr>
          <w:p w14:paraId="5D3D9E2C">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评审标准</w:t>
            </w:r>
          </w:p>
        </w:tc>
        <w:tc>
          <w:tcPr>
            <w:tcW w:w="614" w:type="dxa"/>
            <w:noWrap/>
            <w:vAlign w:val="center"/>
          </w:tcPr>
          <w:p w14:paraId="40315641">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权重</w:t>
            </w:r>
          </w:p>
        </w:tc>
        <w:tc>
          <w:tcPr>
            <w:tcW w:w="1026" w:type="dxa"/>
            <w:noWrap/>
            <w:vAlign w:val="top"/>
          </w:tcPr>
          <w:p w14:paraId="494BAB52">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575" w:type="dxa"/>
            <w:noWrap/>
            <w:vAlign w:val="top"/>
          </w:tcPr>
          <w:p w14:paraId="2D2941FC">
            <w:pP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投标文件中评标标准相应的商务技术资料目录</w:t>
            </w:r>
            <w:r>
              <w:rPr>
                <w:rFonts w:hint="eastAsia" w:ascii="宋体" w:hAnsi="宋体" w:eastAsia="宋体" w:cs="宋体"/>
                <w:color w:val="auto"/>
                <w:sz w:val="24"/>
                <w:highlight w:val="none"/>
                <w:shd w:val="clear" w:color="auto" w:fill="FFFFFF"/>
              </w:rPr>
              <w:t> *</w:t>
            </w:r>
          </w:p>
        </w:tc>
      </w:tr>
      <w:tr w14:paraId="16C0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59" w:type="dxa"/>
            <w:noWrap/>
            <w:vAlign w:val="center"/>
          </w:tcPr>
          <w:p w14:paraId="7730A061">
            <w:pPr>
              <w:jc w:val="center"/>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p>
        </w:tc>
        <w:tc>
          <w:tcPr>
            <w:tcW w:w="6640" w:type="dxa"/>
            <w:noWrap/>
            <w:vAlign w:val="center"/>
          </w:tcPr>
          <w:p w14:paraId="287F1313">
            <w:pPr>
              <w:keepNext w:val="0"/>
              <w:keepLines w:val="0"/>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auto"/>
                <w:kern w:val="0"/>
                <w:sz w:val="24"/>
                <w:szCs w:val="24"/>
                <w:highlight w:val="none"/>
                <w:lang w:eastAsia="zh-CN"/>
              </w:rPr>
            </w:pPr>
            <w:bookmarkStart w:id="414" w:name="_Hlk164758749"/>
            <w:r>
              <w:rPr>
                <w:rFonts w:hint="eastAsia" w:ascii="宋体" w:hAnsi="宋体" w:eastAsia="宋体" w:cs="宋体"/>
                <w:color w:val="auto"/>
                <w:kern w:val="0"/>
                <w:sz w:val="24"/>
                <w:szCs w:val="24"/>
                <w:highlight w:val="none"/>
                <w:lang w:val="en-US" w:eastAsia="zh-CN"/>
              </w:rPr>
              <w:t>所投</w:t>
            </w:r>
            <w:r>
              <w:rPr>
                <w:rFonts w:hint="eastAsia" w:ascii="宋体" w:hAnsi="宋体" w:eastAsia="宋体" w:cs="宋体"/>
                <w:color w:val="auto"/>
                <w:kern w:val="0"/>
                <w:sz w:val="24"/>
                <w:szCs w:val="24"/>
                <w:highlight w:val="none"/>
              </w:rPr>
              <w:t>产品性能及技术指标均满足</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lang w:eastAsia="zh-CN"/>
              </w:rPr>
              <w:t>“第</w:t>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lang w:eastAsia="zh-CN"/>
              </w:rPr>
              <w:t>部分 采购需求”</w:t>
            </w:r>
            <w:r>
              <w:rPr>
                <w:rFonts w:hint="eastAsia" w:ascii="宋体" w:hAnsi="宋体" w:eastAsia="宋体" w:cs="宋体"/>
                <w:color w:val="auto"/>
                <w:kern w:val="0"/>
                <w:sz w:val="24"/>
                <w:szCs w:val="24"/>
                <w:highlight w:val="none"/>
                <w:lang w:val="en-US" w:eastAsia="zh-CN"/>
              </w:rPr>
              <w:t>要求</w:t>
            </w:r>
            <w:r>
              <w:rPr>
                <w:rFonts w:hint="eastAsia" w:ascii="宋体" w:hAnsi="宋体" w:eastAsia="宋体" w:cs="宋体"/>
                <w:color w:val="auto"/>
                <w:kern w:val="0"/>
                <w:sz w:val="24"/>
                <w:szCs w:val="24"/>
                <w:highlight w:val="none"/>
              </w:rPr>
              <w:t>的得</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分；带“</w:t>
            </w:r>
            <w:r>
              <w:rPr>
                <w:rFonts w:hint="eastAsia" w:ascii="宋体" w:hAnsi="宋体" w:eastAsia="宋体" w:cs="仿宋_GB2312"/>
                <w:color w:val="000000"/>
                <w:sz w:val="24"/>
              </w:rPr>
              <w:t>△</w:t>
            </w:r>
            <w:r>
              <w:rPr>
                <w:rFonts w:hint="eastAsia" w:ascii="宋体" w:hAnsi="宋体" w:eastAsia="宋体" w:cs="宋体"/>
                <w:color w:val="auto"/>
                <w:kern w:val="0"/>
                <w:sz w:val="24"/>
                <w:szCs w:val="24"/>
                <w:highlight w:val="none"/>
              </w:rPr>
              <w:t>”号技术参数负偏离或未响应的，每项扣</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分，扣完为止；其它技术参数负偏离或未响应的，每项扣1分,扣完为止</w:t>
            </w:r>
            <w:r>
              <w:rPr>
                <w:rFonts w:hint="eastAsia" w:ascii="宋体" w:hAnsi="宋体" w:cs="宋体"/>
                <w:color w:val="auto"/>
                <w:kern w:val="0"/>
                <w:sz w:val="24"/>
                <w:szCs w:val="24"/>
                <w:highlight w:val="none"/>
                <w:lang w:eastAsia="zh-CN"/>
              </w:rPr>
              <w:t>。</w:t>
            </w:r>
          </w:p>
          <w:p w14:paraId="7D13FCFF">
            <w:pPr>
              <w:jc w:val="left"/>
              <w:outlineLvl w:val="0"/>
              <w:rPr>
                <w:rFonts w:hint="eastAsia" w:ascii="宋体" w:hAnsi="宋体" w:eastAsia="宋体" w:cs="宋体"/>
                <w:bCs/>
                <w:color w:val="auto"/>
                <w:sz w:val="24"/>
                <w:highlight w:val="none"/>
                <w:lang w:eastAsia="zh-CN"/>
              </w:rPr>
            </w:pPr>
            <w:r>
              <w:rPr>
                <w:rFonts w:hint="eastAsia" w:ascii="宋体" w:hAnsi="宋体" w:eastAsia="宋体" w:cs="宋体"/>
                <w:b/>
                <w:bCs/>
                <w:color w:val="auto"/>
                <w:sz w:val="24"/>
              </w:rPr>
              <w:t>注：</w:t>
            </w:r>
            <w:r>
              <w:rPr>
                <w:rFonts w:hint="eastAsia" w:ascii="宋体" w:hAnsi="宋体" w:eastAsia="宋体" w:cs="宋体"/>
                <w:b/>
                <w:bCs/>
                <w:color w:val="auto"/>
                <w:sz w:val="24"/>
                <w:lang w:val="en-US" w:eastAsia="zh-CN"/>
              </w:rPr>
              <w:t>须按</w:t>
            </w:r>
            <w:r>
              <w:rPr>
                <w:rFonts w:hint="eastAsia" w:ascii="宋体" w:hAnsi="宋体" w:eastAsia="宋体" w:cs="宋体"/>
                <w:b/>
                <w:bCs/>
                <w:color w:val="auto"/>
                <w:kern w:val="0"/>
                <w:sz w:val="24"/>
                <w:szCs w:val="24"/>
                <w:highlight w:val="none"/>
                <w:lang w:eastAsia="zh-CN"/>
              </w:rPr>
              <w:t>采购需求</w:t>
            </w:r>
            <w:r>
              <w:rPr>
                <w:rFonts w:hint="eastAsia" w:ascii="宋体" w:hAnsi="宋体" w:eastAsia="宋体" w:cs="宋体"/>
                <w:b/>
                <w:bCs/>
                <w:color w:val="auto"/>
                <w:kern w:val="0"/>
                <w:sz w:val="24"/>
                <w:szCs w:val="24"/>
                <w:highlight w:val="none"/>
                <w:lang w:val="en-US" w:eastAsia="zh-CN"/>
              </w:rPr>
              <w:t>的</w:t>
            </w:r>
            <w:r>
              <w:rPr>
                <w:rFonts w:hint="eastAsia" w:ascii="宋体" w:hAnsi="宋体" w:eastAsia="宋体" w:cs="宋体"/>
                <w:b/>
                <w:bCs/>
                <w:color w:val="auto"/>
                <w:sz w:val="24"/>
              </w:rPr>
              <w:t>要求提供</w:t>
            </w:r>
            <w:r>
              <w:rPr>
                <w:rFonts w:hint="eastAsia" w:ascii="宋体" w:hAnsi="宋体" w:eastAsia="宋体" w:cs="宋体"/>
                <w:b/>
                <w:bCs/>
                <w:color w:val="auto"/>
                <w:sz w:val="24"/>
                <w:lang w:val="en-US" w:eastAsia="zh-CN"/>
              </w:rPr>
              <w:t>相关的</w:t>
            </w:r>
            <w:r>
              <w:rPr>
                <w:rFonts w:hint="eastAsia" w:ascii="宋体" w:hAnsi="宋体" w:cs="宋体"/>
                <w:b/>
                <w:bCs/>
                <w:color w:val="auto"/>
                <w:sz w:val="24"/>
                <w:highlight w:val="none"/>
                <w:lang w:val="en-US" w:eastAsia="zh-CN"/>
              </w:rPr>
              <w:t>证书</w:t>
            </w:r>
            <w:r>
              <w:rPr>
                <w:rFonts w:hint="eastAsia" w:ascii="宋体" w:hAnsi="宋体" w:cs="宋体"/>
                <w:b/>
                <w:bCs/>
                <w:color w:val="auto"/>
                <w:sz w:val="24"/>
                <w:highlight w:val="none"/>
                <w:lang w:eastAsia="zh-CN"/>
              </w:rPr>
              <w:t>、</w:t>
            </w:r>
            <w:r>
              <w:rPr>
                <w:rFonts w:hint="eastAsia" w:ascii="宋体" w:hAnsi="宋体" w:eastAsia="宋体" w:cs="宋体"/>
                <w:b/>
                <w:bCs/>
                <w:sz w:val="24"/>
              </w:rPr>
              <w:t>检测报告</w:t>
            </w:r>
            <w:r>
              <w:rPr>
                <w:rFonts w:hint="eastAsia" w:ascii="宋体" w:hAnsi="宋体" w:eastAsia="宋体" w:cs="宋体"/>
                <w:b/>
                <w:bCs/>
                <w:sz w:val="24"/>
                <w:lang w:eastAsia="zh-CN"/>
              </w:rPr>
              <w:t>、</w:t>
            </w:r>
            <w:r>
              <w:rPr>
                <w:rFonts w:hint="eastAsia" w:ascii="宋体" w:hAnsi="宋体" w:eastAsia="宋体" w:cs="宋体"/>
                <w:b/>
                <w:bCs/>
                <w:sz w:val="24"/>
                <w:szCs w:val="24"/>
              </w:rPr>
              <w:t>系统界面截图</w:t>
            </w:r>
            <w:r>
              <w:rPr>
                <w:rFonts w:hint="eastAsia" w:ascii="宋体" w:hAnsi="宋体" w:eastAsia="宋体" w:cs="宋体"/>
                <w:b/>
                <w:bCs/>
                <w:color w:val="auto"/>
                <w:sz w:val="24"/>
                <w:highlight w:val="none"/>
                <w:lang w:eastAsia="zh-CN"/>
              </w:rPr>
              <w:t>等</w:t>
            </w:r>
            <w:r>
              <w:rPr>
                <w:rFonts w:hint="eastAsia" w:ascii="宋体" w:hAnsi="宋体" w:cs="宋体"/>
                <w:b/>
                <w:bCs/>
                <w:color w:val="auto"/>
                <w:sz w:val="24"/>
                <w:highlight w:val="none"/>
                <w:lang w:val="en-US" w:eastAsia="zh-CN"/>
              </w:rPr>
              <w:t>证明材料</w:t>
            </w:r>
            <w:r>
              <w:rPr>
                <w:rFonts w:hint="eastAsia" w:ascii="宋体" w:hAnsi="宋体" w:eastAsia="宋体" w:cs="宋体"/>
                <w:b/>
                <w:bCs/>
                <w:color w:val="auto"/>
                <w:sz w:val="24"/>
              </w:rPr>
              <w:t>，否则视作</w:t>
            </w:r>
            <w:r>
              <w:rPr>
                <w:rFonts w:hint="eastAsia" w:ascii="宋体" w:hAnsi="宋体" w:eastAsia="宋体" w:cs="宋体"/>
                <w:b/>
                <w:bCs/>
                <w:color w:val="auto"/>
                <w:sz w:val="24"/>
                <w:lang w:val="en-US" w:eastAsia="zh-CN"/>
              </w:rPr>
              <w:t>未</w:t>
            </w:r>
            <w:r>
              <w:rPr>
                <w:rFonts w:hint="eastAsia" w:ascii="宋体" w:hAnsi="宋体" w:eastAsia="宋体" w:cs="宋体"/>
                <w:b/>
                <w:bCs/>
                <w:color w:val="auto"/>
                <w:sz w:val="24"/>
              </w:rPr>
              <w:t>响应</w:t>
            </w:r>
            <w:r>
              <w:rPr>
                <w:rFonts w:hint="eastAsia" w:ascii="宋体" w:hAnsi="宋体" w:eastAsia="宋体" w:cs="宋体"/>
                <w:b/>
                <w:bCs/>
                <w:color w:val="auto"/>
                <w:sz w:val="24"/>
                <w:lang w:val="en-US" w:eastAsia="zh-CN"/>
              </w:rPr>
              <w:t>扣分</w:t>
            </w:r>
            <w:r>
              <w:rPr>
                <w:rFonts w:hint="eastAsia" w:ascii="宋体" w:hAnsi="宋体" w:eastAsia="宋体" w:cs="宋体"/>
                <w:b/>
                <w:bCs/>
                <w:color w:val="auto"/>
                <w:sz w:val="24"/>
                <w:lang w:eastAsia="zh-CN"/>
              </w:rPr>
              <w:t>。</w:t>
            </w:r>
            <w:bookmarkEnd w:id="414"/>
            <w:r>
              <w:rPr>
                <w:rFonts w:hint="eastAsia" w:ascii="宋体" w:hAnsi="宋体" w:cs="宋体"/>
                <w:b/>
                <w:bCs/>
                <w:color w:val="auto"/>
                <w:sz w:val="24"/>
                <w:highlight w:val="none"/>
                <w:lang w:val="en-US" w:eastAsia="zh-CN"/>
              </w:rPr>
              <w:t xml:space="preserve"> </w:t>
            </w:r>
          </w:p>
        </w:tc>
        <w:tc>
          <w:tcPr>
            <w:tcW w:w="614" w:type="dxa"/>
            <w:noWrap/>
            <w:vAlign w:val="center"/>
          </w:tcPr>
          <w:p w14:paraId="76C3C049">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20</w:t>
            </w:r>
          </w:p>
        </w:tc>
        <w:tc>
          <w:tcPr>
            <w:tcW w:w="1026" w:type="dxa"/>
            <w:noWrap/>
            <w:vAlign w:val="center"/>
          </w:tcPr>
          <w:p w14:paraId="7A20561B">
            <w:pPr>
              <w:jc w:val="center"/>
              <w:outlineLvl w:val="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客</w:t>
            </w:r>
            <w:r>
              <w:rPr>
                <w:rFonts w:hint="eastAsia" w:ascii="宋体" w:hAnsi="宋体" w:eastAsia="宋体" w:cs="宋体"/>
                <w:bCs/>
                <w:color w:val="auto"/>
                <w:sz w:val="24"/>
                <w:highlight w:val="none"/>
                <w:lang w:val="en-US" w:eastAsia="zh-CN"/>
              </w:rPr>
              <w:t>观分</w:t>
            </w:r>
          </w:p>
        </w:tc>
        <w:tc>
          <w:tcPr>
            <w:tcW w:w="1575" w:type="dxa"/>
            <w:noWrap/>
            <w:vAlign w:val="top"/>
          </w:tcPr>
          <w:p w14:paraId="5067DFFE">
            <w:pPr>
              <w:outlineLvl w:val="0"/>
              <w:rPr>
                <w:rFonts w:hint="eastAsia" w:ascii="宋体" w:hAnsi="宋体" w:eastAsia="宋体" w:cs="宋体"/>
                <w:bCs/>
                <w:color w:val="auto"/>
                <w:sz w:val="24"/>
                <w:highlight w:val="none"/>
              </w:rPr>
            </w:pPr>
          </w:p>
        </w:tc>
      </w:tr>
      <w:tr w14:paraId="1D17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59" w:type="dxa"/>
            <w:noWrap/>
            <w:vAlign w:val="center"/>
          </w:tcPr>
          <w:p w14:paraId="3365FA73">
            <w:pPr>
              <w:jc w:val="center"/>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w:t>
            </w:r>
          </w:p>
        </w:tc>
        <w:tc>
          <w:tcPr>
            <w:tcW w:w="6640" w:type="dxa"/>
            <w:noWrap/>
            <w:vAlign w:val="center"/>
          </w:tcPr>
          <w:p w14:paraId="320FF619">
            <w:pPr>
              <w:keepNext w:val="0"/>
              <w:keepLines w:val="0"/>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w:t>
            </w:r>
            <w:r>
              <w:rPr>
                <w:rFonts w:hint="eastAsia" w:ascii="宋体" w:hAnsi="宋体" w:eastAsia="宋体" w:cs="宋体"/>
                <w:color w:val="auto"/>
                <w:kern w:val="0"/>
                <w:sz w:val="24"/>
                <w:szCs w:val="24"/>
                <w:highlight w:val="none"/>
                <w:lang w:val="en-US" w:eastAsia="zh-CN"/>
              </w:rPr>
              <w:t>能持续稳定的电力供应</w:t>
            </w:r>
            <w:r>
              <w:rPr>
                <w:rFonts w:hint="eastAsia" w:ascii="宋体" w:hAnsi="宋体" w:eastAsia="宋体" w:cs="宋体"/>
                <w:color w:val="auto"/>
                <w:sz w:val="24"/>
                <w:szCs w:val="24"/>
                <w:highlight w:val="none"/>
              </w:rPr>
              <w:t>保障</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由专家进行评审</w:t>
            </w:r>
            <w:r>
              <w:rPr>
                <w:rFonts w:hint="eastAsia" w:ascii="宋体" w:hAnsi="宋体" w:eastAsia="宋体" w:cs="宋体"/>
                <w:color w:val="auto"/>
                <w:sz w:val="24"/>
                <w:szCs w:val="24"/>
                <w:highlight w:val="none"/>
                <w:lang w:eastAsia="zh-CN"/>
              </w:rPr>
              <w:t>。</w:t>
            </w:r>
          </w:p>
          <w:p w14:paraId="2E134BA6">
            <w:pPr>
              <w:keepNext w:val="0"/>
              <w:keepLines w:val="0"/>
              <w:pageBreakBefore w:val="0"/>
              <w:widowControl/>
              <w:kinsoku/>
              <w:wordWrap/>
              <w:overflowPunct/>
              <w:topLinePunct w:val="0"/>
              <w:bidi w:val="0"/>
              <w:adjustRightInd w:val="0"/>
              <w:spacing w:line="340" w:lineRule="exact"/>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u w:val="none"/>
                <w:lang w:val="en-US" w:eastAsia="zh-CN" w:bidi="ar"/>
              </w:rPr>
              <w:t>投标供应商提供方案内容全面，针对性强的得4分；方案内容较为全面，有一定针对性的得3分；方案内容基本全面，针对性基本合理的得2分；方案内容有所欠缺，针对性不足的得1分；未提供不得分。</w:t>
            </w:r>
          </w:p>
        </w:tc>
        <w:tc>
          <w:tcPr>
            <w:tcW w:w="614" w:type="dxa"/>
            <w:noWrap/>
            <w:vAlign w:val="center"/>
          </w:tcPr>
          <w:p w14:paraId="3EA79175">
            <w:pPr>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4</w:t>
            </w:r>
          </w:p>
        </w:tc>
        <w:tc>
          <w:tcPr>
            <w:tcW w:w="1026" w:type="dxa"/>
            <w:noWrap/>
            <w:vAlign w:val="top"/>
          </w:tcPr>
          <w:p w14:paraId="289FE19F">
            <w:pPr>
              <w:jc w:val="center"/>
              <w:outlineLvl w:val="0"/>
              <w:rPr>
                <w:rFonts w:hint="eastAsia" w:ascii="宋体" w:hAnsi="宋体" w:eastAsia="宋体" w:cs="宋体"/>
                <w:bCs/>
                <w:color w:val="auto"/>
                <w:sz w:val="24"/>
                <w:highlight w:val="none"/>
                <w:lang w:val="en-US" w:eastAsia="zh-CN"/>
              </w:rPr>
            </w:pPr>
          </w:p>
          <w:p w14:paraId="44BD1599">
            <w:pPr>
              <w:jc w:val="center"/>
              <w:outlineLvl w:val="0"/>
              <w:rPr>
                <w:rFonts w:hint="eastAsia" w:ascii="宋体" w:hAnsi="宋体" w:eastAsia="宋体" w:cs="宋体"/>
                <w:bCs/>
                <w:color w:val="auto"/>
                <w:sz w:val="24"/>
                <w:highlight w:val="none"/>
                <w:lang w:val="en-US" w:eastAsia="zh-CN"/>
              </w:rPr>
            </w:pPr>
          </w:p>
          <w:p w14:paraId="042052BC">
            <w:pPr>
              <w:jc w:val="both"/>
              <w:outlineLvl w:val="0"/>
              <w:rPr>
                <w:rFonts w:hint="eastAsia" w:ascii="宋体" w:hAnsi="宋体" w:eastAsia="宋体" w:cs="宋体"/>
                <w:bCs/>
                <w:color w:val="auto"/>
                <w:sz w:val="24"/>
                <w:highlight w:val="none"/>
                <w:lang w:val="en-US" w:eastAsia="zh-CN"/>
              </w:rPr>
            </w:pPr>
          </w:p>
          <w:p w14:paraId="6C8BD3A6">
            <w:pPr>
              <w:jc w:val="both"/>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主观分</w:t>
            </w:r>
          </w:p>
        </w:tc>
        <w:tc>
          <w:tcPr>
            <w:tcW w:w="1575" w:type="dxa"/>
            <w:noWrap/>
            <w:vAlign w:val="top"/>
          </w:tcPr>
          <w:p w14:paraId="54955462">
            <w:pPr>
              <w:outlineLvl w:val="0"/>
              <w:rPr>
                <w:rFonts w:hint="eastAsia" w:ascii="宋体" w:hAnsi="宋体" w:eastAsia="宋体" w:cs="宋体"/>
                <w:bCs/>
                <w:color w:val="auto"/>
                <w:sz w:val="24"/>
                <w:highlight w:val="none"/>
              </w:rPr>
            </w:pPr>
          </w:p>
        </w:tc>
      </w:tr>
      <w:tr w14:paraId="045E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59" w:type="dxa"/>
            <w:noWrap/>
            <w:vAlign w:val="center"/>
          </w:tcPr>
          <w:p w14:paraId="42F8C057">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w:t>
            </w:r>
          </w:p>
        </w:tc>
        <w:tc>
          <w:tcPr>
            <w:tcW w:w="6640" w:type="dxa"/>
            <w:noWrap/>
            <w:vAlign w:val="center"/>
          </w:tcPr>
          <w:p w14:paraId="52B7D15D">
            <w:pPr>
              <w:keepNext w:val="0"/>
              <w:keepLines w:val="0"/>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根据投标供应商提供的通信保障预案的可行性由专家进行综合评审。</w:t>
            </w:r>
          </w:p>
          <w:p w14:paraId="63EE87D6">
            <w:pPr>
              <w:keepNext w:val="0"/>
              <w:keepLines w:val="0"/>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投标供应商能提供便捷可靠的通讯条件的得4分；通信条件较为符合的得3分；通信条件通讯条件一般的得2分；通讯条件差的得1分；不提供不得分。</w:t>
            </w:r>
          </w:p>
        </w:tc>
        <w:tc>
          <w:tcPr>
            <w:tcW w:w="614" w:type="dxa"/>
            <w:noWrap/>
            <w:vAlign w:val="center"/>
          </w:tcPr>
          <w:p w14:paraId="5AF046F7">
            <w:pPr>
              <w:jc w:val="center"/>
              <w:outlineLvl w:val="0"/>
              <w:rPr>
                <w:rFonts w:hint="default"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4</w:t>
            </w:r>
          </w:p>
        </w:tc>
        <w:tc>
          <w:tcPr>
            <w:tcW w:w="1026" w:type="dxa"/>
            <w:noWrap/>
            <w:vAlign w:val="top"/>
          </w:tcPr>
          <w:p w14:paraId="3F477C0E">
            <w:pPr>
              <w:jc w:val="both"/>
              <w:outlineLvl w:val="0"/>
              <w:rPr>
                <w:rFonts w:hint="eastAsia" w:ascii="宋体" w:hAnsi="宋体" w:eastAsia="宋体" w:cs="宋体"/>
                <w:bCs/>
                <w:color w:val="auto"/>
                <w:sz w:val="24"/>
                <w:highlight w:val="none"/>
                <w:lang w:val="en-US" w:eastAsia="zh-CN"/>
              </w:rPr>
            </w:pPr>
          </w:p>
          <w:p w14:paraId="4922C438">
            <w:pPr>
              <w:jc w:val="both"/>
              <w:outlineLvl w:val="0"/>
              <w:rPr>
                <w:rFonts w:hint="eastAsia" w:ascii="宋体" w:hAnsi="宋体" w:eastAsia="宋体" w:cs="宋体"/>
                <w:bCs/>
                <w:color w:val="auto"/>
                <w:sz w:val="24"/>
                <w:highlight w:val="none"/>
                <w:lang w:val="en-US" w:eastAsia="zh-CN"/>
              </w:rPr>
            </w:pPr>
          </w:p>
          <w:p w14:paraId="33B2A773">
            <w:pPr>
              <w:jc w:val="both"/>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主观分</w:t>
            </w:r>
          </w:p>
        </w:tc>
        <w:tc>
          <w:tcPr>
            <w:tcW w:w="1575" w:type="dxa"/>
            <w:noWrap/>
            <w:vAlign w:val="top"/>
          </w:tcPr>
          <w:p w14:paraId="308B4889">
            <w:pPr>
              <w:outlineLvl w:val="0"/>
              <w:rPr>
                <w:rFonts w:hint="eastAsia" w:ascii="宋体" w:hAnsi="宋体" w:eastAsia="宋体" w:cs="宋体"/>
                <w:bCs/>
                <w:color w:val="auto"/>
                <w:sz w:val="24"/>
                <w:highlight w:val="none"/>
              </w:rPr>
            </w:pPr>
          </w:p>
        </w:tc>
      </w:tr>
      <w:tr w14:paraId="0028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59" w:type="dxa"/>
            <w:noWrap/>
            <w:vAlign w:val="center"/>
          </w:tcPr>
          <w:p w14:paraId="2AB1D299">
            <w:pPr>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4</w:t>
            </w:r>
          </w:p>
        </w:tc>
        <w:tc>
          <w:tcPr>
            <w:tcW w:w="6640" w:type="dxa"/>
            <w:noWrap/>
            <w:vAlign w:val="center"/>
          </w:tcPr>
          <w:p w14:paraId="3DFCC520">
            <w:pPr>
              <w:keepNext w:val="0"/>
              <w:keepLines w:val="0"/>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w:t>
            </w:r>
            <w:r>
              <w:rPr>
                <w:rFonts w:hint="eastAsia" w:ascii="宋体" w:hAnsi="宋体" w:eastAsia="宋体" w:cs="宋体"/>
                <w:color w:val="auto"/>
                <w:sz w:val="24"/>
                <w:szCs w:val="24"/>
                <w:highlight w:val="none"/>
                <w:lang w:val="en-US" w:eastAsia="zh-CN"/>
              </w:rPr>
              <w:t>供应商提出的合理化建议，包括重点难点分析的解决方案由专家进行综合评审。</w:t>
            </w:r>
          </w:p>
          <w:p w14:paraId="7F877D32">
            <w:pPr>
              <w:keepNext w:val="0"/>
              <w:keepLines w:val="0"/>
              <w:pageBreakBefore w:val="0"/>
              <w:widowControl/>
              <w:kinsoku/>
              <w:wordWrap/>
              <w:overflowPunct/>
              <w:topLinePunct w:val="0"/>
              <w:bidi w:val="0"/>
              <w:adjustRightInd w:val="0"/>
              <w:spacing w:line="340" w:lineRule="exact"/>
              <w:jc w:val="left"/>
              <w:textAlignment w:val="auto"/>
              <w:rPr>
                <w:rFonts w:hint="eastAsia" w:ascii="宋体" w:hAnsi="宋体" w:eastAsia="宋体" w:cs="宋体"/>
                <w:bCs/>
                <w:color w:val="auto"/>
                <w:sz w:val="24"/>
                <w:highlight w:val="none"/>
              </w:rPr>
            </w:pPr>
            <w:r>
              <w:rPr>
                <w:rFonts w:hint="eastAsia" w:ascii="宋体" w:hAnsi="宋体" w:eastAsia="宋体" w:cs="宋体"/>
                <w:color w:val="auto"/>
                <w:kern w:val="0"/>
                <w:sz w:val="24"/>
                <w:szCs w:val="24"/>
                <w:highlight w:val="none"/>
                <w:lang w:val="en-US" w:eastAsia="zh-CN"/>
              </w:rPr>
              <w:t>投标供应商提供</w:t>
            </w:r>
            <w:r>
              <w:rPr>
                <w:rFonts w:hint="eastAsia" w:ascii="宋体" w:hAnsi="宋体" w:eastAsia="宋体" w:cs="宋体"/>
                <w:color w:val="auto"/>
                <w:sz w:val="24"/>
                <w:szCs w:val="24"/>
                <w:highlight w:val="none"/>
                <w:lang w:eastAsia="zh-CN"/>
              </w:rPr>
              <w:t>方案内容全面，针对性强的得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kern w:val="2"/>
                <w:sz w:val="24"/>
                <w:szCs w:val="24"/>
                <w:highlight w:val="none"/>
                <w:u w:val="none"/>
                <w:lang w:val="en-US" w:eastAsia="zh-CN" w:bidi="ar"/>
              </w:rPr>
              <w:t>方案内容较为全面，有一定针对性的得4分；方案内容基本全面，针对性基本合理的得3分；</w:t>
            </w:r>
            <w:r>
              <w:rPr>
                <w:rFonts w:hint="eastAsia" w:ascii="宋体" w:hAnsi="宋体" w:eastAsia="宋体" w:cs="宋体"/>
                <w:color w:val="auto"/>
                <w:kern w:val="2"/>
                <w:sz w:val="24"/>
                <w:szCs w:val="24"/>
                <w:highlight w:val="none"/>
                <w:u w:val="none"/>
                <w:lang w:eastAsia="zh-CN" w:bidi="ar"/>
              </w:rPr>
              <w:t>方案内容</w:t>
            </w:r>
            <w:r>
              <w:rPr>
                <w:rFonts w:hint="eastAsia" w:ascii="宋体" w:hAnsi="宋体" w:eastAsia="宋体" w:cs="宋体"/>
                <w:color w:val="auto"/>
                <w:kern w:val="2"/>
                <w:sz w:val="24"/>
                <w:szCs w:val="24"/>
                <w:highlight w:val="none"/>
                <w:u w:val="none"/>
                <w:lang w:val="en-US" w:eastAsia="zh-CN" w:bidi="ar"/>
              </w:rPr>
              <w:t>有所欠缺，</w:t>
            </w:r>
            <w:r>
              <w:rPr>
                <w:rFonts w:hint="eastAsia" w:ascii="宋体" w:hAnsi="宋体" w:eastAsia="宋体" w:cs="宋体"/>
                <w:color w:val="auto"/>
                <w:kern w:val="2"/>
                <w:sz w:val="24"/>
                <w:szCs w:val="24"/>
                <w:highlight w:val="none"/>
                <w:u w:val="none"/>
                <w:lang w:eastAsia="zh-CN" w:bidi="ar"/>
              </w:rPr>
              <w:t>针对性不足的得</w:t>
            </w:r>
            <w:r>
              <w:rPr>
                <w:rFonts w:hint="eastAsia" w:ascii="宋体" w:hAnsi="宋体" w:eastAsia="宋体" w:cs="宋体"/>
                <w:color w:val="auto"/>
                <w:kern w:val="2"/>
                <w:sz w:val="24"/>
                <w:szCs w:val="24"/>
                <w:highlight w:val="none"/>
                <w:u w:val="none"/>
                <w:lang w:val="en-US" w:eastAsia="zh-CN" w:bidi="ar"/>
              </w:rPr>
              <w:t>2</w:t>
            </w:r>
            <w:r>
              <w:rPr>
                <w:rFonts w:hint="eastAsia" w:ascii="宋体" w:hAnsi="宋体" w:eastAsia="宋体" w:cs="宋体"/>
                <w:color w:val="auto"/>
                <w:kern w:val="2"/>
                <w:sz w:val="24"/>
                <w:szCs w:val="24"/>
                <w:highlight w:val="none"/>
                <w:u w:val="none"/>
                <w:lang w:eastAsia="zh-CN" w:bidi="ar"/>
              </w:rPr>
              <w:t>分；方案内容明显不符合项目内容的得</w:t>
            </w:r>
            <w:r>
              <w:rPr>
                <w:rFonts w:hint="eastAsia" w:ascii="宋体" w:hAnsi="宋体" w:eastAsia="宋体" w:cs="宋体"/>
                <w:color w:val="auto"/>
                <w:kern w:val="2"/>
                <w:sz w:val="24"/>
                <w:szCs w:val="24"/>
                <w:highlight w:val="none"/>
                <w:u w:val="none"/>
                <w:lang w:val="en-US" w:eastAsia="zh-CN" w:bidi="ar"/>
              </w:rPr>
              <w:t>1</w:t>
            </w:r>
            <w:r>
              <w:rPr>
                <w:rFonts w:hint="eastAsia" w:ascii="宋体" w:hAnsi="宋体" w:eastAsia="宋体" w:cs="宋体"/>
                <w:color w:val="auto"/>
                <w:kern w:val="2"/>
                <w:sz w:val="24"/>
                <w:szCs w:val="24"/>
                <w:highlight w:val="none"/>
                <w:u w:val="none"/>
                <w:lang w:eastAsia="zh-CN" w:bidi="ar"/>
              </w:rPr>
              <w:t>分；未提供不得分</w:t>
            </w:r>
            <w:r>
              <w:rPr>
                <w:rFonts w:hint="eastAsia" w:ascii="宋体" w:hAnsi="宋体" w:eastAsia="宋体" w:cs="宋体"/>
                <w:color w:val="auto"/>
                <w:sz w:val="24"/>
                <w:szCs w:val="24"/>
                <w:highlight w:val="none"/>
              </w:rPr>
              <w:t>。</w:t>
            </w:r>
          </w:p>
        </w:tc>
        <w:tc>
          <w:tcPr>
            <w:tcW w:w="614" w:type="dxa"/>
            <w:noWrap/>
            <w:vAlign w:val="center"/>
          </w:tcPr>
          <w:p w14:paraId="72C22808">
            <w:pPr>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5</w:t>
            </w:r>
          </w:p>
        </w:tc>
        <w:tc>
          <w:tcPr>
            <w:tcW w:w="1026" w:type="dxa"/>
            <w:noWrap/>
            <w:vAlign w:val="center"/>
          </w:tcPr>
          <w:p w14:paraId="1C4A9BBF">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575" w:type="dxa"/>
            <w:noWrap/>
            <w:vAlign w:val="center"/>
          </w:tcPr>
          <w:p w14:paraId="1B5B2CFA">
            <w:pPr>
              <w:jc w:val="left"/>
              <w:outlineLvl w:val="0"/>
              <w:rPr>
                <w:rFonts w:hint="eastAsia" w:ascii="宋体" w:hAnsi="宋体" w:eastAsia="宋体" w:cs="宋体"/>
                <w:bCs/>
                <w:color w:val="auto"/>
                <w:sz w:val="24"/>
                <w:highlight w:val="none"/>
              </w:rPr>
            </w:pPr>
          </w:p>
        </w:tc>
      </w:tr>
      <w:tr w14:paraId="1743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59" w:type="dxa"/>
            <w:noWrap/>
            <w:vAlign w:val="center"/>
          </w:tcPr>
          <w:p w14:paraId="506E8FD2">
            <w:pPr>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5</w:t>
            </w:r>
          </w:p>
        </w:tc>
        <w:tc>
          <w:tcPr>
            <w:tcW w:w="6640" w:type="dxa"/>
            <w:noWrap/>
            <w:vAlign w:val="center"/>
          </w:tcPr>
          <w:p w14:paraId="44FB2135">
            <w:pPr>
              <w:keepNext w:val="0"/>
              <w:keepLines w:val="0"/>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w:t>
            </w:r>
            <w:r>
              <w:rPr>
                <w:rFonts w:hint="eastAsia" w:ascii="宋体" w:hAnsi="宋体" w:eastAsia="宋体" w:cs="宋体"/>
                <w:color w:val="auto"/>
                <w:sz w:val="24"/>
                <w:szCs w:val="24"/>
                <w:highlight w:val="none"/>
              </w:rPr>
              <w:t>据投标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提供的服务能力、服务措施、服务</w:t>
            </w:r>
            <w:r>
              <w:rPr>
                <w:rFonts w:hint="eastAsia" w:ascii="宋体" w:hAnsi="宋体" w:eastAsia="宋体" w:cs="宋体"/>
                <w:color w:val="auto"/>
                <w:sz w:val="24"/>
                <w:szCs w:val="24"/>
                <w:highlight w:val="none"/>
                <w:lang w:val="en-US" w:eastAsia="zh-CN"/>
              </w:rPr>
              <w:t>保密</w:t>
            </w:r>
            <w:r>
              <w:rPr>
                <w:rFonts w:hint="eastAsia" w:ascii="宋体" w:hAnsi="宋体" w:eastAsia="宋体" w:cs="宋体"/>
                <w:color w:val="auto"/>
                <w:sz w:val="24"/>
                <w:szCs w:val="24"/>
                <w:highlight w:val="none"/>
              </w:rPr>
              <w:t>承诺等方面</w:t>
            </w:r>
            <w:r>
              <w:rPr>
                <w:rFonts w:hint="eastAsia" w:ascii="宋体" w:hAnsi="宋体" w:eastAsia="宋体" w:cs="宋体"/>
                <w:color w:val="auto"/>
                <w:sz w:val="24"/>
                <w:szCs w:val="24"/>
                <w:highlight w:val="none"/>
                <w:lang w:val="en-US" w:eastAsia="zh-CN"/>
              </w:rPr>
              <w:t>由专家进行综合评审。</w:t>
            </w:r>
          </w:p>
          <w:p w14:paraId="3E1241D2">
            <w:pPr>
              <w:numPr>
                <w:ilvl w:val="0"/>
                <w:numId w:val="0"/>
              </w:numPr>
              <w:jc w:val="left"/>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color w:val="auto"/>
                <w:kern w:val="0"/>
                <w:sz w:val="24"/>
                <w:szCs w:val="24"/>
                <w:highlight w:val="none"/>
                <w:lang w:val="en-US" w:eastAsia="zh-CN"/>
              </w:rPr>
              <w:t>投标供应商提供</w:t>
            </w:r>
            <w:r>
              <w:rPr>
                <w:rFonts w:hint="eastAsia" w:ascii="宋体" w:hAnsi="宋体" w:eastAsia="宋体" w:cs="宋体"/>
                <w:color w:val="auto"/>
                <w:sz w:val="24"/>
                <w:szCs w:val="24"/>
                <w:highlight w:val="none"/>
                <w:lang w:eastAsia="zh-CN"/>
              </w:rPr>
              <w:t>方案内容全面，针对性强的得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kern w:val="2"/>
                <w:sz w:val="24"/>
                <w:szCs w:val="24"/>
                <w:highlight w:val="none"/>
                <w:u w:val="none"/>
                <w:lang w:val="en-US" w:eastAsia="zh-CN" w:bidi="ar"/>
              </w:rPr>
              <w:t>方案内容较为全面，有一定针对性的得4分；方案内容基本全面，针对性基本合理的得3分；</w:t>
            </w:r>
            <w:r>
              <w:rPr>
                <w:rFonts w:hint="eastAsia" w:ascii="宋体" w:hAnsi="宋体" w:eastAsia="宋体" w:cs="宋体"/>
                <w:color w:val="auto"/>
                <w:kern w:val="2"/>
                <w:sz w:val="24"/>
                <w:szCs w:val="24"/>
                <w:highlight w:val="none"/>
                <w:u w:val="none"/>
                <w:lang w:eastAsia="zh-CN" w:bidi="ar"/>
              </w:rPr>
              <w:t>方案内容</w:t>
            </w:r>
            <w:r>
              <w:rPr>
                <w:rFonts w:hint="eastAsia" w:ascii="宋体" w:hAnsi="宋体" w:eastAsia="宋体" w:cs="宋体"/>
                <w:color w:val="auto"/>
                <w:kern w:val="2"/>
                <w:sz w:val="24"/>
                <w:szCs w:val="24"/>
                <w:highlight w:val="none"/>
                <w:u w:val="none"/>
                <w:lang w:val="en-US" w:eastAsia="zh-CN" w:bidi="ar"/>
              </w:rPr>
              <w:t>有所欠缺，</w:t>
            </w:r>
            <w:r>
              <w:rPr>
                <w:rFonts w:hint="eastAsia" w:ascii="宋体" w:hAnsi="宋体" w:eastAsia="宋体" w:cs="宋体"/>
                <w:color w:val="auto"/>
                <w:kern w:val="2"/>
                <w:sz w:val="24"/>
                <w:szCs w:val="24"/>
                <w:highlight w:val="none"/>
                <w:u w:val="none"/>
                <w:lang w:eastAsia="zh-CN" w:bidi="ar"/>
              </w:rPr>
              <w:t>针对性不足的得</w:t>
            </w:r>
            <w:r>
              <w:rPr>
                <w:rFonts w:hint="eastAsia" w:ascii="宋体" w:hAnsi="宋体" w:eastAsia="宋体" w:cs="宋体"/>
                <w:color w:val="auto"/>
                <w:kern w:val="2"/>
                <w:sz w:val="24"/>
                <w:szCs w:val="24"/>
                <w:highlight w:val="none"/>
                <w:u w:val="none"/>
                <w:lang w:val="en-US" w:eastAsia="zh-CN" w:bidi="ar"/>
              </w:rPr>
              <w:t>2</w:t>
            </w:r>
            <w:r>
              <w:rPr>
                <w:rFonts w:hint="eastAsia" w:ascii="宋体" w:hAnsi="宋体" w:eastAsia="宋体" w:cs="宋体"/>
                <w:color w:val="auto"/>
                <w:kern w:val="2"/>
                <w:sz w:val="24"/>
                <w:szCs w:val="24"/>
                <w:highlight w:val="none"/>
                <w:u w:val="none"/>
                <w:lang w:eastAsia="zh-CN" w:bidi="ar"/>
              </w:rPr>
              <w:t>分；方案内容明显不符合项目内容的得</w:t>
            </w:r>
            <w:r>
              <w:rPr>
                <w:rFonts w:hint="eastAsia" w:ascii="宋体" w:hAnsi="宋体" w:eastAsia="宋体" w:cs="宋体"/>
                <w:color w:val="auto"/>
                <w:kern w:val="2"/>
                <w:sz w:val="24"/>
                <w:szCs w:val="24"/>
                <w:highlight w:val="none"/>
                <w:u w:val="none"/>
                <w:lang w:val="en-US" w:eastAsia="zh-CN" w:bidi="ar"/>
              </w:rPr>
              <w:t>1</w:t>
            </w:r>
            <w:r>
              <w:rPr>
                <w:rFonts w:hint="eastAsia" w:ascii="宋体" w:hAnsi="宋体" w:eastAsia="宋体" w:cs="宋体"/>
                <w:color w:val="auto"/>
                <w:kern w:val="2"/>
                <w:sz w:val="24"/>
                <w:szCs w:val="24"/>
                <w:highlight w:val="none"/>
                <w:u w:val="none"/>
                <w:lang w:eastAsia="zh-CN" w:bidi="ar"/>
              </w:rPr>
              <w:t>分；未提供不得分。</w:t>
            </w:r>
          </w:p>
        </w:tc>
        <w:tc>
          <w:tcPr>
            <w:tcW w:w="614" w:type="dxa"/>
            <w:noWrap/>
            <w:vAlign w:val="center"/>
          </w:tcPr>
          <w:p w14:paraId="724E1668">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1026" w:type="dxa"/>
            <w:noWrap/>
            <w:vAlign w:val="center"/>
          </w:tcPr>
          <w:p w14:paraId="23F48E44">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575" w:type="dxa"/>
            <w:noWrap/>
            <w:vAlign w:val="center"/>
          </w:tcPr>
          <w:p w14:paraId="4D16F8BD">
            <w:pPr>
              <w:jc w:val="left"/>
              <w:outlineLvl w:val="0"/>
              <w:rPr>
                <w:rFonts w:hint="eastAsia" w:ascii="宋体" w:hAnsi="宋体" w:eastAsia="宋体" w:cs="宋体"/>
                <w:bCs/>
                <w:color w:val="auto"/>
                <w:sz w:val="24"/>
                <w:highlight w:val="none"/>
              </w:rPr>
            </w:pPr>
          </w:p>
        </w:tc>
      </w:tr>
      <w:tr w14:paraId="6E8B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59" w:type="dxa"/>
            <w:noWrap/>
            <w:vAlign w:val="center"/>
          </w:tcPr>
          <w:p w14:paraId="5AA52FC8">
            <w:pPr>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6</w:t>
            </w:r>
          </w:p>
        </w:tc>
        <w:tc>
          <w:tcPr>
            <w:tcW w:w="6640" w:type="dxa"/>
            <w:noWrap/>
            <w:vAlign w:val="center"/>
          </w:tcPr>
          <w:p w14:paraId="38651772">
            <w:pPr>
              <w:keepNext w:val="0"/>
              <w:keepLines w:val="0"/>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售后维护机构和人员等情况、售后服务方案、售后服务承诺的可行性、完整性以及服务承诺落实的保障措施，维护期内外的后续技术支持和维护能力情况等</w:t>
            </w:r>
            <w:r>
              <w:rPr>
                <w:rFonts w:hint="eastAsia" w:ascii="宋体" w:hAnsi="宋体" w:eastAsia="宋体" w:cs="宋体"/>
                <w:color w:val="auto"/>
                <w:sz w:val="24"/>
                <w:szCs w:val="24"/>
                <w:highlight w:val="none"/>
                <w:lang w:val="en-US" w:eastAsia="zh-CN"/>
              </w:rPr>
              <w:t>由专家进行综合评审。</w:t>
            </w:r>
          </w:p>
          <w:p w14:paraId="718C132F">
            <w:pPr>
              <w:numPr>
                <w:ilvl w:val="0"/>
                <w:numId w:val="0"/>
              </w:numPr>
              <w:jc w:val="left"/>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color w:val="auto"/>
                <w:kern w:val="0"/>
                <w:sz w:val="24"/>
                <w:szCs w:val="24"/>
                <w:highlight w:val="none"/>
                <w:lang w:val="en-US" w:eastAsia="zh-CN"/>
              </w:rPr>
              <w:t>投标供应商提供</w:t>
            </w:r>
            <w:r>
              <w:rPr>
                <w:rFonts w:hint="eastAsia" w:ascii="宋体" w:hAnsi="宋体" w:eastAsia="宋体" w:cs="宋体"/>
                <w:color w:val="auto"/>
                <w:sz w:val="24"/>
                <w:szCs w:val="24"/>
                <w:highlight w:val="none"/>
                <w:lang w:eastAsia="zh-CN"/>
              </w:rPr>
              <w:t>方案内容全面，针对性强的得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kern w:val="2"/>
                <w:sz w:val="24"/>
                <w:szCs w:val="24"/>
                <w:highlight w:val="none"/>
                <w:u w:val="none"/>
                <w:lang w:val="en-US" w:eastAsia="zh-CN" w:bidi="ar"/>
              </w:rPr>
              <w:t>方案内容较为全面，有一定针对性的得4分；方案内容基本全面，针对性基本合理的得3分；</w:t>
            </w:r>
            <w:r>
              <w:rPr>
                <w:rFonts w:hint="eastAsia" w:ascii="宋体" w:hAnsi="宋体" w:eastAsia="宋体" w:cs="宋体"/>
                <w:color w:val="auto"/>
                <w:kern w:val="2"/>
                <w:sz w:val="24"/>
                <w:szCs w:val="24"/>
                <w:highlight w:val="none"/>
                <w:u w:val="none"/>
                <w:lang w:eastAsia="zh-CN" w:bidi="ar"/>
              </w:rPr>
              <w:t>方案内容</w:t>
            </w:r>
            <w:r>
              <w:rPr>
                <w:rFonts w:hint="eastAsia" w:ascii="宋体" w:hAnsi="宋体" w:eastAsia="宋体" w:cs="宋体"/>
                <w:color w:val="auto"/>
                <w:kern w:val="2"/>
                <w:sz w:val="24"/>
                <w:szCs w:val="24"/>
                <w:highlight w:val="none"/>
                <w:u w:val="none"/>
                <w:lang w:val="en-US" w:eastAsia="zh-CN" w:bidi="ar"/>
              </w:rPr>
              <w:t>有所欠缺，</w:t>
            </w:r>
            <w:r>
              <w:rPr>
                <w:rFonts w:hint="eastAsia" w:ascii="宋体" w:hAnsi="宋体" w:eastAsia="宋体" w:cs="宋体"/>
                <w:color w:val="auto"/>
                <w:kern w:val="2"/>
                <w:sz w:val="24"/>
                <w:szCs w:val="24"/>
                <w:highlight w:val="none"/>
                <w:u w:val="none"/>
                <w:lang w:eastAsia="zh-CN" w:bidi="ar"/>
              </w:rPr>
              <w:t>针对性不足的得</w:t>
            </w:r>
            <w:r>
              <w:rPr>
                <w:rFonts w:hint="eastAsia" w:ascii="宋体" w:hAnsi="宋体" w:eastAsia="宋体" w:cs="宋体"/>
                <w:color w:val="auto"/>
                <w:kern w:val="2"/>
                <w:sz w:val="24"/>
                <w:szCs w:val="24"/>
                <w:highlight w:val="none"/>
                <w:u w:val="none"/>
                <w:lang w:val="en-US" w:eastAsia="zh-CN" w:bidi="ar"/>
              </w:rPr>
              <w:t>2</w:t>
            </w:r>
            <w:r>
              <w:rPr>
                <w:rFonts w:hint="eastAsia" w:ascii="宋体" w:hAnsi="宋体" w:eastAsia="宋体" w:cs="宋体"/>
                <w:color w:val="auto"/>
                <w:kern w:val="2"/>
                <w:sz w:val="24"/>
                <w:szCs w:val="24"/>
                <w:highlight w:val="none"/>
                <w:u w:val="none"/>
                <w:lang w:eastAsia="zh-CN" w:bidi="ar"/>
              </w:rPr>
              <w:t>分；方案内容明显不符合项目内容的得</w:t>
            </w:r>
            <w:r>
              <w:rPr>
                <w:rFonts w:hint="eastAsia" w:ascii="宋体" w:hAnsi="宋体" w:eastAsia="宋体" w:cs="宋体"/>
                <w:color w:val="auto"/>
                <w:kern w:val="2"/>
                <w:sz w:val="24"/>
                <w:szCs w:val="24"/>
                <w:highlight w:val="none"/>
                <w:u w:val="none"/>
                <w:lang w:val="en-US" w:eastAsia="zh-CN" w:bidi="ar"/>
              </w:rPr>
              <w:t>1</w:t>
            </w:r>
            <w:r>
              <w:rPr>
                <w:rFonts w:hint="eastAsia" w:ascii="宋体" w:hAnsi="宋体" w:eastAsia="宋体" w:cs="宋体"/>
                <w:color w:val="auto"/>
                <w:kern w:val="2"/>
                <w:sz w:val="24"/>
                <w:szCs w:val="24"/>
                <w:highlight w:val="none"/>
                <w:u w:val="none"/>
                <w:lang w:eastAsia="zh-CN" w:bidi="ar"/>
              </w:rPr>
              <w:t>分；未提供不得分。</w:t>
            </w:r>
          </w:p>
        </w:tc>
        <w:tc>
          <w:tcPr>
            <w:tcW w:w="614" w:type="dxa"/>
            <w:noWrap/>
            <w:vAlign w:val="center"/>
          </w:tcPr>
          <w:p w14:paraId="7CE8E1B1">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1026" w:type="dxa"/>
            <w:noWrap/>
            <w:vAlign w:val="center"/>
          </w:tcPr>
          <w:p w14:paraId="6B8DFE6F">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575" w:type="dxa"/>
            <w:noWrap/>
            <w:vAlign w:val="center"/>
          </w:tcPr>
          <w:p w14:paraId="6BB5C8CA">
            <w:pPr>
              <w:jc w:val="left"/>
              <w:outlineLvl w:val="0"/>
              <w:rPr>
                <w:rFonts w:hint="eastAsia" w:ascii="宋体" w:hAnsi="宋体" w:eastAsia="宋体" w:cs="宋体"/>
                <w:bCs/>
                <w:color w:val="auto"/>
                <w:sz w:val="24"/>
                <w:highlight w:val="none"/>
              </w:rPr>
            </w:pPr>
          </w:p>
        </w:tc>
      </w:tr>
      <w:tr w14:paraId="2DF0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59" w:type="dxa"/>
            <w:noWrap/>
            <w:vAlign w:val="center"/>
          </w:tcPr>
          <w:p w14:paraId="567D647F">
            <w:pPr>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7</w:t>
            </w:r>
          </w:p>
        </w:tc>
        <w:tc>
          <w:tcPr>
            <w:tcW w:w="6640" w:type="dxa"/>
            <w:noWrap/>
            <w:vAlign w:val="center"/>
          </w:tcPr>
          <w:p w14:paraId="4A130427">
            <w:pPr>
              <w:numPr>
                <w:ilvl w:val="0"/>
                <w:numId w:val="0"/>
              </w:num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根据投标供应商提供的验收方案的科学性、完整性和合理性等情况由专家进行综合评审。</w:t>
            </w:r>
          </w:p>
          <w:p w14:paraId="61E27754">
            <w:pPr>
              <w:numPr>
                <w:ilvl w:val="0"/>
                <w:numId w:val="0"/>
              </w:numPr>
              <w:jc w:val="left"/>
              <w:outlineLvl w:val="0"/>
              <w:rPr>
                <w:rFonts w:hint="eastAsia"/>
              </w:rPr>
            </w:pPr>
            <w:r>
              <w:rPr>
                <w:rFonts w:hint="eastAsia" w:ascii="宋体" w:hAnsi="宋体" w:eastAsia="宋体" w:cs="宋体"/>
                <w:color w:val="auto"/>
                <w:sz w:val="24"/>
                <w:szCs w:val="24"/>
                <w:highlight w:val="none"/>
                <w:lang w:val="en-US" w:eastAsia="zh-CN"/>
              </w:rPr>
              <w:t>投标供应商提供方案内容全面，针对性强的得4分；方案内容较为全面，有一定针对性的得3分；方案内容基本全面，针对性基本合理的得2分；方案内容有所欠缺，针对性不足的得1分；未提供不得分。</w:t>
            </w:r>
          </w:p>
        </w:tc>
        <w:tc>
          <w:tcPr>
            <w:tcW w:w="614" w:type="dxa"/>
            <w:noWrap/>
            <w:vAlign w:val="center"/>
          </w:tcPr>
          <w:p w14:paraId="07A32962">
            <w:pPr>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4</w:t>
            </w:r>
          </w:p>
        </w:tc>
        <w:tc>
          <w:tcPr>
            <w:tcW w:w="1026" w:type="dxa"/>
            <w:noWrap/>
            <w:vAlign w:val="center"/>
          </w:tcPr>
          <w:p w14:paraId="71D2755C">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575" w:type="dxa"/>
            <w:noWrap/>
            <w:vAlign w:val="center"/>
          </w:tcPr>
          <w:p w14:paraId="28575BCF">
            <w:pPr>
              <w:jc w:val="left"/>
              <w:outlineLvl w:val="0"/>
              <w:rPr>
                <w:rFonts w:hint="eastAsia" w:ascii="宋体" w:hAnsi="宋体" w:eastAsia="宋体" w:cs="宋体"/>
                <w:bCs/>
                <w:color w:val="auto"/>
                <w:sz w:val="24"/>
                <w:highlight w:val="none"/>
              </w:rPr>
            </w:pPr>
          </w:p>
        </w:tc>
      </w:tr>
      <w:tr w14:paraId="2332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59" w:type="dxa"/>
            <w:noWrap/>
            <w:vAlign w:val="center"/>
          </w:tcPr>
          <w:p w14:paraId="353ADBAE">
            <w:pPr>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8</w:t>
            </w:r>
          </w:p>
        </w:tc>
        <w:tc>
          <w:tcPr>
            <w:tcW w:w="6640" w:type="dxa"/>
            <w:noWrap/>
            <w:vAlign w:val="center"/>
          </w:tcPr>
          <w:p w14:paraId="622C759F">
            <w:pPr>
              <w:numPr>
                <w:ilvl w:val="0"/>
                <w:numId w:val="0"/>
              </w:num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根据投标供应商提供的培训方案是否科学合理、内容详实、可操作性强，并有落实培训的保障措施等由专家进行评审。</w:t>
            </w:r>
          </w:p>
          <w:p w14:paraId="416AA66D">
            <w:pPr>
              <w:numPr>
                <w:ilvl w:val="0"/>
                <w:numId w:val="0"/>
              </w:num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投标供应商提供方案完全符合项目需求的得5分；较为符合的得4分；部分符合的得3分；存在欠缺但基本符合的得2分；明显不符合的得1分；不提供不得分。</w:t>
            </w:r>
          </w:p>
        </w:tc>
        <w:tc>
          <w:tcPr>
            <w:tcW w:w="614" w:type="dxa"/>
            <w:noWrap/>
            <w:vAlign w:val="center"/>
          </w:tcPr>
          <w:p w14:paraId="31B16EB2">
            <w:pPr>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5</w:t>
            </w:r>
          </w:p>
        </w:tc>
        <w:tc>
          <w:tcPr>
            <w:tcW w:w="1026" w:type="dxa"/>
            <w:noWrap/>
            <w:vAlign w:val="center"/>
          </w:tcPr>
          <w:p w14:paraId="3C17A002">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575" w:type="dxa"/>
            <w:noWrap/>
            <w:vAlign w:val="center"/>
          </w:tcPr>
          <w:p w14:paraId="60723BED">
            <w:pPr>
              <w:jc w:val="left"/>
              <w:outlineLvl w:val="0"/>
              <w:rPr>
                <w:rFonts w:hint="eastAsia" w:ascii="宋体" w:hAnsi="宋体" w:eastAsia="宋体" w:cs="宋体"/>
                <w:bCs/>
                <w:color w:val="auto"/>
                <w:sz w:val="24"/>
                <w:highlight w:val="none"/>
              </w:rPr>
            </w:pPr>
          </w:p>
        </w:tc>
      </w:tr>
      <w:tr w14:paraId="2CDB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59" w:type="dxa"/>
            <w:noWrap/>
            <w:vAlign w:val="center"/>
          </w:tcPr>
          <w:p w14:paraId="12318853">
            <w:pPr>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9</w:t>
            </w:r>
          </w:p>
        </w:tc>
        <w:tc>
          <w:tcPr>
            <w:tcW w:w="6640" w:type="dxa"/>
            <w:noWrap/>
            <w:vAlign w:val="center"/>
          </w:tcPr>
          <w:p w14:paraId="350A3A34">
            <w:pPr>
              <w:pStyle w:val="4"/>
              <w:spacing w:line="240" w:lineRule="auto"/>
              <w:ind w:left="0" w:leftChars="0" w:firstLine="0" w:firstLineChars="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根据投标供应商提供的信息安全、网络安全、数据安全、系统安全、用户信息保密、系统信息保密、服务内容保密、信息安全管理保障措施等方面进行阐述。根据内容阐述的完整性、可实施性、针对性进行评分，内容完善、合理、可行、针对性强的得5分；内容较为完善合理、有一定针对性的得3分；内容不完整、针对性弱、可实施性低得1分；无相应内容不得分。 </w:t>
            </w:r>
          </w:p>
        </w:tc>
        <w:tc>
          <w:tcPr>
            <w:tcW w:w="614" w:type="dxa"/>
            <w:noWrap/>
            <w:vAlign w:val="center"/>
          </w:tcPr>
          <w:p w14:paraId="44C2CFBA">
            <w:pPr>
              <w:ind w:firstLine="240" w:firstLineChars="100"/>
              <w:jc w:val="both"/>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026" w:type="dxa"/>
            <w:noWrap/>
            <w:vAlign w:val="center"/>
          </w:tcPr>
          <w:p w14:paraId="52BAD2A0">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575" w:type="dxa"/>
            <w:noWrap/>
            <w:vAlign w:val="center"/>
          </w:tcPr>
          <w:p w14:paraId="581F6210">
            <w:pPr>
              <w:jc w:val="left"/>
              <w:outlineLvl w:val="0"/>
              <w:rPr>
                <w:rFonts w:hint="eastAsia" w:ascii="宋体" w:hAnsi="宋体" w:eastAsia="宋体" w:cs="宋体"/>
                <w:bCs/>
                <w:color w:val="auto"/>
                <w:sz w:val="24"/>
                <w:highlight w:val="none"/>
              </w:rPr>
            </w:pPr>
          </w:p>
        </w:tc>
      </w:tr>
      <w:tr w14:paraId="1E4E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59" w:type="dxa"/>
            <w:noWrap/>
            <w:vAlign w:val="center"/>
          </w:tcPr>
          <w:p w14:paraId="62523616">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10</w:t>
            </w:r>
          </w:p>
        </w:tc>
        <w:tc>
          <w:tcPr>
            <w:tcW w:w="6640" w:type="dxa"/>
            <w:noWrap/>
            <w:vAlign w:val="center"/>
          </w:tcPr>
          <w:p w14:paraId="28CB7F76">
            <w:pPr>
              <w:keepNext w:val="0"/>
              <w:keepLines w:val="0"/>
              <w:pageBreakBefore w:val="0"/>
              <w:widowControl/>
              <w:kinsoku/>
              <w:wordWrap/>
              <w:overflowPunct/>
              <w:topLinePunct w:val="0"/>
              <w:bidi w:val="0"/>
              <w:adjustRightInd w:val="0"/>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投标供应商针对本项目工作程序、步骤、工作时间进度及组织实施方案制定是否科学合理、具有可操作性等由专家进行评审。</w:t>
            </w:r>
          </w:p>
          <w:p w14:paraId="2FA23D3D">
            <w:pPr>
              <w:pStyle w:val="4"/>
              <w:spacing w:line="240" w:lineRule="auto"/>
              <w:ind w:left="0" w:leftChars="0" w:firstLine="0" w:firstLineChars="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投标供应商提供方案内容全面、准确、合理得5分；内容较为准确、合理得4分;内容部分符合得3分；存在欠缺但基本符合得2分；内容不全面或不合理的得1分；不提供不得分。</w:t>
            </w:r>
          </w:p>
        </w:tc>
        <w:tc>
          <w:tcPr>
            <w:tcW w:w="614" w:type="dxa"/>
            <w:noWrap/>
            <w:vAlign w:val="center"/>
          </w:tcPr>
          <w:p w14:paraId="673E4314">
            <w:pPr>
              <w:ind w:firstLine="240" w:firstLineChars="100"/>
              <w:jc w:val="both"/>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026" w:type="dxa"/>
            <w:noWrap/>
            <w:vAlign w:val="center"/>
          </w:tcPr>
          <w:p w14:paraId="5FED5657">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575" w:type="dxa"/>
            <w:noWrap/>
            <w:vAlign w:val="center"/>
          </w:tcPr>
          <w:p w14:paraId="3A1EB26F">
            <w:pPr>
              <w:jc w:val="left"/>
              <w:outlineLvl w:val="0"/>
              <w:rPr>
                <w:rFonts w:hint="eastAsia" w:ascii="宋体" w:hAnsi="宋体" w:eastAsia="宋体" w:cs="宋体"/>
                <w:bCs/>
                <w:color w:val="auto"/>
                <w:sz w:val="24"/>
                <w:highlight w:val="none"/>
              </w:rPr>
            </w:pPr>
          </w:p>
        </w:tc>
      </w:tr>
      <w:tr w14:paraId="1457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59" w:type="dxa"/>
            <w:noWrap/>
            <w:vAlign w:val="center"/>
          </w:tcPr>
          <w:p w14:paraId="6958360E">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11</w:t>
            </w:r>
          </w:p>
        </w:tc>
        <w:tc>
          <w:tcPr>
            <w:tcW w:w="6640" w:type="dxa"/>
            <w:noWrap/>
            <w:vAlign w:val="center"/>
          </w:tcPr>
          <w:p w14:paraId="13DCB523">
            <w:pPr>
              <w:keepNext w:val="0"/>
              <w:keepLines w:val="0"/>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根据</w:t>
            </w:r>
            <w:r>
              <w:rPr>
                <w:rFonts w:hint="eastAsia" w:ascii="宋体" w:hAnsi="宋体" w:eastAsia="宋体" w:cs="宋体"/>
                <w:color w:val="auto"/>
                <w:kern w:val="0"/>
                <w:sz w:val="24"/>
                <w:szCs w:val="24"/>
                <w:highlight w:val="none"/>
              </w:rPr>
              <w:t>投标</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高位</w:t>
            </w:r>
            <w:r>
              <w:rPr>
                <w:rFonts w:hint="eastAsia" w:ascii="宋体" w:hAnsi="宋体" w:eastAsia="宋体" w:cs="宋体"/>
                <w:color w:val="auto"/>
                <w:kern w:val="0"/>
                <w:sz w:val="24"/>
                <w:szCs w:val="24"/>
                <w:highlight w:val="none"/>
                <w:lang w:val="en-US" w:eastAsia="zh-CN"/>
              </w:rPr>
              <w:t>挂载</w:t>
            </w:r>
            <w:r>
              <w:rPr>
                <w:rFonts w:hint="eastAsia" w:ascii="宋体" w:hAnsi="宋体" w:eastAsia="宋体" w:cs="宋体"/>
                <w:color w:val="auto"/>
                <w:kern w:val="0"/>
                <w:sz w:val="24"/>
                <w:szCs w:val="24"/>
                <w:highlight w:val="none"/>
              </w:rPr>
              <w:t>需求满足能力进行打分，高位监控制高点</w:t>
            </w:r>
            <w:r>
              <w:rPr>
                <w:rFonts w:hint="eastAsia" w:ascii="宋体" w:hAnsi="宋体" w:eastAsia="宋体" w:cs="宋体"/>
                <w:color w:val="auto"/>
                <w:kern w:val="0"/>
                <w:sz w:val="24"/>
                <w:szCs w:val="24"/>
                <w:highlight w:val="none"/>
                <w:lang w:eastAsia="zh-CN"/>
              </w:rPr>
              <w:t>（拥有自有资产产权或获取产权方针对该项目的授权书）</w:t>
            </w:r>
            <w:r>
              <w:rPr>
                <w:rFonts w:hint="eastAsia" w:ascii="宋体" w:hAnsi="宋体" w:eastAsia="宋体" w:cs="宋体"/>
                <w:color w:val="auto"/>
                <w:kern w:val="0"/>
                <w:sz w:val="24"/>
                <w:szCs w:val="24"/>
                <w:highlight w:val="none"/>
              </w:rPr>
              <w:t>,且满足高度不低于30米</w:t>
            </w:r>
            <w:r>
              <w:rPr>
                <w:rFonts w:hint="eastAsia" w:ascii="宋体" w:hAnsi="宋体" w:eastAsia="宋体" w:cs="宋体"/>
                <w:color w:val="auto"/>
                <w:kern w:val="0"/>
                <w:sz w:val="24"/>
                <w:szCs w:val="24"/>
                <w:highlight w:val="none"/>
                <w:lang w:val="en-US" w:eastAsia="zh-CN"/>
              </w:rPr>
              <w:t>和</w:t>
            </w:r>
            <w:r>
              <w:rPr>
                <w:rFonts w:hint="eastAsia" w:ascii="宋体" w:hAnsi="宋体" w:eastAsia="宋体" w:cs="宋体"/>
                <w:color w:val="auto"/>
                <w:kern w:val="0"/>
                <w:sz w:val="24"/>
                <w:szCs w:val="24"/>
                <w:highlight w:val="none"/>
              </w:rPr>
              <w:t>满足招标文件要求安装监控点位数量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建议安装点位清单</w:t>
            </w:r>
            <w:r>
              <w:rPr>
                <w:rFonts w:hint="eastAsia" w:ascii="宋体" w:hAnsi="宋体" w:eastAsia="宋体" w:cs="宋体"/>
                <w:color w:val="auto"/>
                <w:kern w:val="0"/>
                <w:sz w:val="24"/>
                <w:szCs w:val="24"/>
                <w:highlight w:val="none"/>
                <w:lang w:val="en-US" w:eastAsia="zh-CN"/>
              </w:rPr>
              <w:t>9</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个</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缺少</w:t>
            </w:r>
            <w:r>
              <w:rPr>
                <w:rFonts w:hint="eastAsia" w:ascii="宋体" w:hAnsi="宋体" w:eastAsia="宋体" w:cs="宋体"/>
                <w:color w:val="auto"/>
                <w:kern w:val="0"/>
                <w:sz w:val="24"/>
                <w:szCs w:val="24"/>
                <w:highlight w:val="none"/>
              </w:rPr>
              <w:t>一个点位的</w:t>
            </w:r>
            <w:r>
              <w:rPr>
                <w:rFonts w:hint="eastAsia" w:ascii="宋体" w:hAnsi="宋体" w:eastAsia="宋体" w:cs="宋体"/>
                <w:color w:val="auto"/>
                <w:kern w:val="0"/>
                <w:sz w:val="24"/>
                <w:szCs w:val="24"/>
                <w:highlight w:val="none"/>
                <w:lang w:val="en-US" w:eastAsia="zh-CN"/>
              </w:rPr>
              <w:t>每个点位</w:t>
            </w:r>
            <w:r>
              <w:rPr>
                <w:rFonts w:hint="eastAsia" w:ascii="宋体" w:hAnsi="宋体" w:eastAsia="宋体" w:cs="宋体"/>
                <w:color w:val="auto"/>
                <w:kern w:val="0"/>
                <w:sz w:val="24"/>
                <w:szCs w:val="24"/>
                <w:highlight w:val="none"/>
              </w:rPr>
              <w:t>扣1分，扣完为止。</w:t>
            </w:r>
          </w:p>
          <w:p w14:paraId="71332488">
            <w:pPr>
              <w:jc w:val="left"/>
              <w:outlineLvl w:val="0"/>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szCs w:val="24"/>
                <w:highlight w:val="none"/>
              </w:rPr>
              <w:t>证明材料：</w:t>
            </w:r>
            <w:r>
              <w:rPr>
                <w:rFonts w:hint="eastAsia" w:ascii="宋体" w:hAnsi="宋体" w:eastAsia="宋体" w:cs="宋体"/>
                <w:b/>
                <w:bCs/>
                <w:color w:val="auto"/>
                <w:kern w:val="0"/>
                <w:sz w:val="24"/>
                <w:szCs w:val="24"/>
                <w:highlight w:val="none"/>
              </w:rPr>
              <w:t>投标</w:t>
            </w:r>
            <w:r>
              <w:rPr>
                <w:rFonts w:hint="eastAsia" w:ascii="宋体" w:hAnsi="宋体" w:eastAsia="宋体" w:cs="宋体"/>
                <w:b/>
                <w:bCs/>
                <w:color w:val="auto"/>
                <w:kern w:val="0"/>
                <w:sz w:val="24"/>
                <w:szCs w:val="24"/>
                <w:highlight w:val="none"/>
                <w:lang w:val="en-US" w:eastAsia="zh-CN"/>
              </w:rPr>
              <w:t>供应商</w:t>
            </w:r>
            <w:r>
              <w:rPr>
                <w:rFonts w:hint="eastAsia" w:ascii="宋体" w:hAnsi="宋体" w:eastAsia="宋体" w:cs="宋体"/>
                <w:b/>
                <w:bCs/>
                <w:color w:val="auto"/>
                <w:kern w:val="0"/>
                <w:sz w:val="24"/>
                <w:szCs w:val="24"/>
                <w:highlight w:val="none"/>
              </w:rPr>
              <w:t>提供高位监控制高点自有资产产权材料或针对该项目所获取的产权授权书等证明材料</w:t>
            </w:r>
            <w:r>
              <w:rPr>
                <w:rFonts w:hint="eastAsia" w:ascii="宋体" w:hAnsi="宋体" w:eastAsia="宋体" w:cs="宋体"/>
                <w:b/>
                <w:bCs/>
                <w:color w:val="auto"/>
                <w:kern w:val="0"/>
                <w:sz w:val="24"/>
                <w:szCs w:val="24"/>
                <w:highlight w:val="none"/>
                <w:lang w:val="en-US" w:eastAsia="zh-CN"/>
              </w:rPr>
              <w:t>并加盖投标</w:t>
            </w:r>
            <w:r>
              <w:rPr>
                <w:rFonts w:hint="eastAsia" w:ascii="宋体" w:hAnsi="宋体" w:cs="宋体"/>
                <w:b/>
                <w:bCs/>
                <w:color w:val="auto"/>
                <w:kern w:val="0"/>
                <w:sz w:val="24"/>
                <w:szCs w:val="24"/>
                <w:highlight w:val="none"/>
                <w:lang w:val="en-US" w:eastAsia="zh-CN"/>
              </w:rPr>
              <w:t>单位</w:t>
            </w:r>
            <w:r>
              <w:rPr>
                <w:rFonts w:hint="eastAsia" w:ascii="宋体" w:hAnsi="宋体" w:eastAsia="宋体" w:cs="宋体"/>
                <w:b/>
                <w:bCs/>
                <w:color w:val="auto"/>
                <w:kern w:val="0"/>
                <w:sz w:val="24"/>
                <w:szCs w:val="24"/>
                <w:highlight w:val="none"/>
                <w:lang w:val="en-US" w:eastAsia="zh-CN"/>
              </w:rPr>
              <w:t>公章</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不提供</w:t>
            </w:r>
            <w:r>
              <w:rPr>
                <w:rFonts w:hint="eastAsia" w:ascii="宋体" w:hAnsi="宋体" w:eastAsia="宋体" w:cs="宋体"/>
                <w:b/>
                <w:bCs/>
                <w:color w:val="auto"/>
                <w:kern w:val="0"/>
                <w:sz w:val="24"/>
                <w:szCs w:val="24"/>
                <w:highlight w:val="none"/>
              </w:rPr>
              <w:t>不得分。</w:t>
            </w:r>
            <w:r>
              <w:rPr>
                <w:rFonts w:hint="eastAsia" w:ascii="宋体" w:hAnsi="宋体" w:cs="宋体"/>
                <w:b/>
                <w:bCs/>
                <w:kern w:val="0"/>
                <w:sz w:val="24"/>
                <w:szCs w:val="24"/>
                <w:highlight w:val="none"/>
                <w:lang w:val="en-US" w:eastAsia="zh-CN"/>
              </w:rPr>
              <w:t xml:space="preserve"> </w:t>
            </w:r>
            <w:r>
              <w:rPr>
                <w:rFonts w:hint="eastAsia" w:ascii="宋体" w:hAnsi="宋体" w:eastAsia="宋体" w:cs="宋体"/>
                <w:b/>
                <w:bCs/>
                <w:color w:val="auto"/>
                <w:sz w:val="24"/>
                <w:highlight w:val="none"/>
                <w:lang w:val="en-US" w:eastAsia="zh-CN"/>
              </w:rPr>
              <w:t xml:space="preserve"> </w:t>
            </w:r>
          </w:p>
        </w:tc>
        <w:tc>
          <w:tcPr>
            <w:tcW w:w="614" w:type="dxa"/>
            <w:noWrap/>
            <w:vAlign w:val="center"/>
          </w:tcPr>
          <w:p w14:paraId="5B4DF0EA">
            <w:pPr>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026" w:type="dxa"/>
            <w:noWrap/>
            <w:vAlign w:val="center"/>
          </w:tcPr>
          <w:p w14:paraId="7DF5F3DD">
            <w:pPr>
              <w:jc w:val="center"/>
              <w:outlineLvl w:val="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客</w:t>
            </w:r>
            <w:r>
              <w:rPr>
                <w:rFonts w:hint="eastAsia" w:ascii="宋体" w:hAnsi="宋体" w:eastAsia="宋体" w:cs="宋体"/>
                <w:bCs/>
                <w:color w:val="auto"/>
                <w:sz w:val="24"/>
                <w:highlight w:val="none"/>
              </w:rPr>
              <w:t>观分</w:t>
            </w:r>
          </w:p>
        </w:tc>
        <w:tc>
          <w:tcPr>
            <w:tcW w:w="1575" w:type="dxa"/>
            <w:noWrap/>
            <w:vAlign w:val="center"/>
          </w:tcPr>
          <w:p w14:paraId="301FB209">
            <w:pPr>
              <w:jc w:val="left"/>
              <w:outlineLvl w:val="0"/>
              <w:rPr>
                <w:rFonts w:hint="eastAsia" w:ascii="宋体" w:hAnsi="宋体" w:eastAsia="宋体" w:cs="宋体"/>
                <w:bCs/>
                <w:color w:val="auto"/>
                <w:sz w:val="24"/>
                <w:highlight w:val="none"/>
              </w:rPr>
            </w:pPr>
          </w:p>
        </w:tc>
      </w:tr>
      <w:tr w14:paraId="5796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59" w:type="dxa"/>
            <w:noWrap/>
            <w:vAlign w:val="center"/>
          </w:tcPr>
          <w:p w14:paraId="6C1493D3">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12</w:t>
            </w:r>
          </w:p>
        </w:tc>
        <w:tc>
          <w:tcPr>
            <w:tcW w:w="6640" w:type="dxa"/>
            <w:noWrap/>
            <w:vAlign w:val="top"/>
          </w:tcPr>
          <w:p w14:paraId="25A1ECFA">
            <w:pPr>
              <w:jc w:val="left"/>
              <w:outlineLvl w:val="0"/>
              <w:rPr>
                <w:rFonts w:hint="eastAsia" w:ascii="宋体" w:hAnsi="宋体" w:eastAsia="宋体" w:cs="宋体"/>
                <w:color w:val="auto"/>
                <w:sz w:val="24"/>
                <w:highlight w:val="none"/>
                <w:lang w:val="en-US" w:eastAsia="zh-CN"/>
              </w:rPr>
            </w:pPr>
            <w:bookmarkStart w:id="415" w:name="_Hlk164758797"/>
            <w:r>
              <w:rPr>
                <w:rFonts w:hint="default" w:ascii="宋体" w:hAnsi="宋体" w:eastAsia="宋体" w:cs="宋体"/>
                <w:b w:val="0"/>
                <w:bCs w:val="0"/>
                <w:color w:val="auto"/>
                <w:kern w:val="2"/>
                <w:sz w:val="24"/>
                <w:szCs w:val="24"/>
                <w:highlight w:val="none"/>
                <w:lang w:val="en-US" w:eastAsia="zh-CN" w:bidi="ar-SA"/>
              </w:rPr>
              <w:t>备选高位监控站址方案</w:t>
            </w:r>
            <w:bookmarkEnd w:id="415"/>
            <w:r>
              <w:rPr>
                <w:rFonts w:hint="default" w:ascii="宋体" w:hAnsi="宋体" w:eastAsia="宋体" w:cs="宋体"/>
                <w:b w:val="0"/>
                <w:bCs w:val="0"/>
                <w:color w:val="auto"/>
                <w:kern w:val="2"/>
                <w:sz w:val="24"/>
                <w:szCs w:val="24"/>
                <w:highlight w:val="none"/>
                <w:lang w:val="en-US" w:eastAsia="zh-CN" w:bidi="ar-SA"/>
              </w:rPr>
              <w:t>：投标</w:t>
            </w:r>
            <w:r>
              <w:rPr>
                <w:rFonts w:hint="eastAsia" w:ascii="宋体" w:hAnsi="宋体" w:eastAsia="宋体" w:cs="宋体"/>
                <w:b w:val="0"/>
                <w:bCs w:val="0"/>
                <w:color w:val="auto"/>
                <w:kern w:val="2"/>
                <w:sz w:val="24"/>
                <w:szCs w:val="24"/>
                <w:highlight w:val="none"/>
                <w:lang w:val="en-US" w:eastAsia="zh-CN" w:bidi="ar-SA"/>
              </w:rPr>
              <w:t>供应商</w:t>
            </w:r>
            <w:r>
              <w:rPr>
                <w:rFonts w:hint="default" w:ascii="宋体" w:hAnsi="宋体" w:eastAsia="宋体" w:cs="宋体"/>
                <w:b w:val="0"/>
                <w:bCs w:val="0"/>
                <w:color w:val="auto"/>
                <w:kern w:val="2"/>
                <w:sz w:val="24"/>
                <w:szCs w:val="24"/>
                <w:highlight w:val="none"/>
                <w:lang w:val="en-US" w:eastAsia="zh-CN" w:bidi="ar-SA"/>
              </w:rPr>
              <w:t>提供高位监控服务期间，应适当考虑部分高位监控点位调整的可能性，投标</w:t>
            </w:r>
            <w:r>
              <w:rPr>
                <w:rFonts w:hint="eastAsia" w:ascii="宋体" w:hAnsi="宋体" w:eastAsia="宋体" w:cs="宋体"/>
                <w:b w:val="0"/>
                <w:bCs w:val="0"/>
                <w:color w:val="auto"/>
                <w:kern w:val="2"/>
                <w:sz w:val="24"/>
                <w:szCs w:val="24"/>
                <w:highlight w:val="none"/>
                <w:lang w:val="en-US" w:eastAsia="zh-CN" w:bidi="ar-SA"/>
              </w:rPr>
              <w:t>供应商</w:t>
            </w:r>
            <w:r>
              <w:rPr>
                <w:rFonts w:hint="default" w:ascii="宋体" w:hAnsi="宋体" w:eastAsia="宋体" w:cs="宋体"/>
                <w:b w:val="0"/>
                <w:bCs w:val="0"/>
                <w:color w:val="auto"/>
                <w:kern w:val="2"/>
                <w:sz w:val="24"/>
                <w:szCs w:val="24"/>
                <w:highlight w:val="none"/>
                <w:lang w:val="en-US" w:eastAsia="zh-CN" w:bidi="ar-SA"/>
              </w:rPr>
              <w:t>应当列举出相关的资源优势来满足及应对备选站址，资源充足的得5分，资源一般的得3分，资源少或无资源的得0分。</w:t>
            </w:r>
            <w:r>
              <w:rPr>
                <w:rFonts w:hint="eastAsia" w:ascii="宋体" w:hAnsi="宋体" w:eastAsia="宋体" w:cs="宋体"/>
                <w:color w:val="auto"/>
                <w:sz w:val="24"/>
                <w:highlight w:val="none"/>
                <w:lang w:val="en-US" w:eastAsia="zh-CN"/>
              </w:rPr>
              <w:t xml:space="preserve"> </w:t>
            </w:r>
          </w:p>
        </w:tc>
        <w:tc>
          <w:tcPr>
            <w:tcW w:w="614" w:type="dxa"/>
            <w:noWrap/>
            <w:vAlign w:val="center"/>
          </w:tcPr>
          <w:p w14:paraId="09117DF5">
            <w:pPr>
              <w:ind w:firstLine="240" w:firstLineChars="100"/>
              <w:jc w:val="both"/>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026" w:type="dxa"/>
            <w:noWrap/>
            <w:vAlign w:val="center"/>
          </w:tcPr>
          <w:p w14:paraId="132F46E6">
            <w:pPr>
              <w:jc w:val="center"/>
              <w:outlineLvl w:val="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主</w:t>
            </w:r>
            <w:r>
              <w:rPr>
                <w:rFonts w:hint="eastAsia" w:ascii="宋体" w:hAnsi="宋体" w:eastAsia="宋体" w:cs="宋体"/>
                <w:bCs/>
                <w:color w:val="auto"/>
                <w:sz w:val="24"/>
                <w:highlight w:val="none"/>
              </w:rPr>
              <w:t>观分</w:t>
            </w:r>
          </w:p>
        </w:tc>
        <w:tc>
          <w:tcPr>
            <w:tcW w:w="1575" w:type="dxa"/>
            <w:noWrap/>
            <w:vAlign w:val="center"/>
          </w:tcPr>
          <w:p w14:paraId="2995BB21">
            <w:pPr>
              <w:jc w:val="left"/>
              <w:outlineLvl w:val="0"/>
              <w:rPr>
                <w:rFonts w:hint="eastAsia" w:ascii="宋体" w:hAnsi="宋体" w:eastAsia="宋体" w:cs="宋体"/>
                <w:bCs/>
                <w:color w:val="auto"/>
                <w:sz w:val="24"/>
                <w:highlight w:val="none"/>
              </w:rPr>
            </w:pPr>
          </w:p>
        </w:tc>
      </w:tr>
      <w:tr w14:paraId="6F69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559" w:type="dxa"/>
            <w:noWrap/>
            <w:vAlign w:val="center"/>
          </w:tcPr>
          <w:p w14:paraId="3DAAB7B3">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13</w:t>
            </w:r>
          </w:p>
        </w:tc>
        <w:tc>
          <w:tcPr>
            <w:tcW w:w="6640" w:type="dxa"/>
            <w:noWrap/>
            <w:vAlign w:val="top"/>
          </w:tcPr>
          <w:p w14:paraId="03963673">
            <w:pPr>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000000"/>
                <w:sz w:val="24"/>
              </w:rPr>
              <w:t>投标</w:t>
            </w:r>
            <w:r>
              <w:rPr>
                <w:rFonts w:hint="eastAsia" w:ascii="宋体" w:hAnsi="宋体" w:eastAsia="宋体" w:cs="宋体"/>
                <w:color w:val="000000"/>
                <w:sz w:val="24"/>
                <w:lang w:val="en-US" w:eastAsia="zh-CN"/>
              </w:rPr>
              <w:t>供应商</w:t>
            </w:r>
            <w:r>
              <w:rPr>
                <w:rFonts w:hint="eastAsia" w:ascii="宋体" w:hAnsi="宋体" w:eastAsia="宋体" w:cs="宋体"/>
                <w:color w:val="000000"/>
                <w:sz w:val="24"/>
              </w:rPr>
              <w:t>或其总公司(总机构）具有中华人民共和国基础电信业务经营许可证或者投标人具有中华人民共和国基础电信业务经营许可证供应商针对本项目的授权的得</w:t>
            </w:r>
            <w:r>
              <w:rPr>
                <w:rFonts w:hint="eastAsia" w:ascii="宋体" w:hAnsi="宋体" w:cs="宋体"/>
                <w:color w:val="000000"/>
                <w:sz w:val="24"/>
                <w:lang w:val="en-US" w:eastAsia="zh-CN"/>
              </w:rPr>
              <w:t>4</w:t>
            </w:r>
            <w:r>
              <w:rPr>
                <w:rFonts w:hint="eastAsia" w:ascii="宋体" w:hAnsi="宋体" w:eastAsia="宋体" w:cs="宋体"/>
                <w:color w:val="000000"/>
                <w:sz w:val="24"/>
              </w:rPr>
              <w:t>分</w:t>
            </w:r>
            <w:r>
              <w:rPr>
                <w:rFonts w:hint="default"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bCs/>
                <w:color w:val="000000"/>
                <w:sz w:val="24"/>
              </w:rPr>
              <w:t>投标文件中提供证明材料复印件；</w:t>
            </w:r>
          </w:p>
        </w:tc>
        <w:tc>
          <w:tcPr>
            <w:tcW w:w="614" w:type="dxa"/>
            <w:noWrap/>
            <w:vAlign w:val="center"/>
          </w:tcPr>
          <w:p w14:paraId="735DCE4F">
            <w:pPr>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026" w:type="dxa"/>
            <w:noWrap/>
            <w:vAlign w:val="center"/>
          </w:tcPr>
          <w:p w14:paraId="07D78520">
            <w:pPr>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客观分</w:t>
            </w:r>
          </w:p>
        </w:tc>
        <w:tc>
          <w:tcPr>
            <w:tcW w:w="1575" w:type="dxa"/>
            <w:noWrap/>
            <w:vAlign w:val="center"/>
          </w:tcPr>
          <w:p w14:paraId="3E9F3175">
            <w:pPr>
              <w:jc w:val="left"/>
              <w:outlineLvl w:val="0"/>
              <w:rPr>
                <w:rFonts w:hint="eastAsia" w:ascii="宋体" w:hAnsi="宋体" w:eastAsia="宋体" w:cs="宋体"/>
                <w:bCs/>
                <w:color w:val="auto"/>
                <w:sz w:val="24"/>
                <w:highlight w:val="none"/>
              </w:rPr>
            </w:pPr>
          </w:p>
        </w:tc>
      </w:tr>
      <w:tr w14:paraId="38C5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59" w:type="dxa"/>
            <w:noWrap/>
            <w:vAlign w:val="center"/>
          </w:tcPr>
          <w:p w14:paraId="7D4E30BC">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14</w:t>
            </w:r>
          </w:p>
        </w:tc>
        <w:tc>
          <w:tcPr>
            <w:tcW w:w="6640" w:type="dxa"/>
            <w:noWrap/>
            <w:vAlign w:val="top"/>
          </w:tcPr>
          <w:p w14:paraId="107FB227">
            <w:pPr>
              <w:spacing w:line="360" w:lineRule="auto"/>
              <w:rPr>
                <w:rFonts w:hint="eastAsia" w:ascii="宋体" w:hAnsi="宋体" w:eastAsia="宋体" w:cs="宋体"/>
                <w:color w:val="000000"/>
                <w:sz w:val="24"/>
              </w:rPr>
            </w:pPr>
            <w:r>
              <w:rPr>
                <w:rFonts w:hint="eastAsia" w:ascii="宋体" w:hAnsi="宋体" w:eastAsia="宋体" w:cs="宋体"/>
                <w:color w:val="000000"/>
                <w:sz w:val="24"/>
              </w:rPr>
              <w:t>拟派项目组人员情况：</w:t>
            </w:r>
          </w:p>
          <w:p w14:paraId="026F3253">
            <w:pPr>
              <w:numPr>
                <w:ilvl w:val="0"/>
                <w:numId w:val="3"/>
              </w:num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项目经理：</w:t>
            </w:r>
            <w:r>
              <w:rPr>
                <w:rFonts w:hint="eastAsia" w:ascii="宋体" w:hAnsi="宋体" w:eastAsia="宋体" w:cs="宋体"/>
                <w:color w:val="000000"/>
                <w:sz w:val="24"/>
              </w:rPr>
              <w:t>具有高级工程师及以上技术职称的得</w:t>
            </w:r>
            <w:r>
              <w:rPr>
                <w:rFonts w:hint="eastAsia" w:ascii="宋体" w:hAnsi="宋体" w:eastAsia="宋体" w:cs="宋体"/>
                <w:color w:val="000000"/>
                <w:sz w:val="24"/>
                <w:lang w:val="en-US" w:eastAsia="zh-CN"/>
              </w:rPr>
              <w:t>3</w:t>
            </w:r>
            <w:r>
              <w:rPr>
                <w:rFonts w:hint="eastAsia" w:ascii="宋体" w:hAnsi="宋体" w:eastAsia="宋体" w:cs="宋体"/>
                <w:color w:val="000000"/>
                <w:sz w:val="24"/>
              </w:rPr>
              <w:t>分，中级工程师得</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分；本项最高得</w:t>
            </w:r>
            <w:r>
              <w:rPr>
                <w:rFonts w:hint="eastAsia" w:ascii="宋体" w:hAnsi="宋体" w:eastAsia="宋体" w:cs="宋体"/>
                <w:color w:val="000000"/>
                <w:sz w:val="24"/>
                <w:lang w:val="en-US" w:eastAsia="zh-CN"/>
              </w:rPr>
              <w:t>3</w:t>
            </w:r>
            <w:r>
              <w:rPr>
                <w:rFonts w:hint="eastAsia" w:ascii="宋体" w:hAnsi="宋体" w:eastAsia="宋体" w:cs="宋体"/>
                <w:color w:val="000000"/>
                <w:sz w:val="24"/>
              </w:rPr>
              <w:t>分。</w:t>
            </w:r>
          </w:p>
          <w:p w14:paraId="21C37BB3">
            <w:pPr>
              <w:numPr>
                <w:ilvl w:val="0"/>
                <w:numId w:val="3"/>
              </w:numPr>
              <w:spacing w:line="360" w:lineRule="auto"/>
              <w:rPr>
                <w:rFonts w:hint="eastAsia" w:ascii="宋体" w:hAnsi="宋体" w:eastAsia="宋体" w:cs="宋体"/>
                <w:color w:val="000000"/>
                <w:sz w:val="24"/>
              </w:rPr>
            </w:pPr>
            <w:r>
              <w:rPr>
                <w:rFonts w:hint="eastAsia" w:ascii="宋体" w:hAnsi="宋体" w:eastAsia="宋体" w:cs="宋体"/>
                <w:color w:val="000000"/>
                <w:sz w:val="24"/>
              </w:rPr>
              <w:t>技术负责人：具有高级工程师及以上技术职称的得</w:t>
            </w:r>
            <w:r>
              <w:rPr>
                <w:rFonts w:hint="eastAsia" w:ascii="宋体" w:hAnsi="宋体" w:eastAsia="宋体" w:cs="宋体"/>
                <w:color w:val="000000"/>
                <w:sz w:val="24"/>
                <w:lang w:val="en-US" w:eastAsia="zh-CN"/>
              </w:rPr>
              <w:t>3</w:t>
            </w:r>
            <w:r>
              <w:rPr>
                <w:rFonts w:hint="eastAsia" w:ascii="宋体" w:hAnsi="宋体" w:eastAsia="宋体" w:cs="宋体"/>
                <w:color w:val="000000"/>
                <w:sz w:val="24"/>
              </w:rPr>
              <w:t>分，中级工程师得</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分；本项最高得</w:t>
            </w:r>
            <w:r>
              <w:rPr>
                <w:rFonts w:hint="eastAsia" w:ascii="宋体" w:hAnsi="宋体" w:eastAsia="宋体" w:cs="宋体"/>
                <w:color w:val="000000"/>
                <w:sz w:val="24"/>
                <w:lang w:val="en-US" w:eastAsia="zh-CN"/>
              </w:rPr>
              <w:t>3</w:t>
            </w:r>
            <w:r>
              <w:rPr>
                <w:rFonts w:hint="eastAsia" w:ascii="宋体" w:hAnsi="宋体" w:eastAsia="宋体" w:cs="宋体"/>
                <w:color w:val="000000"/>
                <w:sz w:val="24"/>
              </w:rPr>
              <w:t>分。</w:t>
            </w:r>
          </w:p>
          <w:p w14:paraId="4AD0A6A7">
            <w:pPr>
              <w:numPr>
                <w:ilvl w:val="0"/>
                <w:numId w:val="3"/>
              </w:numPr>
              <w:spacing w:line="360" w:lineRule="auto"/>
              <w:rPr>
                <w:rFonts w:hint="eastAsia" w:ascii="宋体" w:hAnsi="宋体" w:eastAsia="宋体" w:cs="宋体"/>
                <w:color w:val="000000"/>
                <w:sz w:val="24"/>
              </w:rPr>
            </w:pPr>
            <w:r>
              <w:rPr>
                <w:rFonts w:hint="eastAsia" w:ascii="宋体" w:hAnsi="宋体" w:eastAsia="宋体" w:cs="宋体"/>
                <w:color w:val="000000"/>
                <w:sz w:val="24"/>
              </w:rPr>
              <w:t>项目组成员(不含项目经理和技术负责人）：具有电工证得每个得</w:t>
            </w:r>
            <w:r>
              <w:rPr>
                <w:rFonts w:hint="eastAsia" w:ascii="宋体" w:hAnsi="宋体" w:eastAsia="宋体" w:cs="宋体"/>
                <w:color w:val="000000"/>
                <w:sz w:val="24"/>
                <w:lang w:val="en-US" w:eastAsia="zh-CN"/>
              </w:rPr>
              <w:t>1</w:t>
            </w:r>
            <w:r>
              <w:rPr>
                <w:rFonts w:hint="eastAsia" w:ascii="宋体" w:hAnsi="宋体" w:eastAsia="宋体" w:cs="宋体"/>
                <w:color w:val="000000"/>
                <w:sz w:val="24"/>
              </w:rPr>
              <w:t>分，最多得</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w:t>
            </w:r>
          </w:p>
          <w:p w14:paraId="516AF876">
            <w:pPr>
              <w:jc w:val="left"/>
              <w:outlineLvl w:val="0"/>
              <w:rPr>
                <w:rFonts w:hint="eastAsia" w:ascii="宋体" w:hAnsi="宋体" w:eastAsia="宋体" w:cs="宋体"/>
                <w:color w:val="auto"/>
                <w:sz w:val="24"/>
                <w:highlight w:val="none"/>
                <w:lang w:val="en-US" w:eastAsia="zh-CN"/>
              </w:rPr>
            </w:pPr>
            <w:r>
              <w:rPr>
                <w:rFonts w:hint="eastAsia" w:ascii="宋体" w:hAnsi="宋体" w:cs="宋体"/>
                <w:b/>
                <w:bCs/>
                <w:color w:val="000000"/>
                <w:sz w:val="24"/>
                <w:lang w:eastAsia="zh-CN"/>
              </w:rPr>
              <w:t>（</w:t>
            </w:r>
            <w:r>
              <w:rPr>
                <w:rFonts w:hint="eastAsia" w:ascii="宋体" w:hAnsi="宋体" w:cs="宋体"/>
                <w:b/>
                <w:bCs/>
                <w:color w:val="000000"/>
                <w:sz w:val="24"/>
                <w:lang w:val="en-US" w:eastAsia="zh-CN"/>
              </w:rPr>
              <w:t>提供以上人员证书复印件加盖投标单位公章及在投标单位近三个月的社保证明材料加盖投标单位公章，未提供不得分）</w:t>
            </w:r>
          </w:p>
        </w:tc>
        <w:tc>
          <w:tcPr>
            <w:tcW w:w="614" w:type="dxa"/>
            <w:noWrap/>
            <w:vAlign w:val="center"/>
          </w:tcPr>
          <w:p w14:paraId="5B2E867A">
            <w:pPr>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026" w:type="dxa"/>
            <w:noWrap/>
            <w:vAlign w:val="center"/>
          </w:tcPr>
          <w:p w14:paraId="0BBC52B7">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客</w:t>
            </w:r>
            <w:r>
              <w:rPr>
                <w:rFonts w:hint="eastAsia" w:ascii="宋体" w:hAnsi="宋体" w:eastAsia="宋体" w:cs="宋体"/>
                <w:bCs/>
                <w:color w:val="auto"/>
                <w:sz w:val="24"/>
                <w:highlight w:val="none"/>
              </w:rPr>
              <w:t>观分</w:t>
            </w:r>
          </w:p>
        </w:tc>
        <w:tc>
          <w:tcPr>
            <w:tcW w:w="1575" w:type="dxa"/>
            <w:noWrap/>
            <w:vAlign w:val="center"/>
          </w:tcPr>
          <w:p w14:paraId="63004944">
            <w:pPr>
              <w:jc w:val="left"/>
              <w:outlineLvl w:val="0"/>
              <w:rPr>
                <w:rFonts w:hint="eastAsia" w:ascii="宋体" w:hAnsi="宋体" w:eastAsia="宋体" w:cs="宋体"/>
                <w:bCs/>
                <w:color w:val="auto"/>
                <w:sz w:val="24"/>
                <w:highlight w:val="none"/>
              </w:rPr>
            </w:pPr>
          </w:p>
        </w:tc>
      </w:tr>
      <w:tr w14:paraId="1D7A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59" w:type="dxa"/>
            <w:noWrap/>
            <w:vAlign w:val="center"/>
          </w:tcPr>
          <w:p w14:paraId="5FEC9655">
            <w:pPr>
              <w:jc w:val="center"/>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5</w:t>
            </w:r>
          </w:p>
        </w:tc>
        <w:tc>
          <w:tcPr>
            <w:tcW w:w="6640" w:type="dxa"/>
            <w:noWrap/>
            <w:vAlign w:val="top"/>
          </w:tcPr>
          <w:p w14:paraId="5124EFD8">
            <w:pPr>
              <w:keepNext w:val="0"/>
              <w:keepLines w:val="0"/>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2021年1月1日（以合同签订时间为准）至今具有类似项目案例，经评标委员会认定为有效业绩合同的，每</w:t>
            </w:r>
            <w:r>
              <w:rPr>
                <w:rFonts w:hint="eastAsia" w:ascii="宋体" w:hAnsi="宋体" w:eastAsia="宋体" w:cs="宋体"/>
                <w:color w:val="auto"/>
                <w:sz w:val="24"/>
                <w:szCs w:val="24"/>
                <w:highlight w:val="none"/>
                <w:lang w:val="en-US" w:eastAsia="zh-CN"/>
              </w:rPr>
              <w:t>提供1份得0.5分</w:t>
            </w:r>
            <w:r>
              <w:rPr>
                <w:rFonts w:hint="eastAsia" w:ascii="宋体" w:hAnsi="宋体" w:eastAsia="宋体" w:cs="宋体"/>
                <w:color w:val="auto"/>
                <w:sz w:val="24"/>
                <w:szCs w:val="24"/>
                <w:highlight w:val="none"/>
              </w:rPr>
              <w:t>，最高得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13B0B937">
            <w:pPr>
              <w:pStyle w:val="4"/>
              <w:numPr>
                <w:ilvl w:val="0"/>
                <w:numId w:val="0"/>
              </w:numPr>
              <w:ind w:leftChars="0"/>
              <w:rPr>
                <w:rFonts w:hint="eastAsia"/>
                <w:lang w:val="en-US" w:eastAsia="zh-CN"/>
              </w:rPr>
            </w:pPr>
            <w:r>
              <w:rPr>
                <w:rFonts w:hint="eastAsia" w:ascii="宋体" w:hAnsi="宋体" w:eastAsia="宋体" w:cs="宋体"/>
                <w:color w:val="auto"/>
                <w:sz w:val="24"/>
                <w:szCs w:val="24"/>
                <w:highlight w:val="none"/>
              </w:rPr>
              <w:t>证明材料：提供合同复印件并加盖</w:t>
            </w:r>
            <w:r>
              <w:rPr>
                <w:rFonts w:hint="eastAsia" w:ascii="宋体" w:hAnsi="宋体" w:cs="宋体"/>
                <w:b/>
                <w:bCs/>
                <w:color w:val="000000"/>
                <w:sz w:val="24"/>
                <w:lang w:val="en-US" w:eastAsia="zh-CN"/>
              </w:rPr>
              <w:t>投标单位</w:t>
            </w:r>
            <w:r>
              <w:rPr>
                <w:rFonts w:hint="eastAsia" w:ascii="宋体" w:hAnsi="宋体" w:eastAsia="宋体" w:cs="宋体"/>
                <w:color w:val="auto"/>
                <w:sz w:val="24"/>
                <w:szCs w:val="24"/>
                <w:highlight w:val="none"/>
              </w:rPr>
              <w:t>公章，以合同签订时间为准，无日期视为无效资料。</w:t>
            </w:r>
          </w:p>
        </w:tc>
        <w:tc>
          <w:tcPr>
            <w:tcW w:w="614" w:type="dxa"/>
            <w:noWrap/>
            <w:vAlign w:val="center"/>
          </w:tcPr>
          <w:p w14:paraId="55F9472D">
            <w:pPr>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1</w:t>
            </w:r>
          </w:p>
        </w:tc>
        <w:tc>
          <w:tcPr>
            <w:tcW w:w="1026" w:type="dxa"/>
            <w:noWrap/>
            <w:vAlign w:val="center"/>
          </w:tcPr>
          <w:p w14:paraId="503FA586">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客</w:t>
            </w:r>
            <w:r>
              <w:rPr>
                <w:rFonts w:hint="eastAsia" w:ascii="宋体" w:hAnsi="宋体" w:eastAsia="宋体" w:cs="宋体"/>
                <w:bCs/>
                <w:color w:val="auto"/>
                <w:sz w:val="24"/>
                <w:highlight w:val="none"/>
              </w:rPr>
              <w:t>观分</w:t>
            </w:r>
          </w:p>
        </w:tc>
        <w:tc>
          <w:tcPr>
            <w:tcW w:w="1575" w:type="dxa"/>
            <w:noWrap/>
            <w:vAlign w:val="center"/>
          </w:tcPr>
          <w:p w14:paraId="16E06F2A">
            <w:pPr>
              <w:jc w:val="left"/>
              <w:outlineLvl w:val="0"/>
              <w:rPr>
                <w:rFonts w:hint="eastAsia" w:ascii="宋体" w:hAnsi="宋体" w:eastAsia="宋体" w:cs="宋体"/>
                <w:bCs/>
                <w:color w:val="auto"/>
                <w:sz w:val="24"/>
                <w:highlight w:val="none"/>
              </w:rPr>
            </w:pPr>
          </w:p>
        </w:tc>
      </w:tr>
      <w:tr w14:paraId="00FC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9" w:type="dxa"/>
            <w:noWrap/>
            <w:vAlign w:val="center"/>
          </w:tcPr>
          <w:p w14:paraId="6A1B48BD">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16</w:t>
            </w:r>
          </w:p>
        </w:tc>
        <w:tc>
          <w:tcPr>
            <w:tcW w:w="6640" w:type="dxa"/>
            <w:noWrap/>
            <w:vAlign w:val="center"/>
          </w:tcPr>
          <w:p w14:paraId="5F137796">
            <w:pPr>
              <w:jc w:val="left"/>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有效投标报价的最低价作为评标基准价，其最低报价为满分；按［投标报价得分=（评标基准价/投标报价）*</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］的计算公式计算。</w:t>
            </w:r>
          </w:p>
          <w:p w14:paraId="2D3DF7B2">
            <w:pPr>
              <w:jc w:val="left"/>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评标过程中，不得去掉报价中的最高报价和最低报价。</w:t>
            </w:r>
            <w:r>
              <w:rPr>
                <w:rFonts w:hint="eastAsia" w:ascii="宋体" w:hAnsi="宋体" w:cs="仿宋_GB2312"/>
                <w:b/>
                <w:bCs/>
                <w:color w:val="000000"/>
                <w:sz w:val="24"/>
              </w:rPr>
              <w:t>因落实政府采购政策需要进行价格调整的，以调整后的价格计算评标基准价和投标报价。</w:t>
            </w:r>
          </w:p>
        </w:tc>
        <w:tc>
          <w:tcPr>
            <w:tcW w:w="614" w:type="dxa"/>
            <w:noWrap/>
            <w:vAlign w:val="center"/>
          </w:tcPr>
          <w:p w14:paraId="2463C4EB">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10</w:t>
            </w:r>
          </w:p>
        </w:tc>
        <w:tc>
          <w:tcPr>
            <w:tcW w:w="1026" w:type="dxa"/>
            <w:noWrap/>
            <w:vAlign w:val="center"/>
          </w:tcPr>
          <w:p w14:paraId="5F3A50C8">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1575" w:type="dxa"/>
            <w:noWrap/>
            <w:vAlign w:val="center"/>
          </w:tcPr>
          <w:p w14:paraId="6505583F">
            <w:pPr>
              <w:ind w:firstLine="480" w:firstLineChars="200"/>
              <w:jc w:val="left"/>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r>
    </w:tbl>
    <w:p w14:paraId="05A418AC">
      <w:pPr>
        <w:snapToGrid w:val="0"/>
        <w:spacing w:line="360" w:lineRule="auto"/>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备注：</w:t>
      </w:r>
      <w:r>
        <w:rPr>
          <w:rFonts w:hint="eastAsia" w:ascii="宋体" w:hAnsi="宋体" w:eastAsia="宋体" w:cs="宋体"/>
          <w:b/>
          <w:bCs/>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46CDB33D">
      <w:pPr>
        <w:snapToGrid w:val="0"/>
        <w:spacing w:line="360" w:lineRule="auto"/>
        <w:rPr>
          <w:rFonts w:hint="eastAsia" w:ascii="宋体" w:hAnsi="宋体" w:eastAsia="宋体" w:cs="宋体"/>
          <w:b/>
          <w:color w:val="000000" w:themeColor="text1"/>
          <w:sz w:val="32"/>
          <w:highlight w:val="none"/>
          <w14:textFill>
            <w14:solidFill>
              <w14:schemeClr w14:val="tx1"/>
            </w14:solidFill>
          </w14:textFill>
        </w:rPr>
      </w:pPr>
    </w:p>
    <w:p w14:paraId="0FCFCE0D">
      <w:pPr>
        <w:snapToGrid w:val="0"/>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一、评标方法</w:t>
      </w:r>
    </w:p>
    <w:p w14:paraId="6B9BED47">
      <w:pPr>
        <w:adjustRightInd/>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1.本项目采用综合评分法。</w:t>
      </w:r>
      <w:r>
        <w:rPr>
          <w:rFonts w:hint="eastAsia" w:ascii="宋体" w:hAnsi="宋体" w:eastAsia="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67C8367E">
      <w:pPr>
        <w:adjustRightInd/>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二、评标标准</w:t>
      </w:r>
    </w:p>
    <w:p w14:paraId="29A14B4F">
      <w:pPr>
        <w:spacing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评标标准：</w:t>
      </w:r>
      <w:r>
        <w:rPr>
          <w:rFonts w:hint="eastAsia" w:ascii="宋体" w:hAnsi="宋体" w:eastAsia="宋体" w:cs="宋体"/>
          <w:color w:val="000000" w:themeColor="text1"/>
          <w:kern w:val="0"/>
          <w:sz w:val="24"/>
          <w:highlight w:val="none"/>
          <w14:textFill>
            <w14:solidFill>
              <w14:schemeClr w14:val="tx1"/>
            </w14:solidFill>
          </w14:textFill>
        </w:rPr>
        <w:t>见评标办法前附表。</w:t>
      </w:r>
    </w:p>
    <w:p w14:paraId="1993EE79">
      <w:pPr>
        <w:spacing w:line="360" w:lineRule="auto"/>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三、评标程序</w:t>
      </w:r>
    </w:p>
    <w:p w14:paraId="5F0459D4">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3.1符合性审查。</w:t>
      </w:r>
      <w:r>
        <w:rPr>
          <w:rFonts w:hint="eastAsia" w:ascii="宋体" w:hAnsi="宋体" w:eastAsia="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377AD07B">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3.2 比较与评价。</w:t>
      </w:r>
      <w:r>
        <w:rPr>
          <w:rFonts w:hint="eastAsia" w:ascii="宋体" w:hAnsi="宋体" w:eastAsia="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47A5C946">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3.3汇总商务技术得分。</w:t>
      </w:r>
      <w:r>
        <w:rPr>
          <w:rFonts w:hint="eastAsia" w:ascii="宋体" w:hAnsi="宋体" w:eastAsia="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0C53E01E">
      <w:pPr>
        <w:spacing w:line="360" w:lineRule="auto"/>
        <w:ind w:firstLine="472" w:firstLineChars="196"/>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3.4报价评审。</w:t>
      </w:r>
    </w:p>
    <w:p w14:paraId="15792AB3">
      <w:pPr>
        <w:pStyle w:val="133"/>
        <w:spacing w:before="0"/>
        <w:ind w:firstLine="508" w:firstLineChars="212"/>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3.4.1投标文件报价出现前后不一致的，按照下列规定修正：</w:t>
      </w:r>
    </w:p>
    <w:p w14:paraId="5CA71891">
      <w:pPr>
        <w:pStyle w:val="133"/>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79BC5036">
      <w:pPr>
        <w:pStyle w:val="133"/>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3.4.1.2大写金额和小写金额不一致的，以大写金额为准；</w:t>
      </w:r>
    </w:p>
    <w:p w14:paraId="372559FF">
      <w:pPr>
        <w:pStyle w:val="133"/>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1A6B3C56">
      <w:pPr>
        <w:pStyle w:val="133"/>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6DBB3F47">
      <w:pPr>
        <w:pStyle w:val="133"/>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548BF532">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3.4.2投标文件出现不是唯一的、有选择性投标报价的，投标无效。</w:t>
      </w:r>
    </w:p>
    <w:p w14:paraId="494F472D">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2047F087">
      <w:pPr>
        <w:pStyle w:val="133"/>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9BC3F2B">
      <w:pPr>
        <w:pStyle w:val="133"/>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B4C81E7">
      <w:pPr>
        <w:spacing w:line="360" w:lineRule="auto"/>
        <w:ind w:firstLine="482"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3.5排序与推荐。</w:t>
      </w:r>
      <w:r>
        <w:rPr>
          <w:rFonts w:hint="eastAsia" w:ascii="宋体" w:hAnsi="宋体" w:eastAsia="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评标委员会推荐得分排列第一的投标人为中标候选人。采购人或经授权的评审小组确定排名第一中标候选人为中标人。</w:t>
      </w:r>
    </w:p>
    <w:p w14:paraId="5A5BCDEC">
      <w:pPr>
        <w:spacing w:line="360" w:lineRule="auto"/>
        <w:ind w:firstLine="480"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D2B1657">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3.6编写评标报告。</w:t>
      </w:r>
      <w:r>
        <w:rPr>
          <w:rFonts w:hint="eastAsia" w:ascii="宋体" w:hAnsi="宋体" w:eastAsia="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FF5CA2">
      <w:pPr>
        <w:widowControl/>
        <w:shd w:val="clear" w:color="auto" w:fill="FFFFFF"/>
        <w:adjustRightInd/>
        <w:spacing w:after="225" w:line="315" w:lineRule="atLeast"/>
        <w:jc w:val="lef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四、评标中的其他事项</w:t>
      </w:r>
    </w:p>
    <w:p w14:paraId="03850EC3">
      <w:pPr>
        <w:pStyle w:val="133"/>
        <w:spacing w:before="0"/>
        <w:ind w:firstLine="472" w:firstLineChars="196"/>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4.1投标人澄清、说明或者补正。</w:t>
      </w:r>
      <w:r>
        <w:rPr>
          <w:rFonts w:hint="eastAsia" w:ascii="宋体" w:hAnsi="宋体" w:eastAsia="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C11F38C">
      <w:pPr>
        <w:pStyle w:val="7"/>
        <w:spacing w:line="360" w:lineRule="auto"/>
        <w:ind w:left="954" w:leftChars="226" w:hanging="479"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4.2投标无效。</w:t>
      </w:r>
      <w:r>
        <w:rPr>
          <w:rFonts w:hint="eastAsia" w:ascii="宋体" w:hAnsi="宋体" w:eastAsia="宋体" w:cs="宋体"/>
          <w:color w:val="000000" w:themeColor="text1"/>
          <w:szCs w:val="21"/>
          <w:highlight w:val="none"/>
          <w14:textFill>
            <w14:solidFill>
              <w14:schemeClr w14:val="tx1"/>
            </w14:solidFill>
          </w14:textFill>
        </w:rPr>
        <w:t>有下列情形之一的，投标无效：</w:t>
      </w:r>
    </w:p>
    <w:p w14:paraId="23F54B03">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2C2DDDBE">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4.2.2投标文件未按照招标文件要求签署、盖章的；</w:t>
      </w:r>
    </w:p>
    <w:p w14:paraId="1020C98F">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E288DDD">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4.2.4投标文件含有采购人不能接受的附加条件的；</w:t>
      </w:r>
    </w:p>
    <w:p w14:paraId="0BBC01F8">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2419D98A">
      <w:pPr>
        <w:snapToGrid w:val="0"/>
        <w:spacing w:line="360" w:lineRule="auto"/>
        <w:ind w:firstLine="120" w:firstLineChars="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4.2.6投标文件出现不是唯一的、有选择性投标报价的；</w:t>
      </w:r>
    </w:p>
    <w:p w14:paraId="13E40593">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4.2.7投标报价超过招标文件中规定的预算金额或者最高限价的；</w:t>
      </w:r>
    </w:p>
    <w:p w14:paraId="5636566A">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4FE334F5">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4.2.9投标人对根据修正原则修正后的报价不确认的；</w:t>
      </w:r>
    </w:p>
    <w:p w14:paraId="75BC12EB">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4.2.10投标人提供虚假材料投标的；</w:t>
      </w:r>
    </w:p>
    <w:p w14:paraId="3A9600CE">
      <w:pPr>
        <w:spacing w:line="360" w:lineRule="auto"/>
        <w:ind w:firstLine="240" w:firstLine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4DBD7B6E">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11B39BE9">
      <w:pPr>
        <w:pStyle w:val="4"/>
        <w:ind w:left="862" w:leftChars="205"/>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投标文件不满足招标文件的其他实质性要求的；</w:t>
      </w:r>
    </w:p>
    <w:p w14:paraId="260E51F7">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069012E7">
      <w:pPr>
        <w:pStyle w:val="7"/>
        <w:snapToGrid w:val="0"/>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5.废标。</w:t>
      </w:r>
      <w:r>
        <w:rPr>
          <w:rFonts w:hint="eastAsia" w:ascii="宋体" w:hAnsi="宋体" w:eastAsia="宋体"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72D903A0">
      <w:pPr>
        <w:pStyle w:val="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5.1符合专业条件的供应商或者对招标文件作实质响应的供应商不足3家的；</w:t>
      </w:r>
    </w:p>
    <w:p w14:paraId="7C205045">
      <w:pPr>
        <w:pStyle w:val="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5.2出现影响采购公正的违法、违规行为的；</w:t>
      </w:r>
    </w:p>
    <w:p w14:paraId="571A7CD7">
      <w:pPr>
        <w:pStyle w:val="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5.3投标人的报价均超过了采购预算，采购人不能支付的；</w:t>
      </w:r>
    </w:p>
    <w:p w14:paraId="391A7ABD">
      <w:pPr>
        <w:pStyle w:val="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5.4因重大变故，采购任务取消的。</w:t>
      </w:r>
    </w:p>
    <w:p w14:paraId="59B851A9">
      <w:pPr>
        <w:pStyle w:val="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废标后，采购代理机构应当将废标理由通知所有投标人。</w:t>
      </w:r>
    </w:p>
    <w:p w14:paraId="21CCF368">
      <w:pPr>
        <w:pStyle w:val="7"/>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6.修改招标文件，重新组织采购活动。</w:t>
      </w:r>
      <w:r>
        <w:rPr>
          <w:rFonts w:hint="eastAsia" w:ascii="宋体" w:hAnsi="宋体" w:eastAsia="宋体"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5E8E0EE">
      <w:pPr>
        <w:pStyle w:val="7"/>
        <w:snapToGrid w:val="0"/>
        <w:spacing w:line="360" w:lineRule="auto"/>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7.重新开展采购。</w:t>
      </w:r>
      <w:r>
        <w:rPr>
          <w:rFonts w:hint="eastAsia" w:ascii="宋体" w:hAnsi="宋体" w:eastAsia="宋体"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374382FA">
      <w:pPr>
        <w:pStyle w:val="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7.1未确定中标供应商的，终止本次政府采购活动，重新开展政府采购活动。</w:t>
      </w:r>
    </w:p>
    <w:p w14:paraId="789BBCF6">
      <w:pPr>
        <w:pStyle w:val="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02773682">
      <w:pPr>
        <w:pStyle w:val="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44EA31D7">
      <w:pPr>
        <w:pStyle w:val="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7.4政府采购合同已经履行，给采购人、供应商造成损失的，由责任人承担赔偿责任。</w:t>
      </w:r>
    </w:p>
    <w:p w14:paraId="2F80A964">
      <w:pPr>
        <w:pStyle w:val="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52BBF8B2">
      <w:pPr>
        <w:pStyle w:val="7"/>
        <w:snapToGrid w:val="0"/>
        <w:spacing w:line="360" w:lineRule="auto"/>
        <w:ind w:firstLine="0" w:firstLineChars="0"/>
        <w:rPr>
          <w:rFonts w:hint="eastAsia" w:ascii="宋体" w:hAnsi="宋体" w:eastAsia="宋体" w:cs="宋体"/>
          <w:color w:val="000000" w:themeColor="text1"/>
          <w:highlight w:val="none"/>
          <w14:textFill>
            <w14:solidFill>
              <w14:schemeClr w14:val="tx1"/>
            </w14:solidFill>
          </w14:textFill>
        </w:rPr>
      </w:pPr>
    </w:p>
    <w:bookmarkEnd w:id="27"/>
    <w:p w14:paraId="4E84D385">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416" w:name="第五部分"/>
      <w:bookmarkStart w:id="417" w:name="_Toc86217003"/>
    </w:p>
    <w:p w14:paraId="6BFC7A4B">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    第五部分 拟签订的合同文本</w:t>
      </w:r>
    </w:p>
    <w:p w14:paraId="4407551A">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合同编号：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7809636">
      <w:pPr>
        <w:spacing w:line="48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77DC7637">
      <w:pPr>
        <w:spacing w:line="480" w:lineRule="auto"/>
        <w:jc w:val="center"/>
        <w:rPr>
          <w:rFonts w:hint="eastAsia" w:ascii="宋体" w:hAnsi="宋体" w:eastAsia="宋体" w:cs="宋体"/>
          <w:b/>
          <w:color w:val="000000" w:themeColor="text1"/>
          <w:sz w:val="24"/>
          <w:highlight w:val="none"/>
          <w14:textFill>
            <w14:solidFill>
              <w14:schemeClr w14:val="tx1"/>
            </w14:solidFill>
          </w14:textFill>
        </w:rPr>
      </w:pPr>
    </w:p>
    <w:p w14:paraId="256991DE">
      <w:pPr>
        <w:spacing w:line="480" w:lineRule="auto"/>
        <w:jc w:val="center"/>
        <w:rPr>
          <w:rFonts w:hint="eastAsia" w:ascii="宋体" w:hAnsi="宋体" w:eastAsia="宋体" w:cs="宋体"/>
          <w:b/>
          <w:color w:val="000000" w:themeColor="text1"/>
          <w:sz w:val="24"/>
          <w:highlight w:val="none"/>
          <w14:textFill>
            <w14:solidFill>
              <w14:schemeClr w14:val="tx1"/>
            </w14:solidFill>
          </w14:textFill>
        </w:rPr>
      </w:pPr>
    </w:p>
    <w:p w14:paraId="5C86109F">
      <w:pP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政府采购合同参考范本</w:t>
      </w:r>
    </w:p>
    <w:p w14:paraId="26482F66">
      <w:pP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（服务类）</w:t>
      </w:r>
    </w:p>
    <w:p w14:paraId="452B942C">
      <w:pPr>
        <w:pStyle w:val="702"/>
        <w:ind w:firstLine="2843" w:firstLineChars="11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第一部分 合同书</w:t>
      </w:r>
    </w:p>
    <w:p w14:paraId="6968BC0A">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3DB61933">
      <w:pPr>
        <w:pStyle w:val="4"/>
        <w:rPr>
          <w:rFonts w:hint="eastAsia" w:ascii="宋体" w:hAnsi="宋体" w:eastAsia="宋体" w:cs="宋体"/>
          <w:color w:val="000000" w:themeColor="text1"/>
          <w:highlight w:val="none"/>
          <w14:textFill>
            <w14:solidFill>
              <w14:schemeClr w14:val="tx1"/>
            </w14:solidFill>
          </w14:textFill>
        </w:rPr>
      </w:pPr>
    </w:p>
    <w:p w14:paraId="09BEA1D2">
      <w:pPr>
        <w:pStyle w:val="600"/>
        <w:spacing w:before="120" w:line="22" w:lineRule="atLeast"/>
        <w:ind w:left="2158" w:leftChars="456" w:hanging="1200" w:hangingChars="50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hAnsi="宋体" w:cs="宋体"/>
          <w:color w:val="000000" w:themeColor="text1"/>
          <w:sz w:val="24"/>
          <w:highlight w:val="none"/>
          <w:u w:val="single"/>
          <w:lang w:eastAsia="zh-CN"/>
          <w14:textFill>
            <w14:solidFill>
              <w14:schemeClr w14:val="tx1"/>
            </w14:solidFill>
          </w14:textFill>
        </w:rPr>
        <w:t>杭州市生态环境局建德分局2024-2026年建德市高空瞭望监控建设、服务租赁项目</w:t>
      </w:r>
    </w:p>
    <w:p w14:paraId="31976DA1">
      <w:pPr>
        <w:pStyle w:val="600"/>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14:paraId="3BC7FFAE">
      <w:pPr>
        <w:rPr>
          <w:rFonts w:hint="eastAsia" w:ascii="宋体" w:hAnsi="宋体" w:eastAsia="宋体" w:cs="宋体"/>
          <w:color w:val="000000" w:themeColor="text1"/>
          <w:sz w:val="24"/>
          <w:highlight w:val="none"/>
          <w14:textFill>
            <w14:solidFill>
              <w14:schemeClr w14:val="tx1"/>
            </w14:solidFill>
          </w14:textFill>
        </w:rPr>
      </w:pPr>
    </w:p>
    <w:p w14:paraId="5595E1A1">
      <w:pPr>
        <w:spacing w:before="120" w:line="22" w:lineRule="atLeast"/>
        <w:ind w:left="960"/>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lang w:eastAsia="zh-CN"/>
          <w14:textFill>
            <w14:solidFill>
              <w14:schemeClr w14:val="tx1"/>
            </w14:solidFill>
          </w14:textFill>
        </w:rPr>
        <w:t>杭州市生态环境局建德分局</w:t>
      </w:r>
    </w:p>
    <w:p w14:paraId="0CC58B98">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4E8C1FAB">
      <w:pPr>
        <w:spacing w:before="120" w:line="22" w:lineRule="atLeast"/>
        <w:ind w:left="96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6A8B881">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0A57F2E9">
      <w:pPr>
        <w:spacing w:before="120" w:line="22" w:lineRule="atLeast"/>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BA78549">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534AACDD">
      <w:pPr>
        <w:spacing w:before="120" w:line="22" w:lineRule="atLeast"/>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签订日期：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5AAA8A36">
      <w:pPr>
        <w:widowControl/>
        <w:jc w:val="left"/>
        <w:rPr>
          <w:rFonts w:hint="eastAsia" w:ascii="宋体" w:hAnsi="宋体" w:eastAsia="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14:paraId="58163B12">
      <w:pPr>
        <w:rPr>
          <w:rFonts w:hint="eastAsia" w:ascii="宋体" w:hAnsi="宋体" w:eastAsia="宋体" w:cs="宋体"/>
          <w:b/>
          <w:color w:val="000000" w:themeColor="text1"/>
          <w:sz w:val="24"/>
          <w:highlight w:val="none"/>
          <w14:textFill>
            <w14:solidFill>
              <w14:schemeClr w14:val="tx1"/>
            </w14:solidFill>
          </w14:textFill>
        </w:rPr>
      </w:pPr>
    </w:p>
    <w:p w14:paraId="6478729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年</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月</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杭州市生态环境局建德分局</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以</w:t>
      </w:r>
      <w:r>
        <w:rPr>
          <w:rFonts w:hint="eastAsia" w:ascii="宋体" w:hAnsi="宋体" w:eastAsia="宋体" w:cs="宋体"/>
          <w:color w:val="000000" w:themeColor="text1"/>
          <w:sz w:val="24"/>
          <w:highlight w:val="none"/>
          <w:u w:val="single"/>
          <w14:textFill>
            <w14:solidFill>
              <w14:schemeClr w14:val="tx1"/>
            </w14:solidFill>
          </w14:textFill>
        </w:rPr>
        <w:t xml:space="preserve">   公开招标 </w:t>
      </w:r>
      <w:r>
        <w:rPr>
          <w:rFonts w:hint="eastAsia" w:ascii="宋体" w:hAnsi="宋体" w:eastAsia="宋体" w:cs="宋体"/>
          <w:color w:val="000000" w:themeColor="text1"/>
          <w:sz w:val="24"/>
          <w:highlight w:val="none"/>
          <w14:textFill>
            <w14:solidFill>
              <w14:schemeClr w14:val="tx1"/>
            </w14:solidFill>
          </w14:textFill>
        </w:rPr>
        <w:t>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杭州市生态环境局建德分局2024-2026年建德市高空瞭望监控建设、服务租赁项目</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进行了采购。经</w:t>
      </w:r>
      <w:r>
        <w:rPr>
          <w:rFonts w:hint="eastAsia" w:ascii="宋体" w:hAnsi="宋体" w:eastAsia="宋体" w:cs="宋体"/>
          <w:color w:val="000000" w:themeColor="text1"/>
          <w:sz w:val="24"/>
          <w:highlight w:val="none"/>
          <w:u w:val="single"/>
          <w14:textFill>
            <w14:solidFill>
              <w14:schemeClr w14:val="tx1"/>
            </w14:solidFill>
          </w14:textFill>
        </w:rPr>
        <w:t xml:space="preserve">  评标委员会   </w:t>
      </w:r>
      <w:r>
        <w:rPr>
          <w:rFonts w:hint="eastAsia" w:ascii="宋体" w:hAnsi="宋体" w:eastAsia="宋体" w:cs="宋体"/>
          <w:color w:val="000000" w:themeColor="text1"/>
          <w:sz w:val="24"/>
          <w:highlight w:val="none"/>
          <w14:textFill>
            <w14:solidFill>
              <w14:schemeClr w14:val="tx1"/>
            </w14:solidFill>
          </w14:textFill>
        </w:rPr>
        <w:t>评定，</w:t>
      </w:r>
      <w:r>
        <w:rPr>
          <w:rFonts w:hint="eastAsia" w:ascii="宋体" w:hAnsi="宋体" w:eastAsia="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eastAsia="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为该项目中标或者成交供应商。现于中标或者成交通知书发出之日起10个工作日内，按照采购文件确定的事项签订本合同。</w:t>
      </w:r>
    </w:p>
    <w:p w14:paraId="35FCE99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杭州市生态环境局建德分局</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以下简称：甲方）和</w:t>
      </w:r>
      <w:r>
        <w:rPr>
          <w:rFonts w:hint="eastAsia" w:ascii="宋体" w:hAnsi="宋体" w:eastAsia="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eastAsia="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eastAsia="宋体" w:cs="宋体"/>
          <w:color w:val="000000" w:themeColor="text1"/>
          <w:sz w:val="24"/>
          <w:highlight w:val="none"/>
          <w14:textFill>
            <w14:solidFill>
              <w14:schemeClr w14:val="tx1"/>
            </w14:solidFill>
          </w14:textFill>
        </w:rPr>
        <w:t>条款，以兹共同遵守、全面履行。</w:t>
      </w:r>
    </w:p>
    <w:p w14:paraId="0688EBD6">
      <w:pPr>
        <w:spacing w:line="560" w:lineRule="exact"/>
        <w:ind w:firstLine="482" w:firstLineChars="200"/>
        <w:outlineLvl w:val="0"/>
        <w:rPr>
          <w:rFonts w:hint="eastAsia" w:ascii="宋体" w:hAnsi="宋体" w:eastAsia="宋体" w:cs="宋体"/>
          <w:color w:val="000000" w:themeColor="text1"/>
          <w:sz w:val="24"/>
          <w:highlight w:val="none"/>
          <w14:textFill>
            <w14:solidFill>
              <w14:schemeClr w14:val="tx1"/>
            </w14:solidFill>
          </w14:textFill>
        </w:rPr>
      </w:pPr>
      <w:bookmarkStart w:id="418" w:name="_Toc22967"/>
      <w:bookmarkStart w:id="419" w:name="_Toc19273"/>
      <w:bookmarkStart w:id="420" w:name="_Toc15367"/>
      <w:bookmarkStart w:id="421" w:name="_Toc20421"/>
      <w:bookmarkStart w:id="422" w:name="_Toc28855"/>
      <w:r>
        <w:rPr>
          <w:rFonts w:hint="eastAsia" w:ascii="宋体" w:hAnsi="宋体" w:eastAsia="宋体" w:cs="宋体"/>
          <w:b/>
          <w:color w:val="000000" w:themeColor="text1"/>
          <w:sz w:val="24"/>
          <w:highlight w:val="none"/>
          <w14:textFill>
            <w14:solidFill>
              <w14:schemeClr w14:val="tx1"/>
            </w14:solidFill>
          </w14:textFill>
        </w:rPr>
        <w:t>1.1 合同组成部分</w:t>
      </w:r>
      <w:bookmarkEnd w:id="418"/>
      <w:bookmarkEnd w:id="419"/>
      <w:bookmarkEnd w:id="420"/>
      <w:bookmarkEnd w:id="421"/>
      <w:bookmarkEnd w:id="422"/>
    </w:p>
    <w:p w14:paraId="1481664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80B598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 本合同及其补充合同、变更协议；</w:t>
      </w:r>
    </w:p>
    <w:p w14:paraId="17B24BEC">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 中标或者成交通知书；</w:t>
      </w:r>
    </w:p>
    <w:p w14:paraId="031D967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 投标或者响应文件（含澄清或者说明文件）；</w:t>
      </w:r>
    </w:p>
    <w:p w14:paraId="631905B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1.1.4 采购文件（含澄清或者修改文件）；</w:t>
      </w:r>
    </w:p>
    <w:p w14:paraId="1AC0A93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1.1.5 其他相关采购文件。</w:t>
      </w:r>
    </w:p>
    <w:p w14:paraId="1E498CB3">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23" w:name="_Toc18585"/>
      <w:bookmarkStart w:id="424" w:name="_Toc22185"/>
      <w:bookmarkStart w:id="425" w:name="_Toc6311"/>
      <w:bookmarkStart w:id="426" w:name="_Toc2918"/>
      <w:bookmarkStart w:id="427" w:name="_Toc6773"/>
      <w:r>
        <w:rPr>
          <w:rFonts w:hint="eastAsia" w:ascii="宋体" w:hAnsi="宋体" w:eastAsia="宋体" w:cs="宋体"/>
          <w:b/>
          <w:color w:val="000000" w:themeColor="text1"/>
          <w:sz w:val="24"/>
          <w:highlight w:val="none"/>
          <w14:textFill>
            <w14:solidFill>
              <w14:schemeClr w14:val="tx1"/>
            </w14:solidFill>
          </w14:textFill>
        </w:rPr>
        <w:t>1.2 标的</w:t>
      </w:r>
      <w:bookmarkEnd w:id="423"/>
      <w:bookmarkEnd w:id="424"/>
      <w:bookmarkEnd w:id="425"/>
      <w:bookmarkEnd w:id="426"/>
      <w:bookmarkEnd w:id="427"/>
    </w:p>
    <w:p w14:paraId="2C4853AE">
      <w:pPr>
        <w:spacing w:line="560" w:lineRule="exact"/>
        <w:ind w:firstLine="480" w:firstLineChars="200"/>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 服务内容：</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p>
    <w:p w14:paraId="48062B82">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 服务标准：</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42389C77">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 技术保障：</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p>
    <w:p w14:paraId="305554E6">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 服务人员组成：</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15A119A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1.2.5合同</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是</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（是/否）涉及货物。若涉及货物的，则：</w:t>
      </w:r>
    </w:p>
    <w:p w14:paraId="3C5F41BD">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bookmarkStart w:id="428" w:name="_Toc5635"/>
      <w:bookmarkStart w:id="429" w:name="_Toc4929"/>
      <w:bookmarkStart w:id="430" w:name="_Toc13918"/>
      <w:bookmarkStart w:id="431" w:name="_Toc21124"/>
      <w:bookmarkStart w:id="432" w:name="_Toc1386"/>
      <w:r>
        <w:rPr>
          <w:rFonts w:hint="eastAsia" w:ascii="宋体" w:hAnsi="宋体" w:eastAsia="宋体" w:cs="宋体"/>
          <w:color w:val="000000" w:themeColor="text1"/>
          <w:sz w:val="24"/>
          <w:highlight w:val="none"/>
          <w14:textFill>
            <w14:solidFill>
              <w14:schemeClr w14:val="tx1"/>
            </w14:solidFill>
          </w14:textFill>
        </w:rPr>
        <w:t>1.2.5.1 货物名称、品牌、规格型号、花色：</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75C3FB16">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1.2.5.2 货物数量：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3F1C0BC8">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1.2.5.3 货物质量：</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45EAE333">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 价款</w:t>
      </w:r>
      <w:bookmarkEnd w:id="428"/>
      <w:bookmarkEnd w:id="429"/>
      <w:bookmarkEnd w:id="430"/>
      <w:bookmarkEnd w:id="431"/>
      <w:bookmarkEnd w:id="432"/>
    </w:p>
    <w:p w14:paraId="6B0F128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本项目采用以下第</w:t>
      </w:r>
      <w:r>
        <w:rPr>
          <w:rFonts w:hint="eastAsia" w:ascii="宋体" w:hAnsi="宋体" w:eastAsia="宋体" w:cs="宋体"/>
          <w:color w:val="000000" w:themeColor="text1"/>
          <w:sz w:val="24"/>
          <w:highlight w:val="none"/>
          <w:u w:val="single"/>
          <w14:textFill>
            <w14:solidFill>
              <w14:schemeClr w14:val="tx1"/>
            </w14:solidFill>
          </w14:textFill>
        </w:rPr>
        <w:t xml:space="preserve"> 1.31 </w:t>
      </w:r>
      <w:r>
        <w:rPr>
          <w:rFonts w:hint="eastAsia" w:ascii="宋体" w:hAnsi="宋体" w:eastAsia="宋体" w:cs="宋体"/>
          <w:color w:val="000000" w:themeColor="text1"/>
          <w:sz w:val="24"/>
          <w:highlight w:val="none"/>
          <w14:textFill>
            <w14:solidFill>
              <w14:schemeClr w14:val="tx1"/>
            </w14:solidFill>
          </w14:textFill>
        </w:rPr>
        <w:t>条款规定的计价方式计价。</w:t>
      </w:r>
    </w:p>
    <w:p w14:paraId="0F99BD8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1.3.1总价合同，本合同总价（含税）为：￥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元人民币）。</w:t>
      </w:r>
    </w:p>
    <w:p w14:paraId="11F27094">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21F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30BBC3">
            <w:pPr>
              <w:pStyle w:val="321"/>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402" w:type="dxa"/>
            <w:vAlign w:val="center"/>
          </w:tcPr>
          <w:p w14:paraId="6A9FB71E">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分项名称</w:t>
            </w:r>
          </w:p>
        </w:tc>
        <w:tc>
          <w:tcPr>
            <w:tcW w:w="2552" w:type="dxa"/>
            <w:vAlign w:val="center"/>
          </w:tcPr>
          <w:p w14:paraId="3AD881D8">
            <w:pPr>
              <w:pStyle w:val="321"/>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分项价格</w:t>
            </w:r>
          </w:p>
        </w:tc>
      </w:tr>
      <w:tr w14:paraId="47AA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465813">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14:paraId="41098795">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159B009F">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D3C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69A5E6">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14:paraId="4EEC0437">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0CB282BB">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73B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3835C4">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14:paraId="00C2593A">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3BBA750F">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FE0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6DF781">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14:paraId="2BE4BEA2">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6E46878A">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76B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4811158">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2552" w:type="dxa"/>
            <w:vAlign w:val="center"/>
          </w:tcPr>
          <w:p w14:paraId="76D41838">
            <w:pPr>
              <w:pStyle w:val="321"/>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532701C">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33" w:name="_Toc30158"/>
      <w:bookmarkStart w:id="434" w:name="_Toc26916"/>
      <w:bookmarkStart w:id="435" w:name="_Toc3654"/>
      <w:bookmarkStart w:id="436" w:name="_Toc30506"/>
      <w:bookmarkStart w:id="437" w:name="_Toc14993"/>
      <w:r>
        <w:rPr>
          <w:rFonts w:hint="eastAsia" w:ascii="宋体" w:hAnsi="宋体" w:eastAsia="宋体" w:cs="宋体"/>
          <w:bCs/>
          <w:color w:val="000000" w:themeColor="text1"/>
          <w:sz w:val="24"/>
          <w:highlight w:val="none"/>
          <w14:textFill>
            <w14:solidFill>
              <w14:schemeClr w14:val="tx1"/>
            </w14:solidFill>
          </w14:textFill>
        </w:rPr>
        <w:t>1.3.2单价合同，本合同单价（含税）标准为：</w:t>
      </w:r>
      <w:r>
        <w:rPr>
          <w:rFonts w:hint="eastAsia" w:ascii="宋体" w:hAnsi="宋体" w:eastAsia="宋体" w:cs="宋体"/>
          <w:bCs/>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。服务工作量的计量方式为：</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元人民币）。</w:t>
      </w:r>
    </w:p>
    <w:p w14:paraId="2288A10A">
      <w:pPr>
        <w:pStyle w:val="4"/>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14:textFill>
            <w14:solidFill>
              <w14:schemeClr w14:val="tx1"/>
            </w14:solidFill>
          </w14:textFill>
        </w:rPr>
        <w:t>1.3.3其他计价方式：</w:t>
      </w:r>
      <w:r>
        <w:rPr>
          <w:rFonts w:hint="eastAsia" w:ascii="宋体" w:hAnsi="宋体" w:eastAsia="宋体" w:cs="宋体"/>
          <w:b w:val="0"/>
          <w:bCs w:val="0"/>
          <w:color w:val="000000" w:themeColor="text1"/>
          <w:sz w:val="24"/>
          <w:highlight w:val="none"/>
          <w:u w:val="single"/>
          <w:lang w:val="en-US"/>
          <w14:textFill>
            <w14:solidFill>
              <w14:schemeClr w14:val="tx1"/>
            </w14:solidFill>
          </w14:textFill>
        </w:rPr>
        <w:t xml:space="preserve">      /             </w:t>
      </w:r>
      <w:r>
        <w:rPr>
          <w:rFonts w:hint="eastAsia" w:ascii="宋体" w:hAnsi="宋体" w:eastAsia="宋体" w:cs="宋体"/>
          <w:b w:val="0"/>
          <w:bCs w:val="0"/>
          <w:color w:val="000000" w:themeColor="text1"/>
          <w:sz w:val="24"/>
          <w:highlight w:val="none"/>
          <w14:textFill>
            <w14:solidFill>
              <w14:schemeClr w14:val="tx1"/>
            </w14:solidFill>
          </w14:textFill>
        </w:rPr>
        <w:t>。</w:t>
      </w:r>
    </w:p>
    <w:bookmarkEnd w:id="433"/>
    <w:bookmarkEnd w:id="434"/>
    <w:bookmarkEnd w:id="435"/>
    <w:bookmarkEnd w:id="436"/>
    <w:bookmarkEnd w:id="437"/>
    <w:p w14:paraId="74A2017A">
      <w:pPr>
        <w:pStyle w:val="960"/>
        <w:spacing w:before="0" w:beforeAutospacing="0" w:after="0" w:afterAutospacing="0" w:line="360" w:lineRule="auto"/>
        <w:ind w:firstLine="480"/>
        <w:rPr>
          <w:rFonts w:hint="eastAsia" w:ascii="宋体" w:hAnsi="宋体" w:eastAsia="宋体" w:cs="宋体"/>
          <w:b/>
          <w:color w:val="000000" w:themeColor="text1"/>
          <w:highlight w:val="none"/>
          <w14:textFill>
            <w14:solidFill>
              <w14:schemeClr w14:val="tx1"/>
            </w14:solidFill>
          </w14:textFill>
        </w:rPr>
      </w:pPr>
      <w:bookmarkStart w:id="438" w:name="_Toc1814"/>
      <w:bookmarkStart w:id="439" w:name="_Toc10340"/>
      <w:bookmarkStart w:id="440" w:name="_Toc22618"/>
      <w:bookmarkStart w:id="441" w:name="_Toc8772"/>
      <w:bookmarkStart w:id="442" w:name="_Toc3625"/>
      <w:bookmarkStart w:id="443" w:name="_Toc31421"/>
      <w:bookmarkStart w:id="444" w:name="_Toc4760"/>
      <w:bookmarkStart w:id="445" w:name="_Toc11108"/>
      <w:r>
        <w:rPr>
          <w:rFonts w:hint="eastAsia" w:ascii="宋体" w:hAnsi="宋体" w:eastAsia="宋体" w:cs="宋体"/>
          <w:b/>
          <w:color w:val="000000" w:themeColor="text1"/>
          <w:highlight w:val="none"/>
          <w14:textFill>
            <w14:solidFill>
              <w14:schemeClr w14:val="tx1"/>
            </w14:solidFill>
          </w14:textFill>
        </w:rPr>
        <w:t>1.4履约保证金</w:t>
      </w:r>
    </w:p>
    <w:p w14:paraId="1FCD4E1A">
      <w:pPr>
        <w:pStyle w:val="960"/>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乙方</w:t>
      </w:r>
      <w:r>
        <w:rPr>
          <w:rFonts w:hint="eastAsia" w:ascii="宋体" w:hAnsi="宋体" w:eastAsia="宋体" w:cs="宋体"/>
          <w:color w:val="000000" w:themeColor="text1"/>
          <w:highlight w:val="none"/>
          <w:u w:val="single"/>
          <w14:textFill>
            <w14:solidFill>
              <w14:schemeClr w14:val="tx1"/>
            </w14:solidFill>
          </w14:textFill>
        </w:rPr>
        <w:t xml:space="preserve"> 否  </w:t>
      </w:r>
      <w:r>
        <w:rPr>
          <w:rFonts w:hint="eastAsia" w:ascii="宋体" w:hAnsi="宋体" w:eastAsia="宋体" w:cs="宋体"/>
          <w:color w:val="000000" w:themeColor="text1"/>
          <w:highlight w:val="none"/>
          <w14:textFill>
            <w14:solidFill>
              <w14:schemeClr w14:val="tx1"/>
            </w14:solidFill>
          </w14:textFill>
        </w:rPr>
        <w:t>（是/否）需要支付履约保证金。若需要支付履约保证金的，则：</w:t>
      </w:r>
    </w:p>
    <w:p w14:paraId="06EE732F">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highlight w:val="none"/>
          <w14:textFill>
            <w14:solidFill>
              <w14:schemeClr w14:val="tx1"/>
            </w14:solidFill>
          </w14:textFill>
        </w:rPr>
        <w:t>%；</w:t>
      </w:r>
    </w:p>
    <w:p w14:paraId="12C9C6C0">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1.4.2履约保证金支付方式详见</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3AF588A7">
      <w:pPr>
        <w:pStyle w:val="4"/>
        <w:tabs>
          <w:tab w:val="left" w:pos="0"/>
        </w:tabs>
        <w:spacing w:line="560" w:lineRule="exact"/>
        <w:ind w:left="0" w:firstLine="480" w:firstLineChars="200"/>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71CFAD">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eastAsia="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20  </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641BC14F">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1.5</w:t>
      </w:r>
      <w:bookmarkEnd w:id="438"/>
      <w:bookmarkEnd w:id="439"/>
      <w:bookmarkEnd w:id="440"/>
      <w:r>
        <w:rPr>
          <w:rFonts w:hint="eastAsia" w:ascii="宋体" w:hAnsi="宋体" w:eastAsia="宋体" w:cs="宋体"/>
          <w:b/>
          <w:color w:val="000000" w:themeColor="text1"/>
          <w:sz w:val="24"/>
          <w:highlight w:val="none"/>
          <w14:textFill>
            <w14:solidFill>
              <w14:schemeClr w14:val="tx1"/>
            </w14:solidFill>
          </w14:textFill>
        </w:rPr>
        <w:t>预付款</w:t>
      </w:r>
    </w:p>
    <w:p w14:paraId="3A0C14AB">
      <w:pPr>
        <w:pStyle w:val="960"/>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甲方</w:t>
      </w:r>
      <w:r>
        <w:rPr>
          <w:rFonts w:hint="eastAsia" w:ascii="宋体" w:hAnsi="宋体" w:eastAsia="宋体" w:cs="宋体"/>
          <w:color w:val="000000" w:themeColor="text1"/>
          <w:highlight w:val="none"/>
          <w:u w:val="single"/>
          <w14:textFill>
            <w14:solidFill>
              <w14:schemeClr w14:val="tx1"/>
            </w14:solidFill>
          </w14:textFill>
        </w:rPr>
        <w:t xml:space="preserve"> 是 </w:t>
      </w:r>
      <w:r>
        <w:rPr>
          <w:rFonts w:hint="eastAsia" w:ascii="宋体" w:hAnsi="宋体" w:eastAsia="宋体" w:cs="宋体"/>
          <w:color w:val="000000" w:themeColor="text1"/>
          <w:highlight w:val="none"/>
          <w14:textFill>
            <w14:solidFill>
              <w14:schemeClr w14:val="tx1"/>
            </w14:solidFill>
          </w14:textFill>
        </w:rPr>
        <w:t>（是/否）需要支付预付款。若需要支付预付款的，则：</w:t>
      </w:r>
    </w:p>
    <w:p w14:paraId="6B1384CE">
      <w:pPr>
        <w:spacing w:line="56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195D5721">
      <w:pPr>
        <w:pStyle w:val="960"/>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1.5.2预付款的扣回方式详见</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1D6982E5">
      <w:pPr>
        <w:pStyle w:val="960"/>
        <w:spacing w:before="0" w:beforeAutospacing="0" w:after="0" w:afterAutospacing="0" w:line="360" w:lineRule="auto"/>
        <w:ind w:firstLine="48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1.5.3预付款的担保措施详见</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23AF00A1">
      <w:pPr>
        <w:pStyle w:val="960"/>
        <w:spacing w:before="0" w:beforeAutospacing="0" w:after="0" w:afterAutospacing="0" w:line="360" w:lineRule="auto"/>
        <w:ind w:firstLine="48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1.6资金支付</w:t>
      </w:r>
    </w:p>
    <w:p w14:paraId="1032F6B9">
      <w:pPr>
        <w:pStyle w:val="960"/>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DFAF151">
      <w:pPr>
        <w:spacing w:line="560" w:lineRule="exact"/>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1.6.2资金支付的方式、时间和条件详见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737411EF">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1.7 履行期限、地点和方式</w:t>
      </w:r>
      <w:bookmarkEnd w:id="441"/>
      <w:bookmarkEnd w:id="442"/>
      <w:bookmarkEnd w:id="443"/>
      <w:bookmarkEnd w:id="444"/>
      <w:bookmarkEnd w:id="445"/>
    </w:p>
    <w:p w14:paraId="4008DE3A">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 服务交付（实施）的时间（期限）：</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18CA9F3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 服务交付（实施）的地点（地域范围）：</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568B8015">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 服务交付（实施）的方式：</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243DCD10">
      <w:pPr>
        <w:spacing w:line="560" w:lineRule="exact"/>
        <w:ind w:firstLine="480" w:firstLineChars="200"/>
        <w:outlineLvl w:val="0"/>
        <w:rPr>
          <w:rFonts w:hint="eastAsia" w:ascii="宋体" w:hAnsi="宋体" w:eastAsia="宋体" w:cs="宋体"/>
          <w:bCs/>
          <w:color w:val="000000" w:themeColor="text1"/>
          <w:sz w:val="24"/>
          <w:highlight w:val="none"/>
          <w14:textFill>
            <w14:solidFill>
              <w14:schemeClr w14:val="tx1"/>
            </w14:solidFill>
          </w14:textFill>
        </w:rPr>
      </w:pPr>
      <w:bookmarkStart w:id="446" w:name="_Toc3079"/>
      <w:bookmarkStart w:id="447" w:name="_Toc2375"/>
      <w:bookmarkStart w:id="448" w:name="_Toc5698"/>
      <w:bookmarkStart w:id="449" w:name="_Toc24662"/>
      <w:bookmarkStart w:id="450" w:name="_Toc8586"/>
      <w:r>
        <w:rPr>
          <w:rFonts w:hint="eastAsia" w:ascii="宋体" w:hAnsi="宋体" w:eastAsia="宋体" w:cs="宋体"/>
          <w:bCs/>
          <w:color w:val="000000" w:themeColor="text1"/>
          <w:sz w:val="24"/>
          <w:highlight w:val="none"/>
          <w14:textFill>
            <w14:solidFill>
              <w14:schemeClr w14:val="tx1"/>
            </w14:solidFill>
          </w14:textFill>
        </w:rPr>
        <w:t>1.7.4若服务涉及货物的，则货物的：</w:t>
      </w:r>
    </w:p>
    <w:p w14:paraId="225F61F8">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1.7.4.1 交付期限：详见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5727C99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1.7.4.2 交付地点：</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499DB86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1.7.4.3 交付方式：</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46F9D3A8">
      <w:pPr>
        <w:spacing w:line="560" w:lineRule="exact"/>
        <w:ind w:firstLine="482" w:firstLineChars="200"/>
        <w:outlineLvl w:val="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1.8违约责任</w:t>
      </w:r>
      <w:bookmarkEnd w:id="446"/>
      <w:bookmarkEnd w:id="447"/>
      <w:bookmarkEnd w:id="448"/>
      <w:bookmarkEnd w:id="449"/>
      <w:bookmarkEnd w:id="450"/>
    </w:p>
    <w:p w14:paraId="5A10F63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000000" w:themeColor="text1"/>
          <w:sz w:val="24"/>
          <w:highlight w:val="none"/>
          <w:u w:val="single"/>
          <w14:textFill>
            <w14:solidFill>
              <w14:schemeClr w14:val="tx1"/>
            </w14:solidFill>
          </w14:textFill>
        </w:rPr>
        <w:t xml:space="preserve">0.05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   </w:t>
      </w:r>
      <w:r>
        <w:rPr>
          <w:rFonts w:hint="eastAsia" w:ascii="宋体" w:hAnsi="宋体" w:eastAsia="宋体" w:cs="宋体"/>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14:paraId="5401636F">
      <w:pPr>
        <w:pStyle w:val="4"/>
        <w:ind w:left="0" w:firstLine="480" w:firstLineChars="200"/>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0.05（可根据情况修改）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70B9A45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4"/>
          <w:highlight w:val="none"/>
          <w:u w:val="single"/>
          <w14:textFill>
            <w14:solidFill>
              <w14:schemeClr w14:val="tx1"/>
            </w14:solidFill>
          </w14:textFill>
        </w:rPr>
        <w:t xml:space="preserve">   0.05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w:t>
      </w:r>
      <w:r>
        <w:rPr>
          <w:rFonts w:hint="eastAsia" w:ascii="宋体" w:hAnsi="宋体" w:eastAsia="宋体" w:cs="宋体"/>
          <w:color w:val="000000" w:themeColor="text1"/>
          <w:kern w:val="0"/>
          <w:sz w:val="24"/>
          <w:highlight w:val="none"/>
          <w:u w:val="single"/>
          <w14:textFill>
            <w14:solidFill>
              <w14:schemeClr w14:val="tx1"/>
            </w14:solidFill>
          </w14:textFill>
        </w:rPr>
        <w:t>（可根据情况修改）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6BC0DE9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51" w:name="_Toc18683"/>
      <w:bookmarkStart w:id="452" w:name="_Toc30329"/>
      <w:bookmarkStart w:id="453" w:name="_Toc26807"/>
      <w:bookmarkStart w:id="454" w:name="_Toc9497"/>
      <w:bookmarkStart w:id="455" w:name="_Toc32454"/>
      <w:r>
        <w:rPr>
          <w:rFonts w:hint="eastAsia" w:ascii="宋体" w:hAnsi="宋体" w:eastAsia="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83339C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B39C45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561FBA88">
      <w:pPr>
        <w:spacing w:line="560" w:lineRule="exact"/>
        <w:ind w:right="-420" w:rightChars="-20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1.8.7违约责任</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另有约定的，从其约定。</w:t>
      </w:r>
    </w:p>
    <w:bookmarkEnd w:id="451"/>
    <w:bookmarkEnd w:id="452"/>
    <w:bookmarkEnd w:id="453"/>
    <w:bookmarkEnd w:id="454"/>
    <w:bookmarkEnd w:id="455"/>
    <w:p w14:paraId="7574495B">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56" w:name="_Toc28375"/>
      <w:bookmarkStart w:id="457" w:name="_Toc16021"/>
      <w:bookmarkStart w:id="458" w:name="_Toc15583"/>
      <w:r>
        <w:rPr>
          <w:rFonts w:hint="eastAsia" w:ascii="宋体" w:hAnsi="宋体" w:eastAsia="宋体" w:cs="宋体"/>
          <w:b/>
          <w:color w:val="000000" w:themeColor="text1"/>
          <w:sz w:val="24"/>
          <w:highlight w:val="none"/>
          <w14:textFill>
            <w14:solidFill>
              <w14:schemeClr w14:val="tx1"/>
            </w14:solidFill>
          </w14:textFill>
        </w:rPr>
        <w:t>1.9合同争议的解决</w:t>
      </w:r>
      <w:bookmarkEnd w:id="456"/>
      <w:bookmarkEnd w:id="457"/>
      <w:bookmarkEnd w:id="458"/>
    </w:p>
    <w:p w14:paraId="789E81A3">
      <w:pPr>
        <w:spacing w:line="560" w:lineRule="exact"/>
        <w:ind w:left="-61" w:leftChars="-29" w:right="-420" w:rightChars="-200"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条款规定的方式解决：</w:t>
      </w:r>
    </w:p>
    <w:p w14:paraId="66676688">
      <w:pPr>
        <w:spacing w:line="560" w:lineRule="exact"/>
        <w:ind w:left="-420" w:leftChars="-200" w:right="-420" w:rightChars="-200"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 将争议提交</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仲裁委员会依申请仲裁时其现行有效的仲裁规则裁决；</w:t>
      </w:r>
    </w:p>
    <w:p w14:paraId="03F715F7">
      <w:pPr>
        <w:spacing w:line="560" w:lineRule="exact"/>
        <w:ind w:left="-420" w:leftChars="-200" w:right="-420" w:rightChars="-200"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 向</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人民法院起诉。</w:t>
      </w:r>
    </w:p>
    <w:p w14:paraId="14A26C93">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59" w:name="_Toc7245"/>
      <w:bookmarkStart w:id="460" w:name="_Toc15322"/>
      <w:bookmarkStart w:id="461" w:name="_Toc11173"/>
      <w:r>
        <w:rPr>
          <w:rFonts w:hint="eastAsia" w:ascii="宋体" w:hAnsi="宋体" w:eastAsia="宋体" w:cs="宋体"/>
          <w:b/>
          <w:color w:val="000000" w:themeColor="text1"/>
          <w:sz w:val="24"/>
          <w:highlight w:val="none"/>
          <w14:textFill>
            <w14:solidFill>
              <w14:schemeClr w14:val="tx1"/>
            </w14:solidFill>
          </w14:textFill>
        </w:rPr>
        <w:t>2.0 合同生效</w:t>
      </w:r>
      <w:bookmarkEnd w:id="459"/>
      <w:bookmarkEnd w:id="460"/>
      <w:bookmarkEnd w:id="461"/>
    </w:p>
    <w:p w14:paraId="5A8EC571">
      <w:pPr>
        <w:spacing w:line="560" w:lineRule="exact"/>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本合同自双方当事人盖章签字时生效。</w:t>
      </w:r>
    </w:p>
    <w:p w14:paraId="18AD0C5C">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zh-CN"/>
          <w14:textFill>
            <w14:solidFill>
              <w14:schemeClr w14:val="tx1"/>
            </w14:solidFill>
          </w14:textFill>
        </w:rPr>
        <w:t>甲方</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b/>
          <w:color w:val="000000" w:themeColor="text1"/>
          <w:sz w:val="24"/>
          <w:highlight w:val="none"/>
          <w:lang w:val="zh-CN"/>
          <w14:textFill>
            <w14:solidFill>
              <w14:schemeClr w14:val="tx1"/>
            </w14:solidFill>
          </w14:textFill>
        </w:rPr>
        <w:t xml:space="preserve">      乙方</w:t>
      </w:r>
      <w:r>
        <w:rPr>
          <w:rFonts w:hint="eastAsia" w:ascii="宋体" w:hAnsi="宋体" w:eastAsia="宋体" w:cs="宋体"/>
          <w:color w:val="000000" w:themeColor="text1"/>
          <w:sz w:val="24"/>
          <w:highlight w:val="none"/>
          <w:lang w:val="zh-CN"/>
          <w14:textFill>
            <w14:solidFill>
              <w14:schemeClr w14:val="tx1"/>
            </w14:solidFill>
          </w14:textFill>
        </w:rPr>
        <w:t>：</w:t>
      </w:r>
    </w:p>
    <w:p w14:paraId="7E88E1A8">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统一社会信用代码：                        统一社会信用代码或身份证号码：</w:t>
      </w:r>
    </w:p>
    <w:p w14:paraId="604B3A90">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p>
    <w:p w14:paraId="4F78C938">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住所：                                   住所：</w:t>
      </w:r>
    </w:p>
    <w:p w14:paraId="3EAE0CBB">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                             法定代表人或</w:t>
      </w:r>
    </w:p>
    <w:p w14:paraId="0A9EAE15">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授权代表（签字）：                       授权代表（签字）： </w:t>
      </w:r>
    </w:p>
    <w:p w14:paraId="6A0E0343">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联系人：                                 联系人：</w:t>
      </w:r>
    </w:p>
    <w:p w14:paraId="72D3065B">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约定送达地址：                           约定送达地址：</w:t>
      </w:r>
    </w:p>
    <w:p w14:paraId="755C2677">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邮政编码：                               邮政编码：</w:t>
      </w:r>
    </w:p>
    <w:p w14:paraId="21B92A1D">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电话：                                    电话： </w:t>
      </w:r>
    </w:p>
    <w:p w14:paraId="6C706B55">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传真：                                    传真：</w:t>
      </w:r>
    </w:p>
    <w:p w14:paraId="330CCF42">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电子邮箱：                               电子邮箱：</w:t>
      </w:r>
    </w:p>
    <w:p w14:paraId="6F747DA2">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开户银行：                               开户银行： </w:t>
      </w:r>
    </w:p>
    <w:p w14:paraId="77A7A218">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开户名称：                               开户名称： </w:t>
      </w:r>
    </w:p>
    <w:p w14:paraId="4B47F38F">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开户账号：</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开户账号：</w:t>
      </w:r>
    </w:p>
    <w:p w14:paraId="5C762A83">
      <w:pPr>
        <w:widowControl/>
        <w:spacing w:line="560" w:lineRule="exact"/>
        <w:jc w:val="left"/>
        <w:rPr>
          <w:rFonts w:hint="eastAsia" w:ascii="宋体" w:hAnsi="宋体" w:eastAsia="宋体" w:cs="宋体"/>
          <w:b/>
          <w:color w:val="000000" w:themeColor="text1"/>
          <w:sz w:val="24"/>
          <w:highlight w:val="none"/>
          <w14:textFill>
            <w14:solidFill>
              <w14:schemeClr w14:val="tx1"/>
            </w14:solidFill>
          </w14:textFill>
        </w:rPr>
      </w:pPr>
    </w:p>
    <w:p w14:paraId="20A49BBB">
      <w:pPr>
        <w:widowControl/>
        <w:adjustRightInd/>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p w14:paraId="36AFAE31">
      <w:pPr>
        <w:pStyle w:val="702"/>
        <w:spacing w:line="560" w:lineRule="exact"/>
        <w:ind w:firstLine="482"/>
        <w:jc w:val="center"/>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第二部分 合同一般条款</w:t>
      </w:r>
    </w:p>
    <w:p w14:paraId="60A7834F">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62" w:name="_Toc5228"/>
      <w:bookmarkStart w:id="463" w:name="_Toc31297"/>
      <w:bookmarkStart w:id="464" w:name="_Toc19680"/>
      <w:bookmarkStart w:id="465" w:name="_Toc25079"/>
      <w:bookmarkStart w:id="466" w:name="_Toc14021"/>
      <w:r>
        <w:rPr>
          <w:rFonts w:hint="eastAsia" w:ascii="宋体" w:hAnsi="宋体" w:eastAsia="宋体" w:cs="宋体"/>
          <w:b/>
          <w:color w:val="000000" w:themeColor="text1"/>
          <w:sz w:val="24"/>
          <w:highlight w:val="none"/>
          <w14:textFill>
            <w14:solidFill>
              <w14:schemeClr w14:val="tx1"/>
            </w14:solidFill>
          </w14:textFill>
        </w:rPr>
        <w:t>2.1 定义</w:t>
      </w:r>
      <w:bookmarkEnd w:id="462"/>
      <w:bookmarkEnd w:id="463"/>
      <w:bookmarkEnd w:id="464"/>
      <w:bookmarkEnd w:id="465"/>
      <w:bookmarkEnd w:id="466"/>
    </w:p>
    <w:p w14:paraId="706EE47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本合同中的下列词语应按以下内容进行解释：</w:t>
      </w:r>
    </w:p>
    <w:p w14:paraId="005F384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0886C1D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04D85B65">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 “服务”系指中标或成交供应商根据合同约定应向采购人履行的除货物和工程以外的其他政府采购对象，包括采购人自身需要的服务和向社会公众提供的公共服务。</w:t>
      </w:r>
    </w:p>
    <w:p w14:paraId="2AC253A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 “甲方”系指与中标或成交供应商签署合同的采购人；采购人委托采购代理机构代表其与乙方签订合同的，采购人的授权委托书作为合同附件。</w:t>
      </w:r>
    </w:p>
    <w:p w14:paraId="606E87E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290706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 “现场”系指合同约定提供服务的地点。</w:t>
      </w:r>
    </w:p>
    <w:p w14:paraId="563791B0">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67" w:name="_Toc16752"/>
      <w:bookmarkStart w:id="468" w:name="_Toc23289"/>
      <w:bookmarkStart w:id="469" w:name="_Toc3769"/>
      <w:bookmarkStart w:id="470" w:name="_Toc31402"/>
      <w:bookmarkStart w:id="471" w:name="_Toc19539"/>
      <w:r>
        <w:rPr>
          <w:rFonts w:hint="eastAsia" w:ascii="宋体" w:hAnsi="宋体" w:eastAsia="宋体" w:cs="宋体"/>
          <w:b/>
          <w:color w:val="000000" w:themeColor="text1"/>
          <w:sz w:val="24"/>
          <w:highlight w:val="none"/>
          <w14:textFill>
            <w14:solidFill>
              <w14:schemeClr w14:val="tx1"/>
            </w14:solidFill>
          </w14:textFill>
        </w:rPr>
        <w:t>2.2 技术规范</w:t>
      </w:r>
      <w:bookmarkEnd w:id="467"/>
      <w:bookmarkEnd w:id="468"/>
      <w:bookmarkEnd w:id="469"/>
      <w:bookmarkEnd w:id="470"/>
      <w:bookmarkEnd w:id="471"/>
    </w:p>
    <w:p w14:paraId="7B7DFE5E">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A522187">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72" w:name="_Toc12412"/>
      <w:bookmarkStart w:id="473" w:name="_Toc27945"/>
      <w:bookmarkStart w:id="474" w:name="_Toc13673"/>
      <w:bookmarkStart w:id="475" w:name="_Toc9161"/>
      <w:bookmarkStart w:id="476" w:name="_Toc4133"/>
      <w:r>
        <w:rPr>
          <w:rFonts w:hint="eastAsia" w:ascii="宋体" w:hAnsi="宋体" w:eastAsia="宋体" w:cs="宋体"/>
          <w:b/>
          <w:color w:val="000000" w:themeColor="text1"/>
          <w:sz w:val="24"/>
          <w:highlight w:val="none"/>
          <w14:textFill>
            <w14:solidFill>
              <w14:schemeClr w14:val="tx1"/>
            </w14:solidFill>
          </w14:textFill>
        </w:rPr>
        <w:t>2.3 知识产权</w:t>
      </w:r>
      <w:bookmarkEnd w:id="472"/>
      <w:bookmarkEnd w:id="473"/>
      <w:bookmarkEnd w:id="474"/>
      <w:bookmarkEnd w:id="475"/>
      <w:bookmarkEnd w:id="476"/>
    </w:p>
    <w:p w14:paraId="04C0781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4EF9CE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 合同涉及技术成果的归属和收益的分成办法的，详见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0E3C2833">
      <w:pPr>
        <w:spacing w:line="560" w:lineRule="exact"/>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2.4 履约检查和问题反馈</w:t>
      </w:r>
    </w:p>
    <w:p w14:paraId="2518733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CBD95E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p>
    <w:p w14:paraId="355E563F">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77" w:name="_Toc32670"/>
      <w:bookmarkStart w:id="478" w:name="_Toc26555"/>
      <w:bookmarkStart w:id="479" w:name="_Toc22011"/>
      <w:bookmarkStart w:id="480" w:name="_Toc31233"/>
      <w:bookmarkStart w:id="481" w:name="_Toc15447"/>
      <w:r>
        <w:rPr>
          <w:rFonts w:hint="eastAsia" w:ascii="宋体" w:hAnsi="宋体" w:eastAsia="宋体" w:cs="宋体"/>
          <w:b/>
          <w:color w:val="000000" w:themeColor="text1"/>
          <w:sz w:val="24"/>
          <w:highlight w:val="none"/>
          <w14:textFill>
            <w14:solidFill>
              <w14:schemeClr w14:val="tx1"/>
            </w14:solidFill>
          </w14:textFill>
        </w:rPr>
        <w:t>2.5 结算方式和付款条件</w:t>
      </w:r>
      <w:bookmarkEnd w:id="477"/>
      <w:bookmarkEnd w:id="478"/>
      <w:bookmarkEnd w:id="479"/>
      <w:bookmarkEnd w:id="480"/>
      <w:bookmarkEnd w:id="481"/>
    </w:p>
    <w:p w14:paraId="5BAA1B8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40A939AF">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2" w:name="_Toc13467"/>
      <w:bookmarkStart w:id="483" w:name="_Toc30507"/>
      <w:bookmarkStart w:id="484" w:name="_Toc13154"/>
      <w:bookmarkStart w:id="485" w:name="_Toc18990"/>
      <w:bookmarkStart w:id="486" w:name="_Toc16163"/>
      <w:r>
        <w:rPr>
          <w:rFonts w:hint="eastAsia" w:ascii="宋体" w:hAnsi="宋体" w:eastAsia="宋体" w:cs="宋体"/>
          <w:b/>
          <w:color w:val="000000" w:themeColor="text1"/>
          <w:sz w:val="24"/>
          <w:highlight w:val="none"/>
          <w14:textFill>
            <w14:solidFill>
              <w14:schemeClr w14:val="tx1"/>
            </w14:solidFill>
          </w14:textFill>
        </w:rPr>
        <w:t>2.6 技术资料和保密义务</w:t>
      </w:r>
      <w:bookmarkEnd w:id="482"/>
      <w:bookmarkEnd w:id="483"/>
      <w:bookmarkEnd w:id="484"/>
      <w:bookmarkEnd w:id="485"/>
      <w:bookmarkEnd w:id="486"/>
    </w:p>
    <w:p w14:paraId="69F987E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7882B17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2.6.2 乙方有义务妥善保管和保护由甲方提供的前款信息和资料等；</w:t>
      </w:r>
    </w:p>
    <w:p w14:paraId="6A29F0E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5C17F0C">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7" w:name="_Toc19069"/>
      <w:r>
        <w:rPr>
          <w:rFonts w:hint="eastAsia" w:ascii="宋体" w:hAnsi="宋体" w:eastAsia="宋体" w:cs="宋体"/>
          <w:b/>
          <w:color w:val="000000" w:themeColor="text1"/>
          <w:sz w:val="24"/>
          <w:highlight w:val="none"/>
          <w14:textFill>
            <w14:solidFill>
              <w14:schemeClr w14:val="tx1"/>
            </w14:solidFill>
          </w14:textFill>
        </w:rPr>
        <w:t>2.7 质量保证</w:t>
      </w:r>
      <w:bookmarkEnd w:id="487"/>
    </w:p>
    <w:p w14:paraId="3F632F9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024DC23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34BB9CE7">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8" w:name="_Toc22267"/>
      <w:r>
        <w:rPr>
          <w:rFonts w:hint="eastAsia" w:ascii="宋体" w:hAnsi="宋体" w:eastAsia="宋体" w:cs="宋体"/>
          <w:b/>
          <w:color w:val="000000" w:themeColor="text1"/>
          <w:sz w:val="24"/>
          <w:highlight w:val="none"/>
          <w14:textFill>
            <w14:solidFill>
              <w14:schemeClr w14:val="tx1"/>
            </w14:solidFill>
          </w14:textFill>
        </w:rPr>
        <w:t>2.8 延迟履行</w:t>
      </w:r>
      <w:bookmarkEnd w:id="488"/>
    </w:p>
    <w:p w14:paraId="130C9DF4">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2CEA8B5">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9" w:name="_Toc10611"/>
      <w:r>
        <w:rPr>
          <w:rFonts w:hint="eastAsia" w:ascii="宋体" w:hAnsi="宋体" w:eastAsia="宋体" w:cs="宋体"/>
          <w:b/>
          <w:color w:val="000000" w:themeColor="text1"/>
          <w:sz w:val="24"/>
          <w:highlight w:val="none"/>
          <w14:textFill>
            <w14:solidFill>
              <w14:schemeClr w14:val="tx1"/>
            </w14:solidFill>
          </w14:textFill>
        </w:rPr>
        <w:t>2.9 合同变更</w:t>
      </w:r>
      <w:bookmarkEnd w:id="489"/>
    </w:p>
    <w:p w14:paraId="3FF70765">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2949F6FA">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90" w:name="_Toc21830"/>
      <w:bookmarkStart w:id="491" w:name="_Toc10663"/>
      <w:bookmarkStart w:id="492" w:name="_Toc23368"/>
      <w:bookmarkStart w:id="493" w:name="_Toc42"/>
      <w:bookmarkStart w:id="494" w:name="_Toc26689"/>
      <w:r>
        <w:rPr>
          <w:rFonts w:hint="eastAsia" w:ascii="宋体" w:hAnsi="宋体" w:eastAsia="宋体" w:cs="宋体"/>
          <w:b/>
          <w:color w:val="000000" w:themeColor="text1"/>
          <w:sz w:val="24"/>
          <w:highlight w:val="none"/>
          <w14:textFill>
            <w14:solidFill>
              <w14:schemeClr w14:val="tx1"/>
            </w14:solidFill>
          </w14:textFill>
        </w:rPr>
        <w:t>2.10 合同转让和分包</w:t>
      </w:r>
      <w:bookmarkEnd w:id="490"/>
      <w:bookmarkEnd w:id="491"/>
      <w:bookmarkEnd w:id="492"/>
      <w:bookmarkEnd w:id="493"/>
      <w:bookmarkEnd w:id="494"/>
    </w:p>
    <w:p w14:paraId="4C2141A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1D3E58C">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95" w:name="_Toc25571"/>
      <w:bookmarkStart w:id="496" w:name="_Toc32494"/>
      <w:bookmarkStart w:id="497" w:name="_Toc4720"/>
      <w:bookmarkStart w:id="498" w:name="_Toc26633"/>
      <w:bookmarkStart w:id="499" w:name="_Toc14371"/>
      <w:r>
        <w:rPr>
          <w:rFonts w:hint="eastAsia" w:ascii="宋体" w:hAnsi="宋体" w:eastAsia="宋体" w:cs="宋体"/>
          <w:b/>
          <w:color w:val="000000" w:themeColor="text1"/>
          <w:sz w:val="24"/>
          <w:highlight w:val="none"/>
          <w14:textFill>
            <w14:solidFill>
              <w14:schemeClr w14:val="tx1"/>
            </w14:solidFill>
          </w14:textFill>
        </w:rPr>
        <w:t>2.11 不可抗力</w:t>
      </w:r>
      <w:bookmarkEnd w:id="495"/>
      <w:bookmarkEnd w:id="496"/>
      <w:bookmarkEnd w:id="497"/>
      <w:bookmarkEnd w:id="498"/>
      <w:bookmarkEnd w:id="499"/>
    </w:p>
    <w:p w14:paraId="09193E7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14:paraId="4872576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2.11.2 因不可抗力致使不能实现合同目的的，当事人可以解除合同；</w:t>
      </w:r>
    </w:p>
    <w:p w14:paraId="0C4AE25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2.11.3 因不可抗力致使合同有变更必要的，双方当事人应在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约定时间内以书面形式变更合同；</w:t>
      </w:r>
    </w:p>
    <w:p w14:paraId="6FF5E38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2.11.4受不可抗力影响的一方在不可抗力发生后，应在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约定时间内，将有关部门出具的证明文件送达对方当事人。</w:t>
      </w:r>
    </w:p>
    <w:p w14:paraId="0F878959">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00" w:name="_Toc24465"/>
      <w:bookmarkStart w:id="501" w:name="_Toc3638"/>
      <w:bookmarkStart w:id="502" w:name="_Toc23854"/>
      <w:bookmarkStart w:id="503" w:name="_Toc25783"/>
      <w:bookmarkStart w:id="504" w:name="_Toc14115"/>
      <w:r>
        <w:rPr>
          <w:rFonts w:hint="eastAsia" w:ascii="宋体" w:hAnsi="宋体" w:eastAsia="宋体" w:cs="宋体"/>
          <w:b/>
          <w:color w:val="000000" w:themeColor="text1"/>
          <w:sz w:val="24"/>
          <w:highlight w:val="none"/>
          <w14:textFill>
            <w14:solidFill>
              <w14:schemeClr w14:val="tx1"/>
            </w14:solidFill>
          </w14:textFill>
        </w:rPr>
        <w:t>2.12 税费</w:t>
      </w:r>
      <w:bookmarkEnd w:id="500"/>
      <w:bookmarkEnd w:id="501"/>
      <w:bookmarkEnd w:id="502"/>
      <w:bookmarkEnd w:id="503"/>
      <w:bookmarkEnd w:id="504"/>
    </w:p>
    <w:p w14:paraId="1A4BA975">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与合同有关的一切税费，均按照中华人民共和国法律的相关规定缴纳。</w:t>
      </w:r>
    </w:p>
    <w:p w14:paraId="07418C48">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05" w:name="_Toc30105"/>
      <w:bookmarkStart w:id="506" w:name="_Toc7315"/>
      <w:bookmarkStart w:id="507" w:name="_Toc25525"/>
      <w:bookmarkStart w:id="508" w:name="_Toc14814"/>
      <w:bookmarkStart w:id="509" w:name="_Toc26883"/>
      <w:r>
        <w:rPr>
          <w:rFonts w:hint="eastAsia" w:ascii="宋体" w:hAnsi="宋体" w:eastAsia="宋体" w:cs="宋体"/>
          <w:b/>
          <w:color w:val="000000" w:themeColor="text1"/>
          <w:sz w:val="24"/>
          <w:highlight w:val="none"/>
          <w14:textFill>
            <w14:solidFill>
              <w14:schemeClr w14:val="tx1"/>
            </w14:solidFill>
          </w14:textFill>
        </w:rPr>
        <w:t>2.13 乙方破产</w:t>
      </w:r>
      <w:bookmarkEnd w:id="505"/>
      <w:bookmarkEnd w:id="506"/>
      <w:bookmarkEnd w:id="507"/>
      <w:bookmarkEnd w:id="508"/>
      <w:bookmarkEnd w:id="509"/>
    </w:p>
    <w:p w14:paraId="2BEC1965">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D81D2B0">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10" w:name="_Toc2016"/>
      <w:bookmarkStart w:id="511" w:name="_Toc23323"/>
      <w:bookmarkStart w:id="512" w:name="_Toc1123"/>
      <w:r>
        <w:rPr>
          <w:rFonts w:hint="eastAsia" w:ascii="宋体" w:hAnsi="宋体" w:eastAsia="宋体" w:cs="宋体"/>
          <w:b/>
          <w:color w:val="000000" w:themeColor="text1"/>
          <w:sz w:val="24"/>
          <w:highlight w:val="none"/>
          <w14:textFill>
            <w14:solidFill>
              <w14:schemeClr w14:val="tx1"/>
            </w14:solidFill>
          </w14:textFill>
        </w:rPr>
        <w:t>2.14 合同中止、终止</w:t>
      </w:r>
      <w:bookmarkEnd w:id="510"/>
      <w:bookmarkEnd w:id="511"/>
      <w:bookmarkEnd w:id="512"/>
    </w:p>
    <w:p w14:paraId="3B15BB54">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2.14.1 双方当事人不得擅自中止或者终止合同；</w:t>
      </w:r>
    </w:p>
    <w:p w14:paraId="7F3777A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61F05CD5">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13" w:name="_Toc14525"/>
      <w:bookmarkStart w:id="514" w:name="_Toc17363"/>
      <w:bookmarkStart w:id="515" w:name="_Toc1969"/>
      <w:r>
        <w:rPr>
          <w:rFonts w:hint="eastAsia" w:ascii="宋体" w:hAnsi="宋体" w:eastAsia="宋体" w:cs="宋体"/>
          <w:b/>
          <w:color w:val="000000" w:themeColor="text1"/>
          <w:sz w:val="24"/>
          <w:highlight w:val="none"/>
          <w14:textFill>
            <w14:solidFill>
              <w14:schemeClr w14:val="tx1"/>
            </w14:solidFill>
          </w14:textFill>
        </w:rPr>
        <w:t>2.15 检验和验收</w:t>
      </w:r>
      <w:bookmarkEnd w:id="513"/>
      <w:bookmarkEnd w:id="514"/>
      <w:bookmarkEnd w:id="515"/>
    </w:p>
    <w:p w14:paraId="18B1278D">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2.15.1 乙方按照</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的约定，定期提交服务报告，甲方按照</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的约定进行定期验收；</w:t>
      </w:r>
    </w:p>
    <w:p w14:paraId="07633381">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64A4854">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2.15.3 检验和验收标准、程序等具体内容以及前述验收书的效力详见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i/>
          <w:color w:val="000000" w:themeColor="text1"/>
          <w:sz w:val="24"/>
          <w:highlight w:val="none"/>
          <w14:textFill>
            <w14:solidFill>
              <w14:schemeClr w14:val="tx1"/>
            </w14:solidFill>
          </w14:textFill>
        </w:rPr>
        <w:t>。</w:t>
      </w:r>
    </w:p>
    <w:p w14:paraId="4035A3E3">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16" w:name="_Toc9808"/>
      <w:bookmarkStart w:id="517" w:name="_Toc25198"/>
      <w:bookmarkStart w:id="518" w:name="_Toc31892"/>
      <w:bookmarkStart w:id="519" w:name="_Toc2308"/>
      <w:bookmarkStart w:id="520" w:name="_Toc12666"/>
      <w:r>
        <w:rPr>
          <w:rFonts w:hint="eastAsia" w:ascii="宋体" w:hAnsi="宋体" w:eastAsia="宋体" w:cs="宋体"/>
          <w:b/>
          <w:color w:val="000000" w:themeColor="text1"/>
          <w:sz w:val="24"/>
          <w:highlight w:val="none"/>
          <w14:textFill>
            <w14:solidFill>
              <w14:schemeClr w14:val="tx1"/>
            </w14:solidFill>
          </w14:textFill>
        </w:rPr>
        <w:t>2.16 通知和送达</w:t>
      </w:r>
      <w:bookmarkEnd w:id="516"/>
      <w:bookmarkEnd w:id="517"/>
      <w:bookmarkEnd w:id="518"/>
      <w:bookmarkEnd w:id="519"/>
      <w:bookmarkEnd w:id="520"/>
    </w:p>
    <w:p w14:paraId="5B9AF6B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21" w:name="_Toc27674"/>
      <w:bookmarkStart w:id="522" w:name="_Toc18401"/>
      <w:r>
        <w:rPr>
          <w:rFonts w:hint="eastAsia" w:ascii="宋体" w:hAnsi="宋体" w:eastAsia="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sz w:val="24"/>
          <w:highlight w:val="none"/>
          <w:u w:val="singl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3AC6743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1"/>
      <w:bookmarkEnd w:id="522"/>
    </w:p>
    <w:p w14:paraId="19FE890F">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23" w:name="_Toc28906"/>
      <w:bookmarkStart w:id="524" w:name="_Toc27644"/>
      <w:bookmarkStart w:id="525" w:name="_Toc12254"/>
      <w:bookmarkStart w:id="526" w:name="_Toc20808"/>
      <w:bookmarkStart w:id="527" w:name="_Toc5063"/>
      <w:r>
        <w:rPr>
          <w:rFonts w:hint="eastAsia" w:ascii="宋体" w:hAnsi="宋体" w:eastAsia="宋体" w:cs="宋体"/>
          <w:b/>
          <w:color w:val="000000" w:themeColor="text1"/>
          <w:sz w:val="24"/>
          <w:highlight w:val="none"/>
          <w14:textFill>
            <w14:solidFill>
              <w14:schemeClr w14:val="tx1"/>
            </w14:solidFill>
          </w14:textFill>
        </w:rPr>
        <w:t>2.17 合同使用的文字和适用的法律</w:t>
      </w:r>
      <w:bookmarkEnd w:id="523"/>
      <w:bookmarkEnd w:id="524"/>
      <w:bookmarkEnd w:id="525"/>
      <w:bookmarkEnd w:id="526"/>
      <w:bookmarkEnd w:id="527"/>
    </w:p>
    <w:p w14:paraId="54B384C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2.17.1 合同使用汉语书就、变更和解释；</w:t>
      </w:r>
    </w:p>
    <w:p w14:paraId="447736D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2.17.2 合同适用中华人民共和国法律。</w:t>
      </w:r>
    </w:p>
    <w:p w14:paraId="133823F9">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28" w:name="_Toc30599"/>
      <w:bookmarkStart w:id="529" w:name="_Toc4355"/>
      <w:bookmarkStart w:id="530" w:name="_Toc18540"/>
      <w:r>
        <w:rPr>
          <w:rFonts w:hint="eastAsia" w:ascii="宋体" w:hAnsi="宋体" w:eastAsia="宋体" w:cs="宋体"/>
          <w:b/>
          <w:color w:val="000000" w:themeColor="text1"/>
          <w:sz w:val="24"/>
          <w:highlight w:val="none"/>
          <w14:textFill>
            <w14:solidFill>
              <w14:schemeClr w14:val="tx1"/>
            </w14:solidFill>
          </w14:textFill>
        </w:rPr>
        <w:t>2.18 计量单位</w:t>
      </w:r>
      <w:bookmarkEnd w:id="528"/>
      <w:bookmarkEnd w:id="529"/>
      <w:bookmarkEnd w:id="530"/>
    </w:p>
    <w:p w14:paraId="43660CA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除技术规范中另有规定外，合同的计量单位均使用国家法定计量单位。</w:t>
      </w:r>
    </w:p>
    <w:p w14:paraId="1589B4C4">
      <w:pPr>
        <w:spacing w:line="560" w:lineRule="exact"/>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2.19合同份数</w:t>
      </w:r>
    </w:p>
    <w:p w14:paraId="0A235CD6">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合同份数按</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规定，每份均具有同等法律效力。</w:t>
      </w:r>
    </w:p>
    <w:p w14:paraId="1D786843">
      <w:pPr>
        <w:spacing w:line="360" w:lineRule="auto"/>
        <w:jc w:val="center"/>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br w:type="page"/>
      </w:r>
      <w:bookmarkStart w:id="531" w:name="_Toc331685784"/>
      <w:r>
        <w:rPr>
          <w:rFonts w:hint="eastAsia" w:ascii="宋体" w:hAnsi="宋体" w:eastAsia="宋体" w:cs="宋体"/>
          <w:b/>
          <w:color w:val="000000" w:themeColor="text1"/>
          <w:sz w:val="24"/>
          <w:highlight w:val="none"/>
          <w14:textFill>
            <w14:solidFill>
              <w14:schemeClr w14:val="tx1"/>
            </w14:solidFill>
          </w14:textFill>
        </w:rPr>
        <w:t xml:space="preserve"> </w:t>
      </w:r>
      <w:bookmarkEnd w:id="531"/>
      <w:r>
        <w:rPr>
          <w:rFonts w:hint="eastAsia" w:ascii="宋体" w:hAnsi="宋体" w:eastAsia="宋体" w:cs="宋体"/>
          <w:b/>
          <w:color w:val="000000" w:themeColor="text1"/>
          <w:sz w:val="24"/>
          <w:highlight w:val="none"/>
          <w14:textFill>
            <w14:solidFill>
              <w14:schemeClr w14:val="tx1"/>
            </w14:solidFill>
          </w14:textFill>
        </w:rPr>
        <w:t>第三部分  合同专用条款</w:t>
      </w:r>
    </w:p>
    <w:p w14:paraId="7676DBB6">
      <w:pPr>
        <w:spacing w:line="560" w:lineRule="exact"/>
        <w:ind w:left="-420" w:leftChars="-200" w:right="-420" w:rightChars="-20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89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64"/>
        <w:gridCol w:w="9058"/>
        <w:gridCol w:w="8046"/>
      </w:tblGrid>
      <w:tr w14:paraId="2BA25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90" w:hRule="atLeast"/>
        </w:trPr>
        <w:tc>
          <w:tcPr>
            <w:tcW w:w="267" w:type="pct"/>
            <w:tcBorders>
              <w:left w:val="single" w:color="auto" w:sz="4" w:space="0"/>
            </w:tcBorders>
            <w:vAlign w:val="center"/>
          </w:tcPr>
          <w:p w14:paraId="5B433809">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条款号</w:t>
            </w:r>
          </w:p>
        </w:tc>
        <w:tc>
          <w:tcPr>
            <w:tcW w:w="2506" w:type="pct"/>
            <w:vAlign w:val="center"/>
          </w:tcPr>
          <w:p w14:paraId="463F65DF">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约定内容</w:t>
            </w:r>
          </w:p>
        </w:tc>
      </w:tr>
      <w:tr w14:paraId="56900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3BBC0BB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1.3.2</w:t>
            </w:r>
          </w:p>
        </w:tc>
        <w:tc>
          <w:tcPr>
            <w:tcW w:w="2506" w:type="pct"/>
            <w:vAlign w:val="center"/>
          </w:tcPr>
          <w:p w14:paraId="70D4C6F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14:paraId="3E8B4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2D0B4F7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1.4.2</w:t>
            </w:r>
          </w:p>
        </w:tc>
        <w:tc>
          <w:tcPr>
            <w:tcW w:w="2506" w:type="pct"/>
            <w:vAlign w:val="center"/>
          </w:tcPr>
          <w:p w14:paraId="6E50B44C">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本项目不收取履约保证金。</w:t>
            </w:r>
          </w:p>
        </w:tc>
      </w:tr>
      <w:tr w14:paraId="6F683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24B91AA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1.5.1 </w:t>
            </w:r>
          </w:p>
        </w:tc>
        <w:tc>
          <w:tcPr>
            <w:tcW w:w="2506" w:type="pct"/>
            <w:vAlign w:val="center"/>
          </w:tcPr>
          <w:p w14:paraId="383E4B2E">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kern w:val="0"/>
                <w:sz w:val="24"/>
              </w:rPr>
              <w:t>预付款比例、支付方式、时间：</w:t>
            </w:r>
            <w:r>
              <w:rPr>
                <w:rStyle w:val="356"/>
                <w:rFonts w:hint="eastAsia" w:ascii="宋体" w:hAnsi="宋体" w:cs="宋体"/>
                <w:b w:val="0"/>
                <w:bCs w:val="0"/>
                <w:color w:val="auto"/>
              </w:rPr>
              <w:t>签订合同后7个工作日内支付一年合同价的50%预付款（</w:t>
            </w:r>
            <w:r>
              <w:rPr>
                <w:rStyle w:val="356"/>
                <w:rFonts w:hint="eastAsia" w:ascii="宋体" w:hAnsi="宋体" w:cs="宋体"/>
                <w:b w:val="0"/>
                <w:bCs w:val="0"/>
                <w:color w:val="auto"/>
                <w:lang w:val="en-US"/>
              </w:rPr>
              <w:t>乙方</w:t>
            </w:r>
            <w:r>
              <w:rPr>
                <w:rStyle w:val="356"/>
                <w:rFonts w:hint="eastAsia" w:ascii="宋体" w:hAnsi="宋体" w:cs="宋体"/>
                <w:b w:val="0"/>
                <w:bCs w:val="0"/>
                <w:color w:val="auto"/>
              </w:rPr>
              <w:t>供应商需提供相应金额的预付款保函至</w:t>
            </w:r>
            <w:r>
              <w:rPr>
                <w:rStyle w:val="356"/>
                <w:rFonts w:hint="eastAsia" w:ascii="宋体" w:hAnsi="宋体" w:cs="宋体"/>
                <w:b w:val="0"/>
                <w:bCs w:val="0"/>
                <w:color w:val="auto"/>
                <w:lang w:val="en-US"/>
              </w:rPr>
              <w:t>甲方</w:t>
            </w:r>
            <w:r>
              <w:rPr>
                <w:rStyle w:val="356"/>
                <w:rFonts w:hint="eastAsia" w:ascii="宋体" w:hAnsi="宋体" w:cs="宋体"/>
                <w:b w:val="0"/>
                <w:bCs w:val="0"/>
                <w:color w:val="auto"/>
              </w:rPr>
              <w:t>）</w:t>
            </w:r>
            <w:r>
              <w:rPr>
                <w:rFonts w:hint="eastAsia" w:ascii="宋体" w:hAnsi="宋体" w:eastAsia="宋体" w:cs="宋体"/>
                <w:kern w:val="0"/>
                <w:sz w:val="24"/>
                <w:lang w:eastAsia="zh-CN"/>
              </w:rPr>
              <w:t>。</w:t>
            </w:r>
          </w:p>
        </w:tc>
      </w:tr>
      <w:tr w14:paraId="2DEE8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267" w:type="pct"/>
            <w:tcBorders>
              <w:top w:val="nil"/>
              <w:left w:val="nil"/>
              <w:bottom w:val="nil"/>
            </w:tcBorders>
            <w:vAlign w:val="center"/>
          </w:tcPr>
          <w:p w14:paraId="4347E58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1.5.2</w:t>
            </w:r>
          </w:p>
        </w:tc>
        <w:tc>
          <w:tcPr>
            <w:tcW w:w="2506" w:type="pct"/>
            <w:tcBorders>
              <w:top w:val="nil"/>
              <w:bottom w:val="nil"/>
            </w:tcBorders>
            <w:vAlign w:val="center"/>
          </w:tcPr>
          <w:p w14:paraId="61E5C24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z w:val="24"/>
              </w:rPr>
              <w:t>预付款的扣回方式：抵扣项目款</w:t>
            </w:r>
          </w:p>
        </w:tc>
        <w:tc>
          <w:tcPr>
            <w:tcW w:w="2226" w:type="pct"/>
            <w:tcBorders>
              <w:top w:val="nil"/>
              <w:bottom w:val="nil"/>
              <w:right w:val="nil"/>
            </w:tcBorders>
            <w:vAlign w:val="center"/>
          </w:tcPr>
          <w:p w14:paraId="7ADC9E67">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77EF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586050A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1.5.3 </w:t>
            </w:r>
          </w:p>
        </w:tc>
        <w:tc>
          <w:tcPr>
            <w:tcW w:w="2506" w:type="pct"/>
            <w:vAlign w:val="center"/>
          </w:tcPr>
          <w:p w14:paraId="4E3B8B4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z w:val="24"/>
              </w:rPr>
              <w:t>预付款的担保措施：</w:t>
            </w:r>
            <w:r>
              <w:rPr>
                <w:rStyle w:val="356"/>
                <w:rFonts w:hint="eastAsia" w:ascii="宋体" w:hAnsi="宋体" w:eastAsia="宋体" w:cs="宋体"/>
                <w:b w:val="0"/>
                <w:bCs w:val="0"/>
                <w:color w:val="auto"/>
                <w:lang w:val="en-US" w:eastAsia="zh-CN"/>
              </w:rPr>
              <w:t>乙方需提供相应金额的预付款保函至甲方</w:t>
            </w:r>
            <w:r>
              <w:rPr>
                <w:rFonts w:hint="eastAsia" w:ascii="宋体" w:hAnsi="宋体" w:eastAsia="宋体" w:cs="宋体"/>
                <w:sz w:val="24"/>
              </w:rPr>
              <w:t>。</w:t>
            </w:r>
          </w:p>
        </w:tc>
      </w:tr>
      <w:tr w14:paraId="2BC2E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05B0745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w:t>
            </w:r>
          </w:p>
        </w:tc>
        <w:tc>
          <w:tcPr>
            <w:tcW w:w="2506" w:type="pct"/>
            <w:vAlign w:val="center"/>
          </w:tcPr>
          <w:p w14:paraId="23C3040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资金支付的方式、时间和条件：</w:t>
            </w:r>
          </w:p>
          <w:p w14:paraId="6C57ACAF">
            <w:pPr>
              <w:spacing w:line="360" w:lineRule="auto"/>
              <w:ind w:firstLine="480"/>
              <w:jc w:val="left"/>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4"/>
                <w:highlight w:val="none"/>
                <w14:textFill>
                  <w14:solidFill>
                    <w14:schemeClr w14:val="tx1"/>
                  </w14:solidFill>
                </w14:textFill>
              </w:rPr>
              <w:t>根据合同、投标文件等资料进行验收。</w:t>
            </w:r>
          </w:p>
          <w:p w14:paraId="19009FE3">
            <w:pPr>
              <w:spacing w:line="360" w:lineRule="auto"/>
              <w:ind w:firstLine="480"/>
              <w:jc w:val="left"/>
              <w:rPr>
                <w:rFonts w:hint="eastAsia" w:ascii="宋体" w:hAnsi="宋体" w:eastAsia="宋体" w:cs="宋体"/>
                <w:color w:val="000000" w:themeColor="text1"/>
                <w:highlight w:val="none"/>
                <w14:textFill>
                  <w14:solidFill>
                    <w14:schemeClr w14:val="tx1"/>
                  </w14:solidFill>
                </w14:textFill>
              </w:rPr>
            </w:pPr>
            <w:r>
              <w:rPr>
                <w:rStyle w:val="356"/>
                <w:rFonts w:hint="eastAsia" w:ascii="宋体" w:hAnsi="宋体" w:cs="宋体"/>
                <w:b w:val="0"/>
                <w:bCs w:val="0"/>
                <w:color w:val="auto"/>
              </w:rPr>
              <w:t>签订合同后7个工作日内支付一年合同价的50%预付款（</w:t>
            </w:r>
            <w:r>
              <w:rPr>
                <w:rStyle w:val="356"/>
                <w:rFonts w:hint="eastAsia" w:ascii="宋体" w:hAnsi="宋体" w:cs="宋体"/>
                <w:b w:val="0"/>
                <w:bCs w:val="0"/>
                <w:color w:val="auto"/>
                <w:lang w:val="en-US"/>
              </w:rPr>
              <w:t>乙方</w:t>
            </w:r>
            <w:r>
              <w:rPr>
                <w:rStyle w:val="356"/>
                <w:rFonts w:hint="eastAsia" w:ascii="宋体" w:hAnsi="宋体" w:cs="宋体"/>
                <w:b w:val="0"/>
                <w:bCs w:val="0"/>
                <w:color w:val="auto"/>
              </w:rPr>
              <w:t>供应商需提供相应金额的预付款保函至</w:t>
            </w:r>
            <w:r>
              <w:rPr>
                <w:rStyle w:val="356"/>
                <w:rFonts w:hint="eastAsia" w:ascii="宋体" w:hAnsi="宋体" w:cs="宋体"/>
                <w:b w:val="0"/>
                <w:bCs w:val="0"/>
                <w:color w:val="auto"/>
                <w:lang w:val="en-US"/>
              </w:rPr>
              <w:t>甲方</w:t>
            </w:r>
            <w:r>
              <w:rPr>
                <w:rStyle w:val="356"/>
                <w:rFonts w:hint="eastAsia" w:ascii="宋体" w:hAnsi="宋体" w:cs="宋体"/>
                <w:b w:val="0"/>
                <w:bCs w:val="0"/>
                <w:color w:val="auto"/>
              </w:rPr>
              <w:t>）</w:t>
            </w:r>
            <w:r>
              <w:rPr>
                <w:rFonts w:hint="eastAsia" w:ascii="宋体" w:hAnsi="宋体" w:eastAsia="宋体" w:cs="宋体"/>
                <w:b w:val="0"/>
                <w:bCs w:val="0"/>
                <w:color w:val="auto"/>
                <w:sz w:val="24"/>
                <w:lang w:eastAsia="zh-CN"/>
              </w:rPr>
              <w:t>；</w:t>
            </w:r>
            <w:r>
              <w:rPr>
                <w:rFonts w:hint="eastAsia" w:ascii="宋体" w:hAnsi="宋体" w:cs="宋体"/>
                <w:b w:val="0"/>
                <w:bCs w:val="0"/>
                <w:color w:val="auto"/>
                <w:sz w:val="24"/>
                <w:lang w:val="en-US" w:eastAsia="zh-CN"/>
              </w:rPr>
              <w:t>一年</w:t>
            </w:r>
            <w:r>
              <w:rPr>
                <w:rFonts w:hint="eastAsia" w:ascii="宋体" w:hAnsi="宋体" w:cs="宋体"/>
                <w:bCs/>
                <w:color w:val="auto"/>
                <w:sz w:val="24"/>
              </w:rPr>
              <w:t>服务期满经验收合格后</w:t>
            </w:r>
            <w:r>
              <w:rPr>
                <w:rFonts w:hint="eastAsia" w:ascii="宋体" w:hAnsi="宋体" w:cs="宋体"/>
                <w:color w:val="auto"/>
                <w:sz w:val="24"/>
              </w:rPr>
              <w:t>5个工作日内支付一年合同价的50%。</w:t>
            </w:r>
            <w:r>
              <w:rPr>
                <w:rFonts w:hint="eastAsia" w:ascii="宋体" w:hAnsi="宋体" w:eastAsia="宋体" w:cs="宋体"/>
                <w:b w:val="0"/>
                <w:bCs w:val="0"/>
                <w:color w:val="000000" w:themeColor="text1"/>
                <w:sz w:val="24"/>
                <w:highlight w:val="none"/>
                <w14:textFill>
                  <w14:solidFill>
                    <w14:schemeClr w14:val="tx1"/>
                  </w14:solidFill>
                </w14:textFill>
              </w:rPr>
              <w:t>结算时</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4"/>
                <w:highlight w:val="none"/>
                <w14:textFill>
                  <w14:solidFill>
                    <w14:schemeClr w14:val="tx1"/>
                  </w14:solidFill>
                </w14:textFill>
              </w:rPr>
              <w:t>将结款申请1份、发票原件及复印件1份、合同复印件1份和经</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4"/>
                <w:highlight w:val="none"/>
                <w14:textFill>
                  <w14:solidFill>
                    <w14:schemeClr w14:val="tx1"/>
                  </w14:solidFill>
                </w14:textFill>
              </w:rPr>
              <w:t>验收确认的《建德市政府采购验收反馈表》（还需提供验收报告）提交</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4"/>
                <w:highlight w:val="none"/>
                <w14:textFill>
                  <w14:solidFill>
                    <w14:schemeClr w14:val="tx1"/>
                  </w14:solidFill>
                </w14:textFill>
              </w:rPr>
              <w:t>，</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4"/>
                <w:highlight w:val="none"/>
                <w14:textFill>
                  <w14:solidFill>
                    <w14:schemeClr w14:val="tx1"/>
                  </w14:solidFill>
                </w14:textFill>
              </w:rPr>
              <w:t>应自收到发票后5个工作日内支付相应款项。</w:t>
            </w:r>
          </w:p>
        </w:tc>
      </w:tr>
      <w:tr w14:paraId="26F95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6464201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w:t>
            </w:r>
          </w:p>
        </w:tc>
        <w:tc>
          <w:tcPr>
            <w:tcW w:w="2506" w:type="pct"/>
            <w:vAlign w:val="center"/>
          </w:tcPr>
          <w:p w14:paraId="4D88EC11">
            <w:pPr>
              <w:adjustRightInd/>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服务交付（实施）的时间（期限）：</w:t>
            </w:r>
            <w:r>
              <w:rPr>
                <w:rFonts w:hint="eastAsia" w:ascii="宋体" w:hAnsi="宋体" w:eastAsia="宋体" w:cs="宋体"/>
                <w:color w:val="auto"/>
                <w:sz w:val="24"/>
                <w:highlight w:val="none"/>
                <w:lang w:eastAsia="zh-CN"/>
              </w:rPr>
              <w:t>本项目的服务期为一年，自政府采购合同签订生效之日起计算。一年服务期满后，若年度考核平均分达到优秀（90分及以上，考核办法见附件）的，可以按照本次</w:t>
            </w:r>
            <w:r>
              <w:rPr>
                <w:rFonts w:hint="eastAsia" w:ascii="宋体" w:hAnsi="宋体" w:cs="宋体"/>
                <w:bCs/>
                <w:color w:val="000000" w:themeColor="text1"/>
                <w:sz w:val="24"/>
                <w:highlight w:val="none"/>
                <w:lang w:val="en-US" w:eastAsia="zh-CN"/>
                <w14:textFill>
                  <w14:solidFill>
                    <w14:schemeClr w14:val="tx1"/>
                  </w14:solidFill>
                </w14:textFill>
              </w:rPr>
              <w:t>年度</w:t>
            </w:r>
            <w:r>
              <w:rPr>
                <w:rFonts w:hint="eastAsia" w:ascii="宋体" w:hAnsi="宋体" w:eastAsia="宋体" w:cs="宋体"/>
                <w:color w:val="auto"/>
                <w:sz w:val="24"/>
                <w:highlight w:val="none"/>
                <w:lang w:eastAsia="zh-CN"/>
              </w:rPr>
              <w:t>中标价续签一年，续签次数≤2次。除因政策性因素引起改变的，续签合同的主要条款不予调整。</w:t>
            </w:r>
          </w:p>
        </w:tc>
      </w:tr>
      <w:tr w14:paraId="6813A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381" w:hRule="atLeast"/>
        </w:trPr>
        <w:tc>
          <w:tcPr>
            <w:tcW w:w="267" w:type="pct"/>
            <w:tcBorders>
              <w:left w:val="single" w:color="auto" w:sz="4" w:space="0"/>
            </w:tcBorders>
            <w:vAlign w:val="center"/>
          </w:tcPr>
          <w:p w14:paraId="434590C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w:t>
            </w:r>
          </w:p>
        </w:tc>
        <w:tc>
          <w:tcPr>
            <w:tcW w:w="2506" w:type="pct"/>
            <w:vAlign w:val="center"/>
          </w:tcPr>
          <w:p w14:paraId="7478B2E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履约地点：</w:t>
            </w:r>
            <w:r>
              <w:rPr>
                <w:rFonts w:hint="eastAsia" w:ascii="宋体" w:hAnsi="宋体" w:eastAsia="宋体" w:cs="宋体"/>
                <w:color w:val="auto"/>
                <w:sz w:val="24"/>
              </w:rPr>
              <w:t>由甲方指定地点</w:t>
            </w:r>
            <w:r>
              <w:rPr>
                <w:rFonts w:hint="eastAsia" w:ascii="宋体" w:hAnsi="宋体" w:eastAsia="宋体" w:cs="宋体"/>
                <w:color w:val="000000" w:themeColor="text1"/>
                <w:sz w:val="24"/>
                <w:highlight w:val="none"/>
                <w14:textFill>
                  <w14:solidFill>
                    <w14:schemeClr w14:val="tx1"/>
                  </w14:solidFill>
                </w14:textFill>
              </w:rPr>
              <w:t>。</w:t>
            </w:r>
          </w:p>
        </w:tc>
      </w:tr>
      <w:tr w14:paraId="1575B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43EE46D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w:t>
            </w:r>
          </w:p>
        </w:tc>
        <w:tc>
          <w:tcPr>
            <w:tcW w:w="2506" w:type="pct"/>
            <w:vAlign w:val="center"/>
          </w:tcPr>
          <w:p w14:paraId="3B3E49F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履约方式：</w:t>
            </w:r>
            <w:r>
              <w:rPr>
                <w:rFonts w:hint="eastAsia" w:ascii="宋体" w:hAnsi="宋体" w:eastAsia="宋体" w:cs="宋体"/>
                <w:color w:val="auto"/>
                <w:sz w:val="24"/>
              </w:rPr>
              <w:t>按采购需求及投标方案完成本项目并提交相应</w:t>
            </w:r>
            <w:r>
              <w:rPr>
                <w:rFonts w:hint="eastAsia" w:ascii="宋体" w:hAnsi="宋体" w:cs="宋体"/>
                <w:color w:val="auto"/>
                <w:sz w:val="24"/>
                <w:lang w:val="en-US" w:eastAsia="zh-CN"/>
              </w:rPr>
              <w:t>服务</w:t>
            </w:r>
            <w:r>
              <w:rPr>
                <w:rFonts w:hint="eastAsia" w:ascii="宋体" w:hAnsi="宋体" w:eastAsia="宋体" w:cs="宋体"/>
                <w:color w:val="auto"/>
                <w:sz w:val="24"/>
              </w:rPr>
              <w:t>成果</w:t>
            </w:r>
            <w:r>
              <w:rPr>
                <w:rFonts w:hint="eastAsia" w:ascii="宋体" w:hAnsi="宋体" w:eastAsia="宋体" w:cs="宋体"/>
                <w:color w:val="000000" w:themeColor="text1"/>
                <w:sz w:val="24"/>
                <w:highlight w:val="none"/>
                <w14:textFill>
                  <w14:solidFill>
                    <w14:schemeClr w14:val="tx1"/>
                  </w14:solidFill>
                </w14:textFill>
              </w:rPr>
              <w:t>。</w:t>
            </w:r>
          </w:p>
        </w:tc>
      </w:tr>
      <w:tr w14:paraId="05973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69301ED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1.7.4.1</w:t>
            </w:r>
          </w:p>
        </w:tc>
        <w:tc>
          <w:tcPr>
            <w:tcW w:w="2506" w:type="pct"/>
            <w:vAlign w:val="center"/>
          </w:tcPr>
          <w:p w14:paraId="571466FF">
            <w:pPr>
              <w:pStyle w:val="87"/>
              <w:spacing w:line="500" w:lineRule="exact"/>
              <w:ind w:left="0" w:leftChars="0"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cs="宋体"/>
                <w:szCs w:val="28"/>
                <w:highlight w:val="none"/>
                <w:lang w:val="en-US" w:eastAsia="zh-CN"/>
              </w:rPr>
              <w:t>乙方</w:t>
            </w:r>
            <w:r>
              <w:rPr>
                <w:rFonts w:hint="eastAsia" w:eastAsia="宋体" w:cs="宋体"/>
                <w:szCs w:val="28"/>
                <w:highlight w:val="none"/>
              </w:rPr>
              <w:t>签订合同后</w:t>
            </w:r>
            <w:r>
              <w:rPr>
                <w:rFonts w:hint="eastAsia" w:cs="宋体"/>
                <w:szCs w:val="28"/>
                <w:highlight w:val="none"/>
                <w:lang w:val="en-US" w:eastAsia="zh-CN"/>
              </w:rPr>
              <w:t>30</w:t>
            </w:r>
            <w:r>
              <w:rPr>
                <w:rFonts w:hint="eastAsia" w:eastAsia="宋体" w:cs="宋体"/>
                <w:szCs w:val="28"/>
                <w:highlight w:val="none"/>
              </w:rPr>
              <w:t>日历天内（15天内完成选址并经</w:t>
            </w:r>
            <w:r>
              <w:rPr>
                <w:rFonts w:hint="eastAsia" w:cs="宋体"/>
                <w:szCs w:val="28"/>
                <w:highlight w:val="none"/>
                <w:lang w:val="en-US" w:eastAsia="zh-CN"/>
              </w:rPr>
              <w:t>甲方</w:t>
            </w:r>
            <w:r>
              <w:rPr>
                <w:rFonts w:hint="eastAsia" w:eastAsia="宋体" w:cs="宋体"/>
                <w:szCs w:val="28"/>
                <w:highlight w:val="none"/>
              </w:rPr>
              <w:t>确认）完成搭建监控平台和安装相关设备，同时调试成功后开始提供监控服务。</w:t>
            </w:r>
            <w:r>
              <w:rPr>
                <w:rFonts w:hint="eastAsia" w:eastAsia="宋体" w:cs="宋体"/>
                <w:szCs w:val="28"/>
                <w:highlight w:val="none"/>
                <w:lang w:val="en-US" w:eastAsia="zh-CN"/>
              </w:rPr>
              <w:t>如在规定的时间内由于</w:t>
            </w:r>
            <w:r>
              <w:rPr>
                <w:rFonts w:hint="eastAsia" w:cs="宋体"/>
                <w:szCs w:val="28"/>
                <w:highlight w:val="none"/>
                <w:lang w:val="en-US" w:eastAsia="zh-CN"/>
              </w:rPr>
              <w:t>乙方</w:t>
            </w:r>
            <w:r>
              <w:rPr>
                <w:rFonts w:hint="eastAsia" w:eastAsia="宋体" w:cs="宋体"/>
                <w:szCs w:val="28"/>
                <w:highlight w:val="none"/>
                <w:lang w:val="en-US" w:eastAsia="zh-CN"/>
              </w:rPr>
              <w:t>的原因不能完成</w:t>
            </w:r>
            <w:r>
              <w:rPr>
                <w:rFonts w:hint="eastAsia" w:cs="宋体"/>
                <w:szCs w:val="28"/>
                <w:highlight w:val="none"/>
                <w:lang w:val="en-US" w:eastAsia="zh-CN"/>
              </w:rPr>
              <w:t>搭建</w:t>
            </w:r>
            <w:r>
              <w:rPr>
                <w:rFonts w:hint="eastAsia" w:ascii="宋体" w:hAnsi="宋体" w:cs="宋体"/>
                <w:kern w:val="0"/>
                <w:sz w:val="24"/>
                <w:szCs w:val="28"/>
                <w:highlight w:val="none"/>
                <w:lang w:val="en-US" w:eastAsia="zh-CN" w:bidi="ar-SA"/>
              </w:rPr>
              <w:t>、</w:t>
            </w:r>
            <w:r>
              <w:rPr>
                <w:rFonts w:hint="eastAsia" w:ascii="宋体" w:hAnsi="宋体" w:eastAsia="宋体" w:cs="宋体"/>
                <w:kern w:val="0"/>
                <w:sz w:val="24"/>
                <w:szCs w:val="28"/>
                <w:highlight w:val="none"/>
                <w:lang w:val="en-US" w:eastAsia="zh-CN" w:bidi="ar-SA"/>
              </w:rPr>
              <w:t>安装</w:t>
            </w:r>
            <w:r>
              <w:rPr>
                <w:rFonts w:hint="eastAsia" w:cs="宋体"/>
                <w:kern w:val="0"/>
                <w:sz w:val="24"/>
                <w:szCs w:val="28"/>
                <w:highlight w:val="none"/>
                <w:lang w:val="en-US" w:eastAsia="zh-CN" w:bidi="ar-SA"/>
              </w:rPr>
              <w:t>和服务</w:t>
            </w:r>
            <w:r>
              <w:rPr>
                <w:rFonts w:hint="eastAsia" w:eastAsia="宋体" w:cs="宋体"/>
                <w:szCs w:val="28"/>
                <w:highlight w:val="none"/>
                <w:lang w:val="en-US" w:eastAsia="zh-CN"/>
              </w:rPr>
              <w:t>的，</w:t>
            </w:r>
            <w:r>
              <w:rPr>
                <w:rFonts w:hint="eastAsia" w:cs="宋体"/>
                <w:szCs w:val="28"/>
                <w:highlight w:val="none"/>
                <w:lang w:val="en-US" w:eastAsia="zh-CN"/>
              </w:rPr>
              <w:t>乙方</w:t>
            </w:r>
            <w:r>
              <w:rPr>
                <w:rFonts w:hint="eastAsia" w:eastAsia="宋体" w:cs="宋体"/>
                <w:szCs w:val="28"/>
                <w:highlight w:val="none"/>
                <w:lang w:val="en-US" w:eastAsia="zh-CN"/>
              </w:rPr>
              <w:t>应承担由此给</w:t>
            </w:r>
            <w:r>
              <w:rPr>
                <w:rFonts w:hint="eastAsia" w:cs="宋体"/>
                <w:szCs w:val="28"/>
                <w:highlight w:val="none"/>
                <w:lang w:val="en-US" w:eastAsia="zh-CN"/>
              </w:rPr>
              <w:t>甲方</w:t>
            </w:r>
            <w:r>
              <w:rPr>
                <w:rFonts w:hint="eastAsia" w:eastAsia="宋体" w:cs="宋体"/>
                <w:szCs w:val="28"/>
                <w:highlight w:val="none"/>
                <w:lang w:val="en-US" w:eastAsia="zh-CN"/>
              </w:rPr>
              <w:t>造成的损失。</w:t>
            </w:r>
          </w:p>
        </w:tc>
      </w:tr>
      <w:tr w14:paraId="22D38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6921044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1.7.4.2</w:t>
            </w:r>
          </w:p>
        </w:tc>
        <w:tc>
          <w:tcPr>
            <w:tcW w:w="2506" w:type="pct"/>
            <w:vAlign w:val="center"/>
          </w:tcPr>
          <w:p w14:paraId="4D31A3D9">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按招标文件要求的点位</w:t>
            </w:r>
          </w:p>
        </w:tc>
      </w:tr>
      <w:tr w14:paraId="2106F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319" w:hRule="atLeast"/>
        </w:trPr>
        <w:tc>
          <w:tcPr>
            <w:tcW w:w="267" w:type="pct"/>
            <w:tcBorders>
              <w:left w:val="single" w:color="auto" w:sz="4" w:space="0"/>
            </w:tcBorders>
            <w:vAlign w:val="center"/>
          </w:tcPr>
          <w:p w14:paraId="5875D9C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1.7.4.3</w:t>
            </w:r>
          </w:p>
        </w:tc>
        <w:tc>
          <w:tcPr>
            <w:tcW w:w="2506" w:type="pct"/>
            <w:vAlign w:val="center"/>
          </w:tcPr>
          <w:p w14:paraId="12671ECE">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按招标文件要求</w:t>
            </w:r>
            <w:r>
              <w:rPr>
                <w:rFonts w:hint="eastAsia" w:ascii="宋体" w:hAnsi="宋体" w:eastAsia="宋体" w:cs="宋体"/>
                <w:color w:val="000000" w:themeColor="text1"/>
                <w:sz w:val="24"/>
                <w:highlight w:val="none"/>
                <w14:textFill>
                  <w14:solidFill>
                    <w14:schemeClr w14:val="tx1"/>
                  </w14:solidFill>
                </w14:textFill>
              </w:rPr>
              <w:t>完成搭建监控平台和安装相关设备</w:t>
            </w:r>
            <w:r>
              <w:rPr>
                <w:rFonts w:hint="eastAsia" w:ascii="宋体" w:hAnsi="宋体" w:cs="宋体"/>
                <w:color w:val="000000" w:themeColor="text1"/>
                <w:sz w:val="24"/>
                <w:highlight w:val="none"/>
                <w:lang w:eastAsia="zh-CN"/>
                <w14:textFill>
                  <w14:solidFill>
                    <w14:schemeClr w14:val="tx1"/>
                  </w14:solidFill>
                </w14:textFill>
              </w:rPr>
              <w:t>。</w:t>
            </w:r>
          </w:p>
        </w:tc>
      </w:tr>
      <w:tr w14:paraId="40272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4B5C909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1.8.7</w:t>
            </w:r>
          </w:p>
        </w:tc>
        <w:tc>
          <w:tcPr>
            <w:tcW w:w="2506" w:type="pct"/>
            <w:vAlign w:val="center"/>
          </w:tcPr>
          <w:p w14:paraId="7FD605F3">
            <w:pP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tc>
      </w:tr>
      <w:tr w14:paraId="64141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1175" w:hRule="atLeast"/>
        </w:trPr>
        <w:tc>
          <w:tcPr>
            <w:tcW w:w="267" w:type="pct"/>
            <w:tcBorders>
              <w:left w:val="single" w:color="auto" w:sz="4" w:space="0"/>
            </w:tcBorders>
            <w:vAlign w:val="center"/>
          </w:tcPr>
          <w:p w14:paraId="137720F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w:t>
            </w:r>
          </w:p>
        </w:tc>
        <w:tc>
          <w:tcPr>
            <w:tcW w:w="2506" w:type="pct"/>
            <w:vAlign w:val="center"/>
          </w:tcPr>
          <w:p w14:paraId="3CB5A53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本合同履行过程中发生的任何争议，双方当事人均可通过和解或者调解解决；不愿和解、调解或者和解、调解不成的，可以选择以下第1.9.2条款规定的方式解决：</w:t>
            </w:r>
          </w:p>
        </w:tc>
      </w:tr>
      <w:tr w14:paraId="2B3FB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363" w:hRule="atLeast"/>
        </w:trPr>
        <w:tc>
          <w:tcPr>
            <w:tcW w:w="267" w:type="pct"/>
            <w:tcBorders>
              <w:left w:val="single" w:color="auto" w:sz="4" w:space="0"/>
            </w:tcBorders>
            <w:vAlign w:val="center"/>
          </w:tcPr>
          <w:p w14:paraId="1C5FE4B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w:t>
            </w:r>
          </w:p>
        </w:tc>
        <w:tc>
          <w:tcPr>
            <w:tcW w:w="2506" w:type="pct"/>
            <w:vAlign w:val="center"/>
          </w:tcPr>
          <w:p w14:paraId="5E660C1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向</w:t>
            </w:r>
            <w:r>
              <w:rPr>
                <w:rFonts w:hint="eastAsia" w:ascii="宋体" w:hAnsi="宋体" w:eastAsia="宋体" w:cs="宋体"/>
                <w:color w:val="000000" w:themeColor="text1"/>
                <w:sz w:val="24"/>
                <w:highlight w:val="none"/>
                <w:u w:val="single"/>
                <w14:textFill>
                  <w14:solidFill>
                    <w14:schemeClr w14:val="tx1"/>
                  </w14:solidFill>
                </w14:textFill>
              </w:rPr>
              <w:t>建德市人民法院</w:t>
            </w:r>
            <w:r>
              <w:rPr>
                <w:rFonts w:hint="eastAsia" w:ascii="宋体" w:hAnsi="宋体" w:eastAsia="宋体" w:cs="宋体"/>
                <w:color w:val="000000" w:themeColor="text1"/>
                <w:sz w:val="24"/>
                <w:highlight w:val="none"/>
                <w14:textFill>
                  <w14:solidFill>
                    <w14:schemeClr w14:val="tx1"/>
                  </w14:solidFill>
                </w14:textFill>
              </w:rPr>
              <w:t>起诉</w:t>
            </w:r>
          </w:p>
        </w:tc>
      </w:tr>
      <w:tr w14:paraId="61976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298" w:hRule="atLeast"/>
        </w:trPr>
        <w:tc>
          <w:tcPr>
            <w:tcW w:w="267" w:type="pct"/>
            <w:tcBorders>
              <w:left w:val="single" w:color="auto" w:sz="4" w:space="0"/>
            </w:tcBorders>
            <w:vAlign w:val="center"/>
          </w:tcPr>
          <w:p w14:paraId="20CB7FB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w:t>
            </w:r>
          </w:p>
        </w:tc>
        <w:tc>
          <w:tcPr>
            <w:tcW w:w="2506" w:type="pct"/>
            <w:vAlign w:val="center"/>
          </w:tcPr>
          <w:p w14:paraId="348F898F">
            <w:pPr>
              <w:spacing w:line="360" w:lineRule="auto"/>
              <w:rPr>
                <w:rFonts w:hint="eastAsia" w:ascii="宋体" w:hAnsi="宋体" w:eastAsia="宋体" w:cs="宋体"/>
                <w:color w:val="auto"/>
                <w:sz w:val="24"/>
              </w:rPr>
            </w:pPr>
            <w:r>
              <w:rPr>
                <w:rFonts w:hint="eastAsia" w:ascii="宋体" w:hAnsi="宋体" w:eastAsia="宋体" w:cs="宋体"/>
                <w:color w:val="000000" w:themeColor="text1"/>
                <w:sz w:val="24"/>
                <w:highlight w:val="none"/>
                <w14:textFill>
                  <w14:solidFill>
                    <w14:schemeClr w14:val="tx1"/>
                  </w14:solidFill>
                </w14:textFill>
              </w:rPr>
              <w:t>知识产权归属：</w:t>
            </w:r>
            <w:r>
              <w:rPr>
                <w:rFonts w:hint="eastAsia" w:ascii="宋体" w:hAnsi="宋体" w:eastAsia="宋体" w:cs="宋体"/>
                <w:color w:val="auto"/>
                <w:sz w:val="24"/>
              </w:rPr>
              <w:t>1.乙方在提供服务过程中获得的一切成果，均归甲方所有，乙方不得侵犯任何甲方的知识产权，否则乙方应承担由此产生的一切责任。</w:t>
            </w:r>
          </w:p>
          <w:p w14:paraId="66755D0C">
            <w:pPr>
              <w:spacing w:line="360" w:lineRule="auto"/>
              <w:rPr>
                <w:rFonts w:hint="eastAsia" w:ascii="宋体" w:hAnsi="宋体" w:eastAsia="宋体" w:cs="宋体"/>
                <w:color w:val="auto"/>
                <w:sz w:val="24"/>
              </w:rPr>
            </w:pPr>
            <w:r>
              <w:rPr>
                <w:rFonts w:hint="eastAsia" w:ascii="宋体" w:hAnsi="宋体" w:eastAsia="宋体" w:cs="宋体"/>
                <w:color w:val="auto"/>
                <w:sz w:val="24"/>
              </w:rPr>
              <w:t>2.乙方负有保密义务。本项目资料所有权属甲方所有，各种数据资料、纸质资料等项目资料在项目结束时都必须完整完全移交，乙方不得下载、留存、持有和使用任何信息，更不得提供给任何第三方，每发现一次按合同总价的20%向甲方支付违约金，如给甲方造成损失的应全额赔偿。对</w:t>
            </w:r>
            <w:r>
              <w:rPr>
                <w:rFonts w:hint="eastAsia" w:ascii="宋体" w:hAnsi="宋体" w:eastAsia="宋体" w:cs="宋体"/>
                <w:color w:val="auto"/>
                <w:sz w:val="24"/>
                <w:lang w:val="en-US" w:eastAsia="zh-CN"/>
              </w:rPr>
              <w:t>本项目的任何数据</w:t>
            </w:r>
            <w:r>
              <w:rPr>
                <w:rFonts w:hint="eastAsia" w:ascii="宋体" w:hAnsi="宋体" w:eastAsia="宋体" w:cs="宋体"/>
                <w:color w:val="auto"/>
                <w:sz w:val="24"/>
              </w:rPr>
              <w:t>，乙方亦负有保密义务，未经甲方事先书面同意不得向任何第三方披露，否则应承担由此产生的法律责任。乙方应及时与甲方签署《保密协议》。</w:t>
            </w:r>
          </w:p>
          <w:p w14:paraId="72D15537">
            <w:pP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auto"/>
                <w:sz w:val="24"/>
              </w:rPr>
              <w:t>3.乙方的保密义务长期有效，不因本合同的终止而终止。</w:t>
            </w:r>
          </w:p>
        </w:tc>
      </w:tr>
      <w:tr w14:paraId="250A1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272" w:hRule="atLeast"/>
        </w:trPr>
        <w:tc>
          <w:tcPr>
            <w:tcW w:w="267" w:type="pct"/>
            <w:tcBorders>
              <w:left w:val="single" w:color="auto" w:sz="4" w:space="0"/>
            </w:tcBorders>
            <w:vAlign w:val="center"/>
          </w:tcPr>
          <w:p w14:paraId="4032D87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w:t>
            </w:r>
          </w:p>
        </w:tc>
        <w:tc>
          <w:tcPr>
            <w:tcW w:w="2506" w:type="pct"/>
            <w:vAlign w:val="center"/>
          </w:tcPr>
          <w:p w14:paraId="2F4FCCF2">
            <w:pPr>
              <w:spacing w:line="360" w:lineRule="auto"/>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14:paraId="5CF16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60895C3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2.11.3</w:t>
            </w:r>
          </w:p>
        </w:tc>
        <w:tc>
          <w:tcPr>
            <w:tcW w:w="2506" w:type="pct"/>
            <w:vAlign w:val="center"/>
          </w:tcPr>
          <w:p w14:paraId="1FA05A0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因不可抗力致使合同有变更必要的，双方当事人应在</w:t>
            </w:r>
            <w:r>
              <w:rPr>
                <w:rFonts w:hint="eastAsia" w:ascii="宋体" w:hAnsi="宋体" w:eastAsia="宋体" w:cs="宋体"/>
                <w:b/>
                <w:bCs/>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日内以书面形式变更合同。</w:t>
            </w:r>
          </w:p>
        </w:tc>
      </w:tr>
      <w:tr w14:paraId="1080E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tcPr>
          <w:p w14:paraId="3E87FCD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2.11.4 </w:t>
            </w:r>
          </w:p>
        </w:tc>
        <w:tc>
          <w:tcPr>
            <w:tcW w:w="2506" w:type="pct"/>
          </w:tcPr>
          <w:p w14:paraId="1767F2A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受不可抗力影响的一方在不可抗力发生后，应在7日内以书面形式通知对方当事人，并在14日内，将有关部门出具的证明文件送达对方当事人。</w:t>
            </w:r>
          </w:p>
        </w:tc>
      </w:tr>
      <w:tr w14:paraId="0732B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798" w:hRule="atLeast"/>
        </w:trPr>
        <w:tc>
          <w:tcPr>
            <w:tcW w:w="267" w:type="pct"/>
            <w:tcBorders>
              <w:left w:val="single" w:color="auto" w:sz="4" w:space="0"/>
            </w:tcBorders>
            <w:vAlign w:val="center"/>
          </w:tcPr>
          <w:p w14:paraId="1C79C98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2.15.1</w:t>
            </w:r>
          </w:p>
        </w:tc>
        <w:tc>
          <w:tcPr>
            <w:tcW w:w="2506" w:type="pct"/>
            <w:vAlign w:val="center"/>
          </w:tcPr>
          <w:p w14:paraId="4306635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乙方按照</w:t>
            </w:r>
            <w:r>
              <w:rPr>
                <w:rFonts w:hint="eastAsia" w:ascii="宋体" w:hAnsi="宋体" w:eastAsia="宋体" w:cs="宋体"/>
                <w:color w:val="000000" w:themeColor="text1"/>
                <w:sz w:val="24"/>
                <w:highlight w:val="none"/>
                <w:u w:val="single"/>
                <w14:textFill>
                  <w14:solidFill>
                    <w14:schemeClr w14:val="tx1"/>
                  </w14:solidFill>
                </w14:textFill>
              </w:rPr>
              <w:t>招标文件</w:t>
            </w:r>
            <w:r>
              <w:rPr>
                <w:rFonts w:hint="eastAsia" w:ascii="宋体" w:hAnsi="宋体" w:eastAsia="宋体" w:cs="宋体"/>
                <w:color w:val="000000" w:themeColor="text1"/>
                <w:sz w:val="24"/>
                <w:highlight w:val="none"/>
                <w14:textFill>
                  <w14:solidFill>
                    <w14:schemeClr w14:val="tx1"/>
                  </w14:solidFill>
                </w14:textFill>
              </w:rPr>
              <w:t>的约定，定期提交服务</w:t>
            </w:r>
            <w:r>
              <w:rPr>
                <w:rFonts w:hint="eastAsia" w:ascii="宋体" w:hAnsi="宋体" w:eastAsia="宋体" w:cs="宋体"/>
                <w:color w:val="000000" w:themeColor="text1"/>
                <w:sz w:val="24"/>
                <w:highlight w:val="none"/>
                <w:lang w:val="en-US" w:eastAsia="zh-CN"/>
                <w14:textFill>
                  <w14:solidFill>
                    <w14:schemeClr w14:val="tx1"/>
                  </w14:solidFill>
                </w14:textFill>
              </w:rPr>
              <w:t>成果</w:t>
            </w:r>
            <w:r>
              <w:rPr>
                <w:rFonts w:hint="eastAsia" w:ascii="宋体" w:hAnsi="宋体" w:eastAsia="宋体" w:cs="宋体"/>
                <w:color w:val="000000" w:themeColor="text1"/>
                <w:sz w:val="24"/>
                <w:highlight w:val="none"/>
                <w14:textFill>
                  <w14:solidFill>
                    <w14:schemeClr w14:val="tx1"/>
                  </w14:solidFill>
                </w14:textFill>
              </w:rPr>
              <w:t>，服务结束时，</w:t>
            </w:r>
            <w:r>
              <w:rPr>
                <w:rFonts w:hint="eastAsia" w:ascii="宋体" w:hAnsi="宋体" w:eastAsia="宋体" w:cs="宋体"/>
                <w:color w:val="000000" w:themeColor="text1"/>
                <w:sz w:val="24"/>
                <w:highlight w:val="none"/>
                <w:lang w:val="en-US"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日内组织验收，并可依法邀请相关方参加。</w:t>
            </w:r>
          </w:p>
        </w:tc>
      </w:tr>
      <w:tr w14:paraId="434C8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2A8349F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2.15.3</w:t>
            </w:r>
          </w:p>
        </w:tc>
        <w:tc>
          <w:tcPr>
            <w:tcW w:w="2506" w:type="pct"/>
            <w:vAlign w:val="center"/>
          </w:tcPr>
          <w:p w14:paraId="347220B3">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检验和验收标准、程序等具体内容：</w:t>
            </w:r>
          </w:p>
          <w:p w14:paraId="13C60766">
            <w:pPr>
              <w:pStyle w:val="791"/>
              <w:adjustRightInd w:val="0"/>
              <w:snapToGrid w:val="0"/>
              <w:spacing w:line="400" w:lineRule="exact"/>
              <w:ind w:left="0" w:leftChars="0" w:right="139" w:rightChars="66"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供货方应提供系统设备的有效检验材料，经采购单位认可后，与合同的技术指标一起作为验收标准。采购单位对系统设备验收合格后，在《建德市政府采购验收反馈表》上签署意见并加盖单位公章。验收中发现系统设备达不到验收标准或合同规定的技术指标，卖方必须更换，并负担由此给用户造成的损失，直到验收合格为止。</w:t>
            </w:r>
          </w:p>
          <w:p w14:paraId="48695EE0">
            <w:pPr>
              <w:pStyle w:val="791"/>
              <w:adjustRightInd w:val="0"/>
              <w:snapToGrid w:val="0"/>
              <w:spacing w:line="400" w:lineRule="exact"/>
              <w:ind w:left="0" w:leftChars="0" w:right="139" w:rightChars="66"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（2）投标方应于投标书中提供系统设备的验收标准和检测办法，并在验收中提供买方认可的相应检测手段，验收标准应符合中国有关的国家、地方、行业的标准，如若中标，经买方确认后作为验收的依据。</w:t>
            </w:r>
          </w:p>
          <w:p w14:paraId="459FAEEB">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（3）验收费用由产品供应商承担。</w:t>
            </w:r>
          </w:p>
        </w:tc>
      </w:tr>
      <w:tr w14:paraId="1EBEF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352" w:hRule="atLeast"/>
        </w:trPr>
        <w:tc>
          <w:tcPr>
            <w:tcW w:w="267" w:type="pct"/>
            <w:tcBorders>
              <w:left w:val="single" w:color="auto" w:sz="4" w:space="0"/>
            </w:tcBorders>
          </w:tcPr>
          <w:p w14:paraId="3F4CD01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2.19</w:t>
            </w:r>
          </w:p>
        </w:tc>
        <w:tc>
          <w:tcPr>
            <w:tcW w:w="2506" w:type="pct"/>
          </w:tcPr>
          <w:p w14:paraId="62DB675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合同份数：本合同壹式伍份，甲、乙双方各执贰份，见证单位壹份。</w:t>
            </w:r>
          </w:p>
        </w:tc>
      </w:tr>
    </w:tbl>
    <w:p w14:paraId="4912E2B9">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p>
    <w:p w14:paraId="108FA715">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p>
    <w:p w14:paraId="5A49D176">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p>
    <w:p w14:paraId="04A916B0">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p>
    <w:p w14:paraId="6EA6CED0">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p>
    <w:p w14:paraId="609A4DB6">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w:t>
      </w:r>
      <w:bookmarkEnd w:id="416"/>
      <w:r>
        <w:rPr>
          <w:rFonts w:hint="eastAsia" w:ascii="宋体" w:hAnsi="宋体" w:eastAsia="宋体" w:cs="宋体"/>
          <w:b/>
          <w:color w:val="000000" w:themeColor="text1"/>
          <w:sz w:val="36"/>
          <w:szCs w:val="20"/>
          <w:highlight w:val="none"/>
          <w14:textFill>
            <w14:solidFill>
              <w14:schemeClr w14:val="tx1"/>
            </w14:solidFill>
          </w14:textFill>
        </w:rPr>
        <w:t xml:space="preserve"> </w:t>
      </w:r>
      <w:bookmarkEnd w:id="417"/>
      <w:r>
        <w:rPr>
          <w:rFonts w:hint="eastAsia" w:ascii="宋体" w:hAnsi="宋体" w:eastAsia="宋体" w:cs="宋体"/>
          <w:b/>
          <w:color w:val="000000" w:themeColor="text1"/>
          <w:sz w:val="36"/>
          <w:szCs w:val="20"/>
          <w:highlight w:val="none"/>
          <w14:textFill>
            <w14:solidFill>
              <w14:schemeClr w14:val="tx1"/>
            </w14:solidFill>
          </w14:textFill>
        </w:rPr>
        <w:t>应提交的有关格式范例</w:t>
      </w:r>
    </w:p>
    <w:p w14:paraId="5D855808">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5D7B12AD">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14:paraId="2298D310">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636379EC">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4EBB982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（1）符合参加政府采购活动应当具备的一般条件的承诺函……………（页码）</w:t>
      </w:r>
    </w:p>
    <w:p w14:paraId="501C37F6">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…………………………………………………（页码）</w:t>
      </w:r>
    </w:p>
    <w:p w14:paraId="7A4EEFF0">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（3）落实政府采购政策需满足的资格要求</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如果有）</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……………………（页码）</w:t>
      </w:r>
    </w:p>
    <w:p w14:paraId="06E0FE2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（4）本项目的特定资格要求…………………………………………………（页码）</w:t>
      </w:r>
    </w:p>
    <w:p w14:paraId="4886A61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FE474F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48E1DF2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6C4C804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 xml:space="preserve"> 【招标编号：（采购编号）】政府采购活动，郑重承诺：</w:t>
      </w:r>
    </w:p>
    <w:p w14:paraId="787DF4F7">
      <w:pPr>
        <w:snapToGrid w:val="0"/>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14:paraId="7C9E7431">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14:paraId="2C45CE9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14:paraId="7C17FC6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14:paraId="1236DF3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14:paraId="5FF8811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5、参加政府采购活动前三年内，在经营活动中没有重大违法记录；</w:t>
      </w:r>
    </w:p>
    <w:p w14:paraId="540D904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14:paraId="38CD905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（二）未被信用中国（www.creditchina.gov.cn）、中国政府采购网（www.ccgp.gov.cn）列入失信被执行人、重大税收违法失信主体、政府采购严重违法失信行为记录名单。</w:t>
      </w:r>
    </w:p>
    <w:p w14:paraId="268B968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（三）不存在以下情况：</w:t>
      </w:r>
    </w:p>
    <w:p w14:paraId="77A64FF2">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2DCAE1A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3E68847A">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3242E33F">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3457E6B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86BC4E8">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1E9F04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DAB75F1">
      <w:pPr>
        <w:rPr>
          <w:rFonts w:hint="eastAsia" w:ascii="宋体" w:hAnsi="宋体" w:eastAsia="宋体" w:cs="宋体"/>
          <w:color w:val="000000" w:themeColor="text1"/>
          <w:highlight w:val="none"/>
          <w14:textFill>
            <w14:solidFill>
              <w14:schemeClr w14:val="tx1"/>
            </w14:solidFill>
          </w14:textFill>
        </w:rPr>
      </w:pPr>
    </w:p>
    <w:p w14:paraId="4BE5893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5E670CC">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BB25CA9">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E551410">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2EC1E69F">
      <w:pPr>
        <w:widowControl/>
        <w:spacing w:line="360" w:lineRule="auto"/>
        <w:ind w:firstLine="643" w:firstLineChars="20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二、联合协议（如果有）</w:t>
      </w:r>
    </w:p>
    <w:p w14:paraId="642FED49">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04031691">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B693AD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701629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三、落实政府采购政策需满足的资格要求</w:t>
      </w:r>
    </w:p>
    <w:p w14:paraId="5F4E999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（根据招标公告落实政府采购政策需满足的资格要求选择提供相应的材料</w:t>
      </w:r>
      <w:r>
        <w:rPr>
          <w:rFonts w:hint="eastAsia" w:ascii="宋体" w:hAnsi="宋体" w:eastAsia="宋体" w:cs="宋体"/>
          <w:color w:val="auto"/>
          <w:sz w:val="24"/>
          <w:highlight w:val="none"/>
        </w:rPr>
        <w:t>；未要求的，无需提供）</w:t>
      </w:r>
    </w:p>
    <w:p w14:paraId="7D91C278">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p>
    <w:p w14:paraId="3BCEA4D0">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四、本项目的特定资格要求</w:t>
      </w:r>
    </w:p>
    <w:p w14:paraId="5940B543">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（根据招标公告本项目的特定资格要求提供相应的材料）</w:t>
      </w:r>
    </w:p>
    <w:p w14:paraId="029BE600">
      <w:pPr>
        <w:widowControl/>
        <w:adjustRightInd/>
        <w:jc w:val="left"/>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14:paraId="1CD10297">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14:paraId="153D569E">
      <w:pPr>
        <w:spacing w:line="360" w:lineRule="auto"/>
        <w:jc w:val="center"/>
        <w:outlineLvl w:val="0"/>
        <w:rPr>
          <w:rFonts w:hint="eastAsia" w:ascii="宋体" w:hAnsi="宋体" w:eastAsia="宋体" w:cs="宋体"/>
          <w:b/>
          <w:color w:val="000000" w:themeColor="text1"/>
          <w:kern w:val="0"/>
          <w:sz w:val="24"/>
          <w:highlight w:val="none"/>
          <w14:textFill>
            <w14:solidFill>
              <w14:schemeClr w14:val="tx1"/>
            </w14:solidFill>
          </w14:textFill>
        </w:rPr>
      </w:pPr>
    </w:p>
    <w:p w14:paraId="2DA01EF3">
      <w:pPr>
        <w:spacing w:line="360" w:lineRule="auto"/>
        <w:jc w:val="center"/>
        <w:outlineLvl w:val="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目录</w:t>
      </w:r>
    </w:p>
    <w:p w14:paraId="58D8996B">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（1）投标函</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highlight w:val="none"/>
          <w14:textFill>
            <w14:solidFill>
              <w14:schemeClr w14:val="tx1"/>
            </w14:solidFill>
          </w14:textFill>
        </w:rPr>
        <w:t>………（页码）</w:t>
      </w:r>
    </w:p>
    <w:p w14:paraId="6F99D6E6">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（3）分包意向协议</w:t>
      </w:r>
      <w:r>
        <w:rPr>
          <w:rFonts w:hint="eastAsia" w:ascii="宋体" w:hAnsi="宋体" w:eastAsia="宋体" w:cs="宋体"/>
          <w:color w:val="000000" w:themeColor="text1"/>
          <w:highlight w:val="none"/>
          <w14:textFill>
            <w14:solidFill>
              <w14:schemeClr w14:val="tx1"/>
            </w14:solidFill>
          </w14:textFill>
        </w:rPr>
        <w:t>…………………………………………………………………………（页码）</w:t>
      </w:r>
    </w:p>
    <w:p w14:paraId="6FDD4EE5">
      <w:pP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（4）符合性审查资料</w:t>
      </w:r>
      <w:r>
        <w:rPr>
          <w:rFonts w:hint="eastAsia" w:ascii="宋体" w:hAnsi="宋体" w:eastAsia="宋体" w:cs="宋体"/>
          <w:color w:val="000000" w:themeColor="text1"/>
          <w:highlight w:val="none"/>
          <w14:textFill>
            <w14:solidFill>
              <w14:schemeClr w14:val="tx1"/>
            </w14:solidFill>
          </w14:textFill>
        </w:rPr>
        <w:t>………………………………………………………………………（页码）</w:t>
      </w:r>
    </w:p>
    <w:p w14:paraId="308908FE">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（5）评标标准相应的商务技术资料</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（6）投标标的清单</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（7）商务技术偏离表</w:t>
      </w:r>
      <w:r>
        <w:rPr>
          <w:rFonts w:hint="eastAsia" w:ascii="宋体" w:hAnsi="宋体" w:eastAsia="宋体" w:cs="宋体"/>
          <w:color w:val="000000" w:themeColor="text1"/>
          <w:highlight w:val="none"/>
          <w14:textFill>
            <w14:solidFill>
              <w14:schemeClr w14:val="tx1"/>
            </w14:solidFill>
          </w14:textFill>
        </w:rPr>
        <w:t>………………………………………………………………………（页码）</w:t>
      </w:r>
    </w:p>
    <w:p w14:paraId="31E2DE86">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highlight w:val="none"/>
          <w14:textFill>
            <w14:solidFill>
              <w14:schemeClr w14:val="tx1"/>
            </w14:solidFill>
          </w14:textFill>
        </w:rPr>
        <w:t>…………………………………………………（页码）</w:t>
      </w:r>
    </w:p>
    <w:p w14:paraId="55D3919E">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68DB5CA">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30CC4BA0">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3245D6A">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2978A509">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DBF5842">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C1CFAB4">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1C69A5D8">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D18B653">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1E4C07F">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E29C1C3">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65AD8534">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0157E2D">
      <w:pP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85077DD">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779C325D">
      <w:pP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一、投标</w:t>
      </w:r>
      <w:r>
        <w:rPr>
          <w:rFonts w:hint="eastAsia" w:ascii="宋体" w:hAnsi="宋体" w:eastAsia="宋体" w:cs="宋体"/>
          <w:b/>
          <w:color w:val="000000" w:themeColor="text1"/>
          <w:sz w:val="32"/>
          <w:szCs w:val="32"/>
          <w:highlight w:val="none"/>
          <w14:textFill>
            <w14:solidFill>
              <w14:schemeClr w14:val="tx1"/>
            </w14:solidFill>
          </w14:textFill>
        </w:rPr>
        <w:t>函</w:t>
      </w:r>
    </w:p>
    <w:p w14:paraId="7D8B3792">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00BD3381">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 xml:space="preserve"> 【招标编号：（采购编号）】招标的有关活动，并对此项目进行投标。为此：</w:t>
      </w:r>
    </w:p>
    <w:p w14:paraId="06556E39">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14:paraId="4D8F8F1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2、我方的投标文件包括以下内容：</w:t>
      </w:r>
    </w:p>
    <w:p w14:paraId="4494D4F4">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14:paraId="7334A419">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2.1.1承诺函；</w:t>
      </w:r>
    </w:p>
    <w:p w14:paraId="232FFDB2">
      <w:pPr>
        <w:snapToGrid w:val="0"/>
        <w:spacing w:line="360" w:lineRule="auto"/>
        <w:ind w:left="420" w:leftChars="200" w:firstLine="480" w:firstLineChars="2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w:t>
      </w:r>
      <w:bookmarkStart w:id="532" w:name="_Hlk101257010"/>
      <w:r>
        <w:rPr>
          <w:rFonts w:hint="eastAsia" w:ascii="宋体" w:hAnsi="宋体" w:eastAsia="宋体" w:cs="宋体"/>
          <w:color w:val="000000" w:themeColor="text1"/>
          <w:sz w:val="24"/>
          <w:highlight w:val="none"/>
          <w14:textFill>
            <w14:solidFill>
              <w14:schemeClr w14:val="tx1"/>
            </w14:solidFill>
          </w14:textFill>
        </w:rPr>
        <w:t>（如果有）</w:t>
      </w:r>
      <w:bookmarkEnd w:id="532"/>
      <w:r>
        <w:rPr>
          <w:rFonts w:hint="eastAsia" w:ascii="宋体" w:hAnsi="宋体" w:eastAsia="宋体" w:cs="宋体"/>
          <w:snapToGrid w:val="0"/>
          <w:color w:val="000000" w:themeColor="text1"/>
          <w:kern w:val="28"/>
          <w:sz w:val="24"/>
          <w:szCs w:val="20"/>
          <w:highlight w:val="none"/>
          <w14:textFill>
            <w14:solidFill>
              <w14:schemeClr w14:val="tx1"/>
            </w14:solidFill>
          </w14:textFill>
        </w:rPr>
        <w:t>；</w:t>
      </w:r>
    </w:p>
    <w:p w14:paraId="667CE775">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2.1.3落实政府采购政策需满足的资格要求（如果有）；</w:t>
      </w:r>
    </w:p>
    <w:p w14:paraId="460B179D">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2.1.4本项目的特定资格要求。</w:t>
      </w:r>
    </w:p>
    <w:p w14:paraId="039BD717">
      <w:pPr>
        <w:snapToGrid w:val="0"/>
        <w:spacing w:line="360" w:lineRule="auto"/>
        <w:ind w:left="210" w:leftChars="1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56F1A6CF">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5137BD1A">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2.2.2授权委托书或法定代表人（单位负责人）身份证明；</w:t>
      </w:r>
    </w:p>
    <w:p w14:paraId="2CBEDFE5">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2.2.3分包意向协议（如果有）；</w:t>
      </w:r>
    </w:p>
    <w:p w14:paraId="5DE420AE">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2.2.4符合性审查资料；</w:t>
      </w:r>
    </w:p>
    <w:p w14:paraId="4EA618E8">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2.2.5评标标准相应的商务技术资料；</w:t>
      </w:r>
    </w:p>
    <w:p w14:paraId="0441A706">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2.2.6投标标的清单；</w:t>
      </w:r>
    </w:p>
    <w:p w14:paraId="135C3743">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2.2.7商务技术偏离表；</w:t>
      </w:r>
    </w:p>
    <w:p w14:paraId="7DD88696">
      <w:pPr>
        <w:snapToGrid w:val="0"/>
        <w:spacing w:line="360" w:lineRule="auto"/>
        <w:ind w:left="420" w:leftChars="2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2D433233">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14:paraId="016CEC3B">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2.3.1开标一览表（报价表）；</w:t>
      </w:r>
    </w:p>
    <w:p w14:paraId="0BA5CD3E">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2.3.2中小企业声明函（如果有）。</w:t>
      </w:r>
    </w:p>
    <w:p w14:paraId="388F7559">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w:t>
      </w:r>
    </w:p>
    <w:p w14:paraId="6F323143">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14:paraId="50BAB9A8">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183B93D3">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3299C504">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4.3按照招标文件要求提交履约保证金（如果有）； </w:t>
      </w:r>
    </w:p>
    <w:p w14:paraId="77925246">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14:paraId="35046C51">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5、其他补充说明：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34DEF15D">
      <w:pPr>
        <w:spacing w:line="360" w:lineRule="auto"/>
        <w:ind w:firstLine="3600" w:firstLineChars="15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投标人名称（电子签名）：                          </w:t>
      </w:r>
    </w:p>
    <w:p w14:paraId="41448D6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61102B34">
      <w:pPr>
        <w:snapToGrid w:val="0"/>
        <w:spacing w:line="360" w:lineRule="auto"/>
        <w:ind w:left="420" w:leftChars="200" w:firstLine="4200" w:firstLineChars="1750"/>
        <w:rPr>
          <w:rFonts w:hint="eastAsia" w:ascii="宋体" w:hAnsi="宋体" w:eastAsia="宋体" w:cs="宋体"/>
          <w:color w:val="000000" w:themeColor="text1"/>
          <w:kern w:val="0"/>
          <w:sz w:val="24"/>
          <w:highlight w:val="none"/>
          <w:u w:val="single"/>
          <w14:textFill>
            <w14:solidFill>
              <w14:schemeClr w14:val="tx1"/>
            </w14:solidFill>
          </w14:textFill>
        </w:rPr>
      </w:pPr>
    </w:p>
    <w:p w14:paraId="59587234">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3E3FF7D9">
      <w:pPr>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FCEFEC2">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082ADAE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558F52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C924E4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2245AD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2F396C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CBDF67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C9BA76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9AE03B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0B085F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50BC4F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16FE3C7">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E65503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8A0D83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03E9EC7">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D4ACC3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D7671D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CA3269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95B7D6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80AA75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850E26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73AE7C1">
      <w:pPr>
        <w:pStyle w:val="4"/>
        <w:rPr>
          <w:rFonts w:hint="eastAsia" w:ascii="宋体" w:hAnsi="宋体" w:eastAsia="宋体" w:cs="宋体"/>
          <w:color w:val="000000" w:themeColor="text1"/>
          <w:highlight w:val="none"/>
          <w:lang w:val="en-US"/>
          <w14:textFill>
            <w14:solidFill>
              <w14:schemeClr w14:val="tx1"/>
            </w14:solidFill>
          </w14:textFill>
        </w:rPr>
      </w:pPr>
    </w:p>
    <w:p w14:paraId="0966114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EC5C4E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E93143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76D59F9">
      <w:pPr>
        <w:pStyle w:val="4"/>
        <w:rPr>
          <w:rFonts w:hint="eastAsia" w:ascii="宋体" w:hAnsi="宋体" w:eastAsia="宋体" w:cs="宋体"/>
          <w:color w:val="000000" w:themeColor="text1"/>
          <w:highlight w:val="none"/>
          <w:lang w:val="en-US"/>
          <w14:textFill>
            <w14:solidFill>
              <w14:schemeClr w14:val="tx1"/>
            </w14:solidFill>
          </w14:textFill>
        </w:rPr>
      </w:pPr>
    </w:p>
    <w:p w14:paraId="14737510">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3A136CE6">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3D78E920">
      <w:pPr>
        <w:snapToGrid w:val="0"/>
        <w:spacing w:line="360" w:lineRule="auto"/>
        <w:ind w:firstLine="2872" w:firstLineChars="8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eastAsia="宋体" w:cs="宋体"/>
          <w:color w:val="000000" w:themeColor="text1"/>
          <w:highlight w:val="none"/>
          <w14:textFill>
            <w14:solidFill>
              <w14:schemeClr w14:val="tx1"/>
            </w14:solidFill>
          </w14:textFill>
        </w:rPr>
        <w:t xml:space="preserve">                               </w:t>
      </w:r>
    </w:p>
    <w:p w14:paraId="6A8A5FC5">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457B6DA">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21E5E88B">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70367BB7">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0CE1FE8F">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21F38F12">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14:paraId="2EF4324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612A4BB0">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授权委托书（适用于联合体投标）</w:t>
      </w:r>
    </w:p>
    <w:p w14:paraId="299A9550">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14015B44">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 xml:space="preserve"> 【招标编号：（采购编号）】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0B32A876">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43C7C4B8">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48A721B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8FB2C3B">
      <w:pPr>
        <w:rPr>
          <w:rFonts w:hint="eastAsia" w:ascii="宋体" w:hAnsi="宋体" w:eastAsia="宋体" w:cs="宋体"/>
          <w:color w:val="000000" w:themeColor="text1"/>
          <w:highlight w:val="none"/>
          <w14:textFill>
            <w14:solidFill>
              <w14:schemeClr w14:val="tx1"/>
            </w14:solidFill>
          </w14:textFill>
        </w:rPr>
      </w:pPr>
    </w:p>
    <w:p w14:paraId="0BE1E740">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6B6A0D36">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0D10AFC2">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122EEBAB">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6BAE5FE4">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24BEA632">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032C331">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9C239E6">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10AFC208">
      <w:pPr>
        <w:pStyle w:val="151"/>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CD9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4838FEE">
            <w:pPr>
              <w:pStyle w:val="151"/>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241D8552">
            <w:pPr>
              <w:pStyle w:val="151"/>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7786F882">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42F15FB5">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                              </w:t>
      </w:r>
    </w:p>
    <w:p w14:paraId="1142DEF3">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2917CAB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6D805E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CAA33F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24C80D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BDBDD3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C655BA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E86EBB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29DCC2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D4BDA6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D53314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8186B14">
      <w:pPr>
        <w:snapToGrid w:val="0"/>
        <w:spacing w:line="360" w:lineRule="auto"/>
        <w:ind w:right="480"/>
        <w:rPr>
          <w:rFonts w:hint="eastAsia" w:ascii="宋体" w:hAnsi="宋体" w:eastAsia="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E33BE37">
      <w:pPr>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三、分包意向协议（如果有）</w:t>
      </w:r>
    </w:p>
    <w:p w14:paraId="540B353D">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6439E332">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p>
    <w:p w14:paraId="177C0F77">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四、符合性审查资料</w:t>
      </w:r>
    </w:p>
    <w:p w14:paraId="7414416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C17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1D474C5">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4991" w:type="dxa"/>
            <w:vAlign w:val="center"/>
          </w:tcPr>
          <w:p w14:paraId="6291F492">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2551" w:type="dxa"/>
            <w:vAlign w:val="center"/>
          </w:tcPr>
          <w:p w14:paraId="0C94506B">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4808208F">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投标文件中的</w:t>
            </w:r>
          </w:p>
          <w:p w14:paraId="412ABCD2">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页码位置</w:t>
            </w:r>
          </w:p>
        </w:tc>
      </w:tr>
      <w:tr w14:paraId="3F4B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71D809">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991" w:type="dxa"/>
          </w:tcPr>
          <w:p w14:paraId="7D54AFE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37E55ABB">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39C8888C">
            <w:pPr>
              <w:rPr>
                <w:rFonts w:hint="eastAsia" w:ascii="宋体" w:hAnsi="宋体" w:eastAsia="宋体" w:cs="宋体"/>
                <w:color w:val="000000" w:themeColor="text1"/>
                <w:sz w:val="24"/>
                <w:highlight w:val="none"/>
                <w14:textFill>
                  <w14:solidFill>
                    <w14:schemeClr w14:val="tx1"/>
                  </w14:solidFill>
                </w14:textFill>
              </w:rPr>
            </w:pPr>
          </w:p>
          <w:p w14:paraId="1F26352B">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14:paraId="4904A59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6202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EB3721">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991" w:type="dxa"/>
          </w:tcPr>
          <w:p w14:paraId="53652B5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61182367">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w:t>
            </w:r>
          </w:p>
        </w:tc>
        <w:tc>
          <w:tcPr>
            <w:tcW w:w="1418" w:type="dxa"/>
          </w:tcPr>
          <w:p w14:paraId="784EC74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6C30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7F5751">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4991" w:type="dxa"/>
          </w:tcPr>
          <w:p w14:paraId="138BE70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投标文件满足招标文件的其他实质性要求。</w:t>
            </w:r>
          </w:p>
        </w:tc>
        <w:tc>
          <w:tcPr>
            <w:tcW w:w="2551" w:type="dxa"/>
            <w:vAlign w:val="center"/>
          </w:tcPr>
          <w:p w14:paraId="33638B19">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招标文件其它实质性要求相应的材料（“▲” 系指实质性要求条款，招标文件无其他实质性要求的，无需提供）</w:t>
            </w:r>
          </w:p>
        </w:tc>
        <w:tc>
          <w:tcPr>
            <w:tcW w:w="1418" w:type="dxa"/>
          </w:tcPr>
          <w:p w14:paraId="611C48F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bl>
    <w:p w14:paraId="7C938170">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3649520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1022F8E">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p>
    <w:p w14:paraId="6BE537C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A2308F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DBACB9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CB359F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56A3FF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B28D73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3C0338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A12070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90FD7A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12F356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AB9BE4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4C7D32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C08BB50">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五、评标标准相应的商务技术资料</w:t>
      </w:r>
    </w:p>
    <w:p w14:paraId="0A8081E2">
      <w:pPr>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49291F6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EEB43C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A43DC3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2EFE754">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25"/>
        <w:gridCol w:w="1358"/>
        <w:gridCol w:w="1260"/>
        <w:gridCol w:w="2775"/>
        <w:gridCol w:w="930"/>
        <w:gridCol w:w="1526"/>
      </w:tblGrid>
      <w:tr w14:paraId="5C51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AE398F">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125" w:type="dxa"/>
            <w:tcBorders>
              <w:top w:val="single" w:color="auto" w:sz="4" w:space="0"/>
              <w:left w:val="single" w:color="auto" w:sz="4" w:space="0"/>
              <w:bottom w:val="single" w:color="auto" w:sz="4" w:space="0"/>
              <w:right w:val="single" w:color="auto" w:sz="4" w:space="0"/>
            </w:tcBorders>
            <w:vAlign w:val="center"/>
          </w:tcPr>
          <w:p w14:paraId="668CC1FB">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358" w:type="dxa"/>
            <w:tcBorders>
              <w:top w:val="single" w:color="auto" w:sz="4" w:space="0"/>
              <w:left w:val="single" w:color="auto" w:sz="4" w:space="0"/>
              <w:bottom w:val="single" w:color="auto" w:sz="4" w:space="0"/>
              <w:right w:val="single" w:color="auto" w:sz="4" w:space="0"/>
            </w:tcBorders>
          </w:tcPr>
          <w:p w14:paraId="0450743F">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08ED713C">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9BE3DEA">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650F9A4">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92ED49D">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930DF1F">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46672214">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备注（如果有）</w:t>
            </w:r>
          </w:p>
          <w:p w14:paraId="4618056A">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r>
      <w:tr w14:paraId="53A1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B5F50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125" w:type="dxa"/>
            <w:tcBorders>
              <w:top w:val="single" w:color="auto" w:sz="4" w:space="0"/>
              <w:left w:val="single" w:color="auto" w:sz="4" w:space="0"/>
              <w:bottom w:val="single" w:color="auto" w:sz="4" w:space="0"/>
              <w:right w:val="single" w:color="auto" w:sz="4" w:space="0"/>
            </w:tcBorders>
            <w:vAlign w:val="center"/>
          </w:tcPr>
          <w:p w14:paraId="6D55642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8" w:type="dxa"/>
            <w:tcBorders>
              <w:top w:val="single" w:color="auto" w:sz="4" w:space="0"/>
              <w:left w:val="single" w:color="auto" w:sz="4" w:space="0"/>
              <w:bottom w:val="single" w:color="auto" w:sz="4" w:space="0"/>
              <w:right w:val="single" w:color="auto" w:sz="4" w:space="0"/>
            </w:tcBorders>
            <w:vAlign w:val="center"/>
          </w:tcPr>
          <w:p w14:paraId="45EBD48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51030A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D39813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BEC9D4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80A962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8E3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28F63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125" w:type="dxa"/>
            <w:tcBorders>
              <w:top w:val="single" w:color="auto" w:sz="4" w:space="0"/>
              <w:left w:val="single" w:color="auto" w:sz="4" w:space="0"/>
              <w:bottom w:val="single" w:color="auto" w:sz="4" w:space="0"/>
              <w:right w:val="single" w:color="auto" w:sz="4" w:space="0"/>
            </w:tcBorders>
            <w:vAlign w:val="center"/>
          </w:tcPr>
          <w:p w14:paraId="2DC2878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8" w:type="dxa"/>
            <w:tcBorders>
              <w:top w:val="single" w:color="auto" w:sz="4" w:space="0"/>
              <w:left w:val="single" w:color="auto" w:sz="4" w:space="0"/>
              <w:bottom w:val="single" w:color="auto" w:sz="4" w:space="0"/>
              <w:right w:val="single" w:color="auto" w:sz="4" w:space="0"/>
            </w:tcBorders>
            <w:vAlign w:val="center"/>
          </w:tcPr>
          <w:p w14:paraId="6A4B348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6A2703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DF42B3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250BAAD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84169B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601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E45DC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125" w:type="dxa"/>
            <w:tcBorders>
              <w:top w:val="single" w:color="auto" w:sz="4" w:space="0"/>
              <w:left w:val="single" w:color="auto" w:sz="4" w:space="0"/>
              <w:bottom w:val="single" w:color="auto" w:sz="4" w:space="0"/>
              <w:right w:val="single" w:color="auto" w:sz="4" w:space="0"/>
            </w:tcBorders>
            <w:vAlign w:val="center"/>
          </w:tcPr>
          <w:p w14:paraId="047C93E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8" w:type="dxa"/>
            <w:tcBorders>
              <w:top w:val="single" w:color="auto" w:sz="4" w:space="0"/>
              <w:left w:val="single" w:color="auto" w:sz="4" w:space="0"/>
              <w:bottom w:val="single" w:color="auto" w:sz="4" w:space="0"/>
              <w:right w:val="single" w:color="auto" w:sz="4" w:space="0"/>
            </w:tcBorders>
            <w:vAlign w:val="center"/>
          </w:tcPr>
          <w:p w14:paraId="56B991C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916054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9352BB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EB936C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2F4F0C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6050A653">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27918D07">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A03A29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874CC72">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FDA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4F7873">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683" w:type="dxa"/>
          </w:tcPr>
          <w:p w14:paraId="1EF28F37">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招标文件章节及具体内容</w:t>
            </w:r>
          </w:p>
        </w:tc>
        <w:tc>
          <w:tcPr>
            <w:tcW w:w="3546" w:type="dxa"/>
          </w:tcPr>
          <w:p w14:paraId="7A16945D">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投标文件章节及具体内容</w:t>
            </w:r>
          </w:p>
        </w:tc>
        <w:tc>
          <w:tcPr>
            <w:tcW w:w="1276" w:type="dxa"/>
          </w:tcPr>
          <w:p w14:paraId="7180DA8B">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14:paraId="0737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9E6247">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683" w:type="dxa"/>
          </w:tcPr>
          <w:p w14:paraId="43E1A48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21EA7C0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458970C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5BF7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3B4AF3">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683" w:type="dxa"/>
          </w:tcPr>
          <w:p w14:paraId="3F1CFAC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715C06C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4948990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4C95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11D5AD">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683" w:type="dxa"/>
          </w:tcPr>
          <w:p w14:paraId="3C1909A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4E80DD4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29A2177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14:paraId="4BDEAEC9">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投标人保证：除商务技术偏离表列出的偏离外，投标人响应招标文件的全部要求</w:t>
      </w:r>
    </w:p>
    <w:p w14:paraId="5B7A2E8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CA4194A">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1C83EC30">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65279A65">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1F2A008F">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616B7C37">
      <w:pPr>
        <w:widowControl/>
        <w:adjustRightInd/>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63A794B9">
      <w:pPr>
        <w:ind w:firstLine="1911" w:firstLineChars="595"/>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八</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政府采购供应商廉洁自律承诺书</w:t>
      </w:r>
    </w:p>
    <w:p w14:paraId="381CBAA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147286D8">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AE0A702">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7763F222">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372C3EAB">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2854FCCF">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0AFE6990">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14:paraId="7C8A636A">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1681802D">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14:paraId="05392A0C">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018DAFFB">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74B5C85A">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169406F2">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11E83529">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3C2AF154">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78B1F4E2">
      <w:pPr>
        <w:spacing w:line="360" w:lineRule="auto"/>
        <w:ind w:left="4620" w:leftChars="2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1BD2BF65">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72DB23EC">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61100814">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1E30C33">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14:paraId="2702759C">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4FFE9D0C">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719A172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（1）开标一览表（报价表）………………………………………………………（页码）</w:t>
      </w:r>
    </w:p>
    <w:p w14:paraId="31BB8ED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（2）中小企业声明函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…………………………………………………（页码）</w:t>
      </w:r>
    </w:p>
    <w:p w14:paraId="3DBF25E9">
      <w:pPr>
        <w:pStyle w:val="693"/>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pPr>
    </w:p>
    <w:p w14:paraId="01C0FFC0">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4C5EEAB0">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6838E623">
      <w:pP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kern w:val="0"/>
          <w:sz w:val="24"/>
          <w:highlight w:val="none"/>
          <w:lang w:val="zh-CN"/>
          <w14:textFill>
            <w14:solidFill>
              <w14:schemeClr w14:val="tx1"/>
            </w14:solidFill>
          </w14:textFill>
        </w:rPr>
        <w:t>【招标编号：</w:t>
      </w:r>
      <w:r>
        <w:rPr>
          <w:rFonts w:hint="eastAsia" w:ascii="宋体" w:hAnsi="宋体" w:eastAsia="宋体" w:cs="宋体"/>
          <w:color w:val="000000" w:themeColor="text1"/>
          <w:sz w:val="24"/>
          <w:highlight w:val="none"/>
          <w14:textFill>
            <w14:solidFill>
              <w14:schemeClr w14:val="tx1"/>
            </w14:solidFill>
          </w14:textFill>
        </w:rPr>
        <w:t>（采购编号）】的实施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A45C11F">
      <w:pPr>
        <w:spacing w:line="360" w:lineRule="auto"/>
        <w:jc w:val="center"/>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4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466"/>
        <w:gridCol w:w="1450"/>
        <w:gridCol w:w="1380"/>
        <w:gridCol w:w="1410"/>
        <w:gridCol w:w="1520"/>
        <w:gridCol w:w="2165"/>
        <w:gridCol w:w="713"/>
        <w:gridCol w:w="1602"/>
        <w:gridCol w:w="1030"/>
      </w:tblGrid>
      <w:tr w14:paraId="1019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17" w:type="dxa"/>
            <w:vAlign w:val="center"/>
          </w:tcPr>
          <w:p w14:paraId="0C0955D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5A87DA5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466" w:type="dxa"/>
          </w:tcPr>
          <w:p w14:paraId="7A91E052">
            <w:pPr>
              <w:spacing w:line="360" w:lineRule="auto"/>
              <w:jc w:val="center"/>
              <w:rPr>
                <w:rFonts w:hint="eastAsia" w:ascii="宋体" w:hAnsi="宋体" w:eastAsia="宋体" w:cs="宋体"/>
                <w:b/>
                <w:color w:val="auto"/>
                <w:sz w:val="24"/>
                <w:highlight w:val="none"/>
              </w:rPr>
            </w:pPr>
          </w:p>
          <w:p w14:paraId="34939C6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450" w:type="dxa"/>
            <w:vAlign w:val="center"/>
          </w:tcPr>
          <w:p w14:paraId="0304FCC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1380" w:type="dxa"/>
            <w:vAlign w:val="center"/>
          </w:tcPr>
          <w:p w14:paraId="5D1889C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1410" w:type="dxa"/>
            <w:vAlign w:val="center"/>
          </w:tcPr>
          <w:p w14:paraId="36417A8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0" w:type="dxa"/>
          </w:tcPr>
          <w:p w14:paraId="068107E6">
            <w:pPr>
              <w:spacing w:line="360" w:lineRule="auto"/>
              <w:jc w:val="center"/>
              <w:rPr>
                <w:rFonts w:hint="eastAsia" w:ascii="宋体" w:hAnsi="宋体" w:eastAsia="宋体" w:cs="宋体"/>
                <w:b/>
                <w:color w:val="auto"/>
                <w:sz w:val="24"/>
                <w:highlight w:val="none"/>
              </w:rPr>
            </w:pPr>
          </w:p>
          <w:p w14:paraId="2A4B336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拟投入</w:t>
            </w:r>
            <w:r>
              <w:rPr>
                <w:rFonts w:hint="eastAsia" w:ascii="宋体" w:hAnsi="宋体" w:eastAsia="宋体" w:cs="宋体"/>
                <w:b/>
                <w:color w:val="auto"/>
                <w:sz w:val="24"/>
                <w:highlight w:val="none"/>
              </w:rPr>
              <w:t>服务人数</w:t>
            </w:r>
          </w:p>
        </w:tc>
        <w:tc>
          <w:tcPr>
            <w:tcW w:w="2165" w:type="dxa"/>
            <w:vAlign w:val="center"/>
          </w:tcPr>
          <w:p w14:paraId="3A3C6418">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投标单价</w:t>
            </w:r>
          </w:p>
          <w:p w14:paraId="6595804F">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（元/年）</w:t>
            </w:r>
          </w:p>
        </w:tc>
        <w:tc>
          <w:tcPr>
            <w:tcW w:w="713" w:type="dxa"/>
            <w:vAlign w:val="center"/>
          </w:tcPr>
          <w:p w14:paraId="2756A76A">
            <w:pPr>
              <w:spacing w:line="36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数量</w:t>
            </w:r>
          </w:p>
        </w:tc>
        <w:tc>
          <w:tcPr>
            <w:tcW w:w="1602" w:type="dxa"/>
            <w:vAlign w:val="center"/>
          </w:tcPr>
          <w:p w14:paraId="1AEC1A4E">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投标总报价</w:t>
            </w:r>
            <w:r>
              <w:rPr>
                <w:rFonts w:hint="eastAsia" w:ascii="宋体" w:hAnsi="宋体" w:cs="宋体"/>
                <w:b/>
                <w:color w:val="auto"/>
                <w:sz w:val="24"/>
                <w:highlight w:val="none"/>
                <w:lang w:val="en-US" w:eastAsia="zh-CN"/>
              </w:rPr>
              <w:t>（3年）</w:t>
            </w:r>
            <w:r>
              <w:rPr>
                <w:rFonts w:hint="eastAsia" w:ascii="宋体" w:hAnsi="宋体" w:eastAsia="宋体" w:cs="宋体"/>
                <w:b/>
                <w:color w:val="auto"/>
                <w:sz w:val="24"/>
                <w:highlight w:val="none"/>
                <w:lang w:val="en-US" w:eastAsia="zh-CN"/>
              </w:rPr>
              <w:t>（元）</w:t>
            </w:r>
          </w:p>
        </w:tc>
        <w:tc>
          <w:tcPr>
            <w:tcW w:w="1030" w:type="dxa"/>
            <w:vAlign w:val="center"/>
          </w:tcPr>
          <w:p w14:paraId="0F23B5EF">
            <w:pPr>
              <w:spacing w:line="360" w:lineRule="auto"/>
              <w:ind w:firstLine="241" w:firstLineChars="100"/>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p w14:paraId="71091FCC">
            <w:pPr>
              <w:spacing w:line="360" w:lineRule="auto"/>
              <w:jc w:val="both"/>
              <w:rPr>
                <w:rFonts w:hint="eastAsia" w:ascii="宋体" w:hAnsi="宋体" w:eastAsia="宋体" w:cs="宋体"/>
                <w:b/>
                <w:color w:val="auto"/>
                <w:sz w:val="24"/>
                <w:highlight w:val="none"/>
              </w:rPr>
            </w:pPr>
            <w:r>
              <w:rPr>
                <w:rFonts w:hint="eastAsia" w:ascii="宋体" w:hAnsi="宋体" w:eastAsia="宋体" w:cs="宋体"/>
                <w:b/>
                <w:color w:val="auto"/>
                <w:sz w:val="18"/>
                <w:szCs w:val="18"/>
                <w:highlight w:val="none"/>
              </w:rPr>
              <w:t>（如果有）</w:t>
            </w:r>
          </w:p>
        </w:tc>
      </w:tr>
      <w:tr w14:paraId="11CB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5FCD3C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3462F80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466" w:type="dxa"/>
            <w:vAlign w:val="center"/>
          </w:tcPr>
          <w:p w14:paraId="1B5078D3">
            <w:pPr>
              <w:snapToGrid w:val="0"/>
              <w:spacing w:line="360" w:lineRule="auto"/>
              <w:jc w:val="center"/>
              <w:rPr>
                <w:rFonts w:hint="eastAsia" w:ascii="宋体" w:hAnsi="宋体" w:eastAsia="宋体" w:cs="宋体"/>
                <w:color w:val="auto"/>
                <w:sz w:val="24"/>
                <w:highlight w:val="none"/>
              </w:rPr>
            </w:pPr>
          </w:p>
        </w:tc>
        <w:tc>
          <w:tcPr>
            <w:tcW w:w="1450" w:type="dxa"/>
            <w:vAlign w:val="center"/>
          </w:tcPr>
          <w:p w14:paraId="3CCFF102">
            <w:pPr>
              <w:snapToGrid w:val="0"/>
              <w:spacing w:line="360" w:lineRule="auto"/>
              <w:jc w:val="center"/>
              <w:rPr>
                <w:rFonts w:hint="eastAsia" w:ascii="宋体" w:hAnsi="宋体" w:eastAsia="宋体" w:cs="宋体"/>
                <w:color w:val="auto"/>
                <w:sz w:val="24"/>
                <w:highlight w:val="none"/>
              </w:rPr>
            </w:pPr>
          </w:p>
        </w:tc>
        <w:tc>
          <w:tcPr>
            <w:tcW w:w="1380" w:type="dxa"/>
            <w:vAlign w:val="center"/>
          </w:tcPr>
          <w:p w14:paraId="0FEFC86D">
            <w:pPr>
              <w:snapToGrid w:val="0"/>
              <w:spacing w:line="360" w:lineRule="auto"/>
              <w:jc w:val="center"/>
              <w:rPr>
                <w:rFonts w:hint="eastAsia" w:ascii="宋体" w:hAnsi="宋体" w:eastAsia="宋体" w:cs="宋体"/>
                <w:color w:val="auto"/>
                <w:sz w:val="24"/>
                <w:highlight w:val="none"/>
              </w:rPr>
            </w:pPr>
          </w:p>
        </w:tc>
        <w:tc>
          <w:tcPr>
            <w:tcW w:w="1410" w:type="dxa"/>
            <w:vAlign w:val="center"/>
          </w:tcPr>
          <w:p w14:paraId="119D5C65">
            <w:pPr>
              <w:spacing w:line="360" w:lineRule="auto"/>
              <w:jc w:val="center"/>
              <w:rPr>
                <w:rFonts w:hint="eastAsia" w:ascii="宋体" w:hAnsi="宋体" w:eastAsia="宋体" w:cs="宋体"/>
                <w:color w:val="auto"/>
                <w:sz w:val="24"/>
                <w:highlight w:val="none"/>
              </w:rPr>
            </w:pPr>
          </w:p>
        </w:tc>
        <w:tc>
          <w:tcPr>
            <w:tcW w:w="1520" w:type="dxa"/>
          </w:tcPr>
          <w:p w14:paraId="2C6FD06E">
            <w:pPr>
              <w:spacing w:line="360" w:lineRule="auto"/>
              <w:jc w:val="center"/>
              <w:rPr>
                <w:rFonts w:hint="eastAsia" w:ascii="宋体" w:hAnsi="宋体" w:eastAsia="宋体" w:cs="宋体"/>
                <w:color w:val="auto"/>
                <w:sz w:val="24"/>
                <w:highlight w:val="none"/>
              </w:rPr>
            </w:pPr>
          </w:p>
        </w:tc>
        <w:tc>
          <w:tcPr>
            <w:tcW w:w="2165" w:type="dxa"/>
            <w:vAlign w:val="center"/>
          </w:tcPr>
          <w:p w14:paraId="065C4D32">
            <w:pPr>
              <w:spacing w:line="360" w:lineRule="auto"/>
              <w:jc w:val="center"/>
              <w:rPr>
                <w:rFonts w:hint="eastAsia" w:ascii="宋体" w:hAnsi="宋体" w:eastAsia="宋体" w:cs="宋体"/>
                <w:color w:val="auto"/>
                <w:sz w:val="24"/>
                <w:highlight w:val="none"/>
              </w:rPr>
            </w:pPr>
          </w:p>
        </w:tc>
        <w:tc>
          <w:tcPr>
            <w:tcW w:w="713" w:type="dxa"/>
            <w:vAlign w:val="center"/>
          </w:tcPr>
          <w:p w14:paraId="165A8FB4">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3年</w:t>
            </w:r>
          </w:p>
        </w:tc>
        <w:tc>
          <w:tcPr>
            <w:tcW w:w="1602" w:type="dxa"/>
            <w:vAlign w:val="center"/>
          </w:tcPr>
          <w:p w14:paraId="3B1CEDC7">
            <w:pPr>
              <w:spacing w:line="360" w:lineRule="auto"/>
              <w:jc w:val="center"/>
              <w:rPr>
                <w:rFonts w:hint="eastAsia" w:ascii="宋体" w:hAnsi="宋体" w:eastAsia="宋体" w:cs="宋体"/>
                <w:color w:val="auto"/>
                <w:sz w:val="24"/>
                <w:highlight w:val="none"/>
              </w:rPr>
            </w:pPr>
          </w:p>
        </w:tc>
        <w:tc>
          <w:tcPr>
            <w:tcW w:w="1030" w:type="dxa"/>
            <w:vAlign w:val="center"/>
          </w:tcPr>
          <w:p w14:paraId="75CFA18D">
            <w:pPr>
              <w:spacing w:line="360" w:lineRule="auto"/>
              <w:jc w:val="center"/>
              <w:rPr>
                <w:rFonts w:hint="eastAsia" w:ascii="宋体" w:hAnsi="宋体" w:eastAsia="宋体" w:cs="宋体"/>
                <w:color w:val="auto"/>
                <w:sz w:val="24"/>
                <w:highlight w:val="none"/>
              </w:rPr>
            </w:pPr>
          </w:p>
        </w:tc>
      </w:tr>
      <w:tr w14:paraId="6B16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59C9A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67A26FF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466" w:type="dxa"/>
            <w:vAlign w:val="center"/>
          </w:tcPr>
          <w:p w14:paraId="6F189A06">
            <w:pPr>
              <w:snapToGrid w:val="0"/>
              <w:spacing w:line="360" w:lineRule="auto"/>
              <w:jc w:val="center"/>
              <w:rPr>
                <w:rFonts w:hint="eastAsia" w:ascii="宋体" w:hAnsi="宋体" w:eastAsia="宋体" w:cs="宋体"/>
                <w:color w:val="auto"/>
                <w:sz w:val="24"/>
                <w:highlight w:val="none"/>
              </w:rPr>
            </w:pPr>
          </w:p>
        </w:tc>
        <w:tc>
          <w:tcPr>
            <w:tcW w:w="1450" w:type="dxa"/>
            <w:vAlign w:val="center"/>
          </w:tcPr>
          <w:p w14:paraId="3BF19B10">
            <w:pPr>
              <w:snapToGrid w:val="0"/>
              <w:spacing w:line="360" w:lineRule="auto"/>
              <w:jc w:val="center"/>
              <w:rPr>
                <w:rFonts w:hint="eastAsia" w:ascii="宋体" w:hAnsi="宋体" w:eastAsia="宋体" w:cs="宋体"/>
                <w:color w:val="auto"/>
                <w:sz w:val="24"/>
                <w:highlight w:val="none"/>
              </w:rPr>
            </w:pPr>
          </w:p>
        </w:tc>
        <w:tc>
          <w:tcPr>
            <w:tcW w:w="1380" w:type="dxa"/>
            <w:vAlign w:val="center"/>
          </w:tcPr>
          <w:p w14:paraId="0C6A2D5F">
            <w:pPr>
              <w:snapToGrid w:val="0"/>
              <w:spacing w:line="360" w:lineRule="auto"/>
              <w:jc w:val="center"/>
              <w:rPr>
                <w:rFonts w:hint="eastAsia" w:ascii="宋体" w:hAnsi="宋体" w:eastAsia="宋体" w:cs="宋体"/>
                <w:color w:val="auto"/>
                <w:sz w:val="24"/>
                <w:highlight w:val="none"/>
              </w:rPr>
            </w:pPr>
          </w:p>
        </w:tc>
        <w:tc>
          <w:tcPr>
            <w:tcW w:w="1410" w:type="dxa"/>
            <w:vAlign w:val="center"/>
          </w:tcPr>
          <w:p w14:paraId="697A714D">
            <w:pPr>
              <w:spacing w:line="360" w:lineRule="auto"/>
              <w:jc w:val="center"/>
              <w:rPr>
                <w:rFonts w:hint="eastAsia" w:ascii="宋体" w:hAnsi="宋体" w:eastAsia="宋体" w:cs="宋体"/>
                <w:color w:val="auto"/>
                <w:sz w:val="24"/>
                <w:highlight w:val="none"/>
              </w:rPr>
            </w:pPr>
          </w:p>
        </w:tc>
        <w:tc>
          <w:tcPr>
            <w:tcW w:w="1520" w:type="dxa"/>
          </w:tcPr>
          <w:p w14:paraId="2761C047">
            <w:pPr>
              <w:spacing w:line="360" w:lineRule="auto"/>
              <w:jc w:val="center"/>
              <w:rPr>
                <w:rFonts w:hint="eastAsia" w:ascii="宋体" w:hAnsi="宋体" w:eastAsia="宋体" w:cs="宋体"/>
                <w:color w:val="auto"/>
                <w:sz w:val="24"/>
                <w:highlight w:val="none"/>
              </w:rPr>
            </w:pPr>
          </w:p>
        </w:tc>
        <w:tc>
          <w:tcPr>
            <w:tcW w:w="2165" w:type="dxa"/>
            <w:vAlign w:val="center"/>
          </w:tcPr>
          <w:p w14:paraId="52D01771">
            <w:pPr>
              <w:spacing w:line="360" w:lineRule="auto"/>
              <w:jc w:val="center"/>
              <w:rPr>
                <w:rFonts w:hint="eastAsia" w:ascii="宋体" w:hAnsi="宋体" w:eastAsia="宋体" w:cs="宋体"/>
                <w:color w:val="auto"/>
                <w:sz w:val="24"/>
                <w:highlight w:val="none"/>
              </w:rPr>
            </w:pPr>
          </w:p>
        </w:tc>
        <w:tc>
          <w:tcPr>
            <w:tcW w:w="713" w:type="dxa"/>
            <w:vAlign w:val="center"/>
          </w:tcPr>
          <w:p w14:paraId="11518870">
            <w:pPr>
              <w:spacing w:line="360" w:lineRule="auto"/>
              <w:jc w:val="center"/>
              <w:rPr>
                <w:rFonts w:hint="eastAsia" w:ascii="宋体" w:hAnsi="宋体" w:eastAsia="宋体" w:cs="宋体"/>
                <w:color w:val="auto"/>
                <w:sz w:val="24"/>
                <w:highlight w:val="none"/>
              </w:rPr>
            </w:pPr>
          </w:p>
        </w:tc>
        <w:tc>
          <w:tcPr>
            <w:tcW w:w="1602" w:type="dxa"/>
            <w:vAlign w:val="center"/>
          </w:tcPr>
          <w:p w14:paraId="254DFAAA">
            <w:pPr>
              <w:spacing w:line="360" w:lineRule="auto"/>
              <w:jc w:val="center"/>
              <w:rPr>
                <w:rFonts w:hint="eastAsia" w:ascii="宋体" w:hAnsi="宋体" w:eastAsia="宋体" w:cs="宋体"/>
                <w:color w:val="auto"/>
                <w:sz w:val="24"/>
                <w:highlight w:val="none"/>
              </w:rPr>
            </w:pPr>
          </w:p>
        </w:tc>
        <w:tc>
          <w:tcPr>
            <w:tcW w:w="1030" w:type="dxa"/>
            <w:vAlign w:val="center"/>
          </w:tcPr>
          <w:p w14:paraId="756B9EFA">
            <w:pPr>
              <w:spacing w:line="360" w:lineRule="auto"/>
              <w:jc w:val="center"/>
              <w:rPr>
                <w:rFonts w:hint="eastAsia" w:ascii="宋体" w:hAnsi="宋体" w:eastAsia="宋体" w:cs="宋体"/>
                <w:color w:val="auto"/>
                <w:sz w:val="24"/>
                <w:highlight w:val="none"/>
              </w:rPr>
            </w:pPr>
          </w:p>
        </w:tc>
      </w:tr>
      <w:tr w14:paraId="1395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50333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67FAFDE7">
            <w:pPr>
              <w:snapToGrid w:val="0"/>
              <w:spacing w:line="360" w:lineRule="auto"/>
              <w:jc w:val="center"/>
              <w:rPr>
                <w:rFonts w:hint="eastAsia" w:ascii="宋体" w:hAnsi="宋体" w:eastAsia="宋体" w:cs="宋体"/>
                <w:color w:val="auto"/>
                <w:sz w:val="24"/>
                <w:highlight w:val="none"/>
              </w:rPr>
            </w:pPr>
          </w:p>
        </w:tc>
        <w:tc>
          <w:tcPr>
            <w:tcW w:w="1466" w:type="dxa"/>
            <w:vAlign w:val="center"/>
          </w:tcPr>
          <w:p w14:paraId="3C4961A3">
            <w:pPr>
              <w:snapToGrid w:val="0"/>
              <w:spacing w:line="360" w:lineRule="auto"/>
              <w:jc w:val="center"/>
              <w:rPr>
                <w:rFonts w:hint="eastAsia" w:ascii="宋体" w:hAnsi="宋体" w:eastAsia="宋体" w:cs="宋体"/>
                <w:color w:val="auto"/>
                <w:sz w:val="24"/>
                <w:highlight w:val="none"/>
              </w:rPr>
            </w:pPr>
          </w:p>
        </w:tc>
        <w:tc>
          <w:tcPr>
            <w:tcW w:w="1450" w:type="dxa"/>
            <w:vAlign w:val="center"/>
          </w:tcPr>
          <w:p w14:paraId="35B981C9">
            <w:pPr>
              <w:snapToGrid w:val="0"/>
              <w:spacing w:line="360" w:lineRule="auto"/>
              <w:jc w:val="center"/>
              <w:rPr>
                <w:rFonts w:hint="eastAsia" w:ascii="宋体" w:hAnsi="宋体" w:eastAsia="宋体" w:cs="宋体"/>
                <w:color w:val="auto"/>
                <w:sz w:val="24"/>
                <w:highlight w:val="none"/>
              </w:rPr>
            </w:pPr>
          </w:p>
        </w:tc>
        <w:tc>
          <w:tcPr>
            <w:tcW w:w="1380" w:type="dxa"/>
            <w:vAlign w:val="center"/>
          </w:tcPr>
          <w:p w14:paraId="634E1990">
            <w:pPr>
              <w:snapToGrid w:val="0"/>
              <w:spacing w:line="360" w:lineRule="auto"/>
              <w:jc w:val="center"/>
              <w:rPr>
                <w:rFonts w:hint="eastAsia" w:ascii="宋体" w:hAnsi="宋体" w:eastAsia="宋体" w:cs="宋体"/>
                <w:color w:val="auto"/>
                <w:sz w:val="24"/>
                <w:highlight w:val="none"/>
              </w:rPr>
            </w:pPr>
          </w:p>
        </w:tc>
        <w:tc>
          <w:tcPr>
            <w:tcW w:w="1410" w:type="dxa"/>
            <w:vAlign w:val="center"/>
          </w:tcPr>
          <w:p w14:paraId="7A4DBCEF">
            <w:pPr>
              <w:spacing w:line="360" w:lineRule="auto"/>
              <w:jc w:val="center"/>
              <w:rPr>
                <w:rFonts w:hint="eastAsia" w:ascii="宋体" w:hAnsi="宋体" w:eastAsia="宋体" w:cs="宋体"/>
                <w:color w:val="auto"/>
                <w:sz w:val="24"/>
                <w:highlight w:val="none"/>
              </w:rPr>
            </w:pPr>
          </w:p>
        </w:tc>
        <w:tc>
          <w:tcPr>
            <w:tcW w:w="1520" w:type="dxa"/>
          </w:tcPr>
          <w:p w14:paraId="7DBD939A">
            <w:pPr>
              <w:spacing w:line="360" w:lineRule="auto"/>
              <w:jc w:val="center"/>
              <w:rPr>
                <w:rFonts w:hint="eastAsia" w:ascii="宋体" w:hAnsi="宋体" w:eastAsia="宋体" w:cs="宋体"/>
                <w:color w:val="auto"/>
                <w:sz w:val="24"/>
                <w:highlight w:val="none"/>
              </w:rPr>
            </w:pPr>
          </w:p>
        </w:tc>
        <w:tc>
          <w:tcPr>
            <w:tcW w:w="2165" w:type="dxa"/>
            <w:vAlign w:val="center"/>
          </w:tcPr>
          <w:p w14:paraId="7056AEE9">
            <w:pPr>
              <w:spacing w:line="360" w:lineRule="auto"/>
              <w:jc w:val="center"/>
              <w:rPr>
                <w:rFonts w:hint="eastAsia" w:ascii="宋体" w:hAnsi="宋体" w:eastAsia="宋体" w:cs="宋体"/>
                <w:color w:val="auto"/>
                <w:sz w:val="24"/>
                <w:highlight w:val="none"/>
              </w:rPr>
            </w:pPr>
          </w:p>
        </w:tc>
        <w:tc>
          <w:tcPr>
            <w:tcW w:w="713" w:type="dxa"/>
            <w:vAlign w:val="center"/>
          </w:tcPr>
          <w:p w14:paraId="2776910F">
            <w:pPr>
              <w:spacing w:line="360" w:lineRule="auto"/>
              <w:jc w:val="center"/>
              <w:rPr>
                <w:rFonts w:hint="eastAsia" w:ascii="宋体" w:hAnsi="宋体" w:eastAsia="宋体" w:cs="宋体"/>
                <w:color w:val="auto"/>
                <w:sz w:val="24"/>
                <w:highlight w:val="none"/>
              </w:rPr>
            </w:pPr>
          </w:p>
        </w:tc>
        <w:tc>
          <w:tcPr>
            <w:tcW w:w="1602" w:type="dxa"/>
            <w:vAlign w:val="center"/>
          </w:tcPr>
          <w:p w14:paraId="3A1875DE">
            <w:pPr>
              <w:spacing w:line="360" w:lineRule="auto"/>
              <w:jc w:val="center"/>
              <w:rPr>
                <w:rFonts w:hint="eastAsia" w:ascii="宋体" w:hAnsi="宋体" w:eastAsia="宋体" w:cs="宋体"/>
                <w:color w:val="auto"/>
                <w:sz w:val="24"/>
                <w:highlight w:val="none"/>
              </w:rPr>
            </w:pPr>
          </w:p>
        </w:tc>
        <w:tc>
          <w:tcPr>
            <w:tcW w:w="1030" w:type="dxa"/>
            <w:vAlign w:val="center"/>
          </w:tcPr>
          <w:p w14:paraId="06AD07DB">
            <w:pPr>
              <w:spacing w:line="360" w:lineRule="auto"/>
              <w:jc w:val="center"/>
              <w:rPr>
                <w:rFonts w:hint="eastAsia" w:ascii="宋体" w:hAnsi="宋体" w:eastAsia="宋体" w:cs="宋体"/>
                <w:color w:val="auto"/>
                <w:sz w:val="24"/>
                <w:highlight w:val="none"/>
              </w:rPr>
            </w:pPr>
          </w:p>
        </w:tc>
      </w:tr>
      <w:tr w14:paraId="509A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D74328">
            <w:pPr>
              <w:spacing w:line="360" w:lineRule="auto"/>
              <w:jc w:val="center"/>
              <w:rPr>
                <w:rFonts w:hint="eastAsia" w:ascii="宋体" w:hAnsi="宋体" w:eastAsia="宋体" w:cs="宋体"/>
                <w:color w:val="auto"/>
                <w:sz w:val="24"/>
                <w:highlight w:val="none"/>
              </w:rPr>
            </w:pPr>
          </w:p>
        </w:tc>
        <w:tc>
          <w:tcPr>
            <w:tcW w:w="992" w:type="dxa"/>
            <w:vAlign w:val="center"/>
          </w:tcPr>
          <w:p w14:paraId="2131DC94">
            <w:pPr>
              <w:snapToGrid w:val="0"/>
              <w:spacing w:line="360" w:lineRule="auto"/>
              <w:jc w:val="center"/>
              <w:rPr>
                <w:rFonts w:hint="eastAsia" w:ascii="宋体" w:hAnsi="宋体" w:eastAsia="宋体" w:cs="宋体"/>
                <w:color w:val="auto"/>
                <w:sz w:val="24"/>
                <w:highlight w:val="none"/>
              </w:rPr>
            </w:pPr>
          </w:p>
        </w:tc>
        <w:tc>
          <w:tcPr>
            <w:tcW w:w="1466" w:type="dxa"/>
            <w:vAlign w:val="center"/>
          </w:tcPr>
          <w:p w14:paraId="1E3F9C1D">
            <w:pPr>
              <w:snapToGrid w:val="0"/>
              <w:spacing w:line="360" w:lineRule="auto"/>
              <w:jc w:val="center"/>
              <w:rPr>
                <w:rFonts w:hint="eastAsia" w:ascii="宋体" w:hAnsi="宋体" w:eastAsia="宋体" w:cs="宋体"/>
                <w:color w:val="auto"/>
                <w:sz w:val="24"/>
                <w:highlight w:val="none"/>
              </w:rPr>
            </w:pPr>
          </w:p>
        </w:tc>
        <w:tc>
          <w:tcPr>
            <w:tcW w:w="1450" w:type="dxa"/>
            <w:vAlign w:val="center"/>
          </w:tcPr>
          <w:p w14:paraId="48E45606">
            <w:pPr>
              <w:snapToGrid w:val="0"/>
              <w:spacing w:line="360" w:lineRule="auto"/>
              <w:jc w:val="center"/>
              <w:rPr>
                <w:rFonts w:hint="eastAsia" w:ascii="宋体" w:hAnsi="宋体" w:eastAsia="宋体" w:cs="宋体"/>
                <w:color w:val="auto"/>
                <w:sz w:val="24"/>
                <w:highlight w:val="none"/>
              </w:rPr>
            </w:pPr>
          </w:p>
        </w:tc>
        <w:tc>
          <w:tcPr>
            <w:tcW w:w="1380" w:type="dxa"/>
            <w:vAlign w:val="center"/>
          </w:tcPr>
          <w:p w14:paraId="0B63824B">
            <w:pPr>
              <w:snapToGrid w:val="0"/>
              <w:spacing w:line="360" w:lineRule="auto"/>
              <w:jc w:val="center"/>
              <w:rPr>
                <w:rFonts w:hint="eastAsia" w:ascii="宋体" w:hAnsi="宋体" w:eastAsia="宋体" w:cs="宋体"/>
                <w:color w:val="auto"/>
                <w:sz w:val="24"/>
                <w:highlight w:val="none"/>
              </w:rPr>
            </w:pPr>
          </w:p>
        </w:tc>
        <w:tc>
          <w:tcPr>
            <w:tcW w:w="1410" w:type="dxa"/>
            <w:vAlign w:val="center"/>
          </w:tcPr>
          <w:p w14:paraId="1D9F86C1">
            <w:pPr>
              <w:spacing w:line="360" w:lineRule="auto"/>
              <w:jc w:val="center"/>
              <w:rPr>
                <w:rFonts w:hint="eastAsia" w:ascii="宋体" w:hAnsi="宋体" w:eastAsia="宋体" w:cs="宋体"/>
                <w:color w:val="auto"/>
                <w:sz w:val="24"/>
                <w:highlight w:val="none"/>
              </w:rPr>
            </w:pPr>
          </w:p>
        </w:tc>
        <w:tc>
          <w:tcPr>
            <w:tcW w:w="1520" w:type="dxa"/>
          </w:tcPr>
          <w:p w14:paraId="0F4587CB">
            <w:pPr>
              <w:spacing w:line="360" w:lineRule="auto"/>
              <w:jc w:val="center"/>
              <w:rPr>
                <w:rFonts w:hint="eastAsia" w:ascii="宋体" w:hAnsi="宋体" w:eastAsia="宋体" w:cs="宋体"/>
                <w:color w:val="auto"/>
                <w:sz w:val="24"/>
                <w:highlight w:val="none"/>
              </w:rPr>
            </w:pPr>
          </w:p>
        </w:tc>
        <w:tc>
          <w:tcPr>
            <w:tcW w:w="2165" w:type="dxa"/>
            <w:vAlign w:val="center"/>
          </w:tcPr>
          <w:p w14:paraId="6E00CA0F">
            <w:pPr>
              <w:spacing w:line="360" w:lineRule="auto"/>
              <w:jc w:val="center"/>
              <w:rPr>
                <w:rFonts w:hint="eastAsia" w:ascii="宋体" w:hAnsi="宋体" w:eastAsia="宋体" w:cs="宋体"/>
                <w:color w:val="auto"/>
                <w:sz w:val="24"/>
                <w:highlight w:val="none"/>
              </w:rPr>
            </w:pPr>
          </w:p>
        </w:tc>
        <w:tc>
          <w:tcPr>
            <w:tcW w:w="713" w:type="dxa"/>
            <w:vAlign w:val="center"/>
          </w:tcPr>
          <w:p w14:paraId="4D81DAE1">
            <w:pPr>
              <w:spacing w:line="360" w:lineRule="auto"/>
              <w:jc w:val="center"/>
              <w:rPr>
                <w:rFonts w:hint="eastAsia" w:ascii="宋体" w:hAnsi="宋体" w:eastAsia="宋体" w:cs="宋体"/>
                <w:color w:val="auto"/>
                <w:sz w:val="24"/>
                <w:highlight w:val="none"/>
              </w:rPr>
            </w:pPr>
          </w:p>
        </w:tc>
        <w:tc>
          <w:tcPr>
            <w:tcW w:w="1602" w:type="dxa"/>
            <w:vAlign w:val="center"/>
          </w:tcPr>
          <w:p w14:paraId="628282D2">
            <w:pPr>
              <w:spacing w:line="360" w:lineRule="auto"/>
              <w:jc w:val="center"/>
              <w:rPr>
                <w:rFonts w:hint="eastAsia" w:ascii="宋体" w:hAnsi="宋体" w:eastAsia="宋体" w:cs="宋体"/>
                <w:color w:val="auto"/>
                <w:sz w:val="24"/>
                <w:highlight w:val="none"/>
              </w:rPr>
            </w:pPr>
          </w:p>
        </w:tc>
        <w:tc>
          <w:tcPr>
            <w:tcW w:w="1030" w:type="dxa"/>
            <w:vAlign w:val="center"/>
          </w:tcPr>
          <w:p w14:paraId="5B4205B4">
            <w:pPr>
              <w:spacing w:line="360" w:lineRule="auto"/>
              <w:jc w:val="center"/>
              <w:rPr>
                <w:rFonts w:hint="eastAsia" w:ascii="宋体" w:hAnsi="宋体" w:eastAsia="宋体" w:cs="宋体"/>
                <w:color w:val="auto"/>
                <w:sz w:val="24"/>
                <w:highlight w:val="none"/>
              </w:rPr>
            </w:pPr>
          </w:p>
        </w:tc>
      </w:tr>
      <w:tr w14:paraId="39EC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4903EF6">
            <w:pPr>
              <w:spacing w:line="360" w:lineRule="auto"/>
              <w:jc w:val="center"/>
              <w:rPr>
                <w:rFonts w:hint="eastAsia" w:ascii="宋体" w:hAnsi="宋体" w:eastAsia="宋体" w:cs="宋体"/>
                <w:color w:val="auto"/>
                <w:sz w:val="24"/>
                <w:highlight w:val="none"/>
              </w:rPr>
            </w:pPr>
          </w:p>
        </w:tc>
        <w:tc>
          <w:tcPr>
            <w:tcW w:w="992" w:type="dxa"/>
            <w:vAlign w:val="center"/>
          </w:tcPr>
          <w:p w14:paraId="02AD8BD5">
            <w:pPr>
              <w:snapToGrid w:val="0"/>
              <w:spacing w:line="360" w:lineRule="auto"/>
              <w:jc w:val="center"/>
              <w:rPr>
                <w:rFonts w:hint="eastAsia" w:ascii="宋体" w:hAnsi="宋体" w:eastAsia="宋体" w:cs="宋体"/>
                <w:color w:val="auto"/>
                <w:sz w:val="24"/>
                <w:highlight w:val="none"/>
              </w:rPr>
            </w:pPr>
          </w:p>
        </w:tc>
        <w:tc>
          <w:tcPr>
            <w:tcW w:w="1466" w:type="dxa"/>
            <w:vAlign w:val="center"/>
          </w:tcPr>
          <w:p w14:paraId="39C346FA">
            <w:pPr>
              <w:snapToGrid w:val="0"/>
              <w:spacing w:line="360" w:lineRule="auto"/>
              <w:jc w:val="center"/>
              <w:rPr>
                <w:rFonts w:hint="eastAsia" w:ascii="宋体" w:hAnsi="宋体" w:eastAsia="宋体" w:cs="宋体"/>
                <w:color w:val="auto"/>
                <w:sz w:val="24"/>
                <w:highlight w:val="none"/>
              </w:rPr>
            </w:pPr>
          </w:p>
        </w:tc>
        <w:tc>
          <w:tcPr>
            <w:tcW w:w="1450" w:type="dxa"/>
            <w:vAlign w:val="center"/>
          </w:tcPr>
          <w:p w14:paraId="6166488F">
            <w:pPr>
              <w:snapToGrid w:val="0"/>
              <w:spacing w:line="360" w:lineRule="auto"/>
              <w:jc w:val="center"/>
              <w:rPr>
                <w:rFonts w:hint="eastAsia" w:ascii="宋体" w:hAnsi="宋体" w:eastAsia="宋体" w:cs="宋体"/>
                <w:color w:val="auto"/>
                <w:sz w:val="24"/>
                <w:highlight w:val="none"/>
              </w:rPr>
            </w:pPr>
          </w:p>
        </w:tc>
        <w:tc>
          <w:tcPr>
            <w:tcW w:w="1380" w:type="dxa"/>
            <w:vAlign w:val="center"/>
          </w:tcPr>
          <w:p w14:paraId="0585E041">
            <w:pPr>
              <w:snapToGrid w:val="0"/>
              <w:spacing w:line="360" w:lineRule="auto"/>
              <w:jc w:val="center"/>
              <w:rPr>
                <w:rFonts w:hint="eastAsia" w:ascii="宋体" w:hAnsi="宋体" w:eastAsia="宋体" w:cs="宋体"/>
                <w:color w:val="auto"/>
                <w:sz w:val="24"/>
                <w:highlight w:val="none"/>
              </w:rPr>
            </w:pPr>
          </w:p>
        </w:tc>
        <w:tc>
          <w:tcPr>
            <w:tcW w:w="1410" w:type="dxa"/>
            <w:vAlign w:val="center"/>
          </w:tcPr>
          <w:p w14:paraId="438D4B3B">
            <w:pPr>
              <w:spacing w:line="360" w:lineRule="auto"/>
              <w:jc w:val="center"/>
              <w:rPr>
                <w:rFonts w:hint="eastAsia" w:ascii="宋体" w:hAnsi="宋体" w:eastAsia="宋体" w:cs="宋体"/>
                <w:color w:val="auto"/>
                <w:sz w:val="24"/>
                <w:highlight w:val="none"/>
              </w:rPr>
            </w:pPr>
          </w:p>
        </w:tc>
        <w:tc>
          <w:tcPr>
            <w:tcW w:w="1520" w:type="dxa"/>
          </w:tcPr>
          <w:p w14:paraId="66FF27CA">
            <w:pPr>
              <w:spacing w:line="360" w:lineRule="auto"/>
              <w:jc w:val="center"/>
              <w:rPr>
                <w:rFonts w:hint="eastAsia" w:ascii="宋体" w:hAnsi="宋体" w:eastAsia="宋体" w:cs="宋体"/>
                <w:color w:val="auto"/>
                <w:sz w:val="24"/>
                <w:highlight w:val="none"/>
              </w:rPr>
            </w:pPr>
          </w:p>
        </w:tc>
        <w:tc>
          <w:tcPr>
            <w:tcW w:w="2165" w:type="dxa"/>
            <w:vAlign w:val="center"/>
          </w:tcPr>
          <w:p w14:paraId="324D6E74">
            <w:pPr>
              <w:spacing w:line="360" w:lineRule="auto"/>
              <w:jc w:val="center"/>
              <w:rPr>
                <w:rFonts w:hint="eastAsia" w:ascii="宋体" w:hAnsi="宋体" w:eastAsia="宋体" w:cs="宋体"/>
                <w:color w:val="auto"/>
                <w:sz w:val="24"/>
                <w:highlight w:val="none"/>
              </w:rPr>
            </w:pPr>
          </w:p>
        </w:tc>
        <w:tc>
          <w:tcPr>
            <w:tcW w:w="713" w:type="dxa"/>
            <w:vAlign w:val="center"/>
          </w:tcPr>
          <w:p w14:paraId="58BF895F">
            <w:pPr>
              <w:spacing w:line="360" w:lineRule="auto"/>
              <w:jc w:val="center"/>
              <w:rPr>
                <w:rFonts w:hint="eastAsia" w:ascii="宋体" w:hAnsi="宋体" w:eastAsia="宋体" w:cs="宋体"/>
                <w:color w:val="auto"/>
                <w:sz w:val="24"/>
                <w:highlight w:val="none"/>
              </w:rPr>
            </w:pPr>
          </w:p>
        </w:tc>
        <w:tc>
          <w:tcPr>
            <w:tcW w:w="1602" w:type="dxa"/>
            <w:vAlign w:val="center"/>
          </w:tcPr>
          <w:p w14:paraId="1D169E86">
            <w:pPr>
              <w:spacing w:line="360" w:lineRule="auto"/>
              <w:jc w:val="center"/>
              <w:rPr>
                <w:rFonts w:hint="eastAsia" w:ascii="宋体" w:hAnsi="宋体" w:eastAsia="宋体" w:cs="宋体"/>
                <w:color w:val="auto"/>
                <w:sz w:val="24"/>
                <w:highlight w:val="none"/>
              </w:rPr>
            </w:pPr>
          </w:p>
        </w:tc>
        <w:tc>
          <w:tcPr>
            <w:tcW w:w="1030" w:type="dxa"/>
            <w:vAlign w:val="center"/>
          </w:tcPr>
          <w:p w14:paraId="12429D5F">
            <w:pPr>
              <w:spacing w:line="360" w:lineRule="auto"/>
              <w:jc w:val="center"/>
              <w:rPr>
                <w:rFonts w:hint="eastAsia" w:ascii="宋体" w:hAnsi="宋体" w:eastAsia="宋体" w:cs="宋体"/>
                <w:color w:val="auto"/>
                <w:sz w:val="24"/>
                <w:highlight w:val="none"/>
              </w:rPr>
            </w:pPr>
          </w:p>
        </w:tc>
      </w:tr>
      <w:tr w14:paraId="55FC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725" w:type="dxa"/>
            <w:gridSpan w:val="4"/>
            <w:vAlign w:val="center"/>
          </w:tcPr>
          <w:p w14:paraId="5703D0DC">
            <w:pPr>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3年</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投标</w:t>
            </w:r>
            <w:r>
              <w:rPr>
                <w:rFonts w:hint="eastAsia" w:ascii="宋体" w:hAnsi="宋体" w:cs="宋体"/>
                <w:b/>
                <w:color w:val="auto"/>
                <w:sz w:val="24"/>
                <w:highlight w:val="none"/>
                <w:lang w:val="en-US" w:eastAsia="zh-CN"/>
              </w:rPr>
              <w:t>总</w:t>
            </w:r>
            <w:r>
              <w:rPr>
                <w:rFonts w:hint="eastAsia" w:ascii="宋体" w:hAnsi="宋体" w:eastAsia="宋体" w:cs="宋体"/>
                <w:b/>
                <w:color w:val="auto"/>
                <w:sz w:val="24"/>
                <w:highlight w:val="none"/>
              </w:rPr>
              <w:t>报价（小写）</w:t>
            </w:r>
          </w:p>
        </w:tc>
        <w:tc>
          <w:tcPr>
            <w:tcW w:w="9820" w:type="dxa"/>
            <w:gridSpan w:val="7"/>
          </w:tcPr>
          <w:p w14:paraId="175D0816">
            <w:pPr>
              <w:spacing w:line="360" w:lineRule="auto"/>
              <w:jc w:val="center"/>
              <w:rPr>
                <w:rFonts w:hint="eastAsia" w:ascii="宋体" w:hAnsi="宋体" w:eastAsia="宋体" w:cs="宋体"/>
                <w:color w:val="auto"/>
                <w:sz w:val="24"/>
                <w:highlight w:val="none"/>
              </w:rPr>
            </w:pPr>
          </w:p>
        </w:tc>
      </w:tr>
      <w:tr w14:paraId="1E78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725" w:type="dxa"/>
            <w:gridSpan w:val="4"/>
            <w:vAlign w:val="center"/>
          </w:tcPr>
          <w:p w14:paraId="3F059788">
            <w:pPr>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3年</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投标</w:t>
            </w:r>
            <w:r>
              <w:rPr>
                <w:rFonts w:hint="eastAsia" w:ascii="宋体" w:hAnsi="宋体" w:cs="宋体"/>
                <w:b/>
                <w:color w:val="auto"/>
                <w:sz w:val="24"/>
                <w:highlight w:val="none"/>
                <w:lang w:val="en-US" w:eastAsia="zh-CN"/>
              </w:rPr>
              <w:t>总</w:t>
            </w:r>
            <w:r>
              <w:rPr>
                <w:rFonts w:hint="eastAsia" w:ascii="宋体" w:hAnsi="宋体" w:eastAsia="宋体" w:cs="宋体"/>
                <w:b/>
                <w:color w:val="auto"/>
                <w:sz w:val="24"/>
                <w:highlight w:val="none"/>
              </w:rPr>
              <w:t>报价（大写）</w:t>
            </w:r>
          </w:p>
        </w:tc>
        <w:tc>
          <w:tcPr>
            <w:tcW w:w="9820" w:type="dxa"/>
            <w:gridSpan w:val="7"/>
          </w:tcPr>
          <w:p w14:paraId="63EB12C6">
            <w:pPr>
              <w:spacing w:line="360" w:lineRule="auto"/>
              <w:jc w:val="center"/>
              <w:rPr>
                <w:rFonts w:hint="eastAsia" w:ascii="宋体" w:hAnsi="宋体" w:eastAsia="宋体" w:cs="宋体"/>
                <w:color w:val="auto"/>
                <w:sz w:val="24"/>
                <w:highlight w:val="none"/>
              </w:rPr>
            </w:pPr>
          </w:p>
        </w:tc>
      </w:tr>
      <w:tr w14:paraId="6F64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545" w:type="dxa"/>
            <w:gridSpan w:val="11"/>
            <w:vAlign w:val="center"/>
          </w:tcPr>
          <w:p w14:paraId="463E7DFF">
            <w:pPr>
              <w:spacing w:line="360" w:lineRule="auto"/>
              <w:jc w:val="both"/>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注：政采云系统填写</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3年</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投标总报价</w:t>
            </w:r>
          </w:p>
        </w:tc>
      </w:tr>
    </w:tbl>
    <w:p w14:paraId="62D5A5EE">
      <w:pPr>
        <w:snapToGrid w:val="0"/>
        <w:spacing w:line="360" w:lineRule="auto"/>
        <w:ind w:left="480"/>
        <w:rPr>
          <w:rFonts w:hint="eastAsia" w:ascii="宋体" w:hAnsi="宋体" w:eastAsia="宋体" w:cs="宋体"/>
          <w:b/>
          <w:color w:val="000000" w:themeColor="text1"/>
          <w:kern w:val="0"/>
          <w:sz w:val="24"/>
          <w:highlight w:val="none"/>
          <w:lang w:val="zh-CN"/>
          <w14:textFill>
            <w14:solidFill>
              <w14:schemeClr w14:val="tx1"/>
            </w14:solidFill>
          </w14:textFill>
        </w:rPr>
      </w:pPr>
    </w:p>
    <w:p w14:paraId="3197AF8A">
      <w:pPr>
        <w:snapToGrid w:val="0"/>
        <w:spacing w:line="360" w:lineRule="auto"/>
        <w:ind w:left="480"/>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p>
    <w:p w14:paraId="737A869C">
      <w:pPr>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10AC8EA4">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eastAsia="宋体" w:cs="宋体"/>
          <w:b/>
          <w:color w:val="000000" w:themeColor="text1"/>
          <w:kern w:val="0"/>
          <w:sz w:val="24"/>
          <w:highlight w:val="none"/>
          <w14:textFill>
            <w14:solidFill>
              <w14:schemeClr w14:val="tx1"/>
            </w14:solidFill>
          </w14:textFill>
        </w:rPr>
        <w:t>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34BA7E0E">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46228F6C">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szCs w:val="22"/>
          <w:highlight w:val="none"/>
          <w:lang w:val="zh-CN"/>
          <w14:textFill>
            <w14:solidFill>
              <w14:schemeClr w14:val="tx1"/>
            </w14:solidFill>
          </w14:textFill>
        </w:rPr>
        <w:t>4、</w:t>
      </w:r>
      <w:r>
        <w:rPr>
          <w:rFonts w:hint="eastAsia" w:ascii="宋体" w:hAnsi="宋体" w:eastAsia="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B102F3D">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420396F1">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3B53EECE">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3B156F37">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42496212">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248169F9">
      <w:pPr>
        <w:pStyle w:val="693"/>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101ED524">
      <w:pPr>
        <w:widowControl/>
        <w:adjustRightInd/>
        <w:jc w:val="left"/>
        <w:rPr>
          <w:rFonts w:hint="eastAsia" w:ascii="宋体" w:hAnsi="宋体" w:eastAsia="宋体" w:cs="宋体"/>
          <w:b/>
          <w:color w:val="000000" w:themeColor="text1"/>
          <w:sz w:val="32"/>
          <w:szCs w:val="32"/>
          <w:highlight w:val="none"/>
          <w14:textFill>
            <w14:solidFill>
              <w14:schemeClr w14:val="tx1"/>
            </w14:solidFill>
          </w14:textFill>
        </w:rPr>
        <w:sectPr>
          <w:pgSz w:w="16838" w:h="11906" w:orient="landscape"/>
          <w:pgMar w:top="1418" w:right="1276" w:bottom="1418" w:left="1247" w:header="851" w:footer="992" w:gutter="0"/>
          <w:cols w:space="720" w:num="1"/>
          <w:titlePg/>
          <w:docGrid w:linePitch="312" w:charSpace="0"/>
        </w:sectPr>
      </w:pPr>
    </w:p>
    <w:p w14:paraId="5C67B499">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4B1ACF13">
      <w:pPr>
        <w:widowControl/>
        <w:spacing w:line="360" w:lineRule="auto"/>
        <w:ind w:firstLine="120" w:firstLineChars="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360F829">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highlight w:val="none"/>
          <w14:textFill>
            <w14:solidFill>
              <w14:schemeClr w14:val="tx1"/>
            </w14:solidFill>
          </w14:textFill>
        </w:rPr>
      </w:pPr>
    </w:p>
    <w:p w14:paraId="651428E3">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3BA36A39">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338B9157">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755B31CD">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5DFD5E76">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6F2F8DD5">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7B0270AC">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3AE4DBE5">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10D6BDB2">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2C8DA6D8">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w:t>
      </w:r>
    </w:p>
    <w:p w14:paraId="790DBC6C">
      <w:pPr>
        <w:spacing w:line="360" w:lineRule="auto"/>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附件1：</w:t>
      </w:r>
    </w:p>
    <w:p w14:paraId="0A6DF5B3">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533" w:name="OLE_LINK14"/>
      <w:bookmarkStart w:id="534" w:name="OLE_LINK13"/>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533"/>
    <w:bookmarkEnd w:id="534"/>
    <w:p w14:paraId="299C4022">
      <w:pPr>
        <w:spacing w:line="360" w:lineRule="auto"/>
        <w:rPr>
          <w:rFonts w:hint="eastAsia" w:ascii="宋体" w:hAnsi="宋体" w:eastAsia="宋体" w:cs="宋体"/>
          <w:b/>
          <w:color w:val="000000" w:themeColor="text1"/>
          <w:spacing w:val="6"/>
          <w:sz w:val="30"/>
          <w:szCs w:val="30"/>
          <w:highlight w:val="none"/>
          <w14:textFill>
            <w14:solidFill>
              <w14:schemeClr w14:val="tx1"/>
            </w14:solidFill>
          </w14:textFill>
        </w:rPr>
      </w:pPr>
    </w:p>
    <w:p w14:paraId="790CE14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themeColor="text1"/>
          <w:sz w:val="24"/>
          <w:highlight w:val="none"/>
          <w:u w:val="single"/>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单位的</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FDBD84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1557DAB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4E86D3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7D746B63">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eastAsia="宋体" w:cs="宋体"/>
          <w:color w:val="000000" w:themeColor="text1"/>
          <w:sz w:val="24"/>
          <w:highlight w:val="none"/>
          <w14:textFill>
            <w14:solidFill>
              <w14:schemeClr w14:val="tx1"/>
            </w14:solidFill>
          </w14:textFill>
        </w:rPr>
        <w:t>：</w:t>
      </w:r>
    </w:p>
    <w:p w14:paraId="6FB5D7D7">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14:paraId="52FBAF9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C2D6F0E">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71184970">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173DCBC1">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47B8BE11">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7C1076DE">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B6D6A22">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31C84516">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9831BD3">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782FBA3">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4F85008">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53BF4F2">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DE34491">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3466D5C">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6AD30EE6">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附件2：质疑函范本及制作说明</w:t>
      </w:r>
    </w:p>
    <w:p w14:paraId="7DF9CE32">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14:paraId="0EB9A1F7">
      <w:pPr>
        <w:snapToGrid w:val="0"/>
        <w:spacing w:before="240" w:beforeLines="100"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一、质疑供应商基本信息</w:t>
      </w:r>
    </w:p>
    <w:p w14:paraId="0CC86B54">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C1B4F0E">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68278C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4192663">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C03510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3C4898F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地址： </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1E469A5">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14:paraId="3BD1E13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3B2C30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C5E2074">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AADA01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1E7176F">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14:paraId="355C9163">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EEB60B3">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54FE1AF">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950F2EA">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25AA3C6">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CAEBA7F">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14:paraId="7B3476A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64740A7D">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14:paraId="6BFAE81A">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3D7089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27E2420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28995743">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12C132B4">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23D98DF">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5C58146">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378B2C1">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质疑函制作说明：</w:t>
      </w:r>
    </w:p>
    <w:p w14:paraId="3F34BC18">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14:paraId="0FCF0A1A">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537A47C">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14:paraId="02193CF5">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14:paraId="6D00C075">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14:paraId="67792102">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67CDC37">
      <w:pPr>
        <w:widowControl/>
        <w:spacing w:line="360" w:lineRule="auto"/>
        <w:ind w:firstLine="600" w:firstLineChars="200"/>
        <w:jc w:val="left"/>
        <w:rPr>
          <w:rFonts w:hint="eastAsia" w:ascii="宋体" w:hAnsi="宋体" w:eastAsia="宋体" w:cs="宋体"/>
          <w:color w:val="000000" w:themeColor="text1"/>
          <w:sz w:val="30"/>
          <w:szCs w:val="30"/>
          <w:highlight w:val="none"/>
          <w14:textFill>
            <w14:solidFill>
              <w14:schemeClr w14:val="tx1"/>
            </w14:solidFill>
          </w14:textFill>
        </w:rPr>
      </w:pPr>
    </w:p>
    <w:p w14:paraId="4F9A30BB">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551C694">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E4B92A3">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9872142">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57A2EA6">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B707CD9">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68B445B">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5E1C9F5">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639EBA0">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2023695">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9110469">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1B6A259">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5E5F188">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5E61F465">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5F9C710C">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附件3：投诉书范本及制作说明</w:t>
      </w:r>
    </w:p>
    <w:p w14:paraId="5B0DA0E5">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7424F805">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14:paraId="73AE55D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14:paraId="2D866F5F">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C98E190">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8EF2E4F">
      <w:pPr>
        <w:tabs>
          <w:tab w:val="left" w:pos="651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6BEECA54">
      <w:pPr>
        <w:tabs>
          <w:tab w:val="left" w:pos="6510"/>
        </w:tabs>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7280D7C">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72E6EAE">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41F0D5F">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527DCDB">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374A894">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E91970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14:paraId="2904D824">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4418D6E4">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A81C6A4">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2729B50">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4F9699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14:paraId="4C79A5FA">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C05CEEF">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1CCFF7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9504B48">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A92C1FB">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5B63141">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D08485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14:paraId="78B2AA5A">
      <w:pPr>
        <w:spacing w:line="360" w:lineRule="auto"/>
        <w:ind w:firstLine="480" w:firstLineChars="20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日，向</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提出质疑，质疑事项为：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F1C8EB0">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3AC7D8A7">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日，就质疑事项作出了答复/没有在法定期限内作出答复。</w:t>
      </w:r>
    </w:p>
    <w:p w14:paraId="77676A5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14:paraId="46899B53">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8C75DE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509795F">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3A84996">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F070BC6">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8BF0FA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14:paraId="774C8AA2">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45268E1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14:paraId="56BC1A5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4AED5250">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386408F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39C117B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26B50895">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E9B64AB">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2040531">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14:paraId="602F9D68">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B2A7C51">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31D49CD">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14:paraId="1A758804">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4.投诉书应简要列明质疑事项，质疑函、质疑答复等作为附件材料提供。</w:t>
      </w:r>
    </w:p>
    <w:p w14:paraId="7F75BA08">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14:paraId="462D2BEB">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14:paraId="192FE73A">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944E2B8">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3067BFA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415016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677A661">
      <w:pPr>
        <w:autoSpaceDE w:val="0"/>
        <w:autoSpaceDN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附件4：</w:t>
      </w:r>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p>
    <w:p w14:paraId="4A0F5A4D">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p>
    <w:p w14:paraId="1E6B7CC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p>
    <w:p w14:paraId="623BEAA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你方组织的（项目名称）【招标编号：（采购编号）】</w:t>
      </w:r>
      <w:r>
        <w:rPr>
          <w:rFonts w:hint="eastAsia" w:ascii="宋体" w:hAnsi="宋体" w:eastAsia="宋体" w:cs="宋体"/>
          <w:bCs/>
          <w:color w:val="000000" w:themeColor="text1"/>
          <w:sz w:val="24"/>
          <w:highlight w:val="none"/>
          <w14:textFill>
            <w14:solidFill>
              <w14:schemeClr w14:val="tx1"/>
            </w14:solidFill>
          </w14:textFill>
        </w:rPr>
        <w:t>投标活动中作如下说明：</w:t>
      </w:r>
      <w:r>
        <w:rPr>
          <w:rFonts w:hint="eastAsia" w:ascii="宋体" w:hAnsi="宋体" w:eastAsia="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23DBEEC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14:paraId="44402927">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1992C641">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7F68F710">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203F878F">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425D2951">
      <w:pPr>
        <w:spacing w:line="360" w:lineRule="auto"/>
        <w:ind w:right="480"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投标单位（法定名称章）：</w:t>
      </w:r>
    </w:p>
    <w:p w14:paraId="75EA5578">
      <w:pPr>
        <w:ind w:right="1440" w:firstLine="4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7713B834">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14:paraId="1679A83B">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highlight w:val="none"/>
          <w14:textFill>
            <w14:solidFill>
              <w14:schemeClr w14:val="tx1"/>
            </w14:solidFill>
          </w14:textFill>
        </w:rPr>
        <w:t>投标单位法定名称章（印模）                投标单位“XX专用章”（印模）</w:t>
      </w:r>
    </w:p>
    <w:p w14:paraId="3DA1CDB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F31159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5A6F45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B5E92D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23909A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42A917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8F65C3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B3AFA2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4EF5B9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42F7C7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8AC761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E1B5DD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03B732E">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16848E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AD32FF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8B6594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177D49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C8779CA">
      <w:pPr>
        <w:autoSpaceDE w:val="0"/>
        <w:autoSpaceDN w:val="0"/>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附件5：</w:t>
      </w:r>
      <w:r>
        <w:rPr>
          <w:rFonts w:hint="eastAsia" w:ascii="宋体" w:hAnsi="宋体" w:eastAsia="宋体" w:cs="宋体"/>
          <w:b/>
          <w:color w:val="000000" w:themeColor="text1"/>
          <w:kern w:val="0"/>
          <w:sz w:val="32"/>
          <w:szCs w:val="32"/>
          <w:highlight w:val="none"/>
          <w:lang w:val="zh-CN"/>
          <w14:textFill>
            <w14:solidFill>
              <w14:schemeClr w14:val="tx1"/>
            </w14:solidFill>
          </w14:textFill>
        </w:rPr>
        <w:t>联合协议</w:t>
      </w:r>
    </w:p>
    <w:p w14:paraId="053B4159">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4C46064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 xml:space="preserve"> 【招标编号：（采购编号）】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 </w:t>
      </w:r>
    </w:p>
    <w:p w14:paraId="10E2E785">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146140B">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62CE9BB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p>
    <w:p w14:paraId="2CD6C4C1">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（联合体成员1）</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5730DED">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（联合体成员2）</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F0E8C2C">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41771968">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四、联合体成员中小企业合同份额。</w:t>
      </w:r>
    </w:p>
    <w:p w14:paraId="72C4AFB9">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w:t>
      </w:r>
      <w:bookmarkStart w:id="535" w:name="_Hlk101131882"/>
      <w:r>
        <w:rPr>
          <w:rFonts w:hint="eastAsia" w:ascii="宋体" w:hAnsi="宋体" w:eastAsia="宋体" w:cs="宋体"/>
          <w:color w:val="000000" w:themeColor="text1"/>
          <w:kern w:val="0"/>
          <w:sz w:val="24"/>
          <w:highlight w:val="none"/>
          <w:u w:val="single"/>
          <w14:textFill>
            <w14:solidFill>
              <w14:schemeClr w14:val="tx1"/>
            </w14:solidFill>
          </w14:textFill>
        </w:rPr>
        <w:t>联合体成员X,……</w:t>
      </w:r>
      <w:bookmarkEnd w:id="535"/>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w:t>
      </w:r>
      <w:bookmarkStart w:id="536" w:name="_Hlk101133598"/>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bookmarkEnd w:id="536"/>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5A05DCA5">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bookmarkStart w:id="537" w:name="_Hlk101133173"/>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bookmarkEnd w:id="537"/>
    </w:p>
    <w:p w14:paraId="14170C79">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60913B4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14:paraId="3423C3B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6A8AF445">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0F334CE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08C811CF">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055E5B0E">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68C198EE">
      <w:pPr>
        <w:snapToGrid w:val="0"/>
        <w:spacing w:line="360" w:lineRule="auto"/>
        <w:ind w:right="960"/>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18FCA1E4">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2B90665D">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1227A198">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E5141B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94DB9D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BC6FAE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89D754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9DE245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56F8748">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7043A7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61C39D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AECA09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24309F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466D1D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BAB1B6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088A93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A6F9F5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3F5B6E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A726CF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D5B8FD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B63913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6EDC0C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0909AC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B51257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4D5190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5675517">
      <w:pPr>
        <w:snapToGrid w:val="0"/>
        <w:spacing w:line="360" w:lineRule="auto"/>
        <w:ind w:firstLine="3666" w:firstLineChars="1100"/>
        <w:rPr>
          <w:rFonts w:hint="eastAsia" w:ascii="宋体" w:hAnsi="宋体" w:eastAsia="宋体" w:cs="宋体"/>
          <w:b/>
          <w:color w:val="000000" w:themeColor="text1"/>
          <w:spacing w:val="6"/>
          <w:sz w:val="32"/>
          <w:szCs w:val="32"/>
          <w:highlight w:val="none"/>
          <w14:textFill>
            <w14:solidFill>
              <w14:schemeClr w14:val="tx1"/>
            </w14:solidFill>
          </w14:textFill>
        </w:rPr>
      </w:pPr>
    </w:p>
    <w:p w14:paraId="483C3506">
      <w:pPr>
        <w:widowControl/>
        <w:adjustRightInd/>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680CA591">
      <w:pPr>
        <w:snapToGrid w:val="0"/>
        <w:spacing w:line="360" w:lineRule="auto"/>
        <w:ind w:firstLine="3666" w:firstLineChars="11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附件6：</w:t>
      </w:r>
      <w:r>
        <w:rPr>
          <w:rFonts w:hint="eastAsia" w:ascii="宋体" w:hAnsi="宋体" w:eastAsia="宋体" w:cs="宋体"/>
          <w:b/>
          <w:color w:val="000000" w:themeColor="text1"/>
          <w:kern w:val="0"/>
          <w:sz w:val="32"/>
          <w:szCs w:val="32"/>
          <w:highlight w:val="none"/>
          <w14:textFill>
            <w14:solidFill>
              <w14:schemeClr w14:val="tx1"/>
            </w14:solidFill>
          </w14:textFill>
        </w:rPr>
        <w:t>分包意向协议</w:t>
      </w:r>
    </w:p>
    <w:p w14:paraId="58759A60">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6CC6E6AE">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 xml:space="preserve"> 【招标编号：（采购编号）】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47189131">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一、分包标的及数量</w:t>
      </w:r>
    </w:p>
    <w:p w14:paraId="3B6311E5">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（分包供应商2名称），</w:t>
      </w:r>
      <w:r>
        <w:rPr>
          <w:rFonts w:hint="eastAsia" w:ascii="宋体" w:hAnsi="宋体" w:eastAsia="宋体" w:cs="宋体"/>
          <w:color w:val="000000" w:themeColor="text1"/>
          <w:kern w:val="0"/>
          <w:sz w:val="24"/>
          <w:highlight w:val="none"/>
          <w:lang w:val="zh-CN"/>
          <w14:textFill>
            <w14:solidFill>
              <w14:schemeClr w14:val="tx1"/>
            </w14:solidFill>
          </w14:textFill>
        </w:rPr>
        <w:t>具备承</w:t>
      </w:r>
      <w:r>
        <w:rPr>
          <w:rFonts w:hint="eastAsia" w:ascii="宋体" w:hAnsi="宋体" w:eastAsia="宋体" w:cs="宋体"/>
          <w:color w:val="000000" w:themeColor="text1"/>
          <w:kern w:val="0"/>
          <w:sz w:val="24"/>
          <w:highlight w:val="none"/>
          <w14:textFill>
            <w14:solidFill>
              <w14:schemeClr w14:val="tx1"/>
            </w14:solidFill>
          </w14:textFill>
        </w:rPr>
        <w:t>担</w:t>
      </w:r>
      <w:r>
        <w:rPr>
          <w:rFonts w:hint="eastAsia" w:ascii="宋体" w:hAnsi="宋体" w:eastAsia="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 w:val="24"/>
          <w:highlight w:val="none"/>
          <w:lang w:val="zh-CN"/>
          <w14:textFill>
            <w14:solidFill>
              <w14:schemeClr w14:val="tx1"/>
            </w14:solidFill>
          </w14:textFill>
        </w:rPr>
        <w:t>相应资质条件且不得再次分包；</w:t>
      </w:r>
    </w:p>
    <w:p w14:paraId="242D5E94">
      <w:pPr>
        <w:pStyle w:val="4"/>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1C2ABBC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14:paraId="38206B66">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二、分包供应商中小企业合同份额</w:t>
      </w:r>
    </w:p>
    <w:p w14:paraId="0921E964">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（分包供应商X,……）提供的服务全部由小微企业承接，</w:t>
      </w:r>
      <w:r>
        <w:rPr>
          <w:rFonts w:hint="eastAsia" w:ascii="宋体" w:hAnsi="宋体" w:eastAsia="宋体" w:cs="宋体"/>
          <w:color w:val="000000" w:themeColor="text1"/>
          <w:kern w:val="0"/>
          <w:sz w:val="24"/>
          <w:highlight w:val="none"/>
          <w14:textFill>
            <w14:solidFill>
              <w14:schemeClr w14:val="tx1"/>
            </w14:solidFill>
          </w14:textFill>
        </w:rPr>
        <w:t>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076C7595">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eastAsia="宋体" w:cs="宋体"/>
          <w:b/>
          <w:color w:val="000000" w:themeColor="text1"/>
          <w:kern w:val="0"/>
          <w:sz w:val="24"/>
          <w:highlight w:val="none"/>
          <w:lang w:val="zh-CN"/>
          <w14:textFill>
            <w14:solidFill>
              <w14:schemeClr w14:val="tx1"/>
            </w14:solidFill>
          </w14:textFill>
        </w:rPr>
        <w:t>分包意向协议</w:t>
      </w:r>
      <w:r>
        <w:rPr>
          <w:rFonts w:hint="eastAsia" w:ascii="宋体" w:hAnsi="宋体" w:eastAsia="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p>
    <w:p w14:paraId="280A0ACC">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三、分包工作履行期限、地点、方式</w:t>
      </w:r>
    </w:p>
    <w:p w14:paraId="71AF99E6">
      <w:pPr>
        <w:snapToGrid w:val="0"/>
        <w:spacing w:line="360" w:lineRule="auto"/>
        <w:ind w:firstLine="576"/>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2490876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四、质量</w:t>
      </w:r>
    </w:p>
    <w:p w14:paraId="58ED334E">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1CE9BB9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五、价款或者报酬</w:t>
      </w:r>
    </w:p>
    <w:p w14:paraId="1E1D190C">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0D9F0DC8">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六、违约责任</w:t>
      </w:r>
    </w:p>
    <w:p w14:paraId="5E429B2E">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615097D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七、争议解决的办法</w:t>
      </w:r>
    </w:p>
    <w:p w14:paraId="6B290C3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064DBD0D">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八、其他</w:t>
      </w:r>
    </w:p>
    <w:p w14:paraId="5FF4C1DB">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                                           投标人名称（电子签名）：</w:t>
      </w:r>
    </w:p>
    <w:p w14:paraId="76696A46">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分包供应商名称（电子签名/公章）：</w:t>
      </w:r>
    </w:p>
    <w:p w14:paraId="5D0DA189">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5D42D59B">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2C64AD3B">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6ACCCF0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B0C26C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40347E8">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F7BD8F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D64A45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153B9A8">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1DD4F9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4BCF53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F41D92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9AD315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DC115C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140C4E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631118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078B0F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055400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3E27E1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27432A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0BB390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A0134B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D9FFD9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15635D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807EA0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A86EFF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351C72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8DCC76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A72C6D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B7F239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9F25855">
      <w:pPr>
        <w:spacing w:line="360" w:lineRule="auto"/>
        <w:jc w:val="left"/>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附件7：中小企业声明函</w:t>
      </w:r>
    </w:p>
    <w:p w14:paraId="122DD17D">
      <w:pPr>
        <w:spacing w:line="360" w:lineRule="auto"/>
        <w:jc w:val="center"/>
        <w:rPr>
          <w:rFonts w:hint="eastAsia" w:ascii="宋体" w:hAnsi="宋体" w:eastAsia="宋体" w:cs="宋体"/>
          <w:color w:val="000000" w:themeColor="text1"/>
          <w:sz w:val="24"/>
          <w:highlight w:val="none"/>
          <w:u w:val="single"/>
          <w14:textFill>
            <w14:solidFill>
              <w14:schemeClr w14:val="tx1"/>
            </w14:solidFill>
          </w14:textFill>
        </w:rPr>
      </w:pPr>
    </w:p>
    <w:p w14:paraId="7B4A5657">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中小企业声明函（服务）</w:t>
      </w:r>
    </w:p>
    <w:p w14:paraId="765ADCB5">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sz w:val="24"/>
          <w:highlight w:val="none"/>
          <w:u w:val="single"/>
          <w14:textFill>
            <w14:solidFill>
              <w14:schemeClr w14:val="tx1"/>
            </w14:solidFill>
          </w14:textFill>
        </w:rPr>
        <w:t xml:space="preserve">（采购人） </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 xml:space="preserve"> （项目名称） </w:t>
      </w:r>
      <w:r>
        <w:rPr>
          <w:rFonts w:hint="eastAsia" w:ascii="宋体" w:hAnsi="宋体" w:eastAsia="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58B2894">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杭州市生态环境局建德分局2024-2026年建德市高空瞭望监控建设、服务租赁项目</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 xml:space="preserve"> 其他未列明行业</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627BD837">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 xml:space="preserve"> （标的名称），</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eastAsia="宋体" w:cs="宋体"/>
          <w:color w:val="000000" w:themeColor="text1"/>
          <w:sz w:val="24"/>
          <w:highlight w:val="none"/>
          <w14:textFill>
            <w14:solidFill>
              <w14:schemeClr w14:val="tx1"/>
            </w14:solidFill>
          </w14:textFill>
        </w:rPr>
        <w:t xml:space="preserve">；承建（承接）企业为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6273D2A7">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7BD2AD9D">
      <w:pPr>
        <w:pStyle w:val="4"/>
        <w:rPr>
          <w:rFonts w:hint="eastAsia" w:ascii="宋体" w:hAnsi="宋体" w:eastAsia="宋体" w:cs="宋体"/>
          <w:color w:val="000000" w:themeColor="text1"/>
          <w:highlight w:val="none"/>
          <w14:textFill>
            <w14:solidFill>
              <w14:schemeClr w14:val="tx1"/>
            </w14:solidFill>
          </w14:textFill>
        </w:rPr>
      </w:pPr>
    </w:p>
    <w:p w14:paraId="7DB1F099">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0C1143B4">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77B5F25">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1BE57D14">
      <w:pPr>
        <w:spacing w:line="360" w:lineRule="auto"/>
        <w:ind w:right="176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投标人名称（电子签名）：</w:t>
      </w:r>
    </w:p>
    <w:p w14:paraId="4722CCFD">
      <w:pPr>
        <w:spacing w:line="360" w:lineRule="auto"/>
        <w:ind w:right="1120" w:firstLine="4680" w:firstLineChars="19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14:paraId="3988ABAE">
      <w:pPr>
        <w:spacing w:line="360" w:lineRule="auto"/>
        <w:ind w:firstLine="310" w:firstLineChars="147"/>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79A7A6D6">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p>
    <w:p w14:paraId="7EA56887">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注：</w:t>
      </w:r>
    </w:p>
    <w:p w14:paraId="3C146374">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D7EE907">
      <w:pPr>
        <w:spacing w:line="360" w:lineRule="auto"/>
        <w:ind w:right="420"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B4824D6">
      <w:pPr>
        <w:pStyle w:val="4"/>
        <w:rPr>
          <w:rFonts w:hint="eastAsia" w:ascii="宋体" w:hAnsi="宋体" w:eastAsia="宋体" w:cs="宋体"/>
          <w:color w:val="000000" w:themeColor="text1"/>
          <w:highlight w:val="none"/>
          <w:lang w:val="en-US"/>
          <w14:textFill>
            <w14:solidFill>
              <w14:schemeClr w14:val="tx1"/>
            </w14:solidFill>
          </w14:textFill>
        </w:rPr>
      </w:pPr>
    </w:p>
    <w:p w14:paraId="5C3FCE05">
      <w:pPr>
        <w:spacing w:line="360" w:lineRule="auto"/>
        <w:ind w:right="420"/>
        <w:rPr>
          <w:rFonts w:hint="eastAsia" w:ascii="宋体" w:hAnsi="宋体" w:eastAsia="宋体" w:cs="宋体"/>
          <w:color w:val="000000" w:themeColor="text1"/>
          <w:highlight w:val="none"/>
          <w14:textFill>
            <w14:solidFill>
              <w14:schemeClr w14:val="tx1"/>
            </w14:solidFill>
          </w14:textFill>
        </w:rPr>
      </w:pPr>
    </w:p>
    <w:p w14:paraId="5D06D160">
      <w:pPr>
        <w:spacing w:line="360" w:lineRule="auto"/>
        <w:rPr>
          <w:rFonts w:hint="eastAsia" w:ascii="宋体" w:hAnsi="宋体" w:eastAsia="宋体" w:cs="宋体"/>
          <w:bCs/>
          <w:color w:val="000000" w:themeColor="text1"/>
          <w:sz w:val="24"/>
          <w:highlight w:val="none"/>
          <w14:textFill>
            <w14:solidFill>
              <w14:schemeClr w14:val="tx1"/>
            </w14:solidFill>
          </w14:textFill>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altName w:val="Meiryo UI"/>
    <w:panose1 w:val="020B0500000000000000"/>
    <w:charset w:val="80"/>
    <w:family w:val="auto"/>
    <w:pitch w:val="default"/>
    <w:sig w:usb0="00000000" w:usb1="00000000" w:usb2="00000016" w:usb3="00000000" w:csb0="2002009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汉仪书宋二简">
    <w:altName w:val="宋体"/>
    <w:panose1 w:val="02010600000101010101"/>
    <w:charset w:val="86"/>
    <w:family w:val="auto"/>
    <w:pitch w:val="default"/>
    <w:sig w:usb0="00000000" w:usb1="00000000" w:usb2="00000002" w:usb3="00000000" w:csb0="00040000" w:csb1="00000000"/>
  </w:font>
  <w:font w:name="Arial Black">
    <w:panose1 w:val="020B0A04020102020204"/>
    <w:charset w:val="00"/>
    <w:family w:val="swiss"/>
    <w:pitch w:val="default"/>
    <w:sig w:usb0="00000287" w:usb1="00000000" w:usb2="00000000" w:usb3="00000000" w:csb0="2000009F" w:csb1="DFD7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Malgun Gothic">
    <w:panose1 w:val="020B0503020000020004"/>
    <w:charset w:val="81"/>
    <w:family w:val="auto"/>
    <w:pitch w:val="default"/>
    <w:sig w:usb0="900002AF" w:usb1="01D77CFB" w:usb2="00000012" w:usb3="00000000" w:csb0="00080001" w:csb1="00000000"/>
  </w:font>
  <w:font w:name="仿宋_GB2312">
    <w:altName w:val="仿宋"/>
    <w:panose1 w:val="02010609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7277">
    <w:pPr>
      <w:pStyle w:val="39"/>
      <w:jc w:val="center"/>
      <w:rPr>
        <w:rFonts w:ascii="宋体"/>
      </w:rPr>
    </w:pPr>
    <w:r>
      <w:rPr>
        <w:rFonts w:hint="eastAsia" w:ascii="宋体"/>
        <w:kern w:val="0"/>
      </w:rPr>
      <w:t xml:space="preserve">第 </w:t>
    </w:r>
    <w:r>
      <w:rPr>
        <w:rFonts w:hint="eastAsia" w:ascii="宋体"/>
        <w:kern w:val="0"/>
      </w:rPr>
      <w:fldChar w:fldCharType="begin"/>
    </w:r>
    <w:r>
      <w:rPr>
        <w:rFonts w:hint="eastAsia" w:ascii="宋体"/>
        <w:kern w:val="0"/>
      </w:rPr>
      <w:instrText xml:space="preserve"> PAGE </w:instrText>
    </w:r>
    <w:r>
      <w:rPr>
        <w:rFonts w:hint="eastAsia" w:ascii="宋体"/>
        <w:kern w:val="0"/>
      </w:rPr>
      <w:fldChar w:fldCharType="separate"/>
    </w:r>
    <w:r>
      <w:rPr>
        <w:rFonts w:ascii="宋体"/>
        <w:kern w:val="0"/>
      </w:rPr>
      <w:t>32</w:t>
    </w:r>
    <w:r>
      <w:rPr>
        <w:rFonts w:hint="eastAsia" w:ascii="宋体"/>
        <w:kern w:val="0"/>
      </w:rPr>
      <w:fldChar w:fldCharType="end"/>
    </w:r>
    <w:r>
      <w:rPr>
        <w:rFonts w:hint="eastAsia" w:ascii="宋体"/>
        <w:kern w:val="0"/>
      </w:rPr>
      <w:t xml:space="preserve"> 页 共 </w:t>
    </w:r>
    <w:r>
      <w:rPr>
        <w:rFonts w:hint="eastAsia" w:ascii="宋体"/>
        <w:kern w:val="0"/>
      </w:rPr>
      <w:fldChar w:fldCharType="begin"/>
    </w:r>
    <w:r>
      <w:rPr>
        <w:rFonts w:hint="eastAsia" w:ascii="宋体"/>
        <w:kern w:val="0"/>
      </w:rPr>
      <w:instrText xml:space="preserve"> NUMPAGES </w:instrText>
    </w:r>
    <w:r>
      <w:rPr>
        <w:rFonts w:hint="eastAsia" w:ascii="宋体"/>
        <w:kern w:val="0"/>
      </w:rPr>
      <w:fldChar w:fldCharType="separate"/>
    </w:r>
    <w:r>
      <w:rPr>
        <w:rFonts w:ascii="宋体"/>
        <w:kern w:val="0"/>
      </w:rPr>
      <w:t>71</w:t>
    </w:r>
    <w:r>
      <w:rPr>
        <w:rFonts w:hint="eastAsia" w:ascii="宋体"/>
        <w:kern w:val="0"/>
      </w:rPr>
      <w:fldChar w:fldCharType="end"/>
    </w:r>
    <w:r>
      <w:rPr>
        <w:rFonts w:hint="eastAsia" w:ascii="宋体"/>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040F5">
    <w:pPr>
      <w:pStyle w:val="39"/>
      <w:jc w:val="center"/>
      <w:rPr>
        <w:rFonts w:ascii="宋体"/>
      </w:rPr>
    </w:pPr>
    <w:r>
      <w:rPr>
        <w:rFonts w:hint="eastAsia" w:ascii="宋体"/>
        <w:kern w:val="0"/>
        <w:szCs w:val="21"/>
      </w:rPr>
      <w:t xml:space="preserve">第 </w:t>
    </w:r>
    <w:r>
      <w:rPr>
        <w:rFonts w:hint="eastAsia" w:ascii="宋体"/>
        <w:kern w:val="0"/>
        <w:szCs w:val="21"/>
      </w:rPr>
      <w:fldChar w:fldCharType="begin"/>
    </w:r>
    <w:r>
      <w:rPr>
        <w:rFonts w:hint="eastAsia" w:ascii="宋体"/>
        <w:kern w:val="0"/>
        <w:szCs w:val="21"/>
      </w:rPr>
      <w:instrText xml:space="preserve"> PAGE </w:instrText>
    </w:r>
    <w:r>
      <w:rPr>
        <w:rFonts w:hint="eastAsia" w:ascii="宋体"/>
        <w:kern w:val="0"/>
        <w:szCs w:val="21"/>
      </w:rPr>
      <w:fldChar w:fldCharType="separate"/>
    </w:r>
    <w:r>
      <w:rPr>
        <w:rFonts w:ascii="宋体"/>
        <w:kern w:val="0"/>
        <w:szCs w:val="21"/>
      </w:rPr>
      <w:t>59</w:t>
    </w:r>
    <w:r>
      <w:rPr>
        <w:rFonts w:hint="eastAsia" w:ascii="宋体"/>
        <w:kern w:val="0"/>
        <w:szCs w:val="21"/>
      </w:rPr>
      <w:fldChar w:fldCharType="end"/>
    </w:r>
    <w:r>
      <w:rPr>
        <w:rFonts w:hint="eastAsia" w:ascii="宋体"/>
        <w:kern w:val="0"/>
        <w:szCs w:val="21"/>
      </w:rPr>
      <w:t xml:space="preserve"> 页 共 </w:t>
    </w:r>
    <w:r>
      <w:rPr>
        <w:rFonts w:hint="eastAsia" w:ascii="宋体"/>
        <w:kern w:val="0"/>
        <w:szCs w:val="21"/>
      </w:rPr>
      <w:fldChar w:fldCharType="begin"/>
    </w:r>
    <w:r>
      <w:rPr>
        <w:rFonts w:hint="eastAsia" w:ascii="宋体"/>
        <w:kern w:val="0"/>
        <w:szCs w:val="21"/>
      </w:rPr>
      <w:instrText xml:space="preserve"> NUMPAGES </w:instrText>
    </w:r>
    <w:r>
      <w:rPr>
        <w:rFonts w:hint="eastAsia" w:ascii="宋体"/>
        <w:kern w:val="0"/>
        <w:szCs w:val="21"/>
      </w:rPr>
      <w:fldChar w:fldCharType="separate"/>
    </w:r>
    <w:r>
      <w:rPr>
        <w:rFonts w:ascii="宋体"/>
        <w:kern w:val="0"/>
        <w:szCs w:val="21"/>
      </w:rPr>
      <w:t>71</w:t>
    </w:r>
    <w:r>
      <w:rPr>
        <w:rFonts w:hint="eastAsia" w:ascii="宋体"/>
        <w:kern w:val="0"/>
        <w:szCs w:val="21"/>
      </w:rPr>
      <w:fldChar w:fldCharType="end"/>
    </w:r>
    <w:bookmarkStart w:id="538" w:name="_Toc91899912"/>
    <w:bookmarkStart w:id="539" w:name="_Toc131845147"/>
    <w:bookmarkStart w:id="540" w:name="_Toc164085800"/>
    <w:bookmarkStart w:id="541" w:name="_Toc36110187"/>
    <w:r>
      <w:rPr>
        <w:rFonts w:hint="eastAsia" w:ascii="宋体"/>
        <w:kern w:val="0"/>
        <w:szCs w:val="21"/>
      </w:rPr>
      <w:t xml:space="preserve"> 页</w:t>
    </w:r>
    <w:bookmarkEnd w:id="538"/>
    <w:bookmarkEnd w:id="539"/>
    <w:bookmarkEnd w:id="540"/>
    <w:bookmarkEnd w:id="54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ACB04">
    <w:pPr>
      <w:pStyle w:val="39"/>
      <w:framePr w:wrap="around" w:vAnchor="text" w:hAnchor="margin" w:xAlign="right" w:y="1"/>
      <w:rPr>
        <w:rStyle w:val="72"/>
      </w:rPr>
    </w:pPr>
    <w:r>
      <w:fldChar w:fldCharType="begin"/>
    </w:r>
    <w:r>
      <w:rPr>
        <w:rStyle w:val="72"/>
      </w:rPr>
      <w:instrText xml:space="preserve">PAGE  </w:instrText>
    </w:r>
    <w:r>
      <w:fldChar w:fldCharType="end"/>
    </w:r>
  </w:p>
  <w:p w14:paraId="4988B18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7BA96">
    <w:pPr>
      <w:pStyle w:val="39"/>
      <w:jc w:val="center"/>
      <w:rPr>
        <w:rFonts w:ascii="宋体"/>
      </w:rPr>
    </w:pPr>
    <w:r>
      <w:rPr>
        <w:rFonts w:hint="eastAsia" w:ascii="宋体"/>
        <w:kern w:val="0"/>
      </w:rPr>
      <w:t xml:space="preserve">第 </w:t>
    </w:r>
    <w:r>
      <w:rPr>
        <w:rFonts w:hint="eastAsia" w:ascii="宋体"/>
        <w:kern w:val="0"/>
      </w:rPr>
      <w:fldChar w:fldCharType="begin"/>
    </w:r>
    <w:r>
      <w:rPr>
        <w:rFonts w:hint="eastAsia" w:ascii="宋体"/>
        <w:kern w:val="0"/>
      </w:rPr>
      <w:instrText xml:space="preserve"> PAGE </w:instrText>
    </w:r>
    <w:r>
      <w:rPr>
        <w:rFonts w:hint="eastAsia" w:ascii="宋体"/>
        <w:kern w:val="0"/>
      </w:rPr>
      <w:fldChar w:fldCharType="separate"/>
    </w:r>
    <w:r>
      <w:rPr>
        <w:rFonts w:ascii="宋体"/>
        <w:kern w:val="0"/>
      </w:rPr>
      <w:t>1</w:t>
    </w:r>
    <w:r>
      <w:rPr>
        <w:rFonts w:hint="eastAsia" w:ascii="宋体"/>
        <w:kern w:val="0"/>
      </w:rPr>
      <w:fldChar w:fldCharType="end"/>
    </w:r>
    <w:r>
      <w:rPr>
        <w:rFonts w:hint="eastAsia" w:ascii="宋体"/>
        <w:kern w:val="0"/>
      </w:rPr>
      <w:t xml:space="preserve"> 页 共 </w:t>
    </w:r>
    <w:r>
      <w:rPr>
        <w:rFonts w:hint="eastAsia" w:ascii="宋体"/>
        <w:kern w:val="0"/>
      </w:rPr>
      <w:fldChar w:fldCharType="begin"/>
    </w:r>
    <w:r>
      <w:rPr>
        <w:rFonts w:hint="eastAsia" w:ascii="宋体"/>
        <w:kern w:val="0"/>
      </w:rPr>
      <w:instrText xml:space="preserve"> NUMPAGES </w:instrText>
    </w:r>
    <w:r>
      <w:rPr>
        <w:rFonts w:hint="eastAsia" w:ascii="宋体"/>
        <w:kern w:val="0"/>
      </w:rPr>
      <w:fldChar w:fldCharType="separate"/>
    </w:r>
    <w:r>
      <w:rPr>
        <w:rFonts w:ascii="宋体"/>
        <w:kern w:val="0"/>
      </w:rPr>
      <w:t>71</w:t>
    </w:r>
    <w:r>
      <w:rPr>
        <w:rFonts w:hint="eastAsia" w:ascii="宋体"/>
        <w:kern w:val="0"/>
      </w:rPr>
      <w:fldChar w:fldCharType="end"/>
    </w:r>
    <w:r>
      <w:rPr>
        <w:rFonts w:hint="eastAsia" w:ascii="宋体"/>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753C">
    <w:pPr>
      <w:pStyle w:val="39"/>
      <w:jc w:val="center"/>
      <w:rPr>
        <w:rFonts w:ascii="宋体"/>
      </w:rPr>
    </w:pPr>
    <w:r>
      <w:rPr>
        <w:rFonts w:hint="eastAsia" w:ascii="宋体"/>
        <w:kern w:val="0"/>
      </w:rPr>
      <w:t xml:space="preserve">第 </w:t>
    </w:r>
    <w:r>
      <w:rPr>
        <w:rFonts w:hint="eastAsia" w:ascii="宋体"/>
        <w:kern w:val="0"/>
      </w:rPr>
      <w:fldChar w:fldCharType="begin"/>
    </w:r>
    <w:r>
      <w:rPr>
        <w:rFonts w:hint="eastAsia" w:ascii="宋体"/>
        <w:kern w:val="0"/>
      </w:rPr>
      <w:instrText xml:space="preserve"> PAGE </w:instrText>
    </w:r>
    <w:r>
      <w:rPr>
        <w:rFonts w:hint="eastAsia" w:ascii="宋体"/>
        <w:kern w:val="0"/>
      </w:rPr>
      <w:fldChar w:fldCharType="separate"/>
    </w:r>
    <w:r>
      <w:rPr>
        <w:rFonts w:ascii="宋体"/>
        <w:kern w:val="0"/>
      </w:rPr>
      <w:t>52</w:t>
    </w:r>
    <w:r>
      <w:rPr>
        <w:rFonts w:hint="eastAsia" w:ascii="宋体"/>
        <w:kern w:val="0"/>
      </w:rPr>
      <w:fldChar w:fldCharType="end"/>
    </w:r>
    <w:r>
      <w:rPr>
        <w:rFonts w:hint="eastAsia" w:ascii="宋体"/>
        <w:kern w:val="0"/>
      </w:rPr>
      <w:t xml:space="preserve"> 页 共 </w:t>
    </w:r>
    <w:r>
      <w:rPr>
        <w:rFonts w:hint="eastAsia" w:ascii="宋体"/>
        <w:kern w:val="0"/>
      </w:rPr>
      <w:fldChar w:fldCharType="begin"/>
    </w:r>
    <w:r>
      <w:rPr>
        <w:rFonts w:hint="eastAsia" w:ascii="宋体"/>
        <w:kern w:val="0"/>
      </w:rPr>
      <w:instrText xml:space="preserve"> NUMPAGES </w:instrText>
    </w:r>
    <w:r>
      <w:rPr>
        <w:rFonts w:hint="eastAsia" w:ascii="宋体"/>
        <w:kern w:val="0"/>
      </w:rPr>
      <w:fldChar w:fldCharType="separate"/>
    </w:r>
    <w:r>
      <w:rPr>
        <w:rFonts w:ascii="宋体"/>
        <w:kern w:val="0"/>
      </w:rPr>
      <w:t>71</w:t>
    </w:r>
    <w:r>
      <w:rPr>
        <w:rFonts w:hint="eastAsia" w:ascii="宋体"/>
        <w:kern w:val="0"/>
      </w:rPr>
      <w:fldChar w:fldCharType="end"/>
    </w:r>
    <w:r>
      <w:rPr>
        <w:rFonts w:hint="eastAsia" w:ascii="宋体"/>
        <w:kern w:val="0"/>
      </w:rPr>
      <w:t xml:space="preserve"> 页</w:t>
    </w:r>
  </w:p>
  <w:p w14:paraId="3FB115BB">
    <w:pPr>
      <w:rPr>
        <w:rFonts w:asci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96DF9">
    <w:pPr>
      <w:pStyle w:val="39"/>
      <w:jc w:val="center"/>
      <w:rPr>
        <w:rFonts w:ascii="宋体"/>
      </w:rPr>
    </w:pPr>
    <w:r>
      <w:rPr>
        <w:rFonts w:hint="eastAsia" w:ascii="宋体"/>
        <w:kern w:val="0"/>
      </w:rPr>
      <w:t xml:space="preserve">第 </w:t>
    </w:r>
    <w:r>
      <w:rPr>
        <w:rFonts w:hint="eastAsia" w:ascii="宋体"/>
        <w:kern w:val="0"/>
      </w:rPr>
      <w:fldChar w:fldCharType="begin"/>
    </w:r>
    <w:r>
      <w:rPr>
        <w:rFonts w:hint="eastAsia" w:ascii="宋体"/>
        <w:kern w:val="0"/>
      </w:rPr>
      <w:instrText xml:space="preserve"> PAGE </w:instrText>
    </w:r>
    <w:r>
      <w:rPr>
        <w:rFonts w:hint="eastAsia" w:ascii="宋体"/>
        <w:kern w:val="0"/>
      </w:rPr>
      <w:fldChar w:fldCharType="separate"/>
    </w:r>
    <w:r>
      <w:rPr>
        <w:rFonts w:ascii="宋体"/>
        <w:kern w:val="0"/>
      </w:rPr>
      <w:t>33</w:t>
    </w:r>
    <w:r>
      <w:rPr>
        <w:rFonts w:hint="eastAsia" w:ascii="宋体"/>
        <w:kern w:val="0"/>
      </w:rPr>
      <w:fldChar w:fldCharType="end"/>
    </w:r>
    <w:r>
      <w:rPr>
        <w:rFonts w:hint="eastAsia" w:ascii="宋体"/>
        <w:kern w:val="0"/>
      </w:rPr>
      <w:t xml:space="preserve"> 页 共 </w:t>
    </w:r>
    <w:r>
      <w:rPr>
        <w:rFonts w:hint="eastAsia" w:ascii="宋体"/>
        <w:kern w:val="0"/>
      </w:rPr>
      <w:fldChar w:fldCharType="begin"/>
    </w:r>
    <w:r>
      <w:rPr>
        <w:rFonts w:hint="eastAsia" w:ascii="宋体"/>
        <w:kern w:val="0"/>
      </w:rPr>
      <w:instrText xml:space="preserve"> NUMPAGES </w:instrText>
    </w:r>
    <w:r>
      <w:rPr>
        <w:rFonts w:hint="eastAsia" w:ascii="宋体"/>
        <w:kern w:val="0"/>
      </w:rPr>
      <w:fldChar w:fldCharType="separate"/>
    </w:r>
    <w:r>
      <w:rPr>
        <w:rFonts w:ascii="宋体"/>
        <w:kern w:val="0"/>
      </w:rPr>
      <w:t>71</w:t>
    </w:r>
    <w:r>
      <w:rPr>
        <w:rFonts w:hint="eastAsia" w:ascii="宋体"/>
        <w:kern w:val="0"/>
      </w:rPr>
      <w:fldChar w:fldCharType="end"/>
    </w:r>
    <w:r>
      <w:rPr>
        <w:rFonts w:hint="eastAsia" w:ascii="宋体"/>
        <w:kern w:val="0"/>
      </w:rPr>
      <w:t xml:space="preserve"> 页</w:t>
    </w:r>
  </w:p>
  <w:p w14:paraId="11F98F3D">
    <w:pPr>
      <w:rPr>
        <w:rFonts w:ascii="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EEBD6">
    <w:pPr>
      <w:pStyle w:val="39"/>
      <w:jc w:val="center"/>
      <w:rPr>
        <w:rFonts w:ascii="宋体"/>
      </w:rPr>
    </w:pPr>
    <w:r>
      <w:rPr>
        <w:rFonts w:hint="eastAsia" w:ascii="宋体"/>
        <w:kern w:val="0"/>
      </w:rPr>
      <w:t xml:space="preserve">第 </w:t>
    </w:r>
    <w:r>
      <w:rPr>
        <w:rFonts w:hint="eastAsia" w:ascii="宋体"/>
        <w:kern w:val="0"/>
      </w:rPr>
      <w:fldChar w:fldCharType="begin"/>
    </w:r>
    <w:r>
      <w:rPr>
        <w:rFonts w:hint="eastAsia" w:ascii="宋体"/>
        <w:kern w:val="0"/>
      </w:rPr>
      <w:instrText xml:space="preserve"> PAGE </w:instrText>
    </w:r>
    <w:r>
      <w:rPr>
        <w:rFonts w:hint="eastAsia" w:ascii="宋体"/>
        <w:kern w:val="0"/>
      </w:rPr>
      <w:fldChar w:fldCharType="separate"/>
    </w:r>
    <w:r>
      <w:rPr>
        <w:rFonts w:ascii="宋体"/>
        <w:kern w:val="0"/>
      </w:rPr>
      <w:t>55</w:t>
    </w:r>
    <w:r>
      <w:rPr>
        <w:rFonts w:hint="eastAsia" w:ascii="宋体"/>
        <w:kern w:val="0"/>
      </w:rPr>
      <w:fldChar w:fldCharType="end"/>
    </w:r>
    <w:r>
      <w:rPr>
        <w:rFonts w:hint="eastAsia" w:ascii="宋体"/>
        <w:kern w:val="0"/>
      </w:rPr>
      <w:t xml:space="preserve"> 页 共 </w:t>
    </w:r>
    <w:r>
      <w:rPr>
        <w:rFonts w:hint="eastAsia" w:ascii="宋体"/>
        <w:kern w:val="0"/>
      </w:rPr>
      <w:fldChar w:fldCharType="begin"/>
    </w:r>
    <w:r>
      <w:rPr>
        <w:rFonts w:hint="eastAsia" w:ascii="宋体"/>
        <w:kern w:val="0"/>
      </w:rPr>
      <w:instrText xml:space="preserve"> NUMPAGES </w:instrText>
    </w:r>
    <w:r>
      <w:rPr>
        <w:rFonts w:hint="eastAsia" w:ascii="宋体"/>
        <w:kern w:val="0"/>
      </w:rPr>
      <w:fldChar w:fldCharType="separate"/>
    </w:r>
    <w:r>
      <w:rPr>
        <w:rFonts w:ascii="宋体"/>
        <w:kern w:val="0"/>
      </w:rPr>
      <w:t>71</w:t>
    </w:r>
    <w:r>
      <w:rPr>
        <w:rFonts w:hint="eastAsia" w:ascii="宋体"/>
        <w:kern w:val="0"/>
      </w:rPr>
      <w:fldChar w:fldCharType="end"/>
    </w:r>
    <w:r>
      <w:rPr>
        <w:rFonts w:hint="eastAsia" w:ascii="宋体"/>
        <w:kern w:val="0"/>
      </w:rPr>
      <w:t xml:space="preserve"> 页</w:t>
    </w:r>
  </w:p>
  <w:p w14:paraId="49F57EC2">
    <w:pPr>
      <w:rPr>
        <w:rFonts w:ascii="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73B60">
    <w:pPr>
      <w:pStyle w:val="39"/>
      <w:jc w:val="center"/>
      <w:rPr>
        <w:rFonts w:ascii="宋体"/>
      </w:rPr>
    </w:pPr>
    <w:r>
      <w:rPr>
        <w:rFonts w:hint="eastAsia" w:ascii="宋体"/>
        <w:kern w:val="0"/>
      </w:rPr>
      <w:t xml:space="preserve">第 </w:t>
    </w:r>
    <w:r>
      <w:rPr>
        <w:rFonts w:hint="eastAsia" w:ascii="宋体"/>
        <w:kern w:val="0"/>
      </w:rPr>
      <w:fldChar w:fldCharType="begin"/>
    </w:r>
    <w:r>
      <w:rPr>
        <w:rFonts w:hint="eastAsia" w:ascii="宋体"/>
        <w:kern w:val="0"/>
      </w:rPr>
      <w:instrText xml:space="preserve"> PAGE </w:instrText>
    </w:r>
    <w:r>
      <w:rPr>
        <w:rFonts w:hint="eastAsia" w:ascii="宋体"/>
        <w:kern w:val="0"/>
      </w:rPr>
      <w:fldChar w:fldCharType="separate"/>
    </w:r>
    <w:r>
      <w:rPr>
        <w:rFonts w:ascii="宋体"/>
        <w:kern w:val="0"/>
      </w:rPr>
      <w:t>53</w:t>
    </w:r>
    <w:r>
      <w:rPr>
        <w:rFonts w:hint="eastAsia" w:ascii="宋体"/>
        <w:kern w:val="0"/>
      </w:rPr>
      <w:fldChar w:fldCharType="end"/>
    </w:r>
    <w:r>
      <w:rPr>
        <w:rFonts w:hint="eastAsia" w:ascii="宋体"/>
        <w:kern w:val="0"/>
      </w:rPr>
      <w:t xml:space="preserve"> 页 共 </w:t>
    </w:r>
    <w:r>
      <w:rPr>
        <w:rFonts w:hint="eastAsia" w:ascii="宋体"/>
        <w:kern w:val="0"/>
      </w:rPr>
      <w:fldChar w:fldCharType="begin"/>
    </w:r>
    <w:r>
      <w:rPr>
        <w:rFonts w:hint="eastAsia" w:ascii="宋体"/>
        <w:kern w:val="0"/>
      </w:rPr>
      <w:instrText xml:space="preserve"> NUMPAGES </w:instrText>
    </w:r>
    <w:r>
      <w:rPr>
        <w:rFonts w:hint="eastAsia" w:ascii="宋体"/>
        <w:kern w:val="0"/>
      </w:rPr>
      <w:fldChar w:fldCharType="separate"/>
    </w:r>
    <w:r>
      <w:rPr>
        <w:rFonts w:ascii="宋体"/>
        <w:kern w:val="0"/>
      </w:rPr>
      <w:t>71</w:t>
    </w:r>
    <w:r>
      <w:rPr>
        <w:rFonts w:hint="eastAsia" w:ascii="宋体"/>
        <w:kern w:val="0"/>
      </w:rPr>
      <w:fldChar w:fldCharType="end"/>
    </w:r>
    <w:r>
      <w:rPr>
        <w:rFonts w:hint="eastAsia" w:ascii="宋体"/>
        <w:kern w:val="0"/>
      </w:rPr>
      <w:t xml:space="preserve"> 页</w:t>
    </w:r>
  </w:p>
  <w:p w14:paraId="755319F8">
    <w:pPr>
      <w:rPr>
        <w:rFonts w:ascii="宋体"/>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7C33A">
    <w:pPr>
      <w:pStyle w:val="39"/>
      <w:jc w:val="center"/>
      <w:rPr>
        <w:rFonts w:ascii="宋体"/>
        <w:szCs w:val="24"/>
      </w:rPr>
    </w:pPr>
    <w:r>
      <w:rPr>
        <w:rFonts w:hint="eastAsia" w:ascii="宋体"/>
        <w:kern w:val="0"/>
        <w:szCs w:val="21"/>
      </w:rPr>
      <w:t xml:space="preserve">第 </w:t>
    </w:r>
    <w:r>
      <w:rPr>
        <w:rFonts w:hint="eastAsia" w:ascii="宋体"/>
        <w:kern w:val="0"/>
        <w:szCs w:val="21"/>
      </w:rPr>
      <w:fldChar w:fldCharType="begin"/>
    </w:r>
    <w:r>
      <w:rPr>
        <w:rFonts w:hint="eastAsia" w:ascii="宋体"/>
        <w:kern w:val="0"/>
        <w:szCs w:val="21"/>
      </w:rPr>
      <w:instrText xml:space="preserve"> PAGE </w:instrText>
    </w:r>
    <w:r>
      <w:rPr>
        <w:rFonts w:hint="eastAsia" w:ascii="宋体"/>
        <w:kern w:val="0"/>
        <w:szCs w:val="21"/>
      </w:rPr>
      <w:fldChar w:fldCharType="separate"/>
    </w:r>
    <w:r>
      <w:rPr>
        <w:rFonts w:ascii="宋体"/>
        <w:kern w:val="0"/>
        <w:szCs w:val="21"/>
      </w:rPr>
      <w:t>71</w:t>
    </w:r>
    <w:r>
      <w:rPr>
        <w:rFonts w:hint="eastAsia" w:ascii="宋体"/>
        <w:kern w:val="0"/>
        <w:szCs w:val="21"/>
      </w:rPr>
      <w:fldChar w:fldCharType="end"/>
    </w:r>
    <w:r>
      <w:rPr>
        <w:rFonts w:hint="eastAsia" w:ascii="宋体"/>
        <w:kern w:val="0"/>
        <w:szCs w:val="21"/>
      </w:rPr>
      <w:t xml:space="preserve"> 页 共 </w:t>
    </w:r>
    <w:r>
      <w:rPr>
        <w:rFonts w:hint="eastAsia" w:ascii="宋体"/>
        <w:kern w:val="0"/>
        <w:szCs w:val="21"/>
      </w:rPr>
      <w:fldChar w:fldCharType="begin"/>
    </w:r>
    <w:r>
      <w:rPr>
        <w:rFonts w:hint="eastAsia" w:ascii="宋体"/>
        <w:kern w:val="0"/>
        <w:szCs w:val="21"/>
      </w:rPr>
      <w:instrText xml:space="preserve"> NUMPAGES </w:instrText>
    </w:r>
    <w:r>
      <w:rPr>
        <w:rFonts w:hint="eastAsia" w:ascii="宋体"/>
        <w:kern w:val="0"/>
        <w:szCs w:val="21"/>
      </w:rPr>
      <w:fldChar w:fldCharType="separate"/>
    </w:r>
    <w:r>
      <w:rPr>
        <w:rFonts w:ascii="宋体"/>
        <w:kern w:val="0"/>
        <w:szCs w:val="21"/>
      </w:rPr>
      <w:t>71</w:t>
    </w:r>
    <w:r>
      <w:rPr>
        <w:rFonts w:hint="eastAsia" w:ascii="宋体"/>
        <w:kern w:val="0"/>
        <w:szCs w:val="21"/>
      </w:rPr>
      <w:fldChar w:fldCharType="end"/>
    </w:r>
    <w:r>
      <w:rPr>
        <w:rFonts w:hint="eastAsia" w:asci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833A3">
    <w:pPr>
      <w:pStyle w:val="39"/>
      <w:framePr w:wrap="around" w:vAnchor="text" w:hAnchor="margin" w:xAlign="right" w:y="1"/>
      <w:rPr>
        <w:rStyle w:val="72"/>
      </w:rPr>
    </w:pPr>
    <w:r>
      <w:fldChar w:fldCharType="begin"/>
    </w:r>
    <w:r>
      <w:rPr>
        <w:rStyle w:val="72"/>
      </w:rPr>
      <w:instrText xml:space="preserve">PAGE  </w:instrText>
    </w:r>
    <w:r>
      <w:fldChar w:fldCharType="end"/>
    </w:r>
  </w:p>
  <w:p w14:paraId="126E5BD2">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B61A2">
    <w:pPr>
      <w:pStyle w:val="40"/>
      <w:pBdr>
        <w:bottom w:val="single" w:color="auto" w:sz="6" w:space="4"/>
      </w:pBdr>
      <w:jc w:val="right"/>
      <w:rPr>
        <w:rFonts w:ascii="宋体"/>
        <w:i/>
        <w:u w:val="single"/>
      </w:rPr>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8BAB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F70BF">
    <w:pPr>
      <w:pStyle w:val="40"/>
      <w:rPr>
        <w:rFonts w:ascii="宋体"/>
        <w:b/>
        <w:i/>
        <w:u w:val="single"/>
      </w:rPr>
    </w:pPr>
    <w:r>
      <w:t></w:t>
    </w:r>
    <w:r>
      <w:rPr>
        <w:rFonts w:hint="eastAsia"/>
      </w:rPr>
      <w:t xml:space="preserve">                                                  </w:t>
    </w:r>
    <w:r>
      <w:t xml:space="preserve">             杭州市政府采购公开招标文件</w:t>
    </w:r>
  </w:p>
  <w:p w14:paraId="42BCBCC6">
    <w:pPr>
      <w:rPr>
        <w:rFonts w:ascii="宋体"/>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55321">
    <w:pPr>
      <w:pStyle w:val="40"/>
    </w:pPr>
    <w:r>
      <w:t></w:t>
    </w:r>
    <w:r>
      <w:rPr>
        <w:rFonts w:hint="eastAsia"/>
      </w:rPr>
      <w:t xml:space="preserve">         </w:t>
    </w:r>
  </w:p>
  <w:p w14:paraId="612127AF">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A6C45">
    <w:pPr>
      <w:pStyle w:val="40"/>
      <w:rPr>
        <w:rFonts w:ascii="宋体"/>
        <w:b/>
        <w:i/>
        <w:u w:val="single"/>
      </w:rPr>
    </w:pPr>
    <w:r>
      <w:t></w:t>
    </w:r>
    <w:r>
      <w:rPr>
        <w:rFonts w:hint="eastAsia"/>
      </w:rPr>
      <w:t xml:space="preserve">                                                  </w:t>
    </w:r>
    <w:r>
      <w:t>杭州市政府采购公开招标文件</w:t>
    </w:r>
  </w:p>
  <w:p w14:paraId="06CBF6D5">
    <w:pPr>
      <w:rPr>
        <w:rFonts w:ascii="宋体"/>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6A31B">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F901">
    <w:pPr>
      <w:pStyle w:val="40"/>
      <w:jc w:val="right"/>
      <w:rPr>
        <w:rFonts w:ascii="宋体"/>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33115">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CB961"/>
    <w:multiLevelType w:val="singleLevel"/>
    <w:tmpl w:val="C50CB961"/>
    <w:lvl w:ilvl="0" w:tentative="0">
      <w:start w:val="1"/>
      <w:numFmt w:val="decimal"/>
      <w:suff w:val="nothing"/>
      <w:lvlText w:val="%1、"/>
      <w:lvlJc w:val="left"/>
    </w:lvl>
  </w:abstractNum>
  <w:abstractNum w:abstractNumId="1">
    <w:nsid w:val="E7DBEBB9"/>
    <w:multiLevelType w:val="singleLevel"/>
    <w:tmpl w:val="E7DBEBB9"/>
    <w:lvl w:ilvl="0" w:tentative="0">
      <w:start w:val="3"/>
      <w:numFmt w:val="chineseCounting"/>
      <w:suff w:val="space"/>
      <w:lvlText w:val="第%1部分"/>
      <w:lvlJc w:val="left"/>
      <w:rPr>
        <w:rFonts w:hint="eastAsia"/>
        <w:color w:val="auto"/>
      </w:rPr>
    </w:lvl>
  </w:abstractNum>
  <w:abstractNum w:abstractNumId="2">
    <w:nsid w:val="520C7021"/>
    <w:multiLevelType w:val="multilevel"/>
    <w:tmpl w:val="520C7021"/>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eastAsia"/>
      </w:rPr>
    </w:lvl>
    <w:lvl w:ilvl="2" w:tentative="0">
      <w:start w:val="1"/>
      <w:numFmt w:val="decimal"/>
      <w:suff w:val="space"/>
      <w:lvlText w:val="%1.%2.%3."/>
      <w:lvlJc w:val="left"/>
      <w:pPr>
        <w:ind w:left="709" w:hanging="709"/>
      </w:pPr>
      <w:rPr>
        <w:rFonts w:hint="eastAsia"/>
      </w:rPr>
    </w:lvl>
    <w:lvl w:ilvl="3" w:tentative="0">
      <w:start w:val="1"/>
      <w:numFmt w:val="decimal"/>
      <w:suff w:val="space"/>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hYzE1NDNmYTJjNDM2ZjY1ZTJlNDQ1NWRiYjFiND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509"/>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0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EED"/>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A4"/>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34C"/>
    <w:rsid w:val="006F5813"/>
    <w:rsid w:val="006F59A8"/>
    <w:rsid w:val="006F5A1D"/>
    <w:rsid w:val="006F71A6"/>
    <w:rsid w:val="006F7974"/>
    <w:rsid w:val="006F7C2C"/>
    <w:rsid w:val="006F7FD5"/>
    <w:rsid w:val="00700405"/>
    <w:rsid w:val="00700D18"/>
    <w:rsid w:val="0070168D"/>
    <w:rsid w:val="00701C36"/>
    <w:rsid w:val="00702692"/>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1AD"/>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B7B3B"/>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BE3"/>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036"/>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672"/>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9D2"/>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829EE"/>
    <w:rsid w:val="016C598B"/>
    <w:rsid w:val="019F7441"/>
    <w:rsid w:val="01B37585"/>
    <w:rsid w:val="01D55165"/>
    <w:rsid w:val="01DF6BF8"/>
    <w:rsid w:val="01E70C2B"/>
    <w:rsid w:val="01EC2C57"/>
    <w:rsid w:val="025F0711"/>
    <w:rsid w:val="026B2E25"/>
    <w:rsid w:val="02824D4D"/>
    <w:rsid w:val="02DC4B10"/>
    <w:rsid w:val="02DD76CE"/>
    <w:rsid w:val="02E16CA8"/>
    <w:rsid w:val="02F36323"/>
    <w:rsid w:val="02F5619C"/>
    <w:rsid w:val="0326446A"/>
    <w:rsid w:val="032D5555"/>
    <w:rsid w:val="03302927"/>
    <w:rsid w:val="036634D2"/>
    <w:rsid w:val="03DD35E4"/>
    <w:rsid w:val="03F26EA5"/>
    <w:rsid w:val="04076900"/>
    <w:rsid w:val="04187EF1"/>
    <w:rsid w:val="041A5A3B"/>
    <w:rsid w:val="042311BA"/>
    <w:rsid w:val="042B157A"/>
    <w:rsid w:val="042F5862"/>
    <w:rsid w:val="048F763B"/>
    <w:rsid w:val="049E03FE"/>
    <w:rsid w:val="049F330E"/>
    <w:rsid w:val="04AA775C"/>
    <w:rsid w:val="04AF1889"/>
    <w:rsid w:val="04B4636F"/>
    <w:rsid w:val="04BC4752"/>
    <w:rsid w:val="04CC04A2"/>
    <w:rsid w:val="04EB3B05"/>
    <w:rsid w:val="04F66F48"/>
    <w:rsid w:val="05251E14"/>
    <w:rsid w:val="05A16594"/>
    <w:rsid w:val="05A7762D"/>
    <w:rsid w:val="060A1E28"/>
    <w:rsid w:val="060E5941"/>
    <w:rsid w:val="06110FAF"/>
    <w:rsid w:val="06493CA7"/>
    <w:rsid w:val="065A6178"/>
    <w:rsid w:val="066F1CF3"/>
    <w:rsid w:val="06930BB8"/>
    <w:rsid w:val="069F567F"/>
    <w:rsid w:val="06A25465"/>
    <w:rsid w:val="06A967F3"/>
    <w:rsid w:val="07245D42"/>
    <w:rsid w:val="07264C62"/>
    <w:rsid w:val="07623E7D"/>
    <w:rsid w:val="0779354C"/>
    <w:rsid w:val="07964A1F"/>
    <w:rsid w:val="07A019A5"/>
    <w:rsid w:val="07F163FB"/>
    <w:rsid w:val="08061376"/>
    <w:rsid w:val="08452D77"/>
    <w:rsid w:val="085748E4"/>
    <w:rsid w:val="086401F8"/>
    <w:rsid w:val="08751CAA"/>
    <w:rsid w:val="087E4C40"/>
    <w:rsid w:val="08A871D0"/>
    <w:rsid w:val="08D66AD6"/>
    <w:rsid w:val="08DA33A3"/>
    <w:rsid w:val="08E80F13"/>
    <w:rsid w:val="08FF6583"/>
    <w:rsid w:val="09335624"/>
    <w:rsid w:val="0944690F"/>
    <w:rsid w:val="09535675"/>
    <w:rsid w:val="095F057D"/>
    <w:rsid w:val="09642282"/>
    <w:rsid w:val="09733572"/>
    <w:rsid w:val="09772C16"/>
    <w:rsid w:val="098353B5"/>
    <w:rsid w:val="09961622"/>
    <w:rsid w:val="09A92330"/>
    <w:rsid w:val="09B06B87"/>
    <w:rsid w:val="09C13146"/>
    <w:rsid w:val="09C907BE"/>
    <w:rsid w:val="09E04166"/>
    <w:rsid w:val="0A054695"/>
    <w:rsid w:val="0A1C0718"/>
    <w:rsid w:val="0A3E7710"/>
    <w:rsid w:val="0A5B7E63"/>
    <w:rsid w:val="0AA374A5"/>
    <w:rsid w:val="0AAB7649"/>
    <w:rsid w:val="0ABC5606"/>
    <w:rsid w:val="0B30404E"/>
    <w:rsid w:val="0B4C6C14"/>
    <w:rsid w:val="0B547599"/>
    <w:rsid w:val="0B631A88"/>
    <w:rsid w:val="0B683D45"/>
    <w:rsid w:val="0B7F3F11"/>
    <w:rsid w:val="0B84338B"/>
    <w:rsid w:val="0B884417"/>
    <w:rsid w:val="0BF6188C"/>
    <w:rsid w:val="0BF73C91"/>
    <w:rsid w:val="0C110DE2"/>
    <w:rsid w:val="0C170175"/>
    <w:rsid w:val="0C21602A"/>
    <w:rsid w:val="0C571A41"/>
    <w:rsid w:val="0C5C1171"/>
    <w:rsid w:val="0C5E1CBC"/>
    <w:rsid w:val="0C615B50"/>
    <w:rsid w:val="0C8445DA"/>
    <w:rsid w:val="0C87121B"/>
    <w:rsid w:val="0C9D2956"/>
    <w:rsid w:val="0CC007F7"/>
    <w:rsid w:val="0CC617AC"/>
    <w:rsid w:val="0CE618DF"/>
    <w:rsid w:val="0CFE707A"/>
    <w:rsid w:val="0D063BDA"/>
    <w:rsid w:val="0D08375F"/>
    <w:rsid w:val="0D184CFB"/>
    <w:rsid w:val="0D4A7419"/>
    <w:rsid w:val="0D827401"/>
    <w:rsid w:val="0D84094E"/>
    <w:rsid w:val="0D8A00E9"/>
    <w:rsid w:val="0D8D589E"/>
    <w:rsid w:val="0DA01C73"/>
    <w:rsid w:val="0DBA7538"/>
    <w:rsid w:val="0DD63300"/>
    <w:rsid w:val="0DF50604"/>
    <w:rsid w:val="0DF702FE"/>
    <w:rsid w:val="0E060E51"/>
    <w:rsid w:val="0E2B3F92"/>
    <w:rsid w:val="0E4D2189"/>
    <w:rsid w:val="0E5604B2"/>
    <w:rsid w:val="0E694C50"/>
    <w:rsid w:val="0E6D5D79"/>
    <w:rsid w:val="0E9D0089"/>
    <w:rsid w:val="0EB803EE"/>
    <w:rsid w:val="0EF94D4B"/>
    <w:rsid w:val="0F4958DC"/>
    <w:rsid w:val="0F4B1D63"/>
    <w:rsid w:val="0F515DF7"/>
    <w:rsid w:val="0F596BA8"/>
    <w:rsid w:val="0F6248D2"/>
    <w:rsid w:val="0F693536"/>
    <w:rsid w:val="0F721084"/>
    <w:rsid w:val="0F7B0511"/>
    <w:rsid w:val="0F7B76D9"/>
    <w:rsid w:val="0F816ACD"/>
    <w:rsid w:val="0F9832DB"/>
    <w:rsid w:val="0FBF3FD2"/>
    <w:rsid w:val="0FBF7FF3"/>
    <w:rsid w:val="0FD80E30"/>
    <w:rsid w:val="101E2795"/>
    <w:rsid w:val="10646583"/>
    <w:rsid w:val="107D4B15"/>
    <w:rsid w:val="108A3C80"/>
    <w:rsid w:val="10C26171"/>
    <w:rsid w:val="10DD28CE"/>
    <w:rsid w:val="10F33360"/>
    <w:rsid w:val="10FC16EA"/>
    <w:rsid w:val="110F1D40"/>
    <w:rsid w:val="11266F33"/>
    <w:rsid w:val="11355ACC"/>
    <w:rsid w:val="118963A1"/>
    <w:rsid w:val="11B143A4"/>
    <w:rsid w:val="11C6522A"/>
    <w:rsid w:val="11E104CC"/>
    <w:rsid w:val="11E20309"/>
    <w:rsid w:val="11EE5A02"/>
    <w:rsid w:val="12255233"/>
    <w:rsid w:val="12530213"/>
    <w:rsid w:val="127723A9"/>
    <w:rsid w:val="12862074"/>
    <w:rsid w:val="12883966"/>
    <w:rsid w:val="129E45B4"/>
    <w:rsid w:val="12BB3D1C"/>
    <w:rsid w:val="12D81596"/>
    <w:rsid w:val="12EC5FAF"/>
    <w:rsid w:val="13072A44"/>
    <w:rsid w:val="13243DA7"/>
    <w:rsid w:val="135F4BE2"/>
    <w:rsid w:val="139B1A0A"/>
    <w:rsid w:val="139D25C7"/>
    <w:rsid w:val="13BF3CE4"/>
    <w:rsid w:val="13C86416"/>
    <w:rsid w:val="141008D8"/>
    <w:rsid w:val="14125FE6"/>
    <w:rsid w:val="146D271E"/>
    <w:rsid w:val="147C42D2"/>
    <w:rsid w:val="147D7587"/>
    <w:rsid w:val="14982588"/>
    <w:rsid w:val="149A5AD9"/>
    <w:rsid w:val="14A7619D"/>
    <w:rsid w:val="14AA08C3"/>
    <w:rsid w:val="14C00BBF"/>
    <w:rsid w:val="14D414B8"/>
    <w:rsid w:val="150536C3"/>
    <w:rsid w:val="150C1963"/>
    <w:rsid w:val="151447A0"/>
    <w:rsid w:val="15293599"/>
    <w:rsid w:val="153733FE"/>
    <w:rsid w:val="154A6454"/>
    <w:rsid w:val="15525207"/>
    <w:rsid w:val="15762120"/>
    <w:rsid w:val="16A8729C"/>
    <w:rsid w:val="16B33777"/>
    <w:rsid w:val="16BC70A7"/>
    <w:rsid w:val="16C0234F"/>
    <w:rsid w:val="16C6339E"/>
    <w:rsid w:val="17257195"/>
    <w:rsid w:val="172F2D79"/>
    <w:rsid w:val="17557BEF"/>
    <w:rsid w:val="17D349C1"/>
    <w:rsid w:val="18194FA0"/>
    <w:rsid w:val="1830729E"/>
    <w:rsid w:val="1870062C"/>
    <w:rsid w:val="18817102"/>
    <w:rsid w:val="18830A15"/>
    <w:rsid w:val="18852B28"/>
    <w:rsid w:val="188B5321"/>
    <w:rsid w:val="18CE541F"/>
    <w:rsid w:val="18D47700"/>
    <w:rsid w:val="18E5118C"/>
    <w:rsid w:val="19932372"/>
    <w:rsid w:val="19A20DD5"/>
    <w:rsid w:val="19AE03F1"/>
    <w:rsid w:val="1A000561"/>
    <w:rsid w:val="1A071A03"/>
    <w:rsid w:val="1A0D0200"/>
    <w:rsid w:val="1A1F16AE"/>
    <w:rsid w:val="1A252E9F"/>
    <w:rsid w:val="1A3B5C77"/>
    <w:rsid w:val="1A984BAD"/>
    <w:rsid w:val="1AB8220E"/>
    <w:rsid w:val="1AE4166C"/>
    <w:rsid w:val="1AF06CFB"/>
    <w:rsid w:val="1AF11B8D"/>
    <w:rsid w:val="1B11359C"/>
    <w:rsid w:val="1B2A271F"/>
    <w:rsid w:val="1B530544"/>
    <w:rsid w:val="1B713184"/>
    <w:rsid w:val="1BA209CF"/>
    <w:rsid w:val="1BB4777D"/>
    <w:rsid w:val="1BD75AB8"/>
    <w:rsid w:val="1BF41723"/>
    <w:rsid w:val="1BFB6320"/>
    <w:rsid w:val="1C0459C2"/>
    <w:rsid w:val="1C1B3B4A"/>
    <w:rsid w:val="1C88086E"/>
    <w:rsid w:val="1D07050A"/>
    <w:rsid w:val="1D247794"/>
    <w:rsid w:val="1D266CE1"/>
    <w:rsid w:val="1D3963AF"/>
    <w:rsid w:val="1D6A673C"/>
    <w:rsid w:val="1D9247AE"/>
    <w:rsid w:val="1DAF7A28"/>
    <w:rsid w:val="1DB567EC"/>
    <w:rsid w:val="1DF51A98"/>
    <w:rsid w:val="1E3D060F"/>
    <w:rsid w:val="1E3F7D2E"/>
    <w:rsid w:val="1E4134E4"/>
    <w:rsid w:val="1E5062B3"/>
    <w:rsid w:val="1E523514"/>
    <w:rsid w:val="1E553ECF"/>
    <w:rsid w:val="1E714A66"/>
    <w:rsid w:val="1E7948A6"/>
    <w:rsid w:val="1E802593"/>
    <w:rsid w:val="1E8A626A"/>
    <w:rsid w:val="1E8B6156"/>
    <w:rsid w:val="1EA703CC"/>
    <w:rsid w:val="1EB7330C"/>
    <w:rsid w:val="1ED27427"/>
    <w:rsid w:val="1F0A0FF3"/>
    <w:rsid w:val="1F5771FF"/>
    <w:rsid w:val="1FD52DD5"/>
    <w:rsid w:val="1FE868A9"/>
    <w:rsid w:val="1FF30D05"/>
    <w:rsid w:val="20034907"/>
    <w:rsid w:val="20173E4B"/>
    <w:rsid w:val="204A02A8"/>
    <w:rsid w:val="204E48BC"/>
    <w:rsid w:val="208921B3"/>
    <w:rsid w:val="20973DEB"/>
    <w:rsid w:val="20B26522"/>
    <w:rsid w:val="20B44310"/>
    <w:rsid w:val="211116EB"/>
    <w:rsid w:val="21481C56"/>
    <w:rsid w:val="216133FC"/>
    <w:rsid w:val="21997D2C"/>
    <w:rsid w:val="21D56769"/>
    <w:rsid w:val="21E52EF3"/>
    <w:rsid w:val="21FB5D7B"/>
    <w:rsid w:val="22015E94"/>
    <w:rsid w:val="220B1C3D"/>
    <w:rsid w:val="221D1D20"/>
    <w:rsid w:val="22334A87"/>
    <w:rsid w:val="22BE6801"/>
    <w:rsid w:val="22D1242A"/>
    <w:rsid w:val="22E06B41"/>
    <w:rsid w:val="23197621"/>
    <w:rsid w:val="233500BF"/>
    <w:rsid w:val="23377FF7"/>
    <w:rsid w:val="236B425F"/>
    <w:rsid w:val="23836192"/>
    <w:rsid w:val="23901F29"/>
    <w:rsid w:val="239877BF"/>
    <w:rsid w:val="239C0061"/>
    <w:rsid w:val="23B908A4"/>
    <w:rsid w:val="23E95BEF"/>
    <w:rsid w:val="23EB0441"/>
    <w:rsid w:val="23FA5882"/>
    <w:rsid w:val="23FD0064"/>
    <w:rsid w:val="24493D64"/>
    <w:rsid w:val="245375B0"/>
    <w:rsid w:val="24642C0A"/>
    <w:rsid w:val="24B22173"/>
    <w:rsid w:val="24B95AD9"/>
    <w:rsid w:val="24BE24DA"/>
    <w:rsid w:val="24CF5825"/>
    <w:rsid w:val="24D663E6"/>
    <w:rsid w:val="24D77F2B"/>
    <w:rsid w:val="25036248"/>
    <w:rsid w:val="257A01D8"/>
    <w:rsid w:val="258B00E2"/>
    <w:rsid w:val="25A917A6"/>
    <w:rsid w:val="25BE27CC"/>
    <w:rsid w:val="25F74A5C"/>
    <w:rsid w:val="2628662C"/>
    <w:rsid w:val="262D45DE"/>
    <w:rsid w:val="264F58A0"/>
    <w:rsid w:val="268647A1"/>
    <w:rsid w:val="26871DC8"/>
    <w:rsid w:val="26A53EF9"/>
    <w:rsid w:val="26A94201"/>
    <w:rsid w:val="26AC274F"/>
    <w:rsid w:val="26C4431F"/>
    <w:rsid w:val="27044A29"/>
    <w:rsid w:val="271D34C8"/>
    <w:rsid w:val="27354D8F"/>
    <w:rsid w:val="273F1190"/>
    <w:rsid w:val="276142BF"/>
    <w:rsid w:val="27783712"/>
    <w:rsid w:val="27907362"/>
    <w:rsid w:val="279D24CD"/>
    <w:rsid w:val="27B9574E"/>
    <w:rsid w:val="280521C0"/>
    <w:rsid w:val="281439C7"/>
    <w:rsid w:val="28333E1D"/>
    <w:rsid w:val="28454BD6"/>
    <w:rsid w:val="28455253"/>
    <w:rsid w:val="28551971"/>
    <w:rsid w:val="285B1C53"/>
    <w:rsid w:val="289F7086"/>
    <w:rsid w:val="28C32028"/>
    <w:rsid w:val="28CC490F"/>
    <w:rsid w:val="28DE40AA"/>
    <w:rsid w:val="28EA11F0"/>
    <w:rsid w:val="28EC1992"/>
    <w:rsid w:val="29345E77"/>
    <w:rsid w:val="294C65AD"/>
    <w:rsid w:val="29806583"/>
    <w:rsid w:val="298B3C4C"/>
    <w:rsid w:val="29F26D24"/>
    <w:rsid w:val="2A15033F"/>
    <w:rsid w:val="2A1662C1"/>
    <w:rsid w:val="2A1C7367"/>
    <w:rsid w:val="2A2735EF"/>
    <w:rsid w:val="2A2815FA"/>
    <w:rsid w:val="2A650088"/>
    <w:rsid w:val="2A6D6092"/>
    <w:rsid w:val="2A7D76B4"/>
    <w:rsid w:val="2AE6675B"/>
    <w:rsid w:val="2B24677E"/>
    <w:rsid w:val="2B437463"/>
    <w:rsid w:val="2B7807EE"/>
    <w:rsid w:val="2B895DBE"/>
    <w:rsid w:val="2BA50BF7"/>
    <w:rsid w:val="2BBF00EC"/>
    <w:rsid w:val="2BC37CFD"/>
    <w:rsid w:val="2BD5237F"/>
    <w:rsid w:val="2BE536CE"/>
    <w:rsid w:val="2BE758D9"/>
    <w:rsid w:val="2C09049E"/>
    <w:rsid w:val="2C0A653C"/>
    <w:rsid w:val="2C191F85"/>
    <w:rsid w:val="2C216345"/>
    <w:rsid w:val="2C3A226E"/>
    <w:rsid w:val="2C867DBC"/>
    <w:rsid w:val="2CBC6866"/>
    <w:rsid w:val="2CE82D6F"/>
    <w:rsid w:val="2D343236"/>
    <w:rsid w:val="2DD15014"/>
    <w:rsid w:val="2DF72DE4"/>
    <w:rsid w:val="2E0220AF"/>
    <w:rsid w:val="2E4B082A"/>
    <w:rsid w:val="2E4D5BDF"/>
    <w:rsid w:val="2E5D4E86"/>
    <w:rsid w:val="2E5D790B"/>
    <w:rsid w:val="2E665B25"/>
    <w:rsid w:val="2E852E3A"/>
    <w:rsid w:val="2E9A3C18"/>
    <w:rsid w:val="2EBB0FEE"/>
    <w:rsid w:val="2EC63002"/>
    <w:rsid w:val="2F0A6B38"/>
    <w:rsid w:val="2F946CCB"/>
    <w:rsid w:val="2FD25781"/>
    <w:rsid w:val="2FDC745C"/>
    <w:rsid w:val="2FFD7934"/>
    <w:rsid w:val="30321779"/>
    <w:rsid w:val="305D340F"/>
    <w:rsid w:val="30733ACD"/>
    <w:rsid w:val="308C3862"/>
    <w:rsid w:val="309379D8"/>
    <w:rsid w:val="30A270F7"/>
    <w:rsid w:val="30B82985"/>
    <w:rsid w:val="30DF1478"/>
    <w:rsid w:val="30EC586F"/>
    <w:rsid w:val="314550B7"/>
    <w:rsid w:val="319C6071"/>
    <w:rsid w:val="31AC537E"/>
    <w:rsid w:val="31E3679B"/>
    <w:rsid w:val="31E732FD"/>
    <w:rsid w:val="32517576"/>
    <w:rsid w:val="32BE5C2C"/>
    <w:rsid w:val="32FB6478"/>
    <w:rsid w:val="33263B3F"/>
    <w:rsid w:val="336963EB"/>
    <w:rsid w:val="33816EEB"/>
    <w:rsid w:val="33D72FF6"/>
    <w:rsid w:val="33EB55CD"/>
    <w:rsid w:val="33EC4C02"/>
    <w:rsid w:val="34086058"/>
    <w:rsid w:val="340D2360"/>
    <w:rsid w:val="3410665D"/>
    <w:rsid w:val="34211214"/>
    <w:rsid w:val="342E63AB"/>
    <w:rsid w:val="348F5A5D"/>
    <w:rsid w:val="34950E68"/>
    <w:rsid w:val="34986E94"/>
    <w:rsid w:val="349E1C62"/>
    <w:rsid w:val="34AF62C9"/>
    <w:rsid w:val="34CB4388"/>
    <w:rsid w:val="34FA6E12"/>
    <w:rsid w:val="3501369F"/>
    <w:rsid w:val="350A26B5"/>
    <w:rsid w:val="354D7158"/>
    <w:rsid w:val="358D5588"/>
    <w:rsid w:val="363A3B40"/>
    <w:rsid w:val="365302AE"/>
    <w:rsid w:val="36607A0A"/>
    <w:rsid w:val="366E227C"/>
    <w:rsid w:val="366F2E0D"/>
    <w:rsid w:val="367B6A5C"/>
    <w:rsid w:val="36A74ADA"/>
    <w:rsid w:val="36AD60D5"/>
    <w:rsid w:val="36B224F9"/>
    <w:rsid w:val="36EC0CC9"/>
    <w:rsid w:val="373F410B"/>
    <w:rsid w:val="37EB2B8F"/>
    <w:rsid w:val="37EE7094"/>
    <w:rsid w:val="38296C89"/>
    <w:rsid w:val="383002EB"/>
    <w:rsid w:val="38586797"/>
    <w:rsid w:val="38BC0149"/>
    <w:rsid w:val="38BE13DB"/>
    <w:rsid w:val="38D87D1C"/>
    <w:rsid w:val="39636459"/>
    <w:rsid w:val="396B7F6C"/>
    <w:rsid w:val="39B417A9"/>
    <w:rsid w:val="39FC5695"/>
    <w:rsid w:val="3A006D8E"/>
    <w:rsid w:val="3A3651E5"/>
    <w:rsid w:val="3A744481"/>
    <w:rsid w:val="3A7D069E"/>
    <w:rsid w:val="3A8378F5"/>
    <w:rsid w:val="3A8C7BEF"/>
    <w:rsid w:val="3A8D718A"/>
    <w:rsid w:val="3A906246"/>
    <w:rsid w:val="3AEE2AB9"/>
    <w:rsid w:val="3AFC2149"/>
    <w:rsid w:val="3B2349B7"/>
    <w:rsid w:val="3B3E3C3F"/>
    <w:rsid w:val="3B616CFF"/>
    <w:rsid w:val="3B6259F6"/>
    <w:rsid w:val="3B976654"/>
    <w:rsid w:val="3BB10A37"/>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64F80"/>
    <w:rsid w:val="3DE041CB"/>
    <w:rsid w:val="3DF37B43"/>
    <w:rsid w:val="3E0D48F6"/>
    <w:rsid w:val="3E1567CC"/>
    <w:rsid w:val="3E1868B4"/>
    <w:rsid w:val="3E377251"/>
    <w:rsid w:val="3E42664B"/>
    <w:rsid w:val="3E5A7334"/>
    <w:rsid w:val="3E7768BF"/>
    <w:rsid w:val="3E7B5D6B"/>
    <w:rsid w:val="3E843E66"/>
    <w:rsid w:val="3E8F51FE"/>
    <w:rsid w:val="3E926F87"/>
    <w:rsid w:val="3E9A59DE"/>
    <w:rsid w:val="3EAF4836"/>
    <w:rsid w:val="3EC33DFA"/>
    <w:rsid w:val="3F060E16"/>
    <w:rsid w:val="3F1D1096"/>
    <w:rsid w:val="3F2F0234"/>
    <w:rsid w:val="3F371995"/>
    <w:rsid w:val="3F6363FE"/>
    <w:rsid w:val="3F756B8F"/>
    <w:rsid w:val="3F95482B"/>
    <w:rsid w:val="400155CC"/>
    <w:rsid w:val="4019356B"/>
    <w:rsid w:val="40592157"/>
    <w:rsid w:val="406E1CAE"/>
    <w:rsid w:val="40A0133A"/>
    <w:rsid w:val="40C31A53"/>
    <w:rsid w:val="40F62880"/>
    <w:rsid w:val="40FF545D"/>
    <w:rsid w:val="410019D0"/>
    <w:rsid w:val="410067C8"/>
    <w:rsid w:val="418F0D2A"/>
    <w:rsid w:val="419639D2"/>
    <w:rsid w:val="41AD7AA3"/>
    <w:rsid w:val="41D01505"/>
    <w:rsid w:val="42153C99"/>
    <w:rsid w:val="42474939"/>
    <w:rsid w:val="424C3C57"/>
    <w:rsid w:val="42613FF3"/>
    <w:rsid w:val="426207DA"/>
    <w:rsid w:val="42660D96"/>
    <w:rsid w:val="428667D2"/>
    <w:rsid w:val="42CB3EF8"/>
    <w:rsid w:val="42CD1CE0"/>
    <w:rsid w:val="42E1381E"/>
    <w:rsid w:val="42ED6459"/>
    <w:rsid w:val="42FE58DD"/>
    <w:rsid w:val="43174B3D"/>
    <w:rsid w:val="434B790E"/>
    <w:rsid w:val="4360274F"/>
    <w:rsid w:val="43977AB6"/>
    <w:rsid w:val="43A3342B"/>
    <w:rsid w:val="43C77C27"/>
    <w:rsid w:val="43DE09EE"/>
    <w:rsid w:val="44002FAD"/>
    <w:rsid w:val="449101DD"/>
    <w:rsid w:val="449C1DDC"/>
    <w:rsid w:val="44DE1391"/>
    <w:rsid w:val="451B225C"/>
    <w:rsid w:val="452410C9"/>
    <w:rsid w:val="45317DFB"/>
    <w:rsid w:val="45344FBE"/>
    <w:rsid w:val="45550B24"/>
    <w:rsid w:val="456D3CE4"/>
    <w:rsid w:val="4579042C"/>
    <w:rsid w:val="457F0571"/>
    <w:rsid w:val="45851176"/>
    <w:rsid w:val="45A62FF6"/>
    <w:rsid w:val="45C63B94"/>
    <w:rsid w:val="45CF75E0"/>
    <w:rsid w:val="45F8417E"/>
    <w:rsid w:val="460E7DA5"/>
    <w:rsid w:val="46422483"/>
    <w:rsid w:val="46564015"/>
    <w:rsid w:val="4659254A"/>
    <w:rsid w:val="465B0637"/>
    <w:rsid w:val="465E3F0D"/>
    <w:rsid w:val="466A16E6"/>
    <w:rsid w:val="46893F2B"/>
    <w:rsid w:val="469E033F"/>
    <w:rsid w:val="46A95DC0"/>
    <w:rsid w:val="46AE5C4C"/>
    <w:rsid w:val="46B13BD5"/>
    <w:rsid w:val="46C4686E"/>
    <w:rsid w:val="46CE7675"/>
    <w:rsid w:val="46F26331"/>
    <w:rsid w:val="47030FAD"/>
    <w:rsid w:val="477B778F"/>
    <w:rsid w:val="478203EC"/>
    <w:rsid w:val="47B025FA"/>
    <w:rsid w:val="47B7235B"/>
    <w:rsid w:val="47F67697"/>
    <w:rsid w:val="4809698F"/>
    <w:rsid w:val="4811697D"/>
    <w:rsid w:val="481203CA"/>
    <w:rsid w:val="487A3E25"/>
    <w:rsid w:val="488B5503"/>
    <w:rsid w:val="48937E21"/>
    <w:rsid w:val="489A0361"/>
    <w:rsid w:val="48B94FF3"/>
    <w:rsid w:val="48E37AAB"/>
    <w:rsid w:val="48FD4B4C"/>
    <w:rsid w:val="490A68E0"/>
    <w:rsid w:val="490C194C"/>
    <w:rsid w:val="490D6193"/>
    <w:rsid w:val="491055FE"/>
    <w:rsid w:val="495F5B3E"/>
    <w:rsid w:val="49610B66"/>
    <w:rsid w:val="49616E20"/>
    <w:rsid w:val="496F77D7"/>
    <w:rsid w:val="497654FD"/>
    <w:rsid w:val="49B64211"/>
    <w:rsid w:val="49E56AF9"/>
    <w:rsid w:val="49F6167F"/>
    <w:rsid w:val="4A064FA0"/>
    <w:rsid w:val="4A16615C"/>
    <w:rsid w:val="4A4424D7"/>
    <w:rsid w:val="4A7A7358"/>
    <w:rsid w:val="4AB82D0F"/>
    <w:rsid w:val="4AEB7664"/>
    <w:rsid w:val="4AFD7C19"/>
    <w:rsid w:val="4AFE7C99"/>
    <w:rsid w:val="4B0567D1"/>
    <w:rsid w:val="4B236AAE"/>
    <w:rsid w:val="4B3D0A25"/>
    <w:rsid w:val="4B707271"/>
    <w:rsid w:val="4B9739F7"/>
    <w:rsid w:val="4BEE2503"/>
    <w:rsid w:val="4C072F71"/>
    <w:rsid w:val="4C245A30"/>
    <w:rsid w:val="4C3575D7"/>
    <w:rsid w:val="4CB32C02"/>
    <w:rsid w:val="4CB6685F"/>
    <w:rsid w:val="4CC367FE"/>
    <w:rsid w:val="4CD945DE"/>
    <w:rsid w:val="4D077F3C"/>
    <w:rsid w:val="4D106251"/>
    <w:rsid w:val="4D123355"/>
    <w:rsid w:val="4D2A3B31"/>
    <w:rsid w:val="4D312C52"/>
    <w:rsid w:val="4D5C3516"/>
    <w:rsid w:val="4D642CE9"/>
    <w:rsid w:val="4D905305"/>
    <w:rsid w:val="4D964A72"/>
    <w:rsid w:val="4D9C1254"/>
    <w:rsid w:val="4E4036D3"/>
    <w:rsid w:val="4E68060E"/>
    <w:rsid w:val="4E793892"/>
    <w:rsid w:val="4E800872"/>
    <w:rsid w:val="4EC569ED"/>
    <w:rsid w:val="4ED50EA1"/>
    <w:rsid w:val="4EEC050C"/>
    <w:rsid w:val="4F104EC3"/>
    <w:rsid w:val="4F47354A"/>
    <w:rsid w:val="4F4A58D9"/>
    <w:rsid w:val="4F500B6B"/>
    <w:rsid w:val="4F645701"/>
    <w:rsid w:val="4F911C54"/>
    <w:rsid w:val="4FAF35AB"/>
    <w:rsid w:val="4FDA7EAF"/>
    <w:rsid w:val="4FE625E0"/>
    <w:rsid w:val="5021480F"/>
    <w:rsid w:val="50962ECB"/>
    <w:rsid w:val="50A42E38"/>
    <w:rsid w:val="50A4577F"/>
    <w:rsid w:val="50B73D1F"/>
    <w:rsid w:val="50BD5BC9"/>
    <w:rsid w:val="50C11EEE"/>
    <w:rsid w:val="50C3721A"/>
    <w:rsid w:val="50E97CFC"/>
    <w:rsid w:val="50FA4028"/>
    <w:rsid w:val="510D65B7"/>
    <w:rsid w:val="511157AB"/>
    <w:rsid w:val="5142540C"/>
    <w:rsid w:val="518832C8"/>
    <w:rsid w:val="519D3C50"/>
    <w:rsid w:val="51A0432A"/>
    <w:rsid w:val="51A86090"/>
    <w:rsid w:val="51B7396D"/>
    <w:rsid w:val="5209326F"/>
    <w:rsid w:val="522E4CC3"/>
    <w:rsid w:val="5244713B"/>
    <w:rsid w:val="52615633"/>
    <w:rsid w:val="526F4DE4"/>
    <w:rsid w:val="527D422A"/>
    <w:rsid w:val="52977FD4"/>
    <w:rsid w:val="52A25790"/>
    <w:rsid w:val="52A96B6F"/>
    <w:rsid w:val="52B45975"/>
    <w:rsid w:val="52D94AA4"/>
    <w:rsid w:val="52EA3A62"/>
    <w:rsid w:val="52F50BB8"/>
    <w:rsid w:val="53097272"/>
    <w:rsid w:val="53544462"/>
    <w:rsid w:val="5397158E"/>
    <w:rsid w:val="54013861"/>
    <w:rsid w:val="54335B48"/>
    <w:rsid w:val="54487265"/>
    <w:rsid w:val="544D6070"/>
    <w:rsid w:val="54605E1E"/>
    <w:rsid w:val="549F7F54"/>
    <w:rsid w:val="54B3506A"/>
    <w:rsid w:val="54CA0D16"/>
    <w:rsid w:val="54CE086E"/>
    <w:rsid w:val="54DD4057"/>
    <w:rsid w:val="54E7490F"/>
    <w:rsid w:val="550764A4"/>
    <w:rsid w:val="550B2BF6"/>
    <w:rsid w:val="55214EB5"/>
    <w:rsid w:val="55364EFD"/>
    <w:rsid w:val="555D4828"/>
    <w:rsid w:val="557A4C8B"/>
    <w:rsid w:val="558931E1"/>
    <w:rsid w:val="55923347"/>
    <w:rsid w:val="55925180"/>
    <w:rsid w:val="55983B1B"/>
    <w:rsid w:val="55A8376B"/>
    <w:rsid w:val="55C84C0B"/>
    <w:rsid w:val="55DC29B6"/>
    <w:rsid w:val="55DD4241"/>
    <w:rsid w:val="55E22705"/>
    <w:rsid w:val="55E24E25"/>
    <w:rsid w:val="565C39B1"/>
    <w:rsid w:val="566B6D1E"/>
    <w:rsid w:val="57032A2C"/>
    <w:rsid w:val="570F5219"/>
    <w:rsid w:val="572A672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50A30"/>
    <w:rsid w:val="58A65CBC"/>
    <w:rsid w:val="58AE4F0C"/>
    <w:rsid w:val="58B85899"/>
    <w:rsid w:val="58E363A9"/>
    <w:rsid w:val="5950448A"/>
    <w:rsid w:val="595E1678"/>
    <w:rsid w:val="596D5BD4"/>
    <w:rsid w:val="597E3DD8"/>
    <w:rsid w:val="59A62976"/>
    <w:rsid w:val="59F80043"/>
    <w:rsid w:val="5A09252F"/>
    <w:rsid w:val="5A0B2778"/>
    <w:rsid w:val="5A2A7C7B"/>
    <w:rsid w:val="5A3E2560"/>
    <w:rsid w:val="5A5D3B6E"/>
    <w:rsid w:val="5A637A76"/>
    <w:rsid w:val="5A6D33BA"/>
    <w:rsid w:val="5A792B1F"/>
    <w:rsid w:val="5A874767"/>
    <w:rsid w:val="5AA85BE2"/>
    <w:rsid w:val="5AAD6F28"/>
    <w:rsid w:val="5AD63A24"/>
    <w:rsid w:val="5AE8174F"/>
    <w:rsid w:val="5B003097"/>
    <w:rsid w:val="5B072CED"/>
    <w:rsid w:val="5B2E1A1D"/>
    <w:rsid w:val="5B843A1C"/>
    <w:rsid w:val="5B873E3F"/>
    <w:rsid w:val="5C02690E"/>
    <w:rsid w:val="5C196DA7"/>
    <w:rsid w:val="5C2A048C"/>
    <w:rsid w:val="5C80234E"/>
    <w:rsid w:val="5C8A680C"/>
    <w:rsid w:val="5CA10663"/>
    <w:rsid w:val="5D0C4701"/>
    <w:rsid w:val="5D0F0395"/>
    <w:rsid w:val="5D221076"/>
    <w:rsid w:val="5D29140C"/>
    <w:rsid w:val="5D2B4CE1"/>
    <w:rsid w:val="5D397964"/>
    <w:rsid w:val="5D422715"/>
    <w:rsid w:val="5D5A391C"/>
    <w:rsid w:val="5D5F10C0"/>
    <w:rsid w:val="5D891B7B"/>
    <w:rsid w:val="5DAD38EE"/>
    <w:rsid w:val="5DEA03F9"/>
    <w:rsid w:val="5E006862"/>
    <w:rsid w:val="5E0207B9"/>
    <w:rsid w:val="5E1834A1"/>
    <w:rsid w:val="5E261785"/>
    <w:rsid w:val="5E265C0C"/>
    <w:rsid w:val="5E4A7017"/>
    <w:rsid w:val="5E552BBA"/>
    <w:rsid w:val="5E611C10"/>
    <w:rsid w:val="5E7A0F3F"/>
    <w:rsid w:val="5EB531C8"/>
    <w:rsid w:val="5EE332BB"/>
    <w:rsid w:val="5EFC7377"/>
    <w:rsid w:val="5F06174D"/>
    <w:rsid w:val="5F38421E"/>
    <w:rsid w:val="5F3A3602"/>
    <w:rsid w:val="5F45733B"/>
    <w:rsid w:val="5F6277C6"/>
    <w:rsid w:val="5F6D0B1D"/>
    <w:rsid w:val="5F8D0B82"/>
    <w:rsid w:val="5FCC5339"/>
    <w:rsid w:val="5FD168CF"/>
    <w:rsid w:val="5FE34A5B"/>
    <w:rsid w:val="5FFE1E36"/>
    <w:rsid w:val="60232584"/>
    <w:rsid w:val="602A0F80"/>
    <w:rsid w:val="60323CF3"/>
    <w:rsid w:val="607330CE"/>
    <w:rsid w:val="60825176"/>
    <w:rsid w:val="609F2AC4"/>
    <w:rsid w:val="60F71CF6"/>
    <w:rsid w:val="60FA2EE8"/>
    <w:rsid w:val="61054A27"/>
    <w:rsid w:val="610A52BC"/>
    <w:rsid w:val="610F7AA6"/>
    <w:rsid w:val="611D2366"/>
    <w:rsid w:val="6131634A"/>
    <w:rsid w:val="61421856"/>
    <w:rsid w:val="615227C4"/>
    <w:rsid w:val="61531560"/>
    <w:rsid w:val="61654E3F"/>
    <w:rsid w:val="6182292A"/>
    <w:rsid w:val="619C0045"/>
    <w:rsid w:val="619F7F92"/>
    <w:rsid w:val="61BA7A47"/>
    <w:rsid w:val="61F94C26"/>
    <w:rsid w:val="62000E56"/>
    <w:rsid w:val="620F6909"/>
    <w:rsid w:val="624F3E49"/>
    <w:rsid w:val="62632286"/>
    <w:rsid w:val="62885958"/>
    <w:rsid w:val="62F40B65"/>
    <w:rsid w:val="62FC2CFE"/>
    <w:rsid w:val="63024505"/>
    <w:rsid w:val="634C56B2"/>
    <w:rsid w:val="635600A5"/>
    <w:rsid w:val="635B1DB5"/>
    <w:rsid w:val="63711FED"/>
    <w:rsid w:val="63760A5E"/>
    <w:rsid w:val="637D6CA8"/>
    <w:rsid w:val="63880DDC"/>
    <w:rsid w:val="638D750D"/>
    <w:rsid w:val="63AC6CC0"/>
    <w:rsid w:val="63CE2ED9"/>
    <w:rsid w:val="64055776"/>
    <w:rsid w:val="64240056"/>
    <w:rsid w:val="642A24C4"/>
    <w:rsid w:val="643E143A"/>
    <w:rsid w:val="64491666"/>
    <w:rsid w:val="648B6EEF"/>
    <w:rsid w:val="64C158BF"/>
    <w:rsid w:val="64CE2EAA"/>
    <w:rsid w:val="650809B4"/>
    <w:rsid w:val="653C3090"/>
    <w:rsid w:val="65526CEA"/>
    <w:rsid w:val="65854376"/>
    <w:rsid w:val="658767BE"/>
    <w:rsid w:val="65892531"/>
    <w:rsid w:val="66195831"/>
    <w:rsid w:val="662E75B1"/>
    <w:rsid w:val="66342C2E"/>
    <w:rsid w:val="663E784C"/>
    <w:rsid w:val="668B6A45"/>
    <w:rsid w:val="66A97572"/>
    <w:rsid w:val="66DE151F"/>
    <w:rsid w:val="67011F07"/>
    <w:rsid w:val="672F3F24"/>
    <w:rsid w:val="673E055F"/>
    <w:rsid w:val="67551CE3"/>
    <w:rsid w:val="67634499"/>
    <w:rsid w:val="678D4B17"/>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EF3880"/>
    <w:rsid w:val="691664E5"/>
    <w:rsid w:val="692D36E5"/>
    <w:rsid w:val="693E15D3"/>
    <w:rsid w:val="695C4B1F"/>
    <w:rsid w:val="69627681"/>
    <w:rsid w:val="6977531D"/>
    <w:rsid w:val="699A4857"/>
    <w:rsid w:val="69CC2BFF"/>
    <w:rsid w:val="69FC65C8"/>
    <w:rsid w:val="69FD55B8"/>
    <w:rsid w:val="6A0B1C62"/>
    <w:rsid w:val="6A1D384D"/>
    <w:rsid w:val="6A2406C8"/>
    <w:rsid w:val="6A38048F"/>
    <w:rsid w:val="6ADE0BD1"/>
    <w:rsid w:val="6AE96859"/>
    <w:rsid w:val="6B147746"/>
    <w:rsid w:val="6B24787C"/>
    <w:rsid w:val="6B573233"/>
    <w:rsid w:val="6B5B6274"/>
    <w:rsid w:val="6B6210D0"/>
    <w:rsid w:val="6B935D53"/>
    <w:rsid w:val="6C1338DB"/>
    <w:rsid w:val="6C196F71"/>
    <w:rsid w:val="6C226FCB"/>
    <w:rsid w:val="6C31226F"/>
    <w:rsid w:val="6C552F0B"/>
    <w:rsid w:val="6C8C67B7"/>
    <w:rsid w:val="6C9D744C"/>
    <w:rsid w:val="6CAF6CEB"/>
    <w:rsid w:val="6CBC01D6"/>
    <w:rsid w:val="6D167928"/>
    <w:rsid w:val="6D26299B"/>
    <w:rsid w:val="6D4772EC"/>
    <w:rsid w:val="6D704F86"/>
    <w:rsid w:val="6D9078AF"/>
    <w:rsid w:val="6DAA3FEF"/>
    <w:rsid w:val="6DC0172B"/>
    <w:rsid w:val="6DCB690C"/>
    <w:rsid w:val="6DD41A5B"/>
    <w:rsid w:val="6DF43C2E"/>
    <w:rsid w:val="6DF51CA3"/>
    <w:rsid w:val="6E743803"/>
    <w:rsid w:val="6E8335BD"/>
    <w:rsid w:val="6E8E12EF"/>
    <w:rsid w:val="6E972936"/>
    <w:rsid w:val="6EBE0305"/>
    <w:rsid w:val="6ED446C5"/>
    <w:rsid w:val="6EDB1A70"/>
    <w:rsid w:val="6F0034F2"/>
    <w:rsid w:val="6F2A7D94"/>
    <w:rsid w:val="6F800BBD"/>
    <w:rsid w:val="6F8331F1"/>
    <w:rsid w:val="6F8D2E65"/>
    <w:rsid w:val="6F992425"/>
    <w:rsid w:val="6FAE1A09"/>
    <w:rsid w:val="6FD75BF8"/>
    <w:rsid w:val="70200D94"/>
    <w:rsid w:val="70281BC8"/>
    <w:rsid w:val="70570ADF"/>
    <w:rsid w:val="706C7393"/>
    <w:rsid w:val="706E215D"/>
    <w:rsid w:val="707723D0"/>
    <w:rsid w:val="709F0DE0"/>
    <w:rsid w:val="70F5661B"/>
    <w:rsid w:val="71360107"/>
    <w:rsid w:val="713B688E"/>
    <w:rsid w:val="71D43752"/>
    <w:rsid w:val="71F1796A"/>
    <w:rsid w:val="720028EF"/>
    <w:rsid w:val="72154626"/>
    <w:rsid w:val="721A4C6E"/>
    <w:rsid w:val="72262B5D"/>
    <w:rsid w:val="72283FF7"/>
    <w:rsid w:val="722E7212"/>
    <w:rsid w:val="723A0474"/>
    <w:rsid w:val="725923E4"/>
    <w:rsid w:val="72864BF7"/>
    <w:rsid w:val="729023FC"/>
    <w:rsid w:val="72CC16C8"/>
    <w:rsid w:val="733A69E9"/>
    <w:rsid w:val="734C381D"/>
    <w:rsid w:val="73C0646E"/>
    <w:rsid w:val="742222F5"/>
    <w:rsid w:val="7434641A"/>
    <w:rsid w:val="74476126"/>
    <w:rsid w:val="74706664"/>
    <w:rsid w:val="747D0245"/>
    <w:rsid w:val="747F3682"/>
    <w:rsid w:val="749C4185"/>
    <w:rsid w:val="75067759"/>
    <w:rsid w:val="752E6DCD"/>
    <w:rsid w:val="7551380D"/>
    <w:rsid w:val="755D3A9E"/>
    <w:rsid w:val="75600BE5"/>
    <w:rsid w:val="7564475C"/>
    <w:rsid w:val="7583797F"/>
    <w:rsid w:val="75A87338"/>
    <w:rsid w:val="75CF63FA"/>
    <w:rsid w:val="75D20F1D"/>
    <w:rsid w:val="75DA2C18"/>
    <w:rsid w:val="75F54412"/>
    <w:rsid w:val="761D08E0"/>
    <w:rsid w:val="76412D52"/>
    <w:rsid w:val="765D347C"/>
    <w:rsid w:val="76826699"/>
    <w:rsid w:val="76C87133"/>
    <w:rsid w:val="76CD08D5"/>
    <w:rsid w:val="76DB4B92"/>
    <w:rsid w:val="77052AA4"/>
    <w:rsid w:val="77136511"/>
    <w:rsid w:val="77310123"/>
    <w:rsid w:val="77340A39"/>
    <w:rsid w:val="77351FD0"/>
    <w:rsid w:val="77472422"/>
    <w:rsid w:val="777F31F2"/>
    <w:rsid w:val="77CF2917"/>
    <w:rsid w:val="77D1700D"/>
    <w:rsid w:val="77EC04CC"/>
    <w:rsid w:val="78267798"/>
    <w:rsid w:val="7854580C"/>
    <w:rsid w:val="78775729"/>
    <w:rsid w:val="78A42DB0"/>
    <w:rsid w:val="78A656AB"/>
    <w:rsid w:val="78B2245C"/>
    <w:rsid w:val="78E172CC"/>
    <w:rsid w:val="78EA1D1F"/>
    <w:rsid w:val="7904172F"/>
    <w:rsid w:val="790F7E27"/>
    <w:rsid w:val="792A231A"/>
    <w:rsid w:val="79316829"/>
    <w:rsid w:val="797E66A9"/>
    <w:rsid w:val="798518A4"/>
    <w:rsid w:val="79A97383"/>
    <w:rsid w:val="79BE507A"/>
    <w:rsid w:val="79E27E8B"/>
    <w:rsid w:val="79F75CCD"/>
    <w:rsid w:val="79F850CE"/>
    <w:rsid w:val="79FD443C"/>
    <w:rsid w:val="7A1D1975"/>
    <w:rsid w:val="7A3E5150"/>
    <w:rsid w:val="7A4670D6"/>
    <w:rsid w:val="7A534B63"/>
    <w:rsid w:val="7A615382"/>
    <w:rsid w:val="7A67303B"/>
    <w:rsid w:val="7A8A01C7"/>
    <w:rsid w:val="7AAB1D04"/>
    <w:rsid w:val="7ABA4368"/>
    <w:rsid w:val="7AD05746"/>
    <w:rsid w:val="7B257FFD"/>
    <w:rsid w:val="7B273D20"/>
    <w:rsid w:val="7B343476"/>
    <w:rsid w:val="7B5A2978"/>
    <w:rsid w:val="7B5A7E4C"/>
    <w:rsid w:val="7B667AF9"/>
    <w:rsid w:val="7B7468F8"/>
    <w:rsid w:val="7BE15524"/>
    <w:rsid w:val="7BEE0103"/>
    <w:rsid w:val="7C0A0FE4"/>
    <w:rsid w:val="7C254906"/>
    <w:rsid w:val="7C590818"/>
    <w:rsid w:val="7C6F4493"/>
    <w:rsid w:val="7C7C10F6"/>
    <w:rsid w:val="7C853BEA"/>
    <w:rsid w:val="7C881368"/>
    <w:rsid w:val="7CE27788"/>
    <w:rsid w:val="7D0C32F1"/>
    <w:rsid w:val="7D0F408D"/>
    <w:rsid w:val="7D491C6C"/>
    <w:rsid w:val="7D5429C0"/>
    <w:rsid w:val="7D5906CC"/>
    <w:rsid w:val="7D6E6D43"/>
    <w:rsid w:val="7DB41FC5"/>
    <w:rsid w:val="7DB57A34"/>
    <w:rsid w:val="7DC96823"/>
    <w:rsid w:val="7DE60973"/>
    <w:rsid w:val="7DEF0916"/>
    <w:rsid w:val="7E1E5218"/>
    <w:rsid w:val="7E9A4E1F"/>
    <w:rsid w:val="7EA7723A"/>
    <w:rsid w:val="7EF56FBB"/>
    <w:rsid w:val="7F0768EB"/>
    <w:rsid w:val="7F143BEC"/>
    <w:rsid w:val="7F227526"/>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宋体" w:hAnsi="仿宋"/>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7"/>
    <w:link w:val="195"/>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link w:val="266"/>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宋体"/>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宋体"/>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5"/>
    <w:qFormat/>
    <w:uiPriority w:val="0"/>
    <w:pPr>
      <w:adjustRightInd w:val="0"/>
      <w:snapToGrid w:val="0"/>
      <w:spacing w:before="240" w:after="480"/>
      <w:jc w:val="center"/>
    </w:pPr>
    <w:rPr>
      <w:rFonts w:ascii="Arial" w:hAnsi="Arial" w:eastAsia="仿宋"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link w:val="98"/>
    <w:qFormat/>
    <w:uiPriority w:val="0"/>
    <w:rPr>
      <w:b/>
      <w:bCs/>
    </w:rPr>
  </w:style>
  <w:style w:type="paragraph" w:styleId="60">
    <w:name w:val="Body Text First Indent"/>
    <w:basedOn w:val="2"/>
    <w:next w:val="1"/>
    <w:link w:val="322"/>
    <w:qFormat/>
    <w:uiPriority w:val="0"/>
    <w:pPr>
      <w:ind w:firstLine="420"/>
    </w:pPr>
    <w:rPr>
      <w:rFonts w:hAnsi="Calibri" w:cs="Times New Roman"/>
      <w:snapToGrid/>
      <w:szCs w:val="20"/>
    </w:rPr>
  </w:style>
  <w:style w:type="paragraph" w:styleId="61">
    <w:name w:val="Body Text First Indent 2"/>
    <w:basedOn w:val="7"/>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
      <w:sz w:val="20"/>
      <w:szCs w:val="20"/>
    </w:rPr>
  </w:style>
  <w:style w:type="character" w:styleId="78">
    <w:name w:val="annotation reference"/>
    <w:qFormat/>
    <w:uiPriority w:val="99"/>
    <w:rPr>
      <w:sz w:val="21"/>
      <w:szCs w:val="21"/>
    </w:rPr>
  </w:style>
  <w:style w:type="paragraph" w:customStyle="1" w:styleId="79">
    <w:name w:val="Default"/>
    <w:link w:val="23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1">
    <w:name w:val="章正文"/>
    <w:basedOn w:val="1"/>
    <w:qFormat/>
    <w:uiPriority w:val="0"/>
    <w:pPr>
      <w:adjustRightInd/>
      <w:spacing w:beforeLines="50" w:after="120" w:line="300" w:lineRule="auto"/>
      <w:ind w:firstLine="480" w:firstLineChars="200"/>
    </w:pPr>
    <w:rPr>
      <w:rFonts w:ascii="Segoe Print" w:hAnsi="Segoe Print"/>
      <w:kern w:val="0"/>
      <w:sz w:val="24"/>
    </w:rPr>
  </w:style>
  <w:style w:type="paragraph" w:customStyle="1" w:styleId="82">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83">
    <w:name w:val="正文文本首行缩进 21"/>
    <w:basedOn w:val="7"/>
    <w:qFormat/>
    <w:uiPriority w:val="99"/>
    <w:pPr>
      <w:spacing w:line="200" w:lineRule="atLeast"/>
      <w:ind w:firstLine="420"/>
    </w:pPr>
    <w:rPr>
      <w:rFonts w:hAnsi="Courier New"/>
      <w:spacing w:val="-4"/>
      <w:sz w:val="18"/>
    </w:rPr>
  </w:style>
  <w:style w:type="character" w:customStyle="1" w:styleId="84">
    <w:name w:val="表格非标题文字 Char"/>
    <w:link w:val="85"/>
    <w:qFormat/>
    <w:uiPriority w:val="0"/>
    <w:rPr>
      <w:rFonts w:ascii="Yu Gothic UI" w:hAnsi="Yu Gothic UI"/>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Yu Gothic UI" w:hAnsi="Yu Gothic UI"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宋体" w:hAnsi="宋体" w:eastAsia="宋体"/>
      <w:kern w:val="1"/>
      <w:sz w:val="28"/>
    </w:rPr>
  </w:style>
  <w:style w:type="character" w:customStyle="1" w:styleId="93">
    <w:name w:val="标题 3 Char1"/>
    <w:qFormat/>
    <w:uiPriority w:val="0"/>
    <w:rPr>
      <w:rFonts w:hint="eastAsia" w:ascii="仿宋" w:hAnsi="仿宋" w:eastAsia="仿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47" w:afterLines="47"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59"/>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宋体"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宋体" w:hAnsi="微软雅黑" w:eastAsia="宋体"/>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宋体" w:hAnsi="微软雅黑"/>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宋体" w:hAnsi="宋体" w:eastAsia="宋体"/>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宋体" w:eastAsia="宋体"/>
      <w:b/>
      <w:bCs/>
      <w:kern w:val="2"/>
      <w:sz w:val="24"/>
      <w:szCs w:val="24"/>
      <w:lang w:val="zh-CN" w:eastAsia="zh-CN" w:bidi="ar-SA"/>
    </w:rPr>
  </w:style>
  <w:style w:type="character" w:customStyle="1" w:styleId="123">
    <w:name w:val="正文文本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宋体" w:hAnsi="仿宋" w:eastAsia="宋体"/>
      <w:kern w:val="2"/>
      <w:sz w:val="24"/>
      <w:szCs w:val="24"/>
    </w:rPr>
  </w:style>
  <w:style w:type="character" w:customStyle="1" w:styleId="130">
    <w:name w:val="样式4 Char"/>
    <w:qFormat/>
    <w:uiPriority w:val="0"/>
    <w:rPr>
      <w:rFonts w:ascii="宋体" w:hAnsi="仿宋" w:eastAsia="宋体"/>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6"/>
    <w:qFormat/>
    <w:uiPriority w:val="0"/>
    <w:rPr>
      <w:rFonts w:ascii="Arial" w:hAnsi="Arial" w:eastAsia="仿宋"/>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宋体" w:hAnsi="仿宋" w:eastAsia="宋体"/>
      <w:b/>
      <w:kern w:val="2"/>
      <w:sz w:val="24"/>
      <w:szCs w:val="24"/>
    </w:rPr>
  </w:style>
  <w:style w:type="character" w:customStyle="1" w:styleId="144">
    <w:name w:val="font12gray1"/>
    <w:qFormat/>
    <w:uiPriority w:val="0"/>
    <w:rPr>
      <w:rFonts w:ascii="宋体"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宋体" w:eastAsia="宋体" w:cs="宋体"/>
      <w:color w:val="000000"/>
      <w:sz w:val="22"/>
      <w:szCs w:val="22"/>
      <w:u w:val="none"/>
    </w:rPr>
  </w:style>
  <w:style w:type="character" w:customStyle="1" w:styleId="149">
    <w:name w:val="标题 6 字符"/>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宋体" w:hAnsi="宋体" w:eastAsia="宋体"/>
      <w:kern w:val="2"/>
      <w:sz w:val="24"/>
      <w:lang w:bidi="ar-SA"/>
    </w:rPr>
  </w:style>
  <w:style w:type="character" w:customStyle="1" w:styleId="155">
    <w:name w:val="正文 项目 Char"/>
    <w:qFormat/>
    <w:uiPriority w:val="0"/>
    <w:rPr>
      <w:rFonts w:ascii="宋体" w:hAnsi="宋体" w:eastAsia="宋体"/>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宋体"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宋体"/>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宋体" w:hAnsi="Times New Roman" w:eastAsia="宋体"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宋体" w:hAnsi="仿宋" w:eastAsia="宋体" w:cs="宋体"/>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5"/>
    <w:qFormat/>
    <w:uiPriority w:val="0"/>
    <w:rPr>
      <w:rFonts w:ascii="宋体"/>
      <w:kern w:val="2"/>
      <w:sz w:val="24"/>
      <w:szCs w:val="21"/>
      <w:lang w:val="zh-CN"/>
    </w:rPr>
  </w:style>
  <w:style w:type="character" w:customStyle="1" w:styleId="184">
    <w:name w:val="标题 9 字符"/>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宋体"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宋体"/>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宋体"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icrosoft Sans Serif" w:hAnsi="Microsoft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宋体" w:hAnsi="仿宋" w:eastAsia="宋体" w:cs="宋体"/>
      <w:sz w:val="32"/>
      <w:szCs w:val="30"/>
      <w:lang w:val="zh-CN"/>
    </w:rPr>
  </w:style>
  <w:style w:type="character" w:customStyle="1" w:styleId="221">
    <w:name w:val="HTML 地址 字符"/>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宋体" w:eastAsia="宋体"/>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宋体" w:eastAsia="宋体"/>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79"/>
    <w:qFormat/>
    <w:uiPriority w:val="0"/>
    <w:rPr>
      <w:rFonts w:ascii="宋体" w:eastAsia="宋体" w:cs="宋体"/>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宋体"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宋体" w:eastAsia="宋体"/>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宋体" w:hAnsi="宋体" w:eastAsia="宋体"/>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 w:cs="Lucida Console"/>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宋体" w:eastAsia="宋体"/>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宋体" w:eastAsia="微软雅黑"/>
      <w:b/>
      <w:kern w:val="2"/>
      <w:sz w:val="23"/>
      <w:szCs w:val="23"/>
      <w:lang w:val="en-US" w:eastAsia="zh-CN" w:bidi="ar-SA"/>
    </w:rPr>
  </w:style>
  <w:style w:type="character" w:customStyle="1" w:styleId="291">
    <w:name w:val="样式8 Char"/>
    <w:qFormat/>
    <w:uiPriority w:val="0"/>
    <w:rPr>
      <w:rFonts w:ascii="宋体" w:hAnsi="宋体" w:eastAsia="宋体"/>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宋体" w:eastAsia="宋体"/>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2"/>
    <w:qFormat/>
    <w:uiPriority w:val="0"/>
    <w:rPr>
      <w:rFonts w:ascii="宋体" w:eastAsia="宋体"/>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6"/>
    <w:qFormat/>
    <w:uiPriority w:val="0"/>
    <w:rPr>
      <w:rFonts w:ascii="黑体" w:hAnsi="Courier New" w:eastAsia="黑体"/>
    </w:rPr>
  </w:style>
  <w:style w:type="character" w:customStyle="1" w:styleId="303">
    <w:name w:val="正文文本 2 字符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1"/>
    <w:qFormat/>
    <w:uiPriority w:val="0"/>
    <w:rPr>
      <w:b/>
      <w:bCs/>
      <w:kern w:val="2"/>
      <w:sz w:val="24"/>
      <w:szCs w:val="24"/>
    </w:rPr>
  </w:style>
  <w:style w:type="character" w:customStyle="1" w:styleId="309">
    <w:name w:val="正文文本缩进 2 字符"/>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宋体" w:eastAsia="宋体"/>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宋体" w:hAnsi="Courier New" w:eastAsia="宋体"/>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qFormat/>
    <w:uiPriority w:val="99"/>
    <w:rPr>
      <w:kern w:val="2"/>
      <w:sz w:val="21"/>
      <w:szCs w:val="24"/>
    </w:rPr>
  </w:style>
  <w:style w:type="character" w:customStyle="1" w:styleId="346">
    <w:name w:val="签名 字符"/>
    <w:link w:val="41"/>
    <w:qFormat/>
    <w:uiPriority w:val="0"/>
    <w:rPr>
      <w:rFonts w:eastAsia="宋体"/>
      <w:sz w:val="24"/>
    </w:rPr>
  </w:style>
  <w:style w:type="character" w:customStyle="1" w:styleId="347">
    <w:name w:val="hui3"/>
    <w:qFormat/>
    <w:uiPriority w:val="0"/>
    <w:rPr>
      <w:color w:val="333333"/>
    </w:rPr>
  </w:style>
  <w:style w:type="character" w:customStyle="1" w:styleId="348">
    <w:name w:val="Char Char17"/>
    <w:qFormat/>
    <w:uiPriority w:val="6"/>
    <w:rPr>
      <w:rFonts w:eastAsia="宋体"/>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 w:cs="Lucida Console"/>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宋体" w:eastAsia="宋体"/>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宋体"/>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basedOn w:val="69"/>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宋体"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宋体" w:eastAsia="宋体"/>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39"/>
    <w:qFormat/>
    <w:locked/>
    <w:uiPriority w:val="99"/>
    <w:rPr>
      <w:kern w:val="2"/>
      <w:sz w:val="18"/>
      <w:szCs w:val="18"/>
    </w:rPr>
  </w:style>
  <w:style w:type="character" w:customStyle="1" w:styleId="385">
    <w:name w:val="Char Char36"/>
    <w:qFormat/>
    <w:uiPriority w:val="6"/>
    <w:rPr>
      <w:rFonts w:ascii="宋体" w:hAnsi="宋体" w:eastAsia="宋体"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 w:hAnsi="Arial" w:eastAsia="楷体"/>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汉仪书宋二简" w:hAnsi="汉仪书宋二简"/>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宋体" w:eastAsia="宋体"/>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宋体"/>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宋体"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7"/>
    <w:qFormat/>
    <w:uiPriority w:val="0"/>
    <w:pPr>
      <w:tabs>
        <w:tab w:val="left" w:pos="360"/>
        <w:tab w:val="left" w:pos="540"/>
      </w:tabs>
      <w:adjustRightInd/>
      <w:spacing w:line="520" w:lineRule="exact"/>
      <w:ind w:left="200" w:firstLine="560"/>
    </w:pPr>
    <w:rPr>
      <w:rFonts w:hAnsi="Times New Roman"/>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宋体" w:hAnsi="宋体"/>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宋体" w:hAnsi="仿宋"/>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仿宋"/>
    </w:rPr>
  </w:style>
  <w:style w:type="paragraph" w:customStyle="1" w:styleId="464">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Black" w:hAnsi="Arial Black"/>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宋体"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hAnsi="Arial"/>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宋体"/>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 w:afterLines="1"/>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宋体"/>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宋体"/>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宋体"/>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宋体"/>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宋体"/>
      <w:b/>
      <w:sz w:val="32"/>
      <w:szCs w:val="32"/>
    </w:rPr>
  </w:style>
  <w:style w:type="paragraph" w:customStyle="1" w:styleId="504">
    <w:name w:val="Char2 Char Char Char1"/>
    <w:basedOn w:val="1"/>
    <w:qFormat/>
    <w:uiPriority w:val="6"/>
    <w:rPr>
      <w:rFonts w:ascii="宋体"/>
      <w:b/>
      <w:sz w:val="32"/>
      <w:szCs w:val="32"/>
    </w:rPr>
  </w:style>
  <w:style w:type="paragraph" w:customStyle="1" w:styleId="505">
    <w:name w:val="默认段落样式"/>
    <w:basedOn w:val="133"/>
    <w:qFormat/>
    <w:uiPriority w:val="0"/>
    <w:pPr>
      <w:spacing w:before="0"/>
      <w:ind w:firstLine="480"/>
      <w:outlineLvl w:val="2"/>
    </w:pPr>
    <w:rPr>
      <w:rFonts w:ascii="宋体" w:hAnsi="宋体"/>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 w:cs="Lucida Console"/>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宋体"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宋体"/>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hAnsi="Cambria"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79"/>
    <w:next w:val="79"/>
    <w:qFormat/>
    <w:uiPriority w:val="0"/>
    <w:pPr>
      <w:spacing w:after="68"/>
    </w:pPr>
    <w:rPr>
      <w:rFonts w:ascii="MT Extra" w:eastAsia="MT Extra"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sz w:val="28"/>
    </w:rPr>
  </w:style>
  <w:style w:type="paragraph" w:customStyle="1" w:styleId="550">
    <w:name w:val="正文文字 2"/>
    <w:basedOn w:val="79"/>
    <w:next w:val="79"/>
    <w:qFormat/>
    <w:uiPriority w:val="0"/>
    <w:rPr>
      <w:rFonts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宋体"/>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宋体"/>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Black" w:hAnsi="Arial Black"/>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宋体"/>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宋体" w:hAnsi="仿宋"/>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宋体"/>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hAnsi="宋体"/>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宋体"/>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宋体"/>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 w:cs="Lucida Console"/>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宋体"/>
      <w:b/>
      <w:sz w:val="32"/>
      <w:szCs w:val="32"/>
    </w:rPr>
  </w:style>
  <w:style w:type="paragraph" w:customStyle="1" w:styleId="621">
    <w:name w:val="正文，首行缩进:  2 字符"/>
    <w:qFormat/>
    <w:uiPriority w:val="0"/>
    <w:pPr>
      <w:spacing w:line="360" w:lineRule="auto"/>
      <w:ind w:firstLine="480" w:firstLineChars="200"/>
    </w:pPr>
    <w:rPr>
      <w:rFonts w:ascii="Arial" w:hAnsi="Arial" w:eastAsia="宋体"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Black" w:hAnsi="Arial Black" w:eastAsia="宋体"/>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Black" w:hAnsi="Arial Black"/>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Yu Gothic UI" w:hAnsi="Yu Gothic UI"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宋体"/>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宋体" w:hAnsi="仿宋"/>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Black" w:cs="Arial Black"/>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Black"/>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宋体" w:hAnsi="宋体"/>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 w:afterLines="1"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Black" w:hAnsi="Arial Black"/>
      <w:kern w:val="0"/>
      <w:sz w:val="24"/>
    </w:rPr>
  </w:style>
  <w:style w:type="paragraph" w:customStyle="1" w:styleId="683">
    <w:name w:val="Preformatted Text"/>
    <w:basedOn w:val="1"/>
    <w:qFormat/>
    <w:uiPriority w:val="0"/>
    <w:pPr>
      <w:suppressAutoHyphens/>
      <w:adjustRightInd/>
      <w:ind w:firstLine="200" w:firstLineChars="200"/>
    </w:pPr>
    <w:rPr>
      <w:rFonts w:ascii="Cambria" w:hAnsi="Cambria"/>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 w:hAnsi="宋体" w:eastAsia="楷体"/>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宋体"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Yu Gothic UI" w:hAnsi="Yu Gothic UI"/>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 w:cs="等线 Light"/>
      <w:sz w:val="24"/>
      <w:szCs w:val="21"/>
    </w:rPr>
  </w:style>
  <w:style w:type="paragraph" w:customStyle="1" w:styleId="701">
    <w:name w:val="Char Char Char Char Char Char Char1"/>
    <w:basedOn w:val="1"/>
    <w:qFormat/>
    <w:uiPriority w:val="6"/>
    <w:rPr>
      <w:rFonts w:ascii="宋体"/>
      <w:b/>
      <w:sz w:val="32"/>
      <w:szCs w:val="32"/>
    </w:rPr>
  </w:style>
  <w:style w:type="paragraph" w:customStyle="1" w:styleId="702">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宋体"/>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hAnsi="Arial"/>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宋体"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宋体"/>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宋体"/>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宋体"/>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宋体"/>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 w:cs="Lucida Console"/>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Black" w:hAnsi="Arial Black"/>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宋体" w:hAnsi="宋体"/>
      <w:b/>
      <w:bCs/>
      <w:sz w:val="24"/>
    </w:rPr>
  </w:style>
  <w:style w:type="paragraph" w:customStyle="1" w:styleId="761">
    <w:name w:val="_Style 5"/>
    <w:basedOn w:val="1"/>
    <w:qFormat/>
    <w:uiPriority w:val="34"/>
    <w:pPr>
      <w:adjustRightInd/>
      <w:ind w:firstLine="420" w:firstLineChars="200"/>
    </w:pPr>
    <w:rPr>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Yu Gothic UI" w:hAnsi="Yu Gothic UI" w:cs="Yu Gothic UI"/>
      <w:kern w:val="0"/>
      <w:sz w:val="18"/>
      <w:szCs w:val="18"/>
    </w:rPr>
  </w:style>
  <w:style w:type="paragraph" w:customStyle="1" w:styleId="763">
    <w:name w:val="列出段落*"/>
    <w:basedOn w:val="1"/>
    <w:qFormat/>
    <w:uiPriority w:val="0"/>
    <w:pPr>
      <w:adjustRightInd/>
      <w:spacing w:line="360" w:lineRule="auto"/>
      <w:ind w:firstLine="200"/>
    </w:pPr>
    <w:rPr>
      <w:rFonts w:eastAsia="楷体"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宋体"/>
      <w:b/>
      <w:sz w:val="32"/>
      <w:szCs w:val="32"/>
    </w:rPr>
  </w:style>
  <w:style w:type="paragraph" w:customStyle="1" w:styleId="767">
    <w:name w:val="Char12"/>
    <w:basedOn w:val="1"/>
    <w:qFormat/>
    <w:uiPriority w:val="0"/>
    <w:pPr>
      <w:widowControl/>
      <w:spacing w:after="160" w:line="240" w:lineRule="exact"/>
      <w:jc w:val="left"/>
    </w:pPr>
    <w:rPr>
      <w:rFonts w:ascii="Verdana" w:hAnsi="Verdana"/>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宋体"/>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宋体"/>
      <w:b/>
      <w:sz w:val="32"/>
      <w:szCs w:val="32"/>
    </w:rPr>
  </w:style>
  <w:style w:type="paragraph" w:customStyle="1" w:styleId="786">
    <w:name w:val="Char111"/>
    <w:basedOn w:val="1"/>
    <w:qFormat/>
    <w:uiPriority w:val="0"/>
    <w:rPr>
      <w:rFonts w:ascii="宋体"/>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宋体"/>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宋体"/>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next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宋体" w:hAnsi="宋体"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Segoe Print" w:hAnsi="Segoe Print"/>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宋体"/>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宋体"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Malgun Gothic" w:hAnsi="Malgun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Yu Gothic UI" w:hAnsi="Yu Gothic UI" w:cs="Yu Gothic UI"/>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Yu Gothic UI" w:hAnsi="Yu Gothic UI"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宋体"/>
      <w:sz w:val="24"/>
      <w:szCs w:val="20"/>
    </w:rPr>
  </w:style>
  <w:style w:type="paragraph" w:customStyle="1" w:styleId="840">
    <w:name w:val="正文1"/>
    <w:basedOn w:val="31"/>
    <w:qFormat/>
    <w:uiPriority w:val="0"/>
    <w:pPr>
      <w:ind w:left="0" w:leftChars="0" w:firstLine="480" w:firstLineChars="200"/>
    </w:pPr>
    <w:rPr>
      <w:rFonts w:hAnsi="Courier New"/>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7"/>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宋体"/>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宋体"/>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Yu Gothic UI" w:hAnsi="Yu Gothic UI" w:cs="Yu Gothic UI"/>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 w:cs="Lucida Console"/>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rial" w:hAnsi="Arial"/>
      <w:kern w:val="0"/>
      <w:sz w:val="20"/>
      <w:szCs w:val="20"/>
    </w:rPr>
  </w:style>
  <w:style w:type="paragraph" w:customStyle="1" w:styleId="856">
    <w:name w:val="Char31"/>
    <w:basedOn w:val="1"/>
    <w:qFormat/>
    <w:uiPriority w:val="0"/>
    <w:pPr>
      <w:adjustRightInd/>
    </w:pPr>
    <w:rPr>
      <w:rFonts w:ascii="宋体"/>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sz w:val="28"/>
    </w:rPr>
  </w:style>
  <w:style w:type="paragraph" w:customStyle="1" w:styleId="861">
    <w:name w:val="Char21"/>
    <w:basedOn w:val="1"/>
    <w:qFormat/>
    <w:uiPriority w:val="0"/>
    <w:pPr>
      <w:adjustRightInd/>
      <w:ind w:firstLine="200" w:firstLineChars="200"/>
    </w:pPr>
    <w:rPr>
      <w:rFonts w:ascii="宋体"/>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宋体"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宋体"/>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宋体" w:hAnsi="Arial"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宋体"/>
      <w:b/>
      <w:color w:val="000000"/>
      <w:sz w:val="24"/>
      <w:szCs w:val="20"/>
    </w:rPr>
  </w:style>
  <w:style w:type="paragraph" w:customStyle="1" w:styleId="878">
    <w:name w:val="正文 A"/>
    <w:qFormat/>
    <w:uiPriority w:val="0"/>
    <w:pPr>
      <w:widowControl w:val="0"/>
      <w:jc w:val="both"/>
    </w:pPr>
    <w:rPr>
      <w:rFonts w:ascii="Times New Roman" w:hAnsi="Times New Roman" w:eastAsia="Arial Black" w:cs="Arial Black"/>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宋体"/>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 w:afterLines="1"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Black" w:hAnsi="Arial Black"/>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Black" w:hAnsi="Arial Black"/>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sz w:val="28"/>
    </w:rPr>
  </w:style>
  <w:style w:type="paragraph" w:customStyle="1" w:styleId="906">
    <w:name w:val="样式5"/>
    <w:basedOn w:val="1"/>
    <w:qFormat/>
    <w:uiPriority w:val="0"/>
    <w:pPr>
      <w:spacing w:line="440" w:lineRule="exact"/>
      <w:ind w:left="2" w:firstLine="480" w:firstLineChars="200"/>
    </w:pPr>
    <w:rPr>
      <w:rFonts w:ascii="宋体" w:hAnsi="仿宋"/>
      <w:sz w:val="24"/>
    </w:rPr>
  </w:style>
  <w:style w:type="paragraph" w:customStyle="1" w:styleId="907">
    <w:name w:val="_Style 8"/>
    <w:basedOn w:val="1"/>
    <w:qFormat/>
    <w:uiPriority w:val="34"/>
    <w:pPr>
      <w:adjustRightInd/>
      <w:ind w:firstLine="420" w:firstLineChars="200"/>
    </w:pPr>
    <w:rPr>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Black" w:hAnsi="Arial Black"/>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Malgun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Malgun Gothic" w:hAnsi="Malgun Gothic" w:eastAsia="Malgun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Malgun Gothic" w:hAnsi="楷体" w:eastAsia="Malgun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Malgun Gothic" w:hAnsi="Malgun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Wingdings" w:eastAsia="Wingdings"/>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 w:hAnsi="楷体"/>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Black" w:hAnsi="Arial Black" w:eastAsia="Arial Black"/>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首行缩进2字符"/>
    <w:basedOn w:val="1"/>
    <w:qFormat/>
    <w:uiPriority w:val="0"/>
    <w:pPr>
      <w:widowControl/>
    </w:pPr>
  </w:style>
  <w:style w:type="paragraph" w:customStyle="1" w:styleId="966">
    <w:name w:val="Basistekst Batenburg"/>
    <w:basedOn w:val="967"/>
    <w:qFormat/>
    <w:uiPriority w:val="0"/>
  </w:style>
  <w:style w:type="paragraph" w:customStyle="1" w:styleId="967">
    <w:name w:val="Zsysbasis Batenburg"/>
    <w:next w:val="966"/>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968">
    <w:name w:val="正文文本1"/>
    <w:basedOn w:val="1"/>
    <w:qFormat/>
    <w:uiPriority w:val="0"/>
    <w:pPr>
      <w:autoSpaceDE w:val="0"/>
      <w:autoSpaceDN w:val="0"/>
      <w:spacing w:line="360" w:lineRule="auto"/>
      <w:jc w:val="left"/>
    </w:pPr>
    <w:rPr>
      <w:rFonts w:ascii="宋体" w:hAnsi="Arial" w:cs="宋体"/>
      <w:snapToGrid w:val="0"/>
      <w:kern w:val="0"/>
      <w:sz w:val="24"/>
      <w:szCs w:val="21"/>
      <w:lang w:val="zh-CN" w:bidi="zh-CN"/>
    </w:rPr>
  </w:style>
  <w:style w:type="paragraph" w:customStyle="1" w:styleId="969">
    <w:name w:val="正文（缩进）"/>
    <w:qFormat/>
    <w:uiPriority w:val="0"/>
    <w:pPr>
      <w:widowControl w:val="0"/>
      <w:spacing w:before="156" w:after="156"/>
      <w:ind w:firstLine="48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93</Pages>
  <Words>47741</Words>
  <Characters>51166</Characters>
  <Lines>336</Lines>
  <Paragraphs>94</Paragraphs>
  <TotalTime>27</TotalTime>
  <ScaleCrop>false</ScaleCrop>
  <LinksUpToDate>false</LinksUpToDate>
  <CharactersWithSpaces>56606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2023-10-19T02:07:00Z</dcterms:created>
  <dc:creator>玥</dc:creator>
  <cp:lastModifiedBy>黑泥鳅</cp:lastModifiedBy>
  <cp:lastPrinted>2024-09-26T03:20:00Z</cp:lastPrinted>
  <dcterms:modified xsi:type="dcterms:W3CDTF">2024-10-10T09:58:38Z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40E392BBDEB5452A88525464BB41E672_13</vt:lpwstr>
  </property>
</Properties>
</file>