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eastAsia="zh-CN"/>
        </w:rPr>
        <w:t>余杭区良渚沈括小学（</w:t>
      </w:r>
      <w:r>
        <w:rPr>
          <w:rFonts w:hint="eastAsia" w:ascii="宋体" w:hAnsi="宋体" w:cs="宋体"/>
          <w:color w:val="auto"/>
          <w:sz w:val="48"/>
          <w:szCs w:val="48"/>
          <w:lang w:eastAsia="zh-CN"/>
        </w:rPr>
        <w:t>新城三小</w:t>
      </w:r>
      <w:r>
        <w:rPr>
          <w:rFonts w:hint="eastAsia" w:ascii="宋体" w:hAnsi="宋体" w:cs="宋体"/>
          <w:sz w:val="48"/>
          <w:szCs w:val="48"/>
          <w:lang w:eastAsia="zh-CN"/>
        </w:rPr>
        <w:t>）体育器材招标采购项目</w:t>
      </w:r>
    </w:p>
    <w:p>
      <w:pPr>
        <w:adjustRightInd/>
        <w:spacing w:line="360" w:lineRule="auto"/>
        <w:jc w:val="center"/>
        <w:rPr>
          <w:rFonts w:hint="eastAsia"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adjustRightInd/>
        <w:spacing w:line="360" w:lineRule="auto"/>
        <w:ind w:firstLine="3300" w:firstLineChars="1100"/>
        <w:rPr>
          <w:rFonts w:hint="eastAsia" w:ascii="宋体" w:hAnsi="宋体" w:eastAsia="宋体" w:cs="宋体"/>
          <w:sz w:val="28"/>
          <w:szCs w:val="20"/>
          <w:lang w:eastAsia="zh-CN"/>
        </w:rPr>
      </w:pPr>
      <w:r>
        <w:rPr>
          <w:rFonts w:hint="eastAsia" w:ascii="宋体" w:hAnsi="宋体" w:cs="宋体"/>
          <w:sz w:val="30"/>
          <w:szCs w:val="30"/>
        </w:rPr>
        <w:t>编号:</w:t>
      </w:r>
      <w:r>
        <w:rPr>
          <w:rFonts w:hint="eastAsia" w:ascii="宋体" w:hAnsi="宋体" w:cs="宋体"/>
          <w:sz w:val="30"/>
          <w:szCs w:val="30"/>
          <w:lang w:val="en-US" w:eastAsia="zh-CN"/>
        </w:rPr>
        <w:t xml:space="preserve"> ZFCG-SX2024-028 </w:t>
      </w: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：杭州市余杭区良渚沈括小学</w:t>
      </w:r>
    </w:p>
    <w:p>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杭州盛新项目管理咨询有限公司</w:t>
      </w:r>
    </w:p>
    <w:p>
      <w:pPr>
        <w:snapToGrid w:val="0"/>
        <w:spacing w:line="360" w:lineRule="auto"/>
        <w:jc w:val="center"/>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余杭区良渚沈括小学（新城三小）体育器材招标采购项目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color w:val="FF0000"/>
          <w:kern w:val="2"/>
          <w:sz w:val="24"/>
          <w:szCs w:val="24"/>
          <w:highlight w:val="none"/>
        </w:rPr>
        <w:t>202</w:t>
      </w:r>
      <w:r>
        <w:rPr>
          <w:rStyle w:val="76"/>
          <w:rFonts w:hint="eastAsia" w:cs="Times New Roman" w:asciiTheme="minorEastAsia" w:hAnsiTheme="minorEastAsia" w:eastAsiaTheme="minorEastAsia"/>
          <w:snapToGrid/>
          <w:color w:val="FF0000"/>
          <w:kern w:val="2"/>
          <w:sz w:val="24"/>
          <w:szCs w:val="24"/>
          <w:highlight w:val="none"/>
          <w:lang w:val="en-US" w:eastAsia="zh-CN"/>
        </w:rPr>
        <w:t>4</w:t>
      </w:r>
      <w:r>
        <w:rPr>
          <w:rStyle w:val="76"/>
          <w:rFonts w:cs="Times New Roman" w:asciiTheme="minorEastAsia" w:hAnsiTheme="minorEastAsia" w:eastAsiaTheme="minorEastAsia"/>
          <w:snapToGrid/>
          <w:color w:val="FF0000"/>
          <w:kern w:val="2"/>
          <w:sz w:val="24"/>
          <w:szCs w:val="24"/>
          <w:highlight w:val="none"/>
        </w:rPr>
        <w:t>年</w:t>
      </w:r>
      <w:r>
        <w:rPr>
          <w:rStyle w:val="76"/>
          <w:rFonts w:hint="eastAsia" w:cs="Times New Roman" w:asciiTheme="minorEastAsia" w:hAnsiTheme="minorEastAsia" w:eastAsiaTheme="minorEastAsia"/>
          <w:snapToGrid/>
          <w:color w:val="FF0000"/>
          <w:kern w:val="2"/>
          <w:sz w:val="24"/>
          <w:szCs w:val="24"/>
          <w:highlight w:val="none"/>
          <w:lang w:val="en-US" w:eastAsia="zh-CN"/>
        </w:rPr>
        <w:t>7</w:t>
      </w:r>
      <w:r>
        <w:rPr>
          <w:rStyle w:val="76"/>
          <w:rFonts w:hint="eastAsia" w:cs="Times New Roman" w:asciiTheme="minorEastAsia" w:hAnsiTheme="minorEastAsia" w:eastAsiaTheme="minorEastAsia"/>
          <w:snapToGrid/>
          <w:color w:val="FF0000"/>
          <w:kern w:val="2"/>
          <w:sz w:val="24"/>
          <w:szCs w:val="24"/>
          <w:highlight w:val="none"/>
        </w:rPr>
        <w:t>月</w:t>
      </w:r>
      <w:r>
        <w:rPr>
          <w:rStyle w:val="76"/>
          <w:rFonts w:hint="eastAsia" w:cs="Times New Roman" w:asciiTheme="minorEastAsia" w:hAnsiTheme="minorEastAsia" w:eastAsiaTheme="minorEastAsia"/>
          <w:snapToGrid/>
          <w:color w:val="FF0000"/>
          <w:kern w:val="2"/>
          <w:sz w:val="24"/>
          <w:szCs w:val="24"/>
          <w:highlight w:val="none"/>
          <w:lang w:val="en-US" w:eastAsia="zh-CN"/>
        </w:rPr>
        <w:t>12</w:t>
      </w:r>
      <w:r>
        <w:rPr>
          <w:rStyle w:val="76"/>
          <w:rFonts w:hint="eastAsia" w:cs="Times New Roman" w:asciiTheme="minorEastAsia" w:hAnsiTheme="minorEastAsia" w:eastAsiaTheme="minorEastAsia"/>
          <w:snapToGrid/>
          <w:color w:val="FF0000"/>
          <w:kern w:val="2"/>
          <w:sz w:val="24"/>
          <w:szCs w:val="24"/>
          <w:highlight w:val="none"/>
        </w:rPr>
        <w:t>日</w:t>
      </w:r>
      <w:r>
        <w:rPr>
          <w:rStyle w:val="76"/>
          <w:rFonts w:hint="eastAsia" w:cs="Times New Roman" w:asciiTheme="minorEastAsia" w:hAnsiTheme="minorEastAsia" w:eastAsiaTheme="minorEastAsia"/>
          <w:snapToGrid/>
          <w:color w:val="FF0000"/>
          <w:kern w:val="2"/>
          <w:sz w:val="24"/>
          <w:szCs w:val="24"/>
          <w:highlight w:val="none"/>
          <w:lang w:val="en-US" w:eastAsia="zh-CN"/>
        </w:rPr>
        <w:t>9</w:t>
      </w:r>
      <w:r>
        <w:rPr>
          <w:rStyle w:val="76"/>
          <w:rFonts w:hint="eastAsia" w:cs="Times New Roman" w:asciiTheme="minorEastAsia" w:hAnsiTheme="minorEastAsia" w:eastAsiaTheme="minorEastAsia"/>
          <w:snapToGrid/>
          <w:color w:val="FF0000"/>
          <w:kern w:val="2"/>
          <w:sz w:val="24"/>
          <w:szCs w:val="24"/>
          <w:highlight w:val="none"/>
        </w:rPr>
        <w:t>点</w:t>
      </w:r>
      <w:r>
        <w:rPr>
          <w:rStyle w:val="76"/>
          <w:rFonts w:hint="eastAsia" w:cs="Times New Roman" w:asciiTheme="minorEastAsia" w:hAnsiTheme="minorEastAsia" w:eastAsiaTheme="minorEastAsia"/>
          <w:snapToGrid/>
          <w:color w:val="FF0000"/>
          <w:kern w:val="2"/>
          <w:sz w:val="24"/>
          <w:szCs w:val="24"/>
          <w:highlight w:val="none"/>
          <w:lang w:val="en-US" w:eastAsia="zh-CN"/>
        </w:rPr>
        <w:t>30</w:t>
      </w:r>
      <w:r>
        <w:rPr>
          <w:rStyle w:val="76"/>
          <w:rFonts w:hint="eastAsia" w:cs="Times New Roman" w:asciiTheme="minorEastAsia" w:hAnsiTheme="minorEastAsia" w:eastAsiaTheme="minorEastAsia"/>
          <w:snapToGrid/>
          <w:color w:val="FF0000"/>
          <w:kern w:val="2"/>
          <w:sz w:val="24"/>
          <w:szCs w:val="24"/>
          <w:highlight w:val="none"/>
        </w:rPr>
        <w:t>分</w:t>
      </w:r>
      <w:r>
        <w:rPr>
          <w:rStyle w:val="76"/>
          <w:rFonts w:hint="eastAsia" w:cs="Times New Roman" w:asciiTheme="minorEastAsia" w:hAnsiTheme="minorEastAsia" w:eastAsiaTheme="minorEastAsia"/>
          <w:bCs/>
          <w:snapToGrid/>
          <w:color w:val="FF0000"/>
          <w:kern w:val="2"/>
          <w:sz w:val="24"/>
          <w:szCs w:val="24"/>
          <w:highlight w:val="none"/>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项目编号：ZFCG-SX2024-028</w:t>
      </w:r>
      <w:r>
        <w:rPr>
          <w:rFonts w:hint="eastAsia" w:ascii="宋体" w:hAnsi="宋体" w:cs="宋体"/>
          <w:b/>
          <w:sz w:val="24"/>
          <w:lang w:val="en-US" w:eastAsia="zh-CN"/>
        </w:rPr>
        <w:t xml:space="preserve">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余杭区良渚沈括小学（新城三小）体育器材招标采购项目</w:t>
      </w:r>
    </w:p>
    <w:p>
      <w:pPr>
        <w:spacing w:line="360" w:lineRule="auto"/>
        <w:rPr>
          <w:rFonts w:hint="default" w:ascii="宋体" w:hAnsi="宋体" w:eastAsia="宋体" w:cs="宋体"/>
          <w:color w:val="0000FF"/>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550000</w:t>
      </w:r>
    </w:p>
    <w:p>
      <w:pPr>
        <w:spacing w:line="360" w:lineRule="auto"/>
        <w:ind w:firstLine="482" w:firstLineChars="200"/>
        <w:rPr>
          <w:rFonts w:ascii="宋体" w:hAnsi="宋体" w:cs="宋体"/>
          <w:color w:val="0000FF"/>
          <w:sz w:val="24"/>
        </w:rPr>
      </w:pPr>
      <w:r>
        <w:rPr>
          <w:rFonts w:hint="eastAsia" w:ascii="宋体" w:hAnsi="宋体" w:cs="宋体"/>
          <w:b/>
          <w:sz w:val="24"/>
        </w:rPr>
        <w:t>最高限价（元）：</w:t>
      </w:r>
      <w:r>
        <w:rPr>
          <w:rFonts w:hint="eastAsia" w:ascii="宋体" w:hAnsi="宋体" w:cs="宋体"/>
          <w:b/>
          <w:sz w:val="24"/>
          <w:lang w:val="en-US" w:eastAsia="zh-CN"/>
        </w:rPr>
        <w:t>550000</w:t>
      </w:r>
    </w:p>
    <w:p>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z w:val="24"/>
          <w:u w:val="single"/>
          <w:lang w:eastAsia="zh-CN"/>
        </w:rPr>
        <w:t>余杭区良渚沈括小学（新城三小）体育器材招标采购项目</w:t>
      </w:r>
      <w:r>
        <w:rPr>
          <w:rFonts w:hint="eastAsia" w:hAnsi="宋体" w:cs="宋体"/>
          <w:bCs/>
          <w:snapToGrid/>
          <w:color w:val="auto"/>
          <w:kern w:val="2"/>
          <w:sz w:val="24"/>
          <w:szCs w:val="24"/>
        </w:rPr>
        <w:t>主要内容：</w:t>
      </w:r>
      <w:r>
        <w:rPr>
          <w:rFonts w:hint="eastAsia" w:asciiTheme="minorEastAsia" w:hAnsiTheme="minorEastAsia" w:eastAsiaTheme="minorEastAsia"/>
          <w:sz w:val="24"/>
          <w:u w:val="single"/>
          <w:lang w:eastAsia="zh-CN"/>
        </w:rPr>
        <w:t>余杭区良渚沈括小学（新城三小）体育器材招标采购项目</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9"/>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color w:val="auto"/>
          <w:highlight w:val="none"/>
        </w:rPr>
        <w:t>合同签订后</w:t>
      </w:r>
      <w:r>
        <w:rPr>
          <w:rFonts w:hint="eastAsia" w:ascii="宋体" w:hAnsi="宋体" w:cs="宋体"/>
          <w:b/>
          <w:color w:val="auto"/>
          <w:highlight w:val="none"/>
          <w:lang w:val="en-US" w:eastAsia="zh-CN"/>
        </w:rPr>
        <w:t>60日历天</w:t>
      </w:r>
      <w:r>
        <w:rPr>
          <w:rFonts w:hint="eastAsia" w:ascii="宋体" w:hAnsi="宋体" w:cs="宋体"/>
          <w:b/>
          <w:color w:val="auto"/>
          <w:highlight w:val="none"/>
        </w:rPr>
        <w:t>内完成供货并安装</w:t>
      </w:r>
      <w:r>
        <w:rPr>
          <w:rFonts w:hint="eastAsia" w:ascii="宋体" w:hAnsi="宋体" w:cs="宋体"/>
          <w:b/>
          <w:color w:val="auto"/>
          <w:highlight w:val="none"/>
          <w:lang w:eastAsia="zh-CN"/>
        </w:rPr>
        <w:t>。</w:t>
      </w:r>
      <w:r>
        <w:rPr>
          <w:rFonts w:hint="eastAsia" w:ascii="宋体" w:hAnsi="宋体" w:cs="宋体"/>
          <w:b/>
          <w:color w:val="auto"/>
        </w:rPr>
        <w:t xml:space="preserve"> </w:t>
      </w:r>
    </w:p>
    <w:p>
      <w:pPr>
        <w:pStyle w:val="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auto"/>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highlight w:val="none"/>
          <w:u w:val="single"/>
        </w:rPr>
        <w:t>202</w:t>
      </w:r>
      <w:r>
        <w:rPr>
          <w:rFonts w:hint="eastAsia" w:ascii="宋体" w:hAnsi="宋体" w:cs="宋体"/>
          <w:color w:val="FF0000"/>
          <w:sz w:val="24"/>
          <w:highlight w:val="none"/>
          <w:u w:val="single"/>
          <w:lang w:val="en-US" w:eastAsia="zh-CN"/>
        </w:rPr>
        <w:t>4</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12</w:t>
      </w:r>
      <w:r>
        <w:rPr>
          <w:rFonts w:hint="eastAsia" w:ascii="宋体" w:hAnsi="宋体" w:cs="宋体"/>
          <w:color w:val="FF0000"/>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7</w:t>
      </w:r>
      <w:r>
        <w:rPr>
          <w:rFonts w:hint="eastAsia" w:ascii="宋体" w:hAnsi="宋体" w:cs="宋体"/>
          <w:color w:val="FF0000"/>
          <w:sz w:val="24"/>
          <w:u w:val="single"/>
        </w:rPr>
        <w:t>月</w:t>
      </w:r>
      <w:r>
        <w:rPr>
          <w:rFonts w:hint="eastAsia" w:ascii="宋体" w:hAnsi="宋体" w:cs="宋体"/>
          <w:color w:val="FF0000"/>
          <w:sz w:val="24"/>
          <w:u w:val="single"/>
          <w:lang w:val="en-US" w:eastAsia="zh-CN"/>
        </w:rPr>
        <w:t>12</w:t>
      </w:r>
      <w:r>
        <w:rPr>
          <w:rFonts w:hint="eastAsia" w:ascii="宋体" w:hAnsi="宋体" w:cs="宋体"/>
          <w:color w:val="FF0000"/>
          <w:sz w:val="24"/>
          <w:u w:val="single"/>
        </w:rPr>
        <w:t>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color w:val="FF0000"/>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7</w:t>
      </w:r>
      <w:r>
        <w:rPr>
          <w:rFonts w:hint="eastAsia" w:ascii="宋体" w:hAnsi="宋体" w:cs="宋体"/>
          <w:color w:val="FF0000"/>
          <w:sz w:val="24"/>
          <w:u w:val="single"/>
        </w:rPr>
        <w:t>月</w:t>
      </w:r>
      <w:r>
        <w:rPr>
          <w:rFonts w:hint="eastAsia" w:ascii="宋体" w:hAnsi="宋体" w:cs="宋体"/>
          <w:color w:val="FF0000"/>
          <w:sz w:val="24"/>
          <w:u w:val="single"/>
          <w:lang w:val="en-US" w:eastAsia="zh-CN"/>
        </w:rPr>
        <w:t>12</w:t>
      </w:r>
      <w:r>
        <w:rPr>
          <w:rFonts w:hint="eastAsia" w:ascii="宋体" w:hAnsi="宋体" w:cs="宋体"/>
          <w:color w:val="FF0000"/>
          <w:sz w:val="24"/>
          <w:u w:val="single"/>
        </w:rPr>
        <w:t>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w:t>
      </w:r>
      <w:r>
        <w:rPr>
          <w:rFonts w:hint="eastAsia" w:ascii="宋体" w:hAnsi="宋体" w:cs="宋体"/>
          <w:color w:val="auto"/>
          <w:sz w:val="24"/>
          <w:lang w:eastAsia="zh-CN"/>
        </w:rPr>
        <w:t xml:space="preserve">杭州市余杭区良渚沈括小学 </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FF0000"/>
          <w:sz w:val="24"/>
        </w:rPr>
        <w:t xml:space="preserve"> </w:t>
      </w:r>
      <w:r>
        <w:rPr>
          <w:rFonts w:hint="eastAsia" w:ascii="宋体" w:hAnsi="宋体" w:cs="宋体"/>
          <w:color w:val="auto"/>
          <w:sz w:val="24"/>
        </w:rPr>
        <w:t xml:space="preserve">  地    址：余杭区良渚街道良运街399号</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项目联系人（询问）：杨超</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项目联系方式（询问）：0571-89000969</w:t>
      </w:r>
      <w:r>
        <w:rPr>
          <w:rFonts w:hint="eastAsia" w:ascii="宋体" w:hAnsi="宋体" w:cs="宋体"/>
          <w:color w:val="auto"/>
          <w:sz w:val="24"/>
          <w:lang w:val="en-US" w:eastAsia="zh-CN"/>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质疑联系人：吴新江</w:t>
      </w:r>
      <w:r>
        <w:rPr>
          <w:rFonts w:hint="eastAsia" w:ascii="宋体" w:hAnsi="宋体" w:cs="宋体"/>
          <w:color w:val="auto"/>
          <w:sz w:val="24"/>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rPr>
        <w:t xml:space="preserve"> </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质疑联系方式：0571-86187212</w:t>
      </w:r>
      <w:r>
        <w:rPr>
          <w:rFonts w:hint="eastAsia" w:ascii="宋体" w:hAnsi="宋体" w:cs="宋体"/>
          <w:color w:val="auto"/>
          <w:sz w:val="24"/>
          <w:lang w:val="en-US" w:eastAsia="zh-CN"/>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 xml:space="preserve">2.采购代理机构信息            </w:t>
      </w:r>
    </w:p>
    <w:p>
      <w:pPr>
        <w:spacing w:line="360" w:lineRule="auto"/>
        <w:ind w:firstLine="480"/>
        <w:rPr>
          <w:rFonts w:hint="eastAsia" w:ascii="宋体" w:hAnsi="宋体" w:eastAsia="宋体" w:cs="宋体"/>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杭州盛新项目管理咨询有限公司</w:t>
      </w:r>
    </w:p>
    <w:p>
      <w:pPr>
        <w:spacing w:line="360" w:lineRule="auto"/>
        <w:ind w:firstLine="480"/>
        <w:rPr>
          <w:rFonts w:ascii="宋体" w:hAnsi="宋体" w:cs="宋体"/>
          <w:sz w:val="24"/>
        </w:rPr>
      </w:pPr>
      <w:r>
        <w:rPr>
          <w:rFonts w:hint="eastAsia" w:ascii="宋体" w:hAnsi="宋体" w:cs="宋体"/>
          <w:sz w:val="24"/>
        </w:rPr>
        <w:t>地    址：杭州市余杭区瓶窑镇瓶仓大道966号2幢506—2室</w:t>
      </w:r>
    </w:p>
    <w:p>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李云婷</w:t>
      </w:r>
      <w:r>
        <w:rPr>
          <w:rFonts w:hint="eastAsia" w:ascii="宋体" w:hAnsi="宋体" w:cs="宋体"/>
          <w:sz w:val="24"/>
        </w:rPr>
        <w:t xml:space="preserve">  </w:t>
      </w:r>
    </w:p>
    <w:p>
      <w:pPr>
        <w:spacing w:line="360" w:lineRule="auto"/>
        <w:rPr>
          <w:rFonts w:hint="default" w:ascii="宋体" w:hAnsi="宋体" w:cs="宋体"/>
          <w:sz w:val="24"/>
          <w:lang w:val="en-US"/>
        </w:rPr>
      </w:pPr>
      <w:r>
        <w:rPr>
          <w:rFonts w:hint="eastAsia" w:ascii="宋体" w:hAnsi="宋体" w:cs="宋体"/>
          <w:sz w:val="24"/>
        </w:rPr>
        <w:t xml:space="preserve">    项目联系方式（询问）：</w:t>
      </w:r>
      <w:r>
        <w:rPr>
          <w:rFonts w:hint="eastAsia" w:ascii="宋体" w:hAnsi="宋体" w:cs="宋体"/>
          <w:sz w:val="24"/>
          <w:lang w:val="en-US" w:eastAsia="zh-CN"/>
        </w:rPr>
        <w:t>15267164667</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徐工</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0571-89089909</w:t>
      </w:r>
    </w:p>
    <w:p>
      <w:pPr>
        <w:spacing w:line="360" w:lineRule="auto"/>
        <w:rPr>
          <w:rFonts w:hint="eastAsia" w:ascii="宋体" w:hAnsi="宋体" w:eastAsia="宋体" w:cs="宋体"/>
          <w:color w:val="auto"/>
          <w:sz w:val="24"/>
        </w:rPr>
      </w:pPr>
      <w:r>
        <w:rPr>
          <w:rFonts w:hint="eastAsia" w:ascii="宋体" w:hAnsi="宋体" w:cs="宋体"/>
          <w:sz w:val="24"/>
        </w:rPr>
        <w:t xml:space="preserve">   </w:t>
      </w:r>
      <w:r>
        <w:rPr>
          <w:rFonts w:hint="eastAsia" w:ascii="宋体" w:hAnsi="宋体" w:eastAsia="宋体" w:cs="宋体"/>
          <w:sz w:val="24"/>
        </w:rPr>
        <w:t xml:space="preserve"> </w:t>
      </w:r>
      <w:r>
        <w:rPr>
          <w:rFonts w:hint="eastAsia" w:ascii="宋体" w:hAnsi="宋体" w:eastAsia="宋体" w:cs="宋体"/>
          <w:color w:val="auto"/>
          <w:sz w:val="24"/>
        </w:rPr>
        <w:t xml:space="preserve">3.同级政府采购监督管理部门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称：杭州市余杭区财政局、浙江省政府采购行政裁决服务中心（杭州） </w:t>
      </w:r>
    </w:p>
    <w:p>
      <w:pPr>
        <w:spacing w:line="360" w:lineRule="auto"/>
        <w:ind w:left="480" w:hanging="480" w:hangingChars="200"/>
        <w:rPr>
          <w:rFonts w:hint="eastAsia" w:ascii="宋体" w:hAnsi="宋体" w:eastAsia="宋体" w:cs="宋体"/>
          <w:color w:val="auto"/>
          <w:sz w:val="24"/>
        </w:rPr>
      </w:pPr>
      <w:r>
        <w:rPr>
          <w:rFonts w:hint="eastAsia" w:ascii="宋体" w:hAnsi="宋体" w:eastAsia="宋体" w:cs="宋体"/>
          <w:color w:val="auto"/>
          <w:sz w:val="24"/>
        </w:rPr>
        <w:t xml:space="preserve">    地    址：杭州市上城区四季青街道新业路市民之家G03办公室（快递仅限ems或顺丰） </w:t>
      </w:r>
    </w:p>
    <w:p>
      <w:pPr>
        <w:spacing w:line="360" w:lineRule="auto"/>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传    真： </w:t>
      </w:r>
      <w:r>
        <w:rPr>
          <w:rFonts w:hint="eastAsia" w:ascii="宋体" w:hAnsi="宋体" w:eastAsia="宋体" w:cs="宋体"/>
          <w:color w:val="auto"/>
          <w:sz w:val="24"/>
          <w:lang w:val="en-US" w:eastAsia="zh-CN"/>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联系人 ：朱女士、王女士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监督投诉电话：0571-85252453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Ansi="宋体" w:cs="宋体"/>
          <w:b/>
          <w:sz w:val="36"/>
          <w:szCs w:val="20"/>
        </w:rPr>
      </w:pPr>
      <w:r>
        <w:rPr>
          <w:rFonts w:hint="eastAsia" w:ascii="宋体" w:hAnsi="宋体" w:eastAsia="宋体" w:cs="宋体"/>
          <w:color w:val="auto"/>
          <w:sz w:val="24"/>
        </w:rPr>
        <w:t>CA问题联系电话（人工）：汇信CA 400-888-4636；天谷CA 400-087-8198</w:t>
      </w:r>
      <w:r>
        <w:rPr>
          <w:rFonts w:hint="eastAsia" w:ascii="仿宋" w:hAnsi="仿宋" w:eastAsia="仿宋" w:cs="仿宋"/>
          <w:color w:val="auto"/>
          <w:sz w:val="24"/>
        </w:rPr>
        <w:t>。</w:t>
      </w:r>
      <w:r>
        <w:rPr>
          <w:rFonts w:hint="eastAsia" w:hAnsi="宋体" w:cs="宋体"/>
          <w:sz w:val="24"/>
        </w:rPr>
        <w:t xml:space="preserve">                        </w:t>
      </w:r>
      <w:r>
        <w:rPr>
          <w:rFonts w:hAnsi="宋体" w:cs="宋体"/>
          <w:b/>
          <w:sz w:val="36"/>
          <w:szCs w:val="20"/>
        </w:rPr>
        <w:t xml:space="preserve"> </w:t>
      </w:r>
    </w:p>
    <w:p>
      <w:pPr>
        <w:pStyle w:val="5"/>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FF"/>
                <w:sz w:val="24"/>
              </w:rPr>
            </w:pPr>
            <w:r>
              <w:rPr>
                <w:rFonts w:hint="eastAsia" w:ascii="宋体" w:hAnsi="宋体" w:cs="宋体"/>
                <w:sz w:val="24"/>
              </w:rPr>
              <w:t>货物类</w:t>
            </w:r>
            <w:r>
              <w:rPr>
                <w:rFonts w:hint="eastAsia" w:ascii="宋体" w:hAnsi="宋体" w:cs="宋体"/>
                <w:color w:val="auto"/>
                <w:sz w:val="24"/>
              </w:rPr>
              <w:t>，单一产品或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val="en-US" w:eastAsia="zh-CN"/>
              </w:rPr>
              <w:t>体育器械用品</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工业</w:t>
            </w:r>
            <w:bookmarkStart w:id="559" w:name="_GoBack"/>
            <w:bookmarkEnd w:id="559"/>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pPr>
              <w:pStyle w:val="5"/>
              <w:rPr>
                <w:rFonts w:ascii="宋体" w:hAnsi="宋体" w:eastAsia="宋体" w:cs="宋体"/>
                <w:lang w:val="en-US"/>
              </w:rPr>
            </w:pPr>
            <w:r>
              <w:rPr>
                <w:rFonts w:hint="eastAsia" w:ascii="宋体" w:hAnsi="宋体" w:eastAsia="宋体" w:cs="宋体"/>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sz w:val="24"/>
              </w:rPr>
              <w:t>。</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p>
            <w:pPr>
              <w:pStyle w:val="61"/>
              <w:spacing w:line="240" w:lineRule="auto"/>
              <w:ind w:firstLine="0"/>
              <w:jc w:val="both"/>
              <w:rPr>
                <w:rFonts w:hint="eastAsia" w:ascii="宋体" w:hAnsi="宋体" w:eastAsia="宋体" w:cs="宋体"/>
                <w:b w:val="0"/>
                <w:bCs w:val="0"/>
                <w:kern w:val="0"/>
                <w:sz w:val="24"/>
                <w:lang w:val="en-US" w:eastAsia="zh-CN"/>
              </w:rPr>
            </w:pPr>
            <w:r>
              <w:rPr>
                <w:rFonts w:hint="eastAsia" w:ascii="宋体" w:hAnsi="宋体" w:cs="宋体"/>
                <w:kern w:val="0"/>
                <w:sz w:val="24"/>
              </w:rPr>
              <w:t>（1）</w:t>
            </w:r>
            <w:r>
              <w:rPr>
                <w:rFonts w:hint="eastAsia" w:ascii="宋体" w:hAnsi="宋体" w:cs="宋体"/>
                <w:snapToGrid w:val="0"/>
                <w:kern w:val="28"/>
                <w:sz w:val="24"/>
              </w:rPr>
              <w:t>样品：</w:t>
            </w:r>
            <w:r>
              <w:rPr>
                <w:rFonts w:hint="eastAsia" w:hAnsi="宋体" w:cs="宋体"/>
                <w:snapToGrid w:val="0"/>
                <w:kern w:val="28"/>
                <w:sz w:val="24"/>
                <w:lang w:val="en-US" w:eastAsia="zh-CN"/>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z w:val="24"/>
                <w:u w:val="single"/>
                <w:lang w:val="en-US" w:eastAsia="zh-CN"/>
              </w:rPr>
              <w:t>具体详见采购需求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sz w:val="24"/>
                <w:u w:val="single"/>
                <w:lang w:val="en-US" w:eastAsia="zh-CN"/>
              </w:rPr>
              <w:t>投标文件截止前</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杭州市余杭区瓶窑镇瓶仓大道966号2幢506—2室</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李云婷</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15267164667</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color w:val="FF0000"/>
                <w:kern w:val="0"/>
                <w:sz w:val="24"/>
                <w:u w:val="single"/>
              </w:rPr>
              <w:t>20</w:t>
            </w:r>
            <w:r>
              <w:rPr>
                <w:rFonts w:hint="eastAsia" w:ascii="宋体" w:hAnsi="宋体" w:cs="宋体"/>
                <w:color w:val="FF0000"/>
                <w:kern w:val="0"/>
                <w:sz w:val="24"/>
                <w:u w:val="single"/>
                <w:lang w:eastAsia="zh-CN"/>
              </w:rPr>
              <w:t>（</w:t>
            </w:r>
            <w:r>
              <w:rPr>
                <w:rFonts w:hint="eastAsia" w:ascii="宋体" w:hAnsi="宋体" w:cs="宋体"/>
                <w:color w:val="FF0000"/>
                <w:kern w:val="0"/>
                <w:sz w:val="24"/>
                <w:u w:val="single"/>
                <w:lang w:val="en-US" w:eastAsia="zh-CN"/>
              </w:rPr>
              <w:t>编制时可根据项目情况进行调整</w:t>
            </w:r>
            <w:r>
              <w:rPr>
                <w:rFonts w:hint="eastAsia" w:ascii="宋体" w:hAnsi="宋体" w:cs="宋体"/>
                <w:color w:val="FF0000"/>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color w:val="FF0000"/>
                <w:kern w:val="0"/>
                <w:sz w:val="24"/>
                <w:u w:val="single"/>
              </w:rPr>
              <w:t>3</w:t>
            </w:r>
            <w:r>
              <w:rPr>
                <w:rFonts w:hint="eastAsia" w:ascii="宋体" w:hAnsi="宋体" w:cs="宋体"/>
                <w:color w:val="FF0000"/>
                <w:kern w:val="0"/>
                <w:sz w:val="24"/>
                <w:u w:val="single"/>
                <w:lang w:eastAsia="zh-CN"/>
              </w:rPr>
              <w:t>（</w:t>
            </w:r>
            <w:r>
              <w:rPr>
                <w:rFonts w:hint="eastAsia" w:ascii="宋体" w:hAnsi="宋体" w:cs="宋体"/>
                <w:color w:val="FF0000"/>
                <w:kern w:val="0"/>
                <w:sz w:val="24"/>
                <w:u w:val="single"/>
                <w:lang w:val="en-US" w:eastAsia="zh-CN"/>
              </w:rPr>
              <w:t>编制时可根据项目情况进行调整</w:t>
            </w:r>
            <w:r>
              <w:rPr>
                <w:rFonts w:hint="eastAsia" w:ascii="宋体" w:hAnsi="宋体" w:cs="宋体"/>
                <w:color w:val="FF0000"/>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（2）方案讲解演示方式：</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交易中心现场讲解演示。现场讲解地点为</w:t>
            </w:r>
            <w:r>
              <w:rPr>
                <w:rFonts w:hint="eastAsia" w:ascii="宋体" w:hAnsi="宋体" w:cs="宋体"/>
                <w:sz w:val="24"/>
                <w:u w:val="single"/>
              </w:rPr>
              <w:t>杭州市余杭区瓶窑镇瓶仓大道966号2幢506—2室</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杭州市余杭区瓶窑镇瓶仓大道966号2幢506—2室</w:t>
            </w:r>
            <w:r>
              <w:rPr>
                <w:rFonts w:hint="eastAsia" w:hAnsi="宋体" w:cs="宋体"/>
                <w:kern w:val="28"/>
                <w:sz w:val="24"/>
                <w:szCs w:val="24"/>
              </w:rPr>
              <w:t>；备份投标文件签收人员联系电话：</w:t>
            </w:r>
            <w:r>
              <w:rPr>
                <w:rFonts w:hint="eastAsia" w:hAnsi="宋体" w:cs="宋体"/>
                <w:sz w:val="24"/>
                <w:u w:val="single"/>
                <w:lang w:val="en-US" w:eastAsia="zh-CN"/>
              </w:rPr>
              <w:t>李云婷15267164667</w:t>
            </w:r>
            <w:r>
              <w:rPr>
                <w:rFonts w:hint="eastAsia" w:hAnsi="宋体" w:cs="宋体"/>
                <w:color w:val="auto"/>
                <w:sz w:val="24"/>
                <w:u w:val="single"/>
              </w:rPr>
              <w:t xml:space="preserve"> </w:t>
            </w:r>
            <w:r>
              <w:rPr>
                <w:rFonts w:hint="eastAsia" w:hAnsi="宋体" w:cs="宋体"/>
                <w:color w:val="auto"/>
                <w:sz w:val="24"/>
                <w:szCs w:val="24"/>
                <w:u w:val="single"/>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bCs/>
                <w:color w:val="auto"/>
                <w:sz w:val="24"/>
                <w:szCs w:val="24"/>
                <w:highlight w:val="none"/>
                <w:lang w:val="en-US" w:eastAsia="zh-CN"/>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招标服务费：代理服务费按照国家计委印发的《招标代理服务收费管理暂行办法》计价格[2002]1980号文件计取;但不单列进投标总价，由中标人在领取中标通知书前支付给招标代理机构，各投标人应在投标报价中予以考虑。</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rPr>
          <w:highlight w:val="none"/>
        </w:rPr>
      </w:pPr>
      <w:r>
        <w:rPr>
          <w:rFonts w:hint="eastAsia"/>
          <w:highlight w:val="none"/>
        </w:rPr>
        <w:t>4.4.5根据政府采购行政裁决省市区三级联动试点工作安排，杭州市余杭政府采购项目投诉材料可寄送至杭州市余杭区财政局、浙江省政府采购行政裁决服务中心（杭州），地址：杭州市上城区四季青街道新业路市民之家G03办公室（快递仅限ems或顺丰） ，收件人：</w:t>
      </w:r>
      <w:r>
        <w:rPr>
          <w:rFonts w:hint="eastAsia"/>
          <w:highlight w:val="none"/>
          <w:lang w:eastAsia="zh-CN"/>
        </w:rPr>
        <w:t>朱女士、王女士</w:t>
      </w:r>
      <w:r>
        <w:rPr>
          <w:rFonts w:hint="eastAsia"/>
          <w:highlight w:val="none"/>
        </w:rPr>
        <w:t>，电话：0571-89516936。</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w:t>
      </w:r>
      <w:r>
        <w:rPr>
          <w:rFonts w:hint="eastAsia" w:ascii="宋体" w:hAnsi="宋体" w:cs="宋体"/>
          <w:snapToGrid w:val="0"/>
          <w:color w:val="auto"/>
          <w:kern w:val="28"/>
          <w:sz w:val="24"/>
          <w:szCs w:val="20"/>
        </w:rPr>
        <w:t>议</w:t>
      </w:r>
      <w:bookmarkEnd w:id="17"/>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3"/>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3"/>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rPr>
        <w:t>30.4验收合格的项目，采购人将根据采购合同的约定及时向供应商支付采购资金、退还履约保证金。验收不合格的项目，采购人</w:t>
      </w:r>
      <w:r>
        <w:rPr>
          <w:rFonts w:hint="eastAsia" w:ascii="宋体" w:hAnsi="宋体" w:cs="宋体"/>
          <w:kern w:val="0"/>
          <w:sz w:val="24"/>
          <w:highlight w:val="none"/>
        </w:rPr>
        <w:t>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290"/>
      <w:bookmarkEnd w:id="19"/>
      <w:bookmarkStart w:id="20" w:name="_Hlt74730295"/>
      <w:bookmarkEnd w:id="20"/>
      <w:bookmarkStart w:id="21" w:name="_Hlt68057669"/>
      <w:bookmarkEnd w:id="21"/>
      <w:bookmarkStart w:id="22" w:name="_Hlt74729768"/>
      <w:bookmarkEnd w:id="22"/>
      <w:bookmarkStart w:id="23" w:name="_Hlt74707468"/>
      <w:bookmarkEnd w:id="23"/>
      <w:bookmarkStart w:id="24" w:name="_Hlt68403820"/>
      <w:bookmarkEnd w:id="24"/>
      <w:bookmarkStart w:id="25" w:name="_Hlt68073093"/>
      <w:bookmarkEnd w:id="25"/>
      <w:bookmarkStart w:id="26" w:name="_Hlt74714665"/>
      <w:bookmarkEnd w:id="26"/>
      <w:bookmarkStart w:id="27" w:name="_Hlt75236101"/>
      <w:bookmarkEnd w:id="27"/>
      <w:bookmarkStart w:id="28" w:name="_Hlt68072990"/>
      <w:bookmarkEnd w:id="28"/>
      <w:bookmarkStart w:id="29" w:name="_Hlt75236011"/>
      <w:bookmarkEnd w:id="29"/>
      <w:bookmarkStart w:id="30" w:name="_Hlt68072998"/>
      <w:bookmarkEnd w:id="30"/>
    </w:p>
    <w:bookmarkEnd w:id="13"/>
    <w:bookmarkEnd w:id="14"/>
    <w:p>
      <w:pPr>
        <w:numPr>
          <w:ilvl w:val="0"/>
          <w:numId w:val="1"/>
        </w:numPr>
        <w:spacing w:line="360" w:lineRule="auto"/>
        <w:jc w:val="center"/>
        <w:outlineLvl w:val="0"/>
        <w:rPr>
          <w:rFonts w:hint="eastAsia" w:ascii="宋体" w:hAnsi="宋体" w:cs="宋体"/>
          <w:b/>
          <w:sz w:val="36"/>
          <w:szCs w:val="36"/>
          <w:highlight w:val="none"/>
        </w:rPr>
      </w:pPr>
      <w:bookmarkStart w:id="31" w:name="第四部分"/>
      <w:r>
        <w:rPr>
          <w:rFonts w:hint="eastAsia" w:ascii="宋体" w:hAnsi="宋体" w:cs="宋体"/>
          <w:b/>
          <w:sz w:val="36"/>
          <w:szCs w:val="36"/>
          <w:highlight w:val="none"/>
        </w:rPr>
        <w:t xml:space="preserve">  采购需求</w:t>
      </w:r>
    </w:p>
    <w:p>
      <w:pPr>
        <w:spacing w:line="360" w:lineRule="auto"/>
        <w:jc w:val="left"/>
        <w:rPr>
          <w:rFonts w:ascii="宋体" w:hAnsi="宋体" w:cs="仿宋_GB2312"/>
          <w:color w:val="000000"/>
          <w:sz w:val="24"/>
        </w:rPr>
      </w:pPr>
      <w:r>
        <w:rPr>
          <w:rFonts w:hint="eastAsia" w:ascii="宋体" w:hAnsi="宋体" w:cs="仿宋_GB2312"/>
          <w:color w:val="000000"/>
          <w:sz w:val="24"/>
        </w:rPr>
        <w:t>一</w:t>
      </w:r>
      <w:r>
        <w:rPr>
          <w:rFonts w:hint="eastAsia" w:ascii="宋体" w:hAnsi="宋体" w:cs="仿宋_GB2312"/>
          <w:color w:val="000000"/>
          <w:sz w:val="24"/>
          <w:lang w:eastAsia="zh-CN"/>
        </w:rPr>
        <w:t>、</w:t>
      </w:r>
      <w:r>
        <w:rPr>
          <w:rFonts w:hint="eastAsia" w:ascii="宋体" w:hAnsi="宋体" w:cs="仿宋_GB2312"/>
          <w:color w:val="000000"/>
          <w:sz w:val="24"/>
        </w:rPr>
        <w:t>项目概况</w:t>
      </w:r>
    </w:p>
    <w:p>
      <w:pPr>
        <w:spacing w:line="360" w:lineRule="auto"/>
        <w:ind w:firstLine="480" w:firstLineChars="200"/>
        <w:jc w:val="left"/>
        <w:rPr>
          <w:rFonts w:hint="eastAsia" w:ascii="宋体" w:hAnsi="宋体"/>
          <w:sz w:val="24"/>
          <w:highlight w:val="none"/>
        </w:rPr>
      </w:pPr>
      <w:r>
        <w:rPr>
          <w:rFonts w:hint="eastAsia" w:ascii="宋体" w:hAnsi="宋体"/>
          <w:sz w:val="24"/>
        </w:rPr>
        <w:t>本项目</w:t>
      </w:r>
      <w:r>
        <w:rPr>
          <w:rFonts w:hint="eastAsia" w:ascii="宋体" w:hAnsi="宋体"/>
          <w:sz w:val="24"/>
          <w:lang w:val="en-US" w:eastAsia="zh-CN"/>
        </w:rPr>
        <w:t>为</w:t>
      </w:r>
      <w:r>
        <w:rPr>
          <w:rFonts w:hint="eastAsia" w:ascii="宋体" w:hAnsi="宋体" w:eastAsia="宋体" w:cs="Times New Roman"/>
          <w:sz w:val="24"/>
        </w:rPr>
        <w:t>杭州市余杭区良渚沈括小学新城三小体育器材</w:t>
      </w:r>
      <w:r>
        <w:rPr>
          <w:rFonts w:hint="eastAsia" w:ascii="宋体" w:hAnsi="宋体"/>
          <w:sz w:val="24"/>
        </w:rPr>
        <w:t>体育器材采购</w:t>
      </w:r>
      <w:r>
        <w:rPr>
          <w:rFonts w:hint="eastAsia" w:ascii="宋体" w:hAnsi="宋体"/>
          <w:sz w:val="24"/>
          <w:lang w:val="en-US" w:eastAsia="zh-CN"/>
        </w:rPr>
        <w:t>一批</w:t>
      </w:r>
      <w:r>
        <w:rPr>
          <w:rFonts w:hint="eastAsia" w:ascii="宋体" w:hAnsi="宋体"/>
          <w:sz w:val="24"/>
        </w:rPr>
        <w:t>，</w:t>
      </w:r>
      <w:r>
        <w:rPr>
          <w:rFonts w:hint="eastAsia" w:ascii="宋体" w:hAnsi="宋体"/>
          <w:sz w:val="24"/>
          <w:lang w:val="en-US" w:eastAsia="zh-CN"/>
        </w:rPr>
        <w:t>包括</w:t>
      </w:r>
      <w:r>
        <w:rPr>
          <w:rFonts w:hint="eastAsia" w:ascii="宋体" w:hAnsi="宋体"/>
          <w:sz w:val="24"/>
        </w:rPr>
        <w:t>供货、运输、安装、调试和售后服务等。</w:t>
      </w:r>
      <w:r>
        <w:rPr>
          <w:rFonts w:hint="eastAsia" w:ascii="宋体" w:hAnsi="宋体"/>
          <w:sz w:val="24"/>
          <w:lang w:val="en-US" w:eastAsia="zh-CN"/>
        </w:rPr>
        <w:t>投标报价</w:t>
      </w:r>
      <w:r>
        <w:rPr>
          <w:rFonts w:hint="eastAsia" w:ascii="宋体" w:hAnsi="宋体"/>
          <w:sz w:val="24"/>
        </w:rPr>
        <w:t>包括设备费、材料费、保管费、安装调试费、运输费、税收、售后服务、采购需求中未提到但在实际采购和安装过程中需要配置的各种设备、材料及其他费用等须由投标人支</w:t>
      </w:r>
      <w:r>
        <w:rPr>
          <w:rFonts w:hint="eastAsia" w:ascii="宋体" w:hAnsi="宋体"/>
          <w:sz w:val="24"/>
          <w:highlight w:val="none"/>
        </w:rPr>
        <w:t>付的所有费用。</w:t>
      </w:r>
    </w:p>
    <w:p>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rPr>
        <w:t>二</w:t>
      </w:r>
      <w:r>
        <w:rPr>
          <w:rFonts w:hint="eastAsia" w:ascii="宋体" w:hAnsi="宋体" w:cs="仿宋_GB2312"/>
          <w:color w:val="000000"/>
          <w:sz w:val="24"/>
          <w:highlight w:val="none"/>
          <w:lang w:eastAsia="zh-CN"/>
        </w:rPr>
        <w:t>、</w:t>
      </w:r>
      <w:r>
        <w:rPr>
          <w:rFonts w:hint="eastAsia" w:ascii="宋体" w:hAnsi="宋体" w:cs="仿宋_GB2312"/>
          <w:color w:val="000000"/>
          <w:sz w:val="24"/>
          <w:highlight w:val="none"/>
        </w:rPr>
        <w:t>采购标的</w:t>
      </w:r>
      <w:r>
        <w:rPr>
          <w:rFonts w:hint="eastAsia" w:ascii="宋体" w:hAnsi="宋体" w:cs="仿宋_GB2312"/>
          <w:color w:val="000000"/>
          <w:sz w:val="24"/>
          <w:highlight w:val="none"/>
          <w:lang w:eastAsia="zh-CN"/>
        </w:rPr>
        <w:t>清单</w:t>
      </w:r>
    </w:p>
    <w:tbl>
      <w:tblPr>
        <w:tblStyle w:val="62"/>
        <w:tblW w:w="86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775"/>
        <w:gridCol w:w="5917"/>
        <w:gridCol w:w="658"/>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主要规格、尺寸或技术参数要求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室内乒乓球桌</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1、产品用材、主要技术参数、详细配置、质量工艺：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台面尺寸:2740*1525mm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台高:  760mm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弹性:  220-260mm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弹性均匀度:≤10mm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台面光泽度:≤10度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球台稳定性:≤10mm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平面度:≤3mm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台面摩擦系数:≤0.6mm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面板材料：面板是厚度18mm高密度纤维板，面板颜色是新蓝！</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支架材料：支架是使用国标方钢经过强酸去锈，高科技喷塑，焊接而成！很好的保护了球桌支架，使支架不容易生锈损坏，增加了球桌的使用寿命。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2、油漆（喷塑）、工艺：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表面处理: 所有钢制件表面均经酸洗、磷化、打沙等初级处理后采用进口静电环氧基粉末喷涂完成最后表面处理，涂层厚度70—80um，铅笔硬度达3H+，试品经GB1771-91 36小时盐雾试验，涂膜无变化，划格处单面腐蚀＜2mm，产品具有耐酸碱、耐湿热、抗老化、外观美观等优点，能适合潮湿和酸雨环境，室内室外均可使用，且产品涂料配方不含有毒元素，避免损害使用者的健康。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乒乓球挡板</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1、长×高=1400×700（mm），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2、支架采用25×25mm的方管，厚度4mm以上，可折叠。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3、遮挡布采用防水牛津布。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4、油漆（喷塑）、工艺：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青少年升降式篮球架</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 底座长（1.5米）宽（1米）不含护套厚度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通过手摇手柄，篮圈高度可调（2米至3.05米）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产品结构 由底座、立柱、拉杆、玻璃篮板、篮圈和护套板组成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适用场地 适合家用、办公室、场馆、商场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特点 外形小巧、可调节高度、收纳占地小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底座 材料： 采用70×60×4 槽钢，材质：Q235B</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 激光切割下料→定制工装台→焊接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配重： 本产品的底座配重水桶共200Kg、并且配置有4颗膨胀螺栓 移动： 底座置有移动PU轮组件，可移动篮架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立柱 材料： 采用70×70×3的方管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 激光下料→定制工装台→焊接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拉杆 材料： 采用38×2的圆管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 激光下料→自动弯管机一次成型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升降管 材料 分为升降外管：100×100×3方管；升降内管：80×80×2方管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 激光切割下料→定制工装台→焊接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结构 通过手摇手柄→齿轮啮合→丝杠传动→升降高度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篮板 规格： 1200*900*31</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材料： 篮板框为：δ3mm铝方管，篮板为：δ6mm高强度安全玻璃篮板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 材料定制→人工装配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安全性： 按GB/T 9962-1999中6.10规定进行试验，符合国标规定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包扎物： 玻璃篮板标配篮板护套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篮圈 材料： 采用φ17实心圆钢和δ4mm铁板，材质Q235B</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 专用模具下料→成型→机器人焊接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篮网： 白色尼龙绳，半硬式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表面处理 工艺过程 经抛丸—水洗—脱脂—水洗—纯水洗—无磷转化—纯水洗—纯水洗—吹干—水份烘干—静电粉末—固化—强冷等过程。（所有表面处理均在全自动喷涂流水线上作业）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工艺特性 产品具有耐酸碱、耐湿热、抗老化、外观美观等优点，能适合潮湿和酸雨环境，涂料均为绿色环保无毒产品，避免损害使用者的健康。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调整 拉杆固定处配有长孔，可微调篮板，保证垂直度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防护措施 篮架前立柱配有专用护套板，能有效地保护运动员免受撞击，能有效的保证使用时的安全性及美观性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电动液压篮球架</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1、产品技术规格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篮架伸臂为2.55米，篮圈上沿离地面高3.05M，球架底座尺寸：长×宽×前高×后高=1.95×1.1×0.67×0.4（m）。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2、产品用材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球架底座采用6mm的铁板在专用折边机上折边拼焊而成，底座前立柱、后立柱支撑架和油缸支撑架采用6mm铁板折边制作，篮架立柱主要采用口200×70×3mm方管、口120×70×3mm方管和口70×70×3mm拼焊而成，篮架伸臂采用口140×140×4方管mm、口140×70×3mm方管和口70×50mm方管拼焊而成，焊缝表面均匀光滑，篮架立柱转动部位和伸臂头部连接件均采用优质精密铸钢件制作，性能安全可靠，篮架上拉杆采用优质圆管在弯管机上一次成型，避免了电焊及焊渣易引起生锈的隐患，下拉杆采用精拉管拼焊而成，结构设计与外观造型要和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3、产品结构原理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电动液压篮球架设有篮架升降系统、走轮伸缩机构、电器、液压系统。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篮架主体升降采用四连杆机构，使用时电机接通220V、50HZ单相电源即可启动，带动油泵，经电器控制系统进行“功能”转换，油缸随即产生伸缩运动，从而使球架立柱升降和底座走轮起落。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4、篮板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1800×1050（㎜），篮板配用国际通用的高强度安全玻璃篮板（13mm厚双层夹胶玻璃），具有透明度高、耐侯性好、抗老化、耐腐蚀、不易模糊等特点，并在篮板下沿侧面覆盖有包扎物，能保护运动员扣篮时不受伤害。篮板支撑框架刚性（F2=130N、1min卸载后永久水平变形量）≤3，稳定性（F5=2700N、1min卸载后永久垂直变形量≤10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5、防护措施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篮架前立柱、底座、伸臂配备有专用护套，能有效保护运动员免受撞击，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架底座下部设有防震垫，后部装有特制专用配重，单只配重不少于400kg，能保证在篮圈根部施加2700N的载荷时，篮球架不倾翻。前立柱与伸臂间装有专用保险机构，能有效保证使用时的安全性及美观性。弹性篮圈受力1050N，1min旋转角度10-19之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6、表面处理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产品具有耐酸碱、耐湿热、抗老化、外观美观等优点，能适合潮湿和酸雨环境，涂料均为绿色环保无毒产品，避免损害使用者的健康。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计时，二十四秒</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时器根据最新国际篮球竞赛规则设计制作，显示屏光源采用进口高亮度发光二极管，寿命长，用电省。结构设计采用梯形显示，从三个不同角度同步显示比赛时间和二十四秒计时时间，适合大型比赛的要求。显示屏采用一个时钟源，与大屏和电视转播同步性能好，维修方便，是篮球比赛的理想器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1、显示比赛时间，计时钟可实现0～99分59秒任意预置倒计时，能任意暂停，计时钟精确到0.1秒，时间终了时能发出长达3秒钟红色灯光信号及蜂鸣声音。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2、二十四秒控制器有0~99秒选择，采用倒计时方式，能任意暂停、复位。计时完毕，能发出灯光信号及蜂鸣声，并能自动暂停比赛时间。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3、本计时器提供2个串行口，使比赛时间和24秒能与大屏和电视转播同步。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1、显示屏尺寸：75×53cm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显示器上下底面为梯形，梯形尺寸：上底26cm，下底和两腰均为75cm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2、发　光　管：Φ5mm高亮度白发红、白发绿发光管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3、电　　　压：220Ｖ±10%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4、功　　　率：500Ｗ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5、此设备必须安全接地。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固定式篮球架</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1、产品规格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篮球架伸臂长1.8m，篮圈上沿离地面3.05m。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2、产品用材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球架立柱采用定制□180×180×4优质大圆角方管制作，圆角R40mm，既美观又安全性能好；篮架伸臂采用δ3进口优质铁板一次冲压成型后在专用折边机上折边，伸臂上拉杆固定孔均采用冲压成型后焊接内置焊接螺母，篮架立柱法兰、伸臂头部组件和伸臂底板均采用一次冲压成型制作，且立柱底部配备防护装饰罩，采用冷扎钢板一次成型，造型美观大方，性能安全可靠，篮架上拉杆采用Φ48×2圆管（后拉杆采用口50×40×3优质方管）在专用弯管机设备上一次成型，避免了电焊及焊渣易引起生锈的隐患，篮球架通过调节上拉杆可调节篮板的平面度和垂直度，通过调节下拉杆，可调节篮圈与地面的平行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3、篮板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规格：1800×1050（㎜），篮板配用国际通用的高强度安全玻璃篮板，具有安全性好、透明度高、耐候性好、抗老化、耐腐蚀、不易模糊等特点，并在篮板下沿及侧面覆盖有保护条，能保护运动员运动时不受伤害。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4、篮圈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篮圈采用φ17实心圆钢制作，圈下焊有冲压成型的圆弧形网钩，十二段均匀分布留适当间隙，配篮网。篮圈抗弯性能好，水平固定在篮板上，与篮架连接的钢板和篮圈盖板均采用优质钢板一次冲压成型，造型美观。5、产品的结构原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产品采用专用铁制预埋件，在球架安装之前，预先埋好预埋件，待过了保养期后进行整体安装。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篮架与预埋件通过法兰连接，法兰采用优质冲件，规格：350×350×27mm，四周呈大圆角，法兰上设计有5个孔。远离球场的一侧设计为3个孔，增强篮架整体的安全性。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预埋件采用现场组装方式预埋，可节省运输和仓库贮存空间，预埋件总长不低于550mm，共由5根搓M18螺纹的圆钢和若干块铁板拼装组成，圆钢中间冲扁，可增强预埋强度。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6、紧固件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篮架所有紧固件均经热镀锌处理，能保证长年不生锈。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7、表面处理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篮球赛记分器</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1、球类计分器由支架、队名框和记分牌组成，长×宽×高=1400×580×1645（mm）。2、记分器主体上支架采用1.2㎜铁板折边成型下支架40*20mm的椭圆管焊接而成。底脚配置有调节脚，能微调且能保护地板不受损伤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2、队名框由24×12×12铝合金异型管材拼装组合而成。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3、白色雪弗板，可黏贴队名，采用手推式，PVC板翻分盒，红色、蓝色（或黑色）各3块，均显示数字0-9</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4、产品具有耐酸碱、耐湿热、抗老化、外观美观等优点，能适合潮湿和酸雨环境，涂料均为绿色环保无毒产品，避免损害使用者的健康。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羽毛球架</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产品结构 由底座、立柱、锁绳装置、高度微调装置和羽毛球网组成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适用场地 适合两片场地之间尺寸≥1500mm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底座 底    座 材料：高密度聚乙烯材料（HDPE）</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工艺：中空吹塑制造一次加工成型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耐老化性能：老化试验≥3500h，外观颜色变色评级≥3</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高低温性能：高温＋80℃、低温-55℃下72h，无局部粉化、龟裂、斑点、起泡及明显变形等外观变化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环保性能：材料可回收，塑料产品中有毒有害物质限量满足GB28481《塑料家具中有害物质限量》中要求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底座铁板 材料：10mm钢板，材质：Q235B</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工艺：激光切割一次成型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走    轮 φ75低摩擦软性宽幅PU轮，适用地板和PVC地胶场地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防 震 垫 每只底座设5块防震垫,满足底座摩擦力要求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配    重 单只≥85kg，满足产品稳定性要求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立柱 总 高 度 1550mm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主要材料 规格：φ40*5无缝管，材质：35#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垂 直 度 球网被拉紧时，网柱能稳固地与地面保持垂直，立柱轴线对水平面的垂直公差≤1/500，且网柱各部位均不侵入场地内边线的垂直线内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刚性要求 网柱能承受≥200N的外力，球柱不产生永久变形，无倾倒现象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锁绳装置 紧线方便，锁定可靠，无卡滞或自动返松现象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高度微调装置 顶部螺纹无极微调，实现网的高度要求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球网 网片颜色 咖啡色</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网片规格 长6100mm，宽760mm，网眼为正方形，边长15～20mm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主要材料 网片：18股网片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包边：坛白布，75mm宽对折包边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网绳：φ5硬绳线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棱边：采用12股网线拷边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 工艺过程 下料—焊接--抛丸--脱脂--水洗--无磷转化--水洗--烘干--静电粉末--固化（所有表面处理均在全自动喷涂流水线上作业）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工艺特性 产品具有耐酸碱、耐湿热、抗老化、外观美观等优点，能适合潮湿和酸雨环境，涂料均为绿色环保无毒产品，避免损害使用者的健康。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羽毛球地垫</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6"/>
              <w:widowControl/>
              <w:numPr>
                <w:ilvl w:val="0"/>
                <w:numId w:val="0"/>
              </w:numPr>
              <w:spacing w:line="360" w:lineRule="auto"/>
              <w:ind w:leftChar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1.产品厚度≥4.5mm，采用优质 PVC 原生料及助剂，环保、安全。</w:t>
            </w:r>
          </w:p>
          <w:p>
            <w:pPr>
              <w:pStyle w:val="256"/>
              <w:widowControl/>
              <w:numPr>
                <w:ilvl w:val="0"/>
                <w:numId w:val="0"/>
              </w:numPr>
              <w:spacing w:line="360" w:lineRule="auto"/>
              <w:ind w:leftChar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2.硬度（邵A）：55-90（度）</w:t>
            </w:r>
          </w:p>
          <w:p>
            <w:pPr>
              <w:pStyle w:val="256"/>
              <w:numPr>
                <w:ilvl w:val="0"/>
                <w:numId w:val="0"/>
              </w:numPr>
              <w:spacing w:line="360" w:lineRule="auto"/>
              <w:ind w:lef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3.防滑性(湿法)≥0.6</w:t>
            </w:r>
          </w:p>
          <w:p>
            <w:pPr>
              <w:pStyle w:val="256"/>
              <w:numPr>
                <w:ilvl w:val="0"/>
                <w:numId w:val="0"/>
              </w:numPr>
              <w:spacing w:line="360" w:lineRule="auto"/>
              <w:ind w:lef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4.耐磨性T级，体积损失≤2.0mm³</w:t>
            </w:r>
          </w:p>
          <w:p>
            <w:pPr>
              <w:pStyle w:val="256"/>
              <w:numPr>
                <w:ilvl w:val="0"/>
                <w:numId w:val="0"/>
              </w:numPr>
              <w:spacing w:line="360" w:lineRule="auto"/>
              <w:ind w:lef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5.防火燃烧性能B1级，20s内焰尖高度≤150mm</w:t>
            </w:r>
          </w:p>
          <w:p>
            <w:pPr>
              <w:pStyle w:val="256"/>
              <w:numPr>
                <w:ilvl w:val="0"/>
                <w:numId w:val="0"/>
              </w:numPr>
              <w:spacing w:line="360" w:lineRule="auto"/>
              <w:ind w:lef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6.抗菌率≥99.5%。</w:t>
            </w:r>
          </w:p>
          <w:p>
            <w:pPr>
              <w:pStyle w:val="256"/>
              <w:numPr>
                <w:ilvl w:val="0"/>
                <w:numId w:val="0"/>
              </w:numPr>
              <w:spacing w:line="360" w:lineRule="auto"/>
              <w:ind w:lef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7.阻燃性达到Ⅰ级阻燃，耐磨性≤4g，抗滑值80-110。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8.依据GB/T 14833-2020标准测试冲击吸收≥20%，拉断伸长率≥40%，抗滑值(20℃)/BPN 80-110（干测）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平米</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排球架</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适用场合：排球场，运动场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适用场地：适合两片场地之间尺寸≥4200mm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立柱材质：¢89×3.75 焊管和小70×3异型钢管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调节装置：弹簧助推手动操作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排球网：PQW-2 排球网（含钢丝绳）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底座罩壳：高密度聚乙烯材料中空吹塑一次成型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配重块：7块水泥配重，可拆卸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排球柱由内外立柱，高度调节销和紧线机构组成。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排球柱外立柱选用489x3.75优质焊管，内立柱选用の70异型管材制作，通过高度调节销使内立柱上下移动，实现网高调节高度2.15m2.24m、 2.35m、 2.43m。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二外立柱中，一立柱上置有网钩，另一立柱上置有棘爪紧线锁紧机构，通过调节锁紧手柄，调节钢丝绳的松紧，实现网的高度要求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跳高架</w:t>
            </w:r>
          </w:p>
        </w:tc>
        <w:tc>
          <w:tcPr>
            <w:tcW w:w="59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1、跳高架由底座、固定立柱、移动立柱、横杆托架、微调支脚构成。产品形式简洁，结构合理，可装拆，便于运输和包装。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2、固定立柱与移动立柱选用铝合金型材，型材之间采用燕尾槽配合。表面氧化处理。固定立柱上贴有不锈钢标尺，刻度调节范围：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600-2600mm。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3、底座选用δ4 铁板一次冲压成型，避免了焊接造成的接口腐蚀，底部设有 PU 滚轮，移动方便。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4、跳高架横杆托架采用铝压铸件，具有防腐蚀性、安全、牢固等优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点且上下移动方便。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5、跳高架底座底部设有微调机构，通过调节微调机构可满足场地不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平整引起的跳高架的稳定性和横杆的高度要求。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6、喷涂工件的表面处理分二个阶段，前处理阶段使工件获得质量优良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的介质层，增加防锈涂膜与金属基体的结合力，是提高产品表面处理能力</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的必备基础措施。表面处理阶段是将粉末通过高压静电作用均匀涂敷在被</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涂物体上的过程。当涂层达到一定厚度后，进入烘炉加热，涂料熔融固化，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形成厚度均匀、质地牢固的涂层。本公司产品所有器材均在全自动喷涂流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水线上作业，经抛丸——脱脂——水洗——无磷转</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化——水洗——烘干——静电粉末</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——固化等过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程。产品涂层厚度 70—80um，铅笔硬度达 3H+。产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品具有耐酸碱、耐湿热、抗老化、外观美观等优点，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能适合潮湿和酸雨环境，且前处理过程以及产品涂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料配方均不含有毒元素，避免损害</w:t>
            </w:r>
          </w:p>
        </w:tc>
        <w:tc>
          <w:tcPr>
            <w:tcW w:w="6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跳高杆</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1.跳高横杆由横杆和横杆接头组成。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2.横杆采用φ30 的玻璃钢材料制 作，横杆接头采用特殊的外形结构。 3.跳高横杆总长为 4000mm。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4.横杆表面喷黑、黄双色漆，中间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段为黑色。</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跳高丈量尺</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1、跳高丈量尺主要由立杆和测高器二部分组成。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2、跳高丈量尺立杆采用铝合金型材制作，上面标有刻度，调高范围：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600-2900㎜。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跳高海绵垫</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1.跳高海绵垫主体由三层重磅发泡海绵（20Kg/M3）组成，弹力均衡，柔软适中。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2.海绵垫的形状为“凸”字形，基本尺寸：长×宽×厚=5000×3000×700（㎜）。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3.海绵垫中层人体落地区域配有“井”字形框架结构，用以满足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落地时人体对弹性及缓冲的要求。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4.海绵垫表面罩有防水帆布套，套子侧面装有拉链及拉手攀，且四周设有排气孔。</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跳高海绵垫底架</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1、此产品置于5×3×0.7米跳高海绵垫底部。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1、基本尺寸：4.8×2.8×0.1（m）；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2、跳高海绵垫底架由五小块底架通过连接片连接而成。防锈蚀性强，每块底架主要采用口30×20、口20×20方管拼焊组成，焊接牢固，焊缝表面均匀光滑，无虚焊。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2H+。产品具有耐酸碱、耐湿热、抗老化、外观美观等优点，能适合潮湿和酸雨环境，且前处理过程以及产品涂料配方均不含有毒元素，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跳高海绵垫防护棚</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1、基本规格尺寸：5.4×3.4×1.08（m）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跳高海绵防护棚主要由顶棚和框架组成，框架采用□40×40和□40×20焊方管拼装焊接而成，顶棚采用□25×25和□21×14焊方管拼焊而成。顶棚上面覆盖有彩钢瓦，彩钢瓦上采用铝合金压条压住，用铆钉固定，顶棚设有漏雨槽，能防止漏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3、顶棚由6个顶棚盖组成，顶棚盖与前后、侧面框架之间使用固定块连接。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4、防护棚底部设有滚轮，移动方便。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2H+。产品具有耐酸碱、耐湿热、抗老化、外观美观等优点，能适合潮湿和酸雨环境，且前处理过程以及产品涂料配方均不含有毒元素，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七人制足球门（移动式）</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产品结构 由球门框、两侧撑杆、底部连杆和足球网组成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球门尺寸 球门內净：长×高=5000×2000（㎜）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球 门 框 球门立柱和横梁均采用φ89×2.75钢管制作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球门框后侧设有网钩，通过网销将球网与门框固定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立柱与横梁连接处设有内胆，连接稳定牢固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两侧撑杆 采用φ32×2的钢管制成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采用钢丝绳连接紧固，既增强球门整体稳定性，又起到撑网的作用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底部连杆 均采用□80×40×2.75方管制作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后侧连杆与两侧连杆连接通过网撑杆下接头（冲件）连接固定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球    网 足球网为白色，网眼为正方形：100×100mm，网线直径为φ3.5mm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足球网四周拷边处理，球门四角采用空扁绳，方便于穿拉网绳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产品特性 球门组装完成后，立杆与地面垂直，横梁与立杆的夹角为90°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所有连接件周边处理圆滑，无棱角，无安全隐患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为保证球门的整体稳定性，在球门后侧横杆位置配置了球门固定压板和适用于草坪的专用预埋件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球门整体可装拆，便于运输和安装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 工艺过程 下料—焊接--抛丸--脱脂--水洗--无磷转化--水洗--烘干--静电粉末--固化（所有表面处理均在全自动喷涂流水线上作业）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工艺特性 产品具有耐酸碱、耐湿热、抗老化、外观美观等优点，能适合潮湿和酸雨环境，涂料均为绿色环保无毒产品，避免损害使用者的健康。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五人制足球门（移动式）</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球门内净基本尺寸：长×高=3000×2000（mm）2、足球门由立杆、横梁、两侧撑杆、两侧横杆和后侧横杆组成。3、球门立杆和横梁均采用φ80钢管型材制成，上设塑料网勾，置网方便，球网两侧撑杆采用φ32×2.5的钢管制成，两侧横杆和后侧连杆采用□80×40×2.5方管制作。4、横梁和立杆上没有可能危害到运动员安全的连接物件露在外面。球门组装完成后，立杆与地面垂直，横梁与立杆的夹角为90°，连接件周边处理圆滑，无棱角。球门两侧撑杆采用钢丝绳连接紧固，既可增强球门整体稳定性，又可起到撑网的作用。5、为保证球门的整体稳定性，在球门后侧横杆位置配置了球门固定压板，保证球门的位置不因运动员的冲撞而移动位置。6、球门整体可装拆，便于运输和安装。7、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烟屏</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1、发令烟屏由烟屏支架和烟屏两部分组成。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2、烟屏支架采用口25×25×2mm方管制作，高度可调。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3、烟屏规格尺寸：外径φ600㎜，采用优质钢管制作，烟屏内设金属框预埋件，通过预埋螺栓与支架紧固。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发令台</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1.发令台基本外形尺寸：长×宽×高=700×610×1500（㎜）。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2.发令台主要由底架和推手柄组成，底架主要采用方管拼焊而成，底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架踏脚板采用花纹板制作，起防滑作用，便于站人；推手柄采用圆管制作。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3.发令台设置有插管，可放置配套设施（发令烟屏），其底架内部设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有货物柜，配有钥匙，可放置发令枪等其它设备，作小推车用。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4.发令台底部设置有滚轮，移动方便。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5.喷涂工件的表面处理分二个阶段，前处理阶段使工件获得质量优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良的介质层，增加防锈涂膜与金属基体的结合力，是提高产品表面处理能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力的必备基础措施。表面处理阶段是将粉末通过高压静电作用均匀涂敷在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被涂物体上的过程。当涂层达到一定厚度后，进入烘炉加热，涂料熔融固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化，形成厚度均匀、质地牢固的涂层。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本公司产品所有器材均在全自动喷涂流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水线上作业，经抛丸——脱脂——水洗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——无磷转化——水洗——烘干——静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电粉末——固化等过程。产品涂层厚度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70—80um，铅笔硬度达3H+。产品具有耐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酸碱、耐湿热、抗老化、外观美观等优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点，能适合潮湿和酸雨环境，且前处理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过程以及产品涂料配方均不含有毒元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素，避免损害使用者的健康。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领奖台</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材质：钢制，规格：总长3米，长100cm，宽50cm，一等讲台高40cm，二等讲台高30cm，三等讲台高20cm</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球车</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1、推车外形基本尺寸：长x宽x高=900x720x720(mm)。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2、推车主要采用圆管在专用弯管机上弯曲成形后拼焊而成，推车整体可折叠，存放时可减少空间。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3、推车支脚底部装有滚轮，移动方便。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4、表面处理: 所有钢制件表面均经酸洗、磷化、打沙等初级处理后采用进口静电环氧基粉末喷涂完成最后表面处理，涂层厚度70—80um，铅笔硬度达3H+，试品经GB1771-91 36小时盐雾试验，涂膜无变化，划格处单面腐蚀＜2mm，产品具有耐酸碱、耐湿热、抗老化、外观美观等优点，能适合潮湿和酸雨环境，室内室外均可使用，且产品涂料配方不含有毒元素，避免损害使用者的健康。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橡胶篮球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橡胶5号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橡胶篮球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橡胶6号。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皮质篮球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皮质（比赛用球），符合国家体育比赛用球标准。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软式排球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技术规格：重：180-300克 软式排球，周长：565-665mm，气压0.30-0.325公斤/平方厘米。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功能性用：A、安全性强，柔软有弹性，撞击力小，对老人、小孩都不会造成伤害，尤其是避免了对运动者指关节的伤害。B、具有休闲、观赏、趣味性 1、质地柔软，手感舒适，适用于不同年龄阶段的人。 2、颜色鲜艳，观赏性强。 3、球速慢，传递次数多，易掌握，趣味性强。 C、适用范围广：1、不受场地限制。室内外、草地都可以进行。 2、适合不同年龄层，全民皆可用此健身。 3、不受人员限制（可以2、3、4、5、6人组或男女混合组）。 4、可以一球多用（用作手球、体操球、沙排）。  D、使用便利：免充气、没有打气、漏气的烦恼。 E、绿色环保——环保材料、无毒、防水。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表面商标、图案、色泽等字迹清晰，图案端正、色彩鲜艳，符合产品要求，表面无破损，脱落等现象。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足球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PU皮4号。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垒球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材质：球皮PVC、球心软木。大小：10寸，净重约96克，直径约7.6cm，无弹性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乒乓球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直径40MM+。颜色：白色，材料ABS树脂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乒乓球拍</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乒乓球拍2块为1副，星级直握拍，双面反胶皮，颜色鲜红色，拍面平整；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拍柄、拍面、拍身边缘光滑无光泽，拍身边缘贴上彩带；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胶粒分布均匀，高度不低于0.5mm；胶合部位牢固，不开裂。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秒表</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秒表60道。显示系统：能够计量10个时段，可以读出小时、分钟、秒、1/100秒，分段时间、分段区时间和全部经过时间的二排显示，分段点时间（SPLIT）、分段区时间（LAP）、检索（RECALL）停止（STOP）和秒表等显示的标志，时间/日历显示可以读出小时、分钟、秒钟、年历、月历、日历和时间/日历等；显示媒介；向列型液晶体磁场效应模式（FEM）；防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儿童羽毛球拍</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材质：铝合金，拍杆硬度：适中，拍身重量/握柄尺寸：85g(含)-95g(含)/G6(含线)，拉线磅数：Hs18lbs，Vs18lbs</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儿童尼龙塑料羽毛球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毛片材质：尼龙，球头：全软木球头；速度：慢速</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羽毛球拍</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拍框材质：碳纤维+树脂，中管材质：碳纤维+树脂+7.0 SHAFT，拍杆硬度：特软，重量：75g(含)-79g(含)；拉线磅数：≤28 lbs(12.5kg)≤27lbs(12kg)</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羽毛球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羽毛球毛片分类：鹅拉直，羽毛球球头分类：复合软木；羽毛球球速：77#/2#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测量卷尺</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1、由尺带和尺盒组成，尺带进出灵活，附有摇柄。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2、量程：0～20m、分度值：1cm、全长允差：不大于25cm。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3、尺子刻线均匀、清晰、垂直纵边、无断线。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4、有100米可选。符合计量标准。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皮尺</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1、由尺带和尺盒组成，尺带进出灵活，附有摇柄。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2、量程：0～30m、分度值：1cm、全长允差：不大于25cm。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3、尺子刻线均匀、清晰、垂直纵边、无断线。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4、有30米可选。符合计量标准。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皮尺</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1、由尺带和尺盒组成，尺带进出灵活，附有摇柄。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2、量程：0～50m、分度值：1cm、全长允差：不大于25cm。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3、尺子刻线均匀、清晰、垂直纵边、无断线。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4、有50米可选。符合计量标准。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道次墩</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三面显示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发令旗</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红、黄、白三色</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接力棒</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长度300mm，直径300mm，空心铝合金材质。棒两头做过圆滑处理，外观平滑无毛刺。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新健牌无柄压胶跳绳</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【规格】:直径6MM，长2.2米 重量55克左右，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【材料】棉纱和胶质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【长度】:220CM(允许误差+-5CM)</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铝合金舞台</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铝合金材质：国标6061-T6，立柱主管50*3，面板框采用日字框设计。面板为高密度舞台专用防滑板，表面增加防滑，板厚为：18mm。</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平米</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手持扩音器喊话器</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重量1.05KG，失真度1%，产品尺寸约385*230mm，输出阻抗：40，峰值功率；50W，峰值分贝；120dB</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拉杆音箱</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拉杆式广场舞专用音箱，内含蓄电池，配备无线麦克风。</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起跑器</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1、起跑器主要由底座和蹬脚座组成。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2、起跑器外形尺寸：主体全长775mm，总宽度为：200mm。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3、蹬脚座调节范围：前后距离调整：0-540mm，蹬脚板角度调整：50度-70度，分4个档位。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4、起跑器重量约为13kg。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5、起跑器底座铝槽采用铸铝制作，通过地钉与地面接触，防止移位。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6、起跑器蹬脚座分固定座和蹬脚板，均为铸铝件，蹬脚板板面为凹面，面板采用塑胶层，起防滑作用，蹬脚板面板斜度可调节。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7、两蹬脚座的相对位置可以前后调整。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8、起跑器上设有把手，便于移动。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9、起跑器主板底部装有用于固定在跑道上的地钉，长度为14mm，以确保起跑器在使用过程中不会移动，保持稳定，地钉不会损坏跑道。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10、表面处理：氧化。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11、产品通过国际田联IAAF认证。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铝合金平砂板</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1、铝合金平砂板主要由手柄、支撑杆与平砂板三部分拼装而成。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2、支撑杆与平砂板采用铝合金型材，表面氧化。手柄采用Φ30×2铝管，长度为1650mm。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3、手柄处装有巴套，手感舒适。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羽毛球裁判椅</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1、基本尺寸：长*宽*高*椅面高=1000*800*1850*1530（mm）。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2、羽毛球裁判椅主要由支架、写子板和座椅三大部分组成。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3、裁判椅底座、支架均采用口50x30x2、口40x25x2、口25x25x2优质方管拼焊而成，上部设有写字板，写字板为胶合板，采用铰链与支架连接，可灵活翻转。</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4、裁判椅座椅采用中空吹塑椅，通过螺栓等紧固件与支架连接，可常年保持不褪色。</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5、裁判椅底座配有走轮,移动方便，底座支架套有脚套，可保护体育场馆地板。</w:t>
            </w:r>
          </w:p>
        </w:tc>
        <w:tc>
          <w:tcPr>
            <w:tcW w:w="6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羽毛球赛记分牌</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1、羽毛球赛记分牌为立式记分器，主要由底座、立柱和记分牌组成，外形尺寸：宽x高=600x2000（mm）。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2、记分牌底座选用δ4铁板一次冲压成型，避免了焊接造成的接口腐蚀，底部设有PU滚轮，移动方便。底座底部设有微调机构，通过调节微调机构可满足场地不平整引起的产品的稳定性要求。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3、记分牌立柱采用φ30x1.5圆管制作，记分牌挂杠采用采用φ14x2.5无缝管制作。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4、记分牌为手动翻分式，号码牌和队名牌采用PVC板制作，队名板和冠名板均采用1.2mm铁板折边制成，指向标为红色，采用2mm铁板制作。</w:t>
            </w:r>
          </w:p>
        </w:tc>
        <w:tc>
          <w:tcPr>
            <w:tcW w:w="6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发令枪</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1、此产品可供竞赛类体育项目全天候比赛，训练发令使用还可以与电子记时器配套使用，也可配合发令纸使用。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2、发令器结构简单，操作方便，使用安全可靠，发令器主要由本体、压板、转轮、板击、击锤、蕊轴握把等零件部件组成。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3、容弹量2发；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4、射击方式为单发联动式击发；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5、总重量为0.4公斤；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6、声音：水平正前方100米处，声强值不少于70分；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7、烟雾：在规定背景下，正前方150米处清晰可见。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口哨</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工程塑料（ABS）、尼龙绳、金属哨环及挂钩。</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打气筒</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电动多用途超静充气筒。可打各种球类、车轮。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电压：AC220V</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电机功率：200W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外型尺寸：160*80*130mm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气体流量：35L/MIN</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净重:1.9kg</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实心球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规格：重量1kg，直径11cm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材质：橡胶，内置填充石英砂，可充气</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9"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小体操垫</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1.海绵垫主体由重泡海绵组成，弹力均衡，柔软适中。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2.海绵垫基本尺寸：长x宽x厚=1.2×0.6×0.05（米），可折叠。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3.海绵垫表面罩防水帆布套，套子侧面装有拉链及拉手攀。</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65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坐位体前屈测试仪</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量程：-20~32厘米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分度值：0.1厘米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误差：+0.1厘米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环境温度：-10~50°C</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显示语音播报，宽屏液晶显示，带背光，即使在光线较暗和晚上读书也清晰可见。默认二次测试，二次成绩均显示在液晶屏上，最大成绩在液晶屏上保持5秒钟自动清零。内置大容量锂电池，充满电正常测试8小时以上。可待机3个月。充电器带指示功能，充满电红灯自动转成绿灯。精选铝合金材质，结实、高端更耐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立定跳远垫</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1.立定跳远垫基本尺寸：长x宽x厚=3.5×1×0.003（米）。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2.立定跳远垫材质橡胶，防滑系数大，适用于光滑的地板砖地面、水泥地面和塑胶地面等。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3.立定跳远垫具有较高的弹性，耐磨性，使用安全可靠，材料环保，具有良好的耐冲击性，减震效果好，且具有防滑性，可以很好的保护运动员不受伤害，而且可以提高考试成绩。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4.立定跳远垫可卷起存放，节省存储空间。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5.立定跳远垫上标有刻度，刻度测量范围：0~3米。</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1、基本规格：重量3.005-3.025kg；直径90-100mm；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2、材料：铸铁。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大体操垫</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1、规格200×100×10（cm）。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2、材料采用整块高弹加压海绵,经压缩，密度35%，外力作用后可快速恢复原状，软硬度适中，外包3*4防水布，可防水。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3、四角包软皮，不易破损。两头有拉手，便于搬运。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4、针脚细密，不易脱线。</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跳箱</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1、跳箱外形尺寸：长x宽x高=1300x780x1250mm。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2、箱体七级，长1300mm,从上至下逐渐增大成梯形，第一级含箱盖高为350mm，第二至第七级，每级高为150mm。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3、跳箱盖平整，软硬适宜，手感舒适，用重体海绵做成弧形，表面用优质人造革包制，泡钉封口，级间用内撑木插联组合。各层结合平直、稳定牢固，接地面平稳。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4、跳箱采用木质制成，之间拼装采用燕尾槽，每级箱体组合用4根20x20的木柱插接，木柱出头高45mm，箱体每级衔接平整、紧凑。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5、箱体材料均用18-20mm厚的层压板，表面作漆层处理。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多功能综合训练器</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产品特点：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1、全钢配重块配合强磁插销，使运动更顺畅安全  使用高档镀硬铬滑杆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2、采用超强耐久φ5钢丝绳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3、毛净重305.7KG/291.6KG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外包PVC  使用拨销调节机构，调节简单方便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4、各种运动轨迹符合人体工学设计，提供更舒适运动效果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5、主框架材质：Q235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6、其他主管: 大R管矩形管：101.6*44.5*2；70*50*2；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7、导杆：实心镀硬铬规格Φ20*1752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8、滑轮材质：尼龙+玻璃纤维Φ90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9、防护罩：透明板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10、配重块：钢板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11、最大配重160KG ，最小配重5KG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12、脚套：TPR材质异形大脚套展开尺寸：1890×1100×2360  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13、训练部位：可综合训练腹部、手臂、背部、胸部、肩部、臀部肌群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14、毛净重305.7KG/291.6KG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15、最大负重：150KG</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r>
    </w:tbl>
    <w:p>
      <w:pPr>
        <w:pStyle w:val="4"/>
        <w:spacing w:before="0" w:after="0" w:line="360" w:lineRule="auto"/>
        <w:jc w:val="left"/>
        <w:rPr>
          <w:rFonts w:ascii="宋体" w:hAnsi="宋体" w:cs="宋体"/>
          <w:sz w:val="24"/>
          <w:szCs w:val="24"/>
        </w:rPr>
      </w:pPr>
      <w:r>
        <w:rPr>
          <w:rFonts w:hint="eastAsia" w:ascii="宋体" w:hAnsi="宋体" w:cs="宋体"/>
          <w:sz w:val="24"/>
          <w:szCs w:val="24"/>
          <w:lang w:val="en-US" w:eastAsia="zh-CN"/>
        </w:rPr>
        <w:t>二</w:t>
      </w:r>
      <w:r>
        <w:rPr>
          <w:rFonts w:hint="eastAsia" w:ascii="宋体" w:hAnsi="宋体" w:cs="宋体"/>
          <w:sz w:val="24"/>
          <w:szCs w:val="24"/>
        </w:rPr>
        <w:t>、项目周期</w:t>
      </w:r>
    </w:p>
    <w:p>
      <w:pPr>
        <w:numPr>
          <w:ilvl w:val="0"/>
          <w:numId w:val="0"/>
        </w:numPr>
        <w:spacing w:line="360" w:lineRule="auto"/>
        <w:ind w:leftChars="0"/>
        <w:jc w:val="both"/>
        <w:outlineLvl w:val="0"/>
        <w:rPr>
          <w:rFonts w:hint="eastAsia" w:ascii="宋体" w:hAnsi="宋体" w:cs="宋体"/>
          <w:b/>
          <w:color w:val="auto"/>
          <w:sz w:val="24"/>
          <w:highlight w:val="none"/>
          <w:lang w:val="en-US" w:eastAsia="zh-CN"/>
        </w:rPr>
      </w:pPr>
      <w:r>
        <w:rPr>
          <w:rFonts w:hint="eastAsia" w:ascii="宋体" w:hAnsi="宋体" w:cs="宋体"/>
          <w:color w:val="auto"/>
          <w:sz w:val="24"/>
        </w:rPr>
        <w:t>自</w:t>
      </w: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60日历天</w:t>
      </w:r>
      <w:r>
        <w:rPr>
          <w:rFonts w:hint="eastAsia" w:ascii="宋体" w:hAnsi="宋体" w:cs="宋体"/>
          <w:color w:val="auto"/>
          <w:sz w:val="24"/>
          <w:highlight w:val="none"/>
        </w:rPr>
        <w:t>内完成供货并安装，具体按采购人要求执行。</w:t>
      </w:r>
    </w:p>
    <w:p>
      <w:pPr>
        <w:widowControl/>
        <w:numPr>
          <w:ilvl w:val="0"/>
          <w:numId w:val="0"/>
        </w:numPr>
        <w:spacing w:line="360" w:lineRule="auto"/>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三、付款方式</w:t>
      </w:r>
    </w:p>
    <w:p>
      <w:pPr>
        <w:widowControl/>
        <w:numPr>
          <w:ilvl w:val="0"/>
          <w:numId w:val="0"/>
        </w:num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第一阶段：合同签订后5个工作日内，中标单位凭发票、支付通知书向采购人办理合同总价</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0%的预付款款项支付手续；</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第二阶段：项目完成初验后5个工作日内，中标单位凭发票、支付通知书向采购人办理合同</w:t>
      </w:r>
      <w:r>
        <w:rPr>
          <w:rFonts w:hint="eastAsia" w:ascii="宋体" w:hAnsi="宋体" w:cs="宋体"/>
          <w:color w:val="auto"/>
          <w:sz w:val="24"/>
          <w:highlight w:val="none"/>
          <w:lang w:val="en-US" w:eastAsia="zh-CN"/>
        </w:rPr>
        <w:t>剩余</w:t>
      </w:r>
      <w:r>
        <w:rPr>
          <w:rFonts w:hint="eastAsia" w:ascii="宋体" w:hAnsi="宋体" w:cs="宋体"/>
          <w:color w:val="auto"/>
          <w:sz w:val="24"/>
          <w:highlight w:val="none"/>
        </w:rPr>
        <w:t>款项支付手续；</w:t>
      </w:r>
    </w:p>
    <w:p>
      <w:pPr>
        <w:adjustRightInd w:val="0"/>
        <w:snapToGrid w:val="0"/>
        <w:spacing w:line="360" w:lineRule="auto"/>
        <w:rPr>
          <w:rFonts w:ascii="宋体" w:hAnsi="宋体"/>
          <w:b/>
          <w:bCs/>
          <w:color w:val="auto"/>
          <w:sz w:val="24"/>
        </w:rPr>
      </w:pPr>
      <w:r>
        <w:rPr>
          <w:rFonts w:hint="eastAsia" w:ascii="宋体" w:hAnsi="宋体"/>
          <w:b/>
          <w:bCs/>
          <w:color w:val="auto"/>
          <w:sz w:val="24"/>
          <w:lang w:val="en-US" w:eastAsia="zh-CN"/>
        </w:rPr>
        <w:t>四、</w:t>
      </w:r>
      <w:r>
        <w:rPr>
          <w:rFonts w:hint="eastAsia" w:ascii="宋体" w:hAnsi="宋体"/>
          <w:b/>
          <w:bCs/>
          <w:color w:val="auto"/>
          <w:sz w:val="24"/>
        </w:rPr>
        <w:t>售后服务要求：</w:t>
      </w:r>
    </w:p>
    <w:p>
      <w:pPr>
        <w:widowControl/>
        <w:numPr>
          <w:ilvl w:val="0"/>
          <w:numId w:val="0"/>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bCs/>
          <w:color w:val="auto"/>
          <w:sz w:val="24"/>
        </w:rPr>
        <w:t>1</w:t>
      </w:r>
      <w:r>
        <w:rPr>
          <w:rFonts w:hint="eastAsia" w:ascii="宋体" w:hAnsi="宋体" w:eastAsia="宋体" w:cs="宋体"/>
          <w:color w:val="auto"/>
          <w:sz w:val="24"/>
          <w:highlight w:val="none"/>
        </w:rPr>
        <w:t>、质保期要求：中标单位对其提供的产品，必须保证品质，所有产品验收合格使用之日起，免费质保</w:t>
      </w:r>
      <w:r>
        <w:rPr>
          <w:rFonts w:hint="eastAsia" w:ascii="宋体" w:hAnsi="宋体" w:eastAsia="宋体" w:cs="宋体"/>
          <w:color w:val="auto"/>
          <w:sz w:val="24"/>
          <w:highlight w:val="none"/>
          <w:lang w:val="en-US" w:eastAsia="zh-CN"/>
        </w:rPr>
        <w:t>两</w:t>
      </w:r>
      <w:r>
        <w:rPr>
          <w:rFonts w:hint="eastAsia" w:ascii="宋体" w:hAnsi="宋体" w:eastAsia="宋体" w:cs="宋体"/>
          <w:color w:val="auto"/>
          <w:sz w:val="24"/>
          <w:highlight w:val="none"/>
        </w:rPr>
        <w:t>年以上。</w:t>
      </w:r>
    </w:p>
    <w:p>
      <w:pPr>
        <w:pStyle w:val="5"/>
        <w:numPr>
          <w:ilvl w:val="0"/>
          <w:numId w:val="0"/>
        </w:numPr>
        <w:ind w:leftChars="0"/>
        <w:rPr>
          <w:rFonts w:hint="default"/>
          <w:b w:val="0"/>
          <w:bCs w:val="0"/>
          <w:color w:val="auto"/>
          <w:lang w:val="en-US" w:eastAsia="zh-CN"/>
        </w:rPr>
      </w:pP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售后</w:t>
      </w:r>
      <w:r>
        <w:rPr>
          <w:rFonts w:hint="eastAsia" w:ascii="宋体" w:hAnsi="宋体" w:eastAsia="宋体" w:cs="宋体"/>
          <w:b w:val="0"/>
          <w:bCs w:val="0"/>
          <w:color w:val="auto"/>
          <w:sz w:val="24"/>
          <w:highlight w:val="none"/>
        </w:rPr>
        <w:t>要求：质保期内出现问题，中标单位在接到电话后2小时内响应，6小时内到达现场解决问题，最迟在2个工作日内修复，如不能修复应采取补救措施，以保证使用方的正常工作，中标单位有其它服务承诺的，一并履行。在保修期内中标单位必须在不得以任何理由影响正常使用。</w:t>
      </w:r>
    </w:p>
    <w:p>
      <w:pPr>
        <w:numPr>
          <w:ilvl w:val="0"/>
          <w:numId w:val="0"/>
        </w:numPr>
        <w:spacing w:line="360" w:lineRule="auto"/>
        <w:ind w:leftChars="0" w:firstLine="2168" w:firstLineChars="600"/>
        <w:jc w:val="both"/>
        <w:outlineLvl w:val="0"/>
        <w:rPr>
          <w:rFonts w:hint="eastAsia" w:ascii="宋体" w:hAnsi="宋体" w:cs="宋体"/>
          <w:b/>
          <w:color w:val="auto"/>
          <w:sz w:val="36"/>
          <w:szCs w:val="36"/>
        </w:rPr>
      </w:pPr>
    </w:p>
    <w:p>
      <w:pPr>
        <w:numPr>
          <w:ilvl w:val="0"/>
          <w:numId w:val="0"/>
        </w:numPr>
        <w:spacing w:line="360" w:lineRule="auto"/>
        <w:ind w:leftChars="0" w:firstLine="2168" w:firstLineChars="600"/>
        <w:jc w:val="both"/>
        <w:outlineLvl w:val="0"/>
        <w:rPr>
          <w:rFonts w:hint="eastAsia" w:ascii="宋体" w:hAnsi="宋体" w:cs="宋体"/>
          <w:b/>
          <w:sz w:val="36"/>
          <w:szCs w:val="36"/>
        </w:rPr>
      </w:pPr>
    </w:p>
    <w:p>
      <w:pPr>
        <w:numPr>
          <w:ilvl w:val="0"/>
          <w:numId w:val="0"/>
        </w:numPr>
        <w:spacing w:line="360" w:lineRule="auto"/>
        <w:ind w:leftChars="0" w:firstLine="2168" w:firstLineChars="600"/>
        <w:jc w:val="both"/>
        <w:outlineLvl w:val="0"/>
        <w:rPr>
          <w:rFonts w:hint="eastAsia" w:ascii="宋体" w:hAnsi="宋体" w:cs="宋体"/>
          <w:b/>
          <w:sz w:val="36"/>
          <w:szCs w:val="36"/>
        </w:rPr>
      </w:pPr>
    </w:p>
    <w:p>
      <w:pPr>
        <w:numPr>
          <w:ilvl w:val="0"/>
          <w:numId w:val="0"/>
        </w:numPr>
        <w:spacing w:line="360" w:lineRule="auto"/>
        <w:ind w:leftChars="0" w:firstLine="2168" w:firstLineChars="600"/>
        <w:jc w:val="both"/>
        <w:outlineLvl w:val="0"/>
        <w:rPr>
          <w:rFonts w:hint="eastAsia" w:ascii="宋体" w:hAnsi="宋体" w:cs="宋体"/>
          <w:b/>
          <w:sz w:val="36"/>
          <w:szCs w:val="36"/>
        </w:rPr>
      </w:pPr>
    </w:p>
    <w:p>
      <w:pPr>
        <w:numPr>
          <w:ilvl w:val="0"/>
          <w:numId w:val="0"/>
        </w:numPr>
        <w:spacing w:line="360" w:lineRule="auto"/>
        <w:ind w:leftChars="0" w:firstLine="2168" w:firstLineChars="600"/>
        <w:jc w:val="both"/>
        <w:outlineLvl w:val="0"/>
        <w:rPr>
          <w:rFonts w:hint="eastAsia" w:ascii="宋体" w:hAnsi="宋体" w:cs="宋体"/>
          <w:b/>
          <w:sz w:val="36"/>
          <w:szCs w:val="36"/>
        </w:rPr>
      </w:pPr>
    </w:p>
    <w:p>
      <w:pPr>
        <w:numPr>
          <w:ilvl w:val="0"/>
          <w:numId w:val="0"/>
        </w:numPr>
        <w:spacing w:line="360" w:lineRule="auto"/>
        <w:ind w:leftChars="0" w:firstLine="2168" w:firstLineChars="600"/>
        <w:jc w:val="both"/>
        <w:outlineLvl w:val="0"/>
        <w:rPr>
          <w:rFonts w:hint="eastAsia" w:ascii="宋体" w:hAnsi="宋体" w:cs="宋体"/>
          <w:b/>
          <w:sz w:val="36"/>
          <w:szCs w:val="36"/>
        </w:rPr>
      </w:pPr>
    </w:p>
    <w:p>
      <w:pPr>
        <w:numPr>
          <w:ilvl w:val="0"/>
          <w:numId w:val="0"/>
        </w:numPr>
        <w:spacing w:line="360" w:lineRule="auto"/>
        <w:ind w:leftChars="0" w:firstLine="2168" w:firstLineChars="600"/>
        <w:jc w:val="both"/>
        <w:outlineLvl w:val="0"/>
        <w:rPr>
          <w:rFonts w:hint="eastAsia" w:ascii="宋体" w:hAnsi="宋体" w:cs="宋体"/>
          <w:b/>
          <w:sz w:val="36"/>
          <w:szCs w:val="36"/>
        </w:rPr>
      </w:pPr>
    </w:p>
    <w:p>
      <w:pPr>
        <w:numPr>
          <w:ilvl w:val="0"/>
          <w:numId w:val="0"/>
        </w:numPr>
        <w:spacing w:line="360" w:lineRule="auto"/>
        <w:ind w:leftChars="0" w:firstLine="2168" w:firstLineChars="600"/>
        <w:jc w:val="both"/>
        <w:outlineLvl w:val="0"/>
        <w:rPr>
          <w:rFonts w:hint="eastAsia" w:ascii="宋体" w:hAnsi="宋体" w:cs="宋体"/>
          <w:b/>
          <w:sz w:val="36"/>
          <w:szCs w:val="36"/>
        </w:rPr>
      </w:pPr>
    </w:p>
    <w:p>
      <w:pPr>
        <w:numPr>
          <w:ilvl w:val="0"/>
          <w:numId w:val="0"/>
        </w:numPr>
        <w:spacing w:line="360" w:lineRule="auto"/>
        <w:ind w:leftChars="0" w:firstLine="2168" w:firstLineChars="600"/>
        <w:jc w:val="both"/>
        <w:outlineLvl w:val="0"/>
        <w:rPr>
          <w:rFonts w:hint="eastAsia" w:ascii="宋体" w:hAnsi="宋体" w:cs="宋体"/>
          <w:b/>
          <w:sz w:val="36"/>
          <w:szCs w:val="36"/>
        </w:rPr>
      </w:pPr>
    </w:p>
    <w:p>
      <w:pPr>
        <w:numPr>
          <w:ilvl w:val="0"/>
          <w:numId w:val="0"/>
        </w:numPr>
        <w:spacing w:line="360" w:lineRule="auto"/>
        <w:ind w:leftChars="0" w:firstLine="2168" w:firstLineChars="600"/>
        <w:jc w:val="both"/>
        <w:outlineLvl w:val="0"/>
        <w:rPr>
          <w:rFonts w:hint="eastAsia" w:ascii="宋体" w:hAnsi="宋体" w:cs="宋体"/>
          <w:b/>
          <w:sz w:val="36"/>
          <w:szCs w:val="36"/>
        </w:rPr>
      </w:pPr>
    </w:p>
    <w:p>
      <w:pPr>
        <w:numPr>
          <w:ilvl w:val="0"/>
          <w:numId w:val="0"/>
        </w:numPr>
        <w:spacing w:line="360" w:lineRule="auto"/>
        <w:ind w:leftChars="0" w:firstLine="2168" w:firstLineChars="600"/>
        <w:jc w:val="both"/>
        <w:outlineLvl w:val="0"/>
        <w:rPr>
          <w:rFonts w:hint="eastAsia" w:ascii="宋体" w:hAnsi="宋体" w:cs="宋体"/>
          <w:b/>
          <w:sz w:val="36"/>
          <w:szCs w:val="36"/>
        </w:rPr>
      </w:pPr>
    </w:p>
    <w:p>
      <w:pPr>
        <w:numPr>
          <w:ilvl w:val="0"/>
          <w:numId w:val="0"/>
        </w:numPr>
        <w:spacing w:line="360" w:lineRule="auto"/>
        <w:ind w:leftChars="0" w:firstLine="2168" w:firstLineChars="600"/>
        <w:jc w:val="both"/>
        <w:outlineLvl w:val="0"/>
        <w:rPr>
          <w:rFonts w:hint="eastAsia" w:ascii="宋体" w:hAnsi="宋体" w:cs="宋体"/>
          <w:b/>
          <w:sz w:val="36"/>
          <w:szCs w:val="36"/>
        </w:rPr>
      </w:pPr>
    </w:p>
    <w:p>
      <w:pPr>
        <w:numPr>
          <w:ilvl w:val="0"/>
          <w:numId w:val="0"/>
        </w:numPr>
        <w:spacing w:line="360" w:lineRule="auto"/>
        <w:ind w:leftChars="0" w:firstLine="2168" w:firstLineChars="600"/>
        <w:jc w:val="both"/>
        <w:outlineLvl w:val="0"/>
        <w:rPr>
          <w:rFonts w:hint="eastAsia" w:ascii="宋体" w:hAnsi="宋体" w:cs="宋体"/>
          <w:b/>
          <w:sz w:val="36"/>
          <w:szCs w:val="36"/>
        </w:rPr>
      </w:pPr>
    </w:p>
    <w:p>
      <w:pPr>
        <w:numPr>
          <w:ilvl w:val="0"/>
          <w:numId w:val="0"/>
        </w:numPr>
        <w:spacing w:line="360" w:lineRule="auto"/>
        <w:ind w:leftChars="0" w:firstLine="2168" w:firstLineChars="600"/>
        <w:jc w:val="both"/>
        <w:outlineLvl w:val="0"/>
        <w:rPr>
          <w:rFonts w:hint="eastAsia" w:ascii="宋体" w:hAnsi="宋体" w:cs="宋体"/>
          <w:b/>
          <w:sz w:val="36"/>
          <w:szCs w:val="36"/>
        </w:rPr>
      </w:pPr>
    </w:p>
    <w:p>
      <w:pPr>
        <w:numPr>
          <w:ilvl w:val="0"/>
          <w:numId w:val="0"/>
        </w:numPr>
        <w:spacing w:line="360" w:lineRule="auto"/>
        <w:ind w:leftChars="0" w:firstLine="2168" w:firstLineChars="600"/>
        <w:jc w:val="both"/>
        <w:outlineLvl w:val="0"/>
        <w:rPr>
          <w:rFonts w:hint="eastAsia" w:ascii="宋体" w:hAnsi="宋体" w:cs="宋体"/>
          <w:b/>
          <w:sz w:val="36"/>
          <w:szCs w:val="36"/>
        </w:rPr>
      </w:pPr>
    </w:p>
    <w:p>
      <w:pPr>
        <w:numPr>
          <w:ilvl w:val="0"/>
          <w:numId w:val="0"/>
        </w:numPr>
        <w:spacing w:line="360" w:lineRule="auto"/>
        <w:ind w:leftChars="0" w:firstLine="2168" w:firstLineChars="600"/>
        <w:jc w:val="both"/>
        <w:outlineLvl w:val="0"/>
        <w:rPr>
          <w:rFonts w:hint="eastAsia" w:ascii="宋体" w:hAnsi="宋体" w:cs="宋体"/>
          <w:b/>
          <w:sz w:val="36"/>
          <w:szCs w:val="36"/>
        </w:rPr>
      </w:pPr>
    </w:p>
    <w:p>
      <w:pPr>
        <w:numPr>
          <w:ilvl w:val="0"/>
          <w:numId w:val="0"/>
        </w:numPr>
        <w:spacing w:line="360" w:lineRule="auto"/>
        <w:ind w:leftChars="0" w:firstLine="2168" w:firstLineChars="600"/>
        <w:jc w:val="both"/>
        <w:outlineLvl w:val="0"/>
        <w:rPr>
          <w:rFonts w:ascii="宋体" w:hAnsi="宋体" w:cs="宋体"/>
          <w:b/>
          <w:sz w:val="36"/>
          <w:szCs w:val="36"/>
        </w:rPr>
      </w:pPr>
      <w:r>
        <w:rPr>
          <w:rFonts w:hint="eastAsia" w:ascii="宋体" w:hAnsi="宋体" w:cs="宋体"/>
          <w:b/>
          <w:sz w:val="36"/>
          <w:szCs w:val="36"/>
        </w:rPr>
        <w:t xml:space="preserve">第四部分   </w:t>
      </w:r>
      <w:bookmarkStart w:id="32" w:name="_Toc184313305"/>
      <w:bookmarkEnd w:id="32"/>
      <w:bookmarkStart w:id="33" w:name="_Toc184308054"/>
      <w:bookmarkEnd w:id="33"/>
      <w:bookmarkStart w:id="34" w:name="_Toc184312134"/>
      <w:bookmarkEnd w:id="34"/>
      <w:bookmarkStart w:id="35" w:name="_Toc184314432"/>
      <w:bookmarkEnd w:id="35"/>
      <w:bookmarkStart w:id="36" w:name="_Toc184310277"/>
      <w:bookmarkEnd w:id="36"/>
      <w:bookmarkStart w:id="37" w:name="_Toc184308088"/>
      <w:bookmarkEnd w:id="37"/>
      <w:bookmarkStart w:id="38" w:name="_Toc184308090"/>
      <w:bookmarkEnd w:id="38"/>
      <w:bookmarkStart w:id="39" w:name="_Toc184308074"/>
      <w:bookmarkEnd w:id="39"/>
      <w:bookmarkStart w:id="40" w:name="_Toc184308044"/>
      <w:bookmarkEnd w:id="40"/>
      <w:bookmarkStart w:id="41" w:name="_Toc184310274"/>
      <w:bookmarkEnd w:id="41"/>
      <w:bookmarkStart w:id="42" w:name="_Toc184312139"/>
      <w:bookmarkEnd w:id="42"/>
      <w:bookmarkStart w:id="43" w:name="_Toc184314421"/>
      <w:bookmarkEnd w:id="43"/>
      <w:bookmarkStart w:id="44" w:name="_Toc184310287"/>
      <w:bookmarkEnd w:id="44"/>
      <w:bookmarkStart w:id="45" w:name="_Toc184310317"/>
      <w:bookmarkEnd w:id="45"/>
      <w:bookmarkStart w:id="46" w:name="_Toc184313275"/>
      <w:bookmarkEnd w:id="46"/>
      <w:bookmarkStart w:id="47" w:name="_Toc184310325"/>
      <w:bookmarkEnd w:id="47"/>
      <w:bookmarkStart w:id="48" w:name="_Toc184314415"/>
      <w:bookmarkEnd w:id="48"/>
      <w:bookmarkStart w:id="49" w:name="_Toc184312116"/>
      <w:bookmarkEnd w:id="49"/>
      <w:bookmarkStart w:id="50" w:name="_Toc184312119"/>
      <w:bookmarkEnd w:id="50"/>
      <w:bookmarkStart w:id="51" w:name="_Toc184314438"/>
      <w:bookmarkEnd w:id="51"/>
      <w:bookmarkStart w:id="52" w:name="_Toc184314443"/>
      <w:bookmarkEnd w:id="52"/>
      <w:bookmarkStart w:id="53" w:name="_Toc184312076"/>
      <w:bookmarkEnd w:id="53"/>
      <w:bookmarkStart w:id="54" w:name="_Toc184308073"/>
      <w:bookmarkEnd w:id="54"/>
      <w:bookmarkStart w:id="55" w:name="_Toc184314423"/>
      <w:bookmarkEnd w:id="55"/>
      <w:bookmarkStart w:id="56" w:name="_Toc184312078"/>
      <w:bookmarkEnd w:id="56"/>
      <w:bookmarkStart w:id="57" w:name="_Toc184312124"/>
      <w:bookmarkEnd w:id="57"/>
      <w:bookmarkStart w:id="58" w:name="_Toc184314455"/>
      <w:bookmarkEnd w:id="58"/>
      <w:bookmarkStart w:id="59" w:name="_Toc184313309"/>
      <w:bookmarkEnd w:id="59"/>
      <w:bookmarkStart w:id="60" w:name="_Toc184312133"/>
      <w:bookmarkEnd w:id="60"/>
      <w:bookmarkStart w:id="61" w:name="_Toc184313290"/>
      <w:bookmarkEnd w:id="61"/>
      <w:bookmarkStart w:id="62" w:name="_Toc184310310"/>
      <w:bookmarkEnd w:id="62"/>
      <w:bookmarkStart w:id="63" w:name="_Toc184313310"/>
      <w:bookmarkEnd w:id="63"/>
      <w:bookmarkStart w:id="64" w:name="_Toc184312126"/>
      <w:bookmarkEnd w:id="64"/>
      <w:bookmarkStart w:id="65" w:name="_Toc184310305"/>
      <w:bookmarkEnd w:id="65"/>
      <w:bookmarkStart w:id="66" w:name="_Toc184312089"/>
      <w:bookmarkEnd w:id="66"/>
      <w:bookmarkStart w:id="67" w:name="_Toc184314420"/>
      <w:bookmarkEnd w:id="67"/>
      <w:bookmarkStart w:id="68" w:name="_Toc184310316"/>
      <w:bookmarkEnd w:id="68"/>
      <w:bookmarkStart w:id="69" w:name="_Toc184312092"/>
      <w:bookmarkEnd w:id="69"/>
      <w:bookmarkStart w:id="70" w:name="_Toc184308104"/>
      <w:bookmarkEnd w:id="70"/>
      <w:bookmarkStart w:id="71" w:name="_Toc184312102"/>
      <w:bookmarkEnd w:id="71"/>
      <w:bookmarkStart w:id="72" w:name="_Toc184312082"/>
      <w:bookmarkEnd w:id="72"/>
      <w:bookmarkStart w:id="73" w:name="_Toc184313266"/>
      <w:bookmarkEnd w:id="73"/>
      <w:bookmarkStart w:id="74" w:name="_Toc184308093"/>
      <w:bookmarkEnd w:id="74"/>
      <w:bookmarkStart w:id="75" w:name="_Toc184310309"/>
      <w:bookmarkEnd w:id="75"/>
      <w:bookmarkStart w:id="76" w:name="_Toc184310338"/>
      <w:bookmarkEnd w:id="76"/>
      <w:bookmarkStart w:id="77" w:name="_Toc184310330"/>
      <w:bookmarkEnd w:id="77"/>
      <w:bookmarkStart w:id="78" w:name="_Toc184310320"/>
      <w:bookmarkEnd w:id="78"/>
      <w:bookmarkStart w:id="79" w:name="_Toc184312120"/>
      <w:bookmarkEnd w:id="79"/>
      <w:bookmarkStart w:id="80" w:name="_Toc184308052"/>
      <w:bookmarkEnd w:id="80"/>
      <w:bookmarkStart w:id="81" w:name="_Toc184314441"/>
      <w:bookmarkEnd w:id="81"/>
      <w:bookmarkStart w:id="82" w:name="_Toc184314426"/>
      <w:bookmarkEnd w:id="82"/>
      <w:bookmarkStart w:id="83" w:name="_Toc184308084"/>
      <w:bookmarkEnd w:id="83"/>
      <w:bookmarkStart w:id="84" w:name="_Toc184314412"/>
      <w:bookmarkEnd w:id="84"/>
      <w:bookmarkStart w:id="85" w:name="_Toc184312128"/>
      <w:bookmarkEnd w:id="85"/>
      <w:bookmarkStart w:id="86" w:name="_Toc184313245"/>
      <w:bookmarkEnd w:id="86"/>
      <w:bookmarkStart w:id="87" w:name="_Toc184314465"/>
      <w:bookmarkEnd w:id="87"/>
      <w:bookmarkStart w:id="88" w:name="_Toc184310276"/>
      <w:bookmarkEnd w:id="88"/>
      <w:bookmarkStart w:id="89" w:name="_Toc184312103"/>
      <w:bookmarkEnd w:id="89"/>
      <w:bookmarkStart w:id="90" w:name="_Toc184308050"/>
      <w:bookmarkEnd w:id="90"/>
      <w:bookmarkStart w:id="91" w:name="_Toc184310273"/>
      <w:bookmarkEnd w:id="91"/>
      <w:bookmarkStart w:id="92" w:name="_Toc184312131"/>
      <w:bookmarkEnd w:id="92"/>
      <w:bookmarkStart w:id="93" w:name="_Toc184310315"/>
      <w:bookmarkEnd w:id="93"/>
      <w:bookmarkStart w:id="94" w:name="_Toc184314456"/>
      <w:bookmarkEnd w:id="94"/>
      <w:bookmarkStart w:id="95" w:name="_Toc184314464"/>
      <w:bookmarkEnd w:id="95"/>
      <w:bookmarkStart w:id="96" w:name="_Toc184313304"/>
      <w:bookmarkEnd w:id="96"/>
      <w:bookmarkStart w:id="97" w:name="_Toc184310321"/>
      <w:bookmarkEnd w:id="97"/>
      <w:bookmarkStart w:id="98" w:name="_Toc184308102"/>
      <w:bookmarkEnd w:id="98"/>
      <w:bookmarkStart w:id="99" w:name="_Toc184308058"/>
      <w:bookmarkEnd w:id="99"/>
      <w:bookmarkStart w:id="100" w:name="_Toc184308089"/>
      <w:bookmarkEnd w:id="100"/>
      <w:bookmarkStart w:id="101" w:name="_Toc184308070"/>
      <w:bookmarkEnd w:id="101"/>
      <w:bookmarkStart w:id="102" w:name="_Toc184310335"/>
      <w:bookmarkEnd w:id="102"/>
      <w:bookmarkStart w:id="103" w:name="_Toc184312084"/>
      <w:bookmarkEnd w:id="103"/>
      <w:bookmarkStart w:id="104" w:name="_Toc184308057"/>
      <w:bookmarkEnd w:id="104"/>
      <w:bookmarkStart w:id="105" w:name="_Toc184310327"/>
      <w:bookmarkEnd w:id="105"/>
      <w:bookmarkStart w:id="106" w:name="_Toc184308051"/>
      <w:bookmarkEnd w:id="106"/>
      <w:bookmarkStart w:id="107" w:name="_Toc184308053"/>
      <w:bookmarkEnd w:id="107"/>
      <w:bookmarkStart w:id="108" w:name="_Toc184312099"/>
      <w:bookmarkEnd w:id="108"/>
      <w:bookmarkStart w:id="109" w:name="_Toc184308037"/>
      <w:bookmarkEnd w:id="109"/>
      <w:bookmarkStart w:id="110" w:name="_Toc184314476"/>
      <w:bookmarkEnd w:id="110"/>
      <w:bookmarkStart w:id="111" w:name="_Toc184312127"/>
      <w:bookmarkEnd w:id="111"/>
      <w:bookmarkStart w:id="112" w:name="_Toc184313247"/>
      <w:bookmarkEnd w:id="112"/>
      <w:bookmarkStart w:id="113" w:name="_Toc184308083"/>
      <w:bookmarkEnd w:id="113"/>
      <w:bookmarkStart w:id="114" w:name="_Toc184314459"/>
      <w:bookmarkEnd w:id="114"/>
      <w:bookmarkStart w:id="115" w:name="_Toc184310341"/>
      <w:bookmarkEnd w:id="115"/>
      <w:bookmarkStart w:id="116" w:name="_Toc184314457"/>
      <w:bookmarkEnd w:id="116"/>
      <w:bookmarkStart w:id="117" w:name="_Toc184313299"/>
      <w:bookmarkEnd w:id="117"/>
      <w:bookmarkStart w:id="118" w:name="_Toc184314433"/>
      <w:bookmarkEnd w:id="118"/>
      <w:bookmarkStart w:id="119" w:name="_Toc184313278"/>
      <w:bookmarkEnd w:id="119"/>
      <w:bookmarkStart w:id="120" w:name="_Toc184312087"/>
      <w:bookmarkEnd w:id="120"/>
      <w:bookmarkStart w:id="121" w:name="_Toc184312113"/>
      <w:bookmarkEnd w:id="121"/>
      <w:bookmarkStart w:id="122" w:name="_Toc184308103"/>
      <w:bookmarkEnd w:id="122"/>
      <w:bookmarkStart w:id="123" w:name="_Toc184313277"/>
      <w:bookmarkEnd w:id="123"/>
      <w:bookmarkStart w:id="124" w:name="_Toc184312094"/>
      <w:bookmarkEnd w:id="124"/>
      <w:bookmarkStart w:id="125" w:name="_Toc184313243"/>
      <w:bookmarkEnd w:id="125"/>
      <w:bookmarkStart w:id="126" w:name="_Toc184313296"/>
      <w:bookmarkEnd w:id="126"/>
      <w:bookmarkStart w:id="127" w:name="_Toc184310292"/>
      <w:bookmarkEnd w:id="127"/>
      <w:bookmarkStart w:id="128" w:name="_Toc184308098"/>
      <w:bookmarkEnd w:id="128"/>
      <w:bookmarkStart w:id="129" w:name="_Toc184312112"/>
      <w:bookmarkEnd w:id="129"/>
      <w:bookmarkStart w:id="130" w:name="_Toc184312118"/>
      <w:bookmarkEnd w:id="130"/>
      <w:bookmarkStart w:id="131" w:name="_Toc184312080"/>
      <w:bookmarkEnd w:id="131"/>
      <w:bookmarkStart w:id="132" w:name="_Toc184312085"/>
      <w:bookmarkEnd w:id="132"/>
      <w:bookmarkStart w:id="133" w:name="_Toc184310286"/>
      <w:bookmarkEnd w:id="133"/>
      <w:bookmarkStart w:id="134" w:name="_Toc184310281"/>
      <w:bookmarkEnd w:id="134"/>
      <w:bookmarkStart w:id="135" w:name="_Toc184310314"/>
      <w:bookmarkEnd w:id="135"/>
      <w:bookmarkStart w:id="136" w:name="_Toc184314466"/>
      <w:bookmarkEnd w:id="136"/>
      <w:bookmarkStart w:id="137" w:name="_Toc184312125"/>
      <w:bookmarkEnd w:id="137"/>
      <w:bookmarkStart w:id="138" w:name="_Toc184310318"/>
      <w:bookmarkEnd w:id="138"/>
      <w:bookmarkStart w:id="139" w:name="_Toc184308096"/>
      <w:bookmarkEnd w:id="139"/>
      <w:bookmarkStart w:id="140" w:name="_Toc184314436"/>
      <w:bookmarkEnd w:id="140"/>
      <w:bookmarkStart w:id="141" w:name="_Toc184308101"/>
      <w:bookmarkEnd w:id="141"/>
      <w:bookmarkStart w:id="142" w:name="_Toc184313292"/>
      <w:bookmarkEnd w:id="142"/>
      <w:bookmarkStart w:id="143" w:name="_Toc184313255"/>
      <w:bookmarkEnd w:id="143"/>
      <w:bookmarkStart w:id="144" w:name="_Toc184308072"/>
      <w:bookmarkEnd w:id="144"/>
      <w:bookmarkStart w:id="145" w:name="_Toc184314454"/>
      <w:bookmarkEnd w:id="145"/>
      <w:bookmarkStart w:id="146" w:name="_Toc184308036"/>
      <w:bookmarkEnd w:id="146"/>
      <w:bookmarkStart w:id="147" w:name="_Toc184312130"/>
      <w:bookmarkEnd w:id="147"/>
      <w:bookmarkStart w:id="148" w:name="_Toc184314439"/>
      <w:bookmarkEnd w:id="148"/>
      <w:bookmarkStart w:id="149" w:name="_Toc184313251"/>
      <w:bookmarkEnd w:id="149"/>
      <w:bookmarkStart w:id="150" w:name="_Toc184313260"/>
      <w:bookmarkEnd w:id="150"/>
      <w:bookmarkStart w:id="151" w:name="_Toc184312077"/>
      <w:bookmarkEnd w:id="151"/>
      <w:bookmarkStart w:id="152" w:name="_Toc184310332"/>
      <w:bookmarkEnd w:id="152"/>
      <w:bookmarkStart w:id="153" w:name="_Toc184308059"/>
      <w:bookmarkEnd w:id="153"/>
      <w:bookmarkStart w:id="154" w:name="_Toc184312123"/>
      <w:bookmarkEnd w:id="154"/>
      <w:bookmarkStart w:id="155" w:name="_Toc184313297"/>
      <w:bookmarkEnd w:id="155"/>
      <w:bookmarkStart w:id="156" w:name="_Toc184314453"/>
      <w:bookmarkEnd w:id="156"/>
      <w:bookmarkStart w:id="157" w:name="_Toc184314480"/>
      <w:bookmarkEnd w:id="157"/>
      <w:bookmarkStart w:id="158" w:name="_Toc184312104"/>
      <w:bookmarkEnd w:id="158"/>
      <w:bookmarkStart w:id="159" w:name="_Toc184308068"/>
      <w:bookmarkEnd w:id="159"/>
      <w:bookmarkStart w:id="160" w:name="_Toc184314479"/>
      <w:bookmarkEnd w:id="160"/>
      <w:bookmarkStart w:id="161" w:name="_Toc184314469"/>
      <w:bookmarkEnd w:id="161"/>
      <w:bookmarkStart w:id="162" w:name="_Toc184313306"/>
      <w:bookmarkEnd w:id="162"/>
      <w:bookmarkStart w:id="163" w:name="_Toc184310289"/>
      <w:bookmarkEnd w:id="163"/>
      <w:bookmarkStart w:id="164" w:name="_Toc184314427"/>
      <w:bookmarkEnd w:id="164"/>
      <w:bookmarkStart w:id="165" w:name="_Toc184308065"/>
      <w:bookmarkEnd w:id="165"/>
      <w:bookmarkStart w:id="166" w:name="_Toc184310326"/>
      <w:bookmarkEnd w:id="166"/>
      <w:bookmarkStart w:id="167" w:name="_Toc184308066"/>
      <w:bookmarkEnd w:id="167"/>
      <w:bookmarkStart w:id="168" w:name="_Toc184312074"/>
      <w:bookmarkEnd w:id="168"/>
      <w:bookmarkStart w:id="169" w:name="_Toc184308064"/>
      <w:bookmarkEnd w:id="169"/>
      <w:bookmarkStart w:id="170" w:name="_Toc184310295"/>
      <w:bookmarkEnd w:id="170"/>
      <w:bookmarkStart w:id="171" w:name="_Toc184312073"/>
      <w:bookmarkEnd w:id="171"/>
      <w:bookmarkStart w:id="172" w:name="_Toc184308055"/>
      <w:bookmarkEnd w:id="172"/>
      <w:bookmarkStart w:id="173" w:name="_Toc184313246"/>
      <w:bookmarkEnd w:id="173"/>
      <w:bookmarkStart w:id="174" w:name="_Toc184310343"/>
      <w:bookmarkEnd w:id="174"/>
      <w:bookmarkStart w:id="175" w:name="_Toc184314447"/>
      <w:bookmarkEnd w:id="175"/>
      <w:bookmarkStart w:id="176" w:name="_Toc184308043"/>
      <w:bookmarkEnd w:id="176"/>
      <w:bookmarkStart w:id="177" w:name="_Toc184314478"/>
      <w:bookmarkEnd w:id="177"/>
      <w:bookmarkStart w:id="178" w:name="_Toc184310298"/>
      <w:bookmarkEnd w:id="178"/>
      <w:bookmarkStart w:id="179" w:name="_Toc184312108"/>
      <w:bookmarkEnd w:id="179"/>
      <w:bookmarkStart w:id="180" w:name="_Toc184313300"/>
      <w:bookmarkEnd w:id="180"/>
      <w:bookmarkStart w:id="181" w:name="_Toc184312068"/>
      <w:bookmarkEnd w:id="181"/>
      <w:bookmarkStart w:id="182" w:name="_Toc184312132"/>
      <w:bookmarkEnd w:id="182"/>
      <w:bookmarkStart w:id="183" w:name="_Toc184312136"/>
      <w:bookmarkEnd w:id="183"/>
      <w:bookmarkStart w:id="184" w:name="_Toc184310290"/>
      <w:bookmarkEnd w:id="184"/>
      <w:bookmarkStart w:id="185" w:name="_Toc184312117"/>
      <w:bookmarkEnd w:id="185"/>
      <w:bookmarkStart w:id="186" w:name="_Toc184310278"/>
      <w:bookmarkEnd w:id="186"/>
      <w:bookmarkStart w:id="187" w:name="_Toc184313287"/>
      <w:bookmarkEnd w:id="187"/>
      <w:bookmarkStart w:id="188" w:name="_Toc184313256"/>
      <w:bookmarkEnd w:id="188"/>
      <w:bookmarkStart w:id="189" w:name="_Toc184310291"/>
      <w:bookmarkEnd w:id="189"/>
      <w:bookmarkStart w:id="190" w:name="_Toc184312107"/>
      <w:bookmarkEnd w:id="190"/>
      <w:bookmarkStart w:id="191" w:name="_Toc184313279"/>
      <w:bookmarkEnd w:id="191"/>
      <w:bookmarkStart w:id="192" w:name="_Toc184310331"/>
      <w:bookmarkEnd w:id="192"/>
      <w:bookmarkStart w:id="193" w:name="_Toc184314452"/>
      <w:bookmarkEnd w:id="193"/>
      <w:bookmarkStart w:id="194" w:name="_Toc184308085"/>
      <w:bookmarkEnd w:id="194"/>
      <w:bookmarkStart w:id="195" w:name="_Toc184314413"/>
      <w:bookmarkEnd w:id="195"/>
      <w:bookmarkStart w:id="196" w:name="_Toc184312110"/>
      <w:bookmarkEnd w:id="196"/>
      <w:bookmarkStart w:id="197" w:name="_Toc184313259"/>
      <w:bookmarkEnd w:id="197"/>
      <w:bookmarkStart w:id="198" w:name="_Toc184314449"/>
      <w:bookmarkEnd w:id="198"/>
      <w:bookmarkStart w:id="199" w:name="_Toc184312067"/>
      <w:bookmarkEnd w:id="199"/>
      <w:bookmarkStart w:id="200" w:name="_Toc184310324"/>
      <w:bookmarkEnd w:id="200"/>
      <w:bookmarkStart w:id="201" w:name="_Toc184310328"/>
      <w:bookmarkEnd w:id="201"/>
      <w:bookmarkStart w:id="202" w:name="_Toc184313286"/>
      <w:bookmarkEnd w:id="202"/>
      <w:bookmarkStart w:id="203" w:name="_Toc184314460"/>
      <w:bookmarkEnd w:id="203"/>
      <w:bookmarkStart w:id="204" w:name="_Toc184308076"/>
      <w:bookmarkEnd w:id="204"/>
      <w:bookmarkStart w:id="205" w:name="_Toc184308049"/>
      <w:bookmarkEnd w:id="205"/>
      <w:bookmarkStart w:id="206" w:name="_Toc184314468"/>
      <w:bookmarkEnd w:id="206"/>
      <w:bookmarkStart w:id="207" w:name="_Toc184308086"/>
      <w:bookmarkEnd w:id="207"/>
      <w:bookmarkStart w:id="208" w:name="_Toc184314448"/>
      <w:bookmarkEnd w:id="208"/>
      <w:bookmarkStart w:id="209" w:name="_Toc184313264"/>
      <w:bookmarkEnd w:id="209"/>
      <w:bookmarkStart w:id="210" w:name="_Toc184314458"/>
      <w:bookmarkEnd w:id="210"/>
      <w:bookmarkStart w:id="211" w:name="_Toc184310322"/>
      <w:bookmarkEnd w:id="211"/>
      <w:bookmarkStart w:id="212" w:name="_Toc184314471"/>
      <w:bookmarkEnd w:id="212"/>
      <w:bookmarkStart w:id="213" w:name="_Toc184308039"/>
      <w:bookmarkEnd w:id="213"/>
      <w:bookmarkStart w:id="214" w:name="_Toc184308077"/>
      <w:bookmarkEnd w:id="214"/>
      <w:bookmarkStart w:id="215" w:name="_Toc184312138"/>
      <w:bookmarkEnd w:id="215"/>
      <w:bookmarkStart w:id="216" w:name="_Toc184308061"/>
      <w:bookmarkEnd w:id="216"/>
      <w:bookmarkStart w:id="217" w:name="_Toc184312098"/>
      <w:bookmarkEnd w:id="217"/>
      <w:bookmarkStart w:id="218" w:name="_Toc184312137"/>
      <w:bookmarkEnd w:id="218"/>
      <w:bookmarkStart w:id="219" w:name="_Toc184308067"/>
      <w:bookmarkEnd w:id="219"/>
      <w:bookmarkStart w:id="220" w:name="_Toc184313281"/>
      <w:bookmarkEnd w:id="220"/>
      <w:bookmarkStart w:id="221" w:name="_Toc184310297"/>
      <w:bookmarkEnd w:id="221"/>
      <w:bookmarkStart w:id="222" w:name="_Toc184314411"/>
      <w:bookmarkEnd w:id="222"/>
      <w:bookmarkStart w:id="223" w:name="_Toc184310288"/>
      <w:bookmarkEnd w:id="223"/>
      <w:bookmarkStart w:id="224" w:name="_Toc184314417"/>
      <w:bookmarkEnd w:id="224"/>
      <w:bookmarkStart w:id="225" w:name="_Toc184308092"/>
      <w:bookmarkEnd w:id="225"/>
      <w:bookmarkStart w:id="226" w:name="_Toc184308062"/>
      <w:bookmarkEnd w:id="226"/>
      <w:bookmarkStart w:id="227" w:name="_Toc184313308"/>
      <w:bookmarkEnd w:id="227"/>
      <w:bookmarkStart w:id="228" w:name="_Toc184308107"/>
      <w:bookmarkEnd w:id="228"/>
      <w:bookmarkStart w:id="229" w:name="_Toc184314481"/>
      <w:bookmarkEnd w:id="229"/>
      <w:bookmarkStart w:id="230" w:name="_Toc184313285"/>
      <w:bookmarkEnd w:id="230"/>
      <w:bookmarkStart w:id="231" w:name="_Toc184310299"/>
      <w:bookmarkEnd w:id="231"/>
      <w:bookmarkStart w:id="232" w:name="_Toc184310311"/>
      <w:bookmarkEnd w:id="232"/>
      <w:bookmarkStart w:id="233" w:name="_Toc184314424"/>
      <w:bookmarkEnd w:id="233"/>
      <w:bookmarkStart w:id="234" w:name="_Toc184312091"/>
      <w:bookmarkEnd w:id="234"/>
      <w:bookmarkStart w:id="235" w:name="_Toc184313273"/>
      <w:bookmarkEnd w:id="235"/>
      <w:bookmarkStart w:id="236" w:name="_Toc184313289"/>
      <w:bookmarkEnd w:id="236"/>
      <w:bookmarkStart w:id="237" w:name="_Toc184308095"/>
      <w:bookmarkEnd w:id="237"/>
      <w:bookmarkStart w:id="238" w:name="_Toc184310285"/>
      <w:bookmarkEnd w:id="238"/>
      <w:bookmarkStart w:id="239" w:name="_Toc184313263"/>
      <w:bookmarkEnd w:id="239"/>
      <w:bookmarkStart w:id="240" w:name="_Toc184314472"/>
      <w:bookmarkEnd w:id="240"/>
      <w:bookmarkStart w:id="241" w:name="_Toc184314461"/>
      <w:bookmarkEnd w:id="241"/>
      <w:bookmarkStart w:id="242" w:name="_Toc184314474"/>
      <w:bookmarkEnd w:id="242"/>
      <w:bookmarkStart w:id="243" w:name="_Toc184313294"/>
      <w:bookmarkEnd w:id="243"/>
      <w:bookmarkStart w:id="244" w:name="_Toc184313268"/>
      <w:bookmarkEnd w:id="244"/>
      <w:bookmarkStart w:id="245" w:name="_Toc184313244"/>
      <w:bookmarkEnd w:id="245"/>
      <w:bookmarkStart w:id="246" w:name="_Toc184312093"/>
      <w:bookmarkEnd w:id="246"/>
      <w:bookmarkStart w:id="247" w:name="_Toc184310344"/>
      <w:bookmarkEnd w:id="247"/>
      <w:bookmarkStart w:id="248" w:name="_Toc184310319"/>
      <w:bookmarkEnd w:id="248"/>
      <w:bookmarkStart w:id="249" w:name="_Toc184310307"/>
      <w:bookmarkEnd w:id="249"/>
      <w:bookmarkStart w:id="250" w:name="_Toc184312079"/>
      <w:bookmarkEnd w:id="250"/>
      <w:bookmarkStart w:id="251" w:name="_Toc184310284"/>
      <w:bookmarkEnd w:id="251"/>
      <w:bookmarkStart w:id="252" w:name="_Toc184313265"/>
      <w:bookmarkEnd w:id="252"/>
      <w:bookmarkStart w:id="253" w:name="_Toc184314414"/>
      <w:bookmarkEnd w:id="253"/>
      <w:bookmarkStart w:id="254" w:name="_Toc184310340"/>
      <w:bookmarkEnd w:id="254"/>
      <w:bookmarkStart w:id="255" w:name="_Toc184314410"/>
      <w:bookmarkEnd w:id="255"/>
      <w:bookmarkStart w:id="256" w:name="_Toc184308087"/>
      <w:bookmarkEnd w:id="256"/>
      <w:bookmarkStart w:id="257" w:name="_Toc184313288"/>
      <w:bookmarkEnd w:id="257"/>
      <w:bookmarkStart w:id="258" w:name="_Toc184310280"/>
      <w:bookmarkEnd w:id="258"/>
      <w:bookmarkStart w:id="259" w:name="_Toc184313291"/>
      <w:bookmarkEnd w:id="259"/>
      <w:bookmarkStart w:id="260" w:name="_Toc184313276"/>
      <w:bookmarkEnd w:id="260"/>
      <w:bookmarkStart w:id="261" w:name="_Toc184308094"/>
      <w:bookmarkEnd w:id="261"/>
      <w:bookmarkStart w:id="262" w:name="_Toc184312088"/>
      <w:bookmarkEnd w:id="262"/>
      <w:bookmarkStart w:id="263" w:name="_Toc184308105"/>
      <w:bookmarkEnd w:id="263"/>
      <w:bookmarkStart w:id="264" w:name="_Toc184308078"/>
      <w:bookmarkEnd w:id="264"/>
      <w:bookmarkStart w:id="265" w:name="_Toc184310294"/>
      <w:bookmarkEnd w:id="265"/>
      <w:bookmarkStart w:id="266" w:name="_Toc184308045"/>
      <w:bookmarkEnd w:id="266"/>
      <w:bookmarkStart w:id="267" w:name="_Toc184308047"/>
      <w:bookmarkEnd w:id="267"/>
      <w:bookmarkStart w:id="268" w:name="_Toc184313274"/>
      <w:bookmarkEnd w:id="268"/>
      <w:bookmarkStart w:id="269" w:name="_Toc184308080"/>
      <w:bookmarkEnd w:id="269"/>
      <w:bookmarkStart w:id="270" w:name="_Toc184314437"/>
      <w:bookmarkEnd w:id="270"/>
      <w:bookmarkStart w:id="271" w:name="_Toc184308091"/>
      <w:bookmarkEnd w:id="271"/>
      <w:bookmarkStart w:id="272" w:name="_Toc184312111"/>
      <w:bookmarkEnd w:id="272"/>
      <w:bookmarkStart w:id="273" w:name="_Toc184308079"/>
      <w:bookmarkEnd w:id="273"/>
      <w:bookmarkStart w:id="274" w:name="_Toc184308099"/>
      <w:bookmarkEnd w:id="274"/>
      <w:bookmarkStart w:id="275" w:name="_Toc184314425"/>
      <w:bookmarkEnd w:id="275"/>
      <w:bookmarkStart w:id="276" w:name="_Toc184313301"/>
      <w:bookmarkEnd w:id="276"/>
      <w:bookmarkStart w:id="277" w:name="_Toc184313254"/>
      <w:bookmarkEnd w:id="277"/>
      <w:bookmarkStart w:id="278" w:name="_Toc184308069"/>
      <w:bookmarkEnd w:id="278"/>
      <w:bookmarkStart w:id="279" w:name="_Toc184310293"/>
      <w:bookmarkEnd w:id="279"/>
      <w:bookmarkStart w:id="280" w:name="_Toc184312086"/>
      <w:bookmarkEnd w:id="280"/>
      <w:bookmarkStart w:id="281" w:name="_Toc184313295"/>
      <w:bookmarkEnd w:id="281"/>
      <w:bookmarkStart w:id="282" w:name="_Toc184308108"/>
      <w:bookmarkEnd w:id="282"/>
      <w:bookmarkStart w:id="283" w:name="_Toc184308081"/>
      <w:bookmarkEnd w:id="283"/>
      <w:bookmarkStart w:id="284" w:name="_Toc184310308"/>
      <w:bookmarkEnd w:id="284"/>
      <w:bookmarkStart w:id="285" w:name="_Toc184310296"/>
      <w:bookmarkEnd w:id="285"/>
      <w:bookmarkStart w:id="286" w:name="_Toc184314450"/>
      <w:bookmarkEnd w:id="286"/>
      <w:bookmarkStart w:id="287" w:name="_Toc184312097"/>
      <w:bookmarkEnd w:id="287"/>
      <w:bookmarkStart w:id="288" w:name="_Toc184314473"/>
      <w:bookmarkEnd w:id="288"/>
      <w:bookmarkStart w:id="289" w:name="_Toc184310323"/>
      <w:bookmarkEnd w:id="289"/>
      <w:bookmarkStart w:id="290" w:name="_Toc184310283"/>
      <w:bookmarkEnd w:id="290"/>
      <w:bookmarkStart w:id="291" w:name="_Toc184313272"/>
      <w:bookmarkEnd w:id="291"/>
      <w:bookmarkStart w:id="292" w:name="_Toc184308082"/>
      <w:bookmarkEnd w:id="292"/>
      <w:bookmarkStart w:id="293" w:name="_Toc184314463"/>
      <w:bookmarkEnd w:id="293"/>
      <w:bookmarkStart w:id="294" w:name="_Toc184313267"/>
      <w:bookmarkEnd w:id="294"/>
      <w:bookmarkStart w:id="295" w:name="_Toc184313249"/>
      <w:bookmarkEnd w:id="295"/>
      <w:bookmarkStart w:id="296" w:name="_Toc184310329"/>
      <w:bookmarkEnd w:id="296"/>
      <w:bookmarkStart w:id="297" w:name="_Toc184310333"/>
      <w:bookmarkEnd w:id="297"/>
      <w:bookmarkStart w:id="298" w:name="_Toc184312081"/>
      <w:bookmarkEnd w:id="298"/>
      <w:bookmarkStart w:id="299" w:name="_Toc184314422"/>
      <w:bookmarkEnd w:id="299"/>
      <w:bookmarkStart w:id="300" w:name="_Toc184314446"/>
      <w:bookmarkEnd w:id="300"/>
      <w:bookmarkStart w:id="301" w:name="_Toc184308040"/>
      <w:bookmarkEnd w:id="301"/>
      <w:bookmarkStart w:id="302" w:name="_Toc184310303"/>
      <w:bookmarkEnd w:id="302"/>
      <w:bookmarkStart w:id="303" w:name="_Toc184312122"/>
      <w:bookmarkEnd w:id="303"/>
      <w:bookmarkStart w:id="304" w:name="_Toc184308060"/>
      <w:bookmarkEnd w:id="304"/>
      <w:bookmarkStart w:id="305" w:name="_Toc184310301"/>
      <w:bookmarkEnd w:id="305"/>
      <w:bookmarkStart w:id="306" w:name="_Toc184313241"/>
      <w:bookmarkEnd w:id="306"/>
      <w:bookmarkStart w:id="307" w:name="_Toc184308075"/>
      <w:bookmarkEnd w:id="307"/>
      <w:bookmarkStart w:id="308" w:name="_Toc184313239"/>
      <w:bookmarkEnd w:id="308"/>
      <w:bookmarkStart w:id="309" w:name="_Toc184310302"/>
      <w:bookmarkEnd w:id="309"/>
      <w:bookmarkStart w:id="310" w:name="_Toc184312105"/>
      <w:bookmarkEnd w:id="310"/>
      <w:bookmarkStart w:id="311" w:name="_Toc184313261"/>
      <w:bookmarkEnd w:id="311"/>
      <w:bookmarkStart w:id="312" w:name="_Toc184312135"/>
      <w:bookmarkEnd w:id="312"/>
      <w:bookmarkStart w:id="313" w:name="_Toc184313302"/>
      <w:bookmarkEnd w:id="313"/>
      <w:bookmarkStart w:id="314" w:name="_Toc184314475"/>
      <w:bookmarkEnd w:id="314"/>
      <w:bookmarkStart w:id="315" w:name="_Toc184313303"/>
      <w:bookmarkEnd w:id="315"/>
      <w:bookmarkStart w:id="316" w:name="_Toc184308048"/>
      <w:bookmarkEnd w:id="316"/>
      <w:bookmarkStart w:id="317" w:name="_Toc184308041"/>
      <w:bookmarkEnd w:id="317"/>
      <w:bookmarkStart w:id="318" w:name="_Toc184308100"/>
      <w:bookmarkEnd w:id="318"/>
      <w:bookmarkStart w:id="319" w:name="_Toc184312100"/>
      <w:bookmarkEnd w:id="319"/>
      <w:bookmarkStart w:id="320" w:name="_Toc184310334"/>
      <w:bookmarkEnd w:id="320"/>
      <w:bookmarkStart w:id="321" w:name="_Toc184310312"/>
      <w:bookmarkEnd w:id="321"/>
      <w:bookmarkStart w:id="322" w:name="_Toc184313307"/>
      <w:bookmarkEnd w:id="322"/>
      <w:bookmarkStart w:id="323" w:name="_Toc184313240"/>
      <w:bookmarkEnd w:id="323"/>
      <w:bookmarkStart w:id="324" w:name="_Toc184312114"/>
      <w:bookmarkEnd w:id="324"/>
      <w:bookmarkStart w:id="325" w:name="_Toc184312072"/>
      <w:bookmarkEnd w:id="325"/>
      <w:bookmarkStart w:id="326" w:name="_Toc184308042"/>
      <w:bookmarkEnd w:id="326"/>
      <w:bookmarkStart w:id="327" w:name="_Toc184312106"/>
      <w:bookmarkEnd w:id="327"/>
      <w:bookmarkStart w:id="328" w:name="_Toc184314430"/>
      <w:bookmarkEnd w:id="328"/>
      <w:bookmarkStart w:id="329" w:name="_Toc184314435"/>
      <w:bookmarkEnd w:id="329"/>
      <w:bookmarkStart w:id="330" w:name="_Toc184312075"/>
      <w:bookmarkEnd w:id="330"/>
      <w:bookmarkStart w:id="331" w:name="_Toc184312069"/>
      <w:bookmarkEnd w:id="331"/>
      <w:bookmarkStart w:id="332" w:name="_Toc184314462"/>
      <w:bookmarkEnd w:id="332"/>
      <w:bookmarkStart w:id="333" w:name="_Toc184314451"/>
      <w:bookmarkEnd w:id="333"/>
      <w:bookmarkStart w:id="334" w:name="_Toc184312101"/>
      <w:bookmarkEnd w:id="334"/>
      <w:bookmarkStart w:id="335" w:name="_Toc184308038"/>
      <w:bookmarkEnd w:id="335"/>
      <w:bookmarkStart w:id="336" w:name="_Toc184308063"/>
      <w:bookmarkEnd w:id="336"/>
      <w:bookmarkStart w:id="337" w:name="_Toc184313269"/>
      <w:bookmarkEnd w:id="337"/>
      <w:bookmarkStart w:id="338" w:name="_Toc184313293"/>
      <w:bookmarkEnd w:id="338"/>
      <w:bookmarkStart w:id="339" w:name="_Toc184314445"/>
      <w:bookmarkEnd w:id="339"/>
      <w:bookmarkStart w:id="340" w:name="_Toc184313282"/>
      <w:bookmarkEnd w:id="340"/>
      <w:bookmarkStart w:id="341" w:name="_Toc184308056"/>
      <w:bookmarkEnd w:id="341"/>
      <w:bookmarkStart w:id="342" w:name="_Toc184313270"/>
      <w:bookmarkEnd w:id="342"/>
      <w:bookmarkStart w:id="343" w:name="_Toc184308046"/>
      <w:bookmarkEnd w:id="343"/>
      <w:bookmarkStart w:id="344" w:name="_Toc184313262"/>
      <w:bookmarkEnd w:id="344"/>
      <w:bookmarkStart w:id="345" w:name="_Toc184313253"/>
      <w:bookmarkEnd w:id="345"/>
      <w:bookmarkStart w:id="346" w:name="_Toc184308106"/>
      <w:bookmarkEnd w:id="346"/>
      <w:bookmarkStart w:id="347" w:name="_Toc184313298"/>
      <w:bookmarkEnd w:id="347"/>
      <w:bookmarkStart w:id="348" w:name="_Toc184310342"/>
      <w:bookmarkEnd w:id="348"/>
      <w:bookmarkStart w:id="349" w:name="_Toc184314444"/>
      <w:bookmarkEnd w:id="349"/>
      <w:bookmarkStart w:id="350" w:name="_Toc184314482"/>
      <w:bookmarkEnd w:id="350"/>
      <w:bookmarkStart w:id="351" w:name="_Toc184313238"/>
      <w:bookmarkEnd w:id="351"/>
      <w:bookmarkStart w:id="352" w:name="_Toc184314429"/>
      <w:bookmarkEnd w:id="352"/>
      <w:bookmarkStart w:id="353" w:name="_Toc184314431"/>
      <w:bookmarkEnd w:id="353"/>
      <w:bookmarkStart w:id="354" w:name="_Toc184308097"/>
      <w:bookmarkEnd w:id="354"/>
      <w:bookmarkStart w:id="355" w:name="_Toc184312121"/>
      <w:bookmarkEnd w:id="355"/>
      <w:bookmarkStart w:id="356" w:name="_Toc184314418"/>
      <w:bookmarkEnd w:id="356"/>
      <w:bookmarkStart w:id="357" w:name="_Toc184313284"/>
      <w:bookmarkEnd w:id="357"/>
      <w:bookmarkStart w:id="358" w:name="_Toc184312096"/>
      <w:bookmarkEnd w:id="358"/>
      <w:bookmarkStart w:id="359" w:name="_Toc184314434"/>
      <w:bookmarkEnd w:id="359"/>
      <w:bookmarkStart w:id="360" w:name="_Toc184312070"/>
      <w:bookmarkEnd w:id="360"/>
      <w:bookmarkStart w:id="361" w:name="_Toc184313280"/>
      <w:bookmarkEnd w:id="361"/>
      <w:bookmarkStart w:id="362" w:name="_Toc184314477"/>
      <w:bookmarkEnd w:id="362"/>
      <w:bookmarkStart w:id="363" w:name="_Toc184313257"/>
      <w:bookmarkEnd w:id="363"/>
      <w:bookmarkStart w:id="364" w:name="_Toc184313283"/>
      <w:bookmarkEnd w:id="364"/>
      <w:bookmarkStart w:id="365" w:name="_Toc184312083"/>
      <w:bookmarkEnd w:id="365"/>
      <w:bookmarkStart w:id="366" w:name="_Toc184310306"/>
      <w:bookmarkEnd w:id="366"/>
      <w:bookmarkStart w:id="367" w:name="_Toc184312109"/>
      <w:bookmarkEnd w:id="367"/>
      <w:bookmarkStart w:id="368" w:name="_Toc184313271"/>
      <w:bookmarkEnd w:id="368"/>
      <w:bookmarkStart w:id="369" w:name="_Toc184314419"/>
      <w:bookmarkEnd w:id="369"/>
      <w:bookmarkStart w:id="370" w:name="_Toc184310336"/>
      <w:bookmarkEnd w:id="370"/>
      <w:bookmarkStart w:id="371" w:name="_Toc184313242"/>
      <w:bookmarkEnd w:id="371"/>
      <w:bookmarkStart w:id="372" w:name="_Toc184310339"/>
      <w:bookmarkEnd w:id="372"/>
      <w:bookmarkStart w:id="373" w:name="_Toc184313252"/>
      <w:bookmarkEnd w:id="373"/>
      <w:bookmarkStart w:id="374" w:name="_Toc184310275"/>
      <w:bookmarkEnd w:id="374"/>
      <w:bookmarkStart w:id="375" w:name="_Toc184313258"/>
      <w:bookmarkEnd w:id="375"/>
      <w:bookmarkStart w:id="376" w:name="_Toc184312071"/>
      <w:bookmarkEnd w:id="376"/>
      <w:bookmarkStart w:id="377" w:name="_Toc184310279"/>
      <w:bookmarkEnd w:id="377"/>
      <w:bookmarkStart w:id="378" w:name="_Toc184313248"/>
      <w:bookmarkEnd w:id="378"/>
      <w:bookmarkStart w:id="379" w:name="_Toc184314467"/>
      <w:bookmarkEnd w:id="379"/>
      <w:bookmarkStart w:id="380" w:name="_Toc184310337"/>
      <w:bookmarkEnd w:id="380"/>
      <w:bookmarkStart w:id="381" w:name="_Toc184313250"/>
      <w:bookmarkEnd w:id="381"/>
      <w:bookmarkStart w:id="382" w:name="_Toc184310282"/>
      <w:bookmarkEnd w:id="382"/>
      <w:bookmarkStart w:id="383" w:name="_Toc184312095"/>
      <w:bookmarkEnd w:id="383"/>
      <w:bookmarkStart w:id="384" w:name="_Toc184314416"/>
      <w:bookmarkEnd w:id="384"/>
      <w:bookmarkStart w:id="385" w:name="_Toc184314442"/>
      <w:bookmarkEnd w:id="385"/>
      <w:bookmarkStart w:id="386" w:name="_Toc184310300"/>
      <w:bookmarkEnd w:id="386"/>
      <w:bookmarkStart w:id="387" w:name="_Toc184312115"/>
      <w:bookmarkEnd w:id="387"/>
      <w:bookmarkStart w:id="388" w:name="_Toc184312090"/>
      <w:bookmarkEnd w:id="388"/>
      <w:bookmarkStart w:id="389" w:name="_Toc184314440"/>
      <w:bookmarkEnd w:id="389"/>
      <w:bookmarkStart w:id="390" w:name="_Toc184308071"/>
      <w:bookmarkEnd w:id="390"/>
      <w:bookmarkStart w:id="391" w:name="_Toc184310313"/>
      <w:bookmarkEnd w:id="391"/>
      <w:bookmarkStart w:id="392" w:name="_Toc184310272"/>
      <w:bookmarkEnd w:id="392"/>
      <w:bookmarkStart w:id="393" w:name="_Toc184314428"/>
      <w:bookmarkEnd w:id="393"/>
      <w:bookmarkStart w:id="394" w:name="_Toc184312129"/>
      <w:bookmarkEnd w:id="394"/>
      <w:bookmarkStart w:id="395" w:name="_Toc184314470"/>
      <w:bookmarkEnd w:id="395"/>
      <w:bookmarkStart w:id="396" w:name="_Toc184310304"/>
      <w:bookmarkEnd w:id="396"/>
      <w:r>
        <w:rPr>
          <w:rFonts w:hint="eastAsia" w:ascii="宋体" w:hAnsi="宋体" w:cs="宋体"/>
          <w:b/>
          <w:sz w:val="36"/>
          <w:szCs w:val="36"/>
        </w:rPr>
        <w:t>评标办法</w:t>
      </w: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856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882"/>
        <w:gridCol w:w="81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882" w:type="dxa"/>
            <w:tcBorders>
              <w:tl2br w:val="nil"/>
              <w:tr2bl w:val="nil"/>
            </w:tcBorders>
            <w:noWrap w:val="0"/>
            <w:vAlign w:val="center"/>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15" w:type="dxa"/>
            <w:tcBorders>
              <w:tl2br w:val="nil"/>
              <w:tr2bl w:val="nil"/>
            </w:tcBorders>
            <w:noWrap w:val="0"/>
            <w:vAlign w:val="center"/>
          </w:tcPr>
          <w:p>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125" w:type="dxa"/>
            <w:tcBorders>
              <w:tl2br w:val="nil"/>
              <w:tr2bl w:val="nil"/>
            </w:tcBorders>
            <w:noWrap w:val="0"/>
            <w:vAlign w:val="center"/>
          </w:tcPr>
          <w:p>
            <w:pPr>
              <w:widowControl w:val="0"/>
              <w:wordWrap/>
              <w:adjustRightInd w:val="0"/>
              <w:snapToGrid w:val="0"/>
              <w:spacing w:line="240" w:lineRule="auto"/>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服务方案：根据投标人所提供的服务方案（包括但不限于①本项目的理解及核心目标、②总体施工部署、③施工时间进度及运输计划安排、④实施方案和服务承诺、⑤工期供货措施、⑥现场安装管理计划），</w:t>
            </w:r>
            <w:r>
              <w:rPr>
                <w:rFonts w:hint="eastAsia" w:ascii="宋体" w:hAnsi="宋体" w:cs="宋体"/>
                <w:b w:val="0"/>
                <w:bCs w:val="0"/>
                <w:color w:val="auto"/>
                <w:sz w:val="24"/>
                <w:highlight w:val="none"/>
              </w:rPr>
              <w:t>完全符合得</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w:t>
            </w:r>
          </w:p>
        </w:tc>
        <w:tc>
          <w:tcPr>
            <w:tcW w:w="112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工艺流程及检验计划：根据投标人所提供的工艺流程及检验计划（包括但不限于①工艺流程、②出厂检验程序、③检验试验计划安排），</w:t>
            </w:r>
            <w:r>
              <w:rPr>
                <w:rFonts w:hint="eastAsia" w:ascii="宋体" w:hAnsi="宋体" w:cs="宋体"/>
                <w:b w:val="0"/>
                <w:bCs w:val="0"/>
                <w:color w:val="auto"/>
                <w:sz w:val="24"/>
                <w:highlight w:val="none"/>
              </w:rPr>
              <w:t>完全符合得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112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安装调试方案：根据投标人提供的有明确描述的安装调试方案（包括但不限于①设备及前期准备、②设备安装调试人员、③设备安装详细方案、④调试试运行方案），</w:t>
            </w:r>
            <w:r>
              <w:rPr>
                <w:rFonts w:hint="eastAsia" w:ascii="宋体" w:hAnsi="宋体" w:cs="宋体"/>
                <w:b w:val="0"/>
                <w:bCs w:val="0"/>
                <w:color w:val="auto"/>
                <w:sz w:val="24"/>
                <w:highlight w:val="none"/>
              </w:rPr>
              <w:t>完全符合得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112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质量保障：根据投标人针对本项目提供的质量保障方案（包括但不限于①产品质量保障措施、②服务质量管控、③人员管理措施、④应急事件处理方案），</w:t>
            </w:r>
            <w:r>
              <w:rPr>
                <w:rFonts w:hint="eastAsia" w:ascii="宋体" w:hAnsi="宋体" w:cs="宋体"/>
                <w:b w:val="0"/>
                <w:bCs w:val="0"/>
                <w:color w:val="auto"/>
                <w:sz w:val="24"/>
                <w:highlight w:val="none"/>
              </w:rPr>
              <w:t>完全符合得</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w:t>
            </w:r>
          </w:p>
        </w:tc>
        <w:tc>
          <w:tcPr>
            <w:tcW w:w="112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pPr>
              <w:keepNext w:val="0"/>
              <w:keepLines w:val="0"/>
              <w:widowControl/>
              <w:suppressLineNumbers w:val="0"/>
              <w:jc w:val="left"/>
              <w:textAlignment w:val="center"/>
              <w:rPr>
                <w:rFonts w:hint="eastAsia" w:ascii="宋体" w:hAnsi="宋体" w:cs="宋体"/>
                <w:color w:val="auto"/>
                <w:sz w:val="24"/>
                <w:szCs w:val="24"/>
                <w:highlight w:val="none"/>
                <w:lang w:val="zh-CN" w:eastAsia="zh-CN"/>
              </w:rPr>
            </w:pPr>
            <w:r>
              <w:rPr>
                <w:rFonts w:hint="eastAsia" w:ascii="宋体" w:hAnsi="宋体" w:eastAsia="宋体" w:cs="宋体"/>
                <w:i w:val="0"/>
                <w:iCs w:val="0"/>
                <w:color w:val="auto"/>
                <w:kern w:val="0"/>
                <w:sz w:val="24"/>
                <w:szCs w:val="24"/>
                <w:highlight w:val="none"/>
                <w:u w:val="none"/>
                <w:lang w:val="en-US" w:eastAsia="zh-CN" w:bidi="ar"/>
              </w:rPr>
              <w:t>安全保障：根据投标人提供的安全保障方案进行横向比较是否具有明确可行的安全文明保证措施，是否有详细可行的实施计划安排等，</w:t>
            </w:r>
            <w:r>
              <w:rPr>
                <w:rFonts w:hint="eastAsia" w:ascii="宋体" w:hAnsi="宋体" w:cs="宋体"/>
                <w:b w:val="0"/>
                <w:bCs w:val="0"/>
                <w:color w:val="auto"/>
                <w:sz w:val="24"/>
                <w:highlight w:val="none"/>
              </w:rPr>
              <w:t>完全符合得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112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38" w:type="dxa"/>
            <w:tcBorders>
              <w:tl2br w:val="nil"/>
              <w:tr2bl w:val="nil"/>
            </w:tcBorders>
            <w:noWrap w:val="0"/>
            <w:vAlign w:val="center"/>
          </w:tcPr>
          <w:p>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性能保证：根据投标人提供的投标产品或材料的适用性、结构安全稳定性保证及说明进行打分，</w:t>
            </w:r>
            <w:r>
              <w:rPr>
                <w:rFonts w:hint="eastAsia" w:ascii="宋体" w:hAnsi="宋体" w:cs="宋体"/>
                <w:b w:val="0"/>
                <w:bCs w:val="0"/>
                <w:color w:val="auto"/>
                <w:sz w:val="24"/>
                <w:highlight w:val="none"/>
              </w:rPr>
              <w:t>完全符合得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112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top"/>
          </w:tcPr>
          <w:p>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对投入本项目的人员情况:投标人拟派本项目负责人1名，设计人员1名，安装施工人员不少于2名，售后服务人员不少于2名的得12分，每少1人扣2分，扣完为止；</w:t>
            </w:r>
          </w:p>
          <w:p>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rPr>
              <w:t>投标文件中提供</w:t>
            </w:r>
            <w:r>
              <w:rPr>
                <w:rFonts w:hint="eastAsia" w:ascii="宋体" w:hAnsi="宋体" w:eastAsia="宋体" w:cs="宋体"/>
                <w:b/>
                <w:bCs/>
                <w:color w:val="auto"/>
                <w:sz w:val="24"/>
                <w:szCs w:val="24"/>
                <w:highlight w:val="none"/>
                <w:lang w:eastAsia="zh-CN"/>
              </w:rPr>
              <w:t>人员名单及以上人员在投标人单位近</w:t>
            </w:r>
            <w:r>
              <w:rPr>
                <w:rFonts w:hint="eastAsia" w:ascii="宋体" w:hAnsi="宋体" w:eastAsia="宋体" w:cs="宋体"/>
                <w:b/>
                <w:bCs/>
                <w:color w:val="auto"/>
                <w:sz w:val="24"/>
                <w:szCs w:val="24"/>
                <w:highlight w:val="none"/>
                <w:lang w:val="en-US" w:eastAsia="zh-CN"/>
              </w:rPr>
              <w:t>1个月的社保缴纳证明复印件</w:t>
            </w:r>
            <w:r>
              <w:rPr>
                <w:rFonts w:hint="eastAsia" w:ascii="宋体" w:hAnsi="宋体" w:eastAsia="宋体" w:cs="宋体"/>
                <w:b/>
                <w:bCs/>
                <w:color w:val="auto"/>
                <w:sz w:val="24"/>
                <w:szCs w:val="24"/>
                <w:highlight w:val="none"/>
                <w:lang w:val="zh-CN"/>
              </w:rPr>
              <w:t>并加盖投标人公章</w:t>
            </w:r>
            <w:r>
              <w:rPr>
                <w:rFonts w:hint="eastAsia" w:ascii="宋体" w:hAnsi="宋体" w:eastAsia="宋体" w:cs="宋体"/>
                <w:b/>
                <w:bCs/>
                <w:color w:val="auto"/>
                <w:sz w:val="24"/>
                <w:szCs w:val="24"/>
                <w:highlight w:val="none"/>
                <w:lang w:eastAsia="zh-CN"/>
              </w:rPr>
              <w:t>；</w:t>
            </w:r>
          </w:p>
        </w:tc>
        <w:tc>
          <w:tcPr>
            <w:tcW w:w="815" w:type="dxa"/>
            <w:tcBorders>
              <w:tl2br w:val="nil"/>
              <w:tr2bl w:val="nil"/>
            </w:tcBorders>
            <w:noWrap w:val="0"/>
            <w:vAlign w:val="center"/>
          </w:tcPr>
          <w:p>
            <w:pPr>
              <w:widowControl w:val="0"/>
              <w:wordWrap/>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12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top"/>
          </w:tcPr>
          <w:p>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售后服务方案：根据各投标人提供的售后服务方案（包括但不限于①售后服务承诺及措施、②服务响应时间及方式、③保修期后的维修方案、④质保期内的维保承诺），</w:t>
            </w:r>
            <w:r>
              <w:rPr>
                <w:rFonts w:hint="eastAsia" w:ascii="宋体" w:hAnsi="宋体" w:cs="宋体"/>
                <w:b w:val="0"/>
                <w:bCs w:val="0"/>
                <w:color w:val="auto"/>
                <w:sz w:val="24"/>
                <w:highlight w:val="none"/>
              </w:rPr>
              <w:t>完全符合得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pPr>
              <w:widowControl w:val="0"/>
              <w:wordWrap/>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2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lang w:val="en-US" w:eastAsia="zh-CN"/>
              </w:rPr>
            </w:pPr>
          </w:p>
        </w:tc>
        <w:tc>
          <w:tcPr>
            <w:tcW w:w="5882" w:type="dxa"/>
            <w:tcBorders>
              <w:tl2br w:val="nil"/>
              <w:tr2bl w:val="nil"/>
            </w:tcBorders>
            <w:noWrap w:val="0"/>
            <w:vAlign w:val="center"/>
          </w:tcPr>
          <w:p>
            <w:pPr>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企业证书：投标人或所投产品生产厂家具有质量管理体系认证证书得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eastAsia="zh-CN"/>
              </w:rPr>
              <w:t>分；投标人具有环境管理体系认证证书得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eastAsia="zh-CN"/>
              </w:rPr>
              <w:t>分；投标人具有职业健康安全体系认证证书得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eastAsia="zh-CN"/>
              </w:rPr>
              <w:t>分；没有的不得分；证书应在有效期内；</w:t>
            </w:r>
          </w:p>
          <w:p>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4"/>
                <w:highlight w:val="none"/>
                <w:lang w:val="en-US" w:eastAsia="zh-CN"/>
              </w:rPr>
            </w:pPr>
            <w:r>
              <w:rPr>
                <w:rFonts w:hint="eastAsia" w:ascii="宋体" w:hAnsi="宋体"/>
                <w:b/>
                <w:bCs/>
                <w:color w:val="auto"/>
                <w:sz w:val="24"/>
                <w:szCs w:val="24"/>
                <w:highlight w:val="none"/>
                <w:lang w:val="en-US" w:eastAsia="zh-CN"/>
              </w:rPr>
              <w:t>投标文件中同时</w:t>
            </w:r>
            <w:r>
              <w:rPr>
                <w:rFonts w:hint="eastAsia" w:ascii="宋体" w:hAnsi="宋体" w:eastAsia="宋体" w:cs="宋体"/>
                <w:b/>
                <w:bCs/>
                <w:color w:val="auto"/>
                <w:sz w:val="24"/>
                <w:szCs w:val="24"/>
                <w:highlight w:val="none"/>
              </w:rPr>
              <w:t>提供证书复印件并加盖单位公章及全国认证认可信息公共服务平台（http://cx.cnca.cn/CertECloud/index/index/page）</w:t>
            </w:r>
            <w:r>
              <w:rPr>
                <w:rFonts w:hint="eastAsia" w:ascii="宋体" w:hAnsi="宋体"/>
                <w:b/>
                <w:bCs/>
                <w:color w:val="auto"/>
                <w:sz w:val="24"/>
                <w:szCs w:val="24"/>
                <w:highlight w:val="none"/>
                <w:lang w:val="en-US" w:eastAsia="zh-CN"/>
              </w:rPr>
              <w:t>的查询结果截图复制件加盖公章</w:t>
            </w:r>
            <w:r>
              <w:rPr>
                <w:rFonts w:hint="eastAsia" w:ascii="宋体" w:hAnsi="宋体" w:eastAsia="宋体" w:cs="宋体"/>
                <w:b/>
                <w:bCs/>
                <w:color w:val="auto"/>
                <w:sz w:val="24"/>
                <w:szCs w:val="24"/>
                <w:highlight w:val="none"/>
                <w:lang w:val="en-US" w:eastAsia="zh-CN"/>
              </w:rPr>
              <w:t>。</w:t>
            </w:r>
          </w:p>
        </w:tc>
        <w:tc>
          <w:tcPr>
            <w:tcW w:w="815" w:type="dxa"/>
            <w:tcBorders>
              <w:tl2br w:val="nil"/>
              <w:tr2bl w:val="nil"/>
            </w:tcBorders>
            <w:noWrap w:val="0"/>
            <w:vAlign w:val="center"/>
          </w:tcPr>
          <w:p>
            <w:pPr>
              <w:bidi w:val="0"/>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125" w:type="dxa"/>
            <w:tcBorders>
              <w:tl2br w:val="nil"/>
              <w:tr2bl w:val="nil"/>
            </w:tcBorders>
            <w:noWrap w:val="0"/>
            <w:vAlign w:val="center"/>
          </w:tcPr>
          <w:p>
            <w:pPr>
              <w:widowControl w:val="0"/>
              <w:wordWrap/>
              <w:adjustRightInd w:val="0"/>
              <w:snapToGrid w:val="0"/>
              <w:spacing w:line="240" w:lineRule="auto"/>
              <w:jc w:val="center"/>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lang w:val="en-US" w:eastAsia="zh-CN"/>
              </w:rPr>
            </w:pPr>
          </w:p>
        </w:tc>
        <w:tc>
          <w:tcPr>
            <w:tcW w:w="5882" w:type="dxa"/>
            <w:tcBorders>
              <w:tl2br w:val="nil"/>
              <w:tr2bl w:val="nil"/>
            </w:tcBorders>
            <w:noWrap w:val="0"/>
            <w:vAlign w:val="center"/>
          </w:tcPr>
          <w:p>
            <w:pPr>
              <w:pStyle w:val="61"/>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ascii="宋体" w:hAnsi="宋体" w:cs="宋体"/>
                <w:color w:val="auto"/>
                <w:sz w:val="24"/>
                <w:highlight w:val="none"/>
              </w:rPr>
            </w:pPr>
            <w:r>
              <w:rPr>
                <w:rFonts w:hint="eastAsia" w:ascii="宋体" w:hAnsi="宋体" w:eastAsia="宋体" w:cs="宋体"/>
                <w:b w:val="0"/>
                <w:bCs w:val="0"/>
                <w:color w:val="auto"/>
                <w:kern w:val="2"/>
                <w:sz w:val="24"/>
                <w:szCs w:val="24"/>
                <w:highlight w:val="none"/>
                <w:lang w:val="zh-TW" w:eastAsia="zh-CN" w:bidi="ar-SA"/>
              </w:rPr>
              <w:t>类似项目实施业绩一览表：</w:t>
            </w:r>
            <w:r>
              <w:rPr>
                <w:rFonts w:hint="eastAsia"/>
                <w:color w:val="auto"/>
                <w:sz w:val="24"/>
                <w:highlight w:val="none"/>
              </w:rPr>
              <w:t>投标人</w:t>
            </w:r>
            <w:r>
              <w:rPr>
                <w:rFonts w:hint="eastAsia"/>
                <w:color w:val="auto"/>
                <w:sz w:val="24"/>
                <w:highlight w:val="none"/>
                <w:lang w:eastAsia="zh-CN"/>
              </w:rPr>
              <w:t>自</w:t>
            </w:r>
            <w:r>
              <w:rPr>
                <w:rFonts w:hint="eastAsia" w:ascii="宋体" w:hAnsi="宋体" w:eastAsia="宋体" w:cs="宋体"/>
                <w:b w:val="0"/>
                <w:bCs w:val="0"/>
                <w:color w:val="auto"/>
                <w:kern w:val="2"/>
                <w:sz w:val="24"/>
                <w:szCs w:val="24"/>
                <w:highlight w:val="none"/>
                <w:lang w:val="zh-TW" w:eastAsia="zh-CN" w:bidi="ar-SA"/>
              </w:rPr>
              <w:t>20</w:t>
            </w:r>
            <w:r>
              <w:rPr>
                <w:rFonts w:hint="eastAsia" w:hAnsi="宋体" w:cs="宋体"/>
                <w:b w:val="0"/>
                <w:bCs w:val="0"/>
                <w:color w:val="auto"/>
                <w:kern w:val="2"/>
                <w:sz w:val="24"/>
                <w:szCs w:val="24"/>
                <w:highlight w:val="none"/>
                <w:lang w:val="en-US" w:eastAsia="zh-CN" w:bidi="ar-SA"/>
              </w:rPr>
              <w:t>21</w:t>
            </w:r>
            <w:r>
              <w:rPr>
                <w:rFonts w:hint="eastAsia" w:ascii="宋体" w:hAnsi="宋体" w:eastAsia="宋体" w:cs="宋体"/>
                <w:b w:val="0"/>
                <w:bCs w:val="0"/>
                <w:color w:val="auto"/>
                <w:kern w:val="2"/>
                <w:sz w:val="24"/>
                <w:szCs w:val="24"/>
                <w:highlight w:val="none"/>
                <w:lang w:val="zh-TW" w:eastAsia="zh-CN" w:bidi="ar-SA"/>
              </w:rPr>
              <w:t>年1月1日（</w:t>
            </w:r>
            <w:r>
              <w:rPr>
                <w:rFonts w:hint="eastAsia" w:hAnsi="宋体" w:cs="宋体"/>
                <w:b w:val="0"/>
                <w:bCs w:val="0"/>
                <w:color w:val="auto"/>
                <w:kern w:val="2"/>
                <w:sz w:val="24"/>
                <w:szCs w:val="24"/>
                <w:highlight w:val="none"/>
                <w:lang w:val="zh-TW" w:eastAsia="zh-CN" w:bidi="ar-SA"/>
              </w:rPr>
              <w:t>时间</w:t>
            </w:r>
            <w:r>
              <w:rPr>
                <w:rFonts w:hint="eastAsia" w:ascii="宋体" w:hAnsi="宋体" w:eastAsia="宋体" w:cs="宋体"/>
                <w:b w:val="0"/>
                <w:bCs w:val="0"/>
                <w:color w:val="auto"/>
                <w:kern w:val="2"/>
                <w:sz w:val="24"/>
                <w:szCs w:val="24"/>
                <w:highlight w:val="none"/>
                <w:lang w:val="zh-TW" w:eastAsia="zh-CN" w:bidi="ar-SA"/>
              </w:rPr>
              <w:t>以合同签订日期为准）</w:t>
            </w:r>
            <w:r>
              <w:rPr>
                <w:rFonts w:hint="eastAsia" w:ascii="宋体" w:hAnsi="宋体" w:eastAsia="宋体" w:cs="宋体"/>
                <w:color w:val="auto"/>
                <w:sz w:val="24"/>
                <w:highlight w:val="none"/>
              </w:rPr>
              <w:t>承担过</w:t>
            </w:r>
            <w:r>
              <w:rPr>
                <w:rFonts w:hint="eastAsia" w:hAnsi="宋体" w:cs="宋体"/>
                <w:color w:val="auto"/>
                <w:sz w:val="24"/>
                <w:highlight w:val="none"/>
                <w:lang w:eastAsia="zh-CN"/>
              </w:rPr>
              <w:t>类似</w:t>
            </w:r>
            <w:r>
              <w:rPr>
                <w:rFonts w:hint="eastAsia" w:ascii="宋体" w:hAnsi="宋体" w:eastAsia="宋体" w:cs="宋体"/>
                <w:color w:val="auto"/>
                <w:sz w:val="24"/>
                <w:highlight w:val="none"/>
              </w:rPr>
              <w:t>项目成功案例</w:t>
            </w:r>
            <w:r>
              <w:rPr>
                <w:rFonts w:hint="eastAsia" w:ascii="宋体" w:hAnsi="宋体" w:eastAsia="宋体" w:cs="宋体"/>
                <w:b w:val="0"/>
                <w:bCs w:val="0"/>
                <w:color w:val="auto"/>
                <w:kern w:val="2"/>
                <w:sz w:val="24"/>
                <w:szCs w:val="24"/>
                <w:highlight w:val="none"/>
                <w:lang w:val="zh-TW" w:eastAsia="zh-CN" w:bidi="ar-SA"/>
              </w:rPr>
              <w:t>，每提供一个得</w:t>
            </w: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zh-TW" w:eastAsia="zh-CN" w:bidi="ar-SA"/>
              </w:rPr>
              <w:t>分，最多得3分，不提供的不得分</w:t>
            </w:r>
            <w:r>
              <w:rPr>
                <w:rFonts w:hint="eastAsia" w:ascii="宋体" w:hAnsi="宋体" w:cs="宋体"/>
                <w:color w:val="auto"/>
                <w:sz w:val="24"/>
                <w:highlight w:val="none"/>
              </w:rPr>
              <w:t>；</w:t>
            </w:r>
          </w:p>
          <w:p>
            <w:pPr>
              <w:pStyle w:val="61"/>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pacing w:val="2"/>
                <w:sz w:val="24"/>
                <w:szCs w:val="24"/>
                <w:highlight w:val="none"/>
                <w:lang w:val="en-US" w:eastAsia="zh-CN" w:bidi="ar-SA"/>
              </w:rPr>
            </w:pPr>
            <w:r>
              <w:rPr>
                <w:rFonts w:hint="eastAsia" w:ascii="宋体" w:hAnsi="宋体" w:cs="宋体"/>
                <w:b/>
                <w:bCs/>
                <w:color w:val="auto"/>
                <w:sz w:val="24"/>
                <w:highlight w:val="none"/>
              </w:rPr>
              <w:t>投标文件中提供</w:t>
            </w:r>
            <w:r>
              <w:rPr>
                <w:rFonts w:hint="eastAsia" w:hAnsi="宋体" w:cs="宋体"/>
                <w:b/>
                <w:bCs/>
                <w:color w:val="auto"/>
                <w:sz w:val="24"/>
                <w:highlight w:val="none"/>
                <w:lang w:eastAsia="zh-CN"/>
              </w:rPr>
              <w:t>合同复印件（合同中需明确采购人联系人、联系电话）</w:t>
            </w:r>
            <w:r>
              <w:rPr>
                <w:rFonts w:hint="eastAsia" w:ascii="宋体" w:hAnsi="宋体" w:cs="宋体"/>
                <w:b/>
                <w:bCs/>
                <w:color w:val="auto"/>
                <w:sz w:val="24"/>
                <w:highlight w:val="none"/>
                <w:lang w:val="zh-CN"/>
              </w:rPr>
              <w:t>加盖投标人公章</w:t>
            </w:r>
            <w:r>
              <w:rPr>
                <w:rFonts w:hint="eastAsia" w:ascii="宋体" w:hAnsi="宋体" w:cs="宋体"/>
                <w:b/>
                <w:bCs/>
                <w:color w:val="auto"/>
                <w:sz w:val="24"/>
                <w:highlight w:val="none"/>
              </w:rPr>
              <w:t>；</w:t>
            </w:r>
          </w:p>
        </w:tc>
        <w:tc>
          <w:tcPr>
            <w:tcW w:w="815" w:type="dxa"/>
            <w:tcBorders>
              <w:tl2br w:val="nil"/>
              <w:tr2bl w:val="nil"/>
            </w:tcBorders>
            <w:noWrap w:val="0"/>
            <w:vAlign w:val="center"/>
          </w:tcPr>
          <w:p>
            <w:pPr>
              <w:bidi w:val="0"/>
              <w:spacing w:line="360" w:lineRule="auto"/>
              <w:jc w:val="center"/>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3</w:t>
            </w:r>
          </w:p>
        </w:tc>
        <w:tc>
          <w:tcPr>
            <w:tcW w:w="1125" w:type="dxa"/>
            <w:tcBorders>
              <w:tl2br w:val="nil"/>
              <w:tr2bl w:val="nil"/>
            </w:tcBorders>
            <w:noWrap w:val="0"/>
            <w:vAlign w:val="center"/>
          </w:tcPr>
          <w:p>
            <w:pPr>
              <w:widowControl w:val="0"/>
              <w:wordWrap/>
              <w:adjustRightInd w:val="0"/>
              <w:snapToGrid w:val="0"/>
              <w:spacing w:line="240" w:lineRule="auto"/>
              <w:jc w:val="center"/>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lang w:val="en-US" w:eastAsia="zh-CN"/>
              </w:rPr>
            </w:pPr>
          </w:p>
        </w:tc>
        <w:tc>
          <w:tcPr>
            <w:tcW w:w="5882" w:type="dxa"/>
            <w:tcBorders>
              <w:tl2br w:val="nil"/>
              <w:tr2bl w:val="nil"/>
            </w:tcBorders>
            <w:noWrap w:val="0"/>
            <w:vAlign w:val="top"/>
          </w:tcPr>
          <w:p>
            <w:pPr>
              <w:keepNext w:val="0"/>
              <w:keepLines w:val="0"/>
              <w:pageBreakBefore w:val="0"/>
              <w:widowControl w:val="0"/>
              <w:kinsoku/>
              <w:wordWrap/>
              <w:overflowPunct/>
              <w:topLinePunct w:val="0"/>
              <w:bidi w:val="0"/>
              <w:adjustRightInd w:val="0"/>
              <w:snapToGrid/>
              <w:spacing w:line="240" w:lineRule="auto"/>
              <w:jc w:val="lef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有效投标报价的最低价作为评标基准价，其最低报价为满分；按［投标报价得分=（评标基准价/投标报价）*权重］的计算公式计算。</w:t>
            </w:r>
          </w:p>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c>
          <w:tcPr>
            <w:tcW w:w="815" w:type="dxa"/>
            <w:tcBorders>
              <w:tl2br w:val="nil"/>
              <w:tr2bl w:val="nil"/>
            </w:tcBorders>
            <w:noWrap w:val="0"/>
            <w:vAlign w:val="center"/>
          </w:tcPr>
          <w:p>
            <w:pPr>
              <w:widowControl w:val="0"/>
              <w:wordWrap/>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w:t>
            </w:r>
          </w:p>
        </w:tc>
        <w:tc>
          <w:tcPr>
            <w:tcW w:w="1125" w:type="dxa"/>
            <w:tcBorders>
              <w:tl2br w:val="nil"/>
              <w:tr2bl w:val="nil"/>
            </w:tcBorders>
            <w:noWrap w:val="0"/>
            <w:vAlign w:val="center"/>
          </w:tcPr>
          <w:p>
            <w:pPr>
              <w:widowControl w:val="0"/>
              <w:wordWrap/>
              <w:adjustRightInd w:val="0"/>
              <w:spacing w:line="240" w:lineRule="auto"/>
              <w:jc w:val="center"/>
              <w:textAlignment w:val="auto"/>
              <w:outlineLvl w:val="0"/>
              <w:rPr>
                <w:rFonts w:hint="eastAsia" w:ascii="宋体" w:hAnsi="宋体" w:eastAsia="宋体" w:cs="宋体"/>
                <w:color w:val="auto"/>
                <w:sz w:val="24"/>
                <w:highlight w:val="none"/>
              </w:rPr>
            </w:pPr>
          </w:p>
        </w:tc>
      </w:tr>
    </w:tbl>
    <w:p>
      <w:pPr>
        <w:snapToGrid w:val="0"/>
        <w:spacing w:line="360" w:lineRule="auto"/>
        <w:jc w:val="center"/>
        <w:rPr>
          <w:rFonts w:hint="eastAsia" w:ascii="宋体" w:hAnsi="宋体" w:cs="宋体"/>
          <w:b/>
          <w:sz w:val="32"/>
          <w:szCs w:val="20"/>
          <w:lang w:eastAsia="zh-CN"/>
        </w:rPr>
      </w:pPr>
    </w:p>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3"/>
        <w:snapToGrid w:val="0"/>
        <w:spacing w:line="360" w:lineRule="auto"/>
        <w:rPr>
          <w:rFonts w:cs="宋体"/>
        </w:rPr>
      </w:pPr>
      <w:r>
        <w:rPr>
          <w:rFonts w:hint="eastAsia" w:cs="宋体"/>
        </w:rPr>
        <w:t>7.1未确定中标供应商的，终止本次政府采购活动，重新开展政府采购活动。</w:t>
      </w:r>
    </w:p>
    <w:p>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pStyle w:val="3"/>
        <w:rPr>
          <w:rFonts w:ascii="宋体" w:hAnsi="宋体" w:cs="宋体"/>
          <w:b/>
          <w:sz w:val="36"/>
          <w:szCs w:val="36"/>
        </w:rPr>
      </w:pPr>
    </w:p>
    <w:p>
      <w:pPr>
        <w:rPr>
          <w:rFonts w:ascii="宋体" w:hAnsi="宋体" w:cs="宋体"/>
          <w:b/>
          <w:sz w:val="36"/>
          <w:szCs w:val="36"/>
        </w:rPr>
      </w:pPr>
    </w:p>
    <w:p>
      <w:pPr>
        <w:pStyle w:val="3"/>
        <w:rPr>
          <w:rFonts w:ascii="宋体" w:hAnsi="宋体" w:cs="宋体"/>
          <w:b/>
          <w:sz w:val="36"/>
          <w:szCs w:val="36"/>
        </w:rPr>
      </w:pPr>
    </w:p>
    <w:p>
      <w:pPr>
        <w:rPr>
          <w:rFonts w:ascii="宋体" w:hAnsi="宋体" w:cs="宋体"/>
          <w:b/>
          <w:sz w:val="36"/>
          <w:szCs w:val="36"/>
        </w:rPr>
      </w:pPr>
    </w:p>
    <w:p>
      <w:pPr>
        <w:pStyle w:val="3"/>
        <w:rPr>
          <w:rFonts w:ascii="宋体" w:hAnsi="宋体" w:cs="宋体"/>
          <w:b/>
          <w:sz w:val="36"/>
          <w:szCs w:val="36"/>
        </w:rPr>
      </w:pPr>
    </w:p>
    <w:p>
      <w:pPr>
        <w:rPr>
          <w:rFonts w:ascii="宋体" w:hAnsi="宋体" w:cs="宋体"/>
          <w:b/>
          <w:sz w:val="36"/>
          <w:szCs w:val="36"/>
        </w:rPr>
      </w:pPr>
    </w:p>
    <w:p>
      <w:pPr>
        <w:pStyle w:val="3"/>
        <w:rPr>
          <w:rFonts w:ascii="宋体" w:hAnsi="宋体" w:cs="宋体"/>
          <w:b/>
          <w:sz w:val="36"/>
          <w:szCs w:val="36"/>
        </w:rPr>
      </w:pPr>
    </w:p>
    <w:p>
      <w:pPr>
        <w:rPr>
          <w:rFonts w:ascii="宋体" w:hAnsi="宋体" w:cs="宋体"/>
          <w:b/>
          <w:sz w:val="36"/>
          <w:szCs w:val="36"/>
        </w:rPr>
      </w:pPr>
    </w:p>
    <w:p>
      <w:pPr>
        <w:pStyle w:val="3"/>
        <w:rPr>
          <w:rFonts w:ascii="宋体" w:hAnsi="宋体" w:cs="宋体"/>
          <w:b/>
          <w:sz w:val="36"/>
          <w:szCs w:val="36"/>
        </w:rPr>
      </w:pPr>
    </w:p>
    <w:p>
      <w:pPr>
        <w:rPr>
          <w:rFonts w:ascii="宋体" w:hAnsi="宋体" w:cs="宋体"/>
          <w:b/>
          <w:sz w:val="36"/>
          <w:szCs w:val="36"/>
        </w:rPr>
      </w:pPr>
    </w:p>
    <w:p>
      <w:pPr>
        <w:pStyle w:val="3"/>
        <w:rPr>
          <w:rFonts w:ascii="宋体" w:hAnsi="宋体" w:cs="宋体"/>
          <w:b/>
          <w:sz w:val="36"/>
          <w:szCs w:val="36"/>
        </w:rPr>
      </w:pPr>
    </w:p>
    <w:p>
      <w:pPr>
        <w:rPr>
          <w:rFonts w:ascii="宋体" w:hAnsi="宋体" w:cs="宋体"/>
          <w:b/>
          <w:sz w:val="36"/>
          <w:szCs w:val="36"/>
        </w:rPr>
      </w:pPr>
    </w:p>
    <w:p>
      <w:pPr>
        <w:pStyle w:val="3"/>
        <w:rPr>
          <w:rFonts w:ascii="宋体" w:hAnsi="宋体" w:cs="宋体"/>
          <w:b/>
          <w:sz w:val="36"/>
          <w:szCs w:val="36"/>
        </w:rPr>
      </w:pPr>
    </w:p>
    <w:p>
      <w:pPr>
        <w:rPr>
          <w:rFonts w:ascii="宋体" w:hAnsi="宋体" w:cs="宋体"/>
          <w:b/>
          <w:sz w:val="36"/>
          <w:szCs w:val="36"/>
        </w:rPr>
      </w:pPr>
    </w:p>
    <w:p>
      <w:pPr>
        <w:pStyle w:val="3"/>
        <w:rPr>
          <w:rFonts w:ascii="宋体" w:hAnsi="宋体" w:cs="宋体"/>
          <w:b/>
          <w:sz w:val="36"/>
          <w:szCs w:val="36"/>
        </w:rPr>
      </w:pPr>
    </w:p>
    <w:p>
      <w:pPr>
        <w:rPr>
          <w:rFonts w:ascii="宋体" w:hAnsi="宋体" w:cs="宋体"/>
          <w:b/>
          <w:sz w:val="36"/>
          <w:szCs w:val="36"/>
        </w:rPr>
      </w:pPr>
    </w:p>
    <w:p>
      <w:pPr>
        <w:pStyle w:val="3"/>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0"/>
        <w:rPr>
          <w:rFonts w:ascii="宋体" w:hAnsi="宋体" w:cs="宋体"/>
          <w:szCs w:val="24"/>
        </w:rPr>
      </w:pPr>
    </w:p>
    <w:p>
      <w:pPr>
        <w:pStyle w:val="700"/>
        <w:rPr>
          <w:rFonts w:ascii="宋体" w:hAnsi="宋体" w:cs="宋体"/>
          <w:szCs w:val="24"/>
        </w:rPr>
      </w:pPr>
    </w:p>
    <w:p>
      <w:pPr>
        <w:pStyle w:val="700"/>
        <w:jc w:val="center"/>
        <w:rPr>
          <w:rFonts w:ascii="宋体" w:hAnsi="宋体" w:cs="宋体"/>
          <w:szCs w:val="24"/>
        </w:rPr>
      </w:pPr>
    </w:p>
    <w:p>
      <w:pPr>
        <w:pStyle w:val="700"/>
        <w:ind w:firstLine="2843" w:firstLineChars="1180"/>
        <w:rPr>
          <w:rFonts w:ascii="宋体" w:hAnsi="宋体" w:cs="宋体"/>
          <w:b/>
          <w:szCs w:val="24"/>
        </w:rPr>
      </w:pPr>
      <w:r>
        <w:rPr>
          <w:rFonts w:hint="eastAsia" w:ascii="宋体" w:hAnsi="宋体" w:cs="宋体"/>
          <w:b/>
          <w:szCs w:val="24"/>
        </w:rPr>
        <w:t>第一部分 合同书</w:t>
      </w: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9" w:name="_Toc3029"/>
      <w:bookmarkStart w:id="400" w:name="_Toc24059"/>
      <w:bookmarkStart w:id="401" w:name="_Toc2232"/>
      <w:r>
        <w:rPr>
          <w:rFonts w:hint="eastAsia" w:ascii="宋体" w:hAnsi="宋体" w:cs="宋体"/>
          <w:b/>
          <w:sz w:val="24"/>
        </w:rPr>
        <w:t>1.1 合同组成部分</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2" w:name="_Toc24300"/>
      <w:bookmarkStart w:id="403" w:name="_Toc21295"/>
      <w:bookmarkStart w:id="404" w:name="_Toc27126"/>
      <w:r>
        <w:rPr>
          <w:rFonts w:hint="eastAsia" w:ascii="宋体" w:hAnsi="宋体" w:cs="宋体"/>
          <w:b/>
          <w:sz w:val="24"/>
        </w:rPr>
        <w:t>1.2 货物</w:t>
      </w:r>
      <w:bookmarkEnd w:id="402"/>
      <w:bookmarkEnd w:id="403"/>
      <w:bookmarkEnd w:id="404"/>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5" w:name="_Toc21631"/>
      <w:bookmarkStart w:id="406" w:name="_Toc21551"/>
      <w:bookmarkStart w:id="407" w:name="_Toc23292"/>
      <w:r>
        <w:rPr>
          <w:rFonts w:hint="eastAsia" w:ascii="宋体" w:hAnsi="宋体" w:cs="宋体"/>
          <w:b/>
          <w:sz w:val="24"/>
        </w:rPr>
        <w:t>1.3 价款</w:t>
      </w:r>
      <w:bookmarkEnd w:id="405"/>
      <w:bookmarkEnd w:id="406"/>
      <w:bookmarkEnd w:id="407"/>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bl>
    <w:p>
      <w:pPr>
        <w:pStyle w:val="958"/>
        <w:spacing w:before="0" w:beforeAutospacing="0" w:after="0" w:afterAutospacing="0" w:line="360" w:lineRule="auto"/>
        <w:ind w:firstLine="480"/>
        <w:rPr>
          <w:b/>
        </w:rPr>
      </w:pPr>
      <w:bookmarkStart w:id="408" w:name="_Toc1814"/>
      <w:bookmarkStart w:id="409" w:name="_Toc10340"/>
      <w:bookmarkStart w:id="410" w:name="_Toc22618"/>
      <w:r>
        <w:rPr>
          <w:rFonts w:hint="eastAsia"/>
          <w:b/>
        </w:rPr>
        <w:t>1.4履约保证金</w:t>
      </w:r>
    </w:p>
    <w:p>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5"/>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32071"/>
      <w:bookmarkStart w:id="412" w:name="_Toc19304"/>
      <w:bookmarkStart w:id="413" w:name="_Toc2846"/>
      <w:r>
        <w:rPr>
          <w:rFonts w:hint="eastAsia" w:ascii="宋体" w:hAnsi="宋体" w:cs="宋体"/>
          <w:b/>
          <w:sz w:val="24"/>
        </w:rPr>
        <w:t>1.7货物交付期限、地点和方式</w:t>
      </w:r>
      <w:bookmarkEnd w:id="411"/>
      <w:bookmarkEnd w:id="412"/>
      <w:bookmarkEnd w:id="413"/>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4" w:name="_Toc27250"/>
      <w:bookmarkStart w:id="415" w:name="_Toc19554"/>
      <w:bookmarkStart w:id="416" w:name="_Toc21423"/>
      <w:r>
        <w:rPr>
          <w:rFonts w:hint="eastAsia" w:ascii="宋体" w:hAnsi="宋体" w:cs="宋体"/>
          <w:b/>
          <w:sz w:val="24"/>
        </w:rPr>
        <w:t>1.8违约责任</w:t>
      </w:r>
      <w:bookmarkEnd w:id="414"/>
      <w:bookmarkEnd w:id="415"/>
      <w:bookmarkEnd w:id="416"/>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7" w:name="_Toc16021"/>
      <w:bookmarkStart w:id="418" w:name="_Toc15583"/>
      <w:bookmarkStart w:id="419" w:name="_Toc28375"/>
      <w:r>
        <w:rPr>
          <w:rFonts w:hint="eastAsia" w:ascii="宋体" w:hAnsi="宋体" w:cs="宋体"/>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0" w:name="_Toc11173"/>
      <w:bookmarkStart w:id="421" w:name="_Toc15322"/>
      <w:bookmarkStart w:id="422" w:name="_Toc7245"/>
      <w:r>
        <w:rPr>
          <w:rFonts w:hint="eastAsia" w:ascii="宋体" w:hAnsi="宋体" w:cs="宋体"/>
          <w:b/>
          <w:sz w:val="24"/>
        </w:rPr>
        <w:t>2.0 合同生效</w:t>
      </w:r>
      <w:bookmarkEnd w:id="420"/>
      <w:bookmarkEnd w:id="421"/>
      <w:bookmarkEnd w:id="42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3" w:name="_Toc279701240"/>
      <w:bookmarkStart w:id="424" w:name="_Ref467378463"/>
      <w:bookmarkStart w:id="425" w:name="_Ref467379205"/>
      <w:bookmarkStart w:id="426" w:name="_Ref467379225"/>
      <w:bookmarkStart w:id="427" w:name="_Ref467379101"/>
      <w:bookmarkStart w:id="428" w:name="_Toc259093669"/>
      <w:bookmarkStart w:id="429" w:name="_Ref467379109"/>
      <w:bookmarkStart w:id="430" w:name="_Toc487900349"/>
      <w:bookmarkStart w:id="431" w:name="_Ref467378499"/>
      <w:bookmarkStart w:id="432" w:name="_Toc28763"/>
      <w:bookmarkStart w:id="433" w:name="_Toc16917"/>
      <w:bookmarkStart w:id="434" w:name="_Ref467379094"/>
      <w:bookmarkStart w:id="435" w:name="_Ref467379214"/>
      <w:bookmarkStart w:id="436" w:name="_Ref467378404"/>
      <w:bookmarkStart w:id="437" w:name="_Toc19614"/>
      <w:bookmarkStart w:id="438" w:name="_Ref467379195"/>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560" w:lineRule="exact"/>
        <w:ind w:firstLine="482" w:firstLineChars="200"/>
        <w:outlineLvl w:val="0"/>
        <w:rPr>
          <w:rFonts w:ascii="宋体" w:hAnsi="宋体" w:cs="宋体"/>
          <w:b/>
          <w:sz w:val="24"/>
        </w:rPr>
      </w:pPr>
      <w:bookmarkStart w:id="442" w:name="_Toc27635"/>
      <w:bookmarkStart w:id="443" w:name="_Toc487900350"/>
      <w:bookmarkStart w:id="444" w:name="_Toc13336"/>
      <w:bookmarkStart w:id="445" w:name="_Toc279701241"/>
      <w:bookmarkStart w:id="446" w:name="_Toc259093670"/>
      <w:bookmarkStart w:id="447" w:name="_Toc32504"/>
      <w:r>
        <w:rPr>
          <w:rFonts w:hint="eastAsia" w:ascii="宋体" w:hAnsi="宋体" w:cs="宋体"/>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8" w:name="_Toc259093671"/>
      <w:bookmarkStart w:id="449" w:name="_Toc487900351"/>
      <w:bookmarkStart w:id="450" w:name="_Toc31634"/>
      <w:bookmarkStart w:id="451" w:name="_Toc279701242"/>
      <w:bookmarkStart w:id="452" w:name="_Toc27853"/>
      <w:bookmarkStart w:id="453" w:name="_Toc9829"/>
      <w:r>
        <w:rPr>
          <w:rFonts w:hint="eastAsia" w:ascii="宋体" w:hAnsi="宋体" w:cs="宋体"/>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4194"/>
      <w:bookmarkStart w:id="455" w:name="_Toc29149"/>
      <w:bookmarkStart w:id="456" w:name="_Toc11932"/>
      <w:r>
        <w:rPr>
          <w:rFonts w:hint="eastAsia" w:ascii="宋体" w:hAnsi="宋体" w:cs="宋体"/>
          <w:b/>
          <w:sz w:val="24"/>
        </w:rPr>
        <w:t>2.4 包装和装运</w:t>
      </w:r>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7" w:name="_Toc279701245"/>
      <w:bookmarkStart w:id="458" w:name="_Ref467379542"/>
      <w:bookmarkStart w:id="459" w:name="_Ref467378541"/>
      <w:bookmarkStart w:id="460" w:name="_Toc487900354"/>
      <w:bookmarkStart w:id="461" w:name="_Ref467379527"/>
      <w:bookmarkStart w:id="462" w:name="_Ref467379536"/>
      <w:bookmarkStart w:id="463" w:name="_Ref467378591"/>
      <w:bookmarkStart w:id="464" w:name="_Toc259093674"/>
      <w:bookmarkStart w:id="465" w:name="_Toc19074"/>
      <w:bookmarkStart w:id="466" w:name="_Toc26182"/>
      <w:bookmarkStart w:id="467" w:name="_Toc3027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Ref467379793"/>
      <w:bookmarkStart w:id="471" w:name="_Toc279701247"/>
      <w:bookmarkStart w:id="472" w:name="_Toc487900357"/>
      <w:bookmarkStart w:id="473" w:name="_Toc259093676"/>
      <w:bookmarkStart w:id="474"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rPr>
      </w:pPr>
      <w:bookmarkStart w:id="476" w:name="_Toc259093677"/>
      <w:bookmarkStart w:id="477" w:name="_Ref467379852"/>
      <w:bookmarkStart w:id="478" w:name="_Toc487900358"/>
      <w:bookmarkStart w:id="479" w:name="_Toc279701248"/>
      <w:bookmarkStart w:id="480" w:name="_Ref467379923"/>
      <w:bookmarkStart w:id="481" w:name="_Ref467379863"/>
      <w:bookmarkStart w:id="482" w:name="_Toc774"/>
      <w:bookmarkStart w:id="483" w:name="_Toc3225"/>
      <w:bookmarkStart w:id="484" w:name="_Toc16110"/>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6" w:name="_Toc17244"/>
      <w:bookmarkStart w:id="487" w:name="_Toc487900362"/>
      <w:bookmarkStart w:id="488" w:name="_Toc259093681"/>
      <w:bookmarkStart w:id="489" w:name="_Toc279701252"/>
      <w:r>
        <w:rPr>
          <w:rFonts w:hint="eastAsia" w:ascii="宋体" w:hAnsi="宋体" w:cs="宋体"/>
          <w:b/>
          <w:sz w:val="24"/>
        </w:rPr>
        <w:t>2.8 货物的风险负担</w:t>
      </w:r>
      <w:bookmarkEnd w:id="48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Toc279701254"/>
      <w:bookmarkStart w:id="493" w:name="_Toc487900364"/>
      <w:bookmarkStart w:id="494" w:name="_Ref467378121"/>
      <w:bookmarkStart w:id="495" w:name="_Toc259093683"/>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487900369"/>
      <w:bookmarkStart w:id="498" w:name="_Toc259093688"/>
    </w:p>
    <w:p>
      <w:pPr>
        <w:spacing w:line="560" w:lineRule="exact"/>
        <w:ind w:firstLine="482" w:firstLineChars="200"/>
        <w:outlineLvl w:val="0"/>
        <w:rPr>
          <w:rFonts w:ascii="宋体" w:hAnsi="宋体" w:cs="宋体"/>
          <w:b/>
          <w:sz w:val="24"/>
        </w:rPr>
      </w:pPr>
      <w:bookmarkStart w:id="499" w:name="_Toc15237"/>
      <w:bookmarkStart w:id="500" w:name="_Toc22955"/>
      <w:bookmarkStart w:id="501" w:name="_Toc10366"/>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3566"/>
      <w:bookmarkStart w:id="503" w:name="_Toc14066"/>
      <w:bookmarkStart w:id="504" w:name="_Toc16508"/>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279701255"/>
      <w:bookmarkStart w:id="506" w:name="_Toc259093684"/>
      <w:bookmarkStart w:id="507" w:name="_Toc689"/>
      <w:bookmarkStart w:id="508" w:name="_Toc6969"/>
      <w:bookmarkStart w:id="509" w:name="_Toc487900365"/>
      <w:bookmarkStart w:id="510" w:name="_Toc30676"/>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487900368"/>
      <w:bookmarkStart w:id="512" w:name="_Toc259093687"/>
      <w:bookmarkStart w:id="513" w:name="_Toc7102"/>
      <w:bookmarkStart w:id="514" w:name="_Toc8298"/>
      <w:bookmarkStart w:id="515" w:name="_Toc279701258"/>
      <w:bookmarkStart w:id="516" w:name="_Toc16959"/>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29333"/>
      <w:bookmarkStart w:id="518" w:name="_Toc15387"/>
      <w:bookmarkStart w:id="519" w:name="_Toc6134"/>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1125"/>
      <w:bookmarkStart w:id="521" w:name="_Toc6596"/>
      <w:bookmarkStart w:id="522" w:name="_Toc14563"/>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279701261"/>
      <w:bookmarkStart w:id="524" w:name="_Toc259093690"/>
      <w:bookmarkStart w:id="525" w:name="_Toc487900371"/>
      <w:bookmarkStart w:id="526" w:name="_Toc25182"/>
      <w:bookmarkStart w:id="527" w:name="_Toc11284"/>
      <w:bookmarkStart w:id="528" w:name="_Toc1960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3135"/>
      <w:bookmarkStart w:id="530" w:name="_Toc6698"/>
      <w:bookmarkStart w:id="531" w:name="_Toc487900372"/>
      <w:bookmarkStart w:id="532" w:name="_Toc259093691"/>
      <w:bookmarkStart w:id="533"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128"/>
      <w:bookmarkStart w:id="535"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18540"/>
      <w:bookmarkStart w:id="537" w:name="_Toc4355"/>
      <w:bookmarkStart w:id="538" w:name="_Toc30599"/>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18567"/>
      <w:bookmarkStart w:id="540" w:name="_Toc487900373"/>
      <w:bookmarkStart w:id="541" w:name="_Toc259093692"/>
      <w:bookmarkStart w:id="542" w:name="_Toc10330"/>
      <w:bookmarkStart w:id="543" w:name="_Toc12773"/>
      <w:bookmarkStart w:id="544" w:name="_Toc279701263"/>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19890"/>
      <w:bookmarkStart w:id="546" w:name="_Toc6885"/>
      <w:bookmarkStart w:id="547" w:name="_Toc14001"/>
      <w:r>
        <w:rPr>
          <w:rFonts w:hint="eastAsia" w:ascii="宋体" w:hAnsi="宋体" w:cs="宋体"/>
          <w:b/>
          <w:sz w:val="24"/>
        </w:rPr>
        <w:t>2.20 合同份数</w:t>
      </w:r>
      <w:bookmarkEnd w:id="545"/>
      <w:bookmarkEnd w:id="546"/>
      <w:bookmarkEnd w:id="54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5"/>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5"/>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5"/>
        <w:rPr>
          <w:lang w:val="en-US"/>
        </w:rPr>
      </w:pPr>
    </w:p>
    <w:p/>
    <w:p>
      <w:pPr>
        <w:pStyle w:val="5"/>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36110187"/>
    <w:bookmarkStart w:id="556" w:name="_Toc131845147"/>
    <w:bookmarkStart w:id="557" w:name="_Toc164085800"/>
    <w:bookmarkStart w:id="558" w:name="_Toc91899912"/>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D1291"/>
    <w:multiLevelType w:val="singleLevel"/>
    <w:tmpl w:val="A67D1291"/>
    <w:lvl w:ilvl="0" w:tentative="0">
      <w:start w:val="3"/>
      <w:numFmt w:val="chineseCounting"/>
      <w:suff w:val="space"/>
      <w:lvlText w:val="第%1部分"/>
      <w:lvlJc w:val="left"/>
      <w:rPr>
        <w:rFonts w:hint="eastAsia"/>
      </w:rPr>
    </w:lvl>
  </w:abstractNum>
  <w:abstractNum w:abstractNumId="1">
    <w:nsid w:val="B81C4706"/>
    <w:multiLevelType w:val="singleLevel"/>
    <w:tmpl w:val="B81C4706"/>
    <w:lvl w:ilvl="0" w:tentative="0">
      <w:start w:val="1"/>
      <w:numFmt w:val="decimal"/>
      <w:suff w:val="nothing"/>
      <w:lvlText w:val="%1"/>
      <w:lvlJc w:val="center"/>
      <w:pPr>
        <w:tabs>
          <w:tab w:val="left" w:pos="0"/>
        </w:tabs>
        <w:ind w:left="0" w:firstLine="0"/>
      </w:pPr>
      <w:rPr>
        <w:rFonts w:hint="default" w:ascii="宋体" w:hAnsi="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DM4MTdiMTEyMjUwOGRhMTkxNGY3ZWMwYjlhMDUifQ=="/>
    <w:docVar w:name="KSO_WPS_MARK_KEY" w:val="5f52b06e-2442-430d-a346-a253fad9522e"/>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E23348"/>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7D5FC2"/>
    <w:rsid w:val="05A16594"/>
    <w:rsid w:val="05A7762D"/>
    <w:rsid w:val="05F31C91"/>
    <w:rsid w:val="060E5941"/>
    <w:rsid w:val="06110FAF"/>
    <w:rsid w:val="06493CA7"/>
    <w:rsid w:val="065A6178"/>
    <w:rsid w:val="066F1CF3"/>
    <w:rsid w:val="06930BB8"/>
    <w:rsid w:val="07245D42"/>
    <w:rsid w:val="07264C62"/>
    <w:rsid w:val="0779354C"/>
    <w:rsid w:val="08061376"/>
    <w:rsid w:val="083A658E"/>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8E7D66"/>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56C91"/>
    <w:rsid w:val="10646583"/>
    <w:rsid w:val="1065378B"/>
    <w:rsid w:val="1077350B"/>
    <w:rsid w:val="107D4B15"/>
    <w:rsid w:val="108A3C80"/>
    <w:rsid w:val="10C26171"/>
    <w:rsid w:val="10F33360"/>
    <w:rsid w:val="10FC16EA"/>
    <w:rsid w:val="110F1D40"/>
    <w:rsid w:val="11266F33"/>
    <w:rsid w:val="118963A1"/>
    <w:rsid w:val="11C6522A"/>
    <w:rsid w:val="11E104CC"/>
    <w:rsid w:val="11E20309"/>
    <w:rsid w:val="12255233"/>
    <w:rsid w:val="1242112E"/>
    <w:rsid w:val="12530213"/>
    <w:rsid w:val="127723A9"/>
    <w:rsid w:val="12862074"/>
    <w:rsid w:val="12883966"/>
    <w:rsid w:val="129E45B4"/>
    <w:rsid w:val="12D81596"/>
    <w:rsid w:val="13072A44"/>
    <w:rsid w:val="135F4BE2"/>
    <w:rsid w:val="139B1A0A"/>
    <w:rsid w:val="139D25C7"/>
    <w:rsid w:val="13BF3CE4"/>
    <w:rsid w:val="141008D8"/>
    <w:rsid w:val="14125FE6"/>
    <w:rsid w:val="144A20D3"/>
    <w:rsid w:val="14597B09"/>
    <w:rsid w:val="146D271E"/>
    <w:rsid w:val="14982588"/>
    <w:rsid w:val="149A5AD9"/>
    <w:rsid w:val="14A65828"/>
    <w:rsid w:val="14A7619D"/>
    <w:rsid w:val="150536C3"/>
    <w:rsid w:val="150C1963"/>
    <w:rsid w:val="151447A0"/>
    <w:rsid w:val="1522074B"/>
    <w:rsid w:val="154A6454"/>
    <w:rsid w:val="15762120"/>
    <w:rsid w:val="16603159"/>
    <w:rsid w:val="1662236C"/>
    <w:rsid w:val="16A8729C"/>
    <w:rsid w:val="16B33777"/>
    <w:rsid w:val="16BC70A7"/>
    <w:rsid w:val="16C6339E"/>
    <w:rsid w:val="172F2D79"/>
    <w:rsid w:val="17557BEF"/>
    <w:rsid w:val="17D349C1"/>
    <w:rsid w:val="18244F26"/>
    <w:rsid w:val="1830729E"/>
    <w:rsid w:val="1870062C"/>
    <w:rsid w:val="187F5DE2"/>
    <w:rsid w:val="18817102"/>
    <w:rsid w:val="18830A15"/>
    <w:rsid w:val="18852B28"/>
    <w:rsid w:val="188B5321"/>
    <w:rsid w:val="198F3627"/>
    <w:rsid w:val="19932372"/>
    <w:rsid w:val="19A20DD5"/>
    <w:rsid w:val="19AE03F1"/>
    <w:rsid w:val="1A071A03"/>
    <w:rsid w:val="1A1F16AE"/>
    <w:rsid w:val="1A3B5C77"/>
    <w:rsid w:val="1A984BAD"/>
    <w:rsid w:val="1AAA4E3E"/>
    <w:rsid w:val="1AB8220E"/>
    <w:rsid w:val="1AE4166C"/>
    <w:rsid w:val="1AF06CFB"/>
    <w:rsid w:val="1AF11B8D"/>
    <w:rsid w:val="1AFE3D37"/>
    <w:rsid w:val="1B11359C"/>
    <w:rsid w:val="1B2A271F"/>
    <w:rsid w:val="1B530544"/>
    <w:rsid w:val="1B713184"/>
    <w:rsid w:val="1BA209CF"/>
    <w:rsid w:val="1BB4777D"/>
    <w:rsid w:val="1BD75AB8"/>
    <w:rsid w:val="1C0459C2"/>
    <w:rsid w:val="1C1B3B4A"/>
    <w:rsid w:val="1C88086E"/>
    <w:rsid w:val="1C8D39B2"/>
    <w:rsid w:val="1CA05B4B"/>
    <w:rsid w:val="1D266CE1"/>
    <w:rsid w:val="1D3963AF"/>
    <w:rsid w:val="1D6A673C"/>
    <w:rsid w:val="1D9247AE"/>
    <w:rsid w:val="1DB567EC"/>
    <w:rsid w:val="1DC53ABB"/>
    <w:rsid w:val="1DF51A98"/>
    <w:rsid w:val="1E051CD9"/>
    <w:rsid w:val="1E3D060F"/>
    <w:rsid w:val="1E3F7D2E"/>
    <w:rsid w:val="1E4134E4"/>
    <w:rsid w:val="1E5062B3"/>
    <w:rsid w:val="1E523514"/>
    <w:rsid w:val="1E714A66"/>
    <w:rsid w:val="1E802593"/>
    <w:rsid w:val="1E8B6156"/>
    <w:rsid w:val="1E93594B"/>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746DC"/>
    <w:rsid w:val="22B248D1"/>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556A6"/>
    <w:rsid w:val="27044A29"/>
    <w:rsid w:val="271D34C8"/>
    <w:rsid w:val="276142BF"/>
    <w:rsid w:val="27783712"/>
    <w:rsid w:val="27907362"/>
    <w:rsid w:val="27D67978"/>
    <w:rsid w:val="28333E1D"/>
    <w:rsid w:val="28454BD6"/>
    <w:rsid w:val="28455253"/>
    <w:rsid w:val="28551971"/>
    <w:rsid w:val="285B1C53"/>
    <w:rsid w:val="289F7086"/>
    <w:rsid w:val="28C32028"/>
    <w:rsid w:val="28CC490F"/>
    <w:rsid w:val="28DE40AA"/>
    <w:rsid w:val="29345E77"/>
    <w:rsid w:val="294C65AD"/>
    <w:rsid w:val="29806583"/>
    <w:rsid w:val="298B3C4C"/>
    <w:rsid w:val="29A44819"/>
    <w:rsid w:val="29F26D24"/>
    <w:rsid w:val="2A15033F"/>
    <w:rsid w:val="2A1662C1"/>
    <w:rsid w:val="2A1C7367"/>
    <w:rsid w:val="2A2815FA"/>
    <w:rsid w:val="2A6D6092"/>
    <w:rsid w:val="2A7D76B4"/>
    <w:rsid w:val="2B437463"/>
    <w:rsid w:val="2B7807EE"/>
    <w:rsid w:val="2BA50BF7"/>
    <w:rsid w:val="2BBF00EC"/>
    <w:rsid w:val="2BC37CFD"/>
    <w:rsid w:val="2BC5737C"/>
    <w:rsid w:val="2BD5237F"/>
    <w:rsid w:val="2BE536CE"/>
    <w:rsid w:val="2BE758D9"/>
    <w:rsid w:val="2BF346BB"/>
    <w:rsid w:val="2BF94171"/>
    <w:rsid w:val="2C09049E"/>
    <w:rsid w:val="2C0A653C"/>
    <w:rsid w:val="2C191F85"/>
    <w:rsid w:val="2C723060"/>
    <w:rsid w:val="2CE82D6F"/>
    <w:rsid w:val="2D343236"/>
    <w:rsid w:val="2D575011"/>
    <w:rsid w:val="2DD15014"/>
    <w:rsid w:val="2DF72DE4"/>
    <w:rsid w:val="2E0220AF"/>
    <w:rsid w:val="2E415234"/>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3A6116"/>
    <w:rsid w:val="319C6071"/>
    <w:rsid w:val="31AC537E"/>
    <w:rsid w:val="31E3679B"/>
    <w:rsid w:val="31E732FD"/>
    <w:rsid w:val="32517576"/>
    <w:rsid w:val="32BE5C2C"/>
    <w:rsid w:val="32BF4B25"/>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84A10"/>
    <w:rsid w:val="34FA6E12"/>
    <w:rsid w:val="352437F0"/>
    <w:rsid w:val="354D7158"/>
    <w:rsid w:val="358D5588"/>
    <w:rsid w:val="3623361D"/>
    <w:rsid w:val="363A3B40"/>
    <w:rsid w:val="365302AE"/>
    <w:rsid w:val="36607A0A"/>
    <w:rsid w:val="366E227C"/>
    <w:rsid w:val="366F2E0D"/>
    <w:rsid w:val="367B6A5C"/>
    <w:rsid w:val="36A74ADA"/>
    <w:rsid w:val="36AD60D5"/>
    <w:rsid w:val="36B224F9"/>
    <w:rsid w:val="36EC0CC9"/>
    <w:rsid w:val="373F410B"/>
    <w:rsid w:val="37E1109A"/>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52FB"/>
    <w:rsid w:val="3EAF4836"/>
    <w:rsid w:val="3EC33DFA"/>
    <w:rsid w:val="3F060E16"/>
    <w:rsid w:val="3F1D1096"/>
    <w:rsid w:val="3F2F0234"/>
    <w:rsid w:val="3F3E47E2"/>
    <w:rsid w:val="3F6363FE"/>
    <w:rsid w:val="3F756B8F"/>
    <w:rsid w:val="3F95482B"/>
    <w:rsid w:val="4019356B"/>
    <w:rsid w:val="40592157"/>
    <w:rsid w:val="406B2158"/>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A06DD"/>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D057A4"/>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AFF51F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40119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44C65"/>
    <w:rsid w:val="522E4CC3"/>
    <w:rsid w:val="5244713B"/>
    <w:rsid w:val="52615633"/>
    <w:rsid w:val="526F4DE4"/>
    <w:rsid w:val="52977FD4"/>
    <w:rsid w:val="52A25790"/>
    <w:rsid w:val="52A96B6F"/>
    <w:rsid w:val="52B45975"/>
    <w:rsid w:val="52D94AA4"/>
    <w:rsid w:val="52EA3A62"/>
    <w:rsid w:val="52F50BB8"/>
    <w:rsid w:val="53097272"/>
    <w:rsid w:val="53544462"/>
    <w:rsid w:val="5397158E"/>
    <w:rsid w:val="53DD0F42"/>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00582"/>
    <w:rsid w:val="57032A2C"/>
    <w:rsid w:val="570F5219"/>
    <w:rsid w:val="5719786B"/>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117CBF"/>
    <w:rsid w:val="58917D2F"/>
    <w:rsid w:val="5894085C"/>
    <w:rsid w:val="58AE4F0C"/>
    <w:rsid w:val="58B85899"/>
    <w:rsid w:val="58E363A9"/>
    <w:rsid w:val="59166304"/>
    <w:rsid w:val="595E1678"/>
    <w:rsid w:val="596D5BD4"/>
    <w:rsid w:val="596D67DA"/>
    <w:rsid w:val="597E3DD8"/>
    <w:rsid w:val="59F80043"/>
    <w:rsid w:val="5A09252F"/>
    <w:rsid w:val="5A0B2778"/>
    <w:rsid w:val="5A2A7C7B"/>
    <w:rsid w:val="5A3E2560"/>
    <w:rsid w:val="5A5D3B6E"/>
    <w:rsid w:val="5A637A76"/>
    <w:rsid w:val="5A6D33BA"/>
    <w:rsid w:val="5A792B1F"/>
    <w:rsid w:val="5A826D32"/>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B009F"/>
    <w:rsid w:val="5E006862"/>
    <w:rsid w:val="5E0207B9"/>
    <w:rsid w:val="5E1834A1"/>
    <w:rsid w:val="5E261785"/>
    <w:rsid w:val="5E4A7017"/>
    <w:rsid w:val="5E552BBA"/>
    <w:rsid w:val="5E611C10"/>
    <w:rsid w:val="5E7A0F3F"/>
    <w:rsid w:val="5EC903A7"/>
    <w:rsid w:val="5EFC7377"/>
    <w:rsid w:val="5F06174D"/>
    <w:rsid w:val="5F3A3602"/>
    <w:rsid w:val="5F45733B"/>
    <w:rsid w:val="5F6277C6"/>
    <w:rsid w:val="5F6D0B1D"/>
    <w:rsid w:val="5F8D0B82"/>
    <w:rsid w:val="5FCC5339"/>
    <w:rsid w:val="5FE34A5B"/>
    <w:rsid w:val="5FFE1E36"/>
    <w:rsid w:val="60232584"/>
    <w:rsid w:val="606A6B3E"/>
    <w:rsid w:val="607330CE"/>
    <w:rsid w:val="60825176"/>
    <w:rsid w:val="609F2AC4"/>
    <w:rsid w:val="60FA2EE8"/>
    <w:rsid w:val="61054A27"/>
    <w:rsid w:val="610A52BC"/>
    <w:rsid w:val="611D2366"/>
    <w:rsid w:val="61421856"/>
    <w:rsid w:val="615227C4"/>
    <w:rsid w:val="61654E3F"/>
    <w:rsid w:val="6182292A"/>
    <w:rsid w:val="619F7F92"/>
    <w:rsid w:val="61EB7A25"/>
    <w:rsid w:val="61F94C26"/>
    <w:rsid w:val="62000E56"/>
    <w:rsid w:val="624F3E49"/>
    <w:rsid w:val="62632286"/>
    <w:rsid w:val="62885958"/>
    <w:rsid w:val="62F40B65"/>
    <w:rsid w:val="62FC2CFE"/>
    <w:rsid w:val="63024505"/>
    <w:rsid w:val="630312BF"/>
    <w:rsid w:val="635600A5"/>
    <w:rsid w:val="635B1DB5"/>
    <w:rsid w:val="63711FED"/>
    <w:rsid w:val="63880DDC"/>
    <w:rsid w:val="638D750D"/>
    <w:rsid w:val="63AC6CC0"/>
    <w:rsid w:val="64055776"/>
    <w:rsid w:val="64240056"/>
    <w:rsid w:val="642F7CE0"/>
    <w:rsid w:val="643E143A"/>
    <w:rsid w:val="64491666"/>
    <w:rsid w:val="64632CB3"/>
    <w:rsid w:val="648B6EEF"/>
    <w:rsid w:val="64C158BF"/>
    <w:rsid w:val="64CE2EAA"/>
    <w:rsid w:val="651F5CD9"/>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780FAF"/>
    <w:rsid w:val="69CC2BFF"/>
    <w:rsid w:val="69FD55B8"/>
    <w:rsid w:val="6A0B1C62"/>
    <w:rsid w:val="6A1231B1"/>
    <w:rsid w:val="6A2406C8"/>
    <w:rsid w:val="6AB05323"/>
    <w:rsid w:val="6ADE0BD1"/>
    <w:rsid w:val="6AE96859"/>
    <w:rsid w:val="6B147746"/>
    <w:rsid w:val="6B24787C"/>
    <w:rsid w:val="6B573233"/>
    <w:rsid w:val="6B5B6274"/>
    <w:rsid w:val="6B935D53"/>
    <w:rsid w:val="6C196F71"/>
    <w:rsid w:val="6C226FCB"/>
    <w:rsid w:val="6C31226F"/>
    <w:rsid w:val="6C354F35"/>
    <w:rsid w:val="6C552F0B"/>
    <w:rsid w:val="6C8C67B7"/>
    <w:rsid w:val="6C9D744C"/>
    <w:rsid w:val="6D167928"/>
    <w:rsid w:val="6D26299B"/>
    <w:rsid w:val="6D372F2F"/>
    <w:rsid w:val="6D4772EC"/>
    <w:rsid w:val="6D9078AF"/>
    <w:rsid w:val="6DAA3FEF"/>
    <w:rsid w:val="6DC0172B"/>
    <w:rsid w:val="6DCB690C"/>
    <w:rsid w:val="6DD41A5B"/>
    <w:rsid w:val="6DF43C2E"/>
    <w:rsid w:val="6DF51CA3"/>
    <w:rsid w:val="6E8335BD"/>
    <w:rsid w:val="6E8E12EF"/>
    <w:rsid w:val="6E972936"/>
    <w:rsid w:val="6E9C6925"/>
    <w:rsid w:val="6ED446C5"/>
    <w:rsid w:val="6F2A7D94"/>
    <w:rsid w:val="6F8331F1"/>
    <w:rsid w:val="6FAE1A09"/>
    <w:rsid w:val="6FD75BF8"/>
    <w:rsid w:val="707723D0"/>
    <w:rsid w:val="70E23C4E"/>
    <w:rsid w:val="70F5661B"/>
    <w:rsid w:val="71360107"/>
    <w:rsid w:val="713B688E"/>
    <w:rsid w:val="71D43752"/>
    <w:rsid w:val="71F1796A"/>
    <w:rsid w:val="72031718"/>
    <w:rsid w:val="72154626"/>
    <w:rsid w:val="72262B5D"/>
    <w:rsid w:val="72283FF7"/>
    <w:rsid w:val="722E7212"/>
    <w:rsid w:val="723A0474"/>
    <w:rsid w:val="725923E4"/>
    <w:rsid w:val="72864BF7"/>
    <w:rsid w:val="729023FC"/>
    <w:rsid w:val="73C0646E"/>
    <w:rsid w:val="742222F5"/>
    <w:rsid w:val="74476126"/>
    <w:rsid w:val="74704F56"/>
    <w:rsid w:val="74706664"/>
    <w:rsid w:val="747F3682"/>
    <w:rsid w:val="749C4185"/>
    <w:rsid w:val="74A06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A5D28"/>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32269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741DC0"/>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19"/>
    <w:autoRedefine/>
    <w:qFormat/>
    <w:uiPriority w:val="0"/>
    <w:pPr>
      <w:adjustRightInd/>
      <w:spacing w:after="120" w:line="240" w:lineRule="auto"/>
      <w:ind w:left="420" w:leftChars="200" w:firstLine="210"/>
    </w:pPr>
    <w:rPr>
      <w:sz w:val="21"/>
    </w:rPr>
  </w:style>
  <w:style w:type="paragraph" w:styleId="3">
    <w:name w:val="Body Text Indent"/>
    <w:basedOn w:val="1"/>
    <w:link w:val="263"/>
    <w:autoRedefine/>
    <w:qFormat/>
    <w:uiPriority w:val="0"/>
    <w:pPr>
      <w:spacing w:line="480" w:lineRule="exact"/>
      <w:ind w:firstLine="480" w:firstLineChars="200"/>
    </w:pPr>
    <w:rPr>
      <w:rFonts w:ascii="宋体" w:hAnsi="宋体"/>
      <w:sz w:val="24"/>
    </w:rPr>
  </w:style>
  <w:style w:type="paragraph" w:styleId="7">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0"/>
    <w:autoRedefine/>
    <w:qFormat/>
    <w:uiPriority w:val="0"/>
    <w:pPr>
      <w:shd w:val="clear" w:color="auto" w:fill="000080"/>
    </w:pPr>
  </w:style>
  <w:style w:type="paragraph" w:styleId="21">
    <w:name w:val="annotation text"/>
    <w:basedOn w:val="1"/>
    <w:link w:val="342"/>
    <w:autoRedefine/>
    <w:qFormat/>
    <w:uiPriority w:val="99"/>
    <w:pPr>
      <w:jc w:val="left"/>
    </w:pPr>
  </w:style>
  <w:style w:type="paragraph" w:styleId="22">
    <w:name w:val="Salutation"/>
    <w:basedOn w:val="1"/>
    <w:next w:val="1"/>
    <w:link w:val="296"/>
    <w:autoRedefine/>
    <w:qFormat/>
    <w:uiPriority w:val="0"/>
    <w:rPr>
      <w:rFonts w:ascii="仿宋_GB2312" w:eastAsia="仿宋_GB2312"/>
      <w:sz w:val="28"/>
      <w:szCs w:val="20"/>
    </w:rPr>
  </w:style>
  <w:style w:type="paragraph" w:styleId="23">
    <w:name w:val="Body Text 3"/>
    <w:basedOn w:val="1"/>
    <w:link w:val="328"/>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autoRedefine/>
    <w:qFormat/>
    <w:uiPriority w:val="0"/>
    <w:rPr>
      <w:b/>
      <w:bCs/>
    </w:rPr>
  </w:style>
  <w:style w:type="paragraph" w:styleId="61">
    <w:name w:val="Body Text First Indent"/>
    <w:basedOn w:val="25"/>
    <w:next w:val="51"/>
    <w:link w:val="319"/>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3"/>
    <w:autoRedefine/>
    <w:qFormat/>
    <w:uiPriority w:val="99"/>
    <w:pPr>
      <w:spacing w:line="200" w:lineRule="atLeast"/>
      <w:ind w:firstLine="420"/>
    </w:pPr>
    <w:rPr>
      <w:rFonts w:ascii="宋体" w:hAnsi="Courier New"/>
      <w:spacing w:val="-4"/>
      <w:sz w:val="18"/>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basedOn w:val="69"/>
    <w:autoRedefine/>
    <w:qFormat/>
    <w:uiPriority w:val="0"/>
    <w:rPr>
      <w:rFonts w:hint="eastAsia" w:ascii="仿宋_GB2312" w:eastAsia="仿宋_GB2312" w:cs="仿宋_GB2312"/>
      <w:color w:val="000000"/>
      <w:sz w:val="22"/>
      <w:szCs w:val="22"/>
      <w:u w:val="none"/>
    </w:rPr>
  </w:style>
  <w:style w:type="character" w:customStyle="1" w:styleId="145">
    <w:name w:val="标题 6 Char"/>
    <w:link w:val="10"/>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5"/>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3"/>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20"/>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basedOn w:val="69"/>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8"/>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8"/>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3"/>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4"/>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9"/>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2"/>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8"/>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1"/>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8"/>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3"/>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autoRedefine/>
    <w:qFormat/>
    <w:uiPriority w:val="0"/>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7"/>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6"/>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4"/>
    <w:autoRedefine/>
    <w:qFormat/>
    <w:uiPriority w:val="0"/>
    <w:pPr>
      <w:tabs>
        <w:tab w:val="left" w:pos="840"/>
      </w:tabs>
      <w:adjustRightInd/>
      <w:ind w:left="840" w:hanging="420"/>
    </w:pPr>
  </w:style>
  <w:style w:type="paragraph" w:customStyle="1" w:styleId="624">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0"/>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autoRedefine/>
    <w:qFormat/>
    <w:uiPriority w:val="0"/>
    <w:pPr>
      <w:tabs>
        <w:tab w:val="left" w:pos="1080"/>
      </w:tabs>
      <w:ind w:left="1080" w:hanging="1080"/>
    </w:pPr>
  </w:style>
  <w:style w:type="paragraph" w:customStyle="1" w:styleId="895">
    <w:name w:val="数字标题1"/>
    <w:basedOn w:val="4"/>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basedOn w:val="69"/>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w:autoRedefine/>
    <w:qFormat/>
    <w:uiPriority w:val="0"/>
    <w:rPr>
      <w:rFonts w:ascii="宋体" w:hAnsi="宋体" w:eastAsia="宋体" w:cs="Times New Roman"/>
      <w:sz w:val="24"/>
      <w:szCs w:val="22"/>
      <w:lang w:val="zh-CN" w:eastAsia="zh-CN" w:bidi="ar-SA"/>
    </w:rPr>
  </w:style>
  <w:style w:type="character" w:customStyle="1" w:styleId="964">
    <w:name w:val="font101"/>
    <w:basedOn w:val="69"/>
    <w:autoRedefine/>
    <w:qFormat/>
    <w:uiPriority w:val="0"/>
    <w:rPr>
      <w:rFonts w:hint="eastAsia" w:ascii="微软雅黑" w:hAnsi="微软雅黑" w:eastAsia="微软雅黑" w:cs="微软雅黑"/>
      <w:b/>
      <w:bCs/>
      <w:color w:val="FF6600"/>
      <w:sz w:val="20"/>
      <w:szCs w:val="20"/>
      <w:u w:val="none"/>
    </w:rPr>
  </w:style>
  <w:style w:type="character" w:customStyle="1" w:styleId="965">
    <w:name w:val="font112"/>
    <w:basedOn w:val="69"/>
    <w:autoRedefine/>
    <w:qFormat/>
    <w:uiPriority w:val="0"/>
    <w:rPr>
      <w:rFonts w:hint="eastAsia" w:ascii="微软雅黑" w:hAnsi="微软雅黑" w:eastAsia="微软雅黑" w:cs="微软雅黑"/>
      <w:b/>
      <w:bCs/>
      <w:color w:val="FF9900"/>
      <w:sz w:val="20"/>
      <w:szCs w:val="20"/>
      <w:u w:val="none"/>
    </w:rPr>
  </w:style>
  <w:style w:type="paragraph" w:customStyle="1" w:styleId="966">
    <w:name w:val="UserStyle_0"/>
    <w:basedOn w:val="1"/>
    <w:autoRedefine/>
    <w:qFormat/>
    <w:uiPriority w:val="0"/>
    <w:pPr>
      <w:spacing w:before="156" w:line="360" w:lineRule="auto"/>
      <w:ind w:firstLine="510" w:firstLineChars="200"/>
      <w:jc w:val="both"/>
      <w:textAlignment w:val="baseline"/>
    </w:pPr>
    <w:rPr>
      <w:rFonts w:ascii="Calibri" w:hAnsi="Calibri" w:eastAsia="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44468</Words>
  <Characters>47754</Characters>
  <Lines>279</Lines>
  <Paragraphs>78</Paragraphs>
  <TotalTime>32</TotalTime>
  <ScaleCrop>false</ScaleCrop>
  <LinksUpToDate>false</LinksUpToDate>
  <CharactersWithSpaces>53213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大梁</cp:lastModifiedBy>
  <cp:lastPrinted>2021-12-27T03:06:00Z</cp:lastPrinted>
  <dcterms:modified xsi:type="dcterms:W3CDTF">2024-06-28T03:26:13Z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7822AE76B978409EAD453F2AB53502C6_13</vt:lpwstr>
  </property>
</Properties>
</file>