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p>
    <w:p>
      <w:pPr>
        <w:adjustRightInd/>
        <w:spacing w:line="360" w:lineRule="auto"/>
        <w:jc w:val="center"/>
        <w:rPr>
          <w:rFonts w:ascii="宋体" w:hAnsi="宋体" w:cs="宋体"/>
          <w:b/>
          <w:color w:val="auto"/>
          <w:sz w:val="44"/>
          <w:szCs w:val="44"/>
          <w:highlight w:val="none"/>
        </w:rPr>
      </w:pPr>
    </w:p>
    <w:p>
      <w:pPr>
        <w:spacing w:line="360" w:lineRule="auto"/>
        <w:jc w:val="center"/>
        <w:rPr>
          <w:rFonts w:ascii="宋体" w:hAnsi="宋体" w:cs="宋体"/>
          <w:b/>
          <w:color w:val="auto"/>
          <w:sz w:val="44"/>
          <w:szCs w:val="44"/>
          <w:highlight w:val="none"/>
        </w:rPr>
      </w:pPr>
    </w:p>
    <w:p>
      <w:pPr>
        <w:adjustRightInd/>
        <w:spacing w:line="360" w:lineRule="auto"/>
        <w:jc w:val="center"/>
        <w:rPr>
          <w:rFonts w:ascii="宋体" w:hAnsi="宋体" w:cs="宋体"/>
          <w:b/>
          <w:color w:val="auto"/>
          <w:sz w:val="48"/>
          <w:szCs w:val="48"/>
          <w:highlight w:val="none"/>
        </w:rPr>
      </w:pPr>
    </w:p>
    <w:p>
      <w:pPr>
        <w:adjustRightInd/>
        <w:spacing w:line="360" w:lineRule="auto"/>
        <w:jc w:val="center"/>
        <w:rPr>
          <w:rFonts w:hint="eastAsia" w:ascii="宋体" w:hAnsi="宋体" w:eastAsia="宋体" w:cs="宋体"/>
          <w:color w:val="auto"/>
          <w:sz w:val="48"/>
          <w:szCs w:val="48"/>
          <w:highlight w:val="none"/>
          <w:lang w:eastAsia="zh-CN"/>
        </w:rPr>
      </w:pPr>
      <w:bookmarkStart w:id="0" w:name="OLE_LINK2"/>
      <w:r>
        <w:rPr>
          <w:rFonts w:hint="eastAsia" w:ascii="宋体" w:hAnsi="宋体" w:cs="宋体"/>
          <w:color w:val="auto"/>
          <w:sz w:val="48"/>
          <w:szCs w:val="48"/>
          <w:highlight w:val="none"/>
          <w:lang w:eastAsia="zh-CN"/>
        </w:rPr>
        <w:t>运河街道道路安全隐患及零星交通安全设施应急处理设备采购项目</w:t>
      </w:r>
    </w:p>
    <w:bookmarkEnd w:id="0"/>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HZZHCG2024-033</w:t>
      </w:r>
    </w:p>
    <w:p>
      <w:pPr>
        <w:adjustRightInd/>
        <w:spacing w:line="360" w:lineRule="auto"/>
        <w:rPr>
          <w:rFonts w:ascii="宋体" w:hAnsi="宋体" w:cs="宋体"/>
          <w:color w:val="auto"/>
          <w:sz w:val="28"/>
          <w:szCs w:val="20"/>
          <w:highlight w:val="none"/>
        </w:rPr>
      </w:pPr>
    </w:p>
    <w:p>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杭州市临平区人民政府运河街道办事处</w:t>
      </w:r>
    </w:p>
    <w:p>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杭州正鸿工程咨询有限公司</w:t>
      </w: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四</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十二</w:t>
      </w:r>
      <w:r>
        <w:rPr>
          <w:rFonts w:hint="eastAsia" w:ascii="宋体" w:hAnsi="宋体" w:cs="宋体"/>
          <w:bCs/>
          <w:color w:val="auto"/>
          <w:sz w:val="32"/>
          <w:szCs w:val="32"/>
          <w:highlight w:val="none"/>
        </w:rPr>
        <w:t>月</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1" w:name="_Hlt67893495"/>
      <w:bookmarkEnd w:id="1"/>
    </w:p>
    <w:p>
      <w:pPr>
        <w:pStyle w:val="321"/>
        <w:rPr>
          <w:color w:val="auto"/>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549" w:firstLineChars="229"/>
        <w:rPr>
          <w:rFonts w:ascii="宋体" w:hAnsi="宋体" w:cs="宋体"/>
          <w:color w:val="auto"/>
          <w:sz w:val="24"/>
          <w:highlight w:val="none"/>
        </w:rPr>
      </w:pPr>
      <w:bookmarkStart w:id="2" w:name="_Hlt91233176"/>
      <w:bookmarkEnd w:id="2"/>
      <w:bookmarkStart w:id="3"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4" w:name="第一部分"/>
      <w:r>
        <w:rPr>
          <w:rFonts w:hint="eastAsia" w:ascii="宋体" w:hAnsi="宋体" w:cs="宋体"/>
          <w:b/>
          <w:color w:val="auto"/>
          <w:sz w:val="36"/>
          <w:szCs w:val="36"/>
          <w:highlight w:val="none"/>
        </w:rPr>
        <w:br w:type="page"/>
      </w:r>
      <w:bookmarkEnd w:id="3"/>
      <w:bookmarkEnd w:id="4"/>
      <w:bookmarkStart w:id="5" w:name="_Hlt74649545"/>
      <w:bookmarkEnd w:id="5"/>
      <w:bookmarkStart w:id="6" w:name="_Hlt74707423"/>
      <w:bookmarkEnd w:id="6"/>
      <w:bookmarkStart w:id="7" w:name="_Hlt74728647"/>
      <w:bookmarkEnd w:id="7"/>
      <w:bookmarkStart w:id="8" w:name="_Hlt74729822"/>
      <w:bookmarkEnd w:id="8"/>
      <w:bookmarkStart w:id="9" w:name="第二部分"/>
      <w:bookmarkStart w:id="10" w:name="_Toc91899870"/>
      <w:bookmarkStart w:id="11"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运河街道道路安全隐患及零星交通安全设施应急处理设备采购项目</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宋体" w:hAnsi="宋体" w:eastAsia="宋体" w:cs="宋体"/>
          <w:color w:val="auto"/>
          <w:kern w:val="2"/>
          <w:sz w:val="24"/>
          <w:szCs w:val="24"/>
          <w:highlight w:val="none"/>
        </w:rPr>
        <w:t>https://www.zcygov.cn/）获取（下载）招标文件，并于</w:t>
      </w:r>
      <w:r>
        <w:rPr>
          <w:rStyle w:val="77"/>
          <w:rFonts w:hint="eastAsia" w:ascii="宋体" w:hAnsi="宋体" w:cs="宋体"/>
          <w:color w:val="auto"/>
          <w:kern w:val="2"/>
          <w:sz w:val="24"/>
          <w:szCs w:val="24"/>
          <w:highlight w:val="none"/>
          <w:lang w:eastAsia="zh-CN"/>
        </w:rPr>
        <w:t>2024年</w:t>
      </w:r>
      <w:r>
        <w:rPr>
          <w:rStyle w:val="77"/>
          <w:rFonts w:hint="eastAsia" w:ascii="宋体" w:hAnsi="宋体" w:cs="宋体"/>
          <w:color w:val="auto"/>
          <w:kern w:val="2"/>
          <w:sz w:val="24"/>
          <w:szCs w:val="24"/>
          <w:highlight w:val="none"/>
          <w:lang w:val="en-US" w:eastAsia="zh-CN"/>
        </w:rPr>
        <w:t>12月27日13点30分00秒</w:t>
      </w:r>
      <w:r>
        <w:rPr>
          <w:rStyle w:val="77"/>
          <w:rFonts w:hint="eastAsia" w:ascii="宋体" w:hAnsi="宋体" w:eastAsia="宋体" w:cs="宋体"/>
          <w:bCs/>
          <w:color w:val="auto"/>
          <w:kern w:val="2"/>
          <w:sz w:val="24"/>
          <w:szCs w:val="24"/>
          <w:highlight w:val="non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HZZHCG2024-033</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运河街道道路安全隐患及零星交通安全设施应急处理设备采购项目</w:t>
      </w:r>
    </w:p>
    <w:p>
      <w:pPr>
        <w:spacing w:line="360" w:lineRule="auto"/>
        <w:rPr>
          <w:rFonts w:hint="default" w:ascii="宋体" w:hAnsi="宋体" w:eastAsia="宋体" w:cs="宋体"/>
          <w:b/>
          <w:bCs/>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ascii="宋体" w:hAnsi="宋体" w:cs="宋体"/>
          <w:color w:val="auto"/>
          <w:sz w:val="24"/>
          <w:highlight w:val="none"/>
        </w:rPr>
        <w:t xml:space="preserve"> </w:t>
      </w:r>
      <w:r>
        <w:rPr>
          <w:rFonts w:hint="eastAsia" w:ascii="宋体" w:hAnsi="宋体" w:cs="宋体"/>
          <w:b/>
          <w:bCs/>
          <w:color w:val="auto"/>
          <w:sz w:val="24"/>
          <w:highlight w:val="none"/>
          <w:lang w:val="en-US" w:eastAsia="zh-CN"/>
        </w:rPr>
        <w:t>3900000</w:t>
      </w:r>
    </w:p>
    <w:p>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b/>
          <w:bCs/>
          <w:color w:val="auto"/>
          <w:sz w:val="24"/>
          <w:highlight w:val="none"/>
        </w:rPr>
        <w:t>最高限价（元）：</w:t>
      </w:r>
      <w:r>
        <w:rPr>
          <w:rFonts w:ascii="宋体" w:hAnsi="宋体" w:cs="宋体"/>
          <w:b/>
          <w:bCs/>
          <w:color w:val="auto"/>
          <w:sz w:val="24"/>
          <w:highlight w:val="none"/>
        </w:rPr>
        <w:t xml:space="preserve"> </w:t>
      </w:r>
      <w:r>
        <w:rPr>
          <w:rFonts w:hint="eastAsia" w:ascii="宋体" w:hAnsi="宋体" w:cs="宋体"/>
          <w:b/>
          <w:bCs/>
          <w:color w:val="auto"/>
          <w:sz w:val="24"/>
          <w:highlight w:val="none"/>
          <w:lang w:val="en-US" w:eastAsia="zh-CN"/>
        </w:rPr>
        <w:t>3900000</w:t>
      </w:r>
    </w:p>
    <w:p>
      <w:pPr>
        <w:pStyle w:val="7"/>
        <w:spacing w:line="360" w:lineRule="auto"/>
        <w:ind w:firstLine="480"/>
        <w:rPr>
          <w:rFonts w:hAnsi="宋体" w:cs="宋体"/>
          <w:bCs/>
          <w:color w:val="auto"/>
          <w:kern w:val="2"/>
          <w:sz w:val="24"/>
          <w:szCs w:val="24"/>
          <w:highlight w:val="none"/>
        </w:rPr>
      </w:pPr>
      <w:r>
        <w:rPr>
          <w:rFonts w:hint="eastAsia" w:hAnsi="宋体" w:cs="宋体"/>
          <w:b/>
          <w:color w:val="auto"/>
          <w:sz w:val="24"/>
          <w:highlight w:val="none"/>
        </w:rPr>
        <w:t>采购需求：</w:t>
      </w:r>
      <w:r>
        <w:rPr>
          <w:rFonts w:hint="eastAsia" w:hAnsi="宋体" w:cs="宋体"/>
          <w:bCs/>
          <w:color w:val="auto"/>
          <w:kern w:val="2"/>
          <w:sz w:val="24"/>
          <w:szCs w:val="24"/>
          <w:highlight w:val="none"/>
          <w:lang w:eastAsia="zh-CN"/>
        </w:rPr>
        <w:t>运河街道道路安全隐患及零星交通安全设施应急处理设备采购项目</w:t>
      </w:r>
      <w:r>
        <w:rPr>
          <w:rFonts w:hint="eastAsia" w:hAnsi="宋体" w:cs="宋体"/>
          <w:bCs/>
          <w:color w:val="auto"/>
          <w:kern w:val="2"/>
          <w:sz w:val="24"/>
          <w:szCs w:val="24"/>
          <w:highlight w:val="none"/>
        </w:rPr>
        <w:t>主要内容：</w:t>
      </w:r>
      <w:r>
        <w:rPr>
          <w:rFonts w:hint="eastAsia" w:ascii="宋体" w:hAnsi="宋体" w:eastAsia="宋体"/>
          <w:color w:val="auto"/>
          <w:kern w:val="2"/>
          <w:sz w:val="24"/>
          <w:szCs w:val="24"/>
          <w:highlight w:val="none"/>
        </w:rPr>
        <w:t>以招标文件第三部分采购需求为准，供应商可点击本公告下方“浏览采购文件”查看采购需求。</w:t>
      </w:r>
    </w:p>
    <w:p>
      <w:pPr>
        <w:pStyle w:val="86"/>
        <w:ind w:firstLine="482"/>
        <w:outlineLvl w:val="2"/>
        <w:rPr>
          <w:rFonts w:ascii="宋体" w:hAnsi="宋体" w:cs="宋体"/>
          <w:color w:val="auto"/>
          <w:highlight w:val="none"/>
        </w:rPr>
      </w:pPr>
      <w:r>
        <w:rPr>
          <w:rFonts w:hint="eastAsia" w:ascii="宋体" w:hAnsi="宋体" w:cs="宋体"/>
          <w:b/>
          <w:color w:val="auto"/>
          <w:highlight w:val="none"/>
        </w:rPr>
        <w:t>合同履约期限：</w:t>
      </w:r>
      <w:r>
        <w:rPr>
          <w:rFonts w:hint="eastAsia" w:ascii="宋体" w:hAnsi="宋体" w:cs="宋体"/>
          <w:color w:val="000000"/>
          <w:highlight w:val="none"/>
          <w:lang w:val="en-US" w:eastAsia="zh-CN"/>
        </w:rPr>
        <w:t>二年</w:t>
      </w:r>
      <w:r>
        <w:rPr>
          <w:rFonts w:hint="eastAsia" w:ascii="宋体" w:hAnsi="宋体" w:cs="宋体"/>
          <w:b/>
          <w:color w:val="auto"/>
          <w:highlight w:val="none"/>
          <w:lang w:eastAsia="zh-CN"/>
        </w:rPr>
        <w:t>。</w:t>
      </w:r>
      <w:r>
        <w:rPr>
          <w:rFonts w:ascii="宋体" w:hAnsi="宋体" w:cs="宋体"/>
          <w:color w:val="auto"/>
          <w:highlight w:val="none"/>
        </w:rPr>
        <w:t xml:space="preserve"> </w:t>
      </w:r>
    </w:p>
    <w:p>
      <w:pPr>
        <w:pStyle w:val="7"/>
        <w:spacing w:line="360" w:lineRule="auto"/>
        <w:ind w:firstLine="480"/>
        <w:rPr>
          <w:rFonts w:hAnsi="宋体" w:cs="宋体"/>
          <w:b/>
          <w:color w:val="auto"/>
          <w:highlight w:val="none"/>
        </w:rPr>
      </w:pPr>
      <w:r>
        <w:rPr>
          <w:rFonts w:hint="eastAsia" w:hAnsi="宋体" w:cs="宋体"/>
          <w:b/>
          <w:color w:val="auto"/>
          <w:sz w:val="24"/>
          <w:highlight w:val="none"/>
        </w:rPr>
        <w:t>本项目接受联合体投标：</w:t>
      </w:r>
      <w:r>
        <w:rPr>
          <w:rFonts w:hAnsi="宋体" w:cs="宋体"/>
          <w:color w:val="auto"/>
          <w:kern w:val="0"/>
          <w:sz w:val="24"/>
          <w:highlight w:val="none"/>
        </w:rPr>
        <w:t xml:space="preserve"> </w:t>
      </w:r>
      <w:r>
        <w:rPr>
          <w:rFonts w:hAnsi="宋体" w:cs="宋体"/>
          <w:color w:val="auto"/>
          <w:kern w:val="0"/>
          <w:sz w:val="24"/>
          <w:highlight w:val="none"/>
        </w:rPr>
        <w:sym w:font="Wingdings" w:char="F0FE"/>
      </w:r>
      <w:r>
        <w:rPr>
          <w:rFonts w:hint="eastAsia" w:hAnsi="宋体" w:cs="宋体"/>
          <w:b/>
          <w:color w:val="auto"/>
          <w:sz w:val="24"/>
          <w:highlight w:val="none"/>
        </w:rPr>
        <w:t>是；</w:t>
      </w:r>
      <w:r>
        <w:rPr>
          <w:rFonts w:ascii="Segoe UI Symbol" w:hAnsi="Segoe UI Symbol" w:cs="Segoe UI Symbol"/>
          <w:color w:val="auto"/>
          <w:kern w:val="0"/>
          <w:sz w:val="24"/>
          <w:highlight w:val="none"/>
        </w:rPr>
        <w:t>☐</w:t>
      </w:r>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二、申请人的资格要求：</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r>
        <w:rPr>
          <w:rFonts w:hint="eastAsia" w:ascii="Wingdings" w:hAnsi="Wingdings" w:eastAsia="MS Gothic" w:cs="宋体"/>
          <w:color w:val="auto"/>
          <w:kern w:val="0"/>
          <w:sz w:val="24"/>
          <w:szCs w:val="24"/>
          <w:highlight w:val="none"/>
          <w:lang w:val="en-US" w:eastAsia="zh-CN" w:bidi="ar-SA"/>
        </w:rPr>
        <w:sym w:font="Wingdings" w:char="00A8"/>
      </w:r>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p>
    <w:p>
      <w:pPr>
        <w:spacing w:line="360" w:lineRule="auto"/>
        <w:ind w:firstLine="480" w:firstLineChars="200"/>
        <w:rPr>
          <w:rFonts w:ascii="宋体" w:hAnsi="宋体" w:cs="宋体"/>
          <w:color w:val="auto"/>
          <w:sz w:val="24"/>
          <w:highlight w:val="none"/>
        </w:rPr>
      </w:pPr>
      <w:r>
        <w:rPr>
          <w:rFonts w:hint="eastAsia" w:ascii="Wingdings" w:hAnsi="Wingdings" w:eastAsia="MS Gothic" w:cs="宋体"/>
          <w:color w:val="auto"/>
          <w:kern w:val="0"/>
          <w:sz w:val="24"/>
          <w:szCs w:val="24"/>
          <w:highlight w:val="none"/>
          <w:lang w:val="en-US" w:eastAsia="zh-CN" w:bidi="ar-SA"/>
        </w:rPr>
        <w:sym w:font="Wingdings" w:char="00FE"/>
      </w: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rPr>
      </w:pPr>
      <w:r>
        <w:rPr>
          <w:rFonts w:hint="eastAsia" w:ascii="Wingdings" w:hAnsi="Wingdings" w:eastAsia="MS Gothic" w:cs="宋体"/>
          <w:color w:val="auto"/>
          <w:kern w:val="0"/>
          <w:sz w:val="24"/>
          <w:szCs w:val="24"/>
          <w:highlight w:val="none"/>
          <w:lang w:val="en-US" w:eastAsia="zh-CN" w:bidi="ar-SA"/>
        </w:rPr>
        <w:sym w:font="Wingdings" w:char="00FE"/>
      </w:r>
      <w:r>
        <w:rPr>
          <w:rFonts w:hint="eastAsia" w:ascii="宋体" w:hAnsi="宋体" w:cs="宋体"/>
          <w:color w:val="auto"/>
          <w:sz w:val="24"/>
          <w:highlight w:val="none"/>
        </w:rPr>
        <w:t>服务全部由符合政策要求的中小企业承接，提供中小企业声明函；</w:t>
      </w:r>
    </w:p>
    <w:p>
      <w:pPr>
        <w:spacing w:line="360" w:lineRule="auto"/>
        <w:ind w:firstLine="897" w:firstLineChars="374"/>
        <w:rPr>
          <w:rFonts w:ascii="宋体" w:hAnsi="宋体" w:cs="宋体"/>
          <w:color w:val="auto"/>
          <w:sz w:val="24"/>
          <w:highlight w:val="none"/>
        </w:rPr>
      </w:pPr>
      <w:r>
        <w:rPr>
          <w:rFonts w:hint="eastAsia" w:ascii="Wingdings" w:hAnsi="Wingdings" w:eastAsia="MS Gothic" w:cs="宋体"/>
          <w:color w:val="auto"/>
          <w:kern w:val="0"/>
          <w:sz w:val="24"/>
          <w:szCs w:val="24"/>
          <w:highlight w:val="none"/>
          <w:lang w:val="en-US" w:eastAsia="zh-CN" w:bidi="ar-SA"/>
        </w:rPr>
        <w:sym w:font="Wingdings" w:char="00A8"/>
      </w:r>
      <w:r>
        <w:rPr>
          <w:rFonts w:hint="eastAsia" w:ascii="宋体" w:hAnsi="宋体" w:cs="宋体"/>
          <w:color w:val="auto"/>
          <w:sz w:val="24"/>
          <w:highlight w:val="none"/>
        </w:rPr>
        <w:t>服务全部由符合政策要求的小微企业承接，提供中小企业声明函；</w:t>
      </w:r>
    </w:p>
    <w:p>
      <w:pPr>
        <w:rPr>
          <w:rFonts w:ascii="宋体" w:hAnsi="宋体" w:cs="宋体"/>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bookmarkStart w:id="12" w:name="OLE_LINK10"/>
      <w:r>
        <w:rPr>
          <w:rFonts w:hint="eastAsia" w:ascii="宋体" w:hAnsi="宋体" w:cs="宋体"/>
          <w:color w:val="auto"/>
          <w:sz w:val="24"/>
          <w:highlight w:val="none"/>
        </w:rPr>
        <w:t>具备“公路交通工程（公路安全设施）专业承包</w:t>
      </w:r>
      <w:r>
        <w:rPr>
          <w:rFonts w:hint="eastAsia" w:ascii="宋体" w:hAnsi="宋体" w:cs="宋体"/>
          <w:color w:val="auto"/>
          <w:sz w:val="24"/>
          <w:highlight w:val="none"/>
          <w:lang w:eastAsia="zh-CN"/>
        </w:rPr>
        <w:t>贰</w:t>
      </w:r>
      <w:r>
        <w:rPr>
          <w:rFonts w:hint="eastAsia" w:ascii="宋体" w:hAnsi="宋体" w:cs="宋体"/>
          <w:color w:val="auto"/>
          <w:sz w:val="24"/>
          <w:highlight w:val="none"/>
        </w:rPr>
        <w:t>级资质”（浙江省外企业须提供有效的《省外企业进浙承接业务备案证明》）</w:t>
      </w:r>
      <w:bookmarkEnd w:id="12"/>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48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lang w:eastAsia="zh-CN"/>
        </w:rPr>
        <w:t>2024年</w:t>
      </w:r>
      <w:r>
        <w:rPr>
          <w:rFonts w:hint="eastAsia" w:ascii="宋体" w:hAnsi="宋体" w:cs="宋体"/>
          <w:color w:val="auto"/>
          <w:sz w:val="24"/>
          <w:highlight w:val="none"/>
          <w:u w:val="single"/>
          <w:lang w:val="en-US" w:eastAsia="zh-CN"/>
        </w:rPr>
        <w:t>12月27日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bookmarkStart w:id="13" w:name="OLE_LINK30"/>
      <w:bookmarkStart w:id="14" w:name="OLE_LINK27"/>
      <w:bookmarkStart w:id="15" w:name="OLE_LINK28"/>
      <w:r>
        <w:rPr>
          <w:rFonts w:hint="eastAsia" w:ascii="宋体" w:hAnsi="宋体" w:cs="宋体"/>
          <w:b/>
          <w:color w:val="auto"/>
          <w:sz w:val="24"/>
          <w:highlight w:val="none"/>
        </w:rPr>
        <w:t>提交投标文件截止时间</w:t>
      </w:r>
      <w:bookmarkEnd w:id="13"/>
      <w:r>
        <w:rPr>
          <w:rFonts w:hint="eastAsia" w:ascii="宋体" w:hAnsi="宋体" w:cs="宋体"/>
          <w:b/>
          <w:color w:val="auto"/>
          <w:sz w:val="24"/>
          <w:highlight w:val="none"/>
        </w:rPr>
        <w:t>：</w:t>
      </w:r>
      <w:bookmarkEnd w:id="14"/>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2024年</w:t>
      </w:r>
      <w:r>
        <w:rPr>
          <w:rFonts w:hint="eastAsia" w:ascii="宋体" w:hAnsi="宋体" w:cs="宋体"/>
          <w:color w:val="auto"/>
          <w:sz w:val="24"/>
          <w:highlight w:val="none"/>
          <w:u w:val="single"/>
          <w:lang w:val="en-US" w:eastAsia="zh-CN"/>
        </w:rPr>
        <w:t>12月27日13点30分00秒</w:t>
      </w:r>
      <w:bookmarkEnd w:id="15"/>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bCs/>
          <w:color w:val="auto"/>
          <w:sz w:val="24"/>
          <w:highlight w:val="none"/>
          <w:u w:val="single"/>
        </w:rPr>
      </w:pPr>
      <w:bookmarkStart w:id="556" w:name="_GoBack"/>
      <w:r>
        <w:rPr>
          <w:rFonts w:hint="eastAsia" w:ascii="宋体" w:hAnsi="宋体" w:cs="宋体"/>
          <w:b/>
          <w:color w:val="auto"/>
          <w:sz w:val="24"/>
          <w:highlight w:val="none"/>
        </w:rPr>
        <w:t>开标时间：</w:t>
      </w:r>
      <w:r>
        <w:rPr>
          <w:rFonts w:hint="eastAsia" w:ascii="宋体" w:hAnsi="宋体" w:cs="宋体"/>
          <w:color w:val="auto"/>
          <w:sz w:val="24"/>
          <w:highlight w:val="none"/>
          <w:u w:val="single"/>
          <w:lang w:eastAsia="zh-CN"/>
        </w:rPr>
        <w:t>2024年</w:t>
      </w:r>
      <w:r>
        <w:rPr>
          <w:rFonts w:hint="eastAsia" w:ascii="宋体" w:hAnsi="宋体" w:cs="宋体"/>
          <w:color w:val="auto"/>
          <w:sz w:val="24"/>
          <w:highlight w:val="none"/>
          <w:u w:val="single"/>
          <w:lang w:val="en-US" w:eastAsia="zh-CN"/>
        </w:rPr>
        <w:t>12月27日13点30分00秒</w:t>
      </w:r>
      <w:bookmarkEnd w:id="556"/>
      <w:r>
        <w:rPr>
          <w:rFonts w:hint="eastAsia" w:ascii="宋体" w:hAnsi="宋体" w:cs="宋体"/>
          <w:bCs/>
          <w:color w:val="auto"/>
          <w:sz w:val="24"/>
          <w:highlight w:val="none"/>
          <w:u w:val="singl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w:t>
      </w:r>
      <w:bookmarkStart w:id="16" w:name="OLE_LINK3"/>
      <w:bookmarkStart w:id="17" w:name="OLE_LINK8"/>
      <w:r>
        <w:rPr>
          <w:rFonts w:hint="eastAsia" w:ascii="宋体" w:hAnsi="宋体" w:cs="宋体"/>
          <w:color w:val="auto"/>
          <w:sz w:val="24"/>
          <w:highlight w:val="none"/>
        </w:rPr>
        <w:t>1.</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bookmarkEnd w:id="16"/>
    </w:p>
    <w:bookmarkEnd w:id="17"/>
    <w:p>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eastAsia="zh-CN"/>
        </w:rPr>
        <w:t>杭州市临平区人民政府运河街道办事处</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color w:val="auto"/>
          <w:sz w:val="24"/>
          <w:lang w:eastAsia="zh-CN"/>
        </w:rPr>
        <w:t>杭州市临平区</w:t>
      </w:r>
      <w:r>
        <w:rPr>
          <w:rFonts w:hint="eastAsia" w:ascii="宋体" w:hAnsi="宋体" w:cs="宋体"/>
          <w:color w:val="auto"/>
          <w:sz w:val="24"/>
          <w:lang w:val="en-US" w:eastAsia="zh-CN"/>
        </w:rPr>
        <w:t>运河街道</w:t>
      </w:r>
      <w:r>
        <w:rPr>
          <w:rFonts w:hint="eastAsia" w:ascii="宋体" w:hAnsi="宋体" w:cs="宋体"/>
          <w:color w:val="auto"/>
          <w:sz w:val="24"/>
          <w:lang w:eastAsia="zh-CN"/>
        </w:rPr>
        <w:t>兴旺大道1号</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项目联系人（询问）： 胡礼明</w:t>
      </w:r>
    </w:p>
    <w:p>
      <w:pPr>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    项目联系方式（询问）： 0571-86210102</w:t>
      </w:r>
    </w:p>
    <w:p>
      <w:pPr>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    质疑联系人：范跃平</w:t>
      </w:r>
    </w:p>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 xml:space="preserve">    质疑联系方式：0571-86187391</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杭州正鸿工程咨询有限公司</w:t>
      </w:r>
    </w:p>
    <w:p>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地    址：</w:t>
      </w:r>
      <w:bookmarkStart w:id="18" w:name="OLE_LINK9"/>
      <w:r>
        <w:rPr>
          <w:rFonts w:hint="eastAsia" w:ascii="宋体" w:hAnsi="宋体" w:cs="宋体"/>
          <w:color w:val="auto"/>
          <w:sz w:val="24"/>
          <w:highlight w:val="none"/>
        </w:rPr>
        <w:t>杭州市</w:t>
      </w:r>
      <w:r>
        <w:rPr>
          <w:rFonts w:hint="eastAsia" w:ascii="宋体" w:hAnsi="宋体" w:cs="宋体"/>
          <w:color w:val="auto"/>
          <w:sz w:val="24"/>
          <w:highlight w:val="none"/>
          <w:lang w:eastAsia="zh-CN"/>
        </w:rPr>
        <w:t>临平区星桥街道远展街</w:t>
      </w:r>
      <w:r>
        <w:rPr>
          <w:rFonts w:hint="eastAsia" w:ascii="宋体" w:hAnsi="宋体" w:cs="宋体"/>
          <w:color w:val="auto"/>
          <w:sz w:val="24"/>
          <w:highlight w:val="none"/>
          <w:lang w:val="en-US" w:eastAsia="zh-CN"/>
        </w:rPr>
        <w:t>1号联融大厦22幢505室</w:t>
      </w:r>
      <w:bookmarkEnd w:id="18"/>
    </w:p>
    <w:p>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    传    真： </w:t>
      </w:r>
      <w:r>
        <w:rPr>
          <w:rFonts w:hint="eastAsia" w:ascii="宋体" w:hAnsi="宋体" w:cs="宋体"/>
          <w:color w:val="auto"/>
          <w:sz w:val="24"/>
          <w:highlight w:val="none"/>
          <w:lang w:val="en-US" w:eastAsia="zh-CN"/>
        </w:rPr>
        <w:t>/</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项目联系人（询问）： </w:t>
      </w:r>
      <w:r>
        <w:rPr>
          <w:rFonts w:hint="eastAsia" w:ascii="宋体" w:hAnsi="宋体" w:cs="宋体"/>
          <w:color w:val="auto"/>
          <w:sz w:val="24"/>
          <w:highlight w:val="none"/>
          <w:lang w:eastAsia="zh-CN"/>
        </w:rPr>
        <w:t>贺胜杰</w:t>
      </w:r>
    </w:p>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13738009078</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俞方华</w:t>
      </w:r>
      <w:r>
        <w:rPr>
          <w:rFonts w:hint="eastAsia" w:ascii="宋体" w:hAnsi="宋体" w:cs="宋体"/>
          <w:color w:val="auto"/>
          <w:sz w:val="24"/>
          <w:highlight w:val="none"/>
        </w:rPr>
        <w:t xml:space="preserve"> </w:t>
      </w:r>
    </w:p>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val="en-US" w:eastAsia="zh-CN"/>
        </w:rPr>
        <w:t>13805738712</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pPr>
        <w:spacing w:line="360" w:lineRule="auto"/>
        <w:ind w:firstLine="480"/>
        <w:rPr>
          <w:rFonts w:hint="eastAsia" w:ascii="宋体" w:hAnsi="宋体" w:eastAsia="宋体" w:cs="宋体"/>
          <w:color w:val="auto"/>
          <w:sz w:val="24"/>
          <w:highlight w:val="none"/>
          <w:lang w:val="en-US" w:eastAsia="zh-CN"/>
        </w:rPr>
      </w:pPr>
      <w:bookmarkStart w:id="19" w:name="OLE_LINK4"/>
      <w:r>
        <w:rPr>
          <w:rFonts w:hint="eastAsia" w:ascii="宋体" w:hAnsi="宋体" w:eastAsia="宋体" w:cs="宋体"/>
          <w:color w:val="auto"/>
          <w:sz w:val="24"/>
          <w:highlight w:val="none"/>
          <w:lang w:val="en-US" w:eastAsia="zh-CN"/>
        </w:rPr>
        <w:t>名    称：杭州市临平区财政局、浙江省政府采购行政裁决服务中心（杭州）</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地    址：杭州市上城区清泰街549号城建综合大楼11楼（快递仅限ems或顺丰）</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传    真：</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联系人：朱女士/王女士</w:t>
      </w:r>
    </w:p>
    <w:p>
      <w:pPr>
        <w:spacing w:line="360" w:lineRule="auto"/>
        <w:ind w:firstLine="480"/>
        <w:rPr>
          <w:rFonts w:hint="eastAsia" w:ascii="宋体" w:hAnsi="宋体" w:cs="宋体"/>
          <w:color w:val="auto"/>
          <w:sz w:val="24"/>
          <w:highlight w:val="none"/>
        </w:rPr>
      </w:pPr>
      <w:r>
        <w:rPr>
          <w:rFonts w:hint="eastAsia" w:ascii="宋体" w:hAnsi="宋体" w:eastAsia="宋体" w:cs="宋体"/>
          <w:color w:val="auto"/>
          <w:sz w:val="24"/>
          <w:highlight w:val="none"/>
          <w:lang w:val="en-US" w:eastAsia="zh-CN"/>
        </w:rPr>
        <w:t>监督投诉电话：0571-87227671,0571-87800218</w:t>
      </w:r>
      <w:bookmarkEnd w:id="19"/>
      <w:r>
        <w:rPr>
          <w:rFonts w:hint="eastAsia" w:ascii="宋体" w:hAnsi="宋体" w:cs="宋体"/>
          <w:color w:val="auto"/>
          <w:sz w:val="24"/>
          <w:highlight w:val="none"/>
        </w:rPr>
        <w:t xml:space="preserve">   </w:t>
      </w:r>
    </w:p>
    <w:p>
      <w:pPr>
        <w:spacing w:line="360" w:lineRule="auto"/>
        <w:ind w:firstLine="480"/>
        <w:rPr>
          <w:rFonts w:hint="eastAsia" w:ascii="宋体" w:hAnsi="宋体" w:cs="宋体"/>
          <w:color w:val="auto"/>
          <w:sz w:val="24"/>
          <w:highlight w:val="none"/>
        </w:rPr>
      </w:pP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pPr>
        <w:widowControl/>
        <w:adjustRightInd/>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9"/>
      <w:r>
        <w:rPr>
          <w:rFonts w:hint="eastAsia" w:ascii="宋体" w:hAnsi="宋体" w:cs="宋体"/>
          <w:b/>
          <w:color w:val="auto"/>
          <w:sz w:val="36"/>
          <w:szCs w:val="20"/>
          <w:highlight w:val="none"/>
        </w:rPr>
        <w:t xml:space="preserve"> 投标人须知</w:t>
      </w:r>
      <w:bookmarkEnd w:id="10"/>
    </w:p>
    <w:p>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运河街道道路安全隐患及零星交通安全设施应急处理设备采购项目</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kern w:val="0"/>
                <w:sz w:val="24"/>
                <w:highlight w:val="none"/>
                <w:u w:val="single"/>
                <w:lang w:val="en-US" w:eastAsia="zh-CN"/>
              </w:rPr>
              <w:t>其他未列明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pPr>
              <w:pStyle w:val="5"/>
              <w:rPr>
                <w:rFonts w:ascii="宋体" w:hAnsi="宋体" w:eastAsia="宋体" w:cs="宋体"/>
                <w:color w:val="auto"/>
                <w:highlight w:val="none"/>
                <w:lang w:val="en-U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本项目不允许采购进口产品。</w:t>
            </w:r>
          </w:p>
          <w:p>
            <w:pPr>
              <w:spacing w:line="360" w:lineRule="auto"/>
              <w:rPr>
                <w:rFonts w:ascii="宋体" w:hAnsi="宋体" w:cs="宋体"/>
                <w:color w:val="auto"/>
                <w:highlight w:val="none"/>
              </w:rPr>
            </w:pPr>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ascii="MS Gothic" w:hAnsi="MS Gothic" w:eastAsia="宋体" w:cs="宋体"/>
                <w:color w:val="auto"/>
                <w:kern w:val="0"/>
                <w:sz w:val="24"/>
                <w:szCs w:val="24"/>
                <w:highlight w:val="none"/>
                <w:lang w:val="en-US" w:eastAsia="zh-CN" w:bidi="ar-SA"/>
              </w:rPr>
              <w:t>☐</w:t>
            </w:r>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r>
              <w:rPr>
                <w:rFonts w:hint="eastAsia" w:ascii="Wingdings" w:hAnsi="Wingdings" w:eastAsia="宋体" w:cs="宋体"/>
                <w:color w:val="auto"/>
                <w:kern w:val="0"/>
                <w:sz w:val="24"/>
                <w:szCs w:val="24"/>
                <w:highlight w:val="none"/>
                <w:lang w:val="en-US" w:eastAsia="zh-CN" w:bidi="ar-SA"/>
              </w:rPr>
              <w:t>þ</w:t>
            </w:r>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Wingdings" w:hAnsi="Wingdings" w:eastAsia="MS Gothic" w:cs="宋体"/>
                <w:color w:val="auto"/>
                <w:kern w:val="0"/>
                <w:sz w:val="24"/>
                <w:szCs w:val="24"/>
                <w:highlight w:val="none"/>
                <w:lang w:val="en-US" w:eastAsia="zh-CN" w:bidi="ar-SA"/>
              </w:rPr>
              <w:t>þ</w:t>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sz w:val="24"/>
                <w:szCs w:val="20"/>
                <w:highlight w:val="none"/>
              </w:rPr>
            </w:pPr>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Wingdings" w:hAnsi="Wingdings" w:eastAsia="MS Gothic" w:cs="宋体"/>
                <w:color w:val="auto"/>
                <w:kern w:val="0"/>
                <w:sz w:val="24"/>
                <w:szCs w:val="24"/>
                <w:highlight w:val="none"/>
                <w:lang w:val="en-US" w:eastAsia="zh-CN" w:bidi="ar-SA"/>
              </w:rPr>
              <w:t>þ</w:t>
            </w:r>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pPr>
              <w:spacing w:line="360" w:lineRule="auto"/>
              <w:rPr>
                <w:rFonts w:ascii="宋体" w:hAnsi="宋体" w:cs="宋体"/>
                <w:color w:val="auto"/>
                <w:kern w:val="0"/>
                <w:sz w:val="24"/>
                <w:highlight w:val="none"/>
              </w:rPr>
            </w:pPr>
            <w:r>
              <w:rPr>
                <w:rFonts w:hint="eastAsia" w:ascii="MS Gothic" w:hAnsi="MS Gothic" w:eastAsia="MS Gothic" w:cs="宋体"/>
                <w:color w:val="auto"/>
                <w:kern w:val="0"/>
                <w:sz w:val="24"/>
                <w:highlight w:val="none"/>
              </w:rPr>
              <w:t>☐</w:t>
            </w:r>
            <w:r>
              <w:rPr>
                <w:rFonts w:hint="eastAsia" w:ascii="宋体" w:hAnsi="宋体" w:cs="宋体"/>
                <w:color w:val="auto"/>
                <w:kern w:val="0"/>
                <w:sz w:val="24"/>
                <w:highlight w:val="none"/>
              </w:rPr>
              <w:t>B要求提供，</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r>
              <w:rPr>
                <w:rFonts w:hint="eastAsia" w:ascii="MS Gothic" w:hAnsi="MS Gothic" w:eastAsia="MS Gothic" w:cs="宋体"/>
                <w:color w:val="auto"/>
                <w:kern w:val="0"/>
                <w:sz w:val="24"/>
                <w:highlight w:val="none"/>
              </w:rPr>
              <w:t>☐</w:t>
            </w:r>
            <w:r>
              <w:rPr>
                <w:rFonts w:hint="eastAsia" w:ascii="宋体" w:hAnsi="宋体" w:cs="宋体"/>
                <w:color w:val="auto"/>
                <w:kern w:val="0"/>
                <w:sz w:val="24"/>
                <w:highlight w:val="none"/>
              </w:rPr>
              <w:t>否；☐是，检测机构的要求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Wingdings" w:hAnsi="Wingdings" w:eastAsia="MS Gothic" w:cs="宋体"/>
                <w:color w:val="auto"/>
                <w:kern w:val="0"/>
                <w:sz w:val="24"/>
                <w:szCs w:val="24"/>
                <w:highlight w:val="none"/>
                <w:lang w:val="en-US" w:eastAsia="zh-CN" w:bidi="ar-SA"/>
              </w:rPr>
              <w:sym w:font="Wingdings" w:char="00FE"/>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kern w:val="0"/>
                <w:sz w:val="24"/>
                <w:highlight w:val="none"/>
              </w:rPr>
            </w:pPr>
            <w:r>
              <w:rPr>
                <w:rFonts w:hint="eastAsia" w:ascii="Wingdings" w:hAnsi="Wingdings" w:eastAsia="MS Gothic" w:cs="宋体"/>
                <w:color w:val="auto"/>
                <w:kern w:val="0"/>
                <w:sz w:val="24"/>
                <w:szCs w:val="24"/>
                <w:highlight w:val="none"/>
                <w:lang w:val="en-US" w:eastAsia="zh-CN" w:bidi="ar-SA"/>
              </w:rPr>
              <w:sym w:font="Wingdings" w:char="00A8"/>
            </w:r>
            <w:r>
              <w:rPr>
                <w:rFonts w:hint="eastAsia" w:ascii="宋体" w:hAnsi="宋体" w:cs="宋体"/>
                <w:color w:val="auto"/>
                <w:kern w:val="0"/>
                <w:sz w:val="24"/>
                <w:highlight w:val="none"/>
              </w:rPr>
              <w:t>B组织。</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lang w:val="en-US" w:eastAsia="zh-CN"/>
              </w:rPr>
              <w:t>15</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lang w:val="en-US" w:eastAsia="zh-CN"/>
              </w:rPr>
              <w:t>2</w:t>
            </w:r>
            <w:r>
              <w:rPr>
                <w:rFonts w:hint="eastAsia" w:ascii="宋体" w:hAnsi="宋体" w:cs="宋体"/>
                <w:color w:val="auto"/>
                <w:kern w:val="0"/>
                <w:sz w:val="24"/>
                <w:highlight w:val="none"/>
              </w:rPr>
              <w:t>人。讲解演示结束后按要求解答评标委员会提问。</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w:t>
            </w:r>
            <w:r>
              <w:rPr>
                <w:rFonts w:hint="eastAsia" w:ascii="宋体" w:hAnsi="宋体" w:cs="宋体"/>
                <w:color w:val="auto"/>
                <w:kern w:val="0"/>
                <w:sz w:val="24"/>
                <w:highlight w:val="none"/>
                <w:lang w:eastAsia="zh-CN"/>
              </w:rPr>
              <w:t>开标</w:t>
            </w:r>
            <w:r>
              <w:rPr>
                <w:rFonts w:hint="eastAsia" w:ascii="宋体" w:hAnsi="宋体" w:cs="宋体"/>
                <w:color w:val="auto"/>
                <w:kern w:val="0"/>
                <w:sz w:val="24"/>
                <w:highlight w:val="none"/>
              </w:rPr>
              <w:t>现场讲解演示。现场讲解地点为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杭州市临平区远展街</w:t>
            </w:r>
            <w:r>
              <w:rPr>
                <w:rFonts w:hint="eastAsia" w:ascii="宋体" w:hAnsi="宋体" w:cs="宋体"/>
                <w:color w:val="auto"/>
                <w:kern w:val="0"/>
                <w:sz w:val="24"/>
                <w:highlight w:val="none"/>
                <w:u w:val="single"/>
                <w:lang w:val="en-US" w:eastAsia="zh-CN"/>
              </w:rPr>
              <w:t>1号联融大厦22幢505室</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top"/>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top"/>
          </w:tcPr>
          <w:p>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snapToGrid w:val="0"/>
              <w:spacing w:line="360" w:lineRule="auto"/>
              <w:ind w:firstLine="241" w:firstLineChars="100"/>
              <w:jc w:val="left"/>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spacing w:line="360" w:lineRule="auto"/>
              <w:ind w:firstLine="241" w:firstLineChars="100"/>
              <w:rPr>
                <w:rFonts w:hint="eastAsia" w:ascii="宋体" w:hAnsi="宋体" w:eastAsia="宋体" w:cs="宋体"/>
                <w:b/>
                <w:color w:val="auto"/>
                <w:sz w:val="24"/>
                <w:highlight w:val="none"/>
                <w:lang w:eastAsia="zh-CN"/>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lang w:eastAsia="zh-CN"/>
              </w:rPr>
              <w:t>；</w:t>
            </w:r>
          </w:p>
          <w:p>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top"/>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 </w:t>
            </w:r>
            <w:r>
              <w:rPr>
                <w:rFonts w:hint="eastAsia" w:hAnsi="宋体" w:cs="宋体"/>
                <w:color w:val="auto"/>
                <w:sz w:val="24"/>
                <w:highlight w:val="none"/>
                <w:u w:val="single"/>
                <w:lang w:val="en-US" w:eastAsia="zh-CN"/>
              </w:rPr>
              <w:t>杭州市临平区星桥街道远展街1号联融大厦22幢505室</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w:t>
            </w:r>
            <w:r>
              <w:rPr>
                <w:rFonts w:hint="eastAsia" w:hAnsi="宋体" w:cs="宋体"/>
                <w:color w:val="auto"/>
                <w:sz w:val="24"/>
                <w:highlight w:val="none"/>
                <w:u w:val="single"/>
                <w:lang w:eastAsia="zh-CN"/>
              </w:rPr>
              <w:t>贺胜杰</w:t>
            </w:r>
            <w:r>
              <w:rPr>
                <w:rFonts w:hint="eastAsia" w:hAnsi="宋体" w:cs="宋体"/>
                <w:color w:val="auto"/>
                <w:sz w:val="24"/>
                <w:highlight w:val="none"/>
                <w:u w:val="single"/>
                <w:lang w:val="en-US" w:eastAsia="zh-CN"/>
              </w:rPr>
              <w:t xml:space="preserve">13738009078 </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top"/>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eastAsia="宋体" w:cs="仿宋_GB2312"/>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vAlign w:val="top"/>
          </w:tcPr>
          <w:p>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highlight w:val="none"/>
              </w:rPr>
            </w:pPr>
            <w:r>
              <w:rPr>
                <w:rFonts w:hint="eastAsia" w:ascii="MS Mincho" w:hAnsi="MS Mincho" w:eastAsia="MS Mincho" w:cs="MS Mincho"/>
                <w:color w:val="auto"/>
                <w:kern w:val="0"/>
                <w:sz w:val="24"/>
                <w:highlight w:val="none"/>
              </w:rPr>
              <w:t>☐</w:t>
            </w:r>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pPr>
              <w:spacing w:line="360" w:lineRule="auto"/>
              <w:rPr>
                <w:rFonts w:ascii="宋体" w:hAnsi="宋体" w:cs="宋体"/>
                <w:snapToGrid w:val="0"/>
                <w:color w:val="auto"/>
                <w:kern w:val="28"/>
                <w:sz w:val="24"/>
                <w:highlight w:val="none"/>
              </w:rPr>
            </w:pPr>
            <w:r>
              <w:rPr>
                <w:rFonts w:hint="eastAsia" w:ascii="宋体" w:hAnsi="宋体" w:eastAsia="宋体" w:cs="Arial"/>
                <w:color w:val="auto"/>
                <w:kern w:val="0"/>
                <w:sz w:val="24"/>
                <w:highlight w:val="none"/>
              </w:rPr>
              <w:sym w:font="Wingdings" w:char="F0FE"/>
            </w:r>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hint="default" w:ascii="仿宋_GB2312" w:hAnsi="仿宋" w:eastAsia="仿宋_GB2312" w:cs="仿宋_GB2312"/>
                <w:color w:val="auto"/>
                <w:sz w:val="24"/>
                <w:highlight w:val="none"/>
                <w:lang w:val="en-US" w:eastAsia="zh-CN"/>
              </w:rPr>
            </w:pPr>
            <w:r>
              <w:rPr>
                <w:rFonts w:hint="eastAsia" w:ascii="仿宋_GB2312" w:hAnsi="仿宋" w:eastAsia="仿宋_GB2312" w:cs="仿宋_GB2312"/>
                <w:color w:val="auto"/>
                <w:sz w:val="24"/>
                <w:highlight w:val="none"/>
                <w:lang w:val="en-US" w:eastAsia="zh-CN"/>
              </w:rPr>
              <w:t>14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_GB2312" w:hAnsi="仿宋" w:eastAsia="仿宋_GB2312" w:cs="仿宋_GB2312"/>
                <w:b/>
                <w:color w:val="auto"/>
                <w:sz w:val="24"/>
                <w:highlight w:val="none"/>
              </w:rPr>
            </w:pPr>
            <w:r>
              <w:rPr>
                <w:rFonts w:hint="eastAsia" w:ascii="宋体" w:hAnsi="宋体" w:eastAsia="宋体" w:cs="仿宋_GB2312"/>
                <w:b/>
                <w:color w:val="auto"/>
                <w:sz w:val="24"/>
                <w:highlight w:val="none"/>
              </w:rPr>
              <w:t>招标服务费</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napToGrid w:val="0"/>
                <w:color w:val="auto"/>
                <w:kern w:val="28"/>
                <w:sz w:val="24"/>
                <w:highlight w:val="none"/>
                <w:lang w:eastAsia="zh-CN"/>
              </w:rPr>
            </w:pPr>
            <w:r>
              <w:rPr>
                <w:rFonts w:hint="eastAsia" w:ascii="宋体" w:hAnsi="宋体" w:eastAsia="宋体" w:cs="宋体"/>
                <w:snapToGrid w:val="0"/>
                <w:color w:val="auto"/>
                <w:kern w:val="28"/>
                <w:sz w:val="24"/>
                <w:highlight w:val="none"/>
                <w:lang w:eastAsia="zh-CN"/>
              </w:rPr>
              <w:t>本次代理服务费由</w:t>
            </w:r>
            <w:r>
              <w:rPr>
                <w:rFonts w:hint="eastAsia" w:ascii="宋体" w:hAnsi="宋体" w:eastAsia="宋体" w:cs="宋体"/>
                <w:snapToGrid w:val="0"/>
                <w:color w:val="auto"/>
                <w:kern w:val="28"/>
                <w:sz w:val="24"/>
                <w:highlight w:val="none"/>
                <w:lang w:val="en-US" w:eastAsia="zh-CN"/>
              </w:rPr>
              <w:t>各标项</w:t>
            </w:r>
            <w:r>
              <w:rPr>
                <w:rFonts w:hint="eastAsia" w:ascii="宋体" w:hAnsi="宋体" w:eastAsia="宋体" w:cs="宋体"/>
                <w:snapToGrid w:val="0"/>
                <w:color w:val="auto"/>
                <w:kern w:val="28"/>
                <w:sz w:val="24"/>
                <w:highlight w:val="none"/>
                <w:lang w:eastAsia="zh-CN"/>
              </w:rPr>
              <w:t>中标单位支付，代理费用付款</w:t>
            </w:r>
            <w:bookmarkStart w:id="20" w:name="OLE_LINK7"/>
            <w:r>
              <w:rPr>
                <w:rFonts w:hint="eastAsia" w:ascii="宋体" w:hAnsi="宋体" w:eastAsia="宋体" w:cs="宋体"/>
                <w:snapToGrid w:val="0"/>
                <w:color w:val="auto"/>
                <w:kern w:val="28"/>
                <w:sz w:val="24"/>
                <w:highlight w:val="none"/>
                <w:lang w:eastAsia="zh-CN"/>
              </w:rPr>
              <w:t>按原国家计委《关于印发招标代理服务收费管理暂行办法的通知》（计价格[2002]1980号）文件</w:t>
            </w:r>
            <w:bookmarkEnd w:id="20"/>
            <w:r>
              <w:rPr>
                <w:rFonts w:hint="eastAsia" w:ascii="宋体" w:hAnsi="宋体" w:eastAsia="宋体" w:cs="宋体"/>
                <w:snapToGrid w:val="0"/>
                <w:color w:val="auto"/>
                <w:kern w:val="28"/>
                <w:sz w:val="24"/>
                <w:highlight w:val="none"/>
                <w:lang w:eastAsia="zh-CN"/>
              </w:rPr>
              <w:t>直接支付给分散采购招标代理单位，投标人在报价时应综合考虑该笔费用。</w:t>
            </w:r>
          </w:p>
          <w:p>
            <w:pPr>
              <w:spacing w:line="360" w:lineRule="auto"/>
              <w:rPr>
                <w:rFonts w:hint="eastAsia" w:ascii="仿宋_GB2312" w:hAnsi="仿宋" w:eastAsia="仿宋_GB2312"/>
                <w:snapToGrid w:val="0"/>
                <w:color w:val="auto"/>
                <w:kern w:val="28"/>
                <w:sz w:val="24"/>
                <w:highlight w:val="none"/>
              </w:rPr>
            </w:pPr>
            <w:r>
              <w:rPr>
                <w:rFonts w:hint="eastAsia" w:ascii="宋体" w:hAnsi="宋体" w:eastAsia="宋体" w:cs="宋体"/>
                <w:snapToGrid w:val="0"/>
                <w:color w:val="auto"/>
                <w:kern w:val="28"/>
                <w:sz w:val="24"/>
                <w:highlight w:val="none"/>
              </w:rPr>
              <w:t>中标服务费的交纳方式：以转帐或支票的形式支付，开户名：</w:t>
            </w:r>
            <w:r>
              <w:rPr>
                <w:rFonts w:hint="eastAsia" w:ascii="宋体" w:hAnsi="宋体" w:eastAsia="宋体" w:cs="宋体"/>
                <w:snapToGrid w:val="0"/>
                <w:color w:val="auto"/>
                <w:kern w:val="28"/>
                <w:sz w:val="24"/>
                <w:highlight w:val="none"/>
                <w:lang w:eastAsia="zh-CN"/>
              </w:rPr>
              <w:t>杭州正鸿工程咨询有限公司</w:t>
            </w:r>
            <w:r>
              <w:rPr>
                <w:rFonts w:hint="eastAsia" w:ascii="宋体" w:hAnsi="宋体" w:eastAsia="宋体" w:cs="宋体"/>
                <w:snapToGrid w:val="0"/>
                <w:color w:val="auto"/>
                <w:kern w:val="28"/>
                <w:sz w:val="24"/>
                <w:highlight w:val="none"/>
              </w:rPr>
              <w:t>；开户行名称：</w:t>
            </w:r>
            <w:r>
              <w:rPr>
                <w:rFonts w:hint="eastAsia" w:ascii="宋体" w:hAnsi="宋体" w:eastAsia="宋体" w:cs="宋体"/>
                <w:snapToGrid w:val="0"/>
                <w:color w:val="auto"/>
                <w:kern w:val="28"/>
                <w:sz w:val="24"/>
                <w:highlight w:val="none"/>
                <w:lang w:val="en-US" w:eastAsia="zh-CN"/>
              </w:rPr>
              <w:t>杭州联合农村商业银行股份有限公司康桥支行</w:t>
            </w:r>
            <w:r>
              <w:rPr>
                <w:rFonts w:hint="eastAsia" w:ascii="宋体" w:hAnsi="宋体" w:eastAsia="宋体" w:cs="宋体"/>
                <w:snapToGrid w:val="0"/>
                <w:color w:val="auto"/>
                <w:kern w:val="28"/>
                <w:sz w:val="24"/>
                <w:highlight w:val="none"/>
              </w:rPr>
              <w:t xml:space="preserve"> 帐号：</w:t>
            </w:r>
            <w:r>
              <w:rPr>
                <w:rFonts w:hint="eastAsia" w:ascii="宋体" w:hAnsi="宋体" w:eastAsia="宋体" w:cs="宋体"/>
                <w:snapToGrid w:val="0"/>
                <w:color w:val="auto"/>
                <w:kern w:val="28"/>
                <w:sz w:val="24"/>
                <w:highlight w:val="none"/>
                <w:lang w:val="en-US" w:eastAsia="zh-CN"/>
              </w:rPr>
              <w:t>201000279863923</w:t>
            </w:r>
            <w:r>
              <w:rPr>
                <w:rFonts w:hint="eastAsia" w:ascii="宋体" w:hAnsi="宋体" w:eastAsia="宋体" w:cs="宋体"/>
                <w:snapToGrid w:val="0"/>
                <w:color w:val="auto"/>
                <w:kern w:val="28"/>
                <w:sz w:val="24"/>
                <w:highlight w:val="none"/>
              </w:rPr>
              <w:t>中标单位需在领取中标通知书时缴纳中标服务费，缴纳时注明招标编号。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hint="default" w:ascii="仿宋_GB2312" w:hAnsi="仿宋" w:eastAsia="仿宋_GB2312" w:cs="仿宋_GB2312"/>
                <w:color w:val="auto"/>
                <w:sz w:val="24"/>
                <w:highlight w:val="none"/>
                <w:lang w:val="en-US" w:eastAsia="zh-CN"/>
              </w:rPr>
            </w:pPr>
            <w:r>
              <w:rPr>
                <w:rFonts w:hint="eastAsia" w:ascii="仿宋_GB2312" w:hAnsi="仿宋" w:eastAsia="仿宋_GB2312" w:cs="仿宋_GB2312"/>
                <w:color w:val="auto"/>
                <w:sz w:val="24"/>
                <w:highlight w:val="none"/>
                <w:lang w:val="en-US" w:eastAsia="zh-CN"/>
              </w:rPr>
              <w:t>15</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default" w:ascii="宋体" w:hAnsi="宋体" w:eastAsia="宋体" w:cs="宋体"/>
                <w:b/>
                <w:bCs/>
                <w:color w:val="auto"/>
                <w:highlight w:val="none"/>
                <w:lang w:val="en-US" w:eastAsia="zh-CN"/>
              </w:rPr>
            </w:pPr>
            <w:r>
              <w:rPr>
                <w:rFonts w:hint="eastAsia" w:ascii="宋体" w:hAnsi="宋体" w:eastAsia="宋体" w:cs="仿宋_GB2312"/>
                <w:b/>
                <w:color w:val="auto"/>
                <w:sz w:val="24"/>
                <w:highlight w:val="none"/>
                <w:lang w:val="en-US" w:eastAsia="zh-CN"/>
              </w:rPr>
              <w:t>纸质投标文件</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cs="宋体"/>
                <w:color w:val="auto"/>
                <w:szCs w:val="20"/>
                <w:highlight w:val="none"/>
              </w:rPr>
            </w:pPr>
            <w:r>
              <w:rPr>
                <w:rFonts w:hint="eastAsia" w:ascii="宋体" w:hAnsi="宋体" w:eastAsia="宋体" w:cs="宋体"/>
                <w:snapToGrid w:val="0"/>
                <w:color w:val="auto"/>
                <w:kern w:val="28"/>
                <w:sz w:val="24"/>
                <w:highlight w:val="none"/>
                <w:lang w:val="en-US" w:eastAsia="zh-CN"/>
              </w:rPr>
              <w:t xml:space="preserve">中标单位需在领取中标通知书时，提供本项目纸质投标文件（资格文件”、“报价文件”和“商务技术文件”） </w:t>
            </w:r>
            <w:r>
              <w:rPr>
                <w:rFonts w:hint="eastAsia" w:ascii="宋体" w:hAnsi="宋体" w:cs="宋体"/>
                <w:snapToGrid w:val="0"/>
                <w:color w:val="auto"/>
                <w:kern w:val="28"/>
                <w:sz w:val="24"/>
                <w:highlight w:val="none"/>
                <w:lang w:val="en-US" w:eastAsia="zh-CN"/>
              </w:rPr>
              <w:t>三</w:t>
            </w:r>
            <w:r>
              <w:rPr>
                <w:rFonts w:hint="eastAsia" w:ascii="宋体" w:hAnsi="宋体" w:eastAsia="宋体" w:cs="宋体"/>
                <w:snapToGrid w:val="0"/>
                <w:color w:val="auto"/>
                <w:kern w:val="28"/>
                <w:sz w:val="24"/>
                <w:highlight w:val="none"/>
                <w:lang w:val="en-US" w:eastAsia="zh-CN"/>
              </w:rPr>
              <w:t>份（正本一份，副本</w:t>
            </w:r>
            <w:r>
              <w:rPr>
                <w:rFonts w:hint="eastAsia" w:ascii="宋体" w:hAnsi="宋体" w:cs="宋体"/>
                <w:snapToGrid w:val="0"/>
                <w:color w:val="auto"/>
                <w:kern w:val="28"/>
                <w:sz w:val="24"/>
                <w:highlight w:val="none"/>
                <w:lang w:val="en-US" w:eastAsia="zh-CN"/>
              </w:rPr>
              <w:t>二</w:t>
            </w:r>
            <w:r>
              <w:rPr>
                <w:rFonts w:hint="eastAsia" w:ascii="宋体" w:hAnsi="宋体" w:eastAsia="宋体" w:cs="宋体"/>
                <w:snapToGrid w:val="0"/>
                <w:color w:val="auto"/>
                <w:kern w:val="28"/>
                <w:sz w:val="24"/>
                <w:highlight w:val="none"/>
                <w:lang w:val="en-US" w:eastAsia="zh-CN"/>
              </w:rPr>
              <w:t>份）并提供电子投标文件与纸质投标文件内容一致承诺书三份（详见采购文件格式）。</w:t>
            </w:r>
          </w:p>
        </w:tc>
      </w:tr>
    </w:tbl>
    <w:p>
      <w:pPr>
        <w:snapToGrid w:val="0"/>
        <w:spacing w:line="360" w:lineRule="auto"/>
        <w:jc w:val="center"/>
        <w:rPr>
          <w:rFonts w:ascii="宋体" w:hAnsi="宋体" w:cs="宋体"/>
          <w:b/>
          <w:color w:val="auto"/>
          <w:sz w:val="32"/>
          <w:szCs w:val="20"/>
          <w:highlight w:val="none"/>
        </w:rPr>
      </w:pPr>
    </w:p>
    <w:bookmarkEnd w:id="11"/>
    <w:p>
      <w:pPr>
        <w:adjustRightInd/>
        <w:spacing w:line="360" w:lineRule="auto"/>
        <w:ind w:firstLine="3845" w:firstLineChars="1197"/>
        <w:outlineLvl w:val="0"/>
        <w:rPr>
          <w:rFonts w:ascii="宋体" w:hAnsi="宋体" w:cs="宋体"/>
          <w:b/>
          <w:color w:val="auto"/>
          <w:sz w:val="32"/>
          <w:szCs w:val="20"/>
          <w:highlight w:val="none"/>
        </w:rPr>
      </w:pPr>
      <w:bookmarkStart w:id="21" w:name="_Toc164416483"/>
      <w:bookmarkStart w:id="22" w:name="第三部分"/>
      <w:r>
        <w:rPr>
          <w:rFonts w:hint="eastAsia" w:ascii="宋体" w:hAnsi="宋体" w:cs="宋体"/>
          <w:b/>
          <w:color w:val="auto"/>
          <w:sz w:val="32"/>
          <w:szCs w:val="20"/>
          <w:highlight w:val="none"/>
        </w:rPr>
        <w:t>一、总则</w:t>
      </w:r>
    </w:p>
    <w:p>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r>
        <w:rPr>
          <w:rFonts w:ascii="Wingdings" w:hAnsi="Wingdings" w:cs="宋体"/>
          <w:color w:val="auto"/>
          <w:kern w:val="0"/>
          <w:sz w:val="24"/>
          <w:highlight w:val="none"/>
        </w:rPr>
        <w:t></w:t>
      </w:r>
      <w:r>
        <w:rPr>
          <w:rFonts w:hint="eastAsia" w:ascii="宋体" w:hAnsi="宋体" w:cs="宋体"/>
          <w:color w:val="auto"/>
          <w:sz w:val="24"/>
          <w:highlight w:val="none"/>
        </w:rPr>
        <w:t>” 系指适用本项目的要求，“</w:t>
      </w:r>
      <w:r>
        <w:rPr>
          <w:rFonts w:hint="eastAsia" w:ascii="宋体" w:hAnsi="宋体" w:cs="宋体"/>
          <w:color w:val="auto"/>
          <w:kern w:val="0"/>
          <w:sz w:val="24"/>
          <w:highlight w:val="none"/>
        </w:rPr>
        <w:t>☐</w:t>
      </w:r>
      <w:r>
        <w:rPr>
          <w:rFonts w:hint="eastAsia" w:ascii="宋体" w:hAnsi="宋体" w:cs="宋体"/>
          <w:color w:val="auto"/>
          <w:sz w:val="24"/>
          <w:highlight w:val="none"/>
        </w:rPr>
        <w:t>” 系指不适用本项目的要求。</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pPr>
        <w:spacing w:line="360" w:lineRule="auto"/>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pacing w:line="360" w:lineRule="auto"/>
        <w:ind w:firstLine="240" w:firstLineChars="1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pPr>
        <w:pStyle w:val="7"/>
        <w:spacing w:line="360" w:lineRule="auto"/>
        <w:ind w:firstLine="480" w:firstLineChars="200"/>
        <w:rPr>
          <w:rFonts w:hAnsi="宋体" w:cs="宋体"/>
          <w:color w:val="auto"/>
          <w:kern w:val="2"/>
          <w:sz w:val="24"/>
          <w:highlight w:val="none"/>
        </w:rPr>
      </w:pPr>
      <w:r>
        <w:rPr>
          <w:rFonts w:hint="eastAsia" w:hAnsi="宋体" w:cs="宋体"/>
          <w:color w:val="auto"/>
          <w:kern w:val="2"/>
          <w:sz w:val="24"/>
          <w:highlight w:val="none"/>
        </w:rPr>
        <w:t>4.3.2.1对招标文件提出质疑的，质疑期限为供应商获得招标文件之日或者招标文件公告期限届满之日起计算。</w:t>
      </w:r>
    </w:p>
    <w:p>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pPr>
        <w:pStyle w:val="573"/>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573"/>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pPr>
        <w:pStyle w:val="573"/>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pPr>
        <w:pStyle w:val="573"/>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pPr>
        <w:pStyle w:val="573"/>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pPr>
        <w:pStyle w:val="573"/>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pPr>
        <w:pStyle w:val="573"/>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pPr>
        <w:pStyle w:val="573"/>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573"/>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pPr>
        <w:pStyle w:val="573"/>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4.4.4以联合体形式参加政府采购活动的，其投诉应当由组成联合体的所有供应商共同提出。</w:t>
      </w:r>
    </w:p>
    <w:p>
      <w:pPr>
        <w:pStyle w:val="573"/>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pPr>
        <w:pStyle w:val="86"/>
        <w:snapToGrid w:val="0"/>
        <w:spacing w:before="0"/>
        <w:ind w:firstLine="360"/>
        <w:rPr>
          <w:rFonts w:ascii="宋体" w:hAnsi="宋体" w:cs="宋体"/>
          <w:color w:val="auto"/>
          <w:sz w:val="18"/>
          <w:szCs w:val="18"/>
          <w:highlight w:val="none"/>
        </w:rPr>
      </w:pP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7"/>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pPr>
        <w:pStyle w:val="86"/>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pacing w:line="360" w:lineRule="auto"/>
        <w:ind w:firstLine="480" w:firstLineChars="200"/>
        <w:rPr>
          <w:rFonts w:hint="eastAsia" w:ascii="宋体" w:hAnsi="宋体" w:cs="宋体"/>
          <w:color w:val="auto"/>
          <w:kern w:val="0"/>
          <w:sz w:val="24"/>
          <w:lang w:val="zh-CN"/>
        </w:rPr>
      </w:pPr>
      <w:r>
        <w:rPr>
          <w:rFonts w:hint="eastAsia" w:ascii="宋体" w:hAnsi="宋体" w:cs="宋体"/>
          <w:color w:val="auto"/>
          <w:kern w:val="0"/>
          <w:sz w:val="24"/>
          <w:lang w:val="zh-CN"/>
        </w:rPr>
        <w:t>12.</w:t>
      </w:r>
      <w:r>
        <w:rPr>
          <w:rFonts w:hint="eastAsia" w:ascii="宋体" w:hAnsi="宋体" w:cs="宋体"/>
          <w:color w:val="auto"/>
          <w:kern w:val="0"/>
          <w:sz w:val="24"/>
          <w:lang w:val="en-US" w:eastAsia="zh-CN"/>
        </w:rPr>
        <w:t>4串通投标认定</w:t>
      </w:r>
      <w:r>
        <w:rPr>
          <w:rFonts w:hint="eastAsia" w:ascii="宋体" w:hAnsi="宋体" w:cs="宋体"/>
          <w:color w:val="auto"/>
          <w:kern w:val="0"/>
          <w:sz w:val="24"/>
          <w:lang w:val="zh-CN"/>
        </w:rPr>
        <w:t>。</w:t>
      </w:r>
      <w:r>
        <w:rPr>
          <w:rFonts w:hint="eastAsia" w:ascii="宋体" w:hAnsi="宋体" w:cs="宋体"/>
          <w:color w:val="auto"/>
          <w:kern w:val="0"/>
          <w:sz w:val="24"/>
          <w:lang w:val="zh-CN" w:eastAsia="zh-CN"/>
        </w:rPr>
        <w:t>有下列情形之一的，视为投标人串通投标，其投标无效：</w:t>
      </w:r>
    </w:p>
    <w:p>
      <w:pPr>
        <w:spacing w:line="360" w:lineRule="auto"/>
        <w:ind w:firstLine="720" w:firstLineChars="300"/>
        <w:rPr>
          <w:rFonts w:hint="eastAsia" w:ascii="宋体" w:hAnsi="宋体" w:cs="宋体"/>
          <w:color w:val="auto"/>
          <w:kern w:val="0"/>
          <w:sz w:val="24"/>
          <w:lang w:val="zh-CN"/>
        </w:rPr>
      </w:pPr>
      <w:r>
        <w:rPr>
          <w:rFonts w:hint="eastAsia" w:ascii="宋体" w:hAnsi="宋体" w:cs="宋体"/>
          <w:color w:val="auto"/>
          <w:kern w:val="0"/>
          <w:sz w:val="24"/>
          <w:lang w:val="en-US" w:eastAsia="zh-CN"/>
        </w:rPr>
        <w:t>12.4.</w:t>
      </w:r>
      <w:r>
        <w:rPr>
          <w:rFonts w:hint="eastAsia" w:ascii="宋体" w:hAnsi="宋体" w:cs="宋体"/>
          <w:color w:val="auto"/>
          <w:kern w:val="0"/>
          <w:sz w:val="24"/>
          <w:lang w:val="zh-CN" w:eastAsia="zh-CN"/>
        </w:rPr>
        <w:t>1.不同投标人的投标文件由同一单位或者个人编制或同一IP地址上传；</w:t>
      </w:r>
    </w:p>
    <w:p>
      <w:pPr>
        <w:spacing w:line="360" w:lineRule="auto"/>
        <w:ind w:firstLine="720" w:firstLineChars="300"/>
        <w:rPr>
          <w:rFonts w:hint="eastAsia" w:ascii="宋体" w:hAnsi="宋体" w:cs="宋体"/>
          <w:color w:val="auto"/>
          <w:kern w:val="0"/>
          <w:sz w:val="24"/>
          <w:lang w:val="zh-CN"/>
        </w:rPr>
      </w:pPr>
      <w:r>
        <w:rPr>
          <w:rFonts w:hint="eastAsia" w:ascii="宋体" w:hAnsi="宋体" w:cs="宋体"/>
          <w:color w:val="auto"/>
          <w:kern w:val="0"/>
          <w:sz w:val="24"/>
          <w:lang w:val="en-US" w:eastAsia="zh-CN"/>
        </w:rPr>
        <w:t>12.4.</w:t>
      </w:r>
      <w:r>
        <w:rPr>
          <w:rFonts w:hint="eastAsia" w:ascii="宋体" w:hAnsi="宋体" w:cs="宋体"/>
          <w:color w:val="auto"/>
          <w:kern w:val="0"/>
          <w:sz w:val="24"/>
          <w:lang w:val="zh-CN" w:eastAsia="zh-CN"/>
        </w:rPr>
        <w:t>2.不同投标人委托同一单位或者个人办理投标事宜；</w:t>
      </w:r>
    </w:p>
    <w:p>
      <w:pPr>
        <w:spacing w:line="360" w:lineRule="auto"/>
        <w:ind w:firstLine="720" w:firstLineChars="300"/>
        <w:rPr>
          <w:rFonts w:hint="eastAsia" w:ascii="宋体" w:hAnsi="宋体" w:cs="宋体"/>
          <w:color w:val="auto"/>
          <w:kern w:val="0"/>
          <w:sz w:val="24"/>
          <w:lang w:val="zh-CN"/>
        </w:rPr>
      </w:pPr>
      <w:r>
        <w:rPr>
          <w:rFonts w:hint="eastAsia" w:ascii="宋体" w:hAnsi="宋体" w:cs="宋体"/>
          <w:color w:val="auto"/>
          <w:kern w:val="0"/>
          <w:sz w:val="24"/>
          <w:lang w:val="en-US" w:eastAsia="zh-CN"/>
        </w:rPr>
        <w:t>12.4.</w:t>
      </w:r>
      <w:r>
        <w:rPr>
          <w:rFonts w:hint="eastAsia" w:ascii="宋体" w:hAnsi="宋体" w:cs="宋体"/>
          <w:color w:val="auto"/>
          <w:kern w:val="0"/>
          <w:sz w:val="24"/>
          <w:lang w:val="zh-CN" w:eastAsia="zh-CN"/>
        </w:rPr>
        <w:t>3.不同投标人的投标文件载明的项目管理成员或者联系人员为同一人；</w:t>
      </w:r>
    </w:p>
    <w:p>
      <w:pPr>
        <w:spacing w:line="360" w:lineRule="auto"/>
        <w:ind w:firstLine="720" w:firstLineChars="300"/>
        <w:rPr>
          <w:rFonts w:hint="eastAsia" w:ascii="宋体" w:hAnsi="宋体" w:cs="宋体"/>
          <w:color w:val="auto"/>
          <w:kern w:val="0"/>
          <w:sz w:val="24"/>
          <w:lang w:val="zh-CN"/>
        </w:rPr>
      </w:pPr>
      <w:r>
        <w:rPr>
          <w:rFonts w:hint="eastAsia" w:ascii="宋体" w:hAnsi="宋体" w:cs="宋体"/>
          <w:color w:val="auto"/>
          <w:kern w:val="0"/>
          <w:sz w:val="24"/>
          <w:lang w:val="en-US" w:eastAsia="zh-CN"/>
        </w:rPr>
        <w:t>12.4.</w:t>
      </w:r>
      <w:r>
        <w:rPr>
          <w:rFonts w:hint="eastAsia" w:ascii="宋体" w:hAnsi="宋体" w:cs="宋体"/>
          <w:color w:val="auto"/>
          <w:kern w:val="0"/>
          <w:sz w:val="24"/>
          <w:lang w:val="zh-CN" w:eastAsia="zh-CN"/>
        </w:rPr>
        <w:t>4.不同投标人的投标文件异常一致或者投标报价呈规律性差异；</w:t>
      </w:r>
    </w:p>
    <w:p>
      <w:pPr>
        <w:spacing w:line="360" w:lineRule="auto"/>
        <w:ind w:firstLine="720" w:firstLineChars="300"/>
        <w:rPr>
          <w:rFonts w:hint="eastAsia" w:ascii="宋体" w:hAnsi="宋体" w:cs="宋体"/>
          <w:color w:val="auto"/>
          <w:kern w:val="0"/>
          <w:sz w:val="24"/>
          <w:lang w:val="zh-CN"/>
        </w:rPr>
      </w:pPr>
      <w:r>
        <w:rPr>
          <w:rFonts w:hint="eastAsia" w:ascii="宋体" w:hAnsi="宋体" w:cs="宋体"/>
          <w:color w:val="auto"/>
          <w:kern w:val="0"/>
          <w:sz w:val="24"/>
          <w:lang w:val="en-US" w:eastAsia="zh-CN"/>
        </w:rPr>
        <w:t>12.4.</w:t>
      </w:r>
      <w:r>
        <w:rPr>
          <w:rFonts w:hint="eastAsia" w:ascii="宋体" w:hAnsi="宋体" w:cs="宋体"/>
          <w:color w:val="auto"/>
          <w:kern w:val="0"/>
          <w:sz w:val="24"/>
          <w:lang w:val="zh-CN" w:eastAsia="zh-CN"/>
        </w:rPr>
        <w:t>5.不同投标人的投标文件相互混装；</w:t>
      </w:r>
    </w:p>
    <w:p>
      <w:pPr>
        <w:spacing w:line="360" w:lineRule="auto"/>
        <w:ind w:firstLine="480" w:firstLineChars="200"/>
        <w:rPr>
          <w:rFonts w:ascii="宋体" w:hAnsi="宋体" w:cs="宋体"/>
          <w:color w:val="auto"/>
          <w:kern w:val="0"/>
          <w:sz w:val="24"/>
          <w:highlight w:val="none"/>
          <w:lang w:val="zh-CN"/>
        </w:rPr>
      </w:pP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86"/>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86"/>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86"/>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86"/>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86"/>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86"/>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86"/>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2"/>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pPr>
        <w:pStyle w:val="86"/>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86"/>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86"/>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pPr>
        <w:pStyle w:val="86"/>
        <w:spacing w:before="0"/>
        <w:ind w:firstLine="643"/>
        <w:rPr>
          <w:rFonts w:ascii="宋体" w:hAnsi="宋体" w:cs="宋体"/>
          <w:b/>
          <w:color w:val="auto"/>
          <w:sz w:val="32"/>
          <w:highlight w:val="none"/>
        </w:rPr>
      </w:pPr>
    </w:p>
    <w:p>
      <w:pPr>
        <w:pStyle w:val="86"/>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241"/>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241"/>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pPr>
        <w:pStyle w:val="241"/>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pPr>
        <w:pStyle w:val="241"/>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pPr>
        <w:pStyle w:val="86"/>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86"/>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pPr>
        <w:pStyle w:val="86"/>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pPr>
        <w:pStyle w:val="86"/>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86"/>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将在资格审查时通过“信用中国”网站(www.creditchina.gov.cn)、中国政府采购网(www.ccgp.gov.cn)渠道查询投标人接受资格时的信用记录。</w:t>
      </w:r>
    </w:p>
    <w:p>
      <w:pPr>
        <w:pStyle w:val="86"/>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86"/>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86"/>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86"/>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bookmarkStart w:id="23"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2"/>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86"/>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86"/>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w:t>
      </w:r>
      <w:bookmarkStart w:id="24" w:name="_Hlk101184471"/>
      <w:r>
        <w:rPr>
          <w:rFonts w:hint="eastAsia" w:ascii="宋体" w:hAnsi="宋体" w:cs="宋体"/>
          <w:color w:val="auto"/>
          <w:sz w:val="24"/>
          <w:highlight w:val="none"/>
        </w:rPr>
        <w:t>资格审查情况、评审专家抽取规则、符合性审查情况、</w:t>
      </w:r>
      <w:bookmarkEnd w:id="24"/>
      <w:r>
        <w:rPr>
          <w:rFonts w:hint="eastAsia" w:ascii="宋体" w:hAnsi="宋体" w:cs="宋体"/>
          <w:color w:val="auto"/>
          <w:sz w:val="24"/>
          <w:highlight w:val="none"/>
        </w:rPr>
        <w:t>未中标情况说明、中标公告期限以及评审专家名单、评分汇总及明细。</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2"/>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86"/>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86"/>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2"/>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Style w:val="5"/>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5"/>
        <w:rPr>
          <w:color w:val="auto"/>
          <w:highlight w:val="none"/>
        </w:rPr>
      </w:pPr>
      <w:r>
        <w:rPr>
          <w:rFonts w:ascii="宋体" w:hAnsi="宋体" w:eastAsia="宋体"/>
          <w:b/>
          <w:bCs/>
          <w:color w:val="auto"/>
          <w:sz w:val="24"/>
          <w:szCs w:val="32"/>
          <w:highlight w:val="none"/>
          <w:lang w:val="en-US"/>
        </w:rPr>
        <w:t>27.预付款</w:t>
      </w:r>
    </w:p>
    <w:p>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ascii="宋体" w:hAnsi="宋体"/>
          <w:color w:val="auto"/>
          <w:sz w:val="24"/>
          <w:highlight w:val="none"/>
        </w:rPr>
        <w:t>400-903-9583。</w:t>
      </w:r>
    </w:p>
    <w:p>
      <w:pPr>
        <w:rPr>
          <w:color w:val="auto"/>
          <w:highlight w:val="none"/>
        </w:rPr>
      </w:pPr>
    </w:p>
    <w:p>
      <w:pPr>
        <w:snapToGrid w:val="0"/>
        <w:spacing w:line="360" w:lineRule="auto"/>
        <w:ind w:firstLine="3357" w:firstLineChars="1045"/>
        <w:rPr>
          <w:rFonts w:ascii="宋体" w:hAnsi="宋体" w:cs="宋体"/>
          <w:b/>
          <w:color w:val="auto"/>
          <w:sz w:val="32"/>
          <w:highlight w:val="none"/>
        </w:rPr>
      </w:pPr>
    </w:p>
    <w:p>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86"/>
        <w:snapToGrid w:val="0"/>
        <w:spacing w:before="0"/>
        <w:ind w:firstLine="0" w:firstLineChars="0"/>
        <w:rPr>
          <w:rFonts w:ascii="宋体" w:hAnsi="宋体" w:cs="宋体"/>
          <w:color w:val="auto"/>
          <w:highlight w:val="none"/>
        </w:rPr>
      </w:pPr>
      <w:r>
        <w:rPr>
          <w:rFonts w:ascii="宋体" w:hAnsi="宋体" w:cs="宋体"/>
          <w:b/>
          <w:bCs/>
          <w:color w:val="auto"/>
          <w:sz w:val="24"/>
          <w:szCs w:val="20"/>
          <w:highlight w:val="none"/>
        </w:rPr>
        <w:t>2</w:t>
      </w:r>
      <w:r>
        <w:rPr>
          <w:rFonts w:ascii="宋体" w:hAnsi="宋体" w:cs="宋体"/>
          <w:b/>
          <w:bCs/>
          <w:color w:val="auto"/>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86"/>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2"/>
        <w:spacing w:line="360" w:lineRule="auto"/>
        <w:ind w:firstLine="0" w:firstLineChars="0"/>
        <w:rPr>
          <w:rFonts w:cs="宋体"/>
          <w:b/>
          <w:color w:val="auto"/>
          <w:highlight w:val="none"/>
        </w:rPr>
      </w:pPr>
      <w:r>
        <w:rPr>
          <w:rFonts w:hint="eastAsia" w:cs="宋体"/>
          <w:b/>
          <w:color w:val="auto"/>
          <w:highlight w:val="none"/>
        </w:rPr>
        <w:t>30.验收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3"/>
    <w:p>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25" w:name="_Hlt74729768"/>
      <w:bookmarkEnd w:id="25"/>
      <w:bookmarkStart w:id="26" w:name="_Hlt74714665"/>
      <w:bookmarkEnd w:id="26"/>
      <w:bookmarkStart w:id="27" w:name="_Hlt68403820"/>
      <w:bookmarkEnd w:id="27"/>
      <w:bookmarkStart w:id="28" w:name="_Hlt75236101"/>
      <w:bookmarkEnd w:id="28"/>
      <w:bookmarkStart w:id="29" w:name="_Hlt68072998"/>
      <w:bookmarkEnd w:id="29"/>
      <w:bookmarkStart w:id="30" w:name="_Hlt68073093"/>
      <w:bookmarkEnd w:id="30"/>
      <w:bookmarkStart w:id="31" w:name="_Hlt75236011"/>
      <w:bookmarkEnd w:id="31"/>
      <w:bookmarkStart w:id="32" w:name="_Hlt74707468"/>
      <w:bookmarkEnd w:id="32"/>
      <w:bookmarkStart w:id="33" w:name="_Hlt74730295"/>
      <w:bookmarkEnd w:id="33"/>
      <w:bookmarkStart w:id="34" w:name="_Hlt75236290"/>
      <w:bookmarkEnd w:id="34"/>
      <w:bookmarkStart w:id="35" w:name="_Hlt68057669"/>
      <w:bookmarkEnd w:id="35"/>
      <w:bookmarkStart w:id="36" w:name="_Hlt68072990"/>
      <w:bookmarkEnd w:id="36"/>
    </w:p>
    <w:bookmarkEnd w:id="21"/>
    <w:bookmarkEnd w:id="22"/>
    <w:p>
      <w:pPr>
        <w:spacing w:line="360" w:lineRule="auto"/>
        <w:jc w:val="center"/>
        <w:outlineLvl w:val="0"/>
        <w:rPr>
          <w:rFonts w:ascii="宋体" w:hAnsi="宋体" w:cs="宋体"/>
          <w:b/>
          <w:color w:val="auto"/>
          <w:sz w:val="36"/>
          <w:szCs w:val="36"/>
        </w:rPr>
      </w:pPr>
      <w:bookmarkStart w:id="37" w:name="第四部分"/>
      <w:r>
        <w:rPr>
          <w:rFonts w:hint="eastAsia" w:ascii="宋体" w:hAnsi="宋体" w:cs="宋体"/>
          <w:b/>
          <w:color w:val="auto"/>
          <w:sz w:val="36"/>
          <w:szCs w:val="36"/>
        </w:rPr>
        <w:t>第三部分   采购需求</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cs="宋体"/>
          <w:b/>
          <w:bCs/>
          <w:sz w:val="24"/>
          <w:lang w:bidi="ar-SA"/>
        </w:rPr>
      </w:pPr>
      <w:bookmarkStart w:id="38" w:name="_Toc379811066"/>
      <w:bookmarkStart w:id="39" w:name="_Toc365897805"/>
      <w:bookmarkStart w:id="40" w:name="_Toc351971206"/>
      <w:bookmarkStart w:id="41" w:name="_Toc39844011"/>
      <w:bookmarkStart w:id="42" w:name="_Toc16157"/>
      <w:bookmarkStart w:id="43" w:name="_Toc274303247"/>
      <w:r>
        <w:rPr>
          <w:rFonts w:hint="eastAsia" w:ascii="宋体" w:cs="宋体"/>
          <w:b/>
          <w:bCs/>
          <w:sz w:val="24"/>
          <w:lang w:bidi="ar-SA"/>
        </w:rPr>
        <w:t>一、项目概述：</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eastAsia" w:ascii="宋体" w:cs="宋体"/>
          <w:b w:val="0"/>
          <w:bCs w:val="0"/>
          <w:sz w:val="24"/>
          <w:highlight w:val="none"/>
          <w:lang w:bidi="ar-SA"/>
        </w:rPr>
      </w:pPr>
      <w:r>
        <w:rPr>
          <w:rFonts w:hint="eastAsia" w:ascii="宋体" w:cs="宋体"/>
          <w:b w:val="0"/>
          <w:bCs w:val="0"/>
          <w:sz w:val="24"/>
          <w:highlight w:val="none"/>
          <w:lang w:bidi="ar-SA"/>
        </w:rPr>
        <w:t>项目前提：由于交通事故的发生或者原有交通安全设施的老化导致</w:t>
      </w:r>
      <w:r>
        <w:rPr>
          <w:rFonts w:hint="eastAsia" w:ascii="宋体" w:cs="宋体"/>
          <w:b w:val="0"/>
          <w:bCs w:val="0"/>
          <w:sz w:val="24"/>
          <w:highlight w:val="none"/>
          <w:lang w:val="en-US" w:eastAsia="zh-CN" w:bidi="ar-SA"/>
        </w:rPr>
        <w:t>运河</w:t>
      </w:r>
      <w:r>
        <w:rPr>
          <w:rFonts w:hint="eastAsia" w:ascii="宋体" w:cs="宋体"/>
          <w:b w:val="0"/>
          <w:bCs w:val="0"/>
          <w:sz w:val="24"/>
          <w:highlight w:val="none"/>
          <w:lang w:bidi="ar-SA"/>
        </w:rPr>
        <w:t>街道辖区的部分交安设施损坏，给车辆和行人的通行带来不便，具有一定的安全隐患，以及交通管理过程中可能会需要的交通安全设施的改造及临时设施的安装，为确保通行安全、规范通行秩序，故需在规定的时间和地点完成安装（或拆除）。</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eastAsia" w:ascii="宋体" w:cs="宋体"/>
          <w:b w:val="0"/>
          <w:bCs w:val="0"/>
          <w:sz w:val="24"/>
          <w:highlight w:val="none"/>
          <w:lang w:bidi="ar-SA"/>
        </w:rPr>
      </w:pPr>
      <w:r>
        <w:rPr>
          <w:rFonts w:hint="eastAsia" w:ascii="宋体" w:cs="宋体"/>
          <w:b w:val="0"/>
          <w:bCs w:val="0"/>
          <w:sz w:val="24"/>
          <w:highlight w:val="none"/>
          <w:lang w:bidi="ar-SA"/>
        </w:rPr>
        <w:t>本项目为“交钥匙”项目，采购内容包括原受损设施的拆除、运输、处理，新设施的采购、运输、仓储、安装、调试等内容，投标报价包括原受损设施的拆除、运输和处理等费用，新设施的采购、运输、仓储、安装、调试、税金、样品费、质保期内的售后服务等费用，采购需求中未提到，但在实际采购和合同执行中需要配置的各种设备、材料和其他费用等均计入综合和单价中，不得额外收费。</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eastAsia" w:ascii="宋体" w:cs="宋体"/>
          <w:b w:val="0"/>
          <w:bCs w:val="0"/>
          <w:sz w:val="24"/>
          <w:highlight w:val="none"/>
          <w:lang w:bidi="ar-SA"/>
        </w:rPr>
      </w:pPr>
      <w:r>
        <w:rPr>
          <w:rFonts w:hint="eastAsia" w:ascii="宋体" w:cs="宋体"/>
          <w:b w:val="0"/>
          <w:bCs w:val="0"/>
          <w:sz w:val="24"/>
          <w:highlight w:val="none"/>
          <w:lang w:bidi="ar-SA"/>
        </w:rPr>
        <w:t>本项目包含设施破损维修及部分新增交通安全设施设备（以各相关部门联系单、抄告单及任务单描述作为依据。</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eastAsia" w:ascii="宋体" w:cs="宋体"/>
          <w:b w:val="0"/>
          <w:bCs w:val="0"/>
          <w:sz w:val="24"/>
          <w:highlight w:val="none"/>
          <w:lang w:bidi="ar-SA"/>
        </w:rPr>
      </w:pPr>
      <w:r>
        <w:rPr>
          <w:rFonts w:hint="eastAsia" w:ascii="宋体" w:cs="宋体"/>
          <w:b w:val="0"/>
          <w:bCs w:val="0"/>
          <w:sz w:val="24"/>
          <w:highlight w:val="none"/>
          <w:lang w:bidi="ar-SA"/>
        </w:rPr>
        <w:t>采购人与中标单位签订《道路交通安全设施采购项目供货合同》，自合同生效之日起两个日历年内，采购人按实际完成工程量，经审计后支付货款（根据实际完成工程量按季度或年进行审计结算），结算单价为本次投标报价中对应的设备单价。</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cs="宋体"/>
          <w:b/>
          <w:bCs/>
          <w:sz w:val="24"/>
          <w:highlight w:val="none"/>
          <w:lang w:bidi="ar-SA"/>
        </w:rPr>
      </w:pPr>
      <w:r>
        <w:rPr>
          <w:rFonts w:hint="eastAsia" w:ascii="宋体" w:cs="宋体"/>
          <w:b/>
          <w:bCs/>
          <w:sz w:val="24"/>
          <w:highlight w:val="none"/>
          <w:lang w:bidi="ar-SA"/>
        </w:rPr>
        <w:t>二、采购清单（照片仅作参考，实际以规格型号为准）：</w:t>
      </w:r>
    </w:p>
    <w:tbl>
      <w:tblPr>
        <w:tblStyle w:val="63"/>
        <w:tblW w:w="9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198"/>
        <w:gridCol w:w="3118"/>
        <w:gridCol w:w="567"/>
        <w:gridCol w:w="567"/>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序号</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名称</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规格型号</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单位</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数量</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参考单价（元）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辅助牌1</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1、200×700×1.5mm铝板2、底为高强级、字为超高强级反光膜，含铝槽、抱箍、螺栓、连接件等费用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辅助牌2</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1、300×700×1.5mm铝板2、底为高强级、字为超高强级反光膜，含铝槽、抱箍、螺栓、连接件等费用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标志牌1</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1、400×600×1.5mm铝板2、底为高强级、字为超高强级反光膜，含铝槽、抱箍、螺栓、连接件等费用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标志牌2</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1、1500×1000×2mm铝板2、底为高强级、字为超高强级反光膜，含铝槽、抱箍、螺栓、连接件等费用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指示牌1</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1、600×600×2mm铝板2、底为高强级、字为超高强级反光膜，含铝槽、抱箍、螺栓、连接件等费用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指示牌2</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1、600×800×2mm铝板 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指示牌3</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1、1000×1200×2mm铝板 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指示牌4</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1、1000×2000×2mm铝板 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禁令、警告牌1</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1、Φ800mm 2、1.5mm铝板3、底为高强级、字为超高强级反光膜，含铝槽、抱箍、螺栓、连接件等费用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禁令、警告牌2</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1、Φ1000mm 2、1.5mm铝板 3、底为高强级、字为超高强级反光膜，含铝槽、抱箍、螺栓、连接件等费用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警告牌</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1、Φ900mm 2、1.5mm铝板 3、底为高强级、字为超高强级反光膜，含铝槽、抱箍、螺栓、连接件等费用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指路牌1</w:t>
            </w:r>
            <w:r>
              <w:rPr>
                <w:rFonts w:hint="eastAsia" w:ascii="宋体" w:hAnsi="宋体" w:eastAsia="宋体" w:cs="宋体"/>
                <w:color w:val="000000"/>
                <w:kern w:val="2"/>
                <w:sz w:val="21"/>
                <w:szCs w:val="21"/>
                <w:lang w:val="en-US" w:eastAsia="zh-CN" w:bidi="ar-SA"/>
              </w:rPr>
              <w:drawing>
                <wp:inline distT="0" distB="0" distL="114300" distR="114300">
                  <wp:extent cx="1587500" cy="1190625"/>
                  <wp:effectExtent l="0" t="0" r="1270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stretch>
                            <a:fillRect/>
                          </a:stretch>
                        </pic:blipFill>
                        <pic:spPr>
                          <a:xfrm>
                            <a:off x="0" y="0"/>
                            <a:ext cx="1587500" cy="1190625"/>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1、1500×3000×2mm铝板 2、底为高强级、字为超高强级反光膜，含铝槽、抱箍、螺栓、连接件等费用（不包含标杆）</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指路牌2</w:t>
            </w:r>
            <w:r>
              <w:rPr>
                <w:rFonts w:hint="eastAsia" w:ascii="宋体" w:hAnsi="宋体" w:eastAsia="宋体" w:cs="宋体"/>
                <w:color w:val="000000"/>
                <w:kern w:val="2"/>
                <w:sz w:val="21"/>
                <w:szCs w:val="21"/>
                <w:lang w:val="en-US" w:eastAsia="zh-CN" w:bidi="ar-SA"/>
              </w:rPr>
              <w:drawing>
                <wp:inline distT="0" distB="0" distL="114300" distR="114300">
                  <wp:extent cx="1689735" cy="1267460"/>
                  <wp:effectExtent l="0" t="0" r="571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6"/>
                          <a:stretch>
                            <a:fillRect/>
                          </a:stretch>
                        </pic:blipFill>
                        <pic:spPr>
                          <a:xfrm>
                            <a:off x="0" y="0"/>
                            <a:ext cx="1689735" cy="1267460"/>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1、4000×2400×3mm铝板 2、底为高强级、字为超高强级反光膜，含铝槽、抱箍、螺栓、连接件等费用（不包含标杆）</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镀锌标杆1</w:t>
            </w:r>
            <w:r>
              <w:rPr>
                <w:rFonts w:ascii="宋体" w:hAnsi="宋体" w:eastAsia="宋体" w:cs="宋体"/>
                <w:color w:val="000000"/>
                <w:kern w:val="2"/>
                <w:sz w:val="21"/>
                <w:szCs w:val="21"/>
                <w:lang w:val="en-US" w:eastAsia="zh-CN" w:bidi="ar-SA"/>
              </w:rPr>
              <w:drawing>
                <wp:inline distT="0" distB="0" distL="114300" distR="114300">
                  <wp:extent cx="1614170" cy="1210310"/>
                  <wp:effectExtent l="0" t="0" r="5080"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7"/>
                          <a:stretch>
                            <a:fillRect/>
                          </a:stretch>
                        </pic:blipFill>
                        <pic:spPr>
                          <a:xfrm>
                            <a:off x="0" y="0"/>
                            <a:ext cx="1614170" cy="1210310"/>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1、立柱式Φ89×4×3700mm无缝钢管2、1000×600×600mm C30混凝土基础3、包含热镀锌、制作加工、油漆、基坑开挖、回填、标志杆安装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镀锌标杆2</w:t>
            </w:r>
            <w:r>
              <w:rPr>
                <w:rFonts w:ascii="宋体" w:hAnsi="宋体" w:eastAsia="宋体" w:cs="宋体"/>
                <w:color w:val="000000"/>
                <w:kern w:val="2"/>
                <w:sz w:val="21"/>
                <w:szCs w:val="21"/>
                <w:lang w:val="en-US" w:eastAsia="zh-CN" w:bidi="ar-SA"/>
              </w:rPr>
              <w:drawing>
                <wp:inline distT="0" distB="0" distL="114300" distR="114300">
                  <wp:extent cx="1728470" cy="1296035"/>
                  <wp:effectExtent l="0" t="0" r="508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7"/>
                          <a:stretch>
                            <a:fillRect/>
                          </a:stretch>
                        </pic:blipFill>
                        <pic:spPr>
                          <a:xfrm>
                            <a:off x="0" y="0"/>
                            <a:ext cx="1728470" cy="1296035"/>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1、立柱式Φ140×4×3700mm无缝钢管2、1000×600×600mm C30混凝土基础3、包含热镀锌、制作加工、油漆、基坑开挖、回填、标志杆安装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3526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镀锌标杆3</w:t>
            </w:r>
          </w:p>
          <w:p>
            <w:pPr>
              <w:jc w:val="center"/>
              <w:rPr>
                <w:rFonts w:hint="eastAsia" w:ascii="宋体" w:hAnsi="宋体" w:cs="宋体"/>
                <w:color w:val="000000"/>
                <w:szCs w:val="21"/>
              </w:rPr>
            </w:pPr>
            <w:r>
              <w:rPr>
                <w:rFonts w:ascii="宋体" w:hAnsi="宋体" w:eastAsia="宋体" w:cs="宋体"/>
                <w:color w:val="000000"/>
                <w:kern w:val="2"/>
                <w:sz w:val="21"/>
                <w:szCs w:val="21"/>
                <w:lang w:val="en-US" w:eastAsia="zh-CN" w:bidi="ar-SA"/>
              </w:rPr>
              <w:drawing>
                <wp:inline distT="0" distB="0" distL="114300" distR="114300">
                  <wp:extent cx="1666875" cy="1249680"/>
                  <wp:effectExtent l="0" t="0" r="9525" b="762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7"/>
                          <a:stretch>
                            <a:fillRect/>
                          </a:stretch>
                        </pic:blipFill>
                        <pic:spPr>
                          <a:xfrm>
                            <a:off x="0" y="0"/>
                            <a:ext cx="1666875" cy="1249680"/>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1、单悬臂式Φ219×8×7420mm无缝钢管 2、无焊接、法栏连接，含混凝土基础3、包含热镀锌、制作加工、油漆、基坑开挖、回填、标志杆安装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人行信号杆1</w:t>
            </w:r>
          </w:p>
          <w:p>
            <w:pPr>
              <w:jc w:val="center"/>
              <w:rPr>
                <w:rFonts w:hint="eastAsia" w:ascii="宋体" w:hAnsi="宋体" w:cs="宋体"/>
                <w:color w:val="000000"/>
                <w:szCs w:val="21"/>
              </w:rPr>
            </w:pPr>
            <w:r>
              <w:rPr>
                <w:rFonts w:ascii="宋体" w:hAnsi="宋体" w:eastAsia="宋体" w:cs="宋体"/>
                <w:color w:val="000000"/>
                <w:kern w:val="2"/>
                <w:sz w:val="21"/>
                <w:szCs w:val="21"/>
                <w:lang w:val="en-US" w:eastAsia="zh-CN" w:bidi="ar-SA"/>
              </w:rPr>
              <w:drawing>
                <wp:inline distT="0" distB="0" distL="114300" distR="114300">
                  <wp:extent cx="1797685" cy="1348740"/>
                  <wp:effectExtent l="0" t="0" r="12065" b="38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8"/>
                          <a:stretch>
                            <a:fillRect/>
                          </a:stretch>
                        </pic:blipFill>
                        <pic:spPr>
                          <a:xfrm>
                            <a:off x="0" y="0"/>
                            <a:ext cx="1797685" cy="1348740"/>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1、立柱采用Φ89×4.5×2800mm无缝钢管 2、含混凝土基础费用3、包含热镀锌、制作加工、油漆、基坑开挖、回填、信号灯杆安装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人行信号杆2</w:t>
            </w:r>
            <w:r>
              <w:rPr>
                <w:rFonts w:ascii="宋体" w:hAnsi="宋体" w:eastAsia="宋体" w:cs="宋体"/>
                <w:color w:val="000000"/>
                <w:kern w:val="2"/>
                <w:sz w:val="21"/>
                <w:szCs w:val="21"/>
                <w:lang w:val="en-US" w:eastAsia="zh-CN" w:bidi="ar-SA"/>
              </w:rPr>
              <w:drawing>
                <wp:inline distT="0" distB="0" distL="114300" distR="114300">
                  <wp:extent cx="1898650" cy="1424305"/>
                  <wp:effectExtent l="0" t="0" r="6350"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8"/>
                          <a:stretch>
                            <a:fillRect/>
                          </a:stretch>
                        </pic:blipFill>
                        <pic:spPr>
                          <a:xfrm>
                            <a:off x="0" y="0"/>
                            <a:ext cx="1898650" cy="1424305"/>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1、Φ114×4×3305mm无缝钢管2、含混凝土基础费用3、包含热镀锌、制作加工、油漆、基坑开挖、回填、信号灯杆安装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红绿灯标志杆1</w:t>
            </w:r>
          </w:p>
          <w:p>
            <w:pPr>
              <w:jc w:val="center"/>
              <w:rPr>
                <w:rFonts w:hint="eastAsia" w:ascii="宋体" w:hAnsi="宋体" w:cs="宋体"/>
                <w:color w:val="000000"/>
                <w:szCs w:val="21"/>
              </w:rPr>
            </w:pPr>
            <w:r>
              <w:rPr>
                <w:rFonts w:ascii="宋体" w:hAnsi="宋体" w:eastAsia="宋体" w:cs="宋体"/>
                <w:color w:val="000000"/>
                <w:kern w:val="2"/>
                <w:sz w:val="21"/>
                <w:szCs w:val="21"/>
                <w:lang w:val="en-US" w:eastAsia="zh-CN" w:bidi="ar-SA"/>
              </w:rPr>
              <w:drawing>
                <wp:inline distT="0" distB="0" distL="114300" distR="114300">
                  <wp:extent cx="1765935" cy="1332230"/>
                  <wp:effectExtent l="0" t="0" r="5715" b="12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9"/>
                          <a:stretch>
                            <a:fillRect/>
                          </a:stretch>
                        </pic:blipFill>
                        <pic:spPr>
                          <a:xfrm>
                            <a:off x="0" y="0"/>
                            <a:ext cx="1765935" cy="1332230"/>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1、立柱采用Φ273×12×8000mm无缝钢管 ,挑长6m2、含混凝土基础费用3、包含热镀锌、制作加工、油漆、基坑开挖、回填、信号灯杆安装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20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红绿灯标志杆2</w:t>
            </w:r>
            <w:r>
              <w:rPr>
                <w:rFonts w:ascii="宋体" w:hAnsi="宋体" w:eastAsia="宋体" w:cs="宋体"/>
                <w:color w:val="000000"/>
                <w:kern w:val="2"/>
                <w:sz w:val="21"/>
                <w:szCs w:val="21"/>
                <w:lang w:val="en-US" w:eastAsia="zh-CN" w:bidi="ar-SA"/>
              </w:rPr>
              <w:drawing>
                <wp:inline distT="0" distB="0" distL="114300" distR="114300">
                  <wp:extent cx="1594485" cy="1202690"/>
                  <wp:effectExtent l="0" t="0" r="5715" b="1651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9"/>
                          <a:stretch>
                            <a:fillRect/>
                          </a:stretch>
                        </pic:blipFill>
                        <pic:spPr>
                          <a:xfrm>
                            <a:off x="0" y="0"/>
                            <a:ext cx="1594485" cy="1202690"/>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1、立柱采用Φ325×12×8000mm无缝钢管，挑长8m 2、含混凝土基础费用3、包含热镀锌、制作加工、油漆、基坑开挖、回填、标志杆安装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21040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21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单悬臂杆1（指路分道牌）</w:t>
            </w:r>
          </w:p>
          <w:p>
            <w:pPr>
              <w:jc w:val="center"/>
              <w:rPr>
                <w:rFonts w:hint="eastAsia" w:ascii="宋体" w:hAnsi="宋体" w:cs="宋体"/>
                <w:color w:val="000000"/>
                <w:szCs w:val="21"/>
              </w:rPr>
            </w:pPr>
            <w:r>
              <w:rPr>
                <w:rFonts w:ascii="宋体" w:hAnsi="宋体" w:eastAsia="宋体" w:cs="宋体"/>
                <w:color w:val="000000"/>
                <w:kern w:val="2"/>
                <w:sz w:val="21"/>
                <w:szCs w:val="21"/>
                <w:lang w:val="en-US" w:eastAsia="zh-CN" w:bidi="ar-SA"/>
              </w:rPr>
              <w:drawing>
                <wp:inline distT="0" distB="0" distL="114300" distR="114300">
                  <wp:extent cx="1718310" cy="1289050"/>
                  <wp:effectExtent l="0" t="0" r="15240" b="635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0"/>
                          <a:stretch>
                            <a:fillRect/>
                          </a:stretch>
                        </pic:blipFill>
                        <pic:spPr>
                          <a:xfrm>
                            <a:off x="0" y="0"/>
                            <a:ext cx="1718310" cy="1289050"/>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1、立柱采用Φ273×10×9302mm无缝钢管 ,挑长6m2、含混凝土基础费用                   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19360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22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单悬臂杆2（大型指路牌）</w:t>
            </w:r>
          </w:p>
          <w:p>
            <w:pPr>
              <w:jc w:val="center"/>
              <w:rPr>
                <w:rFonts w:hint="eastAsia" w:ascii="宋体" w:hAnsi="宋体" w:cs="宋体"/>
                <w:color w:val="000000"/>
                <w:szCs w:val="21"/>
              </w:rPr>
            </w:pPr>
            <w:r>
              <w:rPr>
                <w:rFonts w:ascii="宋体" w:hAnsi="宋体" w:eastAsia="宋体" w:cs="宋体"/>
                <w:color w:val="000000"/>
                <w:kern w:val="2"/>
                <w:sz w:val="21"/>
                <w:szCs w:val="21"/>
                <w:lang w:val="en-US" w:eastAsia="zh-CN" w:bidi="ar-SA"/>
              </w:rPr>
              <w:drawing>
                <wp:inline distT="0" distB="0" distL="114300" distR="114300">
                  <wp:extent cx="1849120" cy="1386840"/>
                  <wp:effectExtent l="0" t="0" r="17780" b="381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6"/>
                          <a:stretch>
                            <a:fillRect/>
                          </a:stretch>
                        </pic:blipFill>
                        <pic:spPr>
                          <a:xfrm>
                            <a:off x="0" y="0"/>
                            <a:ext cx="1849120" cy="1386840"/>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1、立柱采用Φ325×12×10240mm无缝钢管，挑长8m 2、含混凝土基础费用3、包含热镀锌、制作加工、油漆、基坑开挖、回填、标志杆安装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24054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23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警示桩</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1、Φ89×4×1200mm，一级反光膜2、280×280×450mmC30混凝土基础</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24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摆放式支架</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单立柱 89</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25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摆放式支架</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双立柱 89</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26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贴反光膜1</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7年工程级</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27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贴反光膜2</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高强级</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28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贴反光膜3</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超强级</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29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标线1</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常温标线，面撒玻璃珠，用量0.3-0.34kg/㎡</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标线2</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采用一次常温一次热熔反光涂料，标线厚1.8±0.2mm，用量一般为4kg/㎡，面撒玻璃珠，用量0.3-0.34kg/㎡</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标线3</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减速震荡标线，标线厚1.8±0.2mm,用量为4kg/㎡,标线采用反光热熔型涂料,预混或面撒玻璃微珠,用量为0.34kg/㎡,标线漆采用一次常温标线及一次热熔标线</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橡胶缓冲带</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1000×380×50mm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标线除线</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热熔型</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缓冲带拆除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橡胶减速带:设置于区块出入口处，尺寸：380×1000×50mm,高强橡胶，包括：制作、运输、安装，并用φ20×120MM膨胀螺栓固定</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辅助牌1拆除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1、200×700×1.5mm铝板2、底为高强级、字为超高强级反光膜，含铝槽、抱箍、螺栓、连接件等费用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辅助牌2拆除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1、300×700×1.5mm铝板2、底为高强级、字为超高强级反光膜，含铝槽、抱箍、螺栓、连接件等费用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标志牌1拆除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1、400×600×1.5mm铝板 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标志牌2拆除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1、1500×1000×2mm铝板 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指示牌1拆除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1、600×600×2mm铝板 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指示牌2拆除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1、600×800×2mm铝板 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指示牌3拆除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1、1000×1200×2mm铝板 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指示牌4拆除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1、1000×2000×2mm铝板 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禁令、警告牌1拆除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1、Φ800mm 2、1.5mm铝板 3、底为高强级、字为超高强级反光膜，含铝槽、抱箍、螺栓、连接件等费用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禁令、警告牌2拆除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1、Φ1000mm 2、1.5mm铝板 3、底为高强级、字为超高强级反光膜，含铝槽、抱箍、螺栓、连接件等费用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警告牌拆除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1、Φ900mm  2、1.5mm铝板 3、底为高强级、字为超高强级反光膜，含铝槽、抱箍、螺栓、连接件等费用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指路牌1拆除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1、1500×3000×2mm铝板 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指路牌2拆除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1、4000×2400×3mm铝板 2、底为高强级、字为超高强级反光膜，含铝槽、抱箍、螺栓、连接件等费用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镀锌标杆1拆除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1、立柱式Φ89×4×3700mm无缝钢管2、1000×600×600mm C30混凝土基础3、包含热镀锌、制作加工、油漆、基坑开挖、回填、标志杆安装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镀锌标杆2拆除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1、立柱式Φ140×4×3700mm无缝钢管2、1000×600×600mm C30混凝土基础3、包含热镀锌、制作加工、油漆、基坑开挖、回填、标志杆安装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镀锌标杆3拆除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1、单悬臂式Φ219×8×7420mm无缝钢管 2、无焊接、法栏连接，含混凝土基础3、包含热镀锌、制作加工、油漆、基坑开挖、回填、标志杆安装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人行信号杆1拆除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1、立柱采用Φ89×4.5×2800mm无缝钢管 2、含混凝土基础费用3、包含热镀锌、制作加工、油漆、基坑开挖、回填、信号灯杆安装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人行信号杆2拆除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1、Φ114×4×3305mm无缝钢管2、含混凝土基础费3、包含热镀锌、制作加工、油漆、基坑开挖、回填、信号灯杆安装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红绿灯标志杆1拆除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1、立柱采用Φ273×12×8000mm无缝钢管 ,挑长6m2、含混凝土基础费用 3、包含热镀锌、制作加工、油漆、基坑开挖、回填、信号灯杆安装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红绿灯标志杆2拆除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1、立柱采用Φ325×12×8000mm无缝钢管，挑长8m 2、含混凝土基础费用3、包含热镀锌、制作加工、油漆、基坑开挖、回填、标志杆安装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单悬臂杆1拆除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1、立柱采用Φ273×10×9302mm无缝钢管 ,挑长6m2、含混凝土基础费用                    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单悬臂杆2拆除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1、立柱采用Φ325×12×10240mm无缝钢管 ，挑长8m 2、含混凝土基础费用3、包含热镀锌、制作加工、油漆、基坑开挖、回填、标志杆安装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塑钢护栏1拆除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3000mm×750mm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塑钢护栏2拆除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3000mm×900mm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塑钢护栏3拆除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3000mm×1200mm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60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钢立柱、复合材料底座</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热镀锌钢静电喷涂立柱，1000×800×15mm；复合材料底座，400×300×150mm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61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塑料隔离墩</w:t>
            </w:r>
          </w:p>
          <w:p>
            <w:pPr>
              <w:jc w:val="center"/>
              <w:rPr>
                <w:rFonts w:hint="eastAsia" w:ascii="宋体" w:hAnsi="宋体" w:cs="宋体"/>
                <w:color w:val="000000"/>
                <w:szCs w:val="21"/>
              </w:rPr>
            </w:pPr>
            <w:r>
              <w:rPr>
                <w:rFonts w:ascii="宋体" w:hAnsi="宋体" w:eastAsia="宋体" w:cs="宋体"/>
                <w:color w:val="000000"/>
                <w:kern w:val="2"/>
                <w:sz w:val="21"/>
                <w:szCs w:val="21"/>
                <w:lang w:val="en-US" w:eastAsia="zh-CN" w:bidi="ar-SA"/>
              </w:rPr>
              <w:drawing>
                <wp:inline distT="0" distB="0" distL="114300" distR="114300">
                  <wp:extent cx="2368550" cy="1777365"/>
                  <wp:effectExtent l="0" t="0" r="12700" b="1333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1"/>
                          <a:stretch>
                            <a:fillRect/>
                          </a:stretch>
                        </pic:blipFill>
                        <pic:spPr>
                          <a:xfrm>
                            <a:off x="0" y="0"/>
                            <a:ext cx="2368550" cy="1777365"/>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1、塑料隔离墩为四面体结构，贴高强度反光膜，底部尺寸：360×360MM，高度800MM，顶部170×170MM2、隔离墩之间由两根镀锌钢管串联。（参照现有余杭区经济技术开发区2号路、3号路交叉口实物）</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米</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62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减速道钉</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采用铝材</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63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爆闪灯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类型：双面太阳能警示灯，防护等级：IP55，光源类型：LED，额定功率≤10W，电压：12V，寿命≥50000H，颜色：红蓝（每面2组4灯）爆闪；单个模块规格≥200×180MM，太阳能爆闪灯整体规格长度≥800×170×230MM，每个LED红蓝模块至少有42只高亮度发光体组成。</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64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太阳能反光道钉</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尺寸≤105×105×25mm，电泄充放电次数&gt;1000次，标准光强照晒8小时支持闪烁时间≥48小时，显示方式：闪烁(4Hz)或直亮（可选），超高亮LED（发光光强：黄、红≥8000mcd，白≥6000mcd，显示颜色：红色、黄色、白色，蓝色和绿色可选，外壳材料：铸铝，起控光强：正面光照小于500Lux,工作环境：-20℃～70℃，表面有透明耐磨保护层。</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65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油漆（标志杆油漆）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含氟亚光黑漆</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66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护栏底坐</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材质：复合材料</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67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护栏底坐</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材质：铁质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68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塑钢护栏1</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护栏片：65×450×3000mm，立柱：80×80×750mm，采用优质热镀锌钢静电喷涂，喷塑。包含：基础安装等工作包含：基础安装等工作</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69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塑钢护栏2</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护栏片：65×600×3000mm，立柱：80×80×900mm，采用优质热镀锌钢静电喷涂，喷塑。包含：基础安装等工作</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塑钢护栏3</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护栏片：65×900×3000mm，立柱：100×100×1200mm，采用优质热镀锌钢静电喷涂，喷塑,包含：基础安装等工作</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聚安脂反光警示柱</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Φ75mm×700mm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支</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塑胶管</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规格：Φ55mm，长6m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反光锥型交通路标1</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高度70cm，含连接件等辅材费用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反光锥型交通路标2</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高度50cm，含连接件等辅材费用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连接杆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现有反光锥型交通路标连接件更换，Φ33.5×2000mm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绿化护栏</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涂塑60cm高，做法参照余杭区经济技术开发区现有实物</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电池</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12V10AH太阳能爆闪灯专用电池</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大水马桶</w:t>
            </w:r>
          </w:p>
          <w:p>
            <w:pPr>
              <w:jc w:val="center"/>
              <w:rPr>
                <w:rFonts w:hint="eastAsia" w:ascii="宋体" w:hAnsi="宋体" w:cs="宋体"/>
                <w:color w:val="000000"/>
                <w:szCs w:val="21"/>
              </w:rPr>
            </w:pPr>
            <w:r>
              <w:rPr>
                <w:rFonts w:ascii="宋体" w:hAnsi="宋体" w:eastAsia="宋体" w:cs="宋体"/>
                <w:color w:val="000000"/>
                <w:kern w:val="2"/>
                <w:sz w:val="21"/>
                <w:szCs w:val="21"/>
                <w:lang w:val="en-US" w:eastAsia="zh-CN" w:bidi="ar-SA"/>
              </w:rPr>
              <w:drawing>
                <wp:inline distT="0" distB="0" distL="114300" distR="114300">
                  <wp:extent cx="2071370" cy="1224280"/>
                  <wp:effectExtent l="0" t="0" r="5080" b="1397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2"/>
                          <a:stretch>
                            <a:fillRect/>
                          </a:stretch>
                        </pic:blipFill>
                        <pic:spPr>
                          <a:xfrm>
                            <a:off x="0" y="0"/>
                            <a:ext cx="2071370" cy="1224280"/>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79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人工台班</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用于拆除及搬运施工</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台班</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80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汽车台班</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用于拆除及搬运施工</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台班</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81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吊车台班</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用于拆除及搬运施工</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台班</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82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中杆灯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4头，12米高</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盏</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000000"/>
                <w:szCs w:val="21"/>
              </w:rPr>
            </w:pPr>
            <w:r>
              <w:rPr>
                <w:rFonts w:hint="eastAsia" w:ascii="宋体" w:hAnsi="宋体" w:cs="宋体"/>
                <w:b/>
                <w:color w:val="000000"/>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83</w:t>
            </w:r>
          </w:p>
        </w:tc>
        <w:tc>
          <w:tcPr>
            <w:tcW w:w="31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高杆灯</w:t>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10头，15米高</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盏</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b/>
                <w:color w:val="000000"/>
                <w:szCs w:val="21"/>
              </w:rPr>
            </w:pPr>
            <w:r>
              <w:rPr>
                <w:rFonts w:hint="eastAsia" w:ascii="宋体" w:hAnsi="宋体" w:cs="宋体"/>
                <w:b/>
                <w:color w:val="000000"/>
                <w:szCs w:val="21"/>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84</w:t>
            </w:r>
          </w:p>
        </w:tc>
        <w:tc>
          <w:tcPr>
            <w:tcW w:w="31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波型护栏</w:t>
            </w:r>
          </w:p>
          <w:p>
            <w:pPr>
              <w:jc w:val="center"/>
              <w:rPr>
                <w:rFonts w:hint="eastAsia" w:ascii="宋体" w:hAnsi="宋体" w:cs="宋体"/>
                <w:color w:val="000000"/>
                <w:szCs w:val="21"/>
              </w:rPr>
            </w:pPr>
            <w:r>
              <w:rPr>
                <w:rFonts w:ascii="宋体" w:hAnsi="宋体" w:eastAsia="宋体" w:cs="宋体"/>
                <w:color w:val="000000"/>
                <w:kern w:val="2"/>
                <w:sz w:val="21"/>
                <w:szCs w:val="21"/>
                <w:lang w:val="en-US" w:eastAsia="zh-CN" w:bidi="ar-SA"/>
              </w:rPr>
              <w:drawing>
                <wp:inline distT="0" distB="0" distL="114300" distR="114300">
                  <wp:extent cx="2106295" cy="1579245"/>
                  <wp:effectExtent l="0" t="0" r="8255" b="190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33"/>
                          <a:stretch>
                            <a:fillRect/>
                          </a:stretch>
                        </pic:blipFill>
                        <pic:spPr>
                          <a:xfrm>
                            <a:off x="0" y="0"/>
                            <a:ext cx="2106295" cy="1579245"/>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A级（4E）</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b/>
                <w:color w:val="000000"/>
                <w:szCs w:val="21"/>
              </w:rPr>
            </w:pPr>
            <w:r>
              <w:rPr>
                <w:rFonts w:hint="eastAsia" w:ascii="宋体" w:hAnsi="宋体" w:cs="宋体"/>
                <w:b/>
                <w:color w:val="000000"/>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85</w:t>
            </w:r>
          </w:p>
        </w:tc>
        <w:tc>
          <w:tcPr>
            <w:tcW w:w="31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波型护栏</w:t>
            </w:r>
          </w:p>
          <w:p>
            <w:pPr>
              <w:jc w:val="center"/>
              <w:rPr>
                <w:rFonts w:hint="eastAsia" w:ascii="宋体" w:hAnsi="宋体" w:cs="宋体"/>
                <w:color w:val="000000"/>
                <w:szCs w:val="21"/>
              </w:rPr>
            </w:pPr>
            <w:r>
              <w:rPr>
                <w:rFonts w:ascii="宋体" w:hAnsi="宋体" w:eastAsia="宋体" w:cs="宋体"/>
                <w:color w:val="000000"/>
                <w:kern w:val="2"/>
                <w:sz w:val="21"/>
                <w:szCs w:val="21"/>
                <w:lang w:val="en-US" w:eastAsia="zh-CN" w:bidi="ar-SA"/>
              </w:rPr>
              <w:drawing>
                <wp:inline distT="0" distB="0" distL="114300" distR="114300">
                  <wp:extent cx="1799590" cy="1350010"/>
                  <wp:effectExtent l="0" t="0" r="10160" b="254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4"/>
                          <a:stretch>
                            <a:fillRect/>
                          </a:stretch>
                        </pic:blipFill>
                        <pic:spPr>
                          <a:xfrm>
                            <a:off x="0" y="0"/>
                            <a:ext cx="1799590" cy="1350010"/>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A级（2E）</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b/>
                <w:color w:val="000000"/>
                <w:szCs w:val="21"/>
              </w:rPr>
            </w:pPr>
            <w:r>
              <w:rPr>
                <w:rFonts w:hint="eastAsia" w:ascii="宋体" w:hAnsi="宋体" w:cs="宋体"/>
                <w:b/>
                <w:color w:val="000000"/>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86</w:t>
            </w:r>
          </w:p>
        </w:tc>
        <w:tc>
          <w:tcPr>
            <w:tcW w:w="31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波型护栏</w:t>
            </w:r>
          </w:p>
          <w:p>
            <w:pPr>
              <w:jc w:val="center"/>
              <w:rPr>
                <w:rFonts w:hint="eastAsia" w:ascii="宋体" w:hAnsi="宋体" w:cs="宋体"/>
                <w:color w:val="000000"/>
                <w:szCs w:val="21"/>
              </w:rPr>
            </w:pPr>
            <w:r>
              <w:rPr>
                <w:rFonts w:ascii="宋体" w:hAnsi="宋体" w:eastAsia="宋体" w:cs="宋体"/>
                <w:color w:val="000000"/>
                <w:kern w:val="2"/>
                <w:sz w:val="21"/>
                <w:szCs w:val="21"/>
                <w:lang w:val="en-US" w:eastAsia="zh-CN" w:bidi="ar-SA"/>
              </w:rPr>
              <w:drawing>
                <wp:inline distT="0" distB="0" distL="114300" distR="114300">
                  <wp:extent cx="1799590" cy="1350010"/>
                  <wp:effectExtent l="0" t="0" r="10160" b="254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4"/>
                          <a:stretch>
                            <a:fillRect/>
                          </a:stretch>
                        </pic:blipFill>
                        <pic:spPr>
                          <a:xfrm>
                            <a:off x="0" y="0"/>
                            <a:ext cx="1799590" cy="1350010"/>
                          </a:xfrm>
                          <a:prstGeom prst="rect">
                            <a:avLst/>
                          </a:prstGeom>
                          <a:noFill/>
                          <a:ln>
                            <a:noFill/>
                          </a:ln>
                        </pic:spPr>
                      </pic:pic>
                    </a:graphicData>
                  </a:graphic>
                </wp:inline>
              </w:drawing>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B级</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b/>
                <w:color w:val="000000"/>
                <w:szCs w:val="21"/>
              </w:rPr>
            </w:pPr>
            <w:r>
              <w:rPr>
                <w:rFonts w:hint="eastAsia" w:ascii="宋体" w:hAnsi="宋体" w:cs="宋体"/>
                <w:b/>
                <w:color w:val="000000"/>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87</w:t>
            </w:r>
          </w:p>
        </w:tc>
        <w:tc>
          <w:tcPr>
            <w:tcW w:w="31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行人过街语音提示柱</w:t>
            </w:r>
          </w:p>
          <w:p>
            <w:pPr>
              <w:jc w:val="center"/>
              <w:rPr>
                <w:rFonts w:hint="eastAsia" w:ascii="宋体" w:hAnsi="宋体" w:cs="宋体"/>
                <w:color w:val="000000"/>
                <w:szCs w:val="21"/>
              </w:rPr>
            </w:pPr>
            <w:r>
              <w:rPr>
                <w:rFonts w:ascii="宋体" w:hAnsi="宋体" w:eastAsia="宋体" w:cs="宋体"/>
                <w:color w:val="000000"/>
                <w:kern w:val="2"/>
                <w:sz w:val="21"/>
                <w:szCs w:val="21"/>
                <w:lang w:val="en-US" w:eastAsia="zh-CN" w:bidi="ar-SA"/>
              </w:rPr>
              <w:drawing>
                <wp:inline distT="0" distB="0" distL="114300" distR="114300">
                  <wp:extent cx="1841500" cy="1550035"/>
                  <wp:effectExtent l="0" t="0" r="6350" b="1206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5"/>
                          <a:stretch>
                            <a:fillRect/>
                          </a:stretch>
                        </pic:blipFill>
                        <pic:spPr>
                          <a:xfrm>
                            <a:off x="0" y="0"/>
                            <a:ext cx="1841500" cy="1550035"/>
                          </a:xfrm>
                          <a:prstGeom prst="rect">
                            <a:avLst/>
                          </a:prstGeom>
                          <a:noFill/>
                          <a:ln>
                            <a:noFill/>
                          </a:ln>
                        </pic:spPr>
                      </pic:pic>
                    </a:graphicData>
                  </a:graphic>
                </wp:inline>
              </w:drawing>
            </w:r>
          </w:p>
          <w:p>
            <w:pPr>
              <w:jc w:val="center"/>
              <w:rPr>
                <w:rFonts w:hint="eastAsia" w:ascii="宋体" w:hAnsi="宋体" w:cs="宋体"/>
                <w:color w:val="000000"/>
                <w:szCs w:val="21"/>
              </w:rPr>
            </w:pPr>
            <w:r>
              <w:rPr>
                <w:rFonts w:hint="eastAsia" w:ascii="宋体" w:hAnsi="宋体" w:cs="宋体"/>
                <w:color w:val="000000"/>
                <w:szCs w:val="21"/>
              </w:rPr>
              <w:t>（提供详细使用说明）</w:t>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参照邱山大街与东湖路路口</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b/>
                <w:color w:val="000000"/>
                <w:szCs w:val="21"/>
              </w:rPr>
            </w:pPr>
            <w:r>
              <w:rPr>
                <w:rFonts w:hint="eastAsia" w:ascii="宋体" w:hAnsi="宋体" w:cs="宋体"/>
                <w:b/>
                <w:color w:val="000000"/>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88</w:t>
            </w:r>
          </w:p>
        </w:tc>
        <w:tc>
          <w:tcPr>
            <w:tcW w:w="31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水磨除线</w:t>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水磨除线</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ascii="宋体" w:hAnsi="宋体" w:cs="宋体"/>
                <w:color w:val="000000"/>
                <w:szCs w:val="21"/>
              </w:rPr>
              <w:t>M</w:t>
            </w:r>
            <w:r>
              <w:rPr>
                <w:rFonts w:hint="eastAsia" w:ascii="宋体" w:hAnsi="宋体" w:cs="宋体"/>
                <w:color w:val="000000"/>
                <w:szCs w:val="21"/>
              </w:rPr>
              <w:t>2</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b/>
                <w:color w:val="000000"/>
                <w:szCs w:val="21"/>
              </w:rPr>
            </w:pPr>
            <w:r>
              <w:rPr>
                <w:rFonts w:hint="eastAsia" w:ascii="宋体" w:hAnsi="宋体" w:cs="宋体"/>
                <w:b/>
                <w:color w:val="00000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89</w:t>
            </w:r>
          </w:p>
        </w:tc>
        <w:tc>
          <w:tcPr>
            <w:tcW w:w="31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太陽能路灯</w:t>
            </w:r>
          </w:p>
          <w:p>
            <w:pPr>
              <w:jc w:val="center"/>
              <w:rPr>
                <w:rFonts w:hint="eastAsia" w:ascii="宋体" w:hAnsi="宋体" w:cs="宋体"/>
                <w:color w:val="000000"/>
                <w:szCs w:val="21"/>
              </w:rPr>
            </w:pPr>
            <w:r>
              <w:rPr>
                <w:rFonts w:hint="eastAsia" w:ascii="宋体" w:hAnsi="宋体" w:cs="宋体"/>
                <w:color w:val="000000"/>
                <w:szCs w:val="21"/>
              </w:rPr>
              <w:t>（提供详细设备参数说明）</w:t>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城市道路专用</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盏</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b/>
                <w:color w:val="000000"/>
                <w:szCs w:val="21"/>
              </w:rPr>
            </w:pPr>
            <w:r>
              <w:rPr>
                <w:rFonts w:hint="eastAsia" w:ascii="宋体" w:hAnsi="宋体" w:cs="宋体"/>
                <w:b/>
                <w:color w:val="000000"/>
                <w:szCs w:val="21"/>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ascii="宋体" w:hAnsi="宋体" w:cs="宋体"/>
                <w:color w:val="000000"/>
                <w:szCs w:val="21"/>
              </w:rPr>
            </w:pPr>
            <w:r>
              <w:rPr>
                <w:rFonts w:hint="eastAsia" w:ascii="宋体" w:hAnsi="宋体" w:cs="宋体"/>
                <w:color w:val="000000"/>
                <w:szCs w:val="21"/>
              </w:rPr>
              <w:t>90</w:t>
            </w:r>
          </w:p>
        </w:tc>
        <w:tc>
          <w:tcPr>
            <w:tcW w:w="31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人行横道灯 ：外壳采用铝壳 ，铝壳厚度3mm以上，动态，采用高亮度LED管，具体做法按道路原有交通设施做法及相关图集、规范等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91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太阳能爆闪灯 ：12寸铝壳灯，10W太阳能板，采用高亮度LED管18A时干电瓶，具体做法按道路原有交通设施做法及相关图集、规范</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92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403铝壳满屏信号灯 ：带单八倒计时，采用高亮度LED管，具体做法按道路原有交通设施做法及相关图集、规范等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93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403LED车道辅灯 ：带单八倒计时，采用高亮度LED管，具体做法按道路原有交通设施做法及相关图集、规范等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94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403铝壳箭头灯 ：外壳采用铝壳 ，铝壳厚度3mm以上，动态，采用高亮度LED管，具体做法按道路原有交通设施做法及相关图集、规范等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95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403铝壳箭头灯 ：带单八倒计时，采用高亮度LED管，具体做法按道路原有交通设施做法及相关图集、规范等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96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eastAsia="宋体" w:cs="宋体"/>
                <w:color w:val="000000"/>
                <w:kern w:val="2"/>
                <w:sz w:val="21"/>
                <w:szCs w:val="21"/>
                <w:lang w:val="en-US" w:eastAsia="zh-CN" w:bidi="ar-SA"/>
              </w:rPr>
              <w:drawing>
                <wp:anchor distT="0" distB="0" distL="114300" distR="114300" simplePos="0" relativeHeight="251661312" behindDoc="0" locked="0" layoutInCell="1" allowOverlap="1">
                  <wp:simplePos x="0" y="0"/>
                  <wp:positionH relativeFrom="column">
                    <wp:posOffset>532765</wp:posOffset>
                  </wp:positionH>
                  <wp:positionV relativeFrom="paragraph">
                    <wp:posOffset>12700</wp:posOffset>
                  </wp:positionV>
                  <wp:extent cx="1177290" cy="604520"/>
                  <wp:effectExtent l="0" t="0" r="3810" b="5080"/>
                  <wp:wrapNone/>
                  <wp:docPr id="3" name="图片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_41"/>
                          <pic:cNvPicPr>
                            <a:picLocks noChangeAspect="1"/>
                          </pic:cNvPicPr>
                        </pic:nvPicPr>
                        <pic:blipFill>
                          <a:blip r:embed="rId36"/>
                          <a:stretch>
                            <a:fillRect/>
                          </a:stretch>
                        </pic:blipFill>
                        <pic:spPr>
                          <a:xfrm>
                            <a:off x="0" y="0"/>
                            <a:ext cx="1177290" cy="604520"/>
                          </a:xfrm>
                          <a:prstGeom prst="rect">
                            <a:avLst/>
                          </a:prstGeom>
                          <a:noFill/>
                          <a:ln>
                            <a:noFill/>
                          </a:ln>
                        </pic:spPr>
                      </pic:pic>
                    </a:graphicData>
                  </a:graphic>
                </wp:anchor>
              </w:drawing>
            </w: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移动红绿灯：F*400-3-1011型，具体做法按道路原有交通设施做法及相关图集、规范等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6936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97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不间断电源</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UPS不间断电源：500W电池，存放时间：24小时，2年内电量饱和率80%以上，自动切换时间0.1秒，4只100A电池为小组，具体做法按道路原有交通设施做法及相关图集、规范等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98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倒计时器：DJS-2型，具体做法按道路原有交通设施做法及相关图集、规范等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99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落地式配电箱</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不锈钢控制机箱：尺寸：1200*650*450，带锁箱子；配空气开关；接地铜排；自动温控、风冷；不锈钢箱体；防护等级IP65；基础浇筑；配电安装、调试等，具体做法按道路原有交通设施做法及相关图集、规范等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100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设备控制机箱</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控制仪：PL-22多相位，具体做法按道路原有交通设施做法及相关图集、规范等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101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设备控制机箱</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控制仪：浙大中控ACS-300，具体做法按道路原有交通设施做法及相关图集、规范等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102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控制电缆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管内穿控制电缆 KVV7*1.5mm2 含电缆头制安，具体做法按道路原有交通设施做法及相关图集、规范等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103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控制电缆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管内穿控制电缆 KVV10*1.5mm2 含电缆头制安，具体做法按道路原有交通设施做法及相关图集、规范等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104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控制电缆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管内穿控制电缆 KVV2*6mm2 含电缆头制安，具体做法按道路原有交通设施做法及相关图集、规范等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105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控制电缆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管内穿控制电缆 KVV22*6*1mm2 含电缆头制安，具体做法按道路原有交通设施做法及相关图集、规范等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106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Cs w:val="21"/>
                <w:lang w:eastAsia="zh-CN"/>
              </w:rPr>
            </w:pPr>
            <w:r>
              <w:rPr>
                <w:rFonts w:hint="eastAsia" w:ascii="宋体" w:hAnsi="宋体" w:cs="宋体"/>
                <w:color w:val="000000"/>
                <w:szCs w:val="21"/>
              </w:rPr>
              <w:t>可变信息</w:t>
            </w:r>
            <w:r>
              <w:rPr>
                <w:rFonts w:hint="eastAsia" w:ascii="宋体" w:hAnsi="宋体" w:cs="宋体"/>
                <w:color w:val="000000"/>
                <w:szCs w:val="21"/>
                <w:lang w:val="en-US" w:eastAsia="zh-CN"/>
              </w:rPr>
              <w:t>模块</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LED显示屏，2550×450mm二组文字转换，单基色</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107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信号灯外壳更换</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108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电子线路板</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109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LED灯安装</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110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电脑控制器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111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控制开关</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空气开关</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112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有机玻璃等配件</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信号灯有机玻璃、变压器等配件更换</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113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移动信号灯搬运</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移动信号灯搬运</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114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移动信号灯养护管</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移动信号灯搬运 :更换电瓶及配件</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115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可变车道翻牌器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LED可变车道牌</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4680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116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监控摄像机</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35倍室外日夜型彩色一体球机，配专用支架，含驱动器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117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避雷器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电源避雷器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组</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118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避雷器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视频避雷器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组</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119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避雷器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控制信号避雷器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组</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120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视频分配器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视频分配器 8进16出</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组</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121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控制开关</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空气开关 250V，20A</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122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接地装置</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镀锌接地桩制作、安装;接地线敷设</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 xml:space="preserve"> 组</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123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双绞线缆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SYV75-5</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124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控制开关</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485分配器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个</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125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第三方检测费</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第三方检测费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126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监控摄像设备</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500万像素，2/3寸CCD,分辨率：2448×2048，含防雷器、视频触发模式,全天候室外设计，铝合金防腐，有较强的防锈功能；具有断电续传功能，支持前端存储，保证链路故障时数据不丢失；支持本地输出，方便现场调试；含百万像素镜头，防护罩，具有不同分辨率图像设置功能、实时网络数字视频监控功能。</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127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监控摄像设备</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4</w:t>
            </w:r>
            <w:r>
              <w:rPr>
                <w:rFonts w:hint="eastAsia" w:ascii="宋体" w:hAnsi="宋体" w:cs="宋体"/>
                <w:color w:val="000000"/>
                <w:szCs w:val="21"/>
              </w:rPr>
              <w:t>00万像素，2/3” Progressive Scan CCD，彩色:0.2Lux @(F1.2,AGC ON)</w:t>
            </w:r>
          </w:p>
          <w:p>
            <w:pPr>
              <w:jc w:val="center"/>
              <w:rPr>
                <w:rFonts w:hint="eastAsia" w:ascii="宋体" w:hAnsi="宋体" w:cs="宋体"/>
                <w:color w:val="000000"/>
                <w:szCs w:val="21"/>
              </w:rPr>
            </w:pPr>
            <w:r>
              <w:rPr>
                <w:rFonts w:hint="eastAsia" w:ascii="宋体" w:hAnsi="宋体" w:cs="宋体"/>
                <w:color w:val="000000"/>
                <w:szCs w:val="21"/>
              </w:rPr>
              <w:t>黑白:0.02Lux @(F1.2,AGC ON)，ICR红外滤片式，3D数字降噪，分辨率1920*1080，含镜头、护罩、防雷、电源适配器。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128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大角度LED频闪灯</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129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小角度LED频闪灯</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130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信号灯检测器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信号灯检测器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131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复合控制单元</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复合控制单元 含抱杆机柜</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132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bookmarkStart w:id="44" w:name="OLE_LINK25"/>
            <w:r>
              <w:rPr>
                <w:rFonts w:hint="eastAsia" w:ascii="宋体" w:hAnsi="宋体" w:cs="宋体"/>
                <w:color w:val="000000"/>
                <w:szCs w:val="21"/>
              </w:rPr>
              <w:t>网络服务器</w:t>
            </w:r>
            <w:bookmarkEnd w:id="44"/>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bookmarkStart w:id="45" w:name="OLE_LINK29"/>
            <w:r>
              <w:rPr>
                <w:rFonts w:hint="eastAsia" w:ascii="宋体" w:hAnsi="宋体" w:cs="宋体"/>
                <w:color w:val="000000"/>
                <w:szCs w:val="21"/>
              </w:rPr>
              <w:t>终端服务器  2.0G 内存，500G硬盘以上（含）配置</w:t>
            </w:r>
            <w:r>
              <w:rPr>
                <w:rFonts w:hint="eastAsia" w:ascii="宋体" w:hAnsi="宋体" w:cs="宋体"/>
                <w:color w:val="000000"/>
                <w:szCs w:val="21"/>
                <w:lang w:eastAsia="zh-CN"/>
              </w:rPr>
              <w:t>，</w:t>
            </w:r>
            <w:r>
              <w:rPr>
                <w:rFonts w:hint="eastAsia" w:ascii="宋体" w:hAnsi="宋体" w:cs="宋体"/>
                <w:color w:val="000000"/>
                <w:szCs w:val="21"/>
                <w:lang w:val="en-US" w:eastAsia="zh-CN"/>
              </w:rPr>
              <w:t>符合信创标准</w:t>
            </w:r>
            <w:r>
              <w:rPr>
                <w:rFonts w:hint="eastAsia" w:ascii="宋体" w:hAnsi="宋体" w:cs="宋体"/>
                <w:color w:val="000000"/>
                <w:szCs w:val="21"/>
              </w:rPr>
              <w:t>；通行记录存储、图片存储、视频存储、数据上传、视频流转发、前端设备管理。</w:t>
            </w:r>
            <w:bookmarkEnd w:id="45"/>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133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室外机柜</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（含风扇、防雷、强弱电模块）不锈钢喷塑，尺寸为650*650*1200</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134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交换机</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标准机架式16口交换机：H3C或CISCO或华为，百兆</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2850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135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交换机</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百兆4口交换机</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136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设备电缆、软光纤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4芯</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137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网络服务器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路口管理软件 分析、抓拍、上传、管理</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138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交换机</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微创光端机 WTOS-02H-T/R602F，配置：1路双向语音+1路全双工232+1路全双工422+100M网口</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139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设备电缆、软光纤</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新建光纤点 一次性买断电信使用权</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28800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140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双绞线缆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屏蔽网线,STP/Y 4*2*0.5,黑</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141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双绞线缆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蔽双绞线,RVSP2*0.5黑-红-蓝</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cs="宋体"/>
                <w:b/>
                <w:bCs/>
                <w:i w:val="0"/>
                <w:color w:val="000000"/>
                <w:kern w:val="0"/>
                <w:sz w:val="18"/>
                <w:szCs w:val="18"/>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142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双绞线缆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RVVP2*1黑-红-蓝/屏蔽线</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143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双绞线缆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电源线,RVV3*1黑-红-黑-黄绿</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144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监控摄像设备</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硬盘录像机DS-9016HF-HS</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145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监控摄像设备</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监控专用硬盘 1T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146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 xml:space="preserve">机动车箭头信号灯 规格φ400LED（带倒计时功能）：四个/组，外壳采用铝壳；信号灯需配备24小时逆变供电设备；含接地、调试等 </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147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 xml:space="preserve">机动车圆饼信号灯 规格φ400LED（带倒计时功能）：四个/组，外壳采用铝壳；信号灯需配备24小时逆变供电设备；含接地、调试等 </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148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 xml:space="preserve">左转非机动车信号灯 规格φ300LED,3个/组：外壳采用铝壳；信号灯需配备24小时逆变供电设备；含接地、调试等 </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149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直行非机动车信号灯 规格φ300LED,3个/组：外壳采用铝壳；信号灯需配备24小时逆变供电设备；含接地、调试等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150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LED一体化人行道信号灯（带倒计时功能），信号灯架尺寸：3M(高)×0.4M（宽），信号发光单元尺寸：Ф300㎜，LED发光单元高度不少于1.5M；LED显示屏为红、绿、黄三色P10LED；信号灯需配备24小时逆变供电设备；含基础 、接地、挖填土方、调试等</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7560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151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监控摄像设备</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高清抓拍单元（图像取证）:900万像素以上（含）CCD,分辨率≥2752×2208，含内置LED灯、防雷器、视频触发模式,全天候室外设计，铝合金防腐，有较强的防锈功能；具有断电续传功能，支持前端存储，保证链路故障时数据不丢失；支持本地输出，方便现场调试；含百万像素镜头，防护罩，具有不同分辨率图像设置功能、实时网络数字视频监控功能。</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152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监控摄像设备</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高清抓拍单元（人脸、流量）:900万像素以上（含）CCD,分辨率≥2752×2208，含内置LED灯、防雷器、视频触发模式,全天候室外设计，铝合金防腐，有较强的防锈功能；具有断电续传功能，支持前端存储，保证链路故障时数据不丢失；支持本地输出，方便现场调试；含百万像素镜头，防护罩，具有不同分辨率图像设置功能、实时网络数字视频监控功能。</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153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监控摄像设备</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AR鹰眼:800万180°AR球型鹰眼；S系列800万180°全景一体式网络高清摄像机，全景摄像机有4个1/1.8" 2MP Progressive Scan CMOS，最高分辨率及帧率可达4096×1800@30fps，星光级超低照度，0.005Lux/F2.0（彩色），0.0005Lux/F2.0（黑白）；特写摄像机焦距：6.6-350mm，53倍光学，最高分辨率及帧率可达1920×1080@30fps，水平360°连续旋转，垂直-15°-90°（自动翻转），超低照度，0.05Lux/F1.8(彩色),0.01Lux/F1.8(黑白) ，200m红外照射距离；支持区域入侵、越界、进入区域、离开区域事件侦测功能；系统支持检测直径300米180°半圆形范围内运动目标，可同时检测30个目标；系统支持点击联动功能、目标自动跟踪功能、手动跟踪功能；支持强光抑制、3D数字降噪；系统支持基于交通平台8600实现交通云图立体防控；系统支持在摄像机的实时视频画面中添加最多500个AR标签，且可实现标签与标签联动的功能；系统内置7路报警输入、2路报警输出、1路音频输入、1路音频输出，支持光口（FC）+电口(RJ-45)网络接口设计，采用一体化设计，可快捷安装；H.265/H.264/MJPEG；支持</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154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网络服务器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通用服务器:E5-2620 V4(8核2.1GHz)×1/16GB DDR4/1TB SATA×2/SAS_HBA/DVD/1GbE×4/冗电/2U/Win  2008 R2简中标准版   1、电源：高效能550W铂金1+1 冗余电源；2、电源电压 200-240V/50Hz；3、机箱尺寸：87.8mm(高)×448mm(宽)×794.4mm(深)； 4、重量 最大35 千克（不含导轨）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155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网络服务器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Cs w:val="21"/>
                <w:lang w:eastAsia="zh-CN"/>
              </w:rPr>
            </w:pPr>
            <w:r>
              <w:rPr>
                <w:rFonts w:hint="eastAsia" w:ascii="宋体" w:hAnsi="宋体" w:cs="宋体"/>
                <w:color w:val="000000"/>
                <w:szCs w:val="21"/>
              </w:rPr>
              <w:t>AR鹰眼平台软件:支持AR鹰眼、AR云台、AR球机的设备接入，实现虚拟标签管理（添加、删除、修改），单场景最大支持个500标签的添加；</w:t>
            </w:r>
          </w:p>
          <w:p>
            <w:pPr>
              <w:jc w:val="center"/>
              <w:rPr>
                <w:rFonts w:hint="eastAsia" w:ascii="宋体" w:hAnsi="宋体" w:eastAsia="宋体" w:cs="宋体"/>
                <w:color w:val="000000"/>
                <w:szCs w:val="21"/>
                <w:lang w:eastAsia="zh-CN"/>
              </w:rPr>
            </w:pPr>
            <w:r>
              <w:rPr>
                <w:rFonts w:hint="eastAsia" w:ascii="宋体" w:hAnsi="宋体" w:cs="宋体"/>
                <w:color w:val="000000"/>
                <w:szCs w:val="21"/>
              </w:rPr>
              <w:t>一个AR鹰眼、云台、球机为一个场景，单套软件默认支持5个场景接入，超过5个场景需要购买license接入。</w:t>
            </w:r>
          </w:p>
          <w:p>
            <w:pPr>
              <w:jc w:val="center"/>
              <w:rPr>
                <w:rFonts w:hint="eastAsia" w:ascii="宋体" w:hAnsi="宋体" w:cs="宋体"/>
                <w:color w:val="000000"/>
                <w:szCs w:val="21"/>
              </w:rPr>
            </w:pPr>
            <w:r>
              <w:rPr>
                <w:rFonts w:hint="eastAsia" w:ascii="宋体" w:hAnsi="宋体" w:cs="宋体"/>
                <w:color w:val="000000"/>
                <w:szCs w:val="21"/>
              </w:rPr>
              <w:t>支持视频画中画、标签图层、3D视频联动、布控报警弹出、相机动态可视域、GIS地图等功能</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156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Cs w:val="21"/>
                <w:lang w:eastAsia="zh-CN"/>
              </w:rPr>
            </w:pPr>
            <w:r>
              <w:rPr>
                <w:rFonts w:hint="eastAsia" w:ascii="宋体" w:hAnsi="宋体" w:cs="宋体"/>
                <w:color w:val="000000"/>
                <w:szCs w:val="21"/>
              </w:rPr>
              <w:t>情报板:1产品拥有权威机构所出具的CCC认证证书。</w:t>
            </w:r>
          </w:p>
          <w:p>
            <w:pPr>
              <w:jc w:val="center"/>
              <w:rPr>
                <w:rFonts w:hint="eastAsia" w:ascii="宋体" w:hAnsi="宋体" w:eastAsia="宋体" w:cs="宋体"/>
                <w:color w:val="000000"/>
                <w:szCs w:val="21"/>
                <w:lang w:eastAsia="zh-CN"/>
              </w:rPr>
            </w:pPr>
            <w:r>
              <w:rPr>
                <w:rFonts w:hint="eastAsia" w:ascii="宋体" w:hAnsi="宋体" w:cs="宋体"/>
                <w:color w:val="000000"/>
                <w:szCs w:val="21"/>
              </w:rPr>
              <w:t>2显示屏P8，3.072*2.048，6.29平方米，含配电箱，远程上电、防雷、交通诱导屏发送卡</w:t>
            </w:r>
          </w:p>
          <w:p>
            <w:pPr>
              <w:jc w:val="center"/>
              <w:rPr>
                <w:rFonts w:hint="eastAsia" w:ascii="宋体" w:hAnsi="宋体" w:eastAsia="宋体" w:cs="宋体"/>
                <w:color w:val="000000"/>
                <w:szCs w:val="21"/>
                <w:lang w:eastAsia="zh-CN"/>
              </w:rPr>
            </w:pPr>
            <w:r>
              <w:rPr>
                <w:rFonts w:hint="eastAsia" w:ascii="宋体" w:hAnsi="宋体" w:cs="宋体"/>
                <w:color w:val="000000"/>
                <w:szCs w:val="21"/>
              </w:rPr>
              <w:t>3产品LED灯管表贴三合一，像素点间距：≤8mm,灰度等级16bit，色彩等级281万亿色。</w:t>
            </w:r>
          </w:p>
          <w:p>
            <w:pPr>
              <w:jc w:val="center"/>
              <w:rPr>
                <w:rFonts w:hint="eastAsia" w:ascii="宋体" w:hAnsi="宋体" w:eastAsia="宋体" w:cs="宋体"/>
                <w:color w:val="000000"/>
                <w:szCs w:val="21"/>
                <w:lang w:eastAsia="zh-CN"/>
              </w:rPr>
            </w:pPr>
            <w:r>
              <w:rPr>
                <w:rFonts w:hint="eastAsia" w:ascii="宋体" w:hAnsi="宋体" w:cs="宋体"/>
                <w:color w:val="000000"/>
                <w:szCs w:val="21"/>
              </w:rPr>
              <w:t>4产品水平视角≥120°，垂直视角≥120°；亮度均匀性≥97%。</w:t>
            </w:r>
          </w:p>
          <w:p>
            <w:pPr>
              <w:jc w:val="center"/>
              <w:rPr>
                <w:rFonts w:hint="eastAsia" w:ascii="宋体" w:hAnsi="宋体" w:eastAsia="宋体" w:cs="宋体"/>
                <w:color w:val="000000"/>
                <w:szCs w:val="21"/>
                <w:lang w:eastAsia="zh-CN"/>
              </w:rPr>
            </w:pPr>
            <w:r>
              <w:rPr>
                <w:rFonts w:hint="eastAsia" w:ascii="宋体" w:hAnsi="宋体" w:cs="宋体"/>
                <w:color w:val="000000"/>
                <w:szCs w:val="21"/>
              </w:rPr>
              <w:t>5产品的显示单元亮度≥6000Nits。</w:t>
            </w:r>
          </w:p>
          <w:p>
            <w:pPr>
              <w:jc w:val="center"/>
              <w:rPr>
                <w:rFonts w:hint="eastAsia" w:ascii="宋体" w:hAnsi="宋体" w:eastAsia="宋体" w:cs="宋体"/>
                <w:color w:val="000000"/>
                <w:szCs w:val="21"/>
                <w:lang w:eastAsia="zh-CN"/>
              </w:rPr>
            </w:pPr>
            <w:r>
              <w:rPr>
                <w:rFonts w:hint="eastAsia" w:ascii="宋体" w:hAnsi="宋体" w:cs="宋体"/>
                <w:color w:val="000000"/>
                <w:szCs w:val="21"/>
              </w:rPr>
              <w:t>6产品对比度≥8000：1;色温2500K~10000K可调;刷新率≥2000Hz。</w:t>
            </w:r>
          </w:p>
          <w:p>
            <w:pPr>
              <w:jc w:val="center"/>
              <w:rPr>
                <w:rFonts w:hint="eastAsia" w:ascii="宋体" w:hAnsi="宋体" w:eastAsia="宋体" w:cs="宋体"/>
                <w:color w:val="000000"/>
                <w:szCs w:val="21"/>
                <w:lang w:eastAsia="zh-CN"/>
              </w:rPr>
            </w:pPr>
            <w:r>
              <w:rPr>
                <w:rFonts w:hint="eastAsia" w:ascii="宋体" w:hAnsi="宋体" w:cs="宋体"/>
                <w:color w:val="000000"/>
                <w:szCs w:val="21"/>
              </w:rPr>
              <w:t>7产品的LED像素失控率≤1/200000。</w:t>
            </w:r>
          </w:p>
          <w:p>
            <w:pPr>
              <w:jc w:val="center"/>
              <w:rPr>
                <w:rFonts w:hint="eastAsia" w:ascii="宋体" w:hAnsi="宋体" w:eastAsia="宋体" w:cs="宋体"/>
                <w:color w:val="000000"/>
                <w:szCs w:val="21"/>
                <w:lang w:eastAsia="zh-CN"/>
              </w:rPr>
            </w:pPr>
            <w:r>
              <w:rPr>
                <w:rFonts w:hint="eastAsia" w:ascii="宋体" w:hAnsi="宋体" w:cs="宋体"/>
                <w:color w:val="000000"/>
                <w:szCs w:val="21"/>
              </w:rPr>
              <w:t>8产品的色度均匀性&lt;±0.003Cx、Cy之内。</w:t>
            </w:r>
          </w:p>
          <w:p>
            <w:pPr>
              <w:jc w:val="center"/>
              <w:rPr>
                <w:rFonts w:hint="eastAsia" w:ascii="宋体" w:hAnsi="宋体" w:eastAsia="宋体" w:cs="宋体"/>
                <w:color w:val="000000"/>
                <w:szCs w:val="21"/>
                <w:lang w:eastAsia="zh-CN"/>
              </w:rPr>
            </w:pPr>
            <w:r>
              <w:rPr>
                <w:rFonts w:hint="eastAsia" w:ascii="宋体" w:hAnsi="宋体" w:cs="宋体"/>
                <w:color w:val="000000"/>
                <w:szCs w:val="21"/>
              </w:rPr>
              <w:t>9产品整屏平整度≤0.2mm，箱体间缝隙≤0.2mm。</w:t>
            </w:r>
          </w:p>
          <w:p>
            <w:pPr>
              <w:jc w:val="center"/>
              <w:rPr>
                <w:rFonts w:hint="eastAsia" w:ascii="宋体" w:hAnsi="宋体" w:eastAsia="宋体" w:cs="宋体"/>
                <w:color w:val="000000"/>
                <w:szCs w:val="21"/>
                <w:lang w:eastAsia="zh-CN"/>
              </w:rPr>
            </w:pPr>
            <w:r>
              <w:rPr>
                <w:rFonts w:hint="eastAsia" w:ascii="宋体" w:hAnsi="宋体" w:cs="宋体"/>
                <w:color w:val="000000"/>
                <w:szCs w:val="21"/>
              </w:rPr>
              <w:t>10产品PCB阻燃等级满足UL94V-0阻燃等级要求。</w:t>
            </w:r>
          </w:p>
          <w:p>
            <w:pPr>
              <w:jc w:val="center"/>
              <w:rPr>
                <w:rFonts w:hint="eastAsia" w:ascii="宋体" w:hAnsi="宋体" w:eastAsia="宋体" w:cs="宋体"/>
                <w:color w:val="000000"/>
                <w:szCs w:val="21"/>
                <w:lang w:eastAsia="zh-CN"/>
              </w:rPr>
            </w:pPr>
            <w:r>
              <w:rPr>
                <w:rFonts w:hint="eastAsia" w:ascii="宋体" w:hAnsi="宋体" w:cs="宋体"/>
                <w:color w:val="000000"/>
                <w:szCs w:val="21"/>
              </w:rPr>
              <w:t>11产品符合LED显示屏温升标准要求。</w:t>
            </w:r>
          </w:p>
          <w:p>
            <w:pPr>
              <w:jc w:val="center"/>
              <w:rPr>
                <w:rFonts w:hint="eastAsia" w:ascii="宋体" w:hAnsi="宋体" w:eastAsia="宋体" w:cs="宋体"/>
                <w:color w:val="000000"/>
                <w:szCs w:val="21"/>
                <w:lang w:eastAsia="zh-CN"/>
              </w:rPr>
            </w:pPr>
            <w:r>
              <w:rPr>
                <w:rFonts w:hint="eastAsia" w:ascii="宋体" w:hAnsi="宋体" w:cs="宋体"/>
                <w:color w:val="000000"/>
                <w:szCs w:val="21"/>
              </w:rPr>
              <w:t>12具备防腐蚀，防盐雾，防高温，防燃烧，静电等保护措施，并具有过流、过压、欠压等保护措施。</w:t>
            </w:r>
          </w:p>
          <w:p>
            <w:pPr>
              <w:jc w:val="center"/>
              <w:rPr>
                <w:rFonts w:hint="eastAsia" w:ascii="宋体" w:hAnsi="宋体" w:eastAsia="宋体" w:cs="宋体"/>
                <w:color w:val="000000"/>
                <w:szCs w:val="21"/>
                <w:lang w:eastAsia="zh-CN"/>
              </w:rPr>
            </w:pPr>
            <w:r>
              <w:rPr>
                <w:rFonts w:hint="eastAsia" w:ascii="宋体" w:hAnsi="宋体" w:cs="宋体"/>
                <w:color w:val="000000"/>
                <w:szCs w:val="21"/>
              </w:rPr>
              <w:t>13LED显示屏具有良好的防护性，可通过盐雾10级检测试验。</w:t>
            </w:r>
          </w:p>
          <w:p>
            <w:pPr>
              <w:jc w:val="center"/>
              <w:rPr>
                <w:rFonts w:hint="eastAsia" w:ascii="宋体" w:hAnsi="宋体" w:cs="宋体"/>
                <w:color w:val="000000"/>
                <w:szCs w:val="21"/>
              </w:rPr>
            </w:pPr>
            <w:r>
              <w:rPr>
                <w:rFonts w:hint="eastAsia" w:ascii="宋体" w:hAnsi="宋体" w:cs="宋体"/>
                <w:color w:val="000000"/>
                <w:szCs w:val="21"/>
              </w:rPr>
              <w:t>14平均无故障工作时间MTBF≥10万小时，故障平均修复时间MTTR不超过15分</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157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Cs w:val="21"/>
                <w:lang w:eastAsia="zh-CN"/>
              </w:rPr>
            </w:pPr>
            <w:r>
              <w:rPr>
                <w:rFonts w:hint="eastAsia" w:ascii="宋体" w:hAnsi="宋体" w:cs="宋体"/>
                <w:color w:val="000000"/>
                <w:szCs w:val="21"/>
              </w:rPr>
              <w:t>φ377*16,高8200无缝钢管立杆1根</w:t>
            </w:r>
          </w:p>
          <w:p>
            <w:pPr>
              <w:jc w:val="center"/>
              <w:rPr>
                <w:rFonts w:hint="eastAsia" w:ascii="宋体" w:hAnsi="宋体" w:eastAsia="宋体" w:cs="宋体"/>
                <w:color w:val="000000"/>
                <w:szCs w:val="21"/>
                <w:lang w:eastAsia="zh-CN"/>
              </w:rPr>
            </w:pPr>
            <w:r>
              <w:rPr>
                <w:rFonts w:hint="eastAsia" w:ascii="宋体" w:hAnsi="宋体" w:cs="宋体"/>
                <w:color w:val="000000"/>
                <w:szCs w:val="21"/>
              </w:rPr>
              <w:t xml:space="preserve">φ168*12无缝钢管横杆3根 </w:t>
            </w:r>
          </w:p>
          <w:p>
            <w:pPr>
              <w:jc w:val="center"/>
              <w:rPr>
                <w:rFonts w:hint="eastAsia" w:ascii="宋体" w:hAnsi="宋体" w:eastAsia="宋体" w:cs="宋体"/>
                <w:color w:val="000000"/>
                <w:szCs w:val="21"/>
                <w:lang w:eastAsia="zh-CN"/>
              </w:rPr>
            </w:pPr>
            <w:r>
              <w:rPr>
                <w:rFonts w:hint="eastAsia" w:ascii="宋体" w:hAnsi="宋体" w:cs="宋体"/>
                <w:color w:val="000000"/>
                <w:szCs w:val="21"/>
              </w:rPr>
              <w:t>φ89*5无缝钢管交叉2根</w:t>
            </w:r>
          </w:p>
          <w:p>
            <w:pPr>
              <w:jc w:val="center"/>
              <w:rPr>
                <w:rFonts w:hint="eastAsia" w:ascii="宋体" w:hAnsi="宋体" w:eastAsia="宋体" w:cs="宋体"/>
                <w:color w:val="000000"/>
                <w:szCs w:val="21"/>
                <w:lang w:eastAsia="zh-CN"/>
              </w:rPr>
            </w:pPr>
            <w:r>
              <w:rPr>
                <w:rFonts w:hint="eastAsia" w:ascii="宋体" w:hAnsi="宋体" w:cs="宋体"/>
                <w:color w:val="000000"/>
                <w:szCs w:val="21"/>
              </w:rPr>
              <w:t>C25钢筋砼基础；φ16圆钢接地</w:t>
            </w:r>
          </w:p>
          <w:p>
            <w:pPr>
              <w:jc w:val="center"/>
              <w:rPr>
                <w:rFonts w:hint="eastAsia" w:ascii="宋体" w:hAnsi="宋体" w:eastAsia="宋体" w:cs="宋体"/>
                <w:color w:val="000000"/>
                <w:szCs w:val="21"/>
                <w:lang w:eastAsia="zh-CN"/>
              </w:rPr>
            </w:pPr>
            <w:r>
              <w:rPr>
                <w:rFonts w:hint="eastAsia" w:ascii="宋体" w:hAnsi="宋体" w:cs="宋体"/>
                <w:color w:val="000000"/>
                <w:szCs w:val="21"/>
              </w:rPr>
              <w:t>连接螺栓、底脚螺栓、加固钢板配套</w:t>
            </w:r>
          </w:p>
          <w:p>
            <w:pPr>
              <w:jc w:val="center"/>
              <w:rPr>
                <w:rFonts w:hint="eastAsia" w:ascii="宋体" w:hAnsi="宋体" w:cs="宋体"/>
                <w:color w:val="000000"/>
                <w:szCs w:val="21"/>
              </w:rPr>
            </w:pPr>
            <w:r>
              <w:rPr>
                <w:rFonts w:hint="eastAsia" w:ascii="宋体" w:hAnsi="宋体" w:cs="宋体"/>
                <w:color w:val="000000"/>
                <w:szCs w:val="21"/>
              </w:rPr>
              <w:t>制作、运输、安装、镀锌、雅黑油漆；土方开挖、回填及余土外运（运距自行考虑）</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31200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158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网络服务器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bookmarkStart w:id="46" w:name="OLE_LINK26"/>
            <w:r>
              <w:rPr>
                <w:rFonts w:hint="eastAsia" w:ascii="宋体" w:hAnsi="宋体" w:cs="宋体"/>
                <w:color w:val="000000"/>
                <w:szCs w:val="21"/>
              </w:rPr>
              <w:t>情报发布平台服务器:2*2GB</w:t>
            </w:r>
            <w:r>
              <w:rPr>
                <w:rFonts w:hint="eastAsia" w:ascii="宋体" w:hAnsi="宋体" w:cs="宋体"/>
                <w:color w:val="000000"/>
                <w:szCs w:val="21"/>
                <w:lang w:val="en-US" w:eastAsia="zh-CN"/>
              </w:rPr>
              <w:t>内存，</w:t>
            </w:r>
            <w:r>
              <w:rPr>
                <w:rFonts w:hint="eastAsia" w:ascii="宋体" w:hAnsi="宋体" w:cs="宋体"/>
                <w:color w:val="000000"/>
                <w:szCs w:val="21"/>
              </w:rPr>
              <w:t>2*146G</w:t>
            </w:r>
            <w:r>
              <w:rPr>
                <w:rFonts w:hint="eastAsia" w:ascii="宋体" w:hAnsi="宋体" w:cs="宋体"/>
                <w:color w:val="000000"/>
                <w:szCs w:val="21"/>
                <w:lang w:val="en-US" w:eastAsia="zh-CN"/>
              </w:rPr>
              <w:t>硬盘，符合信创标准</w:t>
            </w:r>
            <w:r>
              <w:rPr>
                <w:rFonts w:hint="eastAsia" w:ascii="宋体" w:hAnsi="宋体" w:cs="宋体"/>
                <w:color w:val="000000"/>
                <w:szCs w:val="21"/>
              </w:rPr>
              <w:t>；冗余电源</w:t>
            </w:r>
            <w:bookmarkEnd w:id="46"/>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159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环保型LED频闪灯</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160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信号灯</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环保型气体爆闪灯</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161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lang w:val="en-US" w:eastAsia="zh-CN"/>
              </w:rPr>
              <w:t>终端</w:t>
            </w:r>
            <w:r>
              <w:rPr>
                <w:rFonts w:hint="eastAsia" w:ascii="宋体" w:hAnsi="宋体" w:cs="宋体"/>
                <w:color w:val="000000"/>
                <w:szCs w:val="21"/>
              </w:rPr>
              <w:t>服务器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Cs w:val="21"/>
                <w:lang w:eastAsia="zh-CN"/>
              </w:rPr>
            </w:pPr>
            <w:r>
              <w:rPr>
                <w:rFonts w:hint="eastAsia" w:ascii="宋体" w:hAnsi="宋体" w:cs="宋体"/>
                <w:color w:val="000000"/>
                <w:szCs w:val="21"/>
              </w:rPr>
              <w:t>三代终端服务器，高性能ARM Cortex A9数字媒体处理器；</w:t>
            </w:r>
          </w:p>
          <w:p>
            <w:pPr>
              <w:jc w:val="center"/>
              <w:rPr>
                <w:rFonts w:hint="eastAsia" w:ascii="宋体" w:hAnsi="宋体" w:eastAsia="宋体" w:cs="宋体"/>
                <w:color w:val="000000"/>
                <w:szCs w:val="21"/>
                <w:lang w:eastAsia="zh-CN"/>
              </w:rPr>
            </w:pPr>
            <w:r>
              <w:rPr>
                <w:rFonts w:hint="eastAsia" w:ascii="宋体" w:hAnsi="宋体" w:cs="宋体"/>
                <w:color w:val="000000"/>
                <w:szCs w:val="21"/>
              </w:rPr>
              <w:t>内置4块3.5寸3T硬盘；支持12路IPC接入；</w:t>
            </w:r>
          </w:p>
          <w:p>
            <w:pPr>
              <w:jc w:val="center"/>
              <w:rPr>
                <w:rFonts w:hint="eastAsia" w:ascii="宋体" w:hAnsi="宋体" w:eastAsia="宋体" w:cs="宋体"/>
                <w:color w:val="000000"/>
                <w:szCs w:val="21"/>
                <w:lang w:eastAsia="zh-CN"/>
              </w:rPr>
            </w:pPr>
            <w:r>
              <w:rPr>
                <w:rFonts w:hint="eastAsia" w:ascii="宋体" w:hAnsi="宋体" w:cs="宋体"/>
                <w:color w:val="000000"/>
                <w:szCs w:val="21"/>
              </w:rPr>
              <w:t>双网卡，内置16个100M以太网接口及2个1000M网络接口、1个1000M独立SFP光纤接口；</w:t>
            </w:r>
          </w:p>
          <w:p>
            <w:pPr>
              <w:jc w:val="center"/>
              <w:rPr>
                <w:rFonts w:hint="eastAsia" w:ascii="宋体" w:hAnsi="宋体" w:eastAsia="宋体" w:cs="宋体"/>
                <w:color w:val="000000"/>
                <w:szCs w:val="21"/>
                <w:lang w:eastAsia="zh-CN"/>
              </w:rPr>
            </w:pPr>
            <w:r>
              <w:rPr>
                <w:rFonts w:hint="eastAsia" w:ascii="宋体" w:hAnsi="宋体" w:cs="宋体"/>
                <w:color w:val="000000"/>
                <w:szCs w:val="21"/>
              </w:rPr>
              <w:t>支持2路HD-TVI输入；</w:t>
            </w:r>
          </w:p>
          <w:p>
            <w:pPr>
              <w:jc w:val="center"/>
              <w:rPr>
                <w:rFonts w:hint="eastAsia" w:ascii="宋体" w:hAnsi="宋体" w:cs="宋体"/>
                <w:color w:val="000000"/>
                <w:szCs w:val="21"/>
              </w:rPr>
            </w:pPr>
            <w:r>
              <w:rPr>
                <w:rFonts w:hint="eastAsia" w:ascii="宋体" w:hAnsi="宋体" w:cs="宋体"/>
                <w:color w:val="000000"/>
                <w:szCs w:val="21"/>
              </w:rPr>
              <w:t>支持VGA输出、HDMI输出、CVBS输出；4个RS485、2个RS232、2个USB2.0、4路报警输入\报警输出、1个eSATA接口；电源:DC12V；</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套</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162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设备控制机箱</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Cs w:val="21"/>
                <w:lang w:eastAsia="zh-CN"/>
              </w:rPr>
            </w:pPr>
            <w:r>
              <w:rPr>
                <w:rFonts w:hint="eastAsia" w:ascii="宋体" w:hAnsi="宋体" w:cs="宋体"/>
                <w:color w:val="000000"/>
                <w:szCs w:val="21"/>
              </w:rPr>
              <w:t>交通灯信号检测器，支持16路AC220V信号接入；</w:t>
            </w:r>
          </w:p>
          <w:p>
            <w:pPr>
              <w:jc w:val="center"/>
              <w:rPr>
                <w:rFonts w:hint="eastAsia" w:ascii="宋体" w:hAnsi="宋体" w:eastAsia="宋体" w:cs="宋体"/>
                <w:color w:val="000000"/>
                <w:szCs w:val="21"/>
                <w:lang w:eastAsia="zh-CN"/>
              </w:rPr>
            </w:pPr>
            <w:r>
              <w:rPr>
                <w:rFonts w:hint="eastAsia" w:ascii="宋体" w:hAnsi="宋体" w:cs="宋体"/>
                <w:color w:val="000000"/>
                <w:szCs w:val="21"/>
              </w:rPr>
              <w:t>6路RS485接口；</w:t>
            </w:r>
          </w:p>
          <w:p>
            <w:pPr>
              <w:jc w:val="center"/>
              <w:rPr>
                <w:rFonts w:hint="eastAsia" w:ascii="宋体" w:hAnsi="宋体" w:eastAsia="宋体" w:cs="宋体"/>
                <w:color w:val="000000"/>
                <w:szCs w:val="21"/>
                <w:lang w:eastAsia="zh-CN"/>
              </w:rPr>
            </w:pPr>
            <w:r>
              <w:rPr>
                <w:rFonts w:hint="eastAsia" w:ascii="宋体" w:hAnsi="宋体" w:cs="宋体"/>
                <w:color w:val="000000"/>
                <w:szCs w:val="21"/>
              </w:rPr>
              <w:t>一个5位拨码开关，用于设置设备地址、数据上传模式及波特率；</w:t>
            </w:r>
          </w:p>
          <w:p>
            <w:pPr>
              <w:jc w:val="center"/>
              <w:rPr>
                <w:rFonts w:hint="eastAsia" w:ascii="宋体" w:hAnsi="宋体" w:cs="宋体"/>
                <w:color w:val="000000"/>
                <w:szCs w:val="21"/>
              </w:rPr>
            </w:pPr>
            <w:r>
              <w:rPr>
                <w:rFonts w:hint="eastAsia" w:ascii="宋体" w:hAnsi="宋体" w:cs="宋体"/>
                <w:color w:val="000000"/>
                <w:szCs w:val="21"/>
              </w:rPr>
              <w:t>一个电源开关，AC220V供电。</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163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监控摄像设备</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一体化高清球机（黑光球机）:400万像素以上（含）黑光级，25帧每秒以上（含）可调，自动/手动增益控制，支持宽动态、数字降噪、图像稳定；光学倍率≥20倍；旋转范围：水平≥360°，垂直≥90°，预置点≥100个；红外灯距离：≥100米；断电记忆：上电后自动回到断电前的云台和镜头状态；定时启动：预置点/自动巡航/自动巡迹/自动线扫；通讯协议：支持中国安防行业协议、Pelco P/D,协议自动识别；菜单；支持中英文OSD菜单，支持报警输入输出、报警联动；支持RS485接口，支持云台控制和在线升级；工作环境：温度-40~60℃； 湿度＜90%</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164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交换机</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标准机架式16口千兆交换机</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165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交换机</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千兆8口交换机</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166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电缆保护管</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管道开挖、土方回填SC80</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167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电缆保护管</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管道开挖、土方回填PE75</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168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电缆保护管</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管道开挖、土方回填PE75</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m</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169</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人(手)孔井</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窨井（500×500×600）</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座</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170</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录像设备</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硬盘录像机DS-8632N－K8/RTA</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5760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171</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监控摄像设备</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监控专用硬盘4T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172</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第三方检测费</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第三方检测费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173</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第三方中心平台接入调试费</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第三方中心平台接入调试费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174</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单模光纤收发器</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单模光纤收发器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175</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电子警察立杆（Φ219*8无缝钢管，高6500mm立杆；Φ121*6无缝钢管,悬挑8000mm横杆1根）：φ16镀锌圆钢接地,-25*4镀锌扁钢连接线,基础土方开挖、回填及余土外运（运距自行考虑）基础浇捣，铁件制作安装、防锈处理、刷油等全套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176</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Cs w:val="21"/>
                <w:lang w:eastAsia="zh-CN"/>
              </w:rPr>
            </w:pPr>
            <w:r>
              <w:rPr>
                <w:rFonts w:hint="eastAsia" w:ascii="宋体" w:hAnsi="宋体" w:cs="宋体"/>
                <w:color w:val="000000"/>
                <w:szCs w:val="21"/>
              </w:rPr>
              <w:t>L型立杆，Q235钢质，12*S280/340mm无缝钢管，高6500mm立杆，横挑6000，8*S110/270mm无缝钢管挑长根据实际情况调整，摄像机和灯光共杆，含热镀锌、刷油防腐、基础等</w:t>
            </w:r>
          </w:p>
          <w:p>
            <w:pPr>
              <w:jc w:val="center"/>
              <w:rPr>
                <w:rFonts w:hint="eastAsia" w:ascii="宋体" w:hAnsi="宋体" w:cs="宋体"/>
                <w:color w:val="000000"/>
                <w:szCs w:val="21"/>
              </w:rPr>
            </w:pPr>
            <w:r>
              <w:rPr>
                <w:rFonts w:hint="eastAsia" w:ascii="宋体" w:hAnsi="宋体" w:cs="宋体"/>
                <w:color w:val="000000"/>
                <w:szCs w:val="21"/>
              </w:rPr>
              <w:t>φ16镀锌圆钢接地,-25*4镀锌扁钢连接线,基础土方开挖、回填及余土外运（运距自行考虑）基础浇捣，铁件制作安装、防锈处理、刷油等全套费用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177</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Cs w:val="21"/>
                <w:lang w:eastAsia="zh-CN"/>
              </w:rPr>
            </w:pPr>
            <w:r>
              <w:rPr>
                <w:rFonts w:hint="eastAsia" w:ascii="宋体" w:hAnsi="宋体" w:cs="宋体"/>
                <w:color w:val="000000"/>
                <w:szCs w:val="21"/>
              </w:rPr>
              <w:t>L型立杆，Q235钢质，12*S280/340mm无缝钢管，高6500mm立杆，横挑9000，8*S110/270mm无缝钢管挑长根据实际情况调整，摄像机和灯光共杆，含热镀锌、刷油防腐、基础等</w:t>
            </w:r>
          </w:p>
          <w:p>
            <w:pPr>
              <w:jc w:val="center"/>
              <w:rPr>
                <w:rFonts w:hint="eastAsia" w:ascii="宋体" w:hAnsi="宋体" w:cs="宋体"/>
                <w:color w:val="000000"/>
                <w:szCs w:val="21"/>
              </w:rPr>
            </w:pPr>
            <w:r>
              <w:rPr>
                <w:rFonts w:hint="eastAsia" w:ascii="宋体" w:hAnsi="宋体" w:cs="宋体"/>
                <w:color w:val="000000"/>
                <w:szCs w:val="21"/>
              </w:rPr>
              <w:t>φ16镀锌圆钢接地,-25*4镀锌扁钢连接线,基础土方开挖、回填及余土外运（运距自行考虑）基础浇捣，铁件制作安装、防锈处理、刷油等全套费用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178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标杆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szCs w:val="21"/>
                <w:lang w:eastAsia="zh-CN"/>
              </w:rPr>
            </w:pPr>
            <w:r>
              <w:rPr>
                <w:rFonts w:hint="eastAsia" w:ascii="宋体" w:hAnsi="宋体" w:cs="宋体"/>
                <w:color w:val="000000"/>
                <w:szCs w:val="21"/>
              </w:rPr>
              <w:t>L型立杆，Q235钢质，12*S280/340mm无缝钢管，高6500mm立杆，横挑9000，8*S110/270mm无缝钢管挑长根据实际情况调整，摄像机和灯光共杆，含热镀锌、刷油防腐、基础等</w:t>
            </w:r>
          </w:p>
          <w:p>
            <w:pPr>
              <w:jc w:val="center"/>
              <w:rPr>
                <w:rFonts w:hint="eastAsia" w:ascii="宋体" w:hAnsi="宋体" w:cs="宋体"/>
                <w:color w:val="000000"/>
                <w:szCs w:val="21"/>
              </w:rPr>
            </w:pPr>
            <w:r>
              <w:rPr>
                <w:rFonts w:hint="eastAsia" w:ascii="宋体" w:hAnsi="宋体" w:cs="宋体"/>
                <w:color w:val="000000"/>
                <w:szCs w:val="21"/>
              </w:rPr>
              <w:t>φ16镀锌圆钢接地,-25*4镀锌扁钢连接线,基础土方开挖、回填及余土外运（运距自行考虑）基础浇捣，铁件制作安装、防锈处理、刷油等全套费用</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根</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宋体" w:hAnsi="宋体" w:cs="宋体"/>
                <w:b/>
                <w:bCs/>
                <w:color w:val="000000"/>
                <w:szCs w:val="21"/>
                <w:lang w:val="en-US"/>
              </w:rPr>
            </w:pPr>
            <w:r>
              <w:rPr>
                <w:rFonts w:hint="eastAsia" w:ascii="宋体" w:hAnsi="宋体" w:cs="宋体"/>
                <w:b/>
                <w:bCs/>
                <w:i w:val="0"/>
                <w:color w:val="000000"/>
                <w:kern w:val="0"/>
                <w:sz w:val="18"/>
                <w:szCs w:val="18"/>
                <w:u w:val="none"/>
                <w:lang w:val="en-US" w:eastAsia="zh-CN"/>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178</w:t>
            </w:r>
          </w:p>
        </w:tc>
        <w:tc>
          <w:tcPr>
            <w:tcW w:w="3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接地装置</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镀锌接地桩制作、安装;接地线敷设</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 xml:space="preserve"> 组</w:t>
            </w:r>
          </w:p>
        </w:tc>
        <w:tc>
          <w:tcPr>
            <w:tcW w:w="5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cs="宋体"/>
                <w:b/>
                <w:bCs/>
                <w:color w:val="000000"/>
                <w:szCs w:val="21"/>
              </w:rPr>
            </w:pPr>
            <w:r>
              <w:rPr>
                <w:rFonts w:hint="eastAsia" w:ascii="宋体" w:hAnsi="宋体" w:eastAsia="宋体" w:cs="宋体"/>
                <w:b/>
                <w:bCs/>
                <w:i w:val="0"/>
                <w:color w:val="000000"/>
                <w:kern w:val="0"/>
                <w:sz w:val="18"/>
                <w:szCs w:val="18"/>
                <w:u w:val="none"/>
                <w:lang w:val="en-US" w:eastAsia="zh-CN"/>
              </w:rPr>
              <w:t>600</w:t>
            </w:r>
          </w:p>
        </w:tc>
      </w:tr>
    </w:tbl>
    <w:p>
      <w:pPr>
        <w:numPr>
          <w:ilvl w:val="0"/>
          <w:numId w:val="0"/>
        </w:numPr>
        <w:spacing w:line="440" w:lineRule="exact"/>
        <w:ind w:leftChars="0"/>
        <w:rPr>
          <w:rFonts w:hint="eastAsia" w:ascii="宋体" w:hAnsi="宋体"/>
          <w:bCs/>
          <w:sz w:val="24"/>
        </w:rPr>
      </w:pPr>
      <w:r>
        <w:rPr>
          <w:rFonts w:hint="eastAsia" w:ascii="宋体" w:hAnsi="宋体"/>
          <w:bCs/>
          <w:sz w:val="24"/>
        </w:rPr>
        <w:t>各单项项目的折扣率必须相同，由各投标人自行综合考虑后填报。</w:t>
      </w:r>
    </w:p>
    <w:p>
      <w:pPr>
        <w:pStyle w:val="2"/>
        <w:ind w:left="0" w:leftChars="0" w:firstLine="0" w:firstLineChars="0"/>
        <w:rPr>
          <w:rFonts w:hint="eastAsia"/>
          <w:b w:val="0"/>
          <w:bCs w:val="0"/>
        </w:rPr>
      </w:pPr>
      <w:r>
        <w:rPr>
          <w:rFonts w:hint="eastAsia" w:ascii="宋体" w:hAnsi="宋体" w:eastAsia="宋体" w:cs="Times New Roman"/>
          <w:b w:val="0"/>
          <w:bCs w:val="0"/>
          <w:kern w:val="2"/>
          <w:sz w:val="24"/>
          <w:szCs w:val="24"/>
          <w:lang w:val="en-US" w:eastAsia="zh-CN" w:bidi="ar-SA"/>
        </w:rPr>
        <w:t>巡查及应急力量总人数不少于5人。</w:t>
      </w:r>
    </w:p>
    <w:p>
      <w:pPr>
        <w:numPr>
          <w:ilvl w:val="0"/>
          <w:numId w:val="0"/>
        </w:numPr>
        <w:spacing w:line="440" w:lineRule="exact"/>
        <w:ind w:leftChars="0"/>
        <w:rPr>
          <w:rFonts w:hint="eastAsia" w:ascii="宋体" w:cs="宋体"/>
          <w:b/>
          <w:bCs/>
          <w:sz w:val="24"/>
          <w:highlight w:val="none"/>
          <w:lang w:bidi="ar-SA"/>
        </w:rPr>
      </w:pPr>
      <w:r>
        <w:rPr>
          <w:rFonts w:hint="eastAsia" w:ascii="宋体" w:hAnsi="宋体"/>
          <w:b w:val="0"/>
          <w:bCs w:val="0"/>
          <w:sz w:val="24"/>
          <w:highlight w:val="none"/>
        </w:rPr>
        <w:t>本次招标清单内未涉及到的设施设备，若采购人需要，投标单位应无条件服从。投标人只报综合折扣率，如发生清单未涉及到的项目经审核后工程量按实际发生计取，单价套最新版相应施工定额，材料、人工等参照施工当期信息价，折扣率不变。</w:t>
      </w:r>
    </w:p>
    <w:p>
      <w:pPr>
        <w:spacing w:line="440" w:lineRule="exact"/>
        <w:rPr>
          <w:rFonts w:hint="eastAsia" w:ascii="宋体" w:hAnsi="宋体"/>
          <w:b/>
          <w:bCs/>
          <w:sz w:val="24"/>
        </w:rPr>
      </w:pPr>
      <w:r>
        <w:rPr>
          <w:rFonts w:hint="eastAsia" w:ascii="宋体" w:cs="宋体"/>
          <w:b/>
          <w:bCs/>
          <w:sz w:val="24"/>
          <w:highlight w:val="none"/>
          <w:lang w:val="en-US" w:eastAsia="zh-CN" w:bidi="ar-SA"/>
        </w:rPr>
        <w:t>三、</w:t>
      </w:r>
      <w:r>
        <w:rPr>
          <w:rFonts w:hint="eastAsia" w:ascii="宋体" w:hAnsi="宋体"/>
          <w:b/>
          <w:bCs/>
          <w:sz w:val="24"/>
        </w:rPr>
        <w:t>服务期限、地点：</w:t>
      </w:r>
    </w:p>
    <w:p>
      <w:pPr>
        <w:spacing w:line="440" w:lineRule="exact"/>
        <w:ind w:firstLine="472" w:firstLineChars="196"/>
        <w:rPr>
          <w:rFonts w:hint="eastAsia" w:ascii="宋体" w:hAnsi="宋体"/>
          <w:b/>
          <w:sz w:val="24"/>
        </w:rPr>
      </w:pPr>
      <w:r>
        <w:rPr>
          <w:rFonts w:hint="eastAsia" w:ascii="宋体" w:hAnsi="宋体"/>
          <w:b/>
          <w:bCs/>
          <w:sz w:val="24"/>
        </w:rPr>
        <w:t>●1、服务期限：</w:t>
      </w:r>
      <w:r>
        <w:rPr>
          <w:rFonts w:hint="eastAsia" w:ascii="宋体" w:hAnsi="宋体"/>
          <w:b/>
          <w:sz w:val="24"/>
        </w:rPr>
        <w:t>自合同生效之日起</w:t>
      </w:r>
      <w:r>
        <w:rPr>
          <w:rFonts w:hint="eastAsia" w:ascii="宋体" w:hAnsi="宋体"/>
          <w:b/>
          <w:sz w:val="24"/>
          <w:lang w:val="en-US" w:eastAsia="zh-CN"/>
        </w:rPr>
        <w:t>二</w:t>
      </w:r>
      <w:r>
        <w:rPr>
          <w:rFonts w:hint="eastAsia" w:ascii="宋体" w:hAnsi="宋体"/>
          <w:b/>
          <w:sz w:val="24"/>
        </w:rPr>
        <w:t>年，中标单位根据采购人下派的任务单将设施运输至指定地点，在设施的安装保养周期（安装保养周期是指水泥混凝土基础等的制作时间+保养周期+设施安装时间）内完成安装（或拆除）工作。</w:t>
      </w:r>
    </w:p>
    <w:p>
      <w:pPr>
        <w:spacing w:line="440" w:lineRule="exact"/>
        <w:ind w:firstLine="470" w:firstLineChars="196"/>
        <w:rPr>
          <w:rFonts w:hint="eastAsia" w:ascii="宋体" w:hAnsi="宋体"/>
          <w:b/>
          <w:bCs/>
          <w:sz w:val="24"/>
        </w:rPr>
      </w:pPr>
      <w:r>
        <w:rPr>
          <w:rFonts w:hint="eastAsia" w:ascii="宋体" w:hAnsi="宋体"/>
          <w:sz w:val="24"/>
        </w:rPr>
        <w:t>2、服务地点：</w:t>
      </w:r>
      <w:r>
        <w:rPr>
          <w:rFonts w:hint="eastAsia" w:ascii="宋体" w:hAnsi="宋体"/>
          <w:sz w:val="24"/>
          <w:lang w:eastAsia="zh-CN"/>
        </w:rPr>
        <w:t>杭州市临平区人民政府</w:t>
      </w:r>
      <w:r>
        <w:rPr>
          <w:rFonts w:hint="eastAsia" w:ascii="宋体" w:hAnsi="宋体"/>
          <w:sz w:val="24"/>
          <w:lang w:val="en-US" w:eastAsia="zh-CN"/>
        </w:rPr>
        <w:t>运河</w:t>
      </w:r>
      <w:r>
        <w:rPr>
          <w:rFonts w:hint="eastAsia" w:ascii="宋体" w:hAnsi="宋体"/>
          <w:sz w:val="24"/>
          <w:lang w:eastAsia="zh-CN"/>
        </w:rPr>
        <w:t>街道办事处</w:t>
      </w:r>
      <w:r>
        <w:rPr>
          <w:rFonts w:hint="eastAsia" w:ascii="宋体" w:hAnsi="宋体"/>
          <w:sz w:val="24"/>
        </w:rPr>
        <w:t>指定地点；</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宋体" w:cs="宋体"/>
          <w:sz w:val="24"/>
          <w:highlight w:val="none"/>
          <w:lang w:val="en-US" w:eastAsia="zh-CN" w:bidi="ar-SA"/>
        </w:rPr>
      </w:pPr>
    </w:p>
    <w:p>
      <w:pPr>
        <w:spacing w:line="440" w:lineRule="exact"/>
        <w:rPr>
          <w:rFonts w:hint="eastAsia" w:ascii="宋体" w:hAnsi="宋体"/>
          <w:b/>
          <w:bCs/>
          <w:sz w:val="24"/>
        </w:rPr>
      </w:pPr>
      <w:bookmarkStart w:id="47" w:name="OLE_LINK5"/>
      <w:r>
        <w:rPr>
          <w:rFonts w:hint="eastAsia" w:ascii="宋体" w:cs="宋体"/>
          <w:b/>
          <w:bCs/>
          <w:sz w:val="24"/>
          <w:highlight w:val="none"/>
          <w:lang w:eastAsia="zh-CN" w:bidi="ar-SA"/>
        </w:rPr>
        <w:t>四</w:t>
      </w:r>
      <w:r>
        <w:rPr>
          <w:rFonts w:hint="eastAsia" w:ascii="宋体" w:cs="宋体"/>
          <w:b/>
          <w:bCs/>
          <w:sz w:val="24"/>
          <w:highlight w:val="none"/>
          <w:lang w:bidi="ar-SA"/>
        </w:rPr>
        <w:t>、</w:t>
      </w:r>
      <w:r>
        <w:rPr>
          <w:rFonts w:hint="eastAsia" w:ascii="宋体" w:hAnsi="宋体"/>
          <w:b/>
          <w:bCs/>
          <w:sz w:val="24"/>
        </w:rPr>
        <w:t>售后服务要求：</w:t>
      </w:r>
    </w:p>
    <w:bookmarkEnd w:id="47"/>
    <w:p>
      <w:pPr>
        <w:spacing w:line="440" w:lineRule="exact"/>
        <w:ind w:firstLine="470" w:firstLineChars="196"/>
        <w:rPr>
          <w:rFonts w:hint="eastAsia" w:ascii="宋体" w:hAnsi="宋体"/>
          <w:bCs/>
          <w:sz w:val="24"/>
        </w:rPr>
      </w:pPr>
      <w:r>
        <w:rPr>
          <w:rFonts w:hint="eastAsia" w:ascii="宋体" w:hAnsi="宋体"/>
          <w:bCs/>
          <w:sz w:val="24"/>
        </w:rPr>
        <w:t>1、</w:t>
      </w:r>
      <w:r>
        <w:rPr>
          <w:rFonts w:hint="eastAsia" w:ascii="宋体" w:hAnsi="宋体" w:cs="RomanD"/>
          <w:sz w:val="24"/>
        </w:rPr>
        <w:t>质保期要求：自设备安装之日起，质保期为一年，在质保期内由于投标单位自身的原因造成交通设施损坏或造成其他影响的，相关费用由中标单位负责</w:t>
      </w:r>
      <w:r>
        <w:rPr>
          <w:rFonts w:hint="eastAsia" w:ascii="宋体" w:hAnsi="宋体"/>
          <w:sz w:val="24"/>
        </w:rPr>
        <w:t>。</w:t>
      </w:r>
    </w:p>
    <w:p>
      <w:pPr>
        <w:spacing w:line="440" w:lineRule="exact"/>
        <w:rPr>
          <w:rFonts w:hint="eastAsia" w:ascii="宋体" w:hAnsi="宋体"/>
          <w:bCs/>
          <w:sz w:val="24"/>
        </w:rPr>
      </w:pPr>
      <w:r>
        <w:rPr>
          <w:rFonts w:hint="eastAsia" w:ascii="宋体" w:hAnsi="宋体"/>
          <w:bCs/>
          <w:sz w:val="24"/>
        </w:rPr>
        <w:t xml:space="preserve">    2、投标人须于签订合同前在余杭区范围内设立固定服务机构，提供及时、快速响应服务；</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ascii="宋体" w:cs="宋体"/>
          <w:b w:val="0"/>
          <w:bCs/>
          <w:snapToGrid w:val="0"/>
          <w:kern w:val="0"/>
          <w:sz w:val="24"/>
          <w:highlight w:val="none"/>
          <w:lang w:bidi="ar-SA"/>
        </w:rPr>
      </w:pPr>
      <w:r>
        <w:rPr>
          <w:rFonts w:hint="eastAsia" w:ascii="宋体" w:hAnsi="宋体"/>
          <w:sz w:val="24"/>
        </w:rPr>
        <w:t>质保期内，乙方必须派专人定期（每年不少于3次）对设施进行巡查和维护；接到甲方的指令（包括：口头、电话、书面、网络派单）时，乙方必须在一小时内响应，1小时内赶到现场，一般故障在</w:t>
      </w:r>
      <w:r>
        <w:rPr>
          <w:rFonts w:ascii="宋体" w:hAnsi="宋体"/>
          <w:sz w:val="24"/>
        </w:rPr>
        <w:t>2</w:t>
      </w:r>
      <w:r>
        <w:rPr>
          <w:rFonts w:hint="eastAsia" w:ascii="宋体" w:hAnsi="宋体"/>
          <w:sz w:val="24"/>
        </w:rPr>
        <w:t>小时内修复；不能在</w:t>
      </w:r>
      <w:r>
        <w:rPr>
          <w:rFonts w:ascii="宋体" w:hAnsi="宋体"/>
          <w:sz w:val="24"/>
        </w:rPr>
        <w:t>2</w:t>
      </w:r>
      <w:r>
        <w:rPr>
          <w:rFonts w:hint="eastAsia" w:ascii="宋体" w:hAnsi="宋体"/>
          <w:sz w:val="24"/>
        </w:rPr>
        <w:t>小时内修复的，3小时内用备品备件更换（如设施涉及</w:t>
      </w:r>
      <w:r>
        <w:rPr>
          <w:rFonts w:hint="eastAsia" w:ascii="宋体" w:hAnsi="宋体" w:cs="RomanD"/>
          <w:sz w:val="24"/>
        </w:rPr>
        <w:t>安装保养周期的，必须在安装保养周期内完成安装或修复</w:t>
      </w:r>
      <w:r>
        <w:rPr>
          <w:rFonts w:hint="eastAsia" w:ascii="宋体" w:hAnsi="宋体"/>
          <w:sz w:val="24"/>
        </w:rPr>
        <w:t>）。</w:t>
      </w:r>
    </w:p>
    <w:bookmarkEnd w:id="38"/>
    <w:bookmarkEnd w:id="39"/>
    <w:bookmarkEnd w:id="40"/>
    <w:bookmarkEnd w:id="41"/>
    <w:bookmarkEnd w:id="42"/>
    <w:bookmarkEnd w:id="43"/>
    <w:p>
      <w:pPr>
        <w:widowControl/>
        <w:snapToGrid w:val="0"/>
        <w:spacing w:line="360" w:lineRule="auto"/>
        <w:ind w:firstLine="480" w:firstLineChars="200"/>
        <w:jc w:val="left"/>
        <w:rPr>
          <w:rFonts w:hint="default" w:ascii="宋体" w:hAnsi="宋体" w:cs="宋体"/>
          <w:sz w:val="24"/>
          <w:highlight w:val="none"/>
          <w:lang w:val="en-US"/>
        </w:rPr>
      </w:pPr>
    </w:p>
    <w:p>
      <w:pPr>
        <w:spacing w:line="440" w:lineRule="exact"/>
        <w:rPr>
          <w:rFonts w:hint="eastAsia" w:ascii="宋体" w:hAnsi="宋体"/>
          <w:b/>
          <w:bCs/>
          <w:sz w:val="24"/>
        </w:rPr>
      </w:pPr>
      <w:r>
        <w:rPr>
          <w:rFonts w:hint="eastAsia" w:ascii="宋体" w:cs="宋体"/>
          <w:b/>
          <w:bCs/>
          <w:sz w:val="24"/>
          <w:highlight w:val="none"/>
          <w:lang w:val="en-US" w:eastAsia="zh-CN" w:bidi="ar-SA"/>
        </w:rPr>
        <w:t>五</w:t>
      </w:r>
      <w:r>
        <w:rPr>
          <w:rFonts w:hint="eastAsia" w:ascii="宋体" w:cs="宋体"/>
          <w:b/>
          <w:bCs/>
          <w:sz w:val="24"/>
          <w:highlight w:val="none"/>
          <w:lang w:bidi="ar-SA"/>
        </w:rPr>
        <w:t>、</w:t>
      </w:r>
      <w:r>
        <w:rPr>
          <w:rFonts w:hint="eastAsia" w:ascii="宋体" w:hAnsi="宋体"/>
          <w:b/>
          <w:bCs/>
          <w:sz w:val="24"/>
        </w:rPr>
        <w:t>供货要求：</w:t>
      </w:r>
    </w:p>
    <w:p>
      <w:pPr>
        <w:spacing w:line="440" w:lineRule="exact"/>
        <w:ind w:firstLine="470" w:firstLineChars="196"/>
        <w:rPr>
          <w:rFonts w:hint="eastAsia" w:ascii="宋体" w:hAnsi="宋体"/>
          <w:sz w:val="24"/>
        </w:rPr>
      </w:pPr>
      <w:r>
        <w:rPr>
          <w:rFonts w:hint="eastAsia" w:ascii="宋体" w:hAnsi="宋体"/>
          <w:sz w:val="24"/>
        </w:rPr>
        <w:t>1、设施必须是符合GB5768-2009等标准的合格产品。</w:t>
      </w:r>
    </w:p>
    <w:p>
      <w:pPr>
        <w:spacing w:line="440" w:lineRule="exact"/>
        <w:ind w:firstLine="470" w:firstLineChars="196"/>
        <w:rPr>
          <w:rFonts w:hint="eastAsia" w:ascii="宋体" w:hAnsi="宋体"/>
          <w:sz w:val="24"/>
        </w:rPr>
      </w:pPr>
      <w:r>
        <w:rPr>
          <w:rFonts w:hint="eastAsia" w:ascii="宋体" w:hAnsi="宋体"/>
          <w:sz w:val="24"/>
        </w:rPr>
        <w:t>2、包装应符合国家标准，以保证设备在运输过程中不受损伤，由于包装不当造成设施在运输过程中有任何损坏或丢失，由中标单位负责。</w:t>
      </w:r>
    </w:p>
    <w:p>
      <w:pPr>
        <w:spacing w:line="440" w:lineRule="exact"/>
        <w:ind w:firstLine="470" w:firstLineChars="196"/>
        <w:rPr>
          <w:rFonts w:hint="eastAsia" w:ascii="宋体" w:hAnsi="宋体"/>
          <w:sz w:val="24"/>
        </w:rPr>
      </w:pPr>
      <w:r>
        <w:rPr>
          <w:rFonts w:hint="eastAsia" w:ascii="宋体" w:hAnsi="宋体"/>
          <w:sz w:val="24"/>
        </w:rPr>
        <w:t>3、设施由中标单位负责送到施工现场，由中标单位负责运输、卸车。</w:t>
      </w:r>
    </w:p>
    <w:p>
      <w:pPr>
        <w:spacing w:line="440" w:lineRule="exact"/>
        <w:ind w:firstLine="470" w:firstLineChars="196"/>
        <w:rPr>
          <w:rFonts w:hint="eastAsia" w:ascii="宋体" w:hAnsi="宋体"/>
          <w:sz w:val="24"/>
        </w:rPr>
      </w:pPr>
      <w:r>
        <w:rPr>
          <w:rFonts w:hint="eastAsia" w:ascii="宋体" w:hAnsi="宋体"/>
          <w:sz w:val="24"/>
        </w:rPr>
        <w:t>4、设施到达现场，采购人、中标单位双方均须在场并确认包装的完好性后，由采购人验货。中标单位应按采购人安排的时间派人到现场，配合采购人完成对货物进行清点验收，双方签字确认。若发现货物与装箱单不符，中标单位负责补齐或收回。如中标单位不能按时到达，采购人有权开箱检验，并对缺件，损坏做出记录，中标单位应认可并负责解决。</w:t>
      </w:r>
    </w:p>
    <w:p>
      <w:pPr>
        <w:spacing w:line="440" w:lineRule="exact"/>
        <w:ind w:firstLine="470" w:firstLineChars="196"/>
        <w:rPr>
          <w:rFonts w:hint="eastAsia" w:ascii="宋体" w:hAnsi="宋体"/>
          <w:sz w:val="24"/>
        </w:rPr>
      </w:pPr>
      <w:r>
        <w:rPr>
          <w:rFonts w:hint="eastAsia" w:ascii="宋体" w:hAnsi="宋体"/>
          <w:sz w:val="24"/>
        </w:rPr>
        <w:t>5、中标单位负责设施安装及调试，直至设施正常运行或使用。</w:t>
      </w:r>
    </w:p>
    <w:p>
      <w:pPr>
        <w:spacing w:line="440" w:lineRule="exact"/>
        <w:ind w:firstLine="470" w:firstLineChars="196"/>
        <w:rPr>
          <w:rFonts w:hint="eastAsia" w:ascii="宋体" w:hAnsi="宋体"/>
          <w:sz w:val="24"/>
        </w:rPr>
      </w:pPr>
      <w:r>
        <w:rPr>
          <w:rFonts w:hint="eastAsia" w:ascii="宋体" w:hAnsi="宋体"/>
          <w:sz w:val="24"/>
        </w:rPr>
        <w:t>6、中标单位应自带用以安装、调试过程中所需的各种工具、仪器仪表及易损件。</w:t>
      </w:r>
    </w:p>
    <w:p>
      <w:pPr>
        <w:spacing w:line="440" w:lineRule="exact"/>
        <w:ind w:firstLine="470" w:firstLineChars="196"/>
        <w:rPr>
          <w:rFonts w:hint="eastAsia" w:ascii="宋体" w:hAnsi="宋体"/>
          <w:sz w:val="24"/>
        </w:rPr>
      </w:pPr>
      <w:r>
        <w:rPr>
          <w:rFonts w:hint="eastAsia" w:ascii="宋体" w:hAnsi="宋体"/>
          <w:sz w:val="24"/>
        </w:rPr>
        <w:t>7、所供货物不会侵犯任何第三方知识产权。</w:t>
      </w:r>
    </w:p>
    <w:p>
      <w:pPr>
        <w:spacing w:line="440" w:lineRule="exact"/>
        <w:ind w:firstLine="480" w:firstLineChars="200"/>
        <w:rPr>
          <w:rFonts w:hint="eastAsia" w:ascii="宋体" w:hAnsi="宋体"/>
          <w:b w:val="0"/>
          <w:bCs/>
          <w:sz w:val="24"/>
        </w:rPr>
      </w:pPr>
      <w:r>
        <w:rPr>
          <w:rFonts w:hint="eastAsia" w:ascii="宋体" w:hAnsi="宋体"/>
          <w:b w:val="0"/>
          <w:bCs/>
          <w:sz w:val="24"/>
        </w:rPr>
        <w:t>8、施工必须按照现行国家标准执行。</w:t>
      </w:r>
    </w:p>
    <w:p>
      <w:pPr>
        <w:spacing w:line="440" w:lineRule="exact"/>
        <w:rPr>
          <w:rFonts w:hint="eastAsia" w:ascii="宋体" w:hAnsi="宋体"/>
          <w:b/>
          <w:bCs/>
          <w:sz w:val="24"/>
        </w:rPr>
      </w:pPr>
      <w:r>
        <w:rPr>
          <w:rFonts w:hint="eastAsia" w:ascii="宋体" w:cs="宋体"/>
          <w:b/>
          <w:bCs/>
          <w:sz w:val="24"/>
          <w:highlight w:val="none"/>
          <w:lang w:val="en-US" w:eastAsia="zh-CN" w:bidi="ar-SA"/>
        </w:rPr>
        <w:t>六</w:t>
      </w:r>
      <w:r>
        <w:rPr>
          <w:rFonts w:hint="eastAsia" w:ascii="宋体" w:cs="宋体"/>
          <w:b/>
          <w:bCs/>
          <w:sz w:val="24"/>
          <w:highlight w:val="none"/>
          <w:lang w:bidi="ar-SA"/>
        </w:rPr>
        <w:t>、</w:t>
      </w:r>
      <w:r>
        <w:rPr>
          <w:rFonts w:hint="eastAsia" w:ascii="宋体" w:hAnsi="宋体"/>
          <w:b/>
          <w:bCs/>
          <w:sz w:val="24"/>
        </w:rPr>
        <w:t>履约保证金的缴纳和退付：</w:t>
      </w:r>
    </w:p>
    <w:p>
      <w:pPr>
        <w:spacing w:line="440" w:lineRule="exact"/>
        <w:ind w:firstLine="470" w:firstLineChars="196"/>
        <w:rPr>
          <w:rFonts w:hint="eastAsia" w:ascii="宋体" w:hAnsi="宋体"/>
          <w:b/>
          <w:bCs/>
          <w:sz w:val="24"/>
        </w:rPr>
      </w:pPr>
      <w:r>
        <w:rPr>
          <w:rFonts w:hint="eastAsia" w:ascii="宋体" w:hAnsi="宋体" w:cs="RomanD"/>
          <w:sz w:val="24"/>
        </w:rPr>
        <w:t>在合同签订前，由中标供应商向采购人缴纳中标总额</w:t>
      </w:r>
      <w:r>
        <w:rPr>
          <w:rFonts w:hint="eastAsia" w:ascii="宋体" w:hAnsi="宋体" w:cs="RomanD"/>
          <w:sz w:val="24"/>
          <w:lang w:val="en-US" w:eastAsia="zh-CN"/>
        </w:rPr>
        <w:t>1</w:t>
      </w:r>
      <w:r>
        <w:rPr>
          <w:rFonts w:hint="eastAsia" w:ascii="宋体" w:hAnsi="宋体" w:cs="RomanD"/>
          <w:sz w:val="24"/>
        </w:rPr>
        <w:t>%（采购单位根据杭州市政府采购网公布的供应商履约评价情况减免履约保证金，供应商履约验收评价总分为100分的，采购单位免收履约保证金；评价总分在90分以上的，收取履约保证金为合同金额</w:t>
      </w:r>
      <w:r>
        <w:rPr>
          <w:rFonts w:hint="eastAsia" w:ascii="宋体" w:hAnsi="宋体" w:cs="RomanD"/>
          <w:sz w:val="24"/>
          <w:lang w:val="en-US" w:eastAsia="zh-CN"/>
        </w:rPr>
        <w:t>0.5</w:t>
      </w:r>
      <w:r>
        <w:rPr>
          <w:rFonts w:hint="eastAsia" w:ascii="宋体" w:hAnsi="宋体" w:cs="RomanD"/>
          <w:sz w:val="24"/>
        </w:rPr>
        <w:t>%）的履约保证金（以支票、汇票、本票或者金融机构、担保机构出具的保函等非现金形式提交），在合同到期后30天内，经采购人考核合格后退还全部保证金（本履约保证金不计息）。如在合同期限内，采购人因中标供应商原因终止合同的，履约保证金不予归还。在合同期内如因中标供应商养护原因造成采购人损失的，采购人有权酌情扣去一定的履约保证金作为赔偿金，履约保证金不足以赔偿采购人损失的，中标供应商需予以补足。</w:t>
      </w:r>
    </w:p>
    <w:p>
      <w:pPr>
        <w:spacing w:line="440" w:lineRule="exact"/>
        <w:rPr>
          <w:rFonts w:hint="eastAsia" w:ascii="宋体" w:hAnsi="宋体"/>
          <w:b/>
          <w:sz w:val="24"/>
        </w:rPr>
      </w:pPr>
      <w:r>
        <w:rPr>
          <w:rFonts w:hint="eastAsia" w:ascii="宋体" w:cs="宋体"/>
          <w:b/>
          <w:bCs/>
          <w:sz w:val="24"/>
          <w:highlight w:val="none"/>
          <w:lang w:val="en-US" w:eastAsia="zh-CN" w:bidi="ar-SA"/>
        </w:rPr>
        <w:t>七</w:t>
      </w:r>
      <w:r>
        <w:rPr>
          <w:rFonts w:hint="eastAsia" w:ascii="宋体" w:cs="宋体"/>
          <w:b/>
          <w:bCs/>
          <w:sz w:val="24"/>
          <w:highlight w:val="none"/>
          <w:lang w:bidi="ar-SA"/>
        </w:rPr>
        <w:t>、</w:t>
      </w:r>
      <w:r>
        <w:rPr>
          <w:rFonts w:hint="eastAsia" w:ascii="宋体" w:hAnsi="宋体"/>
          <w:b/>
          <w:sz w:val="24"/>
        </w:rPr>
        <w:t>项目验收：</w:t>
      </w:r>
    </w:p>
    <w:p>
      <w:pPr>
        <w:spacing w:line="440" w:lineRule="exact"/>
        <w:ind w:firstLine="480" w:firstLineChars="200"/>
        <w:rPr>
          <w:rFonts w:hint="eastAsia" w:ascii="宋体" w:hAnsi="宋体"/>
          <w:bCs/>
          <w:sz w:val="24"/>
        </w:rPr>
      </w:pPr>
      <w:r>
        <w:rPr>
          <w:rFonts w:hint="eastAsia" w:ascii="宋体" w:hAnsi="宋体"/>
          <w:bCs/>
          <w:sz w:val="24"/>
        </w:rPr>
        <w:t>施工完成后，本项目自行验收。</w:t>
      </w:r>
    </w:p>
    <w:p>
      <w:pPr>
        <w:spacing w:line="440" w:lineRule="exact"/>
        <w:rPr>
          <w:rFonts w:hint="eastAsia" w:ascii="宋体" w:hAnsi="宋体"/>
          <w:b/>
          <w:sz w:val="24"/>
        </w:rPr>
      </w:pPr>
      <w:r>
        <w:rPr>
          <w:rFonts w:hint="eastAsia" w:ascii="宋体" w:hAnsi="宋体"/>
          <w:b/>
          <w:sz w:val="24"/>
          <w:lang w:val="en-US" w:eastAsia="zh-CN"/>
        </w:rPr>
        <w:t>八</w:t>
      </w:r>
      <w:r>
        <w:rPr>
          <w:rFonts w:hint="eastAsia" w:ascii="宋体" w:hAnsi="宋体"/>
          <w:b/>
          <w:sz w:val="24"/>
        </w:rPr>
        <w:t>、货款支付：</w:t>
      </w:r>
    </w:p>
    <w:p>
      <w:pPr>
        <w:pStyle w:val="2"/>
        <w:numPr>
          <w:ilvl w:val="0"/>
          <w:numId w:val="1"/>
        </w:numPr>
        <w:ind w:left="600" w:leftChars="0" w:firstLine="0" w:firstLineChars="0"/>
        <w:rPr>
          <w:rFonts w:hint="eastAsia"/>
        </w:rPr>
      </w:pPr>
      <w:r>
        <w:rPr>
          <w:rFonts w:hint="eastAsia"/>
        </w:rPr>
        <w:t>工程量按实签证。</w:t>
      </w:r>
    </w:p>
    <w:p>
      <w:pPr>
        <w:pStyle w:val="3"/>
        <w:rPr>
          <w:rFonts w:hint="eastAsia"/>
        </w:rPr>
      </w:pPr>
    </w:p>
    <w:p>
      <w:pPr>
        <w:pStyle w:val="3"/>
        <w:numPr>
          <w:ilvl w:val="0"/>
          <w:numId w:val="1"/>
        </w:numPr>
        <w:ind w:left="600" w:leftChars="0" w:firstLine="0" w:firstLineChars="0"/>
        <w:rPr>
          <w:rFonts w:hint="eastAsia" w:ascii="宋体" w:hAnsi="宋体" w:eastAsia="宋体" w:cs="Times New Roman"/>
          <w:spacing w:val="0"/>
          <w:kern w:val="2"/>
          <w:sz w:val="24"/>
          <w:szCs w:val="24"/>
          <w:lang w:val="en-US" w:eastAsia="zh-CN" w:bidi="ar-SA"/>
        </w:rPr>
      </w:pPr>
      <w:r>
        <w:rPr>
          <w:rFonts w:hint="eastAsia" w:ascii="宋体" w:hAnsi="宋体" w:eastAsia="宋体" w:cs="Times New Roman"/>
          <w:spacing w:val="0"/>
          <w:kern w:val="2"/>
          <w:sz w:val="24"/>
          <w:szCs w:val="24"/>
          <w:lang w:val="en-US" w:eastAsia="zh-CN" w:bidi="ar-SA"/>
        </w:rPr>
        <w:t>工程量经费根据已完工程量按季度进行结算</w:t>
      </w:r>
      <w:r>
        <w:rPr>
          <w:rFonts w:hint="eastAsia" w:hAnsi="宋体" w:cs="Times New Roman"/>
          <w:spacing w:val="0"/>
          <w:kern w:val="2"/>
          <w:sz w:val="24"/>
          <w:szCs w:val="24"/>
          <w:lang w:val="en-US" w:eastAsia="zh-CN" w:bidi="ar-SA"/>
        </w:rPr>
        <w:t>。</w:t>
      </w:r>
    </w:p>
    <w:p>
      <w:pPr>
        <w:pStyle w:val="3"/>
        <w:numPr>
          <w:ilvl w:val="0"/>
          <w:numId w:val="0"/>
        </w:numPr>
        <w:ind w:left="600" w:leftChars="0"/>
        <w:rPr>
          <w:rFonts w:hint="eastAsia"/>
        </w:rPr>
      </w:pPr>
    </w:p>
    <w:p>
      <w:pPr>
        <w:numPr>
          <w:ilvl w:val="0"/>
          <w:numId w:val="0"/>
        </w:numPr>
        <w:adjustRightInd w:val="0"/>
        <w:snapToGrid w:val="0"/>
        <w:spacing w:line="360" w:lineRule="auto"/>
        <w:jc w:val="left"/>
        <w:outlineLvl w:val="0"/>
        <w:rPr>
          <w:rFonts w:hint="eastAsia" w:ascii="宋体" w:hAnsi="宋体"/>
          <w:b/>
          <w:sz w:val="24"/>
          <w:lang w:val="en-US" w:eastAsia="zh-CN"/>
        </w:rPr>
      </w:pPr>
      <w:r>
        <w:rPr>
          <w:rFonts w:hint="eastAsia" w:ascii="宋体" w:hAnsi="宋体"/>
          <w:b/>
          <w:sz w:val="24"/>
          <w:lang w:val="en-US" w:eastAsia="zh-CN"/>
        </w:rPr>
        <w:t>九、特别说明：</w:t>
      </w:r>
    </w:p>
    <w:p>
      <w:pPr>
        <w:spacing w:line="600" w:lineRule="exact"/>
        <w:ind w:firstLine="480" w:firstLineChars="200"/>
        <w:rPr>
          <w:rFonts w:hint="eastAsia" w:ascii="宋体" w:hAnsi="宋体" w:cs="宋体"/>
          <w:color w:val="000000"/>
          <w:sz w:val="24"/>
        </w:rPr>
      </w:pPr>
      <w:r>
        <w:rPr>
          <w:rFonts w:hint="eastAsia" w:ascii="宋体" w:hAnsi="宋体" w:cs="宋体"/>
          <w:color w:val="000000"/>
          <w:sz w:val="24"/>
        </w:rPr>
        <w:t>1、中标通知书发出后15天内，中标单位须向采购人出具以下资料，否则视为自动放弃中标资格，不予签订合同：</w:t>
      </w:r>
    </w:p>
    <w:p>
      <w:pPr>
        <w:spacing w:line="600" w:lineRule="exact"/>
        <w:ind w:firstLine="480" w:firstLineChars="200"/>
        <w:rPr>
          <w:rFonts w:hint="eastAsia" w:ascii="宋体" w:hAnsi="宋体" w:cs="宋体"/>
          <w:color w:val="000000"/>
          <w:sz w:val="24"/>
        </w:rPr>
      </w:pPr>
      <w:r>
        <w:rPr>
          <w:rFonts w:hint="eastAsia" w:ascii="宋体" w:hAnsi="宋体" w:cs="宋体"/>
          <w:color w:val="000000"/>
          <w:sz w:val="24"/>
        </w:rPr>
        <w:t>2、中标单位必须在</w:t>
      </w:r>
      <w:r>
        <w:rPr>
          <w:rFonts w:hint="eastAsia" w:ascii="宋体" w:hAnsi="宋体" w:cs="宋体"/>
          <w:color w:val="000000"/>
          <w:sz w:val="24"/>
          <w:lang w:val="en-US" w:eastAsia="zh-CN"/>
        </w:rPr>
        <w:t>运河街道</w:t>
      </w:r>
      <w:r>
        <w:rPr>
          <w:rFonts w:hint="eastAsia" w:ascii="宋体" w:hAnsi="宋体" w:cs="宋体"/>
          <w:color w:val="000000"/>
          <w:sz w:val="24"/>
        </w:rPr>
        <w:t>内拥有</w:t>
      </w:r>
      <w:r>
        <w:rPr>
          <w:rFonts w:hint="eastAsia" w:ascii="宋体" w:hAnsi="宋体" w:cs="宋体"/>
          <w:color w:val="000000"/>
          <w:sz w:val="24"/>
          <w:lang w:val="en-US" w:eastAsia="zh-CN"/>
        </w:rPr>
        <w:t>1</w:t>
      </w:r>
      <w:r>
        <w:rPr>
          <w:rFonts w:hint="eastAsia" w:ascii="宋体" w:hAnsi="宋体" w:cs="宋体"/>
          <w:color w:val="000000"/>
          <w:sz w:val="24"/>
        </w:rPr>
        <w:t>00</w:t>
      </w:r>
      <w:r>
        <w:rPr>
          <w:rFonts w:hint="eastAsia" w:ascii="宋体" w:hAnsi="宋体" w:cs="宋体"/>
          <w:color w:val="000000"/>
          <w:sz w:val="24"/>
          <w:lang w:val="en-US" w:eastAsia="zh-CN"/>
        </w:rPr>
        <w:t>-500</w:t>
      </w:r>
      <w:r>
        <w:rPr>
          <w:rFonts w:hint="eastAsia" w:ascii="宋体" w:hAnsi="宋体" w:cs="宋体"/>
          <w:color w:val="000000"/>
          <w:sz w:val="24"/>
        </w:rPr>
        <w:t>平方米以上的固定场办公与仓储场所。必须在投标文件中作出承诺（格式自拟）。</w:t>
      </w:r>
    </w:p>
    <w:p>
      <w:pPr>
        <w:adjustRightInd w:val="0"/>
        <w:snapToGrid w:val="0"/>
        <w:spacing w:line="600" w:lineRule="exact"/>
        <w:ind w:firstLine="480" w:firstLineChars="200"/>
        <w:rPr>
          <w:rFonts w:hint="eastAsia" w:ascii="宋体" w:hAnsi="宋体" w:cs="宋体"/>
          <w:color w:val="000000"/>
          <w:sz w:val="24"/>
        </w:rPr>
      </w:pPr>
      <w:r>
        <w:rPr>
          <w:rFonts w:hint="eastAsia" w:ascii="宋体" w:hAnsi="宋体" w:cs="宋体"/>
          <w:color w:val="000000"/>
          <w:sz w:val="24"/>
        </w:rPr>
        <w:t>3、中标单位所提供资料，经查实为虚假材料的，或经成本核算达不到额定标准的，或经发现中标单位转包给其他企业的，或违规有关养护合同约定的，采购人有权不予签订合同或终止合同。</w:t>
      </w:r>
    </w:p>
    <w:p>
      <w:pPr>
        <w:rPr>
          <w:rFonts w:hint="eastAsia" w:eastAsia="宋体"/>
          <w:lang w:val="en-US" w:eastAsia="zh-CN"/>
        </w:rPr>
      </w:pPr>
    </w:p>
    <w:p>
      <w:pPr>
        <w:numPr>
          <w:ilvl w:val="0"/>
          <w:numId w:val="0"/>
        </w:numPr>
        <w:adjustRightInd w:val="0"/>
        <w:snapToGrid w:val="0"/>
        <w:spacing w:line="360" w:lineRule="auto"/>
        <w:jc w:val="left"/>
        <w:outlineLvl w:val="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十、维护工作内容：</w:t>
      </w:r>
    </w:p>
    <w:p>
      <w:pPr>
        <w:adjustRightInd w:val="0"/>
        <w:snapToGrid w:val="0"/>
        <w:spacing w:line="360" w:lineRule="auto"/>
        <w:jc w:val="left"/>
        <w:outlineLvl w:val="0"/>
        <w:rPr>
          <w:rFonts w:hint="eastAsia" w:asciiTheme="minorEastAsia" w:hAnsiTheme="minorEastAsia" w:eastAsiaTheme="minorEastAsia" w:cstheme="minorEastAsia"/>
          <w:b/>
          <w:snapToGrid w:val="0"/>
          <w:color w:val="000000"/>
          <w:kern w:val="0"/>
          <w:sz w:val="24"/>
          <w:szCs w:val="24"/>
        </w:rPr>
      </w:pPr>
      <w:r>
        <w:rPr>
          <w:rFonts w:hint="eastAsia" w:asciiTheme="minorEastAsia" w:hAnsiTheme="minorEastAsia" w:eastAsiaTheme="minorEastAsia" w:cstheme="minorEastAsia"/>
          <w:b/>
          <w:snapToGrid w:val="0"/>
          <w:color w:val="000000"/>
          <w:kern w:val="0"/>
          <w:sz w:val="24"/>
          <w:szCs w:val="24"/>
        </w:rPr>
        <w:t>日常维护主要内容：</w:t>
      </w:r>
    </w:p>
    <w:p>
      <w:pPr>
        <w:adjustRightInd w:val="0"/>
        <w:snapToGrid w:val="0"/>
        <w:spacing w:line="360" w:lineRule="auto"/>
        <w:jc w:val="left"/>
        <w:outlineLvl w:val="0"/>
        <w:rPr>
          <w:rFonts w:hint="eastAsia" w:asciiTheme="minorEastAsia" w:hAnsiTheme="minorEastAsia" w:eastAsiaTheme="minorEastAsia" w:cstheme="minorEastAsia"/>
          <w:b/>
          <w:snapToGrid w:val="0"/>
          <w:color w:val="000000"/>
          <w:kern w:val="0"/>
          <w:sz w:val="24"/>
          <w:szCs w:val="24"/>
        </w:rPr>
      </w:pPr>
      <w:r>
        <w:rPr>
          <w:rFonts w:hint="eastAsia" w:asciiTheme="minorEastAsia" w:hAnsiTheme="minorEastAsia" w:eastAsiaTheme="minorEastAsia" w:cstheme="minorEastAsia"/>
          <w:b/>
          <w:snapToGrid w:val="0"/>
          <w:color w:val="000000"/>
          <w:kern w:val="0"/>
          <w:sz w:val="24"/>
          <w:szCs w:val="24"/>
        </w:rPr>
        <w:t>（一）信号灯控制设施：</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（1）建立完善的维护机制，使之具有调度、协调、监督、培训等管理功能，具体包括：</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a.委派会管理、有经验的人员担任调度员；</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b.制定维修维护操作规程及工作要求；</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c.做好详细维修记录台帐，定期汇总向采购人书面汇报；</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d.调度人员实时了解维修维护情况，进行指导、协调，督察维护进展。</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（2）确保招标范围内维护点7×24小时正常运行，数据的安全存储、备份。</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（3）招标范围内点位平台上运行情况每天巡检一次并建立巡检台帐，招标范围内路口点每周至少巡检一次，并建立巡检台帐，每周上报一次，供甲方随时检查。巡检内容为：</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a.清洁设备，保证外场设备安全、整洁、干净。</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b.安全检查，保证外场设备用电、防雷、防锈、防水等设施安全。</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c.统计遮挡物，如树枝等遮挡设备的情况，并每周上报一次。</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d.检查外场设备的完整性和牢固性，消除人为或自然原因影响安全和功能使用的隐患。</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e.做好基础资料编辑修改工作,编写基础资料电子资料库。</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（4）遇灾害天气，应提前检查加固外场设备，确保外场设备的安全。因灾害天气造成的损失以及后果，由中标人承担。</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（5）每年重要节假日（“五一”、“十一”等）、大型活动期间，特定巡检、维修、维护、清洁、保养。</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（6）日常维护故障点维修时间要求：外场点位系统故障，须5分钟响应，1小时内到达现场，4小时恢复正常运行。</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（7）外场设施遇偷盗、人为破坏等外力因素，造成设备丢失或无法继续使用，应及时报警备案（属地***）。</w:t>
      </w:r>
    </w:p>
    <w:p>
      <w:pPr>
        <w:adjustRightInd w:val="0"/>
        <w:snapToGrid w:val="0"/>
        <w:spacing w:line="360" w:lineRule="auto"/>
        <w:jc w:val="left"/>
        <w:outlineLvl w:val="0"/>
        <w:rPr>
          <w:rFonts w:hint="eastAsia" w:asciiTheme="minorEastAsia" w:hAnsiTheme="minorEastAsia" w:eastAsiaTheme="minorEastAsia" w:cstheme="minorEastAsia"/>
          <w:b/>
          <w:snapToGrid w:val="0"/>
          <w:color w:val="000000"/>
          <w:kern w:val="0"/>
          <w:sz w:val="24"/>
          <w:szCs w:val="24"/>
        </w:rPr>
      </w:pPr>
      <w:r>
        <w:rPr>
          <w:rFonts w:hint="eastAsia" w:asciiTheme="minorEastAsia" w:hAnsiTheme="minorEastAsia" w:eastAsiaTheme="minorEastAsia" w:cstheme="minorEastAsia"/>
          <w:b/>
          <w:snapToGrid w:val="0"/>
          <w:color w:val="000000"/>
          <w:kern w:val="0"/>
          <w:sz w:val="24"/>
          <w:szCs w:val="24"/>
        </w:rPr>
        <w:t>（</w:t>
      </w:r>
      <w:r>
        <w:rPr>
          <w:rFonts w:hint="eastAsia" w:asciiTheme="minorEastAsia" w:hAnsiTheme="minorEastAsia" w:eastAsiaTheme="minorEastAsia" w:cstheme="minorEastAsia"/>
          <w:b/>
          <w:snapToGrid w:val="0"/>
          <w:color w:val="000000"/>
          <w:kern w:val="0"/>
          <w:sz w:val="24"/>
          <w:szCs w:val="24"/>
          <w:lang w:val="en-US" w:eastAsia="zh-CN"/>
        </w:rPr>
        <w:t>二</w:t>
      </w:r>
      <w:r>
        <w:rPr>
          <w:rFonts w:hint="eastAsia" w:asciiTheme="minorEastAsia" w:hAnsiTheme="minorEastAsia" w:eastAsiaTheme="minorEastAsia" w:cstheme="minorEastAsia"/>
          <w:b/>
          <w:snapToGrid w:val="0"/>
          <w:color w:val="000000"/>
          <w:kern w:val="0"/>
          <w:sz w:val="24"/>
          <w:szCs w:val="24"/>
        </w:rPr>
        <w:t>）交通监视设施：</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（1）建立完善的维护机制，使之具有调度、协调、监督、培训等管理功能，具体包括：</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a.委派会管理、有经验的人员担任调度员；</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b.制定维修维护操作规程及工作要求；</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c.做好详细维修记录台帐，定期汇总向采购人书面汇报；</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d.调度人员实时了解维修维护情况，进行指导、协调，督察维护进展。</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（2）确保招标范围内维护点7×24小时正常运行，数据的安全存储、备份。</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（3）招标范围内点位平台上运行情况每天巡检一次并建立巡检台帐，路口点每月至少巡检一次，</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并建立巡检台帐，每周上报一次，供甲方随时检查。巡检内容为：</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a.清洁工作，保证内外场设备及机房的安全、整洁、干净。</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b.统计遮挡物，如树枝等遮挡设备的情况，并每周统计上报，协助清理。</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c,安全检查，保证外场设备用电、防雷、防锈、防水等设施安全。</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d.调整光圈、焦距、白平衡等参数，保证图像清晰。</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e.检查外场设备的完整性和牢固性，消除人为或自然原因影响安全和功能使用的隐患。</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f.对监控设备选型、安装、调试、维修等情况进行全面汇总研究，定期提出建议和改进意见。</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g.做好基础资料编辑修改工作,编写基础资料电子资料库。</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（4）遇灾害天气，应提前检查加固外场设备，确保外场设备的安全。因灾害天气造成的损失以及后果，由中标人承担。</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（5）每年重要节假日（“五一”、“十一”等）、大型活动期间，特定巡检、维修、维护、清洁、保养。重大活动现场保障人员定期到采购人中心机房培训。</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（6）日常维护故障点维修时间要求：外场点位系统故障，须5分钟响应，1小时内到达现场，12小时恢复系统正常运行。</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（7）外场设施遇偷盗、人为破坏等外力因素，造成设备丢失或无法继续使用，应及时报警备案（属地***）。</w:t>
      </w:r>
    </w:p>
    <w:p>
      <w:pPr>
        <w:adjustRightInd w:val="0"/>
        <w:snapToGrid w:val="0"/>
        <w:spacing w:line="360" w:lineRule="auto"/>
        <w:jc w:val="left"/>
        <w:outlineLvl w:val="0"/>
        <w:rPr>
          <w:rFonts w:hint="eastAsia" w:asciiTheme="minorEastAsia" w:hAnsiTheme="minorEastAsia" w:eastAsiaTheme="minorEastAsia" w:cstheme="minorEastAsia"/>
          <w:b/>
          <w:snapToGrid w:val="0"/>
          <w:color w:val="000000"/>
          <w:kern w:val="0"/>
          <w:sz w:val="24"/>
          <w:szCs w:val="24"/>
        </w:rPr>
      </w:pPr>
      <w:r>
        <w:rPr>
          <w:rFonts w:hint="eastAsia" w:asciiTheme="minorEastAsia" w:hAnsiTheme="minorEastAsia" w:eastAsiaTheme="minorEastAsia" w:cstheme="minorEastAsia"/>
          <w:b/>
          <w:snapToGrid w:val="0"/>
          <w:color w:val="000000"/>
          <w:kern w:val="0"/>
          <w:sz w:val="24"/>
          <w:szCs w:val="24"/>
        </w:rPr>
        <w:t>（</w:t>
      </w:r>
      <w:r>
        <w:rPr>
          <w:rFonts w:hint="eastAsia" w:asciiTheme="minorEastAsia" w:hAnsiTheme="minorEastAsia" w:eastAsiaTheme="minorEastAsia" w:cstheme="minorEastAsia"/>
          <w:b/>
          <w:snapToGrid w:val="0"/>
          <w:color w:val="000000"/>
          <w:kern w:val="0"/>
          <w:sz w:val="24"/>
          <w:szCs w:val="24"/>
          <w:lang w:val="en-US" w:eastAsia="zh-CN"/>
        </w:rPr>
        <w:t>三</w:t>
      </w:r>
      <w:r>
        <w:rPr>
          <w:rFonts w:hint="eastAsia" w:asciiTheme="minorEastAsia" w:hAnsiTheme="minorEastAsia" w:eastAsiaTheme="minorEastAsia" w:cstheme="minorEastAsia"/>
          <w:b/>
          <w:snapToGrid w:val="0"/>
          <w:color w:val="000000"/>
          <w:kern w:val="0"/>
          <w:sz w:val="24"/>
          <w:szCs w:val="24"/>
        </w:rPr>
        <w:t>）交通非现场执法设施：</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（1）建立完善的维护机制，使之具有调度、协调、监督、培训等管理功能，具体包括：</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a.委派会管理、有经验的人员担任调度员；</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b.制定维修维护操作规程及工作要求；</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c.做好详细维修记录台帐，定期汇总向采购人书面汇报；</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d.调度人员实时了解维修维护情况，进行指导、协调，督察维护进展。</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（2）招标范围内维护点7×24小时正常运行，违法数据的安全存储、备份。</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（3）招标范围内点位平台上运行情况每天巡检一次并建立巡检台帐，招标范围内路口点每月至少巡检一次，并建立巡检台帐，每周上报一次，供采购人随时检查。巡检内容为：</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 xml:space="preserve">a.清洁设备，保证外场设备安全、整洁、干净。  </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b.安全检查，保证外场设备用电、防雷、防锈、防水等设施安全。</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c.统计遮挡物，如树枝等遮挡设备的情况，并每周统计上报，协助清理。</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d.调整光圈、焦距、白平衡等参数，保证图像清晰。</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e.检查外场设备的完整性和牢固性，消除人为或自然原因影响安全和功能使用的隐患。</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f.做好基础资料编辑修改工作,编写基础资料电子资料库。</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（4）接采购人通知后在十个工作日能完成指定路口的调整改造任务。</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（5）遇灾害天气，应提前检查加固外场设备，确保外场设备的安全。因灾害天气造成的损失以及后果，由中标人承担。</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（6）每年重要节假日（“五一”、“十一”等）、大型活动期间，特定巡检、维修、维护、清洁、保养。</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（7）日常维护故障点维修时间要求：外场点位系统故障，须5分钟响应，1小时到达现场， 48小时内恢复系统正常运行。</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（8）外场设施遇偷盗、人为破坏等外力因素，造成设备丢失或无法继续使用，应及时报警备案（属地***）。</w:t>
      </w:r>
    </w:p>
    <w:p>
      <w:pPr>
        <w:adjustRightInd w:val="0"/>
        <w:snapToGrid w:val="0"/>
        <w:spacing w:line="360" w:lineRule="auto"/>
        <w:jc w:val="left"/>
        <w:outlineLvl w:val="0"/>
        <w:rPr>
          <w:rFonts w:hint="eastAsia" w:asciiTheme="minorEastAsia" w:hAnsiTheme="minorEastAsia" w:eastAsiaTheme="minorEastAsia" w:cstheme="minorEastAsia"/>
          <w:b/>
          <w:snapToGrid w:val="0"/>
          <w:color w:val="000000"/>
          <w:kern w:val="0"/>
          <w:sz w:val="24"/>
          <w:szCs w:val="24"/>
        </w:rPr>
      </w:pPr>
      <w:r>
        <w:rPr>
          <w:rFonts w:hint="eastAsia" w:asciiTheme="minorEastAsia" w:hAnsiTheme="minorEastAsia" w:eastAsiaTheme="minorEastAsia" w:cstheme="minorEastAsia"/>
          <w:b/>
          <w:snapToGrid w:val="0"/>
          <w:color w:val="000000"/>
          <w:kern w:val="0"/>
          <w:sz w:val="24"/>
          <w:szCs w:val="24"/>
        </w:rPr>
        <w:t>（</w:t>
      </w:r>
      <w:r>
        <w:rPr>
          <w:rFonts w:hint="eastAsia" w:asciiTheme="minorEastAsia" w:hAnsiTheme="minorEastAsia" w:eastAsiaTheme="minorEastAsia" w:cstheme="minorEastAsia"/>
          <w:b/>
          <w:snapToGrid w:val="0"/>
          <w:color w:val="000000"/>
          <w:kern w:val="0"/>
          <w:sz w:val="24"/>
          <w:szCs w:val="24"/>
          <w:lang w:val="en-US" w:eastAsia="zh-CN"/>
        </w:rPr>
        <w:t>四</w:t>
      </w:r>
      <w:r>
        <w:rPr>
          <w:rFonts w:hint="eastAsia" w:asciiTheme="minorEastAsia" w:hAnsiTheme="minorEastAsia" w:eastAsiaTheme="minorEastAsia" w:cstheme="minorEastAsia"/>
          <w:b/>
          <w:snapToGrid w:val="0"/>
          <w:color w:val="000000"/>
          <w:kern w:val="0"/>
          <w:sz w:val="24"/>
          <w:szCs w:val="24"/>
        </w:rPr>
        <w:t>）交通诱导设施：</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（1）建立完善的维护机制，使之具有调度、协调、监督、培训等管理功能，具体包括：</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a.委派会管理、有经验的人员担任调度员；</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b.制定维修维护操作规程及工作要求；</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c.做好详细维修记录台帐，定期汇总向采购人书面汇报；</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d.调度人员实时了解维修维护情况，进行指导、协调，督察维护进展。</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（2）确保招标范围内维护点7×24小时正常运行，数据的安全存储、备份。</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（3）招标范围内点位平台上运行情况每天巡检一次并建立巡检台帐，招标范围内路口点要求定期巡检，并建立巡检台帐，每周上报一次，供甲方随时检查。巡检内容为：</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a.清洁设备，保证外场设备安全、整洁、干净。</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b.安全检查，保证外场设备用电、防雷、防锈、防水等设施安全。</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c.统计遮挡物，如树枝等遮挡设备的情况，并每周统计上报，协助清理。</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d.检查情报板的工作情况。</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e.检查外场设备的完整性和牢固性，消除人为或自然原因影响安全和功能使用的隐患。</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f.做好基础资料编辑修改工作,编写基础资料电子资料库。</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（4）遇灾害天气，应提前检查加固外场设备，确保外场设备的安全。因灾害天气造成的损失以及后果，由中标人承担。</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（5）每年重要节假日（“五一”、“十一”等）、大型活动期间，特定巡检、维修、维护、清洁、保养。</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（6）日常维护故障点维修时间要求：外场点位系统故障，须5分钟响应，24小时天内恢复系统正常运行；</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（7）外场设施遇偷盗、人为破坏等外力因素，造成设备丢失或无法继续使用，应及时报警备案（属地***）。</w:t>
      </w:r>
    </w:p>
    <w:p>
      <w:pPr>
        <w:adjustRightInd w:val="0"/>
        <w:snapToGrid w:val="0"/>
        <w:spacing w:line="360" w:lineRule="auto"/>
        <w:jc w:val="left"/>
        <w:outlineLvl w:val="0"/>
        <w:rPr>
          <w:rFonts w:hint="eastAsia" w:asciiTheme="minorEastAsia" w:hAnsiTheme="minorEastAsia" w:eastAsiaTheme="minorEastAsia" w:cstheme="minorEastAsia"/>
          <w:b/>
          <w:snapToGrid w:val="0"/>
          <w:color w:val="000000"/>
          <w:kern w:val="0"/>
          <w:sz w:val="24"/>
          <w:szCs w:val="24"/>
        </w:rPr>
      </w:pPr>
      <w:r>
        <w:rPr>
          <w:rFonts w:hint="eastAsia" w:asciiTheme="minorEastAsia" w:hAnsiTheme="minorEastAsia" w:eastAsiaTheme="minorEastAsia" w:cstheme="minorEastAsia"/>
          <w:b/>
          <w:snapToGrid w:val="0"/>
          <w:color w:val="000000"/>
          <w:kern w:val="0"/>
          <w:sz w:val="24"/>
          <w:szCs w:val="24"/>
        </w:rPr>
        <w:t>（</w:t>
      </w:r>
      <w:r>
        <w:rPr>
          <w:rFonts w:hint="eastAsia" w:asciiTheme="minorEastAsia" w:hAnsiTheme="minorEastAsia" w:eastAsiaTheme="minorEastAsia" w:cstheme="minorEastAsia"/>
          <w:b/>
          <w:snapToGrid w:val="0"/>
          <w:color w:val="000000"/>
          <w:kern w:val="0"/>
          <w:sz w:val="24"/>
          <w:szCs w:val="24"/>
          <w:lang w:val="en-US" w:eastAsia="zh-CN"/>
        </w:rPr>
        <w:t>五</w:t>
      </w:r>
      <w:r>
        <w:rPr>
          <w:rFonts w:hint="eastAsia" w:asciiTheme="minorEastAsia" w:hAnsiTheme="minorEastAsia" w:eastAsiaTheme="minorEastAsia" w:cstheme="minorEastAsia"/>
          <w:b/>
          <w:snapToGrid w:val="0"/>
          <w:color w:val="000000"/>
          <w:kern w:val="0"/>
          <w:sz w:val="24"/>
          <w:szCs w:val="24"/>
        </w:rPr>
        <w:t>）智能卡口设施：</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（1）建立完善的维护机制，使之具有调度、协调、监督、培训等管理功能，具体包括：</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a.委派会管理、有经验的人员担任调度员；</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b.制定维修维护操作规程及工作要求；</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c.做好详细维修记录台帐，定期汇总向采购人书面汇报；</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d.调度人员实时了解维修维护情况，进行指导、协调，督察维护进展。</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（2）确保维护点7×24小时正常运行，数据的安全存储、备份。</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（3）招标范围内点位平台上运行情况每天巡检一次并建立巡检台帐，招标范围内路口点每月所有点巡检一次，并建立巡检台帐，每周上报一次，供采购人随时检查。巡检内容为：</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a.清洁设备，保证外场设备安全、整洁、干净。</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b.安全检查，保证外场设备用电、防雷、防锈、防水等设施安全。</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c.统计遮挡物，如树枝等遮挡设备的情况，并每月上报一次。</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d.调整光圈、焦距、白平衡等参数，保证图像清晰。</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e.检查外场设备的完整性和牢固性，消除人为或自然原因影响安全和功能使用的隐患。</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f.做好基础资料编辑修改工作,编写基础资料电子资料库。</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g.全力配合好各建设单位新建点位的接入和接入点位是否符合交警要求的检查工作。同时在不影响现系统正常运行前题下，中标人必须对现有系统进行调整、修改、增加，确保新建点位的及时完成接入。</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（4）遇灾害天气，应提前检查加固外场设备，确保外场设备的安全。因灾害天气造成的损失以及后果，由中标人承担。</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（5）每年重要节假日（“五一”、“十一”等）、大型活动期间，特定巡检、维修、维护、清洁、保养。</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（6）日常维护故障点维修时间要求：外场点位系统故障，须5分钟响应，1小时内到现场，24小时恢复系统常运行；</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（7）外场设施遇偷盗、人为破坏等外力因素，造成设备丢失或无法继续使用，应及时报警备案（属地***）。</w:t>
      </w:r>
    </w:p>
    <w:p>
      <w:pPr>
        <w:adjustRightInd w:val="0"/>
        <w:snapToGrid w:val="0"/>
        <w:spacing w:line="360" w:lineRule="auto"/>
        <w:jc w:val="left"/>
        <w:outlineLvl w:val="0"/>
        <w:rPr>
          <w:rFonts w:hint="eastAsia" w:asciiTheme="minorEastAsia" w:hAnsiTheme="minorEastAsia" w:eastAsiaTheme="minorEastAsia" w:cstheme="minorEastAsia"/>
          <w:b/>
          <w:snapToGrid w:val="0"/>
          <w:color w:val="000000"/>
          <w:kern w:val="0"/>
          <w:sz w:val="24"/>
          <w:szCs w:val="24"/>
        </w:rPr>
      </w:pPr>
      <w:r>
        <w:rPr>
          <w:rFonts w:hint="eastAsia" w:asciiTheme="minorEastAsia" w:hAnsiTheme="minorEastAsia" w:eastAsiaTheme="minorEastAsia" w:cstheme="minorEastAsia"/>
          <w:b/>
          <w:snapToGrid w:val="0"/>
          <w:color w:val="000000"/>
          <w:kern w:val="0"/>
          <w:sz w:val="24"/>
          <w:szCs w:val="24"/>
        </w:rPr>
        <w:t>2抢修工作主要内容为：</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中标人须设立7×24小时服务专用电话，接受采购人的维修指令，抢修各种原因引起的故障。接到抢修指令后，要求 5分钟响应，中标人规定时间内到达故障点位现场。</w:t>
      </w:r>
    </w:p>
    <w:p>
      <w:pPr>
        <w:adjustRightInd w:val="0"/>
        <w:snapToGrid w:val="0"/>
        <w:spacing w:line="360" w:lineRule="auto"/>
        <w:jc w:val="left"/>
        <w:outlineLvl w:val="0"/>
        <w:rPr>
          <w:rFonts w:hint="eastAsia" w:asciiTheme="minorEastAsia" w:hAnsiTheme="minorEastAsia" w:eastAsiaTheme="minorEastAsia" w:cstheme="minorEastAsia"/>
          <w:b/>
          <w:snapToGrid w:val="0"/>
          <w:color w:val="000000"/>
          <w:kern w:val="0"/>
          <w:sz w:val="24"/>
          <w:szCs w:val="24"/>
        </w:rPr>
      </w:pPr>
    </w:p>
    <w:p>
      <w:pPr>
        <w:adjustRightInd w:val="0"/>
        <w:snapToGrid w:val="0"/>
        <w:spacing w:line="360" w:lineRule="auto"/>
        <w:jc w:val="left"/>
        <w:outlineLvl w:val="0"/>
        <w:rPr>
          <w:rFonts w:hint="eastAsia" w:asciiTheme="minorEastAsia" w:hAnsiTheme="minorEastAsia" w:eastAsiaTheme="minorEastAsia" w:cstheme="minorEastAsia"/>
          <w:b/>
          <w:snapToGrid w:val="0"/>
          <w:color w:val="000000"/>
          <w:kern w:val="0"/>
          <w:sz w:val="24"/>
          <w:szCs w:val="24"/>
        </w:rPr>
      </w:pPr>
      <w:r>
        <w:rPr>
          <w:rFonts w:hint="eastAsia" w:asciiTheme="minorEastAsia" w:hAnsiTheme="minorEastAsia" w:eastAsiaTheme="minorEastAsia" w:cstheme="minorEastAsia"/>
          <w:b/>
          <w:snapToGrid w:val="0"/>
          <w:color w:val="000000"/>
          <w:kern w:val="0"/>
          <w:sz w:val="24"/>
          <w:szCs w:val="24"/>
        </w:rPr>
        <w:t>3调整、优化、改造工作内容为：</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bookmarkStart w:id="48" w:name="_Hlk509839108"/>
      <w:bookmarkStart w:id="49" w:name="_Hlk509839793"/>
      <w:r>
        <w:rPr>
          <w:rFonts w:hint="eastAsia" w:asciiTheme="minorEastAsia" w:hAnsiTheme="minorEastAsia" w:eastAsiaTheme="minorEastAsia" w:cstheme="minorEastAsia"/>
          <w:snapToGrid w:val="0"/>
          <w:color w:val="000000"/>
          <w:kern w:val="0"/>
          <w:sz w:val="24"/>
          <w:szCs w:val="24"/>
        </w:rPr>
        <w:t>采购人根据交通管理、重要保障任务以及事故撞毁恢复等工作需要，对系统的功能进行调整、优化和改造，包括外场设备的位置调整、配时优化、设备优化、事故撞毁恢复、</w:t>
      </w:r>
      <w:bookmarkStart w:id="50" w:name="_Hlk509481684"/>
      <w:r>
        <w:rPr>
          <w:rFonts w:hint="eastAsia" w:asciiTheme="minorEastAsia" w:hAnsiTheme="minorEastAsia" w:eastAsiaTheme="minorEastAsia" w:cstheme="minorEastAsia"/>
          <w:snapToGrid w:val="0"/>
          <w:color w:val="000000"/>
          <w:kern w:val="0"/>
          <w:sz w:val="24"/>
          <w:szCs w:val="24"/>
        </w:rPr>
        <w:t>重要保障任务临时拉线设点</w:t>
      </w:r>
      <w:bookmarkEnd w:id="50"/>
      <w:r>
        <w:rPr>
          <w:rFonts w:hint="eastAsia" w:asciiTheme="minorEastAsia" w:hAnsiTheme="minorEastAsia" w:eastAsiaTheme="minorEastAsia" w:cstheme="minorEastAsia"/>
          <w:snapToGrid w:val="0"/>
          <w:color w:val="000000"/>
          <w:kern w:val="0"/>
          <w:sz w:val="24"/>
          <w:szCs w:val="24"/>
        </w:rPr>
        <w:t>、移动信号灯更新等。</w:t>
      </w:r>
      <w:bookmarkEnd w:id="48"/>
    </w:p>
    <w:bookmarkEnd w:id="49"/>
    <w:p>
      <w:pPr>
        <w:adjustRightInd w:val="0"/>
        <w:snapToGrid w:val="0"/>
        <w:spacing w:line="360" w:lineRule="auto"/>
        <w:jc w:val="left"/>
        <w:outlineLvl w:val="0"/>
        <w:rPr>
          <w:rFonts w:hint="eastAsia" w:asciiTheme="minorEastAsia" w:hAnsiTheme="minorEastAsia" w:eastAsiaTheme="minorEastAsia" w:cstheme="minorEastAsia"/>
          <w:b/>
          <w:snapToGrid w:val="0"/>
          <w:color w:val="000000"/>
          <w:kern w:val="0"/>
          <w:sz w:val="24"/>
          <w:szCs w:val="24"/>
        </w:rPr>
      </w:pPr>
      <w:r>
        <w:rPr>
          <w:rFonts w:hint="eastAsia" w:asciiTheme="minorEastAsia" w:hAnsiTheme="minorEastAsia" w:eastAsiaTheme="minorEastAsia" w:cstheme="minorEastAsia"/>
          <w:b/>
          <w:snapToGrid w:val="0"/>
          <w:color w:val="000000"/>
          <w:kern w:val="0"/>
          <w:sz w:val="24"/>
          <w:szCs w:val="24"/>
        </w:rPr>
        <w:t>4其它内容：</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中标人做好</w:t>
      </w:r>
      <w:r>
        <w:rPr>
          <w:rFonts w:hint="eastAsia" w:asciiTheme="minorEastAsia" w:hAnsiTheme="minorEastAsia" w:eastAsiaTheme="minorEastAsia" w:cstheme="minorEastAsia"/>
          <w:snapToGrid w:val="0"/>
          <w:color w:val="000000"/>
          <w:kern w:val="0"/>
          <w:sz w:val="24"/>
          <w:szCs w:val="24"/>
          <w:lang w:val="en-US" w:eastAsia="zh-CN"/>
        </w:rPr>
        <w:t>业主</w:t>
      </w:r>
      <w:r>
        <w:rPr>
          <w:rFonts w:hint="eastAsia" w:asciiTheme="minorEastAsia" w:hAnsiTheme="minorEastAsia" w:eastAsiaTheme="minorEastAsia" w:cstheme="minorEastAsia"/>
          <w:snapToGrid w:val="0"/>
          <w:color w:val="000000"/>
          <w:kern w:val="0"/>
          <w:sz w:val="24"/>
          <w:szCs w:val="24"/>
        </w:rPr>
        <w:t>指派的针对本系统的其它工作，包括基础排查、系统接入、情况调查等。</w:t>
      </w:r>
    </w:p>
    <w:p>
      <w:pPr>
        <w:adjustRightInd w:val="0"/>
        <w:snapToGrid w:val="0"/>
        <w:spacing w:line="360" w:lineRule="auto"/>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全力配合好</w:t>
      </w:r>
      <w:r>
        <w:rPr>
          <w:rFonts w:hint="eastAsia" w:asciiTheme="minorEastAsia" w:hAnsiTheme="minorEastAsia" w:eastAsiaTheme="minorEastAsia" w:cstheme="minorEastAsia"/>
          <w:snapToGrid w:val="0"/>
          <w:color w:val="000000"/>
          <w:kern w:val="0"/>
          <w:sz w:val="24"/>
          <w:szCs w:val="24"/>
          <w:lang w:val="en-US" w:eastAsia="zh-CN"/>
        </w:rPr>
        <w:t>业主</w:t>
      </w:r>
      <w:r>
        <w:rPr>
          <w:rFonts w:hint="eastAsia" w:asciiTheme="minorEastAsia" w:hAnsiTheme="minorEastAsia" w:eastAsiaTheme="minorEastAsia" w:cstheme="minorEastAsia"/>
          <w:snapToGrid w:val="0"/>
          <w:color w:val="000000"/>
          <w:kern w:val="0"/>
          <w:sz w:val="24"/>
          <w:szCs w:val="24"/>
        </w:rPr>
        <w:t>新建点位的接入和接入点位是否符合交警</w:t>
      </w:r>
      <w:r>
        <w:rPr>
          <w:rFonts w:hint="eastAsia" w:asciiTheme="minorEastAsia" w:hAnsiTheme="minorEastAsia" w:eastAsiaTheme="minorEastAsia" w:cstheme="minorEastAsia"/>
          <w:snapToGrid w:val="0"/>
          <w:color w:val="000000"/>
          <w:kern w:val="0"/>
          <w:sz w:val="24"/>
          <w:szCs w:val="24"/>
          <w:lang w:eastAsia="zh-CN"/>
        </w:rPr>
        <w:t>、</w:t>
      </w:r>
      <w:r>
        <w:rPr>
          <w:rFonts w:hint="eastAsia" w:asciiTheme="minorEastAsia" w:hAnsiTheme="minorEastAsia" w:eastAsiaTheme="minorEastAsia" w:cstheme="minorEastAsia"/>
          <w:snapToGrid w:val="0"/>
          <w:color w:val="000000"/>
          <w:kern w:val="0"/>
          <w:sz w:val="24"/>
          <w:szCs w:val="24"/>
          <w:lang w:val="en-US" w:eastAsia="zh-CN"/>
        </w:rPr>
        <w:t>业主</w:t>
      </w:r>
      <w:r>
        <w:rPr>
          <w:rFonts w:hint="eastAsia" w:asciiTheme="minorEastAsia" w:hAnsiTheme="minorEastAsia" w:eastAsiaTheme="minorEastAsia" w:cstheme="minorEastAsia"/>
          <w:snapToGrid w:val="0"/>
          <w:color w:val="000000"/>
          <w:kern w:val="0"/>
          <w:sz w:val="24"/>
          <w:szCs w:val="24"/>
        </w:rPr>
        <w:t>要求的检查工作。</w:t>
      </w:r>
    </w:p>
    <w:p>
      <w:pPr>
        <w:adjustRightInd w:val="0"/>
        <w:snapToGrid w:val="0"/>
        <w:spacing w:line="360" w:lineRule="auto"/>
        <w:jc w:val="left"/>
        <w:outlineLvl w:val="0"/>
        <w:rPr>
          <w:rFonts w:hint="eastAsia" w:asciiTheme="minorEastAsia" w:hAnsiTheme="minorEastAsia" w:eastAsiaTheme="minorEastAsia" w:cstheme="minorEastAsia"/>
          <w:b/>
          <w:snapToGrid w:val="0"/>
          <w:color w:val="000000"/>
          <w:kern w:val="0"/>
          <w:sz w:val="24"/>
          <w:szCs w:val="24"/>
        </w:rPr>
      </w:pPr>
    </w:p>
    <w:p>
      <w:pPr>
        <w:numPr>
          <w:ilvl w:val="0"/>
          <w:numId w:val="0"/>
        </w:numPr>
        <w:adjustRightInd w:val="0"/>
        <w:snapToGrid w:val="0"/>
        <w:spacing w:line="360" w:lineRule="auto"/>
        <w:jc w:val="left"/>
        <w:outlineLvl w:val="0"/>
        <w:rPr>
          <w:rFonts w:hint="eastAsia" w:asciiTheme="minorEastAsia" w:hAnsiTheme="minorEastAsia" w:eastAsiaTheme="minorEastAsia" w:cstheme="minorEastAsia"/>
          <w:b/>
          <w:bCs/>
          <w:snapToGrid w:val="0"/>
          <w:color w:val="000000"/>
          <w:sz w:val="24"/>
          <w:szCs w:val="24"/>
          <w:lang w:eastAsia="zh-CN"/>
        </w:rPr>
      </w:pPr>
      <w:r>
        <w:rPr>
          <w:rFonts w:hint="eastAsia" w:asciiTheme="minorEastAsia" w:hAnsiTheme="minorEastAsia" w:eastAsiaTheme="minorEastAsia" w:cstheme="minorEastAsia"/>
          <w:b/>
          <w:sz w:val="24"/>
          <w:szCs w:val="24"/>
          <w:lang w:val="en-US" w:eastAsia="zh-CN"/>
        </w:rPr>
        <w:t>十一、考核标准：</w:t>
      </w:r>
    </w:p>
    <w:p>
      <w:pPr>
        <w:adjustRightInd w:val="0"/>
        <w:snapToGrid w:val="0"/>
        <w:spacing w:line="360" w:lineRule="auto"/>
        <w:ind w:firstLine="480" w:firstLineChars="200"/>
        <w:jc w:val="left"/>
        <w:outlineLvl w:val="0"/>
        <w:rPr>
          <w:rFonts w:hint="eastAsia" w:asciiTheme="minorEastAsia" w:hAnsiTheme="minorEastAsia" w:eastAsiaTheme="minorEastAsia" w:cstheme="minorEastAsia"/>
          <w:snapToGrid w:val="0"/>
          <w:color w:val="000000"/>
          <w:kern w:val="0"/>
          <w:sz w:val="24"/>
          <w:szCs w:val="24"/>
        </w:rPr>
      </w:pPr>
      <w:r>
        <w:rPr>
          <w:rFonts w:hint="eastAsia" w:asciiTheme="minorEastAsia" w:hAnsiTheme="minorEastAsia" w:eastAsiaTheme="minorEastAsia" w:cstheme="minorEastAsia"/>
          <w:snapToGrid w:val="0"/>
          <w:color w:val="000000"/>
          <w:kern w:val="0"/>
          <w:sz w:val="24"/>
          <w:szCs w:val="24"/>
        </w:rPr>
        <w:t>考核以百分制的方式进行，时间为维护期内的合同期内每月进行考核。月度总得分100分，按合同全额计取当月维护费；得分在</w:t>
      </w:r>
      <w:r>
        <w:rPr>
          <w:rFonts w:hint="eastAsia" w:asciiTheme="minorEastAsia" w:hAnsiTheme="minorEastAsia" w:eastAsiaTheme="minorEastAsia" w:cstheme="minorEastAsia"/>
          <w:snapToGrid w:val="0"/>
          <w:color w:val="000000"/>
          <w:kern w:val="0"/>
          <w:sz w:val="24"/>
          <w:szCs w:val="24"/>
          <w:lang w:val="en-US" w:eastAsia="zh-CN"/>
        </w:rPr>
        <w:t>95</w:t>
      </w:r>
      <w:r>
        <w:rPr>
          <w:rFonts w:hint="eastAsia" w:asciiTheme="minorEastAsia" w:hAnsiTheme="minorEastAsia" w:eastAsiaTheme="minorEastAsia" w:cstheme="minorEastAsia"/>
          <w:snapToGrid w:val="0"/>
          <w:color w:val="000000"/>
          <w:kern w:val="0"/>
          <w:sz w:val="24"/>
          <w:szCs w:val="24"/>
        </w:rPr>
        <w:t>分以下（不含）,按每下降分值扣除相应比例维护费（如：9</w:t>
      </w:r>
      <w:r>
        <w:rPr>
          <w:rFonts w:hint="eastAsia" w:asciiTheme="minorEastAsia" w:hAnsiTheme="minorEastAsia" w:eastAsiaTheme="minorEastAsia" w:cstheme="minorEastAsia"/>
          <w:snapToGrid w:val="0"/>
          <w:color w:val="000000"/>
          <w:kern w:val="0"/>
          <w:sz w:val="24"/>
          <w:szCs w:val="24"/>
          <w:lang w:val="en-US" w:eastAsia="zh-CN"/>
        </w:rPr>
        <w:t>4</w:t>
      </w:r>
      <w:r>
        <w:rPr>
          <w:rFonts w:hint="eastAsia" w:asciiTheme="minorEastAsia" w:hAnsiTheme="minorEastAsia" w:eastAsiaTheme="minorEastAsia" w:cstheme="minorEastAsia"/>
          <w:snapToGrid w:val="0"/>
          <w:color w:val="000000"/>
          <w:kern w:val="0"/>
          <w:sz w:val="24"/>
          <w:szCs w:val="24"/>
        </w:rPr>
        <w:t>分，扣除当月维护费的1%做为处罚金；9</w:t>
      </w:r>
      <w:r>
        <w:rPr>
          <w:rFonts w:hint="eastAsia" w:asciiTheme="minorEastAsia" w:hAnsiTheme="minorEastAsia" w:eastAsiaTheme="minorEastAsia" w:cstheme="minorEastAsia"/>
          <w:snapToGrid w:val="0"/>
          <w:color w:val="000000"/>
          <w:kern w:val="0"/>
          <w:sz w:val="24"/>
          <w:szCs w:val="24"/>
          <w:lang w:val="en-US" w:eastAsia="zh-CN"/>
        </w:rPr>
        <w:t>3</w:t>
      </w:r>
      <w:r>
        <w:rPr>
          <w:rFonts w:hint="eastAsia" w:asciiTheme="minorEastAsia" w:hAnsiTheme="minorEastAsia" w:eastAsiaTheme="minorEastAsia" w:cstheme="minorEastAsia"/>
          <w:snapToGrid w:val="0"/>
          <w:color w:val="000000"/>
          <w:kern w:val="0"/>
          <w:sz w:val="24"/>
          <w:szCs w:val="24"/>
        </w:rPr>
        <w:t>分，扣除当月维护费的2%做为处罚金；9</w:t>
      </w:r>
      <w:r>
        <w:rPr>
          <w:rFonts w:hint="eastAsia" w:asciiTheme="minorEastAsia" w:hAnsiTheme="minorEastAsia" w:eastAsiaTheme="minorEastAsia" w:cstheme="minorEastAsia"/>
          <w:snapToGrid w:val="0"/>
          <w:color w:val="000000"/>
          <w:kern w:val="0"/>
          <w:sz w:val="24"/>
          <w:szCs w:val="24"/>
          <w:lang w:val="en-US" w:eastAsia="zh-CN"/>
        </w:rPr>
        <w:t>2</w:t>
      </w:r>
      <w:r>
        <w:rPr>
          <w:rFonts w:hint="eastAsia" w:asciiTheme="minorEastAsia" w:hAnsiTheme="minorEastAsia" w:eastAsiaTheme="minorEastAsia" w:cstheme="minorEastAsia"/>
          <w:snapToGrid w:val="0"/>
          <w:color w:val="000000"/>
          <w:kern w:val="0"/>
          <w:sz w:val="24"/>
          <w:szCs w:val="24"/>
        </w:rPr>
        <w:t>分，扣除当月维护费的3%做为处罚金,以此类推。</w:t>
      </w:r>
    </w:p>
    <w:tbl>
      <w:tblPr>
        <w:tblStyle w:val="63"/>
        <w:tblpPr w:leftFromText="180" w:rightFromText="180" w:vertAnchor="text" w:horzAnchor="margin" w:tblpY="495"/>
        <w:tblW w:w="98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60"/>
        <w:gridCol w:w="1015"/>
        <w:gridCol w:w="1163"/>
        <w:gridCol w:w="2650"/>
        <w:gridCol w:w="3112"/>
        <w:gridCol w:w="1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2"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序号</w:t>
            </w:r>
          </w:p>
        </w:tc>
        <w:tc>
          <w:tcPr>
            <w:tcW w:w="10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考核分类</w:t>
            </w: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考核项目</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考核内容描述</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分值设定条件</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23"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1</w:t>
            </w:r>
          </w:p>
        </w:tc>
        <w:tc>
          <w:tcPr>
            <w:tcW w:w="1015"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工作质量</w:t>
            </w: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完好率</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各系统完好率情况</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按照采购人要求，低于98%扣0.1分、低于97%扣0.2分、低于96%扣0.3分，以此类推，每天最高扣2分截止（即完好率低于78%截止）</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22"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2</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维护（优化）质量</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外场设施修复后，现场检查发现：窨井、手孔井未封闭；线缆裸露或未提前报备；原有完好设备维修过程中造成损坏；使用不合格的配件和材料；维修后达不到原有标准等情况</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存在以上情况扣2分。以上情况造成事故维护单位负全责，并扣5分。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4"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3</w:t>
            </w:r>
          </w:p>
        </w:tc>
        <w:tc>
          <w:tcPr>
            <w:tcW w:w="1015"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重复故障</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外场设施故障排查不仔细，修复不彻底</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每个工单造成7天内2次故障扣1分，7天内3次故障扣2分，以次类推，5分截止。</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2"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4</w:t>
            </w:r>
          </w:p>
        </w:tc>
        <w:tc>
          <w:tcPr>
            <w:tcW w:w="1015"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时间要求</w:t>
            </w: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响应时间</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按照</w:t>
            </w:r>
            <w:r>
              <w:rPr>
                <w:rFonts w:hint="eastAsia" w:asciiTheme="minorEastAsia" w:hAnsiTheme="minorEastAsia" w:eastAsiaTheme="minorEastAsia" w:cstheme="minorEastAsia"/>
                <w:color w:val="000000"/>
                <w:kern w:val="0"/>
                <w:sz w:val="24"/>
                <w:szCs w:val="24"/>
                <w:lang w:val="en-US" w:eastAsia="zh-CN"/>
              </w:rPr>
              <w:t>招标文件</w:t>
            </w:r>
            <w:r>
              <w:rPr>
                <w:rFonts w:hint="eastAsia" w:asciiTheme="minorEastAsia" w:hAnsiTheme="minorEastAsia" w:eastAsiaTheme="minorEastAsia" w:cstheme="minorEastAsia"/>
                <w:color w:val="000000"/>
                <w:kern w:val="0"/>
                <w:sz w:val="24"/>
                <w:szCs w:val="24"/>
              </w:rPr>
              <w:t>要求的响应时间</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每个工单响应超时扣0.2分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5</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修复时间</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按照</w:t>
            </w:r>
            <w:r>
              <w:rPr>
                <w:rFonts w:hint="eastAsia" w:asciiTheme="minorEastAsia" w:hAnsiTheme="minorEastAsia" w:eastAsiaTheme="minorEastAsia" w:cstheme="minorEastAsia"/>
                <w:color w:val="000000"/>
                <w:kern w:val="0"/>
                <w:sz w:val="24"/>
                <w:szCs w:val="24"/>
                <w:lang w:val="en-US" w:eastAsia="zh-CN"/>
              </w:rPr>
              <w:t>招标文件</w:t>
            </w:r>
            <w:r>
              <w:rPr>
                <w:rFonts w:hint="eastAsia" w:asciiTheme="minorEastAsia" w:hAnsiTheme="minorEastAsia" w:eastAsiaTheme="minorEastAsia" w:cstheme="minorEastAsia"/>
                <w:color w:val="000000"/>
                <w:kern w:val="0"/>
                <w:sz w:val="24"/>
                <w:szCs w:val="24"/>
              </w:rPr>
              <w:t>要求的修复</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每个工单未按时修复扣1分未修复的下个周期可重复扣分。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22"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6</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申请延期</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遇电力故障、链路故障、道路施工、交通事故客观外力原因导致暂时无法修复（优化），可申请延期。</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申请的延期时间需监理或相关责任人审定。若2次延期扣</w:t>
            </w:r>
            <w:r>
              <w:rPr>
                <w:rFonts w:hint="eastAsia" w:asciiTheme="minorEastAsia" w:hAnsiTheme="minorEastAsia" w:eastAsiaTheme="minorEastAsia" w:cstheme="minorEastAsia"/>
                <w:color w:val="000000"/>
                <w:kern w:val="0"/>
                <w:sz w:val="24"/>
                <w:szCs w:val="24"/>
                <w:lang w:val="en-US" w:eastAsia="zh-CN"/>
              </w:rPr>
              <w:t>1</w:t>
            </w:r>
            <w:r>
              <w:rPr>
                <w:rFonts w:hint="eastAsia" w:asciiTheme="minorEastAsia" w:hAnsiTheme="minorEastAsia" w:eastAsiaTheme="minorEastAsia" w:cstheme="minorEastAsia"/>
                <w:color w:val="000000"/>
                <w:kern w:val="0"/>
                <w:sz w:val="24"/>
                <w:szCs w:val="24"/>
              </w:rPr>
              <w:t>分，3次延期扣5分，3次后仍未修复不得延期.直接扣除10分。如在允许延期申请后仍修复超时的按照修复时间扣分执行。</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8"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7</w:t>
            </w:r>
          </w:p>
        </w:tc>
        <w:tc>
          <w:tcPr>
            <w:tcW w:w="1015"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数字城管</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数字城管以</w:t>
            </w:r>
            <w:r>
              <w:rPr>
                <w:rFonts w:hint="eastAsia" w:asciiTheme="minorEastAsia" w:hAnsiTheme="minorEastAsia" w:eastAsiaTheme="minorEastAsia" w:cstheme="minorEastAsia"/>
                <w:color w:val="000000"/>
                <w:kern w:val="0"/>
                <w:sz w:val="24"/>
                <w:szCs w:val="24"/>
                <w:lang w:val="en-US" w:eastAsia="zh-CN"/>
              </w:rPr>
              <w:t>业主</w:t>
            </w:r>
            <w:r>
              <w:rPr>
                <w:rFonts w:hint="eastAsia" w:asciiTheme="minorEastAsia" w:hAnsiTheme="minorEastAsia" w:eastAsiaTheme="minorEastAsia" w:cstheme="minorEastAsia"/>
                <w:color w:val="000000"/>
                <w:kern w:val="0"/>
                <w:sz w:val="24"/>
                <w:szCs w:val="24"/>
              </w:rPr>
              <w:t>工单为准</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数字城管超期1次扣0.5分，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21"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8</w:t>
            </w:r>
          </w:p>
        </w:tc>
        <w:tc>
          <w:tcPr>
            <w:tcW w:w="1015"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作业安全</w:t>
            </w: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维护现场安全操作规范</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所有外场设施抢修、维护、优化期间，地面根据主干道、次干道、支路分别做好100米、50米、30米全方位维护，应有导向车道牌、路锥桶，夜间导向车道牌需为LED导向牌，主次干道应有应急闪光灯。</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低于上诉要求扣</w:t>
            </w:r>
            <w:r>
              <w:rPr>
                <w:rFonts w:hint="eastAsia" w:asciiTheme="minorEastAsia" w:hAnsiTheme="minorEastAsia" w:eastAsiaTheme="minorEastAsia" w:cstheme="minorEastAsia"/>
                <w:color w:val="000000"/>
                <w:kern w:val="0"/>
                <w:sz w:val="24"/>
                <w:szCs w:val="24"/>
                <w:lang w:val="en-US" w:eastAsia="zh-CN"/>
              </w:rPr>
              <w:t>2</w:t>
            </w:r>
            <w:r>
              <w:rPr>
                <w:rFonts w:hint="eastAsia" w:asciiTheme="minorEastAsia" w:hAnsiTheme="minorEastAsia" w:eastAsiaTheme="minorEastAsia" w:cstheme="minorEastAsia"/>
                <w:color w:val="000000"/>
                <w:kern w:val="0"/>
                <w:sz w:val="24"/>
                <w:szCs w:val="24"/>
              </w:rPr>
              <w:t>分、低于上诉要求造成事故扣</w:t>
            </w:r>
            <w:r>
              <w:rPr>
                <w:rFonts w:hint="eastAsia" w:asciiTheme="minorEastAsia" w:hAnsiTheme="minorEastAsia" w:eastAsiaTheme="minorEastAsia" w:cstheme="minorEastAsia"/>
                <w:color w:val="000000"/>
                <w:kern w:val="0"/>
                <w:sz w:val="24"/>
                <w:szCs w:val="24"/>
                <w:lang w:val="en-US" w:eastAsia="zh-CN"/>
              </w:rPr>
              <w:t>4</w:t>
            </w:r>
            <w:r>
              <w:rPr>
                <w:rFonts w:hint="eastAsia" w:asciiTheme="minorEastAsia" w:hAnsiTheme="minorEastAsia" w:eastAsiaTheme="minorEastAsia" w:cstheme="minorEastAsia"/>
                <w:color w:val="000000"/>
                <w:kern w:val="0"/>
                <w:sz w:val="24"/>
                <w:szCs w:val="24"/>
              </w:rPr>
              <w:t>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71"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9</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维护人员安全要求</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维护单位外场维护人员着装规范，应穿戴印有本单位名称或LOGO的反光衣、高空作业应系安全带、戴好安全帽、穿戴电工胶鞋</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每人次未达标准扣1分；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22"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10</w:t>
            </w:r>
          </w:p>
        </w:tc>
        <w:tc>
          <w:tcPr>
            <w:tcW w:w="1015"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资料信息</w:t>
            </w: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文档资料</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根据招标文件或合同在规定时间内提交的文档资料、领导交办的文档资料、监理单位出具监理工程师通知单需要维护单位配合完成的文档资料等，维护单位应按时完成，</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超时完成扣1分；不配合、不主动完成扣5分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8"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11</w:t>
            </w:r>
          </w:p>
        </w:tc>
        <w:tc>
          <w:tcPr>
            <w:tcW w:w="1015"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维护材料登记</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维护中产生材料，不按规定登记造册的</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一次扣1分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23"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12</w:t>
            </w:r>
          </w:p>
        </w:tc>
        <w:tc>
          <w:tcPr>
            <w:tcW w:w="1015"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重大过错</w:t>
            </w: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sz w:val="24"/>
                <w:szCs w:val="24"/>
              </w:rPr>
              <w:t>被投诉或曝光</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收到采购人约谈、被社会媒体曝光、收到多方投诉情况、被采购人领导点名批评、造成事故或不良影响等。</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扣</w:t>
            </w:r>
            <w:r>
              <w:rPr>
                <w:rFonts w:hint="eastAsia" w:asciiTheme="minorEastAsia" w:hAnsiTheme="minorEastAsia" w:eastAsiaTheme="minorEastAsia" w:cstheme="minorEastAsia"/>
                <w:color w:val="000000"/>
                <w:kern w:val="0"/>
                <w:sz w:val="24"/>
                <w:szCs w:val="24"/>
                <w:lang w:val="en-US" w:eastAsia="zh-CN"/>
              </w:rPr>
              <w:t>5</w:t>
            </w:r>
            <w:r>
              <w:rPr>
                <w:rFonts w:hint="eastAsia" w:asciiTheme="minorEastAsia" w:hAnsiTheme="minorEastAsia" w:eastAsiaTheme="minorEastAsia" w:cstheme="minorEastAsia"/>
                <w:color w:val="000000"/>
                <w:kern w:val="0"/>
                <w:sz w:val="24"/>
                <w:szCs w:val="24"/>
              </w:rPr>
              <w:t>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23"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13</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保密工作</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擅自将智能交通系统的操作管理权限、视频影像资料、数据及分析应用成果、电脑截图或照片等泄露外传</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发现以上情况扣5分，产生后果扣15分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51"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14</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工作差错</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出现工作疏漏或差错，对大型会议等保障活动造成影响的</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扣10分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51"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15</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设备管理</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维护单位私自拆除智能交通系统外场设施</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有偷梁换柱、监守自盗的情况扣1</w:t>
            </w:r>
            <w:r>
              <w:rPr>
                <w:rFonts w:hint="eastAsia" w:asciiTheme="minorEastAsia" w:hAnsiTheme="minorEastAsia" w:eastAsiaTheme="minorEastAsia" w:cstheme="minorEastAsia"/>
                <w:color w:val="000000"/>
                <w:kern w:val="0"/>
                <w:sz w:val="24"/>
                <w:szCs w:val="24"/>
                <w:lang w:val="en-US" w:eastAsia="zh-CN"/>
              </w:rPr>
              <w:t>0</w:t>
            </w:r>
            <w:r>
              <w:rPr>
                <w:rFonts w:hint="eastAsia" w:asciiTheme="minorEastAsia" w:hAnsiTheme="minorEastAsia" w:eastAsiaTheme="minorEastAsia" w:cstheme="minorEastAsia"/>
                <w:color w:val="000000"/>
                <w:kern w:val="0"/>
                <w:sz w:val="24"/>
                <w:szCs w:val="24"/>
              </w:rPr>
              <w:t>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8"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16</w:t>
            </w:r>
          </w:p>
        </w:tc>
        <w:tc>
          <w:tcPr>
            <w:tcW w:w="1015"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保障力量</w:t>
            </w: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人员、车辆</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根据招标文件及合同，维护单位应配备相应的人员及车辆。</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维护单位中标后每少一人或一车扣5分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8"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17</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人员、车辆</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维护单位更换维护车辆或人员变更，应提前申请和报备</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未报备进行更换扣2分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18</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人员、车辆</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维护单位未经允许更换项目负责人</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扣5分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23"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19</w:t>
            </w:r>
          </w:p>
        </w:tc>
        <w:tc>
          <w:tcPr>
            <w:tcW w:w="1015"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管理工作</w:t>
            </w: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外建项目</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做好外建项目的接入、移交、反移交等现场检查工作，形成整改报告提交采购人及监理单位，</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现场检查后5天内未出具整改报告扣2分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3"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20</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外场巡查</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每半年对辖区内设施点位进行巡查并完成记录，一年两次，分别在6-7月和11-12月完成。</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未在规定时间进行巡检扣3分，未形成巡检报告或记录不全的扣5分，巡检报告弄虚作假的扣10分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21</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巡查人数</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val="en-US" w:eastAsia="zh-CN"/>
              </w:rPr>
              <w:t>巡查和应急力量总人数不少于5人。</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val="en-US" w:eastAsia="zh-CN"/>
              </w:rPr>
              <w:t>少于5人</w:t>
            </w:r>
            <w:r>
              <w:rPr>
                <w:rFonts w:hint="eastAsia" w:asciiTheme="minorEastAsia" w:hAnsiTheme="minorEastAsia" w:eastAsiaTheme="minorEastAsia" w:cstheme="minorEastAsia"/>
                <w:color w:val="000000"/>
                <w:kern w:val="0"/>
                <w:sz w:val="24"/>
                <w:szCs w:val="24"/>
              </w:rPr>
              <w:t>扣5分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2" w:hRule="atLeast"/>
        </w:trPr>
        <w:tc>
          <w:tcPr>
            <w:tcW w:w="5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22</w:t>
            </w:r>
          </w:p>
        </w:tc>
        <w:tc>
          <w:tcPr>
            <w:tcW w:w="1015" w:type="dxa"/>
            <w:vMerge w:val="continue"/>
            <w:tcBorders>
              <w:left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Theme="minorEastAsia" w:hAnsiTheme="minorEastAsia" w:eastAsiaTheme="minorEastAsia" w:cstheme="minorEastAsia"/>
                <w:color w:val="000000"/>
                <w:kern w:val="0"/>
                <w:sz w:val="24"/>
                <w:szCs w:val="24"/>
              </w:rPr>
            </w:pPr>
          </w:p>
        </w:tc>
        <w:tc>
          <w:tcPr>
            <w:tcW w:w="11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交办工作</w:t>
            </w:r>
          </w:p>
        </w:tc>
        <w:tc>
          <w:tcPr>
            <w:tcW w:w="2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因交办的事情不落实，不反馈。</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一次扣5分</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5</w:t>
            </w:r>
          </w:p>
        </w:tc>
      </w:tr>
    </w:tbl>
    <w:p>
      <w:pPr>
        <w:pStyle w:val="60"/>
        <w:jc w:val="both"/>
        <w:rPr>
          <w:rFonts w:hint="eastAsia" w:asciiTheme="minorEastAsia" w:hAnsiTheme="minorEastAsia" w:eastAsiaTheme="minorEastAsia" w:cstheme="minorEastAsia"/>
          <w:sz w:val="24"/>
          <w:szCs w:val="24"/>
        </w:rPr>
      </w:pPr>
    </w:p>
    <w:p>
      <w:p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sz w:val="24"/>
          <w:szCs w:val="24"/>
          <w:lang w:val="en-US" w:eastAsia="zh-CN"/>
        </w:rPr>
        <w:t>十二、养护要求：</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常温型标线</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（1）粘度（KU 值）: ≥60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（2）密度（g/cm3）:≥1.6</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（3）标线涂层厚度0.3~0.5mm</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（4）不粘胎干燥时间≤15min，开放交通干燥时间≤20min</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（5）耐磨性（mg）:200 转/1000g 后减重≤40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（6）固体含量（%）:≥60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(7) 遮盖率（g/㎡）：白色≤190；黄色≤200</w:t>
      </w:r>
    </w:p>
    <w:p>
      <w:pPr>
        <w:spacing w:line="360" w:lineRule="auto"/>
        <w:jc w:val="left"/>
        <w:rPr>
          <w:rFonts w:hint="eastAsia" w:asciiTheme="minorEastAsia" w:hAnsiTheme="minorEastAsia" w:eastAsiaTheme="minorEastAsia" w:cstheme="minorEastAsia"/>
          <w:sz w:val="24"/>
          <w:szCs w:val="24"/>
        </w:rPr>
      </w:pP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一级反光热熔标线</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（1）涂料内总有机物含量不低于15%，钛白含量＞6%，软化点＞110，耐磨（200转）＜20毫克；</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（2）亮度因数（白色）≥0.75，亮度因数（黄色）≥0.45；</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（3）抗压强度（Mpa）≥20；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（4）内混玻璃珠总含量（涂料质量比）≥25%（其中粒径0.85-1.4mm不低于50%，成圆率不低于90%，其它50%应符合GB/T24722《路面标线用玻璃珠》要求）；</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（5）内混玻璃珠总成圆率≥85%</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（6）初始（通车路段14天后测试、非通车路段交工验收前测试）白色反光标线逆反射亮度系数RL干态≥150 mcd • m-2• lx-1，RL湿态≥50 mcd • m-2• lx-1；黄色反光标线逆反射亮度系数RL干态≥100 mcd • m-2• lx-1；</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（7）缺陷责任期满检测的逆反射亮度系数应满足《公路工程质量检验评定标准》（JTG F80/1-2017）要求，白色反光标线逆反射亮度系数RL干态≥80 mcd • m-2 • lx-1，黄色反光标线逆反射亮度系数RL干态≥50 mcd • m-2 • lx-1；</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（8）面撒玻璃珠必须采用双撒播工艺，面撒量≥0.5kg/m2，应先撒布0.85-1.4mm玻璃珠，后撒布1号玻璃珠，两种玻璃珠各占50%。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（9）反光涂料加热熔融温度：≥2100C；</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（10）下涂剂应为清澈透明（微黄色）状态，并且固体含量≥30%。对新施工完成无污染沥青路面，建议不使用下涂剂，其它路面下涂剂宜≥0.15kg/m2，待下涂剂干燥后方可标线施划。</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（11）其它性能指标应符合JT/T280《路面标线涂料》的要求。</w:t>
      </w:r>
    </w:p>
    <w:p>
      <w:pPr>
        <w:spacing w:line="360" w:lineRule="auto"/>
        <w:jc w:val="left"/>
        <w:rPr>
          <w:rFonts w:hint="eastAsia" w:asciiTheme="minorEastAsia" w:hAnsiTheme="minorEastAsia" w:eastAsiaTheme="minorEastAsia" w:cstheme="minorEastAsia"/>
          <w:sz w:val="24"/>
          <w:szCs w:val="24"/>
        </w:rPr>
      </w:pP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三级反光热熔标线</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（1）涂料内总有机物含量不低于15%，钛白含量＞6%，软化点＞110，耐磨（200转）＜20毫克；</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（2）亮度因数（白色）≥0.8，亮度因数（黄色）≥0.5；</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（3）抗压强度（Mpa）≥20；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（4）内混玻璃珠总含量（涂料质量比）≥30%（其中粒径0.85-1.4mm不低于50%，成圆率不低于90%，其它50%应符合GB/T24722《路面标线用玻璃珠》要求）；</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（5）内混玻璃珠总成圆率≥85%</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（6）初始（通车路段14天后测试、非通车路段交工验收前测试）白色反光标线逆反射亮度系数RL干态≥350 mcd • m-2• lx-1，RL湿态≥100 mcd • m-2• lx-1；黄色反光标线逆反射亮度系数RL干态≥150 mcd • m-2• lx-1，RL湿态≥75 mcd • m-2• lx-1；</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（7）缺陷责任期满检测的逆反射亮度系数应满足《公路工程质量检验评定标准》（JTG F80/1-2017）要求，白色反光标线逆反射亮度系数RL干态≥150 mcd • m-2 • lx-1，RL湿态≥50 mcd • m-2 • lx-1；</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（8）面撒玻璃珠必须采用双撒播工艺，面撒量≥0.5kg/m2，应先撒布0.85-1.4mm玻璃珠，后撒布1号玻璃珠，两种玻璃珠各占50%。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（9）反光涂料加热熔融温度：≥2100C；</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（10）下涂剂应为清澈透明（微黄色）状态，并且固体含量≥30%。对新施工完成无污染沥青路面，建议不使用下涂剂，其它路面下涂剂宜≥0.15kg/m2，待下涂剂干燥后方可标线施划；</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（11）其它性能指标应符合JT/T280《路面标线涂料》的要求。</w:t>
      </w:r>
    </w:p>
    <w:p>
      <w:pPr>
        <w:spacing w:line="360" w:lineRule="auto"/>
        <w:jc w:val="left"/>
        <w:rPr>
          <w:rFonts w:hint="eastAsia" w:asciiTheme="minorEastAsia" w:hAnsiTheme="minorEastAsia" w:eastAsiaTheme="minorEastAsia" w:cstheme="minorEastAsia"/>
          <w:sz w:val="24"/>
          <w:szCs w:val="24"/>
        </w:rPr>
      </w:pP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反光水性标线</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（1）粘度（KU 值）:80～120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（2）密度（g/cm3）:≥1.6</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（3）选用环保型水性标线涂料</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（4）施划时面撒反光微珠</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（5）初始施划时逆反射系数：白色≥200，黄色≥150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（6）标线厚度≥0.7mm</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（7）不粘胎干燥时间≤10min，开放交通干燥时间≤20min</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（8）耐磨性（mg）:200 转/1000g 后减重≤40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(9)固体含量（%）:≥75</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(10)主干道质保：≥1年；其它道路使用寿命：≥1.5年</w:t>
      </w:r>
    </w:p>
    <w:p>
      <w:pPr>
        <w:spacing w:line="360" w:lineRule="auto"/>
        <w:jc w:val="left"/>
        <w:rPr>
          <w:rFonts w:hint="eastAsia" w:asciiTheme="minorEastAsia" w:hAnsiTheme="minorEastAsia" w:eastAsiaTheme="minorEastAsia" w:cstheme="minorEastAsia"/>
          <w:sz w:val="24"/>
          <w:szCs w:val="24"/>
        </w:rPr>
      </w:pP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双组份反光型涂料</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（1）密度（g/cm3）:1.5~2.0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（2）选用双组份反光涂料，内含反光微珠必须≥20%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（3）初始施划时逆反射系数：白色≥350，黄色≥200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（4）不粘胎干燥时间≤35min</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（5）耐磨性（mg）:200 转/1000g 后减重≤30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（6）标线厚度≥0.5mm</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（7）主干道质保：≥1.5年；其它道路使用寿命：≥2年</w:t>
      </w:r>
    </w:p>
    <w:p>
      <w:pPr>
        <w:spacing w:line="360" w:lineRule="auto"/>
        <w:jc w:val="left"/>
        <w:rPr>
          <w:rFonts w:hint="eastAsia" w:asciiTheme="minorEastAsia" w:hAnsiTheme="minorEastAsia" w:eastAsiaTheme="minorEastAsia" w:cstheme="minorEastAsia"/>
          <w:sz w:val="24"/>
          <w:szCs w:val="24"/>
        </w:rPr>
      </w:pP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双组份突起型反光涂料</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（1）密度（g/cm3）:1.5~2.0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（2）选用双组份突起型反光涂料，内含反光微珠必须≥20%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（3）初始施划时逆反射系数：白色≥350，黄色≥200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（4）不粘胎干燥时间≤35min</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（5）耐磨性（mg）:200 转/1000g 后减重≤30</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（6）标线厚度≥5mm</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（7）主干道质保：≥2年；其它道路使用寿命：≥3年</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26、地下管线：包括地下管道的费用与破路和恢复路面等施工费用。横穿管需采用∮89钢管或PE管，接头处需用套管，采用PE管时需用钢筋砼加围；人行道或绿化带下的管道允许采用∮50以上（含）PE管直埋。</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为确保道路美观，所有交通安全设施基座均应埋入地面以下，不外露。如标志在绿化带中，其上必须有40cm的覆土；如基座在人行道上，其上应满足铺设地砖的厚度要求，标志杆立柱钢管在制作时应相应加长，确保道路净空满足规范要求。</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28、所有标线施划均应先放样后漆划（除标线要求覆盖外）。</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29、LED光学要求：</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（1）发光单元使用的LED芯片必须是四元素技术制造；</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（2）发光单元的光强度（无图案警示灯标准），大于800cd；</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（3）发光单元使用的LED基准波长：红色625±5nm，蓝色460±5nm，其色度应符合交通信号灯坐标的规定范围；</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（4）发光单元应有良好的配光设计及反光聚光套碗，其水平（垂直）视角不小于以白炽灯为光源的灯具；</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（5）在规定照射区域内，发光强度应均匀，即在该区域内任一方向上的发光强度不应低于该方向相邻有数值规定方向中的最小值；</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（6）LED交通警示灯发光单元的光强度衰减六十个月后大于400cd；在正常工作条件下无故障工作时间大于六十个月；</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（7）每只LED应被安排在小于五个串联的单元电路中；</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（8）每只发光单元的电源引线，应采取符合国家电工标准的导线，线经不小于0.75mm2，红、黄、绿色的三种发光单元除回路线外应分别用红、黄、绿色的导线；</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30、其它国家相关规定与标准。</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31、反光膜、涂料、钢材、铝材、LED等材料必须提供出厂合格证及相关部门产品检测证（其中反光膜、涂料必须提供厂家品牌），产品质量必须达到国家行业标准。</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 职责及权限：</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、采购人职责、权限</w:t>
      </w:r>
    </w:p>
    <w:p>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（1）负责提供有关资料，做好施工期间协调工作。</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（2）按期付款，保证项目资金。</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（3）提供有关技术规范及要求。</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（4）按有关技术规范及要求对中标人施工的质量数量进行验收存档。</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（5）如遇管理规定需要调整及设计更改项目，甲方均应以书面形式通知乙方。</w:t>
      </w:r>
    </w:p>
    <w:p>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（6）组织每月工作例会，进行讲评。</w:t>
      </w:r>
    </w:p>
    <w:p>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组织不定期检查。</w:t>
      </w:r>
    </w:p>
    <w:p>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对监理的管理考核。</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2、中标人职责、权限</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（1）提供交通设施图并按有关技术规范进行施工，确保项目质量。</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（2）服从采购人、监理工作的进程安排，及时进场并保证工期。</w:t>
      </w:r>
    </w:p>
    <w:p>
      <w:pPr>
        <w:spacing w:line="360" w:lineRule="auto"/>
        <w:ind w:firstLine="120" w:firstLineChars="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(3)接到采购人更改通知时，按更改要求进行工程项目更改，并向监理报备。</w:t>
      </w:r>
    </w:p>
    <w:p>
      <w:pPr>
        <w:spacing w:line="360" w:lineRule="auto"/>
        <w:ind w:firstLine="120" w:firstLineChars="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(4)保证每日上路巡查交通安全设施，确保完好率达到98%以上，与去年同比数字城管抄送案卷稳中下降，并做好巡查记录，建立节假日及24小时值班制度。 </w:t>
      </w:r>
    </w:p>
    <w:p>
      <w:pPr>
        <w:spacing w:line="360" w:lineRule="auto"/>
        <w:ind w:firstLine="120" w:firstLineChars="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(5)应严格按本次招投标的规定要求履行并承担自己的职责。</w:t>
      </w:r>
    </w:p>
    <w:p>
      <w:pPr>
        <w:spacing w:line="360" w:lineRule="auto"/>
        <w:ind w:firstLine="120" w:firstLineChars="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(6)按采购人审定的图纸要求、合同条款、技术规范和工程量清单和材料的要求，承担项目的施工、建成及其缺陷修复工作。</w:t>
      </w:r>
    </w:p>
    <w:p>
      <w:pPr>
        <w:spacing w:line="360" w:lineRule="auto"/>
        <w:ind w:firstLine="120" w:firstLineChars="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(7)所使用的主要原材料均需要提供检测报告或质量保证单。</w:t>
      </w:r>
    </w:p>
    <w:p>
      <w:pPr>
        <w:spacing w:line="360" w:lineRule="auto"/>
        <w:ind w:firstLine="120" w:firstLineChars="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(8)接受采购人的各项工作业务指导。</w:t>
      </w:r>
    </w:p>
    <w:p>
      <w:pPr>
        <w:spacing w:line="360" w:lineRule="auto"/>
        <w:ind w:firstLine="120" w:firstLineChars="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(9)负责施工场地的安全文明生产。</w:t>
      </w:r>
    </w:p>
    <w:p>
      <w:pPr>
        <w:spacing w:line="360" w:lineRule="auto"/>
        <w:ind w:firstLine="120" w:firstLineChars="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(10)建立项目施工的质量保证体系。</w:t>
      </w:r>
    </w:p>
    <w:p>
      <w:pPr>
        <w:spacing w:line="360" w:lineRule="auto"/>
        <w:ind w:firstLine="120" w:firstLineChars="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(11)负责交通安全设施施工场地、车辆、机械设备、原材料等施工保障。</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(12)每月向采购人上报当月的工作量、工作数据、工作小结等。</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(13)对</w:t>
      </w:r>
      <w:r>
        <w:rPr>
          <w:rFonts w:hint="eastAsia" w:asciiTheme="minorEastAsia" w:hAnsiTheme="minorEastAsia" w:eastAsiaTheme="minorEastAsia" w:cstheme="minorEastAsia"/>
          <w:sz w:val="24"/>
          <w:szCs w:val="24"/>
          <w:lang w:val="en-US" w:eastAsia="zh-CN"/>
        </w:rPr>
        <w:t>辖区</w:t>
      </w:r>
      <w:r>
        <w:rPr>
          <w:rFonts w:hint="eastAsia" w:asciiTheme="minorEastAsia" w:hAnsiTheme="minorEastAsia" w:eastAsiaTheme="minorEastAsia" w:cstheme="minorEastAsia"/>
          <w:sz w:val="24"/>
          <w:szCs w:val="24"/>
        </w:rPr>
        <w:t>内的交通安全设施无权自行增设与调整。</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(14)负责对其管辖范围所有设施检查、维护，发现不安全因素和隐患须及时排除，确保管辖范围的所有设施的正常安全使用。 </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(15)接受采购人、监理对文明施工、安全施工、质量、施工时效等的监管。</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(16)接受应急抢修任务，正常情况下三十分钟内到达现场处置。</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(17)及时反馈联系单。</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(18)负责中标辖区交通设施的安全检查，消除安全隐患。</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维护费包括每日正常道路巡查、维护、2米以上的交通设施的保洁、中标区域内基础、标志、标杆、标牌的安全检查、设施排查、统计及登记造册，对存在安全隐患的设施提出书面建议及所有人工费、汽车台班费、施工占道费用等；</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）主要巡查、维护内容为：</w:t>
      </w:r>
    </w:p>
    <w:p>
      <w:pPr>
        <w:spacing w:line="360" w:lineRule="auto"/>
        <w:ind w:firstLine="360" w:firstLineChars="1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标志类：每日需车辆上路巡查、维护，标志牌的整修、拆除、移位、更换（更换材料款另计）、信息内容纠错、设置纠错等；可变标志牌、待行区诱导显示屏、警示灯及其它电子设施的维护、整修、拆除、移位、更换（更换材料款另计）等；</w:t>
      </w:r>
    </w:p>
    <w:p>
      <w:pPr>
        <w:spacing w:line="360" w:lineRule="auto"/>
        <w:ind w:firstLine="360" w:firstLineChars="1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B、标线类：每日需上路检查交通标线不规范、缺失淡化或错误，标志、标线信息不一致、矛盾冲突等，及时做好维护、修复；复线施工必须重新放样，老线厚度超出标准需打磨处理尤其人行横道线两端。</w:t>
      </w:r>
    </w:p>
    <w:p>
      <w:pPr>
        <w:spacing w:line="360" w:lineRule="auto"/>
        <w:ind w:firstLine="360" w:firstLineChars="1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C、其它安全设施类：每日需车辆上路巡查、维护，保洁、护栏、隔离墩、示警桩、橡胶缓冲带的维护拆除、移位、更换（更换材料款另计）等；</w:t>
      </w:r>
    </w:p>
    <w:p>
      <w:pPr>
        <w:spacing w:line="360" w:lineRule="auto"/>
        <w:ind w:firstLine="360" w:firstLineChars="15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D、安全检查。负责中标区域的交通杆件安全隐患排查，交通设施的安全性能进行检查，消除安全隐患，确保交通设施安全可靠。</w:t>
      </w:r>
    </w:p>
    <w:p>
      <w:pPr>
        <w:spacing w:line="360" w:lineRule="auto"/>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E、规范交通设施设置：对重复设置、擅自设置、妨碍安全、不符合规范设置的交通设施进行清理。</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）中标人必须建立24小时值班制度，并配备相应的人员、车辆及必要的维护工具，接到采购人紧急抢修任务必须30分钟内至现场进行应急处置；</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）中标人只承担日常维护、抢修及采购人的施工许可的内容任务，中标人不得自行增设、调整各类交通安全设施，如发现上述情形采购人有权终止合同，并责令施工单位自行恢复。</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23</w:t>
      </w:r>
      <w:r>
        <w:rPr>
          <w:rFonts w:hint="eastAsia" w:asciiTheme="minorEastAsia" w:hAnsiTheme="minorEastAsia" w:eastAsiaTheme="minorEastAsia" w:cstheme="minorEastAsia"/>
          <w:sz w:val="24"/>
          <w:szCs w:val="24"/>
        </w:rPr>
        <w:t>）采购人、监理在巡查过程中发现中标人在施工中不按国家有关标准设置，责令返工；</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24</w:t>
      </w:r>
      <w:r>
        <w:rPr>
          <w:rFonts w:hint="eastAsia" w:asciiTheme="minorEastAsia" w:hAnsiTheme="minorEastAsia" w:eastAsiaTheme="minorEastAsia" w:cstheme="minorEastAsia"/>
          <w:sz w:val="24"/>
          <w:szCs w:val="24"/>
        </w:rPr>
        <w:t>）交通设施安装完成结束后由中标人提供完工清单，并经监理、采购人各级相关管理人员验收签字；</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25</w:t>
      </w:r>
      <w:r>
        <w:rPr>
          <w:rFonts w:hint="eastAsia" w:asciiTheme="minorEastAsia" w:hAnsiTheme="minorEastAsia" w:eastAsiaTheme="minorEastAsia" w:cstheme="minorEastAsia"/>
          <w:sz w:val="24"/>
          <w:szCs w:val="24"/>
        </w:rPr>
        <w:t>）中标人有下列行为之一的，采购人有权终止合同。</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A、不符合工程技术标准的；</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B、偷工减料的；</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C、不按图施工的；</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D、造成重特大责任事故的；</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E、不文明安全施工的；</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F、未按规定申报擅自增设或变更交通安全设施的；</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26</w:t>
      </w:r>
      <w:r>
        <w:rPr>
          <w:rFonts w:hint="eastAsia" w:asciiTheme="minorEastAsia" w:hAnsiTheme="minorEastAsia" w:eastAsiaTheme="minorEastAsia" w:cstheme="minorEastAsia"/>
          <w:sz w:val="24"/>
          <w:szCs w:val="24"/>
        </w:rPr>
        <w:t>）中标人在交通设施安装过程中应先制定完善的实施方案，自行办理道路挖掘手续的审批（含相关费用），尽可能减小因施工对道路通行带来的影响，施工时应服从现场交警的管理及指挥；</w:t>
      </w:r>
    </w:p>
    <w:p>
      <w:pPr>
        <w:snapToGrid w:val="0"/>
        <w:spacing w:line="360" w:lineRule="auto"/>
        <w:rPr>
          <w:rFonts w:hint="eastAsia" w:asciiTheme="minorEastAsia" w:hAnsiTheme="minorEastAsia" w:eastAsiaTheme="minorEastAsia" w:cstheme="minorEastAsia"/>
          <w:color w:val="000000"/>
          <w:sz w:val="24"/>
          <w:szCs w:val="24"/>
          <w:lang w:val="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27</w:t>
      </w:r>
      <w:r>
        <w:rPr>
          <w:rFonts w:hint="eastAsia" w:asciiTheme="minorEastAsia" w:hAnsiTheme="minorEastAsia" w:eastAsiaTheme="minorEastAsia" w:cstheme="minorEastAsia"/>
          <w:sz w:val="24"/>
          <w:szCs w:val="24"/>
        </w:rPr>
        <w:t>）中标人对抢修、维修、巡查不及时造成后果除进行赔偿外，并根据产生的</w:t>
      </w: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val="0"/>
          <w:kern w:val="2"/>
          <w:sz w:val="24"/>
          <w:szCs w:val="24"/>
          <w:lang w:val="en-US" w:eastAsia="zh-CN" w:bidi="ar-SA"/>
        </w:rPr>
        <w:t>（28）采购人有权对维护实施的内容进行抽查检测。检测由采购人委托第三方专业机构。</w:t>
      </w:r>
    </w:p>
    <w:p>
      <w:pPr>
        <w:spacing w:line="360" w:lineRule="auto"/>
        <w:rPr>
          <w:rFonts w:ascii="宋体" w:hAnsi="宋体" w:cs="宋体"/>
          <w:b/>
          <w:color w:val="auto"/>
          <w:sz w:val="36"/>
          <w:szCs w:val="36"/>
          <w:highlight w:val="none"/>
        </w:rPr>
      </w:pPr>
    </w:p>
    <w:p>
      <w:pPr>
        <w:spacing w:line="360" w:lineRule="auto"/>
        <w:rPr>
          <w:rFonts w:ascii="宋体" w:hAnsi="宋体" w:cs="宋体"/>
          <w:color w:val="auto"/>
          <w:sz w:val="24"/>
          <w:highlight w:val="none"/>
        </w:rPr>
      </w:pPr>
    </w:p>
    <w:p>
      <w:pPr>
        <w:widowControl/>
        <w:ind w:firstLine="720" w:firstLineChars="300"/>
        <w:jc w:val="left"/>
        <w:rPr>
          <w:rFonts w:ascii="宋体" w:hAnsi="宋体" w:cs="宋体"/>
          <w:bCs/>
          <w:color w:val="auto"/>
          <w:sz w:val="24"/>
          <w:highlight w:val="none"/>
        </w:rPr>
      </w:pPr>
    </w:p>
    <w:p>
      <w:pPr>
        <w:rPr>
          <w:rFonts w:ascii="宋体" w:hAnsi="宋体" w:cs="宋体"/>
          <w:snapToGrid w:val="0"/>
          <w:color w:val="auto"/>
          <w:kern w:val="0"/>
          <w:sz w:val="24"/>
          <w:highlight w:val="none"/>
        </w:rPr>
      </w:pPr>
    </w:p>
    <w:p>
      <w:pPr>
        <w:numPr>
          <w:ilvl w:val="0"/>
          <w:numId w:val="2"/>
        </w:numPr>
        <w:spacing w:line="360" w:lineRule="auto"/>
        <w:jc w:val="center"/>
        <w:outlineLvl w:val="0"/>
        <w:rPr>
          <w:rFonts w:hint="eastAsia"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  </w:t>
      </w:r>
      <w:bookmarkStart w:id="51" w:name="_Toc184312101"/>
      <w:bookmarkEnd w:id="51"/>
      <w:bookmarkStart w:id="52" w:name="_Toc184308036"/>
      <w:bookmarkEnd w:id="52"/>
      <w:bookmarkStart w:id="53" w:name="_Toc184308104"/>
      <w:bookmarkEnd w:id="53"/>
      <w:bookmarkStart w:id="54" w:name="_Toc184313294"/>
      <w:bookmarkEnd w:id="54"/>
      <w:bookmarkStart w:id="55" w:name="_Toc184312119"/>
      <w:bookmarkEnd w:id="55"/>
      <w:bookmarkStart w:id="56" w:name="_Toc184314480"/>
      <w:bookmarkEnd w:id="56"/>
      <w:bookmarkStart w:id="57" w:name="_Toc184313287"/>
      <w:bookmarkEnd w:id="57"/>
      <w:bookmarkStart w:id="58" w:name="_Toc184314433"/>
      <w:bookmarkEnd w:id="58"/>
      <w:bookmarkStart w:id="59" w:name="_Toc184310282"/>
      <w:bookmarkEnd w:id="59"/>
      <w:bookmarkStart w:id="60" w:name="_Toc184312123"/>
      <w:bookmarkEnd w:id="60"/>
      <w:bookmarkStart w:id="61" w:name="_Toc184312115"/>
      <w:bookmarkEnd w:id="61"/>
      <w:bookmarkStart w:id="62" w:name="_Toc184312072"/>
      <w:bookmarkEnd w:id="62"/>
      <w:bookmarkStart w:id="63" w:name="_Toc184312067"/>
      <w:bookmarkEnd w:id="63"/>
      <w:bookmarkStart w:id="64" w:name="_Toc184314435"/>
      <w:bookmarkEnd w:id="64"/>
      <w:bookmarkStart w:id="65" w:name="_Toc184314411"/>
      <w:bookmarkEnd w:id="65"/>
      <w:bookmarkStart w:id="66" w:name="_Toc184314469"/>
      <w:bookmarkEnd w:id="66"/>
      <w:bookmarkStart w:id="67" w:name="_Toc184312086"/>
      <w:bookmarkEnd w:id="67"/>
      <w:bookmarkStart w:id="68" w:name="_Toc184312128"/>
      <w:bookmarkEnd w:id="68"/>
      <w:bookmarkStart w:id="69" w:name="_Toc184314454"/>
      <w:bookmarkEnd w:id="69"/>
      <w:bookmarkStart w:id="70" w:name="_Toc184310319"/>
      <w:bookmarkEnd w:id="70"/>
      <w:bookmarkStart w:id="71" w:name="_Toc184312097"/>
      <w:bookmarkEnd w:id="71"/>
      <w:bookmarkStart w:id="72" w:name="_Toc184313260"/>
      <w:bookmarkEnd w:id="72"/>
      <w:bookmarkStart w:id="73" w:name="_Toc184308055"/>
      <w:bookmarkEnd w:id="73"/>
      <w:bookmarkStart w:id="74" w:name="_Toc184310296"/>
      <w:bookmarkEnd w:id="74"/>
      <w:bookmarkStart w:id="75" w:name="_Toc184308072"/>
      <w:bookmarkEnd w:id="75"/>
      <w:bookmarkStart w:id="76" w:name="_Toc184313246"/>
      <w:bookmarkEnd w:id="76"/>
      <w:bookmarkStart w:id="77" w:name="_Toc184313271"/>
      <w:bookmarkEnd w:id="77"/>
      <w:bookmarkStart w:id="78" w:name="_Toc184312108"/>
      <w:bookmarkEnd w:id="78"/>
      <w:bookmarkStart w:id="79" w:name="_Toc184314482"/>
      <w:bookmarkEnd w:id="79"/>
      <w:bookmarkStart w:id="80" w:name="_Toc184308041"/>
      <w:bookmarkEnd w:id="80"/>
      <w:bookmarkStart w:id="81" w:name="_Toc184312102"/>
      <w:bookmarkEnd w:id="81"/>
      <w:bookmarkStart w:id="82" w:name="_Toc184312113"/>
      <w:bookmarkEnd w:id="82"/>
      <w:bookmarkStart w:id="83" w:name="_Toc184310298"/>
      <w:bookmarkEnd w:id="83"/>
      <w:bookmarkStart w:id="84" w:name="_Toc184308060"/>
      <w:bookmarkEnd w:id="84"/>
      <w:bookmarkStart w:id="85" w:name="_Toc184308106"/>
      <w:bookmarkEnd w:id="85"/>
      <w:bookmarkStart w:id="86" w:name="_Toc184314443"/>
      <w:bookmarkEnd w:id="86"/>
      <w:bookmarkStart w:id="87" w:name="_Toc184310325"/>
      <w:bookmarkEnd w:id="87"/>
      <w:bookmarkStart w:id="88" w:name="_Toc184310331"/>
      <w:bookmarkEnd w:id="88"/>
      <w:bookmarkStart w:id="89" w:name="_Toc184308074"/>
      <w:bookmarkEnd w:id="89"/>
      <w:bookmarkStart w:id="90" w:name="_Toc184308062"/>
      <w:bookmarkEnd w:id="90"/>
      <w:bookmarkStart w:id="91" w:name="_Toc184313267"/>
      <w:bookmarkEnd w:id="91"/>
      <w:bookmarkStart w:id="92" w:name="_Toc184312120"/>
      <w:bookmarkEnd w:id="92"/>
      <w:bookmarkStart w:id="93" w:name="_Toc184312133"/>
      <w:bookmarkEnd w:id="93"/>
      <w:bookmarkStart w:id="94" w:name="_Toc184308059"/>
      <w:bookmarkEnd w:id="94"/>
      <w:bookmarkStart w:id="95" w:name="_Toc184308056"/>
      <w:bookmarkEnd w:id="95"/>
      <w:bookmarkStart w:id="96" w:name="_Toc184314412"/>
      <w:bookmarkEnd w:id="96"/>
      <w:bookmarkStart w:id="97" w:name="_Toc184314466"/>
      <w:bookmarkEnd w:id="97"/>
      <w:bookmarkStart w:id="98" w:name="_Toc184314440"/>
      <w:bookmarkEnd w:id="98"/>
      <w:bookmarkStart w:id="99" w:name="_Toc184313306"/>
      <w:bookmarkEnd w:id="99"/>
      <w:bookmarkStart w:id="100" w:name="_Toc184314449"/>
      <w:bookmarkEnd w:id="100"/>
      <w:bookmarkStart w:id="101" w:name="_Toc184308088"/>
      <w:bookmarkEnd w:id="101"/>
      <w:bookmarkStart w:id="102" w:name="_Toc184314416"/>
      <w:bookmarkEnd w:id="102"/>
      <w:bookmarkStart w:id="103" w:name="_Toc184313264"/>
      <w:bookmarkEnd w:id="103"/>
      <w:bookmarkStart w:id="104" w:name="_Toc184312137"/>
      <w:bookmarkEnd w:id="104"/>
      <w:bookmarkStart w:id="105" w:name="_Toc184312130"/>
      <w:bookmarkEnd w:id="105"/>
      <w:bookmarkStart w:id="106" w:name="_Toc184308044"/>
      <w:bookmarkEnd w:id="106"/>
      <w:bookmarkStart w:id="107" w:name="_Toc184308050"/>
      <w:bookmarkEnd w:id="107"/>
      <w:bookmarkStart w:id="108" w:name="_Toc184313296"/>
      <w:bookmarkEnd w:id="108"/>
      <w:bookmarkStart w:id="109" w:name="_Toc184312106"/>
      <w:bookmarkEnd w:id="109"/>
      <w:bookmarkStart w:id="110" w:name="_Toc184312079"/>
      <w:bookmarkEnd w:id="110"/>
      <w:bookmarkStart w:id="111" w:name="_Toc184312099"/>
      <w:bookmarkEnd w:id="111"/>
      <w:bookmarkStart w:id="112" w:name="_Toc184310292"/>
      <w:bookmarkEnd w:id="112"/>
      <w:bookmarkStart w:id="113" w:name="_Toc184308095"/>
      <w:bookmarkEnd w:id="113"/>
      <w:bookmarkStart w:id="114" w:name="_Toc184312083"/>
      <w:bookmarkEnd w:id="114"/>
      <w:bookmarkStart w:id="115" w:name="_Toc184308066"/>
      <w:bookmarkEnd w:id="115"/>
      <w:bookmarkStart w:id="116" w:name="_Toc184312138"/>
      <w:bookmarkEnd w:id="116"/>
      <w:bookmarkStart w:id="117" w:name="_Toc184310297"/>
      <w:bookmarkEnd w:id="117"/>
      <w:bookmarkStart w:id="118" w:name="_Toc184313298"/>
      <w:bookmarkEnd w:id="118"/>
      <w:bookmarkStart w:id="119" w:name="_Toc184314414"/>
      <w:bookmarkEnd w:id="119"/>
      <w:bookmarkStart w:id="120" w:name="_Toc184314432"/>
      <w:bookmarkEnd w:id="120"/>
      <w:bookmarkStart w:id="121" w:name="_Toc184310315"/>
      <w:bookmarkEnd w:id="121"/>
      <w:bookmarkStart w:id="122" w:name="_Toc184313257"/>
      <w:bookmarkEnd w:id="122"/>
      <w:bookmarkStart w:id="123" w:name="_Toc184312080"/>
      <w:bookmarkEnd w:id="123"/>
      <w:bookmarkStart w:id="124" w:name="_Toc184312103"/>
      <w:bookmarkEnd w:id="124"/>
      <w:bookmarkStart w:id="125" w:name="_Toc184313293"/>
      <w:bookmarkEnd w:id="125"/>
      <w:bookmarkStart w:id="126" w:name="_Toc184308081"/>
      <w:bookmarkEnd w:id="126"/>
      <w:bookmarkStart w:id="127" w:name="_Toc184310277"/>
      <w:bookmarkEnd w:id="127"/>
      <w:bookmarkStart w:id="128" w:name="_Toc184314474"/>
      <w:bookmarkEnd w:id="128"/>
      <w:bookmarkStart w:id="129" w:name="_Toc184310327"/>
      <w:bookmarkEnd w:id="129"/>
      <w:bookmarkStart w:id="130" w:name="_Toc184310321"/>
      <w:bookmarkEnd w:id="130"/>
      <w:bookmarkStart w:id="131" w:name="_Toc184313276"/>
      <w:bookmarkEnd w:id="131"/>
      <w:bookmarkStart w:id="132" w:name="_Toc184312087"/>
      <w:bookmarkEnd w:id="132"/>
      <w:bookmarkStart w:id="133" w:name="_Toc184314439"/>
      <w:bookmarkEnd w:id="133"/>
      <w:bookmarkStart w:id="134" w:name="_Toc184310337"/>
      <w:bookmarkEnd w:id="134"/>
      <w:bookmarkStart w:id="135" w:name="_Toc184310320"/>
      <w:bookmarkEnd w:id="135"/>
      <w:bookmarkStart w:id="136" w:name="_Toc184310333"/>
      <w:bookmarkEnd w:id="136"/>
      <w:bookmarkStart w:id="137" w:name="_Toc184314471"/>
      <w:bookmarkEnd w:id="137"/>
      <w:bookmarkStart w:id="138" w:name="_Toc184308069"/>
      <w:bookmarkEnd w:id="138"/>
      <w:bookmarkStart w:id="139" w:name="_Toc184314415"/>
      <w:bookmarkEnd w:id="139"/>
      <w:bookmarkStart w:id="140" w:name="_Toc184312136"/>
      <w:bookmarkEnd w:id="140"/>
      <w:bookmarkStart w:id="141" w:name="_Toc184314419"/>
      <w:bookmarkEnd w:id="141"/>
      <w:bookmarkStart w:id="142" w:name="_Toc184314472"/>
      <w:bookmarkEnd w:id="142"/>
      <w:bookmarkStart w:id="143" w:name="_Toc184314452"/>
      <w:bookmarkEnd w:id="143"/>
      <w:bookmarkStart w:id="144" w:name="_Toc184313256"/>
      <w:bookmarkEnd w:id="144"/>
      <w:bookmarkStart w:id="145" w:name="_Toc184314434"/>
      <w:bookmarkEnd w:id="145"/>
      <w:bookmarkStart w:id="146" w:name="_Toc184310284"/>
      <w:bookmarkEnd w:id="146"/>
      <w:bookmarkStart w:id="147" w:name="_Toc184312118"/>
      <w:bookmarkEnd w:id="147"/>
      <w:bookmarkStart w:id="148" w:name="_Toc184308073"/>
      <w:bookmarkEnd w:id="148"/>
      <w:bookmarkStart w:id="149" w:name="_Toc184312084"/>
      <w:bookmarkEnd w:id="149"/>
      <w:bookmarkStart w:id="150" w:name="_Toc184308089"/>
      <w:bookmarkEnd w:id="150"/>
      <w:bookmarkStart w:id="151" w:name="_Toc184312107"/>
      <w:bookmarkEnd w:id="151"/>
      <w:bookmarkStart w:id="152" w:name="_Toc184314447"/>
      <w:bookmarkEnd w:id="152"/>
      <w:bookmarkStart w:id="153" w:name="_Toc184313310"/>
      <w:bookmarkEnd w:id="153"/>
      <w:bookmarkStart w:id="154" w:name="_Toc184312135"/>
      <w:bookmarkEnd w:id="154"/>
      <w:bookmarkStart w:id="155" w:name="_Toc184314478"/>
      <w:bookmarkEnd w:id="155"/>
      <w:bookmarkStart w:id="156" w:name="_Toc184314431"/>
      <w:bookmarkEnd w:id="156"/>
      <w:bookmarkStart w:id="157" w:name="_Toc184313283"/>
      <w:bookmarkEnd w:id="157"/>
      <w:bookmarkStart w:id="158" w:name="_Toc184313305"/>
      <w:bookmarkEnd w:id="158"/>
      <w:bookmarkStart w:id="159" w:name="_Toc184313304"/>
      <w:bookmarkEnd w:id="159"/>
      <w:bookmarkStart w:id="160" w:name="_Toc184308084"/>
      <w:bookmarkEnd w:id="160"/>
      <w:bookmarkStart w:id="161" w:name="_Toc184308094"/>
      <w:bookmarkEnd w:id="161"/>
      <w:bookmarkStart w:id="162" w:name="_Toc184314465"/>
      <w:bookmarkEnd w:id="162"/>
      <w:bookmarkStart w:id="163" w:name="_Toc184314428"/>
      <w:bookmarkEnd w:id="163"/>
      <w:bookmarkStart w:id="164" w:name="_Toc184310289"/>
      <w:bookmarkEnd w:id="164"/>
      <w:bookmarkStart w:id="165" w:name="_Toc184314470"/>
      <w:bookmarkEnd w:id="165"/>
      <w:bookmarkStart w:id="166" w:name="_Toc184310291"/>
      <w:bookmarkEnd w:id="166"/>
      <w:bookmarkStart w:id="167" w:name="_Toc184313269"/>
      <w:bookmarkEnd w:id="167"/>
      <w:bookmarkStart w:id="168" w:name="_Toc184314467"/>
      <w:bookmarkEnd w:id="168"/>
      <w:bookmarkStart w:id="169" w:name="_Toc184313239"/>
      <w:bookmarkEnd w:id="169"/>
      <w:bookmarkStart w:id="170" w:name="_Toc184308096"/>
      <w:bookmarkEnd w:id="170"/>
      <w:bookmarkStart w:id="171" w:name="_Toc184312131"/>
      <w:bookmarkEnd w:id="171"/>
      <w:bookmarkStart w:id="172" w:name="_Toc184313290"/>
      <w:bookmarkEnd w:id="172"/>
      <w:bookmarkStart w:id="173" w:name="_Toc184308105"/>
      <w:bookmarkEnd w:id="173"/>
      <w:bookmarkStart w:id="174" w:name="_Toc184308092"/>
      <w:bookmarkEnd w:id="174"/>
      <w:bookmarkStart w:id="175" w:name="_Toc184308039"/>
      <w:bookmarkEnd w:id="175"/>
      <w:bookmarkStart w:id="176" w:name="_Toc184314417"/>
      <w:bookmarkEnd w:id="176"/>
      <w:bookmarkStart w:id="177" w:name="_Toc184308049"/>
      <w:bookmarkEnd w:id="177"/>
      <w:bookmarkStart w:id="178" w:name="_Toc184314451"/>
      <w:bookmarkEnd w:id="178"/>
      <w:bookmarkStart w:id="179" w:name="_Toc184308108"/>
      <w:bookmarkEnd w:id="179"/>
      <w:bookmarkStart w:id="180" w:name="_Toc184308078"/>
      <w:bookmarkEnd w:id="180"/>
      <w:bookmarkStart w:id="181" w:name="_Toc184313266"/>
      <w:bookmarkEnd w:id="181"/>
      <w:bookmarkStart w:id="182" w:name="_Toc184310279"/>
      <w:bookmarkEnd w:id="182"/>
      <w:bookmarkStart w:id="183" w:name="_Toc184314468"/>
      <w:bookmarkEnd w:id="183"/>
      <w:bookmarkStart w:id="184" w:name="_Toc184310335"/>
      <w:bookmarkEnd w:id="184"/>
      <w:bookmarkStart w:id="185" w:name="_Toc184314444"/>
      <w:bookmarkEnd w:id="185"/>
      <w:bookmarkStart w:id="186" w:name="_Toc184313245"/>
      <w:bookmarkEnd w:id="186"/>
      <w:bookmarkStart w:id="187" w:name="_Toc184310344"/>
      <w:bookmarkEnd w:id="187"/>
      <w:bookmarkStart w:id="188" w:name="_Toc184308038"/>
      <w:bookmarkEnd w:id="188"/>
      <w:bookmarkStart w:id="189" w:name="_Toc184310273"/>
      <w:bookmarkEnd w:id="189"/>
      <w:bookmarkStart w:id="190" w:name="_Toc184312076"/>
      <w:bookmarkEnd w:id="190"/>
      <w:bookmarkStart w:id="191" w:name="_Toc184312124"/>
      <w:bookmarkEnd w:id="191"/>
      <w:bookmarkStart w:id="192" w:name="_Toc184314425"/>
      <w:bookmarkEnd w:id="192"/>
      <w:bookmarkStart w:id="193" w:name="_Toc184308042"/>
      <w:bookmarkEnd w:id="193"/>
      <w:bookmarkStart w:id="194" w:name="_Toc184313262"/>
      <w:bookmarkEnd w:id="194"/>
      <w:bookmarkStart w:id="195" w:name="_Toc184314426"/>
      <w:bookmarkEnd w:id="195"/>
      <w:bookmarkStart w:id="196" w:name="_Toc184313265"/>
      <w:bookmarkEnd w:id="196"/>
      <w:bookmarkStart w:id="197" w:name="_Toc184312070"/>
      <w:bookmarkEnd w:id="197"/>
      <w:bookmarkStart w:id="198" w:name="_Toc184312069"/>
      <w:bookmarkEnd w:id="198"/>
      <w:bookmarkStart w:id="199" w:name="_Toc184313297"/>
      <w:bookmarkEnd w:id="199"/>
      <w:bookmarkStart w:id="200" w:name="_Toc184312116"/>
      <w:bookmarkEnd w:id="200"/>
      <w:bookmarkStart w:id="201" w:name="_Toc184310301"/>
      <w:bookmarkEnd w:id="201"/>
      <w:bookmarkStart w:id="202" w:name="_Toc184310330"/>
      <w:bookmarkEnd w:id="202"/>
      <w:bookmarkStart w:id="203" w:name="_Toc184308107"/>
      <w:bookmarkEnd w:id="203"/>
      <w:bookmarkStart w:id="204" w:name="_Toc184310274"/>
      <w:bookmarkEnd w:id="204"/>
      <w:bookmarkStart w:id="205" w:name="_Toc184312073"/>
      <w:bookmarkEnd w:id="205"/>
      <w:bookmarkStart w:id="206" w:name="_Toc184314475"/>
      <w:bookmarkEnd w:id="206"/>
      <w:bookmarkStart w:id="207" w:name="_Toc184310324"/>
      <w:bookmarkEnd w:id="207"/>
      <w:bookmarkStart w:id="208" w:name="_Toc184308101"/>
      <w:bookmarkEnd w:id="208"/>
      <w:bookmarkStart w:id="209" w:name="_Toc184312109"/>
      <w:bookmarkEnd w:id="209"/>
      <w:bookmarkStart w:id="210" w:name="_Toc184313268"/>
      <w:bookmarkEnd w:id="210"/>
      <w:bookmarkStart w:id="211" w:name="_Toc184310304"/>
      <w:bookmarkEnd w:id="211"/>
      <w:bookmarkStart w:id="212" w:name="_Toc184313247"/>
      <w:bookmarkEnd w:id="212"/>
      <w:bookmarkStart w:id="213" w:name="_Toc184314477"/>
      <w:bookmarkEnd w:id="213"/>
      <w:bookmarkStart w:id="214" w:name="_Toc184313284"/>
      <w:bookmarkEnd w:id="214"/>
      <w:bookmarkStart w:id="215" w:name="_Toc184314457"/>
      <w:bookmarkEnd w:id="215"/>
      <w:bookmarkStart w:id="216" w:name="_Toc184314462"/>
      <w:bookmarkEnd w:id="216"/>
      <w:bookmarkStart w:id="217" w:name="_Toc184312129"/>
      <w:bookmarkEnd w:id="217"/>
      <w:bookmarkStart w:id="218" w:name="_Toc184308079"/>
      <w:bookmarkEnd w:id="218"/>
      <w:bookmarkStart w:id="219" w:name="_Toc184314437"/>
      <w:bookmarkEnd w:id="219"/>
      <w:bookmarkStart w:id="220" w:name="_Toc184314420"/>
      <w:bookmarkEnd w:id="220"/>
      <w:bookmarkStart w:id="221" w:name="_Toc184313255"/>
      <w:bookmarkEnd w:id="221"/>
      <w:bookmarkStart w:id="222" w:name="_Toc184310317"/>
      <w:bookmarkEnd w:id="222"/>
      <w:bookmarkStart w:id="223" w:name="_Toc184310318"/>
      <w:bookmarkEnd w:id="223"/>
      <w:bookmarkStart w:id="224" w:name="_Toc184313292"/>
      <w:bookmarkEnd w:id="224"/>
      <w:bookmarkStart w:id="225" w:name="_Toc184314460"/>
      <w:bookmarkEnd w:id="225"/>
      <w:bookmarkStart w:id="226" w:name="_Toc184314463"/>
      <w:bookmarkEnd w:id="226"/>
      <w:bookmarkStart w:id="227" w:name="_Toc184313272"/>
      <w:bookmarkEnd w:id="227"/>
      <w:bookmarkStart w:id="228" w:name="_Toc184314455"/>
      <w:bookmarkEnd w:id="228"/>
      <w:bookmarkStart w:id="229" w:name="_Toc184313288"/>
      <w:bookmarkEnd w:id="229"/>
      <w:bookmarkStart w:id="230" w:name="_Toc184313240"/>
      <w:bookmarkEnd w:id="230"/>
      <w:bookmarkStart w:id="231" w:name="_Toc184310276"/>
      <w:bookmarkEnd w:id="231"/>
      <w:bookmarkStart w:id="232" w:name="_Toc184312075"/>
      <w:bookmarkEnd w:id="232"/>
      <w:bookmarkStart w:id="233" w:name="_Toc184313275"/>
      <w:bookmarkEnd w:id="233"/>
      <w:bookmarkStart w:id="234" w:name="_Toc184308077"/>
      <w:bookmarkEnd w:id="234"/>
      <w:bookmarkStart w:id="235" w:name="_Toc184308048"/>
      <w:bookmarkEnd w:id="235"/>
      <w:bookmarkStart w:id="236" w:name="_Toc184308045"/>
      <w:bookmarkEnd w:id="236"/>
      <w:bookmarkStart w:id="237" w:name="_Toc184312126"/>
      <w:bookmarkEnd w:id="237"/>
      <w:bookmarkStart w:id="238" w:name="_Toc184308097"/>
      <w:bookmarkEnd w:id="238"/>
      <w:bookmarkStart w:id="239" w:name="_Toc184310343"/>
      <w:bookmarkEnd w:id="239"/>
      <w:bookmarkStart w:id="240" w:name="_Toc184313241"/>
      <w:bookmarkEnd w:id="240"/>
      <w:bookmarkStart w:id="241" w:name="_Toc184312082"/>
      <w:bookmarkEnd w:id="241"/>
      <w:bookmarkStart w:id="242" w:name="_Toc184313249"/>
      <w:bookmarkEnd w:id="242"/>
      <w:bookmarkStart w:id="243" w:name="_Toc184310295"/>
      <w:bookmarkEnd w:id="243"/>
      <w:bookmarkStart w:id="244" w:name="_Toc184308085"/>
      <w:bookmarkEnd w:id="244"/>
      <w:bookmarkStart w:id="245" w:name="_Toc184312139"/>
      <w:bookmarkEnd w:id="245"/>
      <w:bookmarkStart w:id="246" w:name="_Toc184314461"/>
      <w:bookmarkEnd w:id="246"/>
      <w:bookmarkStart w:id="247" w:name="_Toc184310313"/>
      <w:bookmarkEnd w:id="247"/>
      <w:bookmarkStart w:id="248" w:name="_Toc184312090"/>
      <w:bookmarkEnd w:id="248"/>
      <w:bookmarkStart w:id="249" w:name="_Toc184310311"/>
      <w:bookmarkEnd w:id="249"/>
      <w:bookmarkStart w:id="250" w:name="_Toc184313251"/>
      <w:bookmarkEnd w:id="250"/>
      <w:bookmarkStart w:id="251" w:name="_Toc184312085"/>
      <w:bookmarkEnd w:id="251"/>
      <w:bookmarkStart w:id="252" w:name="_Toc184312111"/>
      <w:bookmarkEnd w:id="252"/>
      <w:bookmarkStart w:id="253" w:name="_Toc184314421"/>
      <w:bookmarkEnd w:id="253"/>
      <w:bookmarkStart w:id="254" w:name="_Toc184313273"/>
      <w:bookmarkEnd w:id="254"/>
      <w:bookmarkStart w:id="255" w:name="_Toc184313289"/>
      <w:bookmarkEnd w:id="255"/>
      <w:bookmarkStart w:id="256" w:name="_Toc184310306"/>
      <w:bookmarkEnd w:id="256"/>
      <w:bookmarkStart w:id="257" w:name="_Toc184312081"/>
      <w:bookmarkEnd w:id="257"/>
      <w:bookmarkStart w:id="258" w:name="_Toc184312121"/>
      <w:bookmarkEnd w:id="258"/>
      <w:bookmarkStart w:id="259" w:name="_Toc184314459"/>
      <w:bookmarkEnd w:id="259"/>
      <w:bookmarkStart w:id="260" w:name="_Toc184308082"/>
      <w:bookmarkEnd w:id="260"/>
      <w:bookmarkStart w:id="261" w:name="_Toc184308058"/>
      <w:bookmarkEnd w:id="261"/>
      <w:bookmarkStart w:id="262" w:name="_Toc184312089"/>
      <w:bookmarkEnd w:id="262"/>
      <w:bookmarkStart w:id="263" w:name="_Toc184313253"/>
      <w:bookmarkEnd w:id="263"/>
      <w:bookmarkStart w:id="264" w:name="_Toc184308043"/>
      <w:bookmarkEnd w:id="264"/>
      <w:bookmarkStart w:id="265" w:name="_Toc184314448"/>
      <w:bookmarkEnd w:id="265"/>
      <w:bookmarkStart w:id="266" w:name="_Toc184310342"/>
      <w:bookmarkEnd w:id="266"/>
      <w:bookmarkStart w:id="267" w:name="_Toc184308087"/>
      <w:bookmarkEnd w:id="267"/>
      <w:bookmarkStart w:id="268" w:name="_Toc184308061"/>
      <w:bookmarkEnd w:id="268"/>
      <w:bookmarkStart w:id="269" w:name="_Toc184312105"/>
      <w:bookmarkEnd w:id="269"/>
      <w:bookmarkStart w:id="270" w:name="_Toc184313274"/>
      <w:bookmarkEnd w:id="270"/>
      <w:bookmarkStart w:id="271" w:name="_Toc184308080"/>
      <w:bookmarkEnd w:id="271"/>
      <w:bookmarkStart w:id="272" w:name="_Toc184308093"/>
      <w:bookmarkEnd w:id="272"/>
      <w:bookmarkStart w:id="273" w:name="_Toc184312098"/>
      <w:bookmarkEnd w:id="273"/>
      <w:bookmarkStart w:id="274" w:name="_Toc184313243"/>
      <w:bookmarkEnd w:id="274"/>
      <w:bookmarkStart w:id="275" w:name="_Toc184314476"/>
      <w:bookmarkEnd w:id="275"/>
      <w:bookmarkStart w:id="276" w:name="_Toc184312112"/>
      <w:bookmarkEnd w:id="276"/>
      <w:bookmarkStart w:id="277" w:name="_Toc184312122"/>
      <w:bookmarkEnd w:id="277"/>
      <w:bookmarkStart w:id="278" w:name="_Toc184312092"/>
      <w:bookmarkEnd w:id="278"/>
      <w:bookmarkStart w:id="279" w:name="_Toc184310302"/>
      <w:bookmarkEnd w:id="279"/>
      <w:bookmarkStart w:id="280" w:name="_Toc184308040"/>
      <w:bookmarkEnd w:id="280"/>
      <w:bookmarkStart w:id="281" w:name="_Toc184313242"/>
      <w:bookmarkEnd w:id="281"/>
      <w:bookmarkStart w:id="282" w:name="_Toc184308065"/>
      <w:bookmarkEnd w:id="282"/>
      <w:bookmarkStart w:id="283" w:name="_Toc184313252"/>
      <w:bookmarkEnd w:id="283"/>
      <w:bookmarkStart w:id="284" w:name="_Toc184308091"/>
      <w:bookmarkEnd w:id="284"/>
      <w:bookmarkStart w:id="285" w:name="_Toc184314473"/>
      <w:bookmarkEnd w:id="285"/>
      <w:bookmarkStart w:id="286" w:name="_Toc184310336"/>
      <w:bookmarkEnd w:id="286"/>
      <w:bookmarkStart w:id="287" w:name="_Toc184313238"/>
      <w:bookmarkEnd w:id="287"/>
      <w:bookmarkStart w:id="288" w:name="_Toc184313307"/>
      <w:bookmarkEnd w:id="288"/>
      <w:bookmarkStart w:id="289" w:name="_Toc184308083"/>
      <w:bookmarkEnd w:id="289"/>
      <w:bookmarkStart w:id="290" w:name="_Toc184313277"/>
      <w:bookmarkEnd w:id="290"/>
      <w:bookmarkStart w:id="291" w:name="_Toc184313302"/>
      <w:bookmarkEnd w:id="291"/>
      <w:bookmarkStart w:id="292" w:name="_Toc184310290"/>
      <w:bookmarkEnd w:id="292"/>
      <w:bookmarkStart w:id="293" w:name="_Toc184310314"/>
      <w:bookmarkEnd w:id="293"/>
      <w:bookmarkStart w:id="294" w:name="_Toc184312132"/>
      <w:bookmarkEnd w:id="294"/>
      <w:bookmarkStart w:id="295" w:name="_Toc184314458"/>
      <w:bookmarkEnd w:id="295"/>
      <w:bookmarkStart w:id="296" w:name="_Toc184308046"/>
      <w:bookmarkEnd w:id="296"/>
      <w:bookmarkStart w:id="297" w:name="_Toc184312088"/>
      <w:bookmarkEnd w:id="297"/>
      <w:bookmarkStart w:id="298" w:name="_Toc184310308"/>
      <w:bookmarkEnd w:id="298"/>
      <w:bookmarkStart w:id="299" w:name="_Toc184308098"/>
      <w:bookmarkEnd w:id="299"/>
      <w:bookmarkStart w:id="300" w:name="_Toc184310293"/>
      <w:bookmarkEnd w:id="300"/>
      <w:bookmarkStart w:id="301" w:name="_Toc184314464"/>
      <w:bookmarkEnd w:id="301"/>
      <w:bookmarkStart w:id="302" w:name="_Toc184308100"/>
      <w:bookmarkEnd w:id="302"/>
      <w:bookmarkStart w:id="303" w:name="_Toc184308047"/>
      <w:bookmarkEnd w:id="303"/>
      <w:bookmarkStart w:id="304" w:name="_Toc184308086"/>
      <w:bookmarkEnd w:id="304"/>
      <w:bookmarkStart w:id="305" w:name="_Toc184314427"/>
      <w:bookmarkEnd w:id="305"/>
      <w:bookmarkStart w:id="306" w:name="_Toc184310309"/>
      <w:bookmarkEnd w:id="306"/>
      <w:bookmarkStart w:id="307" w:name="_Toc184310280"/>
      <w:bookmarkEnd w:id="307"/>
      <w:bookmarkStart w:id="308" w:name="_Toc184310312"/>
      <w:bookmarkEnd w:id="308"/>
      <w:bookmarkStart w:id="309" w:name="_Toc184308037"/>
      <w:bookmarkEnd w:id="309"/>
      <w:bookmarkStart w:id="310" w:name="_Toc184312095"/>
      <w:bookmarkEnd w:id="310"/>
      <w:bookmarkStart w:id="311" w:name="_Toc184310334"/>
      <w:bookmarkEnd w:id="311"/>
      <w:bookmarkStart w:id="312" w:name="_Toc184308102"/>
      <w:bookmarkEnd w:id="312"/>
      <w:bookmarkStart w:id="313" w:name="_Toc184313248"/>
      <w:bookmarkEnd w:id="313"/>
      <w:bookmarkStart w:id="314" w:name="_Toc184310285"/>
      <w:bookmarkEnd w:id="314"/>
      <w:bookmarkStart w:id="315" w:name="_Toc184314445"/>
      <w:bookmarkEnd w:id="315"/>
      <w:bookmarkStart w:id="316" w:name="_Toc184312127"/>
      <w:bookmarkEnd w:id="316"/>
      <w:bookmarkStart w:id="317" w:name="_Toc184308051"/>
      <w:bookmarkEnd w:id="317"/>
      <w:bookmarkStart w:id="318" w:name="_Toc184312110"/>
      <w:bookmarkEnd w:id="318"/>
      <w:bookmarkStart w:id="319" w:name="_Toc184313303"/>
      <w:bookmarkEnd w:id="319"/>
      <w:bookmarkStart w:id="320" w:name="_Toc184313278"/>
      <w:bookmarkEnd w:id="320"/>
      <w:bookmarkStart w:id="321" w:name="_Toc184310287"/>
      <w:bookmarkEnd w:id="321"/>
      <w:bookmarkStart w:id="322" w:name="_Toc184310294"/>
      <w:bookmarkEnd w:id="322"/>
      <w:bookmarkStart w:id="323" w:name="_Toc184312074"/>
      <w:bookmarkEnd w:id="323"/>
      <w:bookmarkStart w:id="324" w:name="_Toc184310272"/>
      <w:bookmarkEnd w:id="324"/>
      <w:bookmarkStart w:id="325" w:name="_Toc184314438"/>
      <w:bookmarkEnd w:id="325"/>
      <w:bookmarkStart w:id="326" w:name="_Toc184314453"/>
      <w:bookmarkEnd w:id="326"/>
      <w:bookmarkStart w:id="327" w:name="_Toc184314456"/>
      <w:bookmarkEnd w:id="327"/>
      <w:bookmarkStart w:id="328" w:name="_Toc184313300"/>
      <w:bookmarkEnd w:id="328"/>
      <w:bookmarkStart w:id="329" w:name="_Toc184310300"/>
      <w:bookmarkEnd w:id="329"/>
      <w:bookmarkStart w:id="330" w:name="_Toc184312100"/>
      <w:bookmarkEnd w:id="330"/>
      <w:bookmarkStart w:id="331" w:name="_Toc184308057"/>
      <w:bookmarkEnd w:id="331"/>
      <w:bookmarkStart w:id="332" w:name="_Toc184310338"/>
      <w:bookmarkEnd w:id="332"/>
      <w:bookmarkStart w:id="333" w:name="_Toc184314450"/>
      <w:bookmarkEnd w:id="333"/>
      <w:bookmarkStart w:id="334" w:name="_Toc184310303"/>
      <w:bookmarkEnd w:id="334"/>
      <w:bookmarkStart w:id="335" w:name="_Toc184310299"/>
      <w:bookmarkEnd w:id="335"/>
      <w:bookmarkStart w:id="336" w:name="_Toc184310323"/>
      <w:bookmarkEnd w:id="336"/>
      <w:bookmarkStart w:id="337" w:name="_Toc184308103"/>
      <w:bookmarkEnd w:id="337"/>
      <w:bookmarkStart w:id="338" w:name="_Toc184310305"/>
      <w:bookmarkEnd w:id="338"/>
      <w:bookmarkStart w:id="339" w:name="_Toc184310329"/>
      <w:bookmarkEnd w:id="339"/>
      <w:bookmarkStart w:id="340" w:name="_Toc184308064"/>
      <w:bookmarkEnd w:id="340"/>
      <w:bookmarkStart w:id="341" w:name="_Toc184314429"/>
      <w:bookmarkEnd w:id="341"/>
      <w:bookmarkStart w:id="342" w:name="_Toc184308054"/>
      <w:bookmarkEnd w:id="342"/>
      <w:bookmarkStart w:id="343" w:name="_Toc184310316"/>
      <w:bookmarkEnd w:id="343"/>
      <w:bookmarkStart w:id="344" w:name="_Toc184308076"/>
      <w:bookmarkEnd w:id="344"/>
      <w:bookmarkStart w:id="345" w:name="_Toc184310332"/>
      <w:bookmarkEnd w:id="345"/>
      <w:bookmarkStart w:id="346" w:name="_Toc184314410"/>
      <w:bookmarkEnd w:id="346"/>
      <w:bookmarkStart w:id="347" w:name="_Toc184310341"/>
      <w:bookmarkEnd w:id="347"/>
      <w:bookmarkStart w:id="348" w:name="_Toc184310326"/>
      <w:bookmarkEnd w:id="348"/>
      <w:bookmarkStart w:id="349" w:name="_Toc184310288"/>
      <w:bookmarkEnd w:id="349"/>
      <w:bookmarkStart w:id="350" w:name="_Toc184313258"/>
      <w:bookmarkEnd w:id="350"/>
      <w:bookmarkStart w:id="351" w:name="_Toc184313309"/>
      <w:bookmarkEnd w:id="351"/>
      <w:bookmarkStart w:id="352" w:name="_Toc184314413"/>
      <w:bookmarkEnd w:id="352"/>
      <w:bookmarkStart w:id="353" w:name="_Toc184313285"/>
      <w:bookmarkEnd w:id="353"/>
      <w:bookmarkStart w:id="354" w:name="_Toc184314422"/>
      <w:bookmarkEnd w:id="354"/>
      <w:bookmarkStart w:id="355" w:name="_Toc184312078"/>
      <w:bookmarkEnd w:id="355"/>
      <w:bookmarkStart w:id="356" w:name="_Toc184312096"/>
      <w:bookmarkEnd w:id="356"/>
      <w:bookmarkStart w:id="357" w:name="_Toc184308075"/>
      <w:bookmarkEnd w:id="357"/>
      <w:bookmarkStart w:id="358" w:name="_Toc184308070"/>
      <w:bookmarkEnd w:id="358"/>
      <w:bookmarkStart w:id="359" w:name="_Toc184312134"/>
      <w:bookmarkEnd w:id="359"/>
      <w:bookmarkStart w:id="360" w:name="_Toc184312093"/>
      <w:bookmarkEnd w:id="360"/>
      <w:bookmarkStart w:id="361" w:name="_Toc184313281"/>
      <w:bookmarkEnd w:id="361"/>
      <w:bookmarkStart w:id="362" w:name="_Toc184312117"/>
      <w:bookmarkEnd w:id="362"/>
      <w:bookmarkStart w:id="363" w:name="_Toc184313254"/>
      <w:bookmarkEnd w:id="363"/>
      <w:bookmarkStart w:id="364" w:name="_Toc184308099"/>
      <w:bookmarkEnd w:id="364"/>
      <w:bookmarkStart w:id="365" w:name="_Toc184310278"/>
      <w:bookmarkEnd w:id="365"/>
      <w:bookmarkStart w:id="366" w:name="_Toc184313261"/>
      <w:bookmarkEnd w:id="366"/>
      <w:bookmarkStart w:id="367" w:name="_Toc184313301"/>
      <w:bookmarkEnd w:id="367"/>
      <w:bookmarkStart w:id="368" w:name="_Toc184310328"/>
      <w:bookmarkEnd w:id="368"/>
      <w:bookmarkStart w:id="369" w:name="_Toc184313308"/>
      <w:bookmarkEnd w:id="369"/>
      <w:bookmarkStart w:id="370" w:name="_Toc184313295"/>
      <w:bookmarkEnd w:id="370"/>
      <w:bookmarkStart w:id="371" w:name="_Toc184308052"/>
      <w:bookmarkEnd w:id="371"/>
      <w:bookmarkStart w:id="372" w:name="_Toc184313259"/>
      <w:bookmarkEnd w:id="372"/>
      <w:bookmarkStart w:id="373" w:name="_Toc184310275"/>
      <w:bookmarkEnd w:id="373"/>
      <w:bookmarkStart w:id="374" w:name="_Toc184312125"/>
      <w:bookmarkEnd w:id="374"/>
      <w:bookmarkStart w:id="375" w:name="_Toc184308063"/>
      <w:bookmarkEnd w:id="375"/>
      <w:bookmarkStart w:id="376" w:name="_Toc184313263"/>
      <w:bookmarkEnd w:id="376"/>
      <w:bookmarkStart w:id="377" w:name="_Toc184310281"/>
      <w:bookmarkEnd w:id="377"/>
      <w:bookmarkStart w:id="378" w:name="_Toc184314441"/>
      <w:bookmarkEnd w:id="378"/>
      <w:bookmarkStart w:id="379" w:name="_Toc184308071"/>
      <w:bookmarkEnd w:id="379"/>
      <w:bookmarkStart w:id="380" w:name="_Toc184313270"/>
      <w:bookmarkEnd w:id="380"/>
      <w:bookmarkStart w:id="381" w:name="_Toc184312094"/>
      <w:bookmarkEnd w:id="381"/>
      <w:bookmarkStart w:id="382" w:name="_Toc184314430"/>
      <w:bookmarkEnd w:id="382"/>
      <w:bookmarkStart w:id="383" w:name="_Toc184308090"/>
      <w:bookmarkEnd w:id="383"/>
      <w:bookmarkStart w:id="384" w:name="_Toc184313244"/>
      <w:bookmarkEnd w:id="384"/>
      <w:bookmarkStart w:id="385" w:name="_Toc184312068"/>
      <w:bookmarkEnd w:id="385"/>
      <w:bookmarkStart w:id="386" w:name="_Toc184312091"/>
      <w:bookmarkEnd w:id="386"/>
      <w:bookmarkStart w:id="387" w:name="_Toc184308067"/>
      <w:bookmarkEnd w:id="387"/>
      <w:bookmarkStart w:id="388" w:name="_Toc184310339"/>
      <w:bookmarkEnd w:id="388"/>
      <w:bookmarkStart w:id="389" w:name="_Toc184312077"/>
      <w:bookmarkEnd w:id="389"/>
      <w:bookmarkStart w:id="390" w:name="_Toc184314479"/>
      <w:bookmarkEnd w:id="390"/>
      <w:bookmarkStart w:id="391" w:name="_Toc184314436"/>
      <w:bookmarkEnd w:id="391"/>
      <w:bookmarkStart w:id="392" w:name="_Toc184310283"/>
      <w:bookmarkEnd w:id="392"/>
      <w:bookmarkStart w:id="393" w:name="_Toc184314418"/>
      <w:bookmarkEnd w:id="393"/>
      <w:bookmarkStart w:id="394" w:name="_Toc184314446"/>
      <w:bookmarkEnd w:id="394"/>
      <w:bookmarkStart w:id="395" w:name="_Toc184310340"/>
      <w:bookmarkEnd w:id="395"/>
      <w:bookmarkStart w:id="396" w:name="_Toc184313291"/>
      <w:bookmarkEnd w:id="396"/>
      <w:bookmarkStart w:id="397" w:name="_Toc184314442"/>
      <w:bookmarkEnd w:id="397"/>
      <w:bookmarkStart w:id="398" w:name="_Toc184312071"/>
      <w:bookmarkEnd w:id="398"/>
      <w:bookmarkStart w:id="399" w:name="_Toc184313286"/>
      <w:bookmarkEnd w:id="399"/>
      <w:bookmarkStart w:id="400" w:name="_Toc184313280"/>
      <w:bookmarkEnd w:id="400"/>
      <w:bookmarkStart w:id="401" w:name="_Toc184308068"/>
      <w:bookmarkEnd w:id="401"/>
      <w:bookmarkStart w:id="402" w:name="_Toc184314481"/>
      <w:bookmarkEnd w:id="402"/>
      <w:bookmarkStart w:id="403" w:name="_Toc184312104"/>
      <w:bookmarkEnd w:id="403"/>
      <w:bookmarkStart w:id="404" w:name="_Toc184313250"/>
      <w:bookmarkEnd w:id="404"/>
      <w:bookmarkStart w:id="405" w:name="_Toc184310322"/>
      <w:bookmarkEnd w:id="405"/>
      <w:bookmarkStart w:id="406" w:name="_Toc184310286"/>
      <w:bookmarkEnd w:id="406"/>
      <w:bookmarkStart w:id="407" w:name="_Toc184313299"/>
      <w:bookmarkEnd w:id="407"/>
      <w:bookmarkStart w:id="408" w:name="_Toc184313282"/>
      <w:bookmarkEnd w:id="408"/>
      <w:bookmarkStart w:id="409" w:name="_Toc184314424"/>
      <w:bookmarkEnd w:id="409"/>
      <w:bookmarkStart w:id="410" w:name="_Toc184308053"/>
      <w:bookmarkEnd w:id="410"/>
      <w:bookmarkStart w:id="411" w:name="_Toc184310310"/>
      <w:bookmarkEnd w:id="411"/>
      <w:bookmarkStart w:id="412" w:name="_Toc184310307"/>
      <w:bookmarkEnd w:id="412"/>
      <w:bookmarkStart w:id="413" w:name="_Toc184314423"/>
      <w:bookmarkEnd w:id="413"/>
      <w:bookmarkStart w:id="414" w:name="_Toc184313279"/>
      <w:bookmarkEnd w:id="414"/>
      <w:bookmarkStart w:id="415" w:name="_Toc184312114"/>
      <w:bookmarkEnd w:id="415"/>
      <w:r>
        <w:rPr>
          <w:rFonts w:hint="eastAsia" w:ascii="宋体" w:hAnsi="宋体" w:cs="宋体"/>
          <w:b/>
          <w:color w:val="auto"/>
          <w:sz w:val="36"/>
          <w:szCs w:val="36"/>
          <w:highlight w:val="none"/>
        </w:rPr>
        <w:t>评标办法</w:t>
      </w:r>
    </w:p>
    <w:p>
      <w:pPr>
        <w:snapToGrid w:val="0"/>
        <w:spacing w:line="360" w:lineRule="auto"/>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pPr w:leftFromText="180" w:rightFromText="180" w:vertAnchor="text" w:horzAnchor="page" w:tblpX="1031" w:tblpY="126"/>
        <w:tblW w:w="54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4812"/>
        <w:gridCol w:w="763"/>
        <w:gridCol w:w="1053"/>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334" w:type="pct"/>
            <w:vAlign w:val="center"/>
          </w:tcPr>
          <w:p>
            <w:pPr>
              <w:spacing w:before="0" w:beforeAutospacing="0" w:after="0" w:afterAutospacing="0" w:line="360" w:lineRule="auto"/>
              <w:ind w:left="0" w:right="0"/>
              <w:jc w:val="center"/>
              <w:outlineLvl w:val="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序号</w:t>
            </w:r>
          </w:p>
        </w:tc>
        <w:tc>
          <w:tcPr>
            <w:tcW w:w="2618" w:type="pct"/>
            <w:vAlign w:val="center"/>
          </w:tcPr>
          <w:p>
            <w:pPr>
              <w:spacing w:before="0" w:beforeAutospacing="0" w:after="0" w:afterAutospacing="0" w:line="360" w:lineRule="auto"/>
              <w:ind w:left="0" w:right="0" w:firstLine="1560" w:firstLineChars="650"/>
              <w:outlineLvl w:val="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评标标准</w:t>
            </w:r>
          </w:p>
        </w:tc>
        <w:tc>
          <w:tcPr>
            <w:tcW w:w="415" w:type="pct"/>
            <w:vAlign w:val="center"/>
          </w:tcPr>
          <w:p>
            <w:pPr>
              <w:spacing w:before="0" w:beforeAutospacing="0" w:after="0" w:afterAutospacing="0" w:line="360" w:lineRule="auto"/>
              <w:ind w:left="0" w:right="0"/>
              <w:outlineLvl w:val="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权重</w:t>
            </w:r>
          </w:p>
        </w:tc>
        <w:tc>
          <w:tcPr>
            <w:tcW w:w="573" w:type="pct"/>
            <w:vAlign w:val="center"/>
          </w:tcPr>
          <w:p>
            <w:pPr>
              <w:spacing w:before="0" w:beforeAutospacing="0" w:after="0" w:afterAutospacing="0" w:line="360" w:lineRule="auto"/>
              <w:ind w:left="0" w:right="0"/>
              <w:outlineLvl w:val="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主观分/客观分属性</w:t>
            </w:r>
          </w:p>
        </w:tc>
        <w:tc>
          <w:tcPr>
            <w:tcW w:w="1058" w:type="pct"/>
            <w:vAlign w:val="center"/>
          </w:tcPr>
          <w:p>
            <w:pPr>
              <w:spacing w:before="0" w:beforeAutospacing="0" w:after="0" w:afterAutospacing="0" w:line="360" w:lineRule="auto"/>
              <w:ind w:left="0" w:right="0"/>
              <w:outlineLvl w:val="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投标文件中评标标准相应的商务技术资料目录</w:t>
            </w:r>
            <w:r>
              <w:rPr>
                <w:rFonts w:hint="eastAsia" w:asciiTheme="minorEastAsia" w:hAnsiTheme="minorEastAsia" w:eastAsiaTheme="minorEastAsia" w:cstheme="minorEastAsia"/>
                <w:color w:val="auto"/>
                <w:sz w:val="24"/>
                <w:szCs w:val="24"/>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334" w:type="pct"/>
            <w:vAlign w:val="center"/>
          </w:tcPr>
          <w:p>
            <w:pPr>
              <w:spacing w:before="0" w:beforeAutospacing="0" w:after="0" w:afterAutospacing="0" w:line="600" w:lineRule="exact"/>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2618" w:type="pct"/>
            <w:vAlign w:val="center"/>
          </w:tcPr>
          <w:p>
            <w:pPr>
              <w:spacing w:before="0" w:beforeAutospacing="0" w:after="0" w:afterAutospacing="0" w:line="360" w:lineRule="auto"/>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bookmarkStart w:id="416" w:name="OLE_LINK24"/>
            <w:r>
              <w:rPr>
                <w:rFonts w:hint="eastAsia" w:ascii="宋体" w:hAnsi="宋体" w:eastAsia="宋体" w:cs="宋体"/>
                <w:b w:val="0"/>
                <w:bCs w:val="0"/>
                <w:color w:val="auto"/>
                <w:sz w:val="24"/>
                <w:szCs w:val="24"/>
                <w:highlight w:val="none"/>
                <w:lang w:val="en-US" w:eastAsia="zh-CN"/>
              </w:rPr>
              <w:t>投标人具有有效期内的质量管理体系认证、环境管理体系认证、职业健康安全管理体系认证证书，每个得3分，最高得</w:t>
            </w:r>
            <w:r>
              <w:rPr>
                <w:rFonts w:hint="eastAsia" w:ascii="宋体" w:hAnsi="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eastAsia="zh-CN"/>
              </w:rPr>
              <w:t>分。</w:t>
            </w:r>
            <w:r>
              <w:rPr>
                <w:rFonts w:hint="eastAsia" w:ascii="宋体" w:hAnsi="宋体" w:eastAsia="宋体" w:cs="宋体"/>
                <w:b w:val="0"/>
                <w:bCs w:val="0"/>
                <w:color w:val="auto"/>
                <w:sz w:val="24"/>
                <w:szCs w:val="24"/>
                <w:highlight w:val="none"/>
                <w:lang w:val="zh-CN" w:eastAsia="zh-CN"/>
              </w:rPr>
              <w:t>证明材料：</w:t>
            </w:r>
            <w:r>
              <w:rPr>
                <w:rFonts w:hint="eastAsia" w:ascii="宋体" w:hAnsi="宋体" w:eastAsia="宋体" w:cs="宋体"/>
                <w:b w:val="0"/>
                <w:bCs w:val="0"/>
                <w:color w:val="auto"/>
                <w:sz w:val="24"/>
                <w:szCs w:val="24"/>
                <w:highlight w:val="none"/>
                <w:lang w:val="en-US" w:eastAsia="zh-CN"/>
              </w:rPr>
              <w:t>投标文件中提供中国国家认证认可监督管理委员会网上查询截图和证书复印件加盖公章，需在有效期内。</w:t>
            </w:r>
            <w:bookmarkEnd w:id="416"/>
          </w:p>
        </w:tc>
        <w:tc>
          <w:tcPr>
            <w:tcW w:w="415" w:type="pct"/>
            <w:vAlign w:val="center"/>
          </w:tcPr>
          <w:p>
            <w:pPr>
              <w:spacing w:before="0" w:beforeAutospacing="0" w:after="0" w:afterAutospacing="0" w:line="600" w:lineRule="exact"/>
              <w:ind w:left="0" w:right="0"/>
              <w:jc w:val="both"/>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0-9</w:t>
            </w:r>
          </w:p>
        </w:tc>
        <w:tc>
          <w:tcPr>
            <w:tcW w:w="573" w:type="pct"/>
            <w:vAlign w:val="center"/>
          </w:tcPr>
          <w:p>
            <w:pPr>
              <w:spacing w:before="0" w:beforeAutospacing="0" w:after="0" w:afterAutospacing="0" w:line="360" w:lineRule="auto"/>
              <w:ind w:left="0" w:right="0"/>
              <w:jc w:val="center"/>
              <w:outlineLvl w:val="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bCs/>
                <w:color w:val="auto"/>
                <w:sz w:val="24"/>
                <w:szCs w:val="24"/>
                <w:highlight w:val="none"/>
                <w:lang w:val="en-US" w:eastAsia="zh-CN"/>
              </w:rPr>
              <w:t>客</w:t>
            </w:r>
            <w:r>
              <w:rPr>
                <w:rFonts w:hint="eastAsia" w:asciiTheme="minorEastAsia" w:hAnsiTheme="minorEastAsia" w:eastAsiaTheme="minorEastAsia" w:cstheme="minorEastAsia"/>
                <w:bCs/>
                <w:color w:val="auto"/>
                <w:sz w:val="24"/>
                <w:szCs w:val="24"/>
                <w:highlight w:val="none"/>
              </w:rPr>
              <w:t>观分</w:t>
            </w:r>
          </w:p>
        </w:tc>
        <w:tc>
          <w:tcPr>
            <w:tcW w:w="1058" w:type="pct"/>
            <w:vAlign w:val="center"/>
          </w:tcPr>
          <w:p>
            <w:pPr>
              <w:spacing w:before="0" w:beforeAutospacing="0" w:after="0" w:afterAutospacing="0" w:line="360" w:lineRule="auto"/>
              <w:ind w:left="0" w:right="0"/>
              <w:jc w:val="center"/>
              <w:outlineLvl w:val="0"/>
              <w:rPr>
                <w:rFonts w:hint="eastAsia" w:asciiTheme="minorEastAsia" w:hAnsiTheme="minorEastAsia" w:eastAsia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334" w:type="pct"/>
            <w:vAlign w:val="center"/>
          </w:tcPr>
          <w:p>
            <w:pPr>
              <w:spacing w:before="0" w:beforeAutospacing="0" w:after="0" w:afterAutospacing="0" w:line="600" w:lineRule="exact"/>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2</w:t>
            </w:r>
          </w:p>
        </w:tc>
        <w:tc>
          <w:tcPr>
            <w:tcW w:w="2618"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color w:val="auto"/>
                <w:kern w:val="2"/>
                <w:sz w:val="24"/>
                <w:szCs w:val="24"/>
                <w:lang w:val="en-US" w:eastAsia="zh-CN" w:bidi="ar-SA"/>
              </w:rPr>
            </w:pPr>
            <w:bookmarkStart w:id="417" w:name="OLE_LINK12"/>
            <w:r>
              <w:rPr>
                <w:rFonts w:hint="eastAsia" w:asciiTheme="minorEastAsia" w:hAnsiTheme="minorEastAsia" w:eastAsiaTheme="minorEastAsia" w:cstheme="minorEastAsia"/>
                <w:color w:val="auto"/>
                <w:kern w:val="0"/>
                <w:sz w:val="24"/>
                <w:szCs w:val="24"/>
                <w:highlight w:val="none"/>
                <w:lang w:val="en-US" w:eastAsia="zh-CN" w:bidi="ar-SA"/>
              </w:rPr>
              <w:t>供应商2021年1月1日以来（以合同签订日期为准）完成过的交通安全设施年度维护项目的，每具有一个业绩可得0.5分，最多可得1分，须提供合同复印件。（投标文件中合同复印件加盖公章）</w:t>
            </w:r>
            <w:bookmarkEnd w:id="417"/>
          </w:p>
        </w:tc>
        <w:tc>
          <w:tcPr>
            <w:tcW w:w="415" w:type="pct"/>
            <w:vAlign w:val="center"/>
          </w:tcPr>
          <w:p>
            <w:pPr>
              <w:pStyle w:val="86"/>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highlight w:val="none"/>
              </w:rPr>
              <w:t>0-</w:t>
            </w:r>
            <w:r>
              <w:rPr>
                <w:rFonts w:hint="eastAsia" w:asciiTheme="minorEastAsia" w:hAnsiTheme="minorEastAsia" w:eastAsiaTheme="minorEastAsia" w:cstheme="minorEastAsia"/>
                <w:color w:val="auto"/>
                <w:sz w:val="24"/>
                <w:szCs w:val="24"/>
                <w:highlight w:val="none"/>
                <w:lang w:val="en-US" w:eastAsia="zh-CN"/>
              </w:rPr>
              <w:t>1</w:t>
            </w:r>
          </w:p>
        </w:tc>
        <w:tc>
          <w:tcPr>
            <w:tcW w:w="573" w:type="pct"/>
            <w:vAlign w:val="center"/>
          </w:tcPr>
          <w:p>
            <w:pPr>
              <w:spacing w:before="0" w:beforeAutospacing="0" w:after="0" w:afterAutospacing="0" w:line="360" w:lineRule="auto"/>
              <w:ind w:left="0" w:right="0"/>
              <w:outlineLvl w:val="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客观分</w:t>
            </w:r>
          </w:p>
        </w:tc>
        <w:tc>
          <w:tcPr>
            <w:tcW w:w="1058" w:type="pct"/>
            <w:vAlign w:val="center"/>
          </w:tcPr>
          <w:p>
            <w:pPr>
              <w:spacing w:before="0" w:beforeAutospacing="0" w:after="0" w:afterAutospacing="0" w:line="360" w:lineRule="auto"/>
              <w:ind w:left="0" w:right="0"/>
              <w:outlineLvl w:val="0"/>
              <w:rPr>
                <w:rFonts w:hint="eastAsia" w:asciiTheme="minorEastAsia" w:hAnsiTheme="minorEastAsia" w:eastAsia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334" w:type="pct"/>
            <w:vAlign w:val="center"/>
          </w:tcPr>
          <w:p>
            <w:pPr>
              <w:spacing w:before="0" w:beforeAutospacing="0" w:after="0" w:afterAutospacing="0" w:line="600" w:lineRule="exact"/>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3</w:t>
            </w:r>
          </w:p>
        </w:tc>
        <w:tc>
          <w:tcPr>
            <w:tcW w:w="2618" w:type="pct"/>
            <w:vAlign w:val="center"/>
          </w:tcPr>
          <w:p>
            <w:pPr>
              <w:spacing w:before="0" w:beforeAutospacing="0" w:after="0" w:afterAutospacing="0" w:line="360" w:lineRule="auto"/>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bookmarkStart w:id="418" w:name="OLE_LINK15"/>
            <w:r>
              <w:rPr>
                <w:rFonts w:hint="eastAsia" w:asciiTheme="minorEastAsia" w:hAnsiTheme="minorEastAsia" w:eastAsiaTheme="minorEastAsia" w:cstheme="minorEastAsia"/>
                <w:color w:val="auto"/>
                <w:kern w:val="0"/>
                <w:sz w:val="24"/>
                <w:szCs w:val="24"/>
                <w:highlight w:val="none"/>
                <w:lang w:val="en-US" w:eastAsia="zh-CN" w:bidi="ar-SA"/>
              </w:rPr>
              <w:t>项目负责人有中级职称以上（含）、机电二级建造师以上（含）及建筑施工企业项目安全生产证书（建安B证）的，得3分；</w:t>
            </w:r>
          </w:p>
          <w:p>
            <w:pPr>
              <w:spacing w:before="0" w:beforeAutospacing="0" w:after="0" w:afterAutospacing="0" w:line="360" w:lineRule="auto"/>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技术负责人具有高级职称的，得2分；</w:t>
            </w:r>
          </w:p>
          <w:p>
            <w:pPr>
              <w:spacing w:before="0" w:beforeAutospacing="0" w:after="0" w:afterAutospacing="0" w:line="360" w:lineRule="auto"/>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安全员(建安C证)、资料员、材料员、质量员、施工员、标准员、劳务员取得相应证书的每个得1分。（提供项目组成员清单，相关证书复印件并加盖公章及人员近一个月本单位社保缴纳证明等）</w:t>
            </w:r>
            <w:bookmarkEnd w:id="418"/>
          </w:p>
        </w:tc>
        <w:tc>
          <w:tcPr>
            <w:tcW w:w="415" w:type="pct"/>
            <w:vAlign w:val="center"/>
          </w:tcPr>
          <w:p>
            <w:pPr>
              <w:spacing w:before="0" w:beforeAutospacing="0" w:after="0" w:afterAutospacing="0" w:line="600" w:lineRule="exact"/>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0-12</w:t>
            </w:r>
          </w:p>
        </w:tc>
        <w:tc>
          <w:tcPr>
            <w:tcW w:w="573" w:type="pct"/>
            <w:vAlign w:val="center"/>
          </w:tcPr>
          <w:p>
            <w:pPr>
              <w:spacing w:before="0" w:beforeAutospacing="0" w:after="0" w:afterAutospacing="0" w:line="600" w:lineRule="exact"/>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客观分</w:t>
            </w:r>
          </w:p>
        </w:tc>
        <w:tc>
          <w:tcPr>
            <w:tcW w:w="1058" w:type="pct"/>
            <w:vAlign w:val="center"/>
          </w:tcPr>
          <w:p>
            <w:pPr>
              <w:spacing w:before="0" w:beforeAutospacing="0" w:after="0" w:afterAutospacing="0" w:line="600" w:lineRule="exact"/>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4" w:type="pct"/>
            <w:vAlign w:val="center"/>
          </w:tcPr>
          <w:p>
            <w:pPr>
              <w:spacing w:before="0" w:beforeAutospacing="0" w:after="0" w:afterAutospacing="0" w:line="600" w:lineRule="exact"/>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4</w:t>
            </w:r>
          </w:p>
        </w:tc>
        <w:tc>
          <w:tcPr>
            <w:tcW w:w="2618"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4"/>
                <w:szCs w:val="24"/>
                <w:highlight w:val="none"/>
              </w:rPr>
            </w:pPr>
            <w:bookmarkStart w:id="419" w:name="OLE_LINK17"/>
            <w:r>
              <w:rPr>
                <w:rFonts w:hint="eastAsia" w:asciiTheme="minorEastAsia" w:hAnsiTheme="minorEastAsia" w:eastAsiaTheme="minorEastAsia" w:cstheme="minorEastAsia"/>
                <w:color w:val="auto"/>
                <w:sz w:val="24"/>
                <w:szCs w:val="24"/>
                <w:highlight w:val="none"/>
              </w:rPr>
              <w:t>设备的投入：1、</w:t>
            </w:r>
            <w:bookmarkStart w:id="420" w:name="OLE_LINK16"/>
            <w:r>
              <w:rPr>
                <w:rFonts w:hint="eastAsia" w:asciiTheme="minorEastAsia" w:hAnsiTheme="minorEastAsia" w:eastAsiaTheme="minorEastAsia" w:cstheme="minorEastAsia"/>
                <w:color w:val="auto"/>
                <w:sz w:val="24"/>
                <w:szCs w:val="24"/>
                <w:highlight w:val="none"/>
              </w:rPr>
              <w:t>具有逆反射系数检测仪器的，得</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分；标线厚度测定仪器的，得</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分；水除线设备的，得</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eastAsiaTheme="minorEastAsia" w:cstheme="minorEastAsia"/>
                <w:color w:val="auto"/>
                <w:sz w:val="24"/>
                <w:szCs w:val="24"/>
                <w:highlight w:val="none"/>
                <w:lang w:eastAsia="zh-CN"/>
              </w:rPr>
              <w:t>以上设备</w:t>
            </w:r>
            <w:r>
              <w:rPr>
                <w:rFonts w:hint="eastAsia" w:asciiTheme="minorEastAsia" w:hAnsiTheme="minorEastAsia" w:eastAsiaTheme="minorEastAsia" w:cstheme="minorEastAsia"/>
                <w:color w:val="auto"/>
                <w:sz w:val="24"/>
                <w:szCs w:val="24"/>
                <w:highlight w:val="none"/>
                <w:lang w:val="en-US" w:eastAsia="zh-CN"/>
              </w:rPr>
              <w:t>在投标文件中</w:t>
            </w:r>
            <w:r>
              <w:rPr>
                <w:rFonts w:hint="eastAsia" w:asciiTheme="minorEastAsia" w:hAnsiTheme="minorEastAsia" w:eastAsiaTheme="minorEastAsia" w:cstheme="minorEastAsia"/>
                <w:color w:val="auto"/>
                <w:sz w:val="24"/>
                <w:szCs w:val="24"/>
                <w:highlight w:val="none"/>
              </w:rPr>
              <w:t>提供</w:t>
            </w:r>
            <w:r>
              <w:rPr>
                <w:rFonts w:hint="eastAsia" w:asciiTheme="minorEastAsia" w:hAnsiTheme="minorEastAsia" w:eastAsiaTheme="minorEastAsia" w:cstheme="minorEastAsia"/>
                <w:color w:val="auto"/>
                <w:sz w:val="24"/>
                <w:szCs w:val="24"/>
                <w:highlight w:val="none"/>
                <w:lang w:eastAsia="zh-CN"/>
              </w:rPr>
              <w:t>发票及设备照片</w:t>
            </w:r>
            <w:r>
              <w:rPr>
                <w:rFonts w:hint="eastAsia" w:asciiTheme="minorEastAsia" w:hAnsiTheme="minorEastAsia" w:eastAsiaTheme="minorEastAsia" w:cstheme="minorEastAsia"/>
                <w:color w:val="auto"/>
                <w:sz w:val="24"/>
                <w:szCs w:val="24"/>
                <w:highlight w:val="none"/>
              </w:rPr>
              <w:t>相关证明材料）</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6分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w:t>
            </w:r>
            <w:bookmarkEnd w:id="420"/>
          </w:p>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2、现场车辆方案，包括吊臂作业车、货车及其它工程作业车辆等。</w:t>
            </w:r>
          </w:p>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highlight w:val="none"/>
                <w:lang w:val="en-US" w:eastAsia="zh-CN"/>
              </w:rPr>
              <w:t>具有超过5</w:t>
            </w:r>
            <w:r>
              <w:rPr>
                <w:rFonts w:hint="eastAsia" w:asciiTheme="minorEastAsia" w:hAnsiTheme="minorEastAsia" w:eastAsiaTheme="minorEastAsia" w:cstheme="minorEastAsia"/>
                <w:color w:val="auto"/>
                <w:sz w:val="24"/>
                <w:szCs w:val="24"/>
                <w:highlight w:val="none"/>
              </w:rPr>
              <w:t>辆车得2分，</w:t>
            </w:r>
            <w:r>
              <w:rPr>
                <w:rFonts w:hint="eastAsia" w:asciiTheme="minorEastAsia" w:hAnsiTheme="minorEastAsia" w:eastAsiaTheme="minorEastAsia" w:cstheme="minorEastAsia"/>
                <w:color w:val="auto"/>
                <w:sz w:val="24"/>
                <w:szCs w:val="24"/>
                <w:highlight w:val="none"/>
                <w:lang w:val="en-US" w:eastAsia="zh-CN"/>
              </w:rPr>
              <w:t>其中具有2辆及以上</w:t>
            </w:r>
            <w:r>
              <w:rPr>
                <w:rFonts w:hint="eastAsia" w:asciiTheme="minorEastAsia" w:hAnsiTheme="minorEastAsia" w:eastAsiaTheme="minorEastAsia" w:cstheme="minorEastAsia"/>
                <w:color w:val="auto"/>
                <w:sz w:val="24"/>
                <w:szCs w:val="24"/>
                <w:highlight w:val="none"/>
              </w:rPr>
              <w:t>吊臂作业车(车辆行驶证上车辆类型必须为专项作业车)加1分；超过</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辆（不含）的每增加1辆得1分，最多得</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投标文件中提供</w:t>
            </w:r>
            <w:r>
              <w:rPr>
                <w:rFonts w:hint="eastAsia" w:asciiTheme="minorEastAsia" w:hAnsiTheme="minorEastAsia" w:eastAsiaTheme="minorEastAsia" w:cstheme="minorEastAsia"/>
                <w:color w:val="auto"/>
                <w:sz w:val="24"/>
                <w:szCs w:val="24"/>
                <w:highlight w:val="none"/>
              </w:rPr>
              <w:t>有效的车辆行驶证复印件为准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作业车辆必须符合杭州市相关交通管理要求</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若租赁车辆另需提供车辆租赁合同</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bookmarkEnd w:id="419"/>
          </w:p>
        </w:tc>
        <w:tc>
          <w:tcPr>
            <w:tcW w:w="415" w:type="pct"/>
            <w:vAlign w:val="center"/>
          </w:tcPr>
          <w:p>
            <w:pPr>
              <w:pStyle w:val="86"/>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highlight w:val="none"/>
              </w:rPr>
              <w:t>0-</w:t>
            </w:r>
            <w:r>
              <w:rPr>
                <w:rFonts w:hint="eastAsia" w:asciiTheme="minorEastAsia" w:hAnsiTheme="minorEastAsia" w:eastAsiaTheme="minorEastAsia" w:cstheme="minorEastAsia"/>
                <w:color w:val="auto"/>
                <w:sz w:val="24"/>
                <w:szCs w:val="24"/>
                <w:highlight w:val="none"/>
                <w:lang w:val="en-US" w:eastAsia="zh-CN"/>
              </w:rPr>
              <w:t>12</w:t>
            </w:r>
          </w:p>
        </w:tc>
        <w:tc>
          <w:tcPr>
            <w:tcW w:w="573" w:type="pct"/>
            <w:vAlign w:val="center"/>
          </w:tcPr>
          <w:p>
            <w:pPr>
              <w:spacing w:before="0" w:beforeAutospacing="0" w:after="0" w:afterAutospacing="0" w:line="600" w:lineRule="exact"/>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客观分</w:t>
            </w:r>
          </w:p>
        </w:tc>
        <w:tc>
          <w:tcPr>
            <w:tcW w:w="1058" w:type="pct"/>
            <w:vAlign w:val="center"/>
          </w:tcPr>
          <w:p>
            <w:pPr>
              <w:spacing w:before="0" w:beforeAutospacing="0" w:after="0" w:afterAutospacing="0" w:line="600" w:lineRule="exact"/>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334" w:type="pct"/>
            <w:vAlign w:val="center"/>
          </w:tcPr>
          <w:p>
            <w:pPr>
              <w:spacing w:before="0" w:beforeAutospacing="0" w:after="0" w:afterAutospacing="0" w:line="600" w:lineRule="exact"/>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5</w:t>
            </w:r>
          </w:p>
        </w:tc>
        <w:tc>
          <w:tcPr>
            <w:tcW w:w="2618"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color w:val="auto"/>
                <w:kern w:val="0"/>
                <w:sz w:val="24"/>
                <w:szCs w:val="24"/>
                <w:highlight w:val="none"/>
                <w:lang w:val="en-US" w:eastAsia="zh-CN" w:bidi="ar-SA"/>
              </w:rPr>
            </w:pPr>
            <w:bookmarkStart w:id="421" w:name="OLE_LINK18"/>
            <w:r>
              <w:rPr>
                <w:rFonts w:hint="eastAsia" w:asciiTheme="minorEastAsia" w:hAnsiTheme="minorEastAsia" w:eastAsiaTheme="minorEastAsia" w:cstheme="minorEastAsia"/>
                <w:color w:val="auto"/>
                <w:sz w:val="24"/>
                <w:szCs w:val="24"/>
                <w:highlight w:val="none"/>
              </w:rPr>
              <w:t>针对本次项目提供相关的维护保养方案，综合评定优秀，方案在日常巡视、检查、检测、检修、日常配合等各方面考虑周全，概述详细的得</w:t>
            </w:r>
            <w:bookmarkStart w:id="422" w:name="OLE_LINK1"/>
            <w:r>
              <w:rPr>
                <w:rFonts w:hint="eastAsia" w:asciiTheme="minorEastAsia" w:hAnsiTheme="minorEastAsia" w:eastAsiaTheme="minorEastAsia" w:cstheme="minorEastAsia"/>
                <w:color w:val="auto"/>
                <w:sz w:val="24"/>
                <w:szCs w:val="24"/>
                <w:highlight w:val="none"/>
                <w:lang w:val="en-US" w:eastAsia="zh-CN"/>
              </w:rPr>
              <w:t>8-10</w:t>
            </w:r>
            <w:bookmarkEnd w:id="422"/>
            <w:r>
              <w:rPr>
                <w:rFonts w:hint="eastAsia" w:asciiTheme="minorEastAsia" w:hAnsiTheme="minorEastAsia" w:eastAsiaTheme="minorEastAsia" w:cstheme="minorEastAsia"/>
                <w:color w:val="auto"/>
                <w:sz w:val="24"/>
                <w:szCs w:val="24"/>
                <w:highlight w:val="none"/>
              </w:rPr>
              <w:t>分；综合评定良好，概述较为详细，安排较为科学，方案能满足项目要求的得</w:t>
            </w:r>
            <w:r>
              <w:rPr>
                <w:rFonts w:hint="eastAsia" w:asciiTheme="minorEastAsia" w:hAnsiTheme="minorEastAsia" w:eastAsiaTheme="minorEastAsia" w:cstheme="minorEastAsia"/>
                <w:color w:val="auto"/>
                <w:sz w:val="24"/>
                <w:szCs w:val="24"/>
                <w:highlight w:val="none"/>
                <w:lang w:val="en-US" w:eastAsia="zh-CN"/>
              </w:rPr>
              <w:t>5-8</w:t>
            </w:r>
            <w:r>
              <w:rPr>
                <w:rFonts w:hint="eastAsia" w:asciiTheme="minorEastAsia" w:hAnsiTheme="minorEastAsia" w:eastAsiaTheme="minorEastAsia" w:cstheme="minorEastAsia"/>
                <w:color w:val="auto"/>
                <w:sz w:val="24"/>
                <w:szCs w:val="24"/>
                <w:highlight w:val="none"/>
              </w:rPr>
              <w:t>分；综合评定一般，概述方案简单，能基本满足项目要求的得</w:t>
            </w:r>
            <w:r>
              <w:rPr>
                <w:rFonts w:hint="eastAsia" w:asciiTheme="minorEastAsia" w:hAnsiTheme="minorEastAsia" w:eastAsiaTheme="minorEastAsia" w:cstheme="minorEastAsia"/>
                <w:color w:val="auto"/>
                <w:sz w:val="24"/>
                <w:szCs w:val="24"/>
                <w:highlight w:val="none"/>
                <w:lang w:val="en-US" w:eastAsia="zh-CN"/>
              </w:rPr>
              <w:t>3-5</w:t>
            </w:r>
            <w:r>
              <w:rPr>
                <w:rFonts w:hint="eastAsia" w:asciiTheme="minorEastAsia" w:hAnsiTheme="minorEastAsia" w:eastAsiaTheme="minorEastAsia" w:cstheme="minorEastAsia"/>
                <w:color w:val="auto"/>
                <w:sz w:val="24"/>
                <w:szCs w:val="24"/>
                <w:highlight w:val="none"/>
              </w:rPr>
              <w:t>分；综合评定较差，概述方案不全的得1</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分；未描述方案的不得分。</w:t>
            </w:r>
            <w:bookmarkEnd w:id="421"/>
          </w:p>
        </w:tc>
        <w:tc>
          <w:tcPr>
            <w:tcW w:w="415" w:type="pct"/>
            <w:vAlign w:val="center"/>
          </w:tcPr>
          <w:p>
            <w:pPr>
              <w:pStyle w:val="86"/>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0-</w:t>
            </w:r>
            <w:r>
              <w:rPr>
                <w:rFonts w:hint="eastAsia" w:asciiTheme="minorEastAsia" w:hAnsiTheme="minorEastAsia" w:eastAsiaTheme="minorEastAsia" w:cstheme="minorEastAsia"/>
                <w:color w:val="auto"/>
                <w:sz w:val="24"/>
                <w:szCs w:val="24"/>
                <w:highlight w:val="none"/>
                <w:lang w:val="en-US" w:eastAsia="zh-CN"/>
              </w:rPr>
              <w:t>10</w:t>
            </w:r>
          </w:p>
        </w:tc>
        <w:tc>
          <w:tcPr>
            <w:tcW w:w="573" w:type="pct"/>
            <w:vAlign w:val="center"/>
          </w:tcPr>
          <w:p>
            <w:pPr>
              <w:spacing w:before="0" w:beforeAutospacing="0" w:after="0" w:afterAutospacing="0" w:line="360" w:lineRule="auto"/>
              <w:ind w:left="0" w:leftChars="0" w:right="0" w:rightChars="0"/>
              <w:jc w:val="center"/>
              <w:outlineLvl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kern w:val="0"/>
                <w:sz w:val="24"/>
                <w:szCs w:val="24"/>
                <w:highlight w:val="none"/>
                <w:lang w:val="en-US" w:eastAsia="zh-CN" w:bidi="ar-SA"/>
              </w:rPr>
              <w:t>主观分</w:t>
            </w:r>
          </w:p>
        </w:tc>
        <w:tc>
          <w:tcPr>
            <w:tcW w:w="1058" w:type="pct"/>
            <w:vAlign w:val="center"/>
          </w:tcPr>
          <w:p>
            <w:pPr>
              <w:spacing w:before="0" w:beforeAutospacing="0" w:after="0" w:afterAutospacing="0" w:line="600" w:lineRule="exact"/>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334" w:type="pct"/>
            <w:vAlign w:val="center"/>
          </w:tcPr>
          <w:p>
            <w:pPr>
              <w:spacing w:before="0" w:beforeAutospacing="0" w:after="0" w:afterAutospacing="0" w:line="600" w:lineRule="exact"/>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6</w:t>
            </w:r>
          </w:p>
        </w:tc>
        <w:tc>
          <w:tcPr>
            <w:tcW w:w="2618"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color w:val="auto"/>
                <w:kern w:val="0"/>
                <w:sz w:val="24"/>
                <w:szCs w:val="24"/>
                <w:highlight w:val="none"/>
                <w:lang w:val="en-US" w:eastAsia="zh-CN" w:bidi="ar-SA"/>
              </w:rPr>
            </w:pPr>
            <w:bookmarkStart w:id="423" w:name="OLE_LINK19"/>
            <w:r>
              <w:rPr>
                <w:rFonts w:hint="eastAsia" w:asciiTheme="minorEastAsia" w:hAnsiTheme="minorEastAsia" w:eastAsiaTheme="minorEastAsia" w:cstheme="minorEastAsia"/>
                <w:color w:val="auto"/>
                <w:sz w:val="24"/>
                <w:szCs w:val="24"/>
                <w:highlight w:val="none"/>
              </w:rPr>
              <w:t>综合评定优秀，总体安排科学，包含应急抢修方案，包括接到通知后的响应时间、处理方案、人员安排等详细方案的得</w:t>
            </w:r>
            <w:r>
              <w:rPr>
                <w:rFonts w:hint="eastAsia" w:asciiTheme="minorEastAsia" w:hAnsiTheme="minorEastAsia" w:eastAsiaTheme="minorEastAsia" w:cstheme="minorEastAsia"/>
                <w:color w:val="auto"/>
                <w:sz w:val="24"/>
                <w:szCs w:val="24"/>
                <w:highlight w:val="none"/>
                <w:lang w:val="en-US" w:eastAsia="zh-CN"/>
              </w:rPr>
              <w:t>8-10</w:t>
            </w:r>
            <w:r>
              <w:rPr>
                <w:rFonts w:hint="eastAsia" w:asciiTheme="minorEastAsia" w:hAnsiTheme="minorEastAsia" w:eastAsiaTheme="minorEastAsia" w:cstheme="minorEastAsia"/>
                <w:color w:val="auto"/>
                <w:sz w:val="24"/>
                <w:szCs w:val="24"/>
                <w:highlight w:val="none"/>
              </w:rPr>
              <w:t>分；综合评定良好，方案较为科学完善的得</w:t>
            </w:r>
            <w:r>
              <w:rPr>
                <w:rFonts w:hint="eastAsia" w:asciiTheme="minorEastAsia" w:hAnsiTheme="minorEastAsia" w:eastAsiaTheme="minorEastAsia" w:cstheme="minorEastAsia"/>
                <w:color w:val="auto"/>
                <w:sz w:val="24"/>
                <w:szCs w:val="24"/>
                <w:highlight w:val="none"/>
                <w:lang w:val="en-US" w:eastAsia="zh-CN"/>
              </w:rPr>
              <w:t>5-8</w:t>
            </w:r>
            <w:r>
              <w:rPr>
                <w:rFonts w:hint="eastAsia" w:asciiTheme="minorEastAsia" w:hAnsiTheme="minorEastAsia" w:eastAsiaTheme="minorEastAsia" w:cstheme="minorEastAsia"/>
                <w:color w:val="auto"/>
                <w:sz w:val="24"/>
                <w:szCs w:val="24"/>
                <w:highlight w:val="none"/>
              </w:rPr>
              <w:t>分；综合评定一般，方案较简单的得</w:t>
            </w:r>
            <w:r>
              <w:rPr>
                <w:rFonts w:hint="eastAsia" w:asciiTheme="minorEastAsia" w:hAnsiTheme="minorEastAsia" w:eastAsiaTheme="minorEastAsia" w:cstheme="minorEastAsia"/>
                <w:color w:val="auto"/>
                <w:sz w:val="24"/>
                <w:szCs w:val="24"/>
                <w:highlight w:val="none"/>
                <w:lang w:val="en-US" w:eastAsia="zh-CN"/>
              </w:rPr>
              <w:t>3-5</w:t>
            </w:r>
            <w:r>
              <w:rPr>
                <w:rFonts w:hint="eastAsia" w:asciiTheme="minorEastAsia" w:hAnsiTheme="minorEastAsia" w:eastAsiaTheme="minorEastAsia" w:cstheme="minorEastAsia"/>
                <w:color w:val="auto"/>
                <w:sz w:val="24"/>
                <w:szCs w:val="24"/>
                <w:highlight w:val="none"/>
              </w:rPr>
              <w:t>分；综合评定较差，概述方案不全的得</w:t>
            </w: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rPr>
              <w:t>分；未描述方案的不得分。</w:t>
            </w:r>
            <w:bookmarkEnd w:id="423"/>
          </w:p>
        </w:tc>
        <w:tc>
          <w:tcPr>
            <w:tcW w:w="415" w:type="pct"/>
            <w:vAlign w:val="center"/>
          </w:tcPr>
          <w:p>
            <w:pPr>
              <w:pStyle w:val="86"/>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0-</w:t>
            </w:r>
            <w:r>
              <w:rPr>
                <w:rFonts w:hint="eastAsia" w:asciiTheme="minorEastAsia" w:hAnsiTheme="minorEastAsia" w:eastAsiaTheme="minorEastAsia" w:cstheme="minorEastAsia"/>
                <w:color w:val="auto"/>
                <w:sz w:val="24"/>
                <w:szCs w:val="24"/>
                <w:highlight w:val="none"/>
                <w:lang w:val="en-US" w:eastAsia="zh-CN"/>
              </w:rPr>
              <w:t>10</w:t>
            </w:r>
          </w:p>
        </w:tc>
        <w:tc>
          <w:tcPr>
            <w:tcW w:w="573" w:type="pct"/>
            <w:vAlign w:val="center"/>
          </w:tcPr>
          <w:p>
            <w:pPr>
              <w:spacing w:before="0" w:beforeAutospacing="0" w:after="0" w:afterAutospacing="0" w:line="360" w:lineRule="auto"/>
              <w:ind w:left="0" w:leftChars="0" w:right="0" w:rightChars="0"/>
              <w:outlineLvl w:val="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主观分</w:t>
            </w:r>
          </w:p>
        </w:tc>
        <w:tc>
          <w:tcPr>
            <w:tcW w:w="1058" w:type="pct"/>
            <w:vAlign w:val="center"/>
          </w:tcPr>
          <w:p>
            <w:pPr>
              <w:spacing w:before="0" w:beforeAutospacing="0" w:after="0" w:afterAutospacing="0" w:line="600" w:lineRule="exact"/>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334" w:type="pct"/>
            <w:vAlign w:val="center"/>
          </w:tcPr>
          <w:p>
            <w:pPr>
              <w:spacing w:before="0" w:beforeAutospacing="0" w:after="0" w:afterAutospacing="0" w:line="600" w:lineRule="exact"/>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7</w:t>
            </w:r>
          </w:p>
        </w:tc>
        <w:tc>
          <w:tcPr>
            <w:tcW w:w="2618"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bookmarkStart w:id="424" w:name="OLE_LINK20"/>
            <w:r>
              <w:rPr>
                <w:rFonts w:hint="eastAsia" w:asciiTheme="minorEastAsia" w:hAnsiTheme="minorEastAsia" w:eastAsiaTheme="minorEastAsia" w:cstheme="minorEastAsia"/>
                <w:color w:val="auto"/>
                <w:sz w:val="24"/>
                <w:szCs w:val="24"/>
                <w:highlight w:val="none"/>
              </w:rPr>
              <w:t>方案考虑全面，包括正常养护作业时和发生事故时的交通组织和安全防护措施，以及各项紧急预案且可实施性强的得</w:t>
            </w:r>
            <w:r>
              <w:rPr>
                <w:rFonts w:hint="eastAsia" w:asciiTheme="minorEastAsia" w:hAnsiTheme="minorEastAsia" w:eastAsiaTheme="minorEastAsia" w:cstheme="minorEastAsia"/>
                <w:color w:val="auto"/>
                <w:sz w:val="24"/>
                <w:szCs w:val="24"/>
                <w:highlight w:val="none"/>
                <w:lang w:val="en-US" w:eastAsia="zh-CN"/>
              </w:rPr>
              <w:t>8-10</w:t>
            </w:r>
            <w:r>
              <w:rPr>
                <w:rFonts w:hint="eastAsia" w:asciiTheme="minorEastAsia" w:hAnsiTheme="minorEastAsia" w:eastAsiaTheme="minorEastAsia" w:cstheme="minorEastAsia"/>
                <w:color w:val="auto"/>
                <w:sz w:val="24"/>
                <w:szCs w:val="24"/>
                <w:highlight w:val="none"/>
              </w:rPr>
              <w:t>分；方案考虑较为全面，各项措施较为科学合理的得</w:t>
            </w:r>
            <w:r>
              <w:rPr>
                <w:rFonts w:hint="eastAsia" w:asciiTheme="minorEastAsia" w:hAnsiTheme="minorEastAsia" w:eastAsiaTheme="minorEastAsia" w:cstheme="minorEastAsia"/>
                <w:color w:val="auto"/>
                <w:sz w:val="24"/>
                <w:szCs w:val="24"/>
                <w:highlight w:val="none"/>
                <w:lang w:val="en-US" w:eastAsia="zh-CN"/>
              </w:rPr>
              <w:t>5-8</w:t>
            </w:r>
            <w:r>
              <w:rPr>
                <w:rFonts w:hint="eastAsia" w:asciiTheme="minorEastAsia" w:hAnsiTheme="minorEastAsia" w:eastAsiaTheme="minorEastAsia" w:cstheme="minorEastAsia"/>
                <w:color w:val="auto"/>
                <w:sz w:val="24"/>
                <w:szCs w:val="24"/>
                <w:highlight w:val="none"/>
              </w:rPr>
              <w:t>分；方案全面性一般，各项措施简单，能基本满足要求得</w:t>
            </w:r>
            <w:r>
              <w:rPr>
                <w:rFonts w:hint="eastAsia" w:asciiTheme="minorEastAsia" w:hAnsiTheme="minorEastAsia" w:eastAsiaTheme="minorEastAsia" w:cstheme="minorEastAsia"/>
                <w:color w:val="auto"/>
                <w:sz w:val="24"/>
                <w:szCs w:val="24"/>
                <w:highlight w:val="none"/>
                <w:lang w:val="en-US" w:eastAsia="zh-CN"/>
              </w:rPr>
              <w:t>3-5</w:t>
            </w:r>
            <w:r>
              <w:rPr>
                <w:rFonts w:hint="eastAsia" w:asciiTheme="minorEastAsia" w:hAnsiTheme="minorEastAsia" w:eastAsiaTheme="minorEastAsia" w:cstheme="minorEastAsia"/>
                <w:color w:val="auto"/>
                <w:sz w:val="24"/>
                <w:szCs w:val="24"/>
                <w:highlight w:val="none"/>
              </w:rPr>
              <w:t>分；案全简单，各项措施不完善，能基本满足要求得</w:t>
            </w: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rPr>
              <w:t>分；未描述方案的不得分。</w:t>
            </w:r>
            <w:bookmarkEnd w:id="424"/>
          </w:p>
        </w:tc>
        <w:tc>
          <w:tcPr>
            <w:tcW w:w="415" w:type="pct"/>
            <w:vAlign w:val="center"/>
          </w:tcPr>
          <w:p>
            <w:pPr>
              <w:pStyle w:val="86"/>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0-</w:t>
            </w:r>
            <w:r>
              <w:rPr>
                <w:rFonts w:hint="eastAsia" w:asciiTheme="minorEastAsia" w:hAnsiTheme="minorEastAsia" w:eastAsiaTheme="minorEastAsia" w:cstheme="minorEastAsia"/>
                <w:color w:val="auto"/>
                <w:sz w:val="24"/>
                <w:szCs w:val="24"/>
                <w:highlight w:val="none"/>
                <w:lang w:val="en-US" w:eastAsia="zh-CN"/>
              </w:rPr>
              <w:t>10</w:t>
            </w:r>
          </w:p>
        </w:tc>
        <w:tc>
          <w:tcPr>
            <w:tcW w:w="573" w:type="pct"/>
            <w:vAlign w:val="center"/>
          </w:tcPr>
          <w:p>
            <w:pPr>
              <w:spacing w:before="0" w:beforeAutospacing="0" w:after="0" w:afterAutospacing="0" w:line="360" w:lineRule="auto"/>
              <w:ind w:left="0" w:leftChars="0" w:right="0" w:rightChars="0"/>
              <w:jc w:val="center"/>
              <w:outlineLvl w:val="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主观分</w:t>
            </w:r>
          </w:p>
        </w:tc>
        <w:tc>
          <w:tcPr>
            <w:tcW w:w="1058" w:type="pct"/>
            <w:vAlign w:val="center"/>
          </w:tcPr>
          <w:p>
            <w:pPr>
              <w:spacing w:before="0" w:beforeAutospacing="0" w:after="0" w:afterAutospacing="0" w:line="600" w:lineRule="exact"/>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334" w:type="pct"/>
            <w:vAlign w:val="center"/>
          </w:tcPr>
          <w:p>
            <w:pPr>
              <w:spacing w:before="0" w:beforeAutospacing="0" w:after="0" w:afterAutospacing="0" w:line="600" w:lineRule="exact"/>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8</w:t>
            </w:r>
          </w:p>
        </w:tc>
        <w:tc>
          <w:tcPr>
            <w:tcW w:w="2618"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4"/>
                <w:szCs w:val="24"/>
                <w:highlight w:val="none"/>
                <w:lang w:eastAsia="zh-CN"/>
              </w:rPr>
            </w:pPr>
            <w:bookmarkStart w:id="425" w:name="OLE_LINK21"/>
            <w:r>
              <w:rPr>
                <w:rFonts w:hint="eastAsia" w:asciiTheme="minorEastAsia" w:hAnsiTheme="minorEastAsia" w:eastAsiaTheme="minorEastAsia" w:cstheme="minorEastAsia"/>
                <w:color w:val="auto"/>
                <w:sz w:val="24"/>
                <w:szCs w:val="24"/>
                <w:highlight w:val="none"/>
              </w:rPr>
              <w:t>针对本项目服务质量保证承诺及服务质量</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auto"/>
                <w:sz w:val="24"/>
                <w:szCs w:val="24"/>
                <w:highlight w:val="none"/>
              </w:rPr>
              <w:t>服务质量保证承诺及服务质量优秀，全面具备针对性的得</w:t>
            </w:r>
            <w:r>
              <w:rPr>
                <w:rFonts w:hint="eastAsia" w:asciiTheme="minorEastAsia" w:hAnsiTheme="minorEastAsia" w:eastAsiaTheme="minorEastAsia" w:cstheme="minorEastAsia"/>
                <w:color w:val="auto"/>
                <w:sz w:val="24"/>
                <w:szCs w:val="24"/>
                <w:highlight w:val="none"/>
                <w:lang w:val="en-US" w:eastAsia="zh-CN"/>
              </w:rPr>
              <w:t>8-10</w:t>
            </w:r>
            <w:r>
              <w:rPr>
                <w:rFonts w:hint="eastAsia" w:asciiTheme="minorEastAsia" w:hAnsiTheme="minorEastAsia" w:eastAsiaTheme="minorEastAsia" w:cstheme="minorEastAsia"/>
                <w:color w:val="auto"/>
                <w:sz w:val="24"/>
                <w:szCs w:val="24"/>
                <w:highlight w:val="none"/>
              </w:rPr>
              <w:t>分，承诺及服务质量良好，具备一定针对性的得</w:t>
            </w:r>
            <w:r>
              <w:rPr>
                <w:rFonts w:hint="eastAsia" w:asciiTheme="minorEastAsia" w:hAnsiTheme="minorEastAsia" w:eastAsiaTheme="minorEastAsia" w:cstheme="minorEastAsia"/>
                <w:color w:val="auto"/>
                <w:sz w:val="24"/>
                <w:szCs w:val="24"/>
                <w:highlight w:val="none"/>
                <w:lang w:val="en-US" w:eastAsia="zh-CN"/>
              </w:rPr>
              <w:t>5-8</w:t>
            </w:r>
            <w:r>
              <w:rPr>
                <w:rFonts w:hint="eastAsia" w:asciiTheme="minorEastAsia" w:hAnsiTheme="minorEastAsia" w:eastAsiaTheme="minorEastAsia" w:cstheme="minorEastAsia"/>
                <w:color w:val="auto"/>
                <w:sz w:val="24"/>
                <w:szCs w:val="24"/>
                <w:highlight w:val="none"/>
              </w:rPr>
              <w:t>分；</w:t>
            </w:r>
            <w:bookmarkStart w:id="426" w:name="OLE_LINK6"/>
            <w:r>
              <w:rPr>
                <w:rFonts w:hint="eastAsia" w:asciiTheme="minorEastAsia" w:hAnsiTheme="minorEastAsia" w:eastAsiaTheme="minorEastAsia" w:cstheme="minorEastAsia"/>
                <w:color w:val="auto"/>
                <w:sz w:val="24"/>
                <w:szCs w:val="24"/>
                <w:highlight w:val="none"/>
              </w:rPr>
              <w:t>承诺及服务质量一般得</w:t>
            </w:r>
            <w:r>
              <w:rPr>
                <w:rFonts w:hint="eastAsia" w:asciiTheme="minorEastAsia" w:hAnsiTheme="minorEastAsia" w:eastAsiaTheme="minorEastAsia" w:cstheme="minorEastAsia"/>
                <w:color w:val="auto"/>
                <w:sz w:val="24"/>
                <w:szCs w:val="24"/>
                <w:highlight w:val="none"/>
                <w:lang w:val="en-US" w:eastAsia="zh-CN"/>
              </w:rPr>
              <w:t>3-5</w:t>
            </w:r>
            <w:r>
              <w:rPr>
                <w:rFonts w:hint="eastAsia" w:asciiTheme="minorEastAsia" w:hAnsiTheme="minorEastAsia" w:eastAsiaTheme="minorEastAsia" w:cstheme="minorEastAsia"/>
                <w:color w:val="auto"/>
                <w:sz w:val="24"/>
                <w:szCs w:val="24"/>
                <w:highlight w:val="none"/>
              </w:rPr>
              <w:t>分；</w:t>
            </w:r>
            <w:bookmarkEnd w:id="426"/>
            <w:r>
              <w:rPr>
                <w:rFonts w:hint="eastAsia" w:asciiTheme="minorEastAsia" w:hAnsiTheme="minorEastAsia" w:eastAsiaTheme="minorEastAsia" w:cstheme="minorEastAsia"/>
                <w:color w:val="auto"/>
                <w:sz w:val="24"/>
                <w:szCs w:val="24"/>
                <w:highlight w:val="none"/>
              </w:rPr>
              <w:t>承诺及服务质量</w:t>
            </w:r>
            <w:r>
              <w:rPr>
                <w:rFonts w:hint="eastAsia" w:asciiTheme="minorEastAsia" w:hAnsiTheme="minorEastAsia" w:eastAsiaTheme="minorEastAsia" w:cstheme="minorEastAsia"/>
                <w:color w:val="auto"/>
                <w:sz w:val="24"/>
                <w:szCs w:val="24"/>
                <w:highlight w:val="none"/>
                <w:lang w:val="en-US" w:eastAsia="zh-CN"/>
              </w:rPr>
              <w:t>较差</w:t>
            </w:r>
            <w:r>
              <w:rPr>
                <w:rFonts w:hint="eastAsia" w:asciiTheme="minorEastAsia" w:hAnsiTheme="minorEastAsia" w:eastAsiaTheme="minorEastAsia" w:cstheme="minorEastAsia"/>
                <w:color w:val="auto"/>
                <w:sz w:val="24"/>
                <w:szCs w:val="24"/>
                <w:highlight w:val="none"/>
              </w:rPr>
              <w:t>得</w:t>
            </w: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rPr>
              <w:t>分；未描述方案的不得分。</w:t>
            </w:r>
            <w:bookmarkEnd w:id="425"/>
          </w:p>
        </w:tc>
        <w:tc>
          <w:tcPr>
            <w:tcW w:w="415" w:type="pct"/>
            <w:vAlign w:val="center"/>
          </w:tcPr>
          <w:p>
            <w:pPr>
              <w:pStyle w:val="86"/>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0-</w:t>
            </w:r>
            <w:r>
              <w:rPr>
                <w:rFonts w:hint="eastAsia" w:asciiTheme="minorEastAsia" w:hAnsiTheme="minorEastAsia" w:eastAsiaTheme="minorEastAsia" w:cstheme="minorEastAsia"/>
                <w:color w:val="auto"/>
                <w:sz w:val="24"/>
                <w:szCs w:val="24"/>
                <w:highlight w:val="none"/>
                <w:lang w:val="en-US" w:eastAsia="zh-CN"/>
              </w:rPr>
              <w:t>10</w:t>
            </w:r>
          </w:p>
        </w:tc>
        <w:tc>
          <w:tcPr>
            <w:tcW w:w="573" w:type="pct"/>
            <w:vAlign w:val="center"/>
          </w:tcPr>
          <w:p>
            <w:pPr>
              <w:spacing w:before="0" w:beforeAutospacing="0" w:after="0" w:afterAutospacing="0" w:line="360" w:lineRule="auto"/>
              <w:ind w:left="0" w:leftChars="0" w:right="0" w:rightChars="0"/>
              <w:outlineLvl w:val="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主观分</w:t>
            </w:r>
          </w:p>
        </w:tc>
        <w:tc>
          <w:tcPr>
            <w:tcW w:w="1058" w:type="pct"/>
            <w:vAlign w:val="center"/>
          </w:tcPr>
          <w:p>
            <w:pPr>
              <w:spacing w:before="0" w:beforeAutospacing="0" w:after="0" w:afterAutospacing="0" w:line="600" w:lineRule="exact"/>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34" w:type="pct"/>
            <w:vAlign w:val="center"/>
          </w:tcPr>
          <w:p>
            <w:pPr>
              <w:spacing w:before="0" w:beforeAutospacing="0" w:after="0" w:afterAutospacing="0" w:line="600" w:lineRule="exact"/>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9</w:t>
            </w:r>
          </w:p>
        </w:tc>
        <w:tc>
          <w:tcPr>
            <w:tcW w:w="2618"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color w:val="auto"/>
                <w:sz w:val="24"/>
                <w:szCs w:val="24"/>
                <w:highlight w:val="none"/>
                <w:lang w:val="en-US" w:eastAsia="zh-CN"/>
              </w:rPr>
            </w:pPr>
            <w:bookmarkStart w:id="427" w:name="OLE_LINK22"/>
            <w:r>
              <w:rPr>
                <w:rFonts w:hint="eastAsia" w:asciiTheme="minorEastAsia" w:hAnsiTheme="minorEastAsia" w:eastAsiaTheme="minorEastAsia" w:cstheme="minorEastAsia"/>
                <w:color w:val="auto"/>
                <w:sz w:val="24"/>
                <w:szCs w:val="24"/>
                <w:highlight w:val="none"/>
                <w:lang w:val="en-US" w:eastAsia="zh-CN"/>
              </w:rPr>
              <w:t>施工技术方案及关键部位技术措施编制合理、清晰、施工技术方案中编制依据、技术措施等完全符合本项目、关键部位技术措施内容详尽的得5-8分；</w:t>
            </w:r>
          </w:p>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施工技术方案及关键部位技术措施编制得合理性、清晰度有欠缺，施工技术方案中编制依据、技术措施等部分适用本项目，关键部位技术措施内容较为详尽的得3-5分；</w:t>
            </w:r>
          </w:p>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施工技术方案及关键部位技术措施编制得合理性、清晰度、施工技术方案中编制依据、技术措施等内容粗糙，有明显不针对本项目措施的，得1-3分。</w:t>
            </w:r>
          </w:p>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未描述方案的不得分。</w:t>
            </w:r>
            <w:bookmarkEnd w:id="427"/>
          </w:p>
        </w:tc>
        <w:tc>
          <w:tcPr>
            <w:tcW w:w="415"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0-8</w:t>
            </w:r>
          </w:p>
        </w:tc>
        <w:tc>
          <w:tcPr>
            <w:tcW w:w="573"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主观分</w:t>
            </w:r>
          </w:p>
        </w:tc>
        <w:tc>
          <w:tcPr>
            <w:tcW w:w="1058" w:type="pct"/>
            <w:vAlign w:val="center"/>
          </w:tcPr>
          <w:p>
            <w:pPr>
              <w:spacing w:before="0" w:beforeAutospacing="0" w:after="0" w:afterAutospacing="0" w:line="600" w:lineRule="exact"/>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p>
          <w:p>
            <w:pPr>
              <w:pStyle w:val="25"/>
              <w:spacing w:before="0" w:beforeAutospacing="0" w:after="0" w:afterAutospacing="0"/>
              <w:ind w:left="0" w:right="0"/>
              <w:rPr>
                <w:rFonts w:hint="eastAsia" w:asciiTheme="minorEastAsia" w:hAnsiTheme="minorEastAsia" w:eastAsiaTheme="minorEastAsia" w:cstheme="minorEastAsia"/>
                <w:color w:val="auto"/>
                <w:kern w:val="0"/>
                <w:sz w:val="24"/>
                <w:szCs w:val="24"/>
                <w:highlight w:val="none"/>
                <w:lang w:val="en-US" w:eastAsia="zh-CN" w:bidi="ar-SA"/>
              </w:rPr>
            </w:pPr>
          </w:p>
          <w:p>
            <w:pPr>
              <w:pStyle w:val="26"/>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34" w:type="pct"/>
            <w:vAlign w:val="center"/>
          </w:tcPr>
          <w:p>
            <w:pPr>
              <w:spacing w:before="0" w:beforeAutospacing="0" w:after="0" w:afterAutospacing="0" w:line="600" w:lineRule="exact"/>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10</w:t>
            </w:r>
          </w:p>
        </w:tc>
        <w:tc>
          <w:tcPr>
            <w:tcW w:w="2618"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eastAsia" w:asciiTheme="minorEastAsia" w:hAnsiTheme="minorEastAsia" w:eastAsiaTheme="minorEastAsia" w:cstheme="minorEastAsia"/>
                <w:color w:val="auto"/>
                <w:sz w:val="24"/>
                <w:szCs w:val="24"/>
                <w:highlight w:val="none"/>
                <w:lang w:val="en-US" w:eastAsia="zh-CN"/>
              </w:rPr>
            </w:pPr>
            <w:bookmarkStart w:id="428" w:name="OLE_LINK23"/>
            <w:r>
              <w:rPr>
                <w:rFonts w:hint="eastAsia" w:asciiTheme="minorEastAsia" w:hAnsiTheme="minorEastAsia" w:eastAsiaTheme="minorEastAsia" w:cstheme="minorEastAsia"/>
                <w:color w:val="auto"/>
                <w:sz w:val="24"/>
                <w:szCs w:val="24"/>
                <w:highlight w:val="none"/>
                <w:lang w:val="en-US" w:eastAsia="zh-CN"/>
              </w:rPr>
              <w:t>项目重难点分析及解决方案：</w:t>
            </w:r>
          </w:p>
          <w:p>
            <w:pPr>
              <w:keepNext w:val="0"/>
              <w:keepLines w:val="0"/>
              <w:pageBreakBefore w:val="0"/>
              <w:widowControl w:val="0"/>
              <w:kinsoku/>
              <w:wordWrap/>
              <w:overflowPunct/>
              <w:topLinePunct w:val="0"/>
              <w:autoSpaceDE/>
              <w:autoSpaceDN/>
              <w:bidi w:val="0"/>
              <w:spacing w:before="0" w:beforeAutospacing="0" w:after="0" w:afterAutospacing="0" w:line="360" w:lineRule="auto"/>
              <w:ind w:left="0" w:leftChars="0" w:right="0" w:rightChars="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投标人对本项目提出的重难点内容理解分析及相关解决方案的可行性、科学性合理性强的得5-8分，投标人对本项目提出的重难点内容理解分析及相关解决方案的可行性、科学性合理性一般的得3-5分，投标人对本项目提出的重难点内容理解分析及相关解决方案的可行性、科学性合理性差的得1-3分，不提供不得分。</w:t>
            </w:r>
            <w:bookmarkEnd w:id="428"/>
          </w:p>
        </w:tc>
        <w:tc>
          <w:tcPr>
            <w:tcW w:w="415"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0-8</w:t>
            </w:r>
          </w:p>
        </w:tc>
        <w:tc>
          <w:tcPr>
            <w:tcW w:w="573" w:type="pct"/>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主观分</w:t>
            </w:r>
          </w:p>
        </w:tc>
        <w:tc>
          <w:tcPr>
            <w:tcW w:w="1058" w:type="pct"/>
            <w:vAlign w:val="center"/>
          </w:tcPr>
          <w:p>
            <w:pPr>
              <w:pStyle w:val="26"/>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4" w:type="pct"/>
            <w:vAlign w:val="center"/>
          </w:tcPr>
          <w:p>
            <w:pPr>
              <w:spacing w:before="0" w:beforeAutospacing="0" w:after="0" w:afterAutospacing="0" w:line="600" w:lineRule="exact"/>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11</w:t>
            </w:r>
          </w:p>
        </w:tc>
        <w:tc>
          <w:tcPr>
            <w:tcW w:w="2618" w:type="pct"/>
            <w:vAlign w:val="top"/>
          </w:tcPr>
          <w:p>
            <w:pPr>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有效投标报价的最低价作为评标基准价，其最低报价为满分；按［投标报价得分=（评标基准价/投标报价）*权重］的计算公式计算（报价得分保留两位小数，后一位四舍五入）。</w:t>
            </w:r>
          </w:p>
          <w:p>
            <w:pPr>
              <w:spacing w:before="0" w:beforeAutospacing="0" w:after="0" w:afterAutospacing="0" w:line="360" w:lineRule="auto"/>
              <w:ind w:left="0" w:right="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sz w:val="24"/>
                <w:szCs w:val="24"/>
              </w:rPr>
              <w:t>评标过程中，不得去掉报价中的最高报价和最低报价。</w:t>
            </w:r>
          </w:p>
        </w:tc>
        <w:tc>
          <w:tcPr>
            <w:tcW w:w="415" w:type="pct"/>
            <w:vAlign w:val="center"/>
          </w:tcPr>
          <w:p>
            <w:pPr>
              <w:spacing w:before="0" w:beforeAutospacing="0" w:after="0" w:afterAutospacing="0" w:line="360" w:lineRule="auto"/>
              <w:ind w:left="0" w:right="0"/>
              <w:jc w:val="center"/>
              <w:outlineLvl w:val="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sz w:val="24"/>
                <w:szCs w:val="24"/>
                <w:lang w:val="en-US" w:eastAsia="zh-CN"/>
              </w:rPr>
              <w:t>10</w:t>
            </w:r>
          </w:p>
        </w:tc>
        <w:tc>
          <w:tcPr>
            <w:tcW w:w="573" w:type="pct"/>
            <w:vAlign w:val="center"/>
          </w:tcPr>
          <w:p>
            <w:pPr>
              <w:spacing w:before="0" w:beforeAutospacing="0" w:after="0" w:afterAutospacing="0" w:line="360" w:lineRule="auto"/>
              <w:ind w:left="0" w:leftChars="0" w:right="0" w:rightChars="0"/>
              <w:outlineLvl w:val="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价格分</w:t>
            </w:r>
          </w:p>
        </w:tc>
        <w:tc>
          <w:tcPr>
            <w:tcW w:w="1058" w:type="pct"/>
            <w:vAlign w:val="center"/>
          </w:tcPr>
          <w:p>
            <w:pPr>
              <w:spacing w:before="0" w:beforeAutospacing="0" w:after="0" w:afterAutospacing="0" w:line="600" w:lineRule="exact"/>
              <w:ind w:left="0" w:right="0"/>
              <w:jc w:val="left"/>
              <w:rPr>
                <w:rFonts w:hint="eastAsia" w:asciiTheme="minorEastAsia" w:hAnsiTheme="minorEastAsia" w:eastAsiaTheme="minorEastAsia" w:cstheme="minorEastAsia"/>
                <w:color w:val="auto"/>
                <w:kern w:val="0"/>
                <w:sz w:val="24"/>
                <w:szCs w:val="24"/>
                <w:highlight w:val="none"/>
                <w:lang w:val="en-US" w:eastAsia="zh-CN" w:bidi="ar-SA"/>
              </w:rPr>
            </w:pPr>
          </w:p>
        </w:tc>
      </w:tr>
    </w:tbl>
    <w:p>
      <w:pPr>
        <w:widowControl/>
        <w:spacing w:before="158" w:line="360" w:lineRule="auto"/>
        <w:textAlignment w:val="center"/>
        <w:rPr>
          <w:rFonts w:hint="eastAsia" w:ascii="宋体" w:hAnsi="宋体" w:eastAsia="宋体" w:cs="仿宋"/>
          <w:color w:val="000000"/>
          <w:kern w:val="0"/>
          <w:sz w:val="24"/>
          <w:highlight w:val="none"/>
          <w:lang w:val="en-US" w:eastAsia="zh-CN"/>
        </w:rPr>
      </w:pPr>
    </w:p>
    <w:p>
      <w:pPr>
        <w:snapToGrid w:val="0"/>
        <w:spacing w:line="360" w:lineRule="auto"/>
        <w:rPr>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w:t>
      </w:r>
    </w:p>
    <w:p>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86"/>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86"/>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pStyle w:val="5"/>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pPr>
        <w:pStyle w:val="2"/>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2"/>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2"/>
        <w:snapToGrid w:val="0"/>
        <w:spacing w:line="360" w:lineRule="auto"/>
        <w:rPr>
          <w:rFonts w:cs="宋体"/>
          <w:color w:val="auto"/>
          <w:highlight w:val="none"/>
        </w:rPr>
      </w:pPr>
      <w:r>
        <w:rPr>
          <w:rFonts w:hint="eastAsia" w:cs="宋体"/>
          <w:color w:val="auto"/>
          <w:highlight w:val="none"/>
        </w:rPr>
        <w:t>5.4因重大变故，采购任务取消的。</w:t>
      </w:r>
    </w:p>
    <w:p>
      <w:pPr>
        <w:pStyle w:val="2"/>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pPr>
        <w:pStyle w:val="2"/>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pPr>
        <w:pStyle w:val="2"/>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2"/>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2"/>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2"/>
        <w:snapToGrid w:val="0"/>
        <w:spacing w:line="360" w:lineRule="auto"/>
        <w:ind w:firstLine="0" w:firstLineChars="0"/>
        <w:rPr>
          <w:rFonts w:cs="宋体"/>
          <w:color w:val="auto"/>
          <w:highlight w:val="none"/>
        </w:rPr>
      </w:pPr>
    </w:p>
    <w:bookmarkEnd w:id="37"/>
    <w:p>
      <w:pPr>
        <w:spacing w:line="360" w:lineRule="auto"/>
        <w:ind w:left="720" w:leftChars="343" w:firstLine="1084" w:firstLineChars="300"/>
        <w:outlineLvl w:val="0"/>
        <w:rPr>
          <w:rFonts w:ascii="宋体" w:hAnsi="宋体" w:cs="宋体"/>
          <w:b/>
          <w:color w:val="auto"/>
          <w:sz w:val="36"/>
          <w:szCs w:val="36"/>
          <w:highlight w:val="none"/>
        </w:rPr>
      </w:pPr>
      <w:bookmarkStart w:id="429" w:name="第五部分"/>
      <w:bookmarkStart w:id="430" w:name="_Toc86217003"/>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pPr>
        <w:spacing w:line="360" w:lineRule="auto"/>
        <w:ind w:left="720" w:leftChars="343" w:firstLine="1084" w:firstLineChars="300"/>
        <w:outlineLvl w:val="0"/>
        <w:rPr>
          <w:rFonts w:ascii="宋体" w:hAnsi="宋体" w:cs="宋体"/>
          <w:b/>
          <w:color w:val="auto"/>
          <w:sz w:val="36"/>
          <w:szCs w:val="36"/>
          <w:highlight w:val="none"/>
        </w:rPr>
      </w:pPr>
    </w:p>
    <w:p>
      <w:pPr>
        <w:spacing w:line="360" w:lineRule="auto"/>
        <w:ind w:left="720" w:leftChars="343" w:firstLine="1084" w:firstLineChars="300"/>
        <w:outlineLvl w:val="0"/>
        <w:rPr>
          <w:rFonts w:ascii="宋体" w:hAnsi="宋体" w:cs="宋体"/>
          <w:b/>
          <w:color w:val="auto"/>
          <w:sz w:val="36"/>
          <w:szCs w:val="36"/>
          <w:highlight w:val="none"/>
        </w:rPr>
      </w:pPr>
    </w:p>
    <w:p>
      <w:pPr>
        <w:spacing w:line="360" w:lineRule="auto"/>
        <w:ind w:left="720" w:leftChars="343" w:firstLine="1084" w:firstLineChars="300"/>
        <w:outlineLvl w:val="0"/>
        <w:rPr>
          <w:rFonts w:ascii="宋体" w:hAnsi="宋体" w:cs="宋体"/>
          <w:b/>
          <w:color w:val="auto"/>
          <w:sz w:val="36"/>
          <w:szCs w:val="36"/>
          <w:highlight w:val="none"/>
        </w:rPr>
      </w:pPr>
    </w:p>
    <w:p>
      <w:pPr>
        <w:spacing w:line="360" w:lineRule="auto"/>
        <w:ind w:left="720" w:leftChars="343" w:firstLine="1084" w:firstLineChars="300"/>
        <w:outlineLvl w:val="0"/>
        <w:rPr>
          <w:rFonts w:ascii="宋体" w:hAnsi="宋体" w:cs="宋体"/>
          <w:b/>
          <w:color w:val="auto"/>
          <w:sz w:val="36"/>
          <w:szCs w:val="36"/>
          <w:highlight w:val="none"/>
        </w:rPr>
      </w:pPr>
    </w:p>
    <w:p>
      <w:pPr>
        <w:spacing w:line="360" w:lineRule="auto"/>
        <w:ind w:left="720" w:leftChars="343" w:firstLine="1084" w:firstLineChars="300"/>
        <w:outlineLvl w:val="0"/>
        <w:rPr>
          <w:rFonts w:ascii="宋体" w:hAnsi="宋体" w:cs="宋体"/>
          <w:b/>
          <w:color w:val="auto"/>
          <w:sz w:val="36"/>
          <w:szCs w:val="36"/>
          <w:highlight w:val="none"/>
        </w:rPr>
      </w:pPr>
    </w:p>
    <w:p>
      <w:pPr>
        <w:widowControl/>
        <w:adjustRightInd/>
        <w:jc w:val="left"/>
        <w:rPr>
          <w:rFonts w:ascii="宋体" w:hAnsi="宋体" w:cs="宋体"/>
          <w:b/>
          <w:color w:val="auto"/>
          <w:sz w:val="36"/>
          <w:szCs w:val="36"/>
          <w:highlight w:val="none"/>
        </w:rPr>
      </w:pPr>
      <w:r>
        <w:rPr>
          <w:rFonts w:ascii="宋体" w:hAnsi="宋体" w:cs="宋体"/>
          <w:b/>
          <w:color w:val="auto"/>
          <w:sz w:val="36"/>
          <w:szCs w:val="36"/>
          <w:highlight w:val="none"/>
        </w:rPr>
        <w:br w:type="page"/>
      </w:r>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（服务类）</w:t>
      </w:r>
    </w:p>
    <w:p>
      <w:pPr>
        <w:pStyle w:val="386"/>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pPr>
        <w:spacing w:before="120" w:line="22" w:lineRule="atLeast"/>
        <w:rPr>
          <w:rFonts w:ascii="宋体" w:hAnsi="宋体" w:cs="宋体"/>
          <w:color w:val="auto"/>
          <w:sz w:val="24"/>
          <w:highlight w:val="none"/>
        </w:rPr>
      </w:pPr>
    </w:p>
    <w:p>
      <w:pPr>
        <w:pStyle w:val="5"/>
        <w:rPr>
          <w:color w:val="auto"/>
          <w:highlight w:val="none"/>
        </w:rPr>
      </w:pPr>
    </w:p>
    <w:p>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pStyle w:val="283"/>
        <w:spacing w:before="120" w:line="22" w:lineRule="atLeast"/>
        <w:rPr>
          <w:rFonts w:ascii="宋体" w:hAnsi="宋体" w:eastAsia="宋体" w:cs="宋体"/>
          <w:color w:val="auto"/>
          <w:szCs w:val="24"/>
          <w:highlight w:val="none"/>
        </w:rPr>
      </w:pPr>
    </w:p>
    <w:p>
      <w:pPr>
        <w:pStyle w:val="283"/>
        <w:spacing w:before="120" w:line="22" w:lineRule="atLeast"/>
        <w:rPr>
          <w:rFonts w:ascii="宋体" w:hAnsi="宋体" w:eastAsia="宋体" w:cs="宋体"/>
          <w:color w:val="auto"/>
          <w:szCs w:val="24"/>
          <w:highlight w:val="none"/>
        </w:rPr>
      </w:pPr>
    </w:p>
    <w:p>
      <w:pPr>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widowControl/>
        <w:jc w:val="left"/>
        <w:rPr>
          <w:rFonts w:ascii="宋体" w:hAnsi="宋体" w:cs="宋体"/>
          <w:color w:val="auto"/>
          <w:kern w:val="0"/>
          <w:sz w:val="24"/>
          <w:highlight w:val="none"/>
        </w:rPr>
        <w:sectPr>
          <w:pgSz w:w="11907" w:h="16840"/>
          <w:pgMar w:top="1474" w:right="1814" w:bottom="1474" w:left="1814" w:header="851" w:footer="851" w:gutter="0"/>
          <w:cols w:space="720" w:num="1"/>
        </w:sectPr>
      </w:pPr>
    </w:p>
    <w:p>
      <w:pPr>
        <w:rPr>
          <w:rFonts w:ascii="宋体" w:hAnsi="宋体" w:cs="宋体"/>
          <w:b/>
          <w:color w:val="auto"/>
          <w:sz w:val="24"/>
          <w:highlight w:val="none"/>
        </w:rPr>
      </w:pPr>
    </w:p>
    <w:p>
      <w:pPr>
        <w:spacing w:line="560" w:lineRule="exact"/>
        <w:ind w:firstLine="480" w:firstLineChars="200"/>
        <w:rPr>
          <w:rFonts w:ascii="宋体" w:hAnsi="宋体"/>
          <w:color w:val="auto"/>
          <w:sz w:val="24"/>
          <w:highlight w:val="none"/>
        </w:rPr>
      </w:pPr>
      <w:r>
        <w:rPr>
          <w:rFonts w:ascii="宋体" w:hAnsi="宋体"/>
          <w:color w:val="auto"/>
          <w:sz w:val="24"/>
          <w:highlight w:val="none"/>
          <w:u w:val="single"/>
          <w:lang w:val="zh-CN"/>
        </w:rPr>
        <w:t xml:space="preserve">        </w:t>
      </w:r>
      <w:r>
        <w:rPr>
          <w:rFonts w:hint="eastAsia" w:ascii="宋体" w:hAnsi="宋体"/>
          <w:color w:val="auto"/>
          <w:sz w:val="24"/>
          <w:highlight w:val="none"/>
          <w:lang w:val="zh-CN"/>
        </w:rPr>
        <w:t>年</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月</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日</w:t>
      </w:r>
      <w:r>
        <w:rPr>
          <w:rFonts w:hint="eastAsia" w:ascii="宋体" w:hAnsi="宋体"/>
          <w:color w:val="auto"/>
          <w:sz w:val="24"/>
          <w:highlight w:val="none"/>
        </w:rPr>
        <w:t>，</w:t>
      </w:r>
      <w:r>
        <w:rPr>
          <w:rFonts w:ascii="宋体" w:hAnsi="宋体"/>
          <w:color w:val="auto"/>
          <w:sz w:val="24"/>
          <w:highlight w:val="none"/>
          <w:u w:val="single"/>
        </w:rPr>
        <w:t xml:space="preserve">   </w:t>
      </w:r>
      <w:r>
        <w:rPr>
          <w:rFonts w:hint="eastAsia" w:ascii="宋体" w:hAnsi="宋体" w:cs="宋体"/>
          <w:color w:val="auto"/>
          <w:sz w:val="24"/>
          <w:highlight w:val="none"/>
          <w:u w:val="single"/>
          <w:lang w:eastAsia="zh-CN"/>
        </w:rPr>
        <w:t>杭州市临平区人民政府运河街道办事处</w:t>
      </w:r>
      <w:r>
        <w:rPr>
          <w:rFonts w:ascii="宋体" w:hAnsi="宋体"/>
          <w:color w:val="auto"/>
          <w:sz w:val="24"/>
          <w:highlight w:val="none"/>
          <w:u w:val="single"/>
        </w:rPr>
        <w:t xml:space="preserve">   </w:t>
      </w:r>
      <w:r>
        <w:rPr>
          <w:rFonts w:hint="eastAsia" w:ascii="宋体" w:hAnsi="宋体"/>
          <w:color w:val="auto"/>
          <w:sz w:val="24"/>
          <w:highlight w:val="none"/>
        </w:rPr>
        <w:t>以</w:t>
      </w:r>
      <w:r>
        <w:rPr>
          <w:rFonts w:ascii="宋体" w:hAnsi="宋体"/>
          <w:color w:val="auto"/>
          <w:sz w:val="24"/>
          <w:highlight w:val="none"/>
          <w:u w:val="single"/>
        </w:rPr>
        <w:t xml:space="preserve">   （政府采购方式）  </w:t>
      </w:r>
      <w:r>
        <w:rPr>
          <w:rFonts w:hint="eastAsia" w:ascii="宋体" w:hAnsi="宋体"/>
          <w:color w:val="auto"/>
          <w:sz w:val="24"/>
          <w:highlight w:val="none"/>
        </w:rPr>
        <w:t>对</w:t>
      </w:r>
      <w:r>
        <w:rPr>
          <w:rFonts w:ascii="宋体" w:hAnsi="宋体"/>
          <w:color w:val="auto"/>
          <w:sz w:val="24"/>
          <w:highlight w:val="none"/>
          <w:u w:val="single"/>
        </w:rPr>
        <w:t xml:space="preserve">  </w:t>
      </w:r>
      <w:r>
        <w:rPr>
          <w:rFonts w:hint="eastAsia" w:ascii="宋体" w:hAnsi="宋体" w:cs="宋体"/>
          <w:color w:val="auto"/>
          <w:sz w:val="24"/>
          <w:highlight w:val="none"/>
          <w:u w:val="single"/>
          <w:lang w:eastAsia="zh-CN"/>
        </w:rPr>
        <w:t>运河街道道路安全隐患及零星交通安全设施应急处理设备采购项目</w:t>
      </w:r>
      <w:r>
        <w:rPr>
          <w:rFonts w:hint="eastAsia" w:ascii="宋体" w:hAnsi="宋体" w:cs="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项目进行了采购。经</w:t>
      </w:r>
      <w:r>
        <w:rPr>
          <w:rFonts w:ascii="宋体" w:hAnsi="宋体"/>
          <w:color w:val="auto"/>
          <w:sz w:val="24"/>
          <w:highlight w:val="none"/>
          <w:u w:val="single"/>
        </w:rPr>
        <w:t xml:space="preserve">   （相关评定主体名称）   </w:t>
      </w:r>
      <w:r>
        <w:rPr>
          <w:rFonts w:hint="eastAsia" w:ascii="宋体" w:hAnsi="宋体"/>
          <w:color w:val="auto"/>
          <w:sz w:val="24"/>
          <w:highlight w:val="none"/>
        </w:rPr>
        <w:t>评定，</w:t>
      </w:r>
      <w:r>
        <w:rPr>
          <w:rFonts w:ascii="宋体" w:hAnsi="宋体"/>
          <w:color w:val="auto"/>
          <w:sz w:val="24"/>
          <w:highlight w:val="none"/>
          <w:u w:val="single"/>
        </w:rPr>
        <w:t xml:space="preserve">   （中标</w:t>
      </w:r>
      <w:r>
        <w:rPr>
          <w:rFonts w:hint="eastAsia" w:ascii="宋体" w:hAnsi="宋体"/>
          <w:color w:val="auto"/>
          <w:sz w:val="24"/>
          <w:highlight w:val="none"/>
          <w:u w:val="single"/>
        </w:rPr>
        <w:t>或者成交</w:t>
      </w:r>
      <w:r>
        <w:rPr>
          <w:rFonts w:ascii="宋体" w:hAnsi="宋体"/>
          <w:color w:val="auto"/>
          <w:sz w:val="24"/>
          <w:highlight w:val="none"/>
          <w:u w:val="single"/>
        </w:rPr>
        <w:t xml:space="preserve">供应商名称） </w:t>
      </w:r>
      <w:r>
        <w:rPr>
          <w:rFonts w:hint="eastAsia" w:ascii="宋体" w:hAnsi="宋体"/>
          <w:color w:val="auto"/>
          <w:sz w:val="24"/>
          <w:highlight w:val="none"/>
        </w:rPr>
        <w:t>为该项目</w:t>
      </w:r>
      <w:r>
        <w:rPr>
          <w:rFonts w:hint="eastAsia" w:ascii="宋体" w:hAnsi="宋体" w:cs="宋体"/>
          <w:color w:val="auto"/>
          <w:sz w:val="24"/>
          <w:highlight w:val="none"/>
        </w:rPr>
        <w:t>中标或者成交供应商</w:t>
      </w:r>
      <w:r>
        <w:rPr>
          <w:rFonts w:hint="eastAsia" w:ascii="宋体" w:hAnsi="宋体"/>
          <w:color w:val="auto"/>
          <w:sz w:val="24"/>
          <w:highlight w:val="none"/>
        </w:rPr>
        <w:t>。现于</w:t>
      </w:r>
      <w:r>
        <w:rPr>
          <w:rFonts w:hint="eastAsia" w:ascii="宋体" w:hAnsi="宋体" w:cs="宋体"/>
          <w:color w:val="auto"/>
          <w:sz w:val="24"/>
          <w:highlight w:val="none"/>
        </w:rPr>
        <w:t>中标或者成交通知书</w:t>
      </w:r>
      <w:r>
        <w:rPr>
          <w:rFonts w:hint="eastAsia" w:ascii="宋体" w:hAnsi="宋体"/>
          <w:color w:val="auto"/>
          <w:sz w:val="24"/>
          <w:highlight w:val="none"/>
        </w:rPr>
        <w:t>发出之日起10个工作日内，按照采购文件确定的事项签订本合同。</w:t>
      </w:r>
    </w:p>
    <w:p>
      <w:pPr>
        <w:spacing w:line="560" w:lineRule="exact"/>
        <w:ind w:firstLine="480" w:firstLineChars="200"/>
        <w:rPr>
          <w:rFonts w:ascii="宋体" w:hAnsi="宋体"/>
          <w:color w:val="auto"/>
          <w:sz w:val="24"/>
          <w:highlight w:val="none"/>
        </w:rPr>
      </w:pPr>
      <w:r>
        <w:rPr>
          <w:rFonts w:hint="eastAsia" w:ascii="宋体" w:hAnsi="宋体"/>
          <w:color w:val="auto"/>
          <w:sz w:val="24"/>
          <w:highlight w:val="none"/>
          <w:lang w:val="zh-CN"/>
        </w:rPr>
        <w:t>根据《中华人民共和国民法典》《中华人民共和国政府采购法》等相关法律法规之规定，按照平等、自愿、公平和诚实信用的原则，经</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杭州市临平区人民政府运河街道办事处</w:t>
      </w:r>
      <w:r>
        <w:rPr>
          <w:rFonts w:ascii="宋体" w:hAnsi="宋体"/>
          <w:color w:val="auto"/>
          <w:sz w:val="24"/>
          <w:highlight w:val="none"/>
          <w:u w:val="single"/>
        </w:rPr>
        <w:t xml:space="preserve">   </w:t>
      </w:r>
      <w:r>
        <w:rPr>
          <w:rFonts w:ascii="宋体" w:hAnsi="宋体"/>
          <w:color w:val="auto"/>
          <w:sz w:val="24"/>
          <w:highlight w:val="none"/>
          <w:lang w:val="zh-CN"/>
        </w:rPr>
        <w:t>(以下简称：甲方)和</w:t>
      </w:r>
      <w:r>
        <w:rPr>
          <w:rFonts w:ascii="宋体" w:hAnsi="宋体"/>
          <w:color w:val="auto"/>
          <w:sz w:val="24"/>
          <w:highlight w:val="none"/>
          <w:u w:val="single"/>
        </w:rPr>
        <w:t xml:space="preserve">   （中</w:t>
      </w:r>
      <w:r>
        <w:rPr>
          <w:rFonts w:hint="eastAsia" w:ascii="宋体" w:hAnsi="宋体"/>
          <w:color w:val="auto"/>
          <w:sz w:val="24"/>
          <w:highlight w:val="none"/>
          <w:u w:val="single"/>
        </w:rPr>
        <w:t>或者成交</w:t>
      </w:r>
      <w:r>
        <w:rPr>
          <w:rFonts w:ascii="宋体" w:hAnsi="宋体"/>
          <w:color w:val="auto"/>
          <w:sz w:val="24"/>
          <w:highlight w:val="none"/>
          <w:u w:val="single"/>
        </w:rPr>
        <w:t xml:space="preserve">标供应商名称）   </w:t>
      </w:r>
      <w:r>
        <w:rPr>
          <w:rFonts w:ascii="宋体" w:hAnsi="宋体"/>
          <w:color w:val="auto"/>
          <w:sz w:val="24"/>
          <w:highlight w:val="none"/>
          <w:lang w:val="zh-CN"/>
        </w:rPr>
        <w:t>(以下简称：乙方)协商一致，约定以下合同</w:t>
      </w:r>
      <w:r>
        <w:rPr>
          <w:rFonts w:hint="eastAsia" w:ascii="宋体" w:hAnsi="宋体"/>
          <w:color w:val="auto"/>
          <w:sz w:val="24"/>
          <w:highlight w:val="none"/>
        </w:rPr>
        <w:t>条款，以兹共同遵守、全面履行。</w:t>
      </w:r>
    </w:p>
    <w:p>
      <w:pPr>
        <w:spacing w:line="560" w:lineRule="exact"/>
        <w:ind w:firstLine="482" w:firstLineChars="200"/>
        <w:outlineLvl w:val="0"/>
        <w:rPr>
          <w:rFonts w:ascii="宋体" w:hAnsi="宋体"/>
          <w:color w:val="auto"/>
          <w:sz w:val="24"/>
          <w:highlight w:val="none"/>
        </w:rPr>
      </w:pPr>
      <w:bookmarkStart w:id="431" w:name="_Toc15367"/>
      <w:bookmarkStart w:id="432" w:name="_Toc22967"/>
      <w:bookmarkStart w:id="433" w:name="_Toc28855"/>
      <w:bookmarkStart w:id="434" w:name="_Toc19273"/>
      <w:bookmarkStart w:id="435" w:name="_Toc20421"/>
      <w:r>
        <w:rPr>
          <w:rFonts w:ascii="宋体" w:hAnsi="宋体"/>
          <w:b/>
          <w:color w:val="auto"/>
          <w:sz w:val="24"/>
          <w:highlight w:val="none"/>
        </w:rPr>
        <w:t xml:space="preserve">1.1 </w:t>
      </w:r>
      <w:r>
        <w:rPr>
          <w:rFonts w:hint="eastAsia" w:ascii="宋体" w:hAnsi="宋体"/>
          <w:b/>
          <w:color w:val="auto"/>
          <w:sz w:val="24"/>
          <w:highlight w:val="none"/>
        </w:rPr>
        <w:t>合同组成部分</w:t>
      </w:r>
      <w:bookmarkEnd w:id="431"/>
      <w:bookmarkEnd w:id="432"/>
      <w:bookmarkEnd w:id="433"/>
      <w:bookmarkEnd w:id="434"/>
      <w:bookmarkEnd w:id="435"/>
    </w:p>
    <w:p>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本合同及其补充合同、变更协议；</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1.1.2 </w:t>
      </w:r>
      <w:r>
        <w:rPr>
          <w:rFonts w:hint="eastAsia" w:ascii="宋体" w:hAnsi="宋体"/>
          <w:color w:val="auto"/>
          <w:sz w:val="24"/>
          <w:highlight w:val="none"/>
        </w:rPr>
        <w:t>中标或者成交通知书；</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1.1.3 </w:t>
      </w:r>
      <w:r>
        <w:rPr>
          <w:rFonts w:hint="eastAsia" w:ascii="宋体" w:hAnsi="宋体"/>
          <w:color w:val="auto"/>
          <w:sz w:val="24"/>
          <w:highlight w:val="none"/>
        </w:rPr>
        <w:t>投标或者响应文件（含澄清或者说明文件）；</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1.1.4 </w:t>
      </w:r>
      <w:r>
        <w:rPr>
          <w:rFonts w:hint="eastAsia" w:ascii="宋体" w:hAnsi="宋体"/>
          <w:color w:val="auto"/>
          <w:sz w:val="24"/>
          <w:highlight w:val="none"/>
        </w:rPr>
        <w:t>采购文件（含澄清或者修改文件）；</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1.1.5 </w:t>
      </w:r>
      <w:r>
        <w:rPr>
          <w:rFonts w:hint="eastAsia" w:ascii="宋体" w:hAnsi="宋体"/>
          <w:color w:val="auto"/>
          <w:sz w:val="24"/>
          <w:highlight w:val="none"/>
        </w:rPr>
        <w:t>其他相关采购文件。</w:t>
      </w:r>
    </w:p>
    <w:p>
      <w:pPr>
        <w:spacing w:line="560" w:lineRule="exact"/>
        <w:ind w:firstLine="482" w:firstLineChars="200"/>
        <w:outlineLvl w:val="0"/>
        <w:rPr>
          <w:rFonts w:ascii="宋体" w:hAnsi="宋体"/>
          <w:b/>
          <w:color w:val="auto"/>
          <w:sz w:val="24"/>
          <w:highlight w:val="none"/>
        </w:rPr>
      </w:pPr>
      <w:bookmarkStart w:id="436" w:name="_Toc2918"/>
      <w:bookmarkStart w:id="437" w:name="_Toc6773"/>
      <w:bookmarkStart w:id="438" w:name="_Toc22185"/>
      <w:bookmarkStart w:id="439" w:name="_Toc6311"/>
      <w:bookmarkStart w:id="440" w:name="_Toc18585"/>
      <w:r>
        <w:rPr>
          <w:rFonts w:ascii="宋体" w:hAnsi="宋体"/>
          <w:b/>
          <w:color w:val="auto"/>
          <w:sz w:val="24"/>
          <w:highlight w:val="none"/>
        </w:rPr>
        <w:t xml:space="preserve">1.2 </w:t>
      </w:r>
      <w:r>
        <w:rPr>
          <w:rFonts w:hint="eastAsia" w:ascii="宋体" w:hAnsi="宋体"/>
          <w:b/>
          <w:color w:val="auto"/>
          <w:sz w:val="24"/>
          <w:highlight w:val="none"/>
        </w:rPr>
        <w:t>标的</w:t>
      </w:r>
      <w:bookmarkEnd w:id="436"/>
      <w:bookmarkEnd w:id="437"/>
      <w:bookmarkEnd w:id="438"/>
      <w:bookmarkEnd w:id="439"/>
      <w:bookmarkEnd w:id="440"/>
    </w:p>
    <w:p>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1.2.1 </w:t>
      </w:r>
      <w:r>
        <w:rPr>
          <w:rFonts w:hint="eastAsia" w:ascii="宋体" w:hAnsi="宋体"/>
          <w:color w:val="auto"/>
          <w:sz w:val="24"/>
          <w:highlight w:val="none"/>
        </w:rPr>
        <w:t>服务内容</w:t>
      </w:r>
      <w:r>
        <w:rPr>
          <w:rFonts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w:t>
      </w:r>
    </w:p>
    <w:p>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1.2.2 </w:t>
      </w:r>
      <w:r>
        <w:rPr>
          <w:rFonts w:hint="eastAsia" w:ascii="宋体" w:hAnsi="宋体"/>
          <w:color w:val="auto"/>
          <w:sz w:val="24"/>
          <w:highlight w:val="none"/>
        </w:rPr>
        <w:t>服务标准</w:t>
      </w:r>
      <w:r>
        <w:rPr>
          <w:rFonts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w:t>
      </w:r>
    </w:p>
    <w:p>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1.2.3 </w:t>
      </w:r>
      <w:r>
        <w:rPr>
          <w:rFonts w:hint="eastAsia" w:ascii="宋体" w:hAnsi="宋体"/>
          <w:color w:val="auto"/>
          <w:sz w:val="24"/>
          <w:highlight w:val="none"/>
        </w:rPr>
        <w:t>技术保障：</w:t>
      </w:r>
      <w:r>
        <w:rPr>
          <w:rFonts w:ascii="宋体" w:hAnsi="宋体"/>
          <w:color w:val="auto"/>
          <w:sz w:val="24"/>
          <w:highlight w:val="none"/>
          <w:u w:val="single"/>
        </w:rPr>
        <w:t xml:space="preserve">　　　　　　　　　                      　      </w:t>
      </w:r>
      <w:r>
        <w:rPr>
          <w:rFonts w:hint="eastAsia" w:ascii="宋体" w:hAnsi="宋体"/>
          <w:color w:val="auto"/>
          <w:sz w:val="24"/>
          <w:highlight w:val="none"/>
          <w:u w:val="single"/>
        </w:rPr>
        <w:t>；</w:t>
      </w:r>
    </w:p>
    <w:p>
      <w:pPr>
        <w:spacing w:line="560" w:lineRule="exact"/>
        <w:ind w:firstLine="480" w:firstLineChars="200"/>
        <w:jc w:val="left"/>
        <w:rPr>
          <w:rFonts w:ascii="宋体" w:hAnsi="宋体"/>
          <w:color w:val="auto"/>
          <w:sz w:val="24"/>
          <w:highlight w:val="none"/>
        </w:rPr>
      </w:pPr>
      <w:r>
        <w:rPr>
          <w:rFonts w:hint="eastAsia" w:ascii="宋体" w:hAnsi="宋体"/>
          <w:color w:val="auto"/>
          <w:sz w:val="24"/>
          <w:highlight w:val="none"/>
        </w:rPr>
        <w:t>1.2.4 服务人员组成：</w:t>
      </w:r>
      <w:r>
        <w:rPr>
          <w:rFonts w:ascii="宋体" w:hAnsi="宋体"/>
          <w:color w:val="auto"/>
          <w:sz w:val="24"/>
          <w:highlight w:val="none"/>
          <w:u w:val="single"/>
        </w:rPr>
        <w:t xml:space="preserve">　　             　      </w:t>
      </w:r>
      <w:r>
        <w:rPr>
          <w:rFonts w:hint="eastAsia" w:ascii="宋体" w:hAnsi="宋体"/>
          <w:color w:val="auto"/>
          <w:sz w:val="24"/>
          <w:highlight w:val="none"/>
        </w:rPr>
        <w:t>；</w:t>
      </w:r>
    </w:p>
    <w:p>
      <w:pPr>
        <w:pStyle w:val="618"/>
        <w:spacing w:before="0" w:beforeAutospacing="0" w:after="0" w:afterAutospacing="0" w:line="360" w:lineRule="auto"/>
        <w:ind w:firstLine="480"/>
        <w:rPr>
          <w:color w:val="auto"/>
          <w:highlight w:val="none"/>
        </w:rPr>
      </w:pPr>
      <w:r>
        <w:rPr>
          <w:rFonts w:hint="eastAsia"/>
          <w:color w:val="auto"/>
          <w:highlight w:val="none"/>
        </w:rPr>
        <w:t>1.2.5合同</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否）涉及货物。若涉及货物的的，则：</w:t>
      </w:r>
    </w:p>
    <w:p>
      <w:pPr>
        <w:spacing w:line="560" w:lineRule="exact"/>
        <w:ind w:firstLine="480" w:firstLineChars="200"/>
        <w:rPr>
          <w:rFonts w:ascii="宋体" w:hAnsi="宋体" w:cs="宋体"/>
          <w:color w:val="auto"/>
          <w:sz w:val="24"/>
          <w:highlight w:val="none"/>
          <w:u w:val="single"/>
        </w:rPr>
      </w:pPr>
      <w:bookmarkStart w:id="441" w:name="_Toc21124"/>
      <w:bookmarkStart w:id="442" w:name="_Toc5635"/>
      <w:bookmarkStart w:id="443" w:name="_Toc1386"/>
      <w:bookmarkStart w:id="444" w:name="_Toc13918"/>
      <w:bookmarkStart w:id="445" w:name="_Toc4929"/>
      <w:r>
        <w:rPr>
          <w:rFonts w:hint="eastAsia" w:ascii="宋体" w:hAnsi="宋体" w:cs="宋体"/>
          <w:color w:val="auto"/>
          <w:sz w:val="24"/>
          <w:highlight w:val="none"/>
        </w:rPr>
        <w:t>1.2.5.1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2" w:firstLineChars="200"/>
        <w:outlineLvl w:val="0"/>
        <w:rPr>
          <w:rFonts w:ascii="宋体" w:hAnsi="宋体"/>
          <w:b/>
          <w:color w:val="auto"/>
          <w:sz w:val="24"/>
          <w:highlight w:val="none"/>
        </w:rPr>
      </w:pPr>
      <w:r>
        <w:rPr>
          <w:rFonts w:ascii="宋体" w:hAnsi="宋体"/>
          <w:b/>
          <w:color w:val="auto"/>
          <w:sz w:val="24"/>
          <w:highlight w:val="none"/>
        </w:rPr>
        <w:t>1.3 价款</w:t>
      </w:r>
      <w:bookmarkEnd w:id="441"/>
      <w:bookmarkEnd w:id="442"/>
      <w:bookmarkEnd w:id="443"/>
      <w:bookmarkEnd w:id="444"/>
      <w:bookmarkEnd w:id="445"/>
    </w:p>
    <w:p>
      <w:pPr>
        <w:spacing w:line="560" w:lineRule="exact"/>
        <w:ind w:firstLine="480" w:firstLineChars="200"/>
        <w:rPr>
          <w:rFonts w:ascii="宋体" w:hAnsi="宋体"/>
          <w:color w:val="auto"/>
          <w:sz w:val="24"/>
          <w:highlight w:val="none"/>
        </w:rPr>
      </w:pPr>
      <w:r>
        <w:rPr>
          <w:rFonts w:hint="eastAsia" w:ascii="宋体" w:hAnsi="宋体" w:cs="宋体"/>
          <w:color w:val="auto"/>
          <w:sz w:val="24"/>
          <w:highlight w:val="none"/>
        </w:rPr>
        <w:t>本项目采用以下第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条款规定的计价方式计价。</w:t>
      </w:r>
    </w:p>
    <w:p>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1.3.1总价合同，</w:t>
      </w:r>
      <w:r>
        <w:rPr>
          <w:rFonts w:ascii="宋体" w:hAnsi="宋体"/>
          <w:color w:val="auto"/>
          <w:sz w:val="24"/>
          <w:highlight w:val="none"/>
        </w:rPr>
        <w:t>本合同总价</w:t>
      </w:r>
      <w:r>
        <w:rPr>
          <w:rFonts w:hint="eastAsia" w:ascii="宋体" w:hAnsi="宋体"/>
          <w:color w:val="auto"/>
          <w:sz w:val="24"/>
          <w:highlight w:val="none"/>
        </w:rPr>
        <w:t>（含税）</w:t>
      </w:r>
      <w:r>
        <w:rPr>
          <w:rFonts w:ascii="宋体" w:hAnsi="宋体"/>
          <w:color w:val="auto"/>
          <w:sz w:val="24"/>
          <w:highlight w:val="none"/>
        </w:rPr>
        <w:t>为</w:t>
      </w:r>
      <w:r>
        <w:rPr>
          <w:rFonts w:hint="eastAsia" w:ascii="宋体" w:hAnsi="宋体"/>
          <w:color w:val="auto"/>
          <w:sz w:val="24"/>
          <w:highlight w:val="none"/>
        </w:rPr>
        <w:t>：￥</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r>
        <w:rPr>
          <w:rFonts w:ascii="宋体" w:hAnsi="宋体"/>
          <w:color w:val="auto"/>
          <w:sz w:val="24"/>
          <w:highlight w:val="none"/>
        </w:rPr>
        <w:t>。</w:t>
      </w:r>
    </w:p>
    <w:p>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06"/>
              <w:spacing w:line="560" w:lineRule="exact"/>
              <w:jc w:val="center"/>
              <w:rPr>
                <w:rFonts w:hAnsi="宋体"/>
                <w:color w:val="auto"/>
                <w:sz w:val="24"/>
                <w:szCs w:val="24"/>
                <w:highlight w:val="none"/>
              </w:rPr>
            </w:pPr>
            <w:r>
              <w:rPr>
                <w:rFonts w:hAnsi="宋体"/>
                <w:color w:val="auto"/>
                <w:sz w:val="24"/>
                <w:szCs w:val="24"/>
                <w:highlight w:val="none"/>
              </w:rPr>
              <w:t>序号</w:t>
            </w:r>
          </w:p>
        </w:tc>
        <w:tc>
          <w:tcPr>
            <w:tcW w:w="3402" w:type="dxa"/>
            <w:vAlign w:val="center"/>
          </w:tcPr>
          <w:p>
            <w:pPr>
              <w:pStyle w:val="106"/>
              <w:spacing w:line="560" w:lineRule="exact"/>
              <w:ind w:firstLine="200"/>
              <w:jc w:val="center"/>
              <w:rPr>
                <w:rFonts w:hAnsi="宋体"/>
                <w:color w:val="auto"/>
                <w:sz w:val="24"/>
                <w:szCs w:val="24"/>
                <w:highlight w:val="none"/>
              </w:rPr>
            </w:pPr>
            <w:r>
              <w:rPr>
                <w:rFonts w:hint="eastAsia" w:hAnsi="宋体"/>
                <w:color w:val="auto"/>
                <w:sz w:val="24"/>
                <w:szCs w:val="24"/>
                <w:highlight w:val="none"/>
              </w:rPr>
              <w:t>分项名称</w:t>
            </w:r>
          </w:p>
        </w:tc>
        <w:tc>
          <w:tcPr>
            <w:tcW w:w="2552" w:type="dxa"/>
            <w:vAlign w:val="center"/>
          </w:tcPr>
          <w:p>
            <w:pPr>
              <w:pStyle w:val="106"/>
              <w:spacing w:line="560" w:lineRule="exact"/>
              <w:jc w:val="center"/>
              <w:rPr>
                <w:rFonts w:hAnsi="宋体"/>
                <w:color w:val="auto"/>
                <w:sz w:val="24"/>
                <w:szCs w:val="24"/>
                <w:highlight w:val="none"/>
              </w:rPr>
            </w:pPr>
            <w:r>
              <w:rPr>
                <w:rFonts w:hAnsi="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06"/>
              <w:spacing w:line="560" w:lineRule="exact"/>
              <w:ind w:firstLine="200"/>
              <w:jc w:val="center"/>
              <w:rPr>
                <w:rFonts w:hAnsi="宋体"/>
                <w:color w:val="auto"/>
                <w:sz w:val="24"/>
                <w:szCs w:val="24"/>
                <w:highlight w:val="none"/>
              </w:rPr>
            </w:pPr>
          </w:p>
        </w:tc>
        <w:tc>
          <w:tcPr>
            <w:tcW w:w="3402" w:type="dxa"/>
            <w:vAlign w:val="center"/>
          </w:tcPr>
          <w:p>
            <w:pPr>
              <w:pStyle w:val="106"/>
              <w:spacing w:line="560" w:lineRule="exact"/>
              <w:ind w:firstLine="200"/>
              <w:jc w:val="center"/>
              <w:rPr>
                <w:rFonts w:hAnsi="宋体"/>
                <w:color w:val="auto"/>
                <w:sz w:val="24"/>
                <w:szCs w:val="24"/>
                <w:highlight w:val="none"/>
              </w:rPr>
            </w:pPr>
          </w:p>
        </w:tc>
        <w:tc>
          <w:tcPr>
            <w:tcW w:w="2552" w:type="dxa"/>
            <w:vAlign w:val="center"/>
          </w:tcPr>
          <w:p>
            <w:pPr>
              <w:pStyle w:val="106"/>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06"/>
              <w:spacing w:line="560" w:lineRule="exact"/>
              <w:ind w:firstLine="200"/>
              <w:jc w:val="center"/>
              <w:rPr>
                <w:rFonts w:hAnsi="宋体"/>
                <w:color w:val="auto"/>
                <w:sz w:val="24"/>
                <w:szCs w:val="24"/>
                <w:highlight w:val="none"/>
              </w:rPr>
            </w:pPr>
          </w:p>
        </w:tc>
        <w:tc>
          <w:tcPr>
            <w:tcW w:w="3402" w:type="dxa"/>
            <w:vAlign w:val="center"/>
          </w:tcPr>
          <w:p>
            <w:pPr>
              <w:pStyle w:val="106"/>
              <w:spacing w:line="560" w:lineRule="exact"/>
              <w:ind w:firstLine="200"/>
              <w:jc w:val="center"/>
              <w:rPr>
                <w:rFonts w:hAnsi="宋体"/>
                <w:color w:val="auto"/>
                <w:sz w:val="24"/>
                <w:szCs w:val="24"/>
                <w:highlight w:val="none"/>
              </w:rPr>
            </w:pPr>
          </w:p>
        </w:tc>
        <w:tc>
          <w:tcPr>
            <w:tcW w:w="2552" w:type="dxa"/>
            <w:vAlign w:val="center"/>
          </w:tcPr>
          <w:p>
            <w:pPr>
              <w:pStyle w:val="106"/>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06"/>
              <w:spacing w:line="560" w:lineRule="exact"/>
              <w:ind w:firstLine="200"/>
              <w:jc w:val="center"/>
              <w:rPr>
                <w:rFonts w:hAnsi="宋体"/>
                <w:color w:val="auto"/>
                <w:sz w:val="24"/>
                <w:szCs w:val="24"/>
                <w:highlight w:val="none"/>
              </w:rPr>
            </w:pPr>
          </w:p>
        </w:tc>
        <w:tc>
          <w:tcPr>
            <w:tcW w:w="3402" w:type="dxa"/>
            <w:vAlign w:val="center"/>
          </w:tcPr>
          <w:p>
            <w:pPr>
              <w:pStyle w:val="106"/>
              <w:spacing w:line="560" w:lineRule="exact"/>
              <w:ind w:firstLine="200"/>
              <w:jc w:val="center"/>
              <w:rPr>
                <w:rFonts w:hAnsi="宋体"/>
                <w:color w:val="auto"/>
                <w:sz w:val="24"/>
                <w:szCs w:val="24"/>
                <w:highlight w:val="none"/>
              </w:rPr>
            </w:pPr>
          </w:p>
        </w:tc>
        <w:tc>
          <w:tcPr>
            <w:tcW w:w="2552" w:type="dxa"/>
            <w:vAlign w:val="center"/>
          </w:tcPr>
          <w:p>
            <w:pPr>
              <w:pStyle w:val="106"/>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06"/>
              <w:spacing w:line="560" w:lineRule="exact"/>
              <w:ind w:firstLine="200"/>
              <w:jc w:val="center"/>
              <w:rPr>
                <w:rFonts w:hAnsi="宋体"/>
                <w:color w:val="auto"/>
                <w:sz w:val="24"/>
                <w:szCs w:val="24"/>
                <w:highlight w:val="none"/>
              </w:rPr>
            </w:pPr>
          </w:p>
        </w:tc>
        <w:tc>
          <w:tcPr>
            <w:tcW w:w="3402" w:type="dxa"/>
            <w:vAlign w:val="center"/>
          </w:tcPr>
          <w:p>
            <w:pPr>
              <w:pStyle w:val="106"/>
              <w:spacing w:line="560" w:lineRule="exact"/>
              <w:ind w:firstLine="200"/>
              <w:jc w:val="center"/>
              <w:rPr>
                <w:rFonts w:hAnsi="宋体"/>
                <w:color w:val="auto"/>
                <w:sz w:val="24"/>
                <w:szCs w:val="24"/>
                <w:highlight w:val="none"/>
              </w:rPr>
            </w:pPr>
          </w:p>
        </w:tc>
        <w:tc>
          <w:tcPr>
            <w:tcW w:w="2552" w:type="dxa"/>
            <w:vAlign w:val="center"/>
          </w:tcPr>
          <w:p>
            <w:pPr>
              <w:pStyle w:val="106"/>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106"/>
              <w:spacing w:line="560" w:lineRule="exact"/>
              <w:ind w:firstLine="200"/>
              <w:jc w:val="center"/>
              <w:rPr>
                <w:rFonts w:hAnsi="宋体"/>
                <w:color w:val="auto"/>
                <w:sz w:val="24"/>
                <w:szCs w:val="24"/>
                <w:highlight w:val="none"/>
              </w:rPr>
            </w:pPr>
            <w:r>
              <w:rPr>
                <w:rFonts w:hint="eastAsia" w:hAnsi="宋体"/>
                <w:color w:val="auto"/>
                <w:sz w:val="24"/>
                <w:szCs w:val="24"/>
                <w:highlight w:val="none"/>
              </w:rPr>
              <w:t>总价</w:t>
            </w:r>
          </w:p>
        </w:tc>
        <w:tc>
          <w:tcPr>
            <w:tcW w:w="2552" w:type="dxa"/>
            <w:vAlign w:val="center"/>
          </w:tcPr>
          <w:p>
            <w:pPr>
              <w:pStyle w:val="106"/>
              <w:spacing w:line="560" w:lineRule="exact"/>
              <w:ind w:firstLine="200"/>
              <w:jc w:val="center"/>
              <w:rPr>
                <w:rFonts w:hAnsi="宋体"/>
                <w:color w:val="auto"/>
                <w:sz w:val="24"/>
                <w:szCs w:val="24"/>
                <w:highlight w:val="none"/>
              </w:rPr>
            </w:pPr>
          </w:p>
        </w:tc>
      </w:tr>
    </w:tbl>
    <w:p>
      <w:pPr>
        <w:spacing w:line="560" w:lineRule="exact"/>
        <w:ind w:firstLine="480" w:firstLineChars="200"/>
        <w:rPr>
          <w:rFonts w:ascii="宋体" w:hAnsi="宋体"/>
          <w:color w:val="auto"/>
          <w:sz w:val="24"/>
          <w:highlight w:val="none"/>
        </w:rPr>
      </w:pPr>
      <w:bookmarkStart w:id="446" w:name="_Toc14993"/>
      <w:bookmarkStart w:id="447" w:name="_Toc26916"/>
      <w:bookmarkStart w:id="448" w:name="_Toc3654"/>
      <w:bookmarkStart w:id="449" w:name="_Toc30506"/>
      <w:bookmarkStart w:id="450" w:name="_Toc30158"/>
      <w:r>
        <w:rPr>
          <w:rFonts w:hint="eastAsia" w:ascii="宋体" w:hAnsi="宋体"/>
          <w:bCs/>
          <w:color w:val="auto"/>
          <w:sz w:val="24"/>
          <w:highlight w:val="none"/>
        </w:rPr>
        <w:t>1.3.2单价合同，本合同单价（含税）标准为：</w:t>
      </w:r>
      <w:r>
        <w:rPr>
          <w:rFonts w:hint="eastAsia" w:ascii="宋体" w:hAnsi="宋体"/>
          <w:bCs/>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服务工作量的计量方式为：</w:t>
      </w:r>
      <w:r>
        <w:rPr>
          <w:rFonts w:hint="eastAsia" w:ascii="宋体" w:hAnsi="宋体"/>
          <w:bCs/>
          <w:color w:val="auto"/>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bCs/>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单价合同，在合同履行期间内，根据实际完成的工作量据实结算，但结算总价上限不得超过预算金额或者双方确定的金额￥</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p>
    <w:p>
      <w:pPr>
        <w:pStyle w:val="5"/>
        <w:rPr>
          <w:color w:val="auto"/>
          <w:highlight w:val="none"/>
          <w:lang w:val="en-US"/>
        </w:rPr>
      </w:pPr>
      <w:r>
        <w:rPr>
          <w:rFonts w:hint="eastAsia" w:ascii="宋体" w:hAnsi="宋体"/>
          <w:color w:val="auto"/>
          <w:sz w:val="24"/>
          <w:highlight w:val="none"/>
          <w:lang w:val="en-US"/>
        </w:rPr>
        <w:t xml:space="preserve">    </w:t>
      </w:r>
      <w:r>
        <w:rPr>
          <w:rFonts w:hint="eastAsia" w:ascii="宋体" w:hAnsi="宋体" w:eastAsia="宋体" w:cs="宋体"/>
          <w:b w:val="0"/>
          <w:bCs w:val="0"/>
          <w:color w:val="auto"/>
          <w:sz w:val="24"/>
          <w:highlight w:val="none"/>
          <w:lang w:val="en-US"/>
        </w:rPr>
        <w:t>1.3.3其他计价方式：</w:t>
      </w:r>
      <w:r>
        <w:rPr>
          <w:rFonts w:hint="eastAsia" w:ascii="宋体" w:hAnsi="宋体" w:eastAsia="宋体" w:cs="宋体"/>
          <w:b w:val="0"/>
          <w:bCs w:val="0"/>
          <w:color w:val="auto"/>
          <w:sz w:val="24"/>
          <w:highlight w:val="none"/>
          <w:u w:val="single"/>
          <w:lang w:val="en-US"/>
        </w:rPr>
        <w:t xml:space="preserve">                   </w:t>
      </w:r>
      <w:r>
        <w:rPr>
          <w:rFonts w:hint="eastAsia" w:ascii="宋体" w:hAnsi="宋体" w:eastAsia="宋体" w:cs="宋体"/>
          <w:b w:val="0"/>
          <w:bCs w:val="0"/>
          <w:color w:val="auto"/>
          <w:sz w:val="24"/>
          <w:highlight w:val="none"/>
        </w:rPr>
        <w:t>。</w:t>
      </w:r>
    </w:p>
    <w:bookmarkEnd w:id="446"/>
    <w:bookmarkEnd w:id="447"/>
    <w:bookmarkEnd w:id="448"/>
    <w:bookmarkEnd w:id="449"/>
    <w:bookmarkEnd w:id="450"/>
    <w:p>
      <w:pPr>
        <w:pStyle w:val="618"/>
        <w:spacing w:before="0" w:beforeAutospacing="0" w:after="0" w:afterAutospacing="0" w:line="360" w:lineRule="auto"/>
        <w:ind w:firstLine="480"/>
        <w:rPr>
          <w:b/>
          <w:color w:val="auto"/>
          <w:highlight w:val="none"/>
        </w:rPr>
      </w:pPr>
      <w:bookmarkStart w:id="451" w:name="_Toc10340"/>
      <w:bookmarkStart w:id="452" w:name="_Toc1814"/>
      <w:bookmarkStart w:id="453" w:name="_Toc22618"/>
      <w:bookmarkStart w:id="454" w:name="_Toc11108"/>
      <w:bookmarkStart w:id="455" w:name="_Toc4760"/>
      <w:bookmarkStart w:id="456" w:name="_Toc31421"/>
      <w:bookmarkStart w:id="457" w:name="_Toc3625"/>
      <w:bookmarkStart w:id="458" w:name="_Toc8772"/>
      <w:r>
        <w:rPr>
          <w:rFonts w:hint="eastAsia"/>
          <w:b/>
          <w:color w:val="auto"/>
          <w:highlight w:val="none"/>
        </w:rPr>
        <w:t>1.4履约保证金</w:t>
      </w:r>
    </w:p>
    <w:p>
      <w:pPr>
        <w:pStyle w:val="618"/>
        <w:spacing w:before="0" w:beforeAutospacing="0" w:after="0" w:afterAutospacing="0" w:line="360" w:lineRule="auto"/>
        <w:ind w:firstLine="480"/>
        <w:rPr>
          <w:color w:val="auto"/>
          <w:highlight w:val="none"/>
        </w:rPr>
      </w:pPr>
      <w:r>
        <w:rPr>
          <w:rFonts w:hint="eastAsia"/>
          <w:color w:val="auto"/>
          <w:highlight w:val="none"/>
        </w:rPr>
        <w:t>乙方</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否）需要支付履约保证金。若需要支付履约保证金的，则：</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5"/>
        <w:tabs>
          <w:tab w:val="left" w:pos="0"/>
        </w:tabs>
        <w:spacing w:line="560" w:lineRule="exact"/>
        <w:ind w:left="0" w:firstLine="480" w:firstLineChars="200"/>
        <w:rPr>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1.4.4甲方在项目验收结束后及时退还履约保证金。甲方在项目通过验收之日起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pPr>
        <w:spacing w:line="56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w:t>
      </w:r>
      <w:bookmarkEnd w:id="451"/>
      <w:bookmarkEnd w:id="452"/>
      <w:bookmarkEnd w:id="453"/>
      <w:r>
        <w:rPr>
          <w:rFonts w:hint="eastAsia" w:ascii="宋体" w:hAnsi="宋体" w:cs="宋体"/>
          <w:b/>
          <w:color w:val="auto"/>
          <w:sz w:val="24"/>
          <w:highlight w:val="none"/>
        </w:rPr>
        <w:t>预付款</w:t>
      </w:r>
    </w:p>
    <w:p>
      <w:pPr>
        <w:pStyle w:val="618"/>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否）需要支付预付款。若需要支付预付款的，则：</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618"/>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pStyle w:val="618"/>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pStyle w:val="618"/>
        <w:spacing w:before="0" w:beforeAutospacing="0" w:after="0" w:afterAutospacing="0" w:line="360" w:lineRule="auto"/>
        <w:ind w:firstLine="480"/>
        <w:rPr>
          <w:b/>
          <w:bCs/>
          <w:color w:val="auto"/>
          <w:highlight w:val="none"/>
        </w:rPr>
      </w:pPr>
      <w:r>
        <w:rPr>
          <w:rFonts w:hint="eastAsia"/>
          <w:b/>
          <w:bCs/>
          <w:color w:val="auto"/>
          <w:highlight w:val="none"/>
        </w:rPr>
        <w:t>1.6资金支付</w:t>
      </w:r>
    </w:p>
    <w:p>
      <w:pPr>
        <w:pStyle w:val="618"/>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b/>
          <w:color w:val="auto"/>
          <w:sz w:val="24"/>
          <w:highlight w:val="none"/>
        </w:rPr>
      </w:pPr>
      <w:r>
        <w:rPr>
          <w:rFonts w:ascii="宋体" w:hAnsi="宋体"/>
          <w:b/>
          <w:color w:val="auto"/>
          <w:sz w:val="24"/>
          <w:highlight w:val="none"/>
        </w:rPr>
        <w:t>1.</w:t>
      </w:r>
      <w:r>
        <w:rPr>
          <w:rFonts w:hint="eastAsia" w:ascii="宋体" w:hAnsi="宋体"/>
          <w:b/>
          <w:color w:val="auto"/>
          <w:sz w:val="24"/>
          <w:highlight w:val="none"/>
        </w:rPr>
        <w:t>7</w:t>
      </w:r>
      <w:r>
        <w:rPr>
          <w:rFonts w:ascii="宋体" w:hAnsi="宋体"/>
          <w:b/>
          <w:color w:val="auto"/>
          <w:sz w:val="24"/>
          <w:highlight w:val="none"/>
        </w:rPr>
        <w:t xml:space="preserve"> 履行期限</w:t>
      </w:r>
      <w:r>
        <w:rPr>
          <w:rFonts w:hint="eastAsia" w:ascii="宋体" w:hAnsi="宋体"/>
          <w:b/>
          <w:color w:val="auto"/>
          <w:sz w:val="24"/>
          <w:highlight w:val="none"/>
        </w:rPr>
        <w:t>、地点和方式</w:t>
      </w:r>
      <w:bookmarkEnd w:id="454"/>
      <w:bookmarkEnd w:id="455"/>
      <w:bookmarkEnd w:id="456"/>
      <w:bookmarkEnd w:id="457"/>
      <w:bookmarkEnd w:id="458"/>
    </w:p>
    <w:p>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.1 </w:t>
      </w:r>
      <w:r>
        <w:rPr>
          <w:rFonts w:hint="eastAsia" w:ascii="宋体" w:hAnsi="宋体"/>
          <w:color w:val="auto"/>
          <w:sz w:val="24"/>
          <w:highlight w:val="none"/>
        </w:rPr>
        <w:t>服务交付（实施）的时间（期限）</w:t>
      </w:r>
      <w:r>
        <w:rPr>
          <w:rFonts w:ascii="宋体" w:hAnsi="宋体"/>
          <w:color w:val="auto"/>
          <w:sz w:val="24"/>
          <w:highlight w:val="none"/>
        </w:rPr>
        <w:t>：</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.2 </w:t>
      </w:r>
      <w:r>
        <w:rPr>
          <w:rFonts w:hint="eastAsia" w:ascii="宋体" w:hAnsi="宋体"/>
          <w:color w:val="auto"/>
          <w:sz w:val="24"/>
          <w:highlight w:val="none"/>
        </w:rPr>
        <w:t>服</w:t>
      </w:r>
      <w:r>
        <w:rPr>
          <w:rFonts w:hint="eastAsia" w:ascii="宋体" w:hAnsi="宋体" w:cs="宋体"/>
          <w:color w:val="auto"/>
          <w:sz w:val="24"/>
          <w:highlight w:val="none"/>
        </w:rPr>
        <w:t>务交付（实施）的地点（地域范围）：</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.3 </w:t>
      </w:r>
      <w:r>
        <w:rPr>
          <w:rFonts w:hint="eastAsia" w:ascii="宋体" w:hAnsi="宋体"/>
          <w:color w:val="auto"/>
          <w:sz w:val="24"/>
          <w:highlight w:val="none"/>
        </w:rPr>
        <w:t>服务交付（实施）的方式：</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pPr>
        <w:spacing w:line="560" w:lineRule="exact"/>
        <w:ind w:firstLine="480" w:firstLineChars="200"/>
        <w:outlineLvl w:val="0"/>
        <w:rPr>
          <w:rFonts w:ascii="宋体" w:hAnsi="宋体"/>
          <w:bCs/>
          <w:color w:val="auto"/>
          <w:sz w:val="24"/>
          <w:highlight w:val="none"/>
        </w:rPr>
      </w:pPr>
      <w:bookmarkStart w:id="459" w:name="_Toc2375"/>
      <w:bookmarkStart w:id="460" w:name="_Toc8586"/>
      <w:bookmarkStart w:id="461" w:name="_Toc24662"/>
      <w:bookmarkStart w:id="462" w:name="_Toc5698"/>
      <w:bookmarkStart w:id="463" w:name="_Toc3079"/>
      <w:r>
        <w:rPr>
          <w:rFonts w:hint="eastAsia" w:ascii="宋体" w:hAnsi="宋体"/>
          <w:bCs/>
          <w:color w:val="auto"/>
          <w:sz w:val="24"/>
          <w:highlight w:val="none"/>
        </w:rPr>
        <w:t>1.7.4若服务</w:t>
      </w:r>
      <w:r>
        <w:rPr>
          <w:rFonts w:hint="eastAsia"/>
          <w:bCs/>
          <w:color w:val="auto"/>
          <w:sz w:val="24"/>
          <w:highlight w:val="none"/>
        </w:rPr>
        <w:t>涉及货物的，则货物的：</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1.7.4.1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1.7.4.2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1.7.4.3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olor w:val="auto"/>
          <w:sz w:val="24"/>
          <w:highlight w:val="none"/>
          <w:u w:val="single"/>
        </w:rPr>
      </w:pPr>
      <w:r>
        <w:rPr>
          <w:rFonts w:ascii="宋体" w:hAnsi="宋体"/>
          <w:b/>
          <w:color w:val="auto"/>
          <w:sz w:val="24"/>
          <w:highlight w:val="none"/>
        </w:rPr>
        <w:t>1.</w:t>
      </w:r>
      <w:r>
        <w:rPr>
          <w:rFonts w:hint="eastAsia" w:ascii="宋体" w:hAnsi="宋体"/>
          <w:b/>
          <w:color w:val="auto"/>
          <w:sz w:val="24"/>
          <w:highlight w:val="none"/>
        </w:rPr>
        <w:t>8违约责任</w:t>
      </w:r>
      <w:bookmarkEnd w:id="459"/>
      <w:bookmarkEnd w:id="460"/>
      <w:bookmarkEnd w:id="461"/>
      <w:bookmarkEnd w:id="462"/>
      <w:bookmarkEnd w:id="463"/>
    </w:p>
    <w:p>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8</w:t>
      </w:r>
      <w:r>
        <w:rPr>
          <w:rFonts w:ascii="宋体" w:hAnsi="宋体"/>
          <w:color w:val="auto"/>
          <w:sz w:val="24"/>
          <w:highlight w:val="none"/>
        </w:rPr>
        <w:t>.1 除不可抗力外，如果乙方没有按照本合同约定的期限</w:t>
      </w:r>
      <w:r>
        <w:rPr>
          <w:rFonts w:hint="eastAsia" w:ascii="宋体" w:hAnsi="宋体"/>
          <w:color w:val="auto"/>
          <w:sz w:val="24"/>
          <w:highlight w:val="none"/>
        </w:rPr>
        <w:t>、</w:t>
      </w:r>
      <w:r>
        <w:rPr>
          <w:rFonts w:ascii="宋体" w:hAnsi="宋体"/>
          <w:color w:val="auto"/>
          <w:sz w:val="24"/>
          <w:highlight w:val="none"/>
        </w:rPr>
        <w:t>地点和方式</w:t>
      </w:r>
      <w:r>
        <w:rPr>
          <w:rFonts w:hint="eastAsia" w:ascii="宋体" w:hAnsi="宋体"/>
          <w:color w:val="auto"/>
          <w:sz w:val="24"/>
          <w:highlight w:val="none"/>
        </w:rPr>
        <w:t>交付服务成果或者实施服务</w:t>
      </w:r>
      <w:r>
        <w:rPr>
          <w:rFonts w:ascii="宋体" w:hAnsi="宋体"/>
          <w:color w:val="auto"/>
          <w:sz w:val="24"/>
          <w:highlight w:val="none"/>
        </w:rPr>
        <w:t>，那么甲方可要求乙方支付违约金</w:t>
      </w:r>
      <w:r>
        <w:rPr>
          <w:rFonts w:hint="eastAsia" w:ascii="宋体" w:hAnsi="宋体"/>
          <w:color w:val="auto"/>
          <w:sz w:val="24"/>
          <w:highlight w:val="none"/>
        </w:rPr>
        <w:t>，迟延履行</w:t>
      </w:r>
      <w:r>
        <w:rPr>
          <w:rFonts w:ascii="宋体" w:hAnsi="宋体"/>
          <w:color w:val="auto"/>
          <w:sz w:val="24"/>
          <w:highlight w:val="none"/>
        </w:rPr>
        <w:t>违约金按每迟延</w:t>
      </w:r>
      <w:r>
        <w:rPr>
          <w:rFonts w:hint="eastAsia" w:ascii="宋体" w:hAnsi="宋体"/>
          <w:color w:val="auto"/>
          <w:sz w:val="24"/>
          <w:highlight w:val="none"/>
        </w:rPr>
        <w:t>履行</w:t>
      </w:r>
      <w:r>
        <w:rPr>
          <w:rFonts w:ascii="宋体" w:hAnsi="宋体"/>
          <w:color w:val="auto"/>
          <w:sz w:val="24"/>
          <w:highlight w:val="none"/>
        </w:rPr>
        <w:t>一日的应提供而未</w:t>
      </w:r>
      <w:r>
        <w:rPr>
          <w:rFonts w:hint="eastAsia" w:ascii="宋体" w:hAnsi="宋体"/>
          <w:color w:val="auto"/>
          <w:sz w:val="24"/>
          <w:highlight w:val="none"/>
        </w:rPr>
        <w:t>提供</w:t>
      </w:r>
      <w:r>
        <w:rPr>
          <w:rFonts w:ascii="宋体" w:hAnsi="宋体"/>
          <w:color w:val="auto"/>
          <w:sz w:val="24"/>
          <w:highlight w:val="none"/>
        </w:rPr>
        <w:t>服务价格的</w:t>
      </w:r>
      <w:r>
        <w:rPr>
          <w:rFonts w:hint="eastAsia" w:ascii="宋体" w:hAnsi="宋体"/>
          <w:color w:val="auto"/>
          <w:sz w:val="24"/>
          <w:highlight w:val="none"/>
          <w:u w:val="single"/>
        </w:rPr>
        <w:t>0.05</w:t>
      </w:r>
      <w:r>
        <w:rPr>
          <w:rFonts w:ascii="宋体" w:hAnsi="宋体"/>
          <w:color w:val="auto"/>
          <w:sz w:val="24"/>
          <w:highlight w:val="none"/>
          <w:u w:val="single"/>
        </w:rPr>
        <w:t xml:space="preserve"> </w:t>
      </w:r>
      <w:r>
        <w:rPr>
          <w:rFonts w:ascii="宋体" w:hAnsi="宋体"/>
          <w:color w:val="auto"/>
          <w:sz w:val="24"/>
          <w:highlight w:val="none"/>
        </w:rPr>
        <w:t>%计算</w:t>
      </w:r>
      <w:r>
        <w:rPr>
          <w:rFonts w:hint="eastAsia" w:ascii="宋体" w:hAnsi="宋体"/>
          <w:color w:val="auto"/>
          <w:sz w:val="24"/>
          <w:highlight w:val="none"/>
        </w:rPr>
        <w:t>，</w:t>
      </w:r>
      <w:r>
        <w:rPr>
          <w:rFonts w:ascii="宋体" w:hAnsi="宋体"/>
          <w:color w:val="auto"/>
          <w:sz w:val="24"/>
          <w:highlight w:val="none"/>
        </w:rPr>
        <w:t>最高限额为</w:t>
      </w:r>
      <w:r>
        <w:rPr>
          <w:rFonts w:hint="eastAsia" w:ascii="宋体" w:hAnsi="宋体"/>
          <w:color w:val="auto"/>
          <w:sz w:val="24"/>
          <w:highlight w:val="none"/>
        </w:rPr>
        <w:t>本</w:t>
      </w:r>
      <w:r>
        <w:rPr>
          <w:rFonts w:ascii="宋体" w:hAnsi="宋体"/>
          <w:color w:val="auto"/>
          <w:sz w:val="24"/>
          <w:highlight w:val="none"/>
        </w:rPr>
        <w:t>合同总价的</w:t>
      </w:r>
      <w:r>
        <w:rPr>
          <w:rFonts w:ascii="宋体" w:hAnsi="宋体"/>
          <w:color w:val="auto"/>
          <w:sz w:val="24"/>
          <w:highlight w:val="none"/>
          <w:u w:val="single"/>
        </w:rPr>
        <w:t xml:space="preserve">  20   </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迟延</w:t>
      </w:r>
      <w:r>
        <w:rPr>
          <w:rFonts w:hint="eastAsia" w:ascii="宋体" w:hAnsi="宋体"/>
          <w:color w:val="auto"/>
          <w:sz w:val="24"/>
          <w:highlight w:val="none"/>
        </w:rPr>
        <w:t>履行</w:t>
      </w:r>
      <w:r>
        <w:rPr>
          <w:rFonts w:ascii="宋体" w:hAnsi="宋体"/>
          <w:color w:val="auto"/>
          <w:sz w:val="24"/>
          <w:highlight w:val="none"/>
        </w:rPr>
        <w:t>的违约金计算数额达到前述最高限额之日起</w:t>
      </w:r>
      <w:r>
        <w:rPr>
          <w:rFonts w:hint="eastAsia" w:ascii="宋体" w:hAnsi="宋体"/>
          <w:color w:val="auto"/>
          <w:sz w:val="24"/>
          <w:highlight w:val="none"/>
        </w:rPr>
        <w:t>，</w:t>
      </w:r>
      <w:r>
        <w:rPr>
          <w:rFonts w:ascii="宋体" w:hAnsi="宋体"/>
          <w:color w:val="auto"/>
          <w:sz w:val="24"/>
          <w:highlight w:val="none"/>
        </w:rPr>
        <w:t>甲方有权在要求乙方支付违约金的同时</w:t>
      </w:r>
      <w:r>
        <w:rPr>
          <w:rFonts w:hint="eastAsia" w:ascii="宋体" w:hAnsi="宋体"/>
          <w:color w:val="auto"/>
          <w:sz w:val="24"/>
          <w:highlight w:val="none"/>
        </w:rPr>
        <w:t>，书面通知乙方</w:t>
      </w:r>
      <w:r>
        <w:rPr>
          <w:rFonts w:ascii="宋体" w:hAnsi="宋体"/>
          <w:color w:val="auto"/>
          <w:sz w:val="24"/>
          <w:highlight w:val="none"/>
        </w:rPr>
        <w:t>解除本合同</w:t>
      </w:r>
      <w:r>
        <w:rPr>
          <w:rFonts w:hint="eastAsia" w:ascii="宋体" w:hAnsi="宋体"/>
          <w:color w:val="auto"/>
          <w:sz w:val="24"/>
          <w:highlight w:val="none"/>
        </w:rPr>
        <w:t>；</w:t>
      </w:r>
    </w:p>
    <w:p>
      <w:pPr>
        <w:pStyle w:val="5"/>
        <w:ind w:left="0" w:firstLine="480" w:firstLineChars="200"/>
        <w:rPr>
          <w:rFonts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0.0</w:t>
      </w:r>
      <w:r>
        <w:rPr>
          <w:rFonts w:hint="eastAsia" w:ascii="宋体" w:hAnsi="宋体" w:eastAsia="宋体" w:cs="宋体"/>
          <w:b w:val="0"/>
          <w:bCs w:val="0"/>
          <w:color w:val="auto"/>
          <w:sz w:val="24"/>
          <w:szCs w:val="24"/>
          <w:highlight w:val="none"/>
          <w:lang w:val="en-US"/>
        </w:rPr>
        <w:t xml:space="preserve">5（可根据情况修改）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8</w:t>
      </w:r>
      <w:r>
        <w:rPr>
          <w:rFonts w:ascii="宋体" w:hAnsi="宋体"/>
          <w:color w:val="auto"/>
          <w:sz w:val="24"/>
          <w:highlight w:val="none"/>
        </w:rPr>
        <w:t>.</w:t>
      </w:r>
      <w:r>
        <w:rPr>
          <w:rFonts w:hint="eastAsia" w:ascii="宋体" w:hAnsi="宋体"/>
          <w:color w:val="auto"/>
          <w:sz w:val="24"/>
          <w:highlight w:val="none"/>
        </w:rPr>
        <w:t>3</w:t>
      </w:r>
      <w:r>
        <w:rPr>
          <w:rFonts w:hint="eastAsia" w:ascii="宋体" w:hAnsi="宋体" w:cs="宋体"/>
          <w:color w:val="auto"/>
          <w:sz w:val="24"/>
          <w:highlight w:val="none"/>
        </w:rPr>
        <w:t>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r>
        <w:rPr>
          <w:rFonts w:hint="eastAsia" w:ascii="宋体" w:hAnsi="宋体"/>
          <w:color w:val="auto"/>
          <w:sz w:val="24"/>
          <w:highlight w:val="none"/>
        </w:rPr>
        <w:t>；</w:t>
      </w:r>
    </w:p>
    <w:p>
      <w:pPr>
        <w:spacing w:line="560" w:lineRule="exact"/>
        <w:ind w:firstLine="480" w:firstLineChars="200"/>
        <w:rPr>
          <w:rFonts w:ascii="宋体" w:hAnsi="宋体" w:cs="宋体"/>
          <w:color w:val="auto"/>
          <w:sz w:val="24"/>
          <w:highlight w:val="none"/>
        </w:rPr>
      </w:pPr>
      <w:bookmarkStart w:id="464" w:name="_Toc32454"/>
      <w:bookmarkStart w:id="465" w:name="_Toc9497"/>
      <w:bookmarkStart w:id="466" w:name="_Toc30329"/>
      <w:bookmarkStart w:id="467" w:name="_Toc18683"/>
      <w:bookmarkStart w:id="468" w:name="_Toc26807"/>
      <w:r>
        <w:rPr>
          <w:rFonts w:hint="eastAsia" w:ascii="宋体" w:hAnsi="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ascii="宋体" w:hAnsi="宋体" w:cs="宋体"/>
          <w:color w:val="auto"/>
          <w:highlight w:val="none"/>
        </w:rPr>
      </w:pPr>
      <w:r>
        <w:rPr>
          <w:rFonts w:hint="eastAsia" w:ascii="宋体" w:hAnsi="宋体" w:cs="宋体"/>
          <w:color w:val="auto"/>
          <w:sz w:val="24"/>
          <w:highlight w:val="none"/>
        </w:rPr>
        <w:t>1.8.7违约责任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bookmarkEnd w:id="464"/>
    <w:bookmarkEnd w:id="465"/>
    <w:bookmarkEnd w:id="466"/>
    <w:bookmarkEnd w:id="467"/>
    <w:bookmarkEnd w:id="468"/>
    <w:p>
      <w:pPr>
        <w:spacing w:line="560" w:lineRule="exact"/>
        <w:ind w:firstLine="482" w:firstLineChars="200"/>
        <w:outlineLvl w:val="0"/>
        <w:rPr>
          <w:rFonts w:ascii="宋体" w:hAnsi="宋体" w:cs="宋体"/>
          <w:b/>
          <w:color w:val="auto"/>
          <w:sz w:val="24"/>
          <w:highlight w:val="none"/>
        </w:rPr>
      </w:pPr>
      <w:bookmarkStart w:id="469" w:name="_Toc28375"/>
      <w:bookmarkStart w:id="470" w:name="_Toc16021"/>
      <w:bookmarkStart w:id="471" w:name="_Toc15583"/>
      <w:r>
        <w:rPr>
          <w:rFonts w:hint="eastAsia" w:ascii="宋体" w:hAnsi="宋体" w:cs="宋体"/>
          <w:b/>
          <w:color w:val="auto"/>
          <w:sz w:val="24"/>
          <w:highlight w:val="none"/>
        </w:rPr>
        <w:t>1.9合同争议的解决</w:t>
      </w:r>
      <w:bookmarkEnd w:id="469"/>
      <w:bookmarkEnd w:id="470"/>
      <w:bookmarkEnd w:id="471"/>
    </w:p>
    <w:p>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w:t>
      </w:r>
      <w:r>
        <w:rPr>
          <w:rFonts w:hint="eastAsia" w:ascii="宋体" w:hAnsi="宋体" w:cs="宋体"/>
          <w:color w:val="auto"/>
          <w:sz w:val="24"/>
          <w:highlight w:val="none"/>
        </w:rPr>
        <w:t>条款规定的方式解决：</w:t>
      </w:r>
    </w:p>
    <w:p>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pPr>
        <w:spacing w:line="560" w:lineRule="exact"/>
        <w:ind w:firstLine="482" w:firstLineChars="200"/>
        <w:outlineLvl w:val="0"/>
        <w:rPr>
          <w:rFonts w:ascii="宋体" w:hAnsi="宋体" w:cs="宋体"/>
          <w:b/>
          <w:color w:val="auto"/>
          <w:sz w:val="24"/>
          <w:highlight w:val="none"/>
        </w:rPr>
      </w:pPr>
      <w:bookmarkStart w:id="472" w:name="_Toc15322"/>
      <w:bookmarkStart w:id="473" w:name="_Toc7245"/>
      <w:bookmarkStart w:id="474" w:name="_Toc11173"/>
      <w:r>
        <w:rPr>
          <w:rFonts w:hint="eastAsia" w:ascii="宋体" w:hAnsi="宋体" w:cs="宋体"/>
          <w:b/>
          <w:color w:val="auto"/>
          <w:sz w:val="24"/>
          <w:highlight w:val="none"/>
        </w:rPr>
        <w:t>2.0 合同生效</w:t>
      </w:r>
      <w:bookmarkEnd w:id="472"/>
      <w:bookmarkEnd w:id="473"/>
      <w:bookmarkEnd w:id="474"/>
    </w:p>
    <w:p>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本合同自双方当事人盖章签字时生效。</w:t>
      </w:r>
    </w:p>
    <w:p>
      <w:pPr>
        <w:autoSpaceDE w:val="0"/>
        <w:autoSpaceDN w:val="0"/>
        <w:spacing w:line="560" w:lineRule="exact"/>
        <w:rPr>
          <w:rFonts w:ascii="宋体" w:hAnsi="宋体"/>
          <w:color w:val="auto"/>
          <w:sz w:val="24"/>
          <w:highlight w:val="none"/>
          <w:lang w:val="zh-CN"/>
        </w:rPr>
      </w:pPr>
    </w:p>
    <w:p>
      <w:pPr>
        <w:autoSpaceDE w:val="0"/>
        <w:autoSpaceDN w:val="0"/>
        <w:spacing w:line="560" w:lineRule="exact"/>
        <w:rPr>
          <w:rFonts w:ascii="宋体" w:hAnsi="宋体"/>
          <w:color w:val="auto"/>
          <w:sz w:val="24"/>
          <w:highlight w:val="none"/>
          <w:lang w:val="zh-CN"/>
        </w:rPr>
      </w:pPr>
      <w:r>
        <w:rPr>
          <w:rFonts w:hint="eastAsia" w:ascii="宋体" w:hAnsi="宋体"/>
          <w:b/>
          <w:color w:val="auto"/>
          <w:sz w:val="24"/>
          <w:highlight w:val="none"/>
          <w:lang w:val="zh-CN"/>
        </w:rPr>
        <w:t>甲方</w:t>
      </w:r>
      <w:r>
        <w:rPr>
          <w:rFonts w:hint="eastAsia" w:ascii="宋体" w:hAnsi="宋体"/>
          <w:color w:val="auto"/>
          <w:sz w:val="24"/>
          <w:highlight w:val="none"/>
          <w:lang w:val="zh-CN"/>
        </w:rPr>
        <w:t>：</w:t>
      </w:r>
      <w:r>
        <w:rPr>
          <w:rFonts w:ascii="宋体" w:hAnsi="宋体"/>
          <w:color w:val="auto"/>
          <w:sz w:val="24"/>
          <w:highlight w:val="none"/>
          <w:lang w:val="zh-CN"/>
        </w:rPr>
        <w:t xml:space="preserve">                             </w:t>
      </w:r>
      <w:r>
        <w:rPr>
          <w:rFonts w:ascii="宋体" w:hAnsi="宋体"/>
          <w:b/>
          <w:color w:val="auto"/>
          <w:sz w:val="24"/>
          <w:highlight w:val="none"/>
          <w:lang w:val="zh-CN"/>
        </w:rPr>
        <w:t xml:space="preserve">      乙方</w:t>
      </w:r>
      <w:r>
        <w:rPr>
          <w:rFonts w:hint="eastAsia" w:ascii="宋体" w:hAnsi="宋体"/>
          <w:color w:val="auto"/>
          <w:sz w:val="24"/>
          <w:highlight w:val="none"/>
          <w:lang w:val="zh-CN"/>
        </w:rPr>
        <w:t>：</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统一社会信用代码：</w:t>
      </w:r>
      <w:r>
        <w:rPr>
          <w:rFonts w:ascii="宋体" w:hAnsi="宋体"/>
          <w:color w:val="auto"/>
          <w:sz w:val="24"/>
          <w:highlight w:val="none"/>
          <w:lang w:val="zh-CN"/>
        </w:rPr>
        <w:t xml:space="preserve">                        </w:t>
      </w:r>
      <w:r>
        <w:rPr>
          <w:rFonts w:hint="eastAsia" w:ascii="宋体" w:hAnsi="宋体"/>
          <w:color w:val="auto"/>
          <w:sz w:val="24"/>
          <w:highlight w:val="none"/>
          <w:lang w:val="zh-CN"/>
        </w:rPr>
        <w:t>统一社会信用代码或身份证号码：</w:t>
      </w:r>
    </w:p>
    <w:p>
      <w:pPr>
        <w:autoSpaceDE w:val="0"/>
        <w:autoSpaceDN w:val="0"/>
        <w:spacing w:line="560" w:lineRule="exact"/>
        <w:rPr>
          <w:rFonts w:ascii="宋体" w:hAnsi="宋体"/>
          <w:color w:val="auto"/>
          <w:sz w:val="24"/>
          <w:highlight w:val="none"/>
          <w:lang w:val="zh-CN"/>
        </w:rPr>
      </w:pP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住所：</w:t>
      </w:r>
      <w:r>
        <w:rPr>
          <w:rFonts w:ascii="宋体" w:hAnsi="宋体"/>
          <w:color w:val="auto"/>
          <w:sz w:val="24"/>
          <w:highlight w:val="none"/>
          <w:lang w:val="zh-CN"/>
        </w:rPr>
        <w:t xml:space="preserve">                                   </w:t>
      </w:r>
      <w:r>
        <w:rPr>
          <w:rFonts w:hint="eastAsia" w:ascii="宋体" w:hAnsi="宋体"/>
          <w:color w:val="auto"/>
          <w:sz w:val="24"/>
          <w:highlight w:val="none"/>
          <w:lang w:val="zh-CN"/>
        </w:rPr>
        <w:t>住所：</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法定代表人或</w:t>
      </w:r>
      <w:r>
        <w:rPr>
          <w:rFonts w:ascii="宋体" w:hAnsi="宋体"/>
          <w:color w:val="auto"/>
          <w:sz w:val="24"/>
          <w:highlight w:val="none"/>
          <w:lang w:val="zh-CN"/>
        </w:rPr>
        <w:t xml:space="preserve">                             </w:t>
      </w:r>
      <w:r>
        <w:rPr>
          <w:rFonts w:hint="eastAsia" w:ascii="宋体" w:hAnsi="宋体"/>
          <w:color w:val="auto"/>
          <w:sz w:val="24"/>
          <w:highlight w:val="none"/>
          <w:lang w:val="zh-CN"/>
        </w:rPr>
        <w:t>法定代表人或</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授权代表（签字）：</w:t>
      </w:r>
      <w:r>
        <w:rPr>
          <w:rFonts w:ascii="宋体" w:hAnsi="宋体"/>
          <w:color w:val="auto"/>
          <w:sz w:val="24"/>
          <w:highlight w:val="none"/>
          <w:lang w:val="zh-CN"/>
        </w:rPr>
        <w:t xml:space="preserve">                       授权代表（签字）: </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联系人：</w:t>
      </w:r>
      <w:r>
        <w:rPr>
          <w:rFonts w:ascii="宋体" w:hAnsi="宋体"/>
          <w:color w:val="auto"/>
          <w:sz w:val="24"/>
          <w:highlight w:val="none"/>
          <w:lang w:val="zh-CN"/>
        </w:rPr>
        <w:t xml:space="preserve">                                 </w:t>
      </w:r>
      <w:r>
        <w:rPr>
          <w:rFonts w:hint="eastAsia" w:ascii="宋体" w:hAnsi="宋体"/>
          <w:color w:val="auto"/>
          <w:sz w:val="24"/>
          <w:highlight w:val="none"/>
          <w:lang w:val="zh-CN"/>
        </w:rPr>
        <w:t>联系人：</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约定送达地址：</w:t>
      </w:r>
      <w:r>
        <w:rPr>
          <w:rFonts w:ascii="宋体" w:hAnsi="宋体"/>
          <w:color w:val="auto"/>
          <w:sz w:val="24"/>
          <w:highlight w:val="none"/>
          <w:lang w:val="zh-CN"/>
        </w:rPr>
        <w:t xml:space="preserve">                           </w:t>
      </w:r>
      <w:r>
        <w:rPr>
          <w:rFonts w:hint="eastAsia" w:ascii="宋体" w:hAnsi="宋体"/>
          <w:color w:val="auto"/>
          <w:sz w:val="24"/>
          <w:highlight w:val="none"/>
          <w:lang w:val="zh-CN"/>
        </w:rPr>
        <w:t>约定送达地址：</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邮政编码：</w:t>
      </w:r>
      <w:r>
        <w:rPr>
          <w:rFonts w:ascii="宋体" w:hAnsi="宋体"/>
          <w:color w:val="auto"/>
          <w:sz w:val="24"/>
          <w:highlight w:val="none"/>
          <w:lang w:val="zh-CN"/>
        </w:rPr>
        <w:t xml:space="preserve">                               </w:t>
      </w:r>
      <w:r>
        <w:rPr>
          <w:rFonts w:hint="eastAsia" w:ascii="宋体" w:hAnsi="宋体"/>
          <w:color w:val="auto"/>
          <w:sz w:val="24"/>
          <w:highlight w:val="none"/>
          <w:lang w:val="zh-CN"/>
        </w:rPr>
        <w:t>邮政编码：</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电话</w:t>
      </w:r>
      <w:r>
        <w:rPr>
          <w:rFonts w:ascii="宋体" w:hAnsi="宋体"/>
          <w:color w:val="auto"/>
          <w:sz w:val="24"/>
          <w:highlight w:val="none"/>
          <w:lang w:val="zh-CN"/>
        </w:rPr>
        <w:t xml:space="preserve">:                                    电话: </w:t>
      </w:r>
    </w:p>
    <w:p>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传真</w:t>
      </w:r>
      <w:r>
        <w:rPr>
          <w:rFonts w:ascii="宋体" w:hAnsi="宋体"/>
          <w:color w:val="auto"/>
          <w:sz w:val="24"/>
          <w:highlight w:val="none"/>
          <w:lang w:val="zh-CN"/>
        </w:rPr>
        <w:t xml:space="preserve">:                                    </w:t>
      </w:r>
      <w:r>
        <w:rPr>
          <w:rFonts w:hint="eastAsia" w:ascii="宋体" w:hAnsi="宋体"/>
          <w:color w:val="auto"/>
          <w:sz w:val="24"/>
          <w:highlight w:val="none"/>
          <w:lang w:val="zh-CN"/>
        </w:rPr>
        <w:t>传真</w:t>
      </w:r>
      <w:r>
        <w:rPr>
          <w:rFonts w:ascii="宋体" w:hAnsi="宋体"/>
          <w:color w:val="auto"/>
          <w:sz w:val="24"/>
          <w:highlight w:val="none"/>
          <w:lang w:val="zh-CN"/>
        </w:rPr>
        <w:t>:</w:t>
      </w:r>
    </w:p>
    <w:p>
      <w:pPr>
        <w:autoSpaceDE w:val="0"/>
        <w:autoSpaceDN w:val="0"/>
        <w:spacing w:line="560" w:lineRule="exact"/>
        <w:rPr>
          <w:rFonts w:ascii="宋体" w:hAnsi="宋体"/>
          <w:color w:val="auto"/>
          <w:sz w:val="24"/>
          <w:highlight w:val="none"/>
        </w:rPr>
      </w:pPr>
      <w:r>
        <w:rPr>
          <w:rFonts w:hint="eastAsia" w:ascii="宋体" w:hAnsi="宋体"/>
          <w:color w:val="auto"/>
          <w:sz w:val="24"/>
          <w:highlight w:val="none"/>
          <w:lang w:val="zh-CN"/>
        </w:rPr>
        <w:t>电子邮箱：</w:t>
      </w:r>
      <w:r>
        <w:rPr>
          <w:rFonts w:ascii="宋体" w:hAnsi="宋体"/>
          <w:color w:val="auto"/>
          <w:sz w:val="24"/>
          <w:highlight w:val="none"/>
          <w:lang w:val="zh-CN"/>
        </w:rPr>
        <w:t xml:space="preserve">                               </w:t>
      </w:r>
      <w:r>
        <w:rPr>
          <w:rFonts w:hint="eastAsia" w:ascii="宋体" w:hAnsi="宋体"/>
          <w:color w:val="auto"/>
          <w:sz w:val="24"/>
          <w:highlight w:val="none"/>
          <w:lang w:val="zh-CN"/>
        </w:rPr>
        <w:t>电子邮箱：</w:t>
      </w:r>
    </w:p>
    <w:p>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开户银行：</w:t>
      </w:r>
      <w:r>
        <w:rPr>
          <w:rFonts w:ascii="宋体" w:hAnsi="宋体"/>
          <w:color w:val="auto"/>
          <w:sz w:val="24"/>
          <w:highlight w:val="none"/>
        </w:rPr>
        <w:t xml:space="preserve">                               开户银行： </w:t>
      </w:r>
    </w:p>
    <w:p>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开户名称：</w:t>
      </w:r>
      <w:r>
        <w:rPr>
          <w:rFonts w:ascii="宋体" w:hAnsi="宋体"/>
          <w:color w:val="auto"/>
          <w:sz w:val="24"/>
          <w:highlight w:val="none"/>
        </w:rPr>
        <w:t xml:space="preserve">                               开户名称： </w:t>
      </w:r>
    </w:p>
    <w:p>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开户账号：</w:t>
      </w:r>
      <w:r>
        <w:rPr>
          <w:rFonts w:ascii="宋体" w:hAnsi="宋体"/>
          <w:color w:val="auto"/>
          <w:sz w:val="24"/>
          <w:highlight w:val="none"/>
          <w:lang w:val="zh-CN"/>
        </w:rPr>
        <w:t xml:space="preserve">                               </w:t>
      </w:r>
      <w:r>
        <w:rPr>
          <w:rFonts w:hint="eastAsia" w:ascii="宋体" w:hAnsi="宋体"/>
          <w:color w:val="auto"/>
          <w:sz w:val="24"/>
          <w:highlight w:val="none"/>
        </w:rPr>
        <w:t>开户账号：</w:t>
      </w:r>
    </w:p>
    <w:p>
      <w:pPr>
        <w:widowControl/>
        <w:spacing w:line="560" w:lineRule="exact"/>
        <w:jc w:val="left"/>
        <w:rPr>
          <w:rFonts w:ascii="宋体" w:hAnsi="宋体"/>
          <w:b/>
          <w:color w:val="auto"/>
          <w:sz w:val="24"/>
          <w:highlight w:val="none"/>
        </w:rPr>
      </w:pPr>
    </w:p>
    <w:p>
      <w:pPr>
        <w:widowControl/>
        <w:adjustRightInd/>
        <w:jc w:val="left"/>
        <w:rPr>
          <w:rFonts w:ascii="宋体" w:hAnsi="宋体"/>
          <w:b/>
          <w:color w:val="auto"/>
          <w:sz w:val="24"/>
          <w:highlight w:val="none"/>
        </w:rPr>
      </w:pPr>
      <w:r>
        <w:rPr>
          <w:rFonts w:ascii="宋体" w:hAnsi="宋体"/>
          <w:b/>
          <w:color w:val="auto"/>
          <w:highlight w:val="none"/>
        </w:rPr>
        <w:br w:type="page"/>
      </w:r>
    </w:p>
    <w:p>
      <w:pPr>
        <w:pStyle w:val="386"/>
        <w:spacing w:line="560" w:lineRule="exact"/>
        <w:ind w:firstLine="482"/>
        <w:jc w:val="center"/>
        <w:rPr>
          <w:rFonts w:ascii="宋体" w:hAnsi="宋体"/>
          <w:b/>
          <w:color w:val="auto"/>
          <w:szCs w:val="24"/>
          <w:highlight w:val="none"/>
        </w:rPr>
      </w:pPr>
      <w:r>
        <w:rPr>
          <w:rFonts w:hint="eastAsia" w:ascii="宋体" w:hAnsi="宋体"/>
          <w:b/>
          <w:color w:val="auto"/>
          <w:szCs w:val="24"/>
          <w:highlight w:val="none"/>
        </w:rPr>
        <w:t>第二部分</w:t>
      </w:r>
      <w:r>
        <w:rPr>
          <w:rFonts w:ascii="宋体" w:hAnsi="宋体"/>
          <w:b/>
          <w:color w:val="auto"/>
          <w:szCs w:val="24"/>
          <w:highlight w:val="none"/>
        </w:rPr>
        <w:t xml:space="preserve"> </w:t>
      </w:r>
      <w:r>
        <w:rPr>
          <w:rFonts w:hint="eastAsia" w:ascii="宋体" w:hAnsi="宋体"/>
          <w:b/>
          <w:color w:val="auto"/>
          <w:szCs w:val="24"/>
          <w:highlight w:val="none"/>
        </w:rPr>
        <w:t>合同一般条款</w:t>
      </w:r>
    </w:p>
    <w:p>
      <w:pPr>
        <w:spacing w:line="560" w:lineRule="exact"/>
        <w:ind w:firstLine="482" w:firstLineChars="200"/>
        <w:outlineLvl w:val="0"/>
        <w:rPr>
          <w:rFonts w:ascii="宋体" w:hAnsi="宋体"/>
          <w:b/>
          <w:color w:val="auto"/>
          <w:sz w:val="24"/>
          <w:highlight w:val="none"/>
        </w:rPr>
      </w:pPr>
      <w:bookmarkStart w:id="475" w:name="_Toc14021"/>
      <w:bookmarkStart w:id="476" w:name="_Toc25079"/>
      <w:bookmarkStart w:id="477" w:name="_Toc19680"/>
      <w:bookmarkStart w:id="478" w:name="_Toc5228"/>
      <w:bookmarkStart w:id="479" w:name="_Toc31297"/>
      <w:r>
        <w:rPr>
          <w:rFonts w:ascii="宋体" w:hAnsi="宋体"/>
          <w:b/>
          <w:color w:val="auto"/>
          <w:sz w:val="24"/>
          <w:highlight w:val="none"/>
        </w:rPr>
        <w:t>2.1 定义</w:t>
      </w:r>
      <w:bookmarkEnd w:id="475"/>
      <w:bookmarkEnd w:id="476"/>
      <w:bookmarkEnd w:id="477"/>
      <w:bookmarkEnd w:id="478"/>
      <w:bookmarkEnd w:id="479"/>
    </w:p>
    <w:p>
      <w:pPr>
        <w:spacing w:line="560" w:lineRule="exact"/>
        <w:ind w:firstLine="480" w:firstLineChars="200"/>
        <w:rPr>
          <w:rFonts w:ascii="宋体" w:hAnsi="宋体"/>
          <w:color w:val="auto"/>
          <w:sz w:val="24"/>
          <w:highlight w:val="none"/>
        </w:rPr>
      </w:pPr>
      <w:r>
        <w:rPr>
          <w:rFonts w:ascii="宋体" w:hAnsi="宋体"/>
          <w:color w:val="auto"/>
          <w:sz w:val="24"/>
          <w:highlight w:val="none"/>
        </w:rPr>
        <w:t>本合同中的下列</w:t>
      </w:r>
      <w:r>
        <w:rPr>
          <w:rFonts w:hint="eastAsia" w:ascii="宋体" w:hAnsi="宋体"/>
          <w:color w:val="auto"/>
          <w:sz w:val="24"/>
          <w:highlight w:val="none"/>
        </w:rPr>
        <w:t>词</w:t>
      </w:r>
      <w:r>
        <w:rPr>
          <w:rFonts w:ascii="宋体" w:hAnsi="宋体"/>
          <w:color w:val="auto"/>
          <w:sz w:val="24"/>
          <w:highlight w:val="none"/>
        </w:rPr>
        <w:t>语应</w:t>
      </w:r>
      <w:r>
        <w:rPr>
          <w:rFonts w:hint="eastAsia" w:ascii="宋体" w:hAnsi="宋体"/>
          <w:color w:val="auto"/>
          <w:sz w:val="24"/>
          <w:highlight w:val="none"/>
        </w:rPr>
        <w:t>按以下内容进行</w:t>
      </w:r>
      <w:r>
        <w:rPr>
          <w:rFonts w:ascii="宋体" w:hAnsi="宋体"/>
          <w:color w:val="auto"/>
          <w:sz w:val="24"/>
          <w:highlight w:val="none"/>
        </w:rPr>
        <w:t>解释：</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2.1.1 “合同”系指采购人和</w:t>
      </w:r>
      <w:r>
        <w:rPr>
          <w:rFonts w:hint="eastAsia" w:ascii="宋体" w:hAnsi="宋体" w:cs="宋体"/>
          <w:color w:val="auto"/>
          <w:sz w:val="24"/>
          <w:highlight w:val="none"/>
        </w:rPr>
        <w:t>中标或成交</w:t>
      </w:r>
      <w:r>
        <w:rPr>
          <w:rFonts w:ascii="宋体" w:hAnsi="宋体"/>
          <w:color w:val="auto"/>
          <w:sz w:val="24"/>
          <w:highlight w:val="none"/>
        </w:rPr>
        <w:t>供应商签订的载明双方当事人所达成的协议，并包括所有的附件、附录和构成合同的其他文件。</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2.1.2 “合同价”系指根据合同约定，</w:t>
      </w:r>
      <w:r>
        <w:rPr>
          <w:rFonts w:hint="eastAsia" w:ascii="宋体" w:hAnsi="宋体" w:cs="宋体"/>
          <w:color w:val="auto"/>
          <w:sz w:val="24"/>
          <w:highlight w:val="none"/>
        </w:rPr>
        <w:t>中标或成交</w:t>
      </w:r>
      <w:r>
        <w:rPr>
          <w:rFonts w:ascii="宋体" w:hAnsi="宋体"/>
          <w:color w:val="auto"/>
          <w:sz w:val="24"/>
          <w:highlight w:val="none"/>
        </w:rPr>
        <w:t>供应商在完全履行合同义务后</w:t>
      </w:r>
      <w:r>
        <w:rPr>
          <w:rFonts w:hint="eastAsia" w:ascii="宋体" w:hAnsi="宋体"/>
          <w:color w:val="auto"/>
          <w:sz w:val="24"/>
          <w:highlight w:val="none"/>
        </w:rPr>
        <w:t>，</w:t>
      </w:r>
      <w:r>
        <w:rPr>
          <w:rFonts w:ascii="宋体" w:hAnsi="宋体"/>
          <w:color w:val="auto"/>
          <w:sz w:val="24"/>
          <w:highlight w:val="none"/>
        </w:rPr>
        <w:t>采购人应支付给</w:t>
      </w:r>
      <w:r>
        <w:rPr>
          <w:rFonts w:hint="eastAsia" w:ascii="宋体" w:hAnsi="宋体" w:cs="宋体"/>
          <w:color w:val="auto"/>
          <w:sz w:val="24"/>
          <w:highlight w:val="none"/>
        </w:rPr>
        <w:t>中标或成交</w:t>
      </w:r>
      <w:r>
        <w:rPr>
          <w:rFonts w:ascii="宋体" w:hAnsi="宋体"/>
          <w:color w:val="auto"/>
          <w:sz w:val="24"/>
          <w:highlight w:val="none"/>
        </w:rPr>
        <w:t>供应商的价格。</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2.1.3 “</w:t>
      </w:r>
      <w:r>
        <w:rPr>
          <w:rFonts w:hint="eastAsia" w:ascii="宋体" w:hAnsi="宋体"/>
          <w:color w:val="auto"/>
          <w:sz w:val="24"/>
          <w:highlight w:val="none"/>
        </w:rPr>
        <w:t>服务</w:t>
      </w:r>
      <w:r>
        <w:rPr>
          <w:rFonts w:ascii="宋体" w:hAnsi="宋体"/>
          <w:color w:val="auto"/>
          <w:sz w:val="24"/>
          <w:highlight w:val="none"/>
        </w:rPr>
        <w:t>”系指</w:t>
      </w:r>
      <w:r>
        <w:rPr>
          <w:rFonts w:hint="eastAsia" w:ascii="宋体" w:hAnsi="宋体" w:cs="宋体"/>
          <w:color w:val="auto"/>
          <w:sz w:val="24"/>
          <w:highlight w:val="none"/>
        </w:rPr>
        <w:t>中标或成交</w:t>
      </w:r>
      <w:r>
        <w:rPr>
          <w:rFonts w:hint="eastAsia" w:ascii="宋体" w:hAnsi="宋体"/>
          <w:color w:val="auto"/>
          <w:sz w:val="24"/>
          <w:highlight w:val="none"/>
        </w:rPr>
        <w:t>供应商</w:t>
      </w:r>
      <w:r>
        <w:rPr>
          <w:rFonts w:ascii="宋体" w:hAnsi="宋体"/>
          <w:color w:val="auto"/>
          <w:sz w:val="24"/>
          <w:highlight w:val="none"/>
        </w:rPr>
        <w:t>根据合同约定应向采购人</w:t>
      </w:r>
      <w:r>
        <w:rPr>
          <w:rFonts w:hint="eastAsia" w:ascii="宋体" w:hAnsi="宋体"/>
          <w:color w:val="auto"/>
          <w:sz w:val="24"/>
          <w:highlight w:val="none"/>
        </w:rPr>
        <w:t>履行</w:t>
      </w:r>
      <w:r>
        <w:rPr>
          <w:rFonts w:ascii="宋体" w:hAnsi="宋体"/>
          <w:color w:val="auto"/>
          <w:sz w:val="24"/>
          <w:highlight w:val="none"/>
        </w:rPr>
        <w:t>的</w:t>
      </w:r>
      <w:r>
        <w:rPr>
          <w:rFonts w:hint="eastAsia" w:ascii="宋体" w:hAnsi="宋体"/>
          <w:color w:val="auto"/>
          <w:sz w:val="24"/>
          <w:highlight w:val="none"/>
        </w:rPr>
        <w:t>除货物和工程以外的其他政府采购对象，包括采购人自身需要的服务和向社会公众提供的公共服务。</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2.1.4 “</w:t>
      </w:r>
      <w:r>
        <w:rPr>
          <w:rFonts w:hint="eastAsia" w:ascii="宋体" w:hAnsi="宋体"/>
          <w:color w:val="auto"/>
          <w:sz w:val="24"/>
          <w:highlight w:val="none"/>
        </w:rPr>
        <w:t>甲方</w:t>
      </w:r>
      <w:r>
        <w:rPr>
          <w:rFonts w:ascii="宋体" w:hAnsi="宋体"/>
          <w:color w:val="auto"/>
          <w:sz w:val="24"/>
          <w:highlight w:val="none"/>
        </w:rPr>
        <w:t>”系指与</w:t>
      </w:r>
      <w:r>
        <w:rPr>
          <w:rFonts w:hint="eastAsia" w:ascii="宋体" w:hAnsi="宋体" w:cs="宋体"/>
          <w:color w:val="auto"/>
          <w:sz w:val="24"/>
          <w:highlight w:val="none"/>
        </w:rPr>
        <w:t>中标或成交</w:t>
      </w:r>
      <w:r>
        <w:rPr>
          <w:rFonts w:hint="eastAsia" w:ascii="宋体" w:hAnsi="宋体"/>
          <w:color w:val="auto"/>
          <w:sz w:val="24"/>
          <w:highlight w:val="none"/>
        </w:rPr>
        <w:t>供应商</w:t>
      </w:r>
      <w:r>
        <w:rPr>
          <w:rFonts w:ascii="宋体" w:hAnsi="宋体"/>
          <w:color w:val="auto"/>
          <w:sz w:val="24"/>
          <w:highlight w:val="none"/>
        </w:rPr>
        <w:t>签署合同的采购人</w:t>
      </w:r>
      <w:r>
        <w:rPr>
          <w:rFonts w:hint="eastAsia" w:ascii="宋体" w:hAnsi="宋体"/>
          <w:color w:val="auto"/>
          <w:sz w:val="24"/>
          <w:highlight w:val="none"/>
        </w:rPr>
        <w:t>；采购人委托采购代理机构代表其与乙方签订合同的，采购人的授权委托书作为合同附件。</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2.1.5 “乙方”系指根据合同约定提供服务的</w:t>
      </w:r>
      <w:r>
        <w:rPr>
          <w:rFonts w:hint="eastAsia" w:ascii="宋体" w:hAnsi="宋体" w:cs="宋体"/>
          <w:color w:val="auto"/>
          <w:sz w:val="24"/>
          <w:highlight w:val="none"/>
        </w:rPr>
        <w:t>中标或成交</w:t>
      </w:r>
      <w:r>
        <w:rPr>
          <w:rFonts w:ascii="宋体" w:hAnsi="宋体"/>
          <w:color w:val="auto"/>
          <w:sz w:val="24"/>
          <w:highlight w:val="none"/>
        </w:rPr>
        <w:t>供应商</w:t>
      </w:r>
      <w:r>
        <w:rPr>
          <w:rFonts w:hint="eastAsia" w:ascii="宋体" w:hAnsi="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2.1.6 “现场”系指合同约定提供服务的地点。</w:t>
      </w:r>
    </w:p>
    <w:p>
      <w:pPr>
        <w:spacing w:line="560" w:lineRule="exact"/>
        <w:ind w:firstLine="482" w:firstLineChars="200"/>
        <w:outlineLvl w:val="0"/>
        <w:rPr>
          <w:rFonts w:ascii="宋体" w:hAnsi="宋体"/>
          <w:b/>
          <w:color w:val="auto"/>
          <w:sz w:val="24"/>
          <w:highlight w:val="none"/>
        </w:rPr>
      </w:pPr>
      <w:bookmarkStart w:id="480" w:name="_Toc3769"/>
      <w:bookmarkStart w:id="481" w:name="_Toc31402"/>
      <w:bookmarkStart w:id="482" w:name="_Toc16752"/>
      <w:bookmarkStart w:id="483" w:name="_Toc19539"/>
      <w:bookmarkStart w:id="484" w:name="_Toc23289"/>
      <w:r>
        <w:rPr>
          <w:rFonts w:ascii="宋体" w:hAnsi="宋体"/>
          <w:b/>
          <w:color w:val="auto"/>
          <w:sz w:val="24"/>
          <w:highlight w:val="none"/>
        </w:rPr>
        <w:t>2.2 技术规范</w:t>
      </w:r>
      <w:bookmarkEnd w:id="480"/>
      <w:bookmarkEnd w:id="481"/>
      <w:bookmarkEnd w:id="482"/>
      <w:bookmarkEnd w:id="483"/>
      <w:bookmarkEnd w:id="484"/>
    </w:p>
    <w:p>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服务</w:t>
      </w:r>
      <w:r>
        <w:rPr>
          <w:rFonts w:ascii="宋体" w:hAnsi="宋体"/>
          <w:color w:val="auto"/>
          <w:sz w:val="24"/>
          <w:highlight w:val="none"/>
        </w:rPr>
        <w:t>所应遵守的技术规范应与采购文件规定的技术规范和技术规范附件(如果有的话)及其技术规范偏差表(如果被甲方接受的话)相一致</w:t>
      </w:r>
      <w:r>
        <w:rPr>
          <w:rFonts w:hint="eastAsia" w:ascii="宋体" w:hAnsi="宋体"/>
          <w:color w:val="auto"/>
          <w:sz w:val="24"/>
          <w:highlight w:val="none"/>
        </w:rPr>
        <w:t>；</w:t>
      </w:r>
      <w:r>
        <w:rPr>
          <w:rFonts w:ascii="宋体" w:hAnsi="宋体"/>
          <w:color w:val="auto"/>
          <w:sz w:val="24"/>
          <w:highlight w:val="none"/>
        </w:rPr>
        <w:t>如果采购文件中没有技术规范的相应说明，那么应以国家有关部门最新颁布的相应标准</w:t>
      </w:r>
      <w:r>
        <w:rPr>
          <w:rFonts w:hint="eastAsia" w:ascii="宋体" w:hAnsi="宋体"/>
          <w:color w:val="auto"/>
          <w:sz w:val="24"/>
          <w:highlight w:val="none"/>
        </w:rPr>
        <w:t>和</w:t>
      </w:r>
      <w:r>
        <w:rPr>
          <w:rFonts w:ascii="宋体" w:hAnsi="宋体"/>
          <w:color w:val="auto"/>
          <w:sz w:val="24"/>
          <w:highlight w:val="none"/>
        </w:rPr>
        <w:t>规范为准。</w:t>
      </w:r>
    </w:p>
    <w:p>
      <w:pPr>
        <w:spacing w:line="560" w:lineRule="exact"/>
        <w:ind w:firstLine="482" w:firstLineChars="200"/>
        <w:outlineLvl w:val="0"/>
        <w:rPr>
          <w:rFonts w:ascii="宋体" w:hAnsi="宋体"/>
          <w:b/>
          <w:color w:val="auto"/>
          <w:sz w:val="24"/>
          <w:highlight w:val="none"/>
        </w:rPr>
      </w:pPr>
      <w:bookmarkStart w:id="485" w:name="_Toc4133"/>
      <w:bookmarkStart w:id="486" w:name="_Toc13673"/>
      <w:bookmarkStart w:id="487" w:name="_Toc27945"/>
      <w:bookmarkStart w:id="488" w:name="_Toc9161"/>
      <w:bookmarkStart w:id="489" w:name="_Toc12412"/>
      <w:r>
        <w:rPr>
          <w:rFonts w:ascii="宋体" w:hAnsi="宋体"/>
          <w:b/>
          <w:color w:val="auto"/>
          <w:sz w:val="24"/>
          <w:highlight w:val="none"/>
        </w:rPr>
        <w:t>2.3 知识产权</w:t>
      </w:r>
      <w:bookmarkEnd w:id="485"/>
      <w:bookmarkEnd w:id="486"/>
      <w:bookmarkEnd w:id="487"/>
      <w:bookmarkEnd w:id="488"/>
      <w:bookmarkEnd w:id="489"/>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2.3.1 </w:t>
      </w:r>
      <w:r>
        <w:rPr>
          <w:rFonts w:hint="eastAsia" w:ascii="宋体" w:hAnsi="宋体"/>
          <w:color w:val="auto"/>
          <w:sz w:val="24"/>
          <w:highlight w:val="none"/>
        </w:rPr>
        <w:t>乙</w:t>
      </w:r>
      <w:r>
        <w:rPr>
          <w:rFonts w:ascii="宋体" w:hAnsi="宋体"/>
          <w:color w:val="auto"/>
          <w:sz w:val="24"/>
          <w:highlight w:val="none"/>
        </w:rPr>
        <w:t>方应保证</w:t>
      </w:r>
      <w:r>
        <w:rPr>
          <w:rFonts w:hint="eastAsia" w:ascii="宋体" w:hAnsi="宋体"/>
          <w:color w:val="auto"/>
          <w:sz w:val="24"/>
          <w:highlight w:val="none"/>
        </w:rPr>
        <w:t>其提供的服务</w:t>
      </w:r>
      <w:r>
        <w:rPr>
          <w:rFonts w:ascii="宋体" w:hAnsi="宋体"/>
          <w:color w:val="auto"/>
          <w:sz w:val="24"/>
          <w:highlight w:val="none"/>
        </w:rPr>
        <w:t>不受任何第三方提出的侵犯其著作权、商标权、专利权等知识产权方面的起诉</w:t>
      </w:r>
      <w:r>
        <w:rPr>
          <w:rFonts w:hint="eastAsia" w:ascii="宋体" w:hAnsi="宋体"/>
          <w:color w:val="auto"/>
          <w:sz w:val="24"/>
          <w:highlight w:val="none"/>
        </w:rPr>
        <w:t>；</w:t>
      </w:r>
      <w:r>
        <w:rPr>
          <w:rFonts w:ascii="宋体" w:hAnsi="宋体"/>
          <w:color w:val="auto"/>
          <w:sz w:val="24"/>
          <w:highlight w:val="none"/>
        </w:rPr>
        <w:t>如果任何第三方提出侵权</w:t>
      </w:r>
      <w:r>
        <w:rPr>
          <w:rFonts w:hint="eastAsia" w:ascii="宋体" w:hAnsi="宋体"/>
          <w:color w:val="auto"/>
          <w:sz w:val="24"/>
          <w:highlight w:val="none"/>
        </w:rPr>
        <w:t>指控</w:t>
      </w:r>
      <w:r>
        <w:rPr>
          <w:rFonts w:ascii="宋体" w:hAnsi="宋体"/>
          <w:color w:val="auto"/>
          <w:sz w:val="24"/>
          <w:highlight w:val="none"/>
        </w:rPr>
        <w:t>，那么乙方须与该第三方交涉并承担由此发生的一切责任、费用和赔偿</w:t>
      </w:r>
      <w:r>
        <w:rPr>
          <w:rFonts w:hint="eastAsia" w:ascii="宋体" w:hAnsi="宋体"/>
          <w:color w:val="auto"/>
          <w:sz w:val="24"/>
          <w:highlight w:val="none"/>
        </w:rPr>
        <w:t>，乙方还应及时澄清相关信息，使甲方声誉免受损害，甲方保留追责的权利。</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2.3.2 </w:t>
      </w:r>
      <w:r>
        <w:rPr>
          <w:rFonts w:hint="eastAsia" w:ascii="宋体" w:hAnsi="宋体"/>
          <w:color w:val="auto"/>
          <w:sz w:val="24"/>
          <w:highlight w:val="none"/>
        </w:rPr>
        <w:t>合同涉及技术成果的归属和收益的分成办法的，</w:t>
      </w:r>
      <w:r>
        <w:rPr>
          <w:rFonts w:ascii="宋体" w:hAnsi="宋体"/>
          <w:color w:val="auto"/>
          <w:sz w:val="24"/>
          <w:highlight w:val="none"/>
        </w:rPr>
        <w:t>详见</w:t>
      </w:r>
      <w:r>
        <w:rPr>
          <w:rFonts w:ascii="宋体" w:hAnsi="宋体"/>
          <w:b/>
          <w:i/>
          <w:color w:val="auto"/>
          <w:sz w:val="24"/>
          <w:highlight w:val="none"/>
          <w:u w:val="single"/>
        </w:rPr>
        <w:t>合同专用条款</w:t>
      </w:r>
      <w:r>
        <w:rPr>
          <w:rFonts w:ascii="宋体" w:hAnsi="宋体"/>
          <w:color w:val="auto"/>
          <w:sz w:val="24"/>
          <w:highlight w:val="none"/>
        </w:rPr>
        <w:t>。</w:t>
      </w:r>
    </w:p>
    <w:p>
      <w:pPr>
        <w:spacing w:line="560" w:lineRule="exact"/>
        <w:ind w:firstLine="482" w:firstLineChars="200"/>
        <w:rPr>
          <w:rFonts w:ascii="宋体" w:hAnsi="宋体"/>
          <w:b/>
          <w:color w:val="auto"/>
          <w:sz w:val="24"/>
          <w:highlight w:val="none"/>
        </w:rPr>
      </w:pPr>
      <w:r>
        <w:rPr>
          <w:rFonts w:ascii="宋体" w:hAnsi="宋体"/>
          <w:b/>
          <w:color w:val="auto"/>
          <w:sz w:val="24"/>
          <w:highlight w:val="none"/>
        </w:rPr>
        <w:t xml:space="preserve">2.4 </w:t>
      </w:r>
      <w:r>
        <w:rPr>
          <w:rFonts w:hint="eastAsia" w:ascii="宋体" w:hAnsi="宋体"/>
          <w:b/>
          <w:color w:val="auto"/>
          <w:sz w:val="24"/>
          <w:highlight w:val="none"/>
        </w:rPr>
        <w:t>履约检查和问题反馈</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2.4.1甲方</w:t>
      </w:r>
      <w:r>
        <w:rPr>
          <w:rFonts w:hint="eastAsia" w:ascii="宋体" w:hAnsi="宋体"/>
          <w:color w:val="auto"/>
          <w:sz w:val="24"/>
          <w:highlight w:val="none"/>
        </w:rPr>
        <w:t>有权</w:t>
      </w:r>
      <w:r>
        <w:rPr>
          <w:rFonts w:ascii="宋体" w:hAnsi="宋体"/>
          <w:color w:val="auto"/>
          <w:sz w:val="24"/>
          <w:highlight w:val="none"/>
        </w:rPr>
        <w:t>在其认为必要时</w:t>
      </w:r>
      <w:r>
        <w:rPr>
          <w:rFonts w:hint="eastAsia" w:ascii="宋体" w:hAnsi="宋体"/>
          <w:color w:val="auto"/>
          <w:sz w:val="24"/>
          <w:highlight w:val="none"/>
        </w:rPr>
        <w:t>，对乙方是否能够按照合同约定提供服务进行履约检查，以确保乙方所提供的服务能够依约满足甲方之项目需求，但不得因履约检查妨碍乙方的正常工作，乙方应予积极配合；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2.4.2 </w:t>
      </w:r>
      <w:r>
        <w:rPr>
          <w:rFonts w:hint="eastAsia" w:ascii="宋体" w:hAnsi="宋体"/>
          <w:color w:val="auto"/>
          <w:sz w:val="24"/>
          <w:highlight w:val="none"/>
        </w:rPr>
        <w:t>合同履行期间，甲方有权将履行过程中出现的问题反馈给乙方，双方当事人应以书面形式约定需要完善和改进的内容。</w:t>
      </w:r>
    </w:p>
    <w:p>
      <w:pPr>
        <w:spacing w:line="560" w:lineRule="exact"/>
        <w:ind w:firstLine="482" w:firstLineChars="200"/>
        <w:outlineLvl w:val="0"/>
        <w:rPr>
          <w:rFonts w:ascii="宋体" w:hAnsi="宋体"/>
          <w:b/>
          <w:color w:val="auto"/>
          <w:sz w:val="24"/>
          <w:highlight w:val="none"/>
        </w:rPr>
      </w:pPr>
      <w:bookmarkStart w:id="490" w:name="_Toc22011"/>
      <w:bookmarkStart w:id="491" w:name="_Toc31233"/>
      <w:bookmarkStart w:id="492" w:name="_Toc26555"/>
      <w:bookmarkStart w:id="493" w:name="_Toc15447"/>
      <w:bookmarkStart w:id="494" w:name="_Toc32670"/>
      <w:r>
        <w:rPr>
          <w:rFonts w:ascii="宋体" w:hAnsi="宋体"/>
          <w:b/>
          <w:color w:val="auto"/>
          <w:sz w:val="24"/>
          <w:highlight w:val="none"/>
        </w:rPr>
        <w:t>2.5 结算方式和付款条件</w:t>
      </w:r>
      <w:bookmarkEnd w:id="490"/>
      <w:bookmarkEnd w:id="491"/>
      <w:bookmarkEnd w:id="492"/>
      <w:bookmarkEnd w:id="493"/>
      <w:bookmarkEnd w:id="494"/>
    </w:p>
    <w:p>
      <w:pPr>
        <w:spacing w:line="560" w:lineRule="exact"/>
        <w:ind w:firstLine="480" w:firstLineChars="200"/>
        <w:rPr>
          <w:rFonts w:ascii="宋体" w:hAnsi="宋体"/>
          <w:color w:val="auto"/>
          <w:sz w:val="24"/>
          <w:highlight w:val="none"/>
        </w:rPr>
      </w:pPr>
      <w:r>
        <w:rPr>
          <w:rFonts w:ascii="宋体" w:hAnsi="宋体"/>
          <w:color w:val="auto"/>
          <w:sz w:val="24"/>
          <w:highlight w:val="none"/>
        </w:rPr>
        <w:t>详见</w:t>
      </w:r>
      <w:r>
        <w:rPr>
          <w:rFonts w:ascii="宋体" w:hAnsi="宋体"/>
          <w:b/>
          <w:i/>
          <w:color w:val="auto"/>
          <w:sz w:val="24"/>
          <w:highlight w:val="none"/>
          <w:u w:val="single"/>
        </w:rPr>
        <w:t>合同专用条款</w:t>
      </w:r>
      <w:r>
        <w:rPr>
          <w:rFonts w:ascii="宋体" w:hAnsi="宋体"/>
          <w:color w:val="auto"/>
          <w:sz w:val="24"/>
          <w:highlight w:val="none"/>
        </w:rPr>
        <w:t>。</w:t>
      </w:r>
    </w:p>
    <w:p>
      <w:pPr>
        <w:spacing w:line="560" w:lineRule="exact"/>
        <w:ind w:firstLine="482" w:firstLineChars="200"/>
        <w:outlineLvl w:val="0"/>
        <w:rPr>
          <w:rFonts w:ascii="宋体" w:hAnsi="宋体"/>
          <w:b/>
          <w:color w:val="auto"/>
          <w:sz w:val="24"/>
          <w:highlight w:val="none"/>
        </w:rPr>
      </w:pPr>
      <w:bookmarkStart w:id="495" w:name="_Toc13154"/>
      <w:bookmarkStart w:id="496" w:name="_Toc18990"/>
      <w:bookmarkStart w:id="497" w:name="_Toc30507"/>
      <w:bookmarkStart w:id="498" w:name="_Toc16163"/>
      <w:bookmarkStart w:id="499" w:name="_Toc13467"/>
      <w:r>
        <w:rPr>
          <w:rFonts w:ascii="宋体" w:hAnsi="宋体"/>
          <w:b/>
          <w:color w:val="auto"/>
          <w:sz w:val="24"/>
          <w:highlight w:val="none"/>
        </w:rPr>
        <w:t>2.6 技术资料和保密义务</w:t>
      </w:r>
      <w:bookmarkEnd w:id="495"/>
      <w:bookmarkEnd w:id="496"/>
      <w:bookmarkEnd w:id="497"/>
      <w:bookmarkEnd w:id="498"/>
      <w:bookmarkEnd w:id="499"/>
    </w:p>
    <w:p>
      <w:pPr>
        <w:spacing w:line="560" w:lineRule="exact"/>
        <w:ind w:firstLine="480" w:firstLineChars="200"/>
        <w:rPr>
          <w:rFonts w:ascii="宋体" w:hAnsi="宋体"/>
          <w:color w:val="auto"/>
          <w:sz w:val="24"/>
          <w:highlight w:val="none"/>
        </w:rPr>
      </w:pPr>
      <w:r>
        <w:rPr>
          <w:rFonts w:ascii="宋体" w:hAnsi="宋体"/>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2.6.2 </w:t>
      </w:r>
      <w:r>
        <w:rPr>
          <w:rFonts w:hint="eastAsia" w:ascii="宋体" w:hAnsi="宋体"/>
          <w:color w:val="auto"/>
          <w:sz w:val="24"/>
          <w:highlight w:val="none"/>
        </w:rPr>
        <w:t>乙方有义务妥善保管和保护由甲方提供的前款信息和资料等；</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2.6.3 </w:t>
      </w:r>
      <w:r>
        <w:rPr>
          <w:rFonts w:hint="eastAsia" w:ascii="宋体" w:hAnsi="宋体"/>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color w:val="auto"/>
          <w:sz w:val="24"/>
          <w:highlight w:val="none"/>
        </w:rPr>
        <w:t>技术情报</w:t>
      </w:r>
      <w:r>
        <w:rPr>
          <w:rFonts w:hint="eastAsia" w:ascii="宋体" w:hAnsi="宋体"/>
          <w:color w:val="auto"/>
          <w:sz w:val="24"/>
          <w:highlight w:val="none"/>
        </w:rPr>
        <w:t>、</w:t>
      </w:r>
      <w:r>
        <w:rPr>
          <w:rFonts w:ascii="宋体" w:hAnsi="宋体"/>
          <w:color w:val="auto"/>
          <w:sz w:val="24"/>
          <w:highlight w:val="none"/>
        </w:rPr>
        <w:t>技术资料</w:t>
      </w:r>
      <w:r>
        <w:rPr>
          <w:rFonts w:hint="eastAsia" w:ascii="宋体" w:hAnsi="宋体"/>
          <w:color w:val="auto"/>
          <w:sz w:val="24"/>
          <w:highlight w:val="none"/>
        </w:rPr>
        <w:t>、商业秘密和商业信息等，并采取一切合理和必要措施和方式防止任何第三方接触到对方当事人的上述保密信息和资料。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b/>
          <w:color w:val="auto"/>
          <w:sz w:val="24"/>
          <w:highlight w:val="none"/>
        </w:rPr>
      </w:pPr>
      <w:bookmarkStart w:id="500" w:name="_Toc19069"/>
      <w:r>
        <w:rPr>
          <w:rFonts w:ascii="宋体" w:hAnsi="宋体"/>
          <w:b/>
          <w:color w:val="auto"/>
          <w:sz w:val="24"/>
          <w:highlight w:val="none"/>
        </w:rPr>
        <w:t xml:space="preserve">2.7 </w:t>
      </w:r>
      <w:r>
        <w:rPr>
          <w:rFonts w:hint="eastAsia" w:ascii="宋体" w:hAnsi="宋体"/>
          <w:b/>
          <w:color w:val="auto"/>
          <w:sz w:val="24"/>
          <w:highlight w:val="none"/>
        </w:rPr>
        <w:t>质量保证</w:t>
      </w:r>
      <w:bookmarkEnd w:id="500"/>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2.7.1 </w:t>
      </w:r>
      <w:r>
        <w:rPr>
          <w:rFonts w:hint="eastAsia" w:ascii="宋体" w:hAnsi="宋体"/>
          <w:color w:val="auto"/>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2.7.2 </w:t>
      </w:r>
      <w:r>
        <w:rPr>
          <w:rFonts w:hint="eastAsia" w:ascii="宋体" w:hAnsi="宋体"/>
          <w:color w:val="auto"/>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b/>
          <w:color w:val="auto"/>
          <w:sz w:val="24"/>
          <w:highlight w:val="none"/>
        </w:rPr>
      </w:pPr>
      <w:bookmarkStart w:id="501" w:name="_Toc22267"/>
      <w:r>
        <w:rPr>
          <w:rFonts w:ascii="宋体" w:hAnsi="宋体"/>
          <w:b/>
          <w:color w:val="auto"/>
          <w:sz w:val="24"/>
          <w:highlight w:val="none"/>
        </w:rPr>
        <w:t xml:space="preserve">2.8 </w:t>
      </w:r>
      <w:r>
        <w:rPr>
          <w:rFonts w:hint="eastAsia" w:ascii="宋体" w:hAnsi="宋体"/>
          <w:b/>
          <w:color w:val="auto"/>
          <w:sz w:val="24"/>
          <w:highlight w:val="none"/>
        </w:rPr>
        <w:t>延迟履行</w:t>
      </w:r>
      <w:bookmarkEnd w:id="501"/>
    </w:p>
    <w:p>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甲乙双方签订合同后，乙方应按照合同约定履行合同义务，除不可抗力外，乙方不得延迟履行。</w:t>
      </w:r>
      <w:r>
        <w:rPr>
          <w:rFonts w:ascii="宋体" w:hAnsi="宋体"/>
          <w:color w:val="auto"/>
          <w:sz w:val="24"/>
          <w:highlight w:val="none"/>
        </w:rPr>
        <w:t>在合同履行过程中，如果</w:t>
      </w:r>
      <w:r>
        <w:rPr>
          <w:rFonts w:hint="eastAsia" w:ascii="宋体" w:hAnsi="宋体"/>
          <w:color w:val="auto"/>
          <w:sz w:val="24"/>
          <w:highlight w:val="none"/>
        </w:rPr>
        <w:t>因不可抗力，</w:t>
      </w:r>
      <w:r>
        <w:rPr>
          <w:rFonts w:ascii="宋体" w:hAnsi="宋体"/>
          <w:color w:val="auto"/>
          <w:sz w:val="24"/>
          <w:highlight w:val="none"/>
        </w:rPr>
        <w:t>乙方遇到不能按时</w:t>
      </w:r>
      <w:r>
        <w:rPr>
          <w:rFonts w:hint="eastAsia" w:ascii="宋体" w:hAnsi="宋体"/>
          <w:color w:val="auto"/>
          <w:sz w:val="24"/>
          <w:highlight w:val="none"/>
        </w:rPr>
        <w:t>提供服务</w:t>
      </w:r>
      <w:r>
        <w:rPr>
          <w:rFonts w:ascii="宋体" w:hAnsi="宋体"/>
          <w:color w:val="auto"/>
          <w:sz w:val="24"/>
          <w:highlight w:val="none"/>
        </w:rPr>
        <w:t>的情况，应及时以书面形式将不能按时</w:t>
      </w:r>
      <w:r>
        <w:rPr>
          <w:rFonts w:hint="eastAsia" w:ascii="宋体" w:hAnsi="宋体"/>
          <w:color w:val="auto"/>
          <w:sz w:val="24"/>
          <w:highlight w:val="none"/>
        </w:rPr>
        <w:t>提供服务</w:t>
      </w:r>
      <w:r>
        <w:rPr>
          <w:rFonts w:ascii="宋体" w:hAnsi="宋体"/>
          <w:color w:val="auto"/>
          <w:sz w:val="24"/>
          <w:highlight w:val="none"/>
        </w:rPr>
        <w:t>的理由、预期延误时间通知甲方</w:t>
      </w:r>
      <w:r>
        <w:rPr>
          <w:rFonts w:hint="eastAsia" w:ascii="宋体" w:hAnsi="宋体"/>
          <w:color w:val="auto"/>
          <w:sz w:val="24"/>
          <w:highlight w:val="none"/>
        </w:rPr>
        <w:t>；甲</w:t>
      </w:r>
      <w:r>
        <w:rPr>
          <w:rFonts w:ascii="宋体" w:hAnsi="宋体"/>
          <w:color w:val="auto"/>
          <w:sz w:val="24"/>
          <w:highlight w:val="none"/>
        </w:rPr>
        <w:t>方收到乙方通知后，认为其理由正当的，可以书面形式酌情同意乙方可以延长</w:t>
      </w:r>
      <w:r>
        <w:rPr>
          <w:rFonts w:hint="eastAsia" w:ascii="宋体" w:hAnsi="宋体"/>
          <w:color w:val="auto"/>
          <w:sz w:val="24"/>
          <w:highlight w:val="none"/>
        </w:rPr>
        <w:t>履行</w:t>
      </w:r>
      <w:r>
        <w:rPr>
          <w:rFonts w:ascii="宋体" w:hAnsi="宋体"/>
          <w:color w:val="auto"/>
          <w:sz w:val="24"/>
          <w:highlight w:val="none"/>
        </w:rPr>
        <w:t>的具体时间。</w:t>
      </w:r>
    </w:p>
    <w:p>
      <w:pPr>
        <w:spacing w:line="560" w:lineRule="exact"/>
        <w:ind w:firstLine="482" w:firstLineChars="200"/>
        <w:outlineLvl w:val="0"/>
        <w:rPr>
          <w:rFonts w:ascii="宋体" w:hAnsi="宋体"/>
          <w:b/>
          <w:color w:val="auto"/>
          <w:sz w:val="24"/>
          <w:highlight w:val="none"/>
        </w:rPr>
      </w:pPr>
      <w:bookmarkStart w:id="502" w:name="_Toc10611"/>
      <w:r>
        <w:rPr>
          <w:rFonts w:ascii="宋体" w:hAnsi="宋体"/>
          <w:b/>
          <w:color w:val="auto"/>
          <w:sz w:val="24"/>
          <w:highlight w:val="none"/>
        </w:rPr>
        <w:t xml:space="preserve">2.9 </w:t>
      </w:r>
      <w:r>
        <w:rPr>
          <w:rFonts w:hint="eastAsia" w:ascii="宋体" w:hAnsi="宋体"/>
          <w:b/>
          <w:color w:val="auto"/>
          <w:sz w:val="24"/>
          <w:highlight w:val="none"/>
        </w:rPr>
        <w:t>合同变更</w:t>
      </w:r>
      <w:bookmarkEnd w:id="502"/>
    </w:p>
    <w:p>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宋体" w:hAnsi="宋体"/>
          <w:b/>
          <w:color w:val="auto"/>
          <w:sz w:val="24"/>
          <w:highlight w:val="none"/>
        </w:rPr>
      </w:pPr>
      <w:bookmarkStart w:id="503" w:name="_Toc10663"/>
      <w:bookmarkStart w:id="504" w:name="_Toc23368"/>
      <w:bookmarkStart w:id="505" w:name="_Toc42"/>
      <w:bookmarkStart w:id="506" w:name="_Toc21830"/>
      <w:bookmarkStart w:id="507" w:name="_Toc26689"/>
      <w:r>
        <w:rPr>
          <w:rFonts w:ascii="宋体" w:hAnsi="宋体"/>
          <w:b/>
          <w:color w:val="auto"/>
          <w:sz w:val="24"/>
          <w:highlight w:val="none"/>
        </w:rPr>
        <w:t>2.10 合同转让和分包</w:t>
      </w:r>
      <w:bookmarkEnd w:id="503"/>
      <w:bookmarkEnd w:id="504"/>
      <w:bookmarkEnd w:id="505"/>
      <w:bookmarkEnd w:id="506"/>
      <w:bookmarkEnd w:id="507"/>
    </w:p>
    <w:p>
      <w:pPr>
        <w:spacing w:line="560" w:lineRule="exact"/>
        <w:ind w:firstLine="480" w:firstLineChars="200"/>
        <w:rPr>
          <w:rFonts w:ascii="宋体" w:hAnsi="宋体"/>
          <w:color w:val="auto"/>
          <w:sz w:val="24"/>
          <w:highlight w:val="none"/>
        </w:rPr>
      </w:pPr>
      <w:r>
        <w:rPr>
          <w:rFonts w:ascii="宋体" w:hAnsi="宋体"/>
          <w:color w:val="auto"/>
          <w:sz w:val="24"/>
          <w:highlight w:val="none"/>
        </w:rPr>
        <w:t>合同的权利义务依法不</w:t>
      </w:r>
      <w:r>
        <w:rPr>
          <w:rFonts w:hint="eastAsia" w:ascii="宋体" w:hAnsi="宋体"/>
          <w:color w:val="auto"/>
          <w:sz w:val="24"/>
          <w:highlight w:val="none"/>
        </w:rPr>
        <w:t>得</w:t>
      </w:r>
      <w:r>
        <w:rPr>
          <w:rFonts w:ascii="宋体" w:hAnsi="宋体"/>
          <w:color w:val="auto"/>
          <w:sz w:val="24"/>
          <w:highlight w:val="none"/>
        </w:rPr>
        <w:t>转让</w:t>
      </w:r>
      <w:r>
        <w:rPr>
          <w:rFonts w:hint="eastAsia" w:ascii="宋体" w:hAnsi="宋体"/>
          <w:color w:val="auto"/>
          <w:sz w:val="24"/>
          <w:highlight w:val="none"/>
        </w:rPr>
        <w:t>，</w:t>
      </w:r>
      <w:r>
        <w:rPr>
          <w:rFonts w:ascii="宋体" w:hAnsi="宋体"/>
          <w:color w:val="auto"/>
          <w:sz w:val="24"/>
          <w:highlight w:val="none"/>
        </w:rPr>
        <w:t>但经甲方</w:t>
      </w:r>
      <w:r>
        <w:rPr>
          <w:rFonts w:hint="eastAsia" w:ascii="宋体" w:hAnsi="宋体"/>
          <w:color w:val="auto"/>
          <w:sz w:val="24"/>
          <w:highlight w:val="none"/>
        </w:rPr>
        <w:t>同意，乙方可以依法采取分包方式履行合同，即：依法可以</w:t>
      </w:r>
      <w:r>
        <w:rPr>
          <w:rFonts w:ascii="宋体" w:hAnsi="宋体"/>
          <w:color w:val="auto"/>
          <w:sz w:val="24"/>
          <w:highlight w:val="none"/>
        </w:rPr>
        <w:t>将合同项下的部分非主体、非关键性工作分包给他人完成</w:t>
      </w:r>
      <w:r>
        <w:rPr>
          <w:rFonts w:hint="eastAsia" w:ascii="宋体" w:hAnsi="宋体"/>
          <w:color w:val="auto"/>
          <w:sz w:val="24"/>
          <w:highlight w:val="none"/>
        </w:rPr>
        <w:t>，</w:t>
      </w:r>
      <w:r>
        <w:rPr>
          <w:rFonts w:ascii="宋体" w:hAnsi="宋体"/>
          <w:color w:val="auto"/>
          <w:sz w:val="24"/>
          <w:highlight w:val="none"/>
        </w:rPr>
        <w:t>接受分包的人应当具备相应的资格条件，并不得再次分包</w:t>
      </w:r>
      <w:r>
        <w:rPr>
          <w:rFonts w:hint="eastAsia" w:ascii="宋体" w:hAnsi="宋体"/>
          <w:color w:val="auto"/>
          <w:sz w:val="24"/>
          <w:highlight w:val="none"/>
        </w:rPr>
        <w:t>，</w:t>
      </w:r>
      <w:r>
        <w:rPr>
          <w:rFonts w:ascii="宋体" w:hAnsi="宋体"/>
          <w:color w:val="auto"/>
          <w:sz w:val="24"/>
          <w:highlight w:val="none"/>
        </w:rPr>
        <w:t>且乙方应就分包项目向甲方负责</w:t>
      </w:r>
      <w:r>
        <w:rPr>
          <w:rFonts w:hint="eastAsia" w:ascii="宋体" w:hAnsi="宋体"/>
          <w:color w:val="auto"/>
          <w:sz w:val="24"/>
          <w:highlight w:val="none"/>
        </w:rPr>
        <w:t>，</w:t>
      </w:r>
      <w:r>
        <w:rPr>
          <w:rFonts w:ascii="宋体" w:hAnsi="宋体"/>
          <w:color w:val="auto"/>
          <w:sz w:val="24"/>
          <w:highlight w:val="none"/>
        </w:rPr>
        <w:t>并</w:t>
      </w:r>
      <w:r>
        <w:rPr>
          <w:rFonts w:hint="eastAsia" w:ascii="宋体" w:hAnsi="宋体"/>
          <w:color w:val="auto"/>
          <w:sz w:val="24"/>
          <w:highlight w:val="none"/>
        </w:rPr>
        <w:t>与分包供应商就分包项目向甲方承担连带责任。</w:t>
      </w:r>
    </w:p>
    <w:p>
      <w:pPr>
        <w:spacing w:line="560" w:lineRule="exact"/>
        <w:ind w:firstLine="482" w:firstLineChars="200"/>
        <w:outlineLvl w:val="0"/>
        <w:rPr>
          <w:rFonts w:ascii="宋体" w:hAnsi="宋体"/>
          <w:b/>
          <w:color w:val="auto"/>
          <w:sz w:val="24"/>
          <w:highlight w:val="none"/>
        </w:rPr>
      </w:pPr>
      <w:bookmarkStart w:id="508" w:name="_Toc25571"/>
      <w:bookmarkStart w:id="509" w:name="_Toc4720"/>
      <w:bookmarkStart w:id="510" w:name="_Toc32494"/>
      <w:bookmarkStart w:id="511" w:name="_Toc26633"/>
      <w:bookmarkStart w:id="512" w:name="_Toc14371"/>
      <w:r>
        <w:rPr>
          <w:rFonts w:ascii="宋体" w:hAnsi="宋体"/>
          <w:b/>
          <w:color w:val="auto"/>
          <w:sz w:val="24"/>
          <w:highlight w:val="none"/>
        </w:rPr>
        <w:t>2.11 不可抗力</w:t>
      </w:r>
      <w:bookmarkEnd w:id="508"/>
      <w:bookmarkEnd w:id="509"/>
      <w:bookmarkEnd w:id="510"/>
      <w:bookmarkEnd w:id="511"/>
      <w:bookmarkEnd w:id="512"/>
    </w:p>
    <w:p>
      <w:pPr>
        <w:spacing w:line="560" w:lineRule="exact"/>
        <w:ind w:firstLine="480" w:firstLineChars="200"/>
        <w:rPr>
          <w:rFonts w:ascii="宋体" w:hAnsi="宋体"/>
          <w:color w:val="auto"/>
          <w:sz w:val="24"/>
          <w:highlight w:val="none"/>
        </w:rPr>
      </w:pPr>
      <w:r>
        <w:rPr>
          <w:rFonts w:ascii="宋体" w:hAnsi="宋体"/>
          <w:color w:val="auto"/>
          <w:sz w:val="24"/>
          <w:highlight w:val="none"/>
        </w:rPr>
        <w:t>2.11.1如果任何一方遭遇法律规定的不可抗力，致使合同履行受阻时，履行合同的期限应予延长，延长的期限应相当于不可抗力所影响的时间</w:t>
      </w:r>
      <w:r>
        <w:rPr>
          <w:rFonts w:hint="eastAsia" w:ascii="宋体" w:hAnsi="宋体"/>
          <w:color w:val="auto"/>
          <w:sz w:val="24"/>
          <w:highlight w:val="none"/>
        </w:rPr>
        <w:t>；</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2.11.2 </w:t>
      </w:r>
      <w:r>
        <w:rPr>
          <w:rFonts w:hint="eastAsia" w:ascii="宋体" w:hAnsi="宋体"/>
          <w:color w:val="auto"/>
          <w:sz w:val="24"/>
          <w:highlight w:val="none"/>
        </w:rPr>
        <w:t>因不可抗力致使不能实现合同目的的，当事人可以解除合同；</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2.11.3 </w:t>
      </w:r>
      <w:r>
        <w:rPr>
          <w:rFonts w:hint="eastAsia" w:ascii="宋体" w:hAnsi="宋体"/>
          <w:color w:val="auto"/>
          <w:sz w:val="24"/>
          <w:highlight w:val="none"/>
        </w:rPr>
        <w:t>因</w:t>
      </w:r>
      <w:r>
        <w:rPr>
          <w:rFonts w:ascii="宋体" w:hAnsi="宋体"/>
          <w:color w:val="auto"/>
          <w:sz w:val="24"/>
          <w:highlight w:val="none"/>
        </w:rPr>
        <w:t>不可抗力致使合同有变更必要的，双方当事人应在</w:t>
      </w:r>
      <w:r>
        <w:rPr>
          <w:rFonts w:ascii="宋体" w:hAnsi="宋体"/>
          <w:b/>
          <w:i/>
          <w:color w:val="auto"/>
          <w:sz w:val="24"/>
          <w:highlight w:val="none"/>
          <w:u w:val="single"/>
        </w:rPr>
        <w:t>合同专用条款</w:t>
      </w:r>
      <w:r>
        <w:rPr>
          <w:rFonts w:ascii="宋体" w:hAnsi="宋体"/>
          <w:color w:val="auto"/>
          <w:sz w:val="24"/>
          <w:highlight w:val="none"/>
        </w:rPr>
        <w:t>约定时间内以书面形式变更合同</w:t>
      </w:r>
      <w:r>
        <w:rPr>
          <w:rFonts w:hint="eastAsia" w:ascii="宋体" w:hAnsi="宋体"/>
          <w:color w:val="auto"/>
          <w:sz w:val="24"/>
          <w:highlight w:val="none"/>
        </w:rPr>
        <w:t>；</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2.11.4受</w:t>
      </w:r>
      <w:r>
        <w:rPr>
          <w:rFonts w:hint="eastAsia" w:ascii="宋体" w:hAnsi="宋体"/>
          <w:color w:val="auto"/>
          <w:sz w:val="24"/>
          <w:highlight w:val="none"/>
        </w:rPr>
        <w:t>不可抗力</w:t>
      </w:r>
      <w:r>
        <w:rPr>
          <w:rFonts w:ascii="宋体" w:hAnsi="宋体"/>
          <w:color w:val="auto"/>
          <w:sz w:val="24"/>
          <w:highlight w:val="none"/>
        </w:rPr>
        <w:t>影响的一方在不可抗力发生后</w:t>
      </w:r>
      <w:r>
        <w:rPr>
          <w:rFonts w:hint="eastAsia" w:ascii="宋体" w:hAnsi="宋体"/>
          <w:color w:val="auto"/>
          <w:sz w:val="24"/>
          <w:highlight w:val="none"/>
        </w:rPr>
        <w:t>，</w:t>
      </w:r>
      <w:r>
        <w:rPr>
          <w:rFonts w:ascii="宋体" w:hAnsi="宋体"/>
          <w:color w:val="auto"/>
          <w:sz w:val="24"/>
          <w:highlight w:val="none"/>
        </w:rPr>
        <w:t>应在</w:t>
      </w:r>
      <w:r>
        <w:rPr>
          <w:rFonts w:ascii="宋体" w:hAnsi="宋体"/>
          <w:b/>
          <w:i/>
          <w:color w:val="auto"/>
          <w:sz w:val="24"/>
          <w:highlight w:val="none"/>
          <w:u w:val="single"/>
        </w:rPr>
        <w:t>合同专用条款</w:t>
      </w:r>
      <w:r>
        <w:rPr>
          <w:rFonts w:ascii="宋体" w:hAnsi="宋体"/>
          <w:color w:val="auto"/>
          <w:sz w:val="24"/>
          <w:highlight w:val="none"/>
        </w:rPr>
        <w:t>约定时间内以书面形式通知</w:t>
      </w:r>
      <w:r>
        <w:rPr>
          <w:rFonts w:hint="eastAsia" w:ascii="宋体" w:hAnsi="宋体"/>
          <w:color w:val="auto"/>
          <w:sz w:val="24"/>
          <w:highlight w:val="none"/>
        </w:rPr>
        <w:t>对</w:t>
      </w:r>
      <w:r>
        <w:rPr>
          <w:rFonts w:ascii="宋体" w:hAnsi="宋体"/>
          <w:color w:val="auto"/>
          <w:sz w:val="24"/>
          <w:highlight w:val="none"/>
        </w:rPr>
        <w:t>方当事人，并在</w:t>
      </w:r>
      <w:r>
        <w:rPr>
          <w:rFonts w:ascii="宋体" w:hAnsi="宋体"/>
          <w:b/>
          <w:i/>
          <w:color w:val="auto"/>
          <w:sz w:val="24"/>
          <w:highlight w:val="none"/>
          <w:u w:val="single"/>
        </w:rPr>
        <w:t>合同专用条款</w:t>
      </w:r>
      <w:r>
        <w:rPr>
          <w:rFonts w:ascii="宋体" w:hAnsi="宋体"/>
          <w:color w:val="auto"/>
          <w:sz w:val="24"/>
          <w:highlight w:val="none"/>
        </w:rPr>
        <w:t>约定时间内，将有关部门出具的证明文件送达</w:t>
      </w:r>
      <w:r>
        <w:rPr>
          <w:rFonts w:hint="eastAsia" w:ascii="宋体" w:hAnsi="宋体"/>
          <w:color w:val="auto"/>
          <w:sz w:val="24"/>
          <w:highlight w:val="none"/>
        </w:rPr>
        <w:t>对方当事人</w:t>
      </w:r>
      <w:r>
        <w:rPr>
          <w:rFonts w:ascii="宋体" w:hAnsi="宋体"/>
          <w:color w:val="auto"/>
          <w:sz w:val="24"/>
          <w:highlight w:val="none"/>
        </w:rPr>
        <w:t>。</w:t>
      </w:r>
    </w:p>
    <w:p>
      <w:pPr>
        <w:spacing w:line="560" w:lineRule="exact"/>
        <w:ind w:firstLine="482" w:firstLineChars="200"/>
        <w:outlineLvl w:val="0"/>
        <w:rPr>
          <w:rFonts w:ascii="宋体" w:hAnsi="宋体"/>
          <w:b/>
          <w:color w:val="auto"/>
          <w:sz w:val="24"/>
          <w:highlight w:val="none"/>
        </w:rPr>
      </w:pPr>
      <w:bookmarkStart w:id="513" w:name="_Toc23854"/>
      <w:bookmarkStart w:id="514" w:name="_Toc14115"/>
      <w:bookmarkStart w:id="515" w:name="_Toc25783"/>
      <w:bookmarkStart w:id="516" w:name="_Toc3638"/>
      <w:bookmarkStart w:id="517" w:name="_Toc24465"/>
      <w:r>
        <w:rPr>
          <w:rFonts w:ascii="宋体" w:hAnsi="宋体"/>
          <w:b/>
          <w:color w:val="auto"/>
          <w:sz w:val="24"/>
          <w:highlight w:val="none"/>
        </w:rPr>
        <w:t>2.12 税费</w:t>
      </w:r>
      <w:bookmarkEnd w:id="513"/>
      <w:bookmarkEnd w:id="514"/>
      <w:bookmarkEnd w:id="515"/>
      <w:bookmarkEnd w:id="516"/>
      <w:bookmarkEnd w:id="517"/>
    </w:p>
    <w:p>
      <w:pPr>
        <w:spacing w:line="560" w:lineRule="exact"/>
        <w:ind w:firstLine="480" w:firstLineChars="200"/>
        <w:rPr>
          <w:rFonts w:ascii="宋体" w:hAnsi="宋体"/>
          <w:color w:val="auto"/>
          <w:sz w:val="24"/>
          <w:highlight w:val="none"/>
        </w:rPr>
      </w:pPr>
      <w:r>
        <w:rPr>
          <w:rFonts w:ascii="宋体" w:hAnsi="宋体"/>
          <w:color w:val="auto"/>
          <w:sz w:val="24"/>
          <w:highlight w:val="none"/>
        </w:rPr>
        <w:t>与合同有关的一切税费</w:t>
      </w:r>
      <w:r>
        <w:rPr>
          <w:rFonts w:hint="eastAsia" w:ascii="宋体" w:hAnsi="宋体"/>
          <w:color w:val="auto"/>
          <w:sz w:val="24"/>
          <w:highlight w:val="none"/>
        </w:rPr>
        <w:t>，</w:t>
      </w:r>
      <w:r>
        <w:rPr>
          <w:rFonts w:ascii="宋体" w:hAnsi="宋体"/>
          <w:color w:val="auto"/>
          <w:sz w:val="24"/>
          <w:highlight w:val="none"/>
        </w:rPr>
        <w:t>均按照中华人民共和国法律的相关规定缴纳。</w:t>
      </w:r>
    </w:p>
    <w:p>
      <w:pPr>
        <w:spacing w:line="560" w:lineRule="exact"/>
        <w:ind w:firstLine="482" w:firstLineChars="200"/>
        <w:outlineLvl w:val="0"/>
        <w:rPr>
          <w:rFonts w:ascii="宋体" w:hAnsi="宋体"/>
          <w:b/>
          <w:color w:val="auto"/>
          <w:sz w:val="24"/>
          <w:highlight w:val="none"/>
        </w:rPr>
      </w:pPr>
      <w:bookmarkStart w:id="518" w:name="_Toc30105"/>
      <w:bookmarkStart w:id="519" w:name="_Toc26883"/>
      <w:bookmarkStart w:id="520" w:name="_Toc7315"/>
      <w:bookmarkStart w:id="521" w:name="_Toc14814"/>
      <w:bookmarkStart w:id="522" w:name="_Toc25525"/>
      <w:r>
        <w:rPr>
          <w:rFonts w:ascii="宋体" w:hAnsi="宋体"/>
          <w:b/>
          <w:color w:val="auto"/>
          <w:sz w:val="24"/>
          <w:highlight w:val="none"/>
        </w:rPr>
        <w:t>2.13 乙方破产</w:t>
      </w:r>
      <w:bookmarkEnd w:id="518"/>
      <w:bookmarkEnd w:id="519"/>
      <w:bookmarkEnd w:id="520"/>
      <w:bookmarkEnd w:id="521"/>
      <w:bookmarkEnd w:id="522"/>
    </w:p>
    <w:p>
      <w:pPr>
        <w:spacing w:line="560" w:lineRule="exact"/>
        <w:ind w:firstLine="480" w:firstLineChars="200"/>
        <w:rPr>
          <w:rFonts w:ascii="宋体" w:hAnsi="宋体"/>
          <w:color w:val="auto"/>
          <w:sz w:val="24"/>
          <w:highlight w:val="none"/>
        </w:rPr>
      </w:pPr>
      <w:r>
        <w:rPr>
          <w:rFonts w:ascii="宋体" w:hAnsi="宋体"/>
          <w:color w:val="auto"/>
          <w:sz w:val="24"/>
          <w:highlight w:val="none"/>
        </w:rPr>
        <w:t>如果乙方破产导致合同无法履行时，甲方可以书面形式通知乙方终止合同且不给予乙方任何补偿和赔偿</w:t>
      </w:r>
      <w:r>
        <w:rPr>
          <w:rFonts w:hint="eastAsia" w:ascii="宋体" w:hAnsi="宋体"/>
          <w:color w:val="auto"/>
          <w:sz w:val="24"/>
          <w:highlight w:val="none"/>
        </w:rPr>
        <w:t>，但合同的</w:t>
      </w:r>
      <w:r>
        <w:rPr>
          <w:rFonts w:ascii="宋体" w:hAnsi="宋体"/>
          <w:color w:val="auto"/>
          <w:sz w:val="24"/>
          <w:highlight w:val="none"/>
        </w:rPr>
        <w:t>终止不损害或不影响甲方已经采取或将要采取的任何要求乙方支付违约金</w:t>
      </w:r>
      <w:r>
        <w:rPr>
          <w:rFonts w:hint="eastAsia" w:ascii="宋体" w:hAnsi="宋体"/>
          <w:color w:val="auto"/>
          <w:sz w:val="24"/>
          <w:highlight w:val="none"/>
        </w:rPr>
        <w:t>、</w:t>
      </w:r>
      <w:r>
        <w:rPr>
          <w:rFonts w:ascii="宋体" w:hAnsi="宋体"/>
          <w:color w:val="auto"/>
          <w:sz w:val="24"/>
          <w:highlight w:val="none"/>
        </w:rPr>
        <w:t>赔偿损失等的行动或补救措施的权利</w:t>
      </w:r>
      <w:r>
        <w:rPr>
          <w:rFonts w:hint="eastAsia" w:ascii="宋体" w:hAnsi="宋体"/>
          <w:color w:val="auto"/>
          <w:sz w:val="24"/>
          <w:highlight w:val="none"/>
        </w:rPr>
        <w:t>。</w:t>
      </w:r>
    </w:p>
    <w:p>
      <w:pPr>
        <w:spacing w:line="560" w:lineRule="exact"/>
        <w:ind w:firstLine="482" w:firstLineChars="200"/>
        <w:outlineLvl w:val="0"/>
        <w:rPr>
          <w:rFonts w:ascii="宋体" w:hAnsi="宋体"/>
          <w:b/>
          <w:color w:val="auto"/>
          <w:sz w:val="24"/>
          <w:highlight w:val="none"/>
        </w:rPr>
      </w:pPr>
      <w:bookmarkStart w:id="523" w:name="_Toc23323"/>
      <w:bookmarkStart w:id="524" w:name="_Toc2016"/>
      <w:bookmarkStart w:id="525" w:name="_Toc1123"/>
      <w:r>
        <w:rPr>
          <w:rFonts w:ascii="宋体" w:hAnsi="宋体"/>
          <w:b/>
          <w:color w:val="auto"/>
          <w:sz w:val="24"/>
          <w:highlight w:val="none"/>
        </w:rPr>
        <w:t>2.14 合同中止、终止</w:t>
      </w:r>
      <w:bookmarkEnd w:id="523"/>
      <w:bookmarkEnd w:id="524"/>
      <w:bookmarkEnd w:id="525"/>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2.14.1 </w:t>
      </w:r>
      <w:r>
        <w:rPr>
          <w:rFonts w:hint="eastAsia" w:ascii="宋体" w:hAnsi="宋体"/>
          <w:color w:val="auto"/>
          <w:sz w:val="24"/>
          <w:highlight w:val="none"/>
        </w:rPr>
        <w:t>双方当事人不得擅自中止或者终止合同；</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b/>
          <w:color w:val="auto"/>
          <w:sz w:val="24"/>
          <w:highlight w:val="none"/>
        </w:rPr>
      </w:pPr>
      <w:bookmarkStart w:id="526" w:name="_Toc17363"/>
      <w:bookmarkStart w:id="527" w:name="_Toc1969"/>
      <w:bookmarkStart w:id="528" w:name="_Toc14525"/>
      <w:r>
        <w:rPr>
          <w:rFonts w:ascii="宋体" w:hAnsi="宋体"/>
          <w:b/>
          <w:color w:val="auto"/>
          <w:sz w:val="24"/>
          <w:highlight w:val="none"/>
        </w:rPr>
        <w:t>2.15 检验和验收</w:t>
      </w:r>
      <w:bookmarkEnd w:id="526"/>
      <w:bookmarkEnd w:id="527"/>
      <w:bookmarkEnd w:id="528"/>
    </w:p>
    <w:p>
      <w:pPr>
        <w:tabs>
          <w:tab w:val="left" w:pos="360"/>
          <w:tab w:val="left" w:pos="540"/>
          <w:tab w:val="left" w:pos="1080"/>
        </w:tabs>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2.15.1 </w:t>
      </w:r>
      <w:r>
        <w:rPr>
          <w:rFonts w:hint="eastAsia" w:ascii="宋体" w:hAnsi="宋体"/>
          <w:color w:val="auto"/>
          <w:sz w:val="24"/>
          <w:highlight w:val="none"/>
        </w:rPr>
        <w:t>乙方按照</w:t>
      </w:r>
      <w:r>
        <w:rPr>
          <w:rFonts w:ascii="宋体" w:hAnsi="宋体"/>
          <w:b/>
          <w:i/>
          <w:color w:val="auto"/>
          <w:sz w:val="24"/>
          <w:highlight w:val="none"/>
          <w:u w:val="single"/>
        </w:rPr>
        <w:t>合同专用条款</w:t>
      </w:r>
      <w:r>
        <w:rPr>
          <w:rFonts w:ascii="宋体" w:hAnsi="宋体"/>
          <w:color w:val="auto"/>
          <w:sz w:val="24"/>
          <w:highlight w:val="none"/>
        </w:rPr>
        <w:t>的约定</w:t>
      </w:r>
      <w:r>
        <w:rPr>
          <w:rFonts w:hint="eastAsia" w:ascii="宋体" w:hAnsi="宋体"/>
          <w:color w:val="auto"/>
          <w:sz w:val="24"/>
          <w:highlight w:val="none"/>
        </w:rPr>
        <w:t>，</w:t>
      </w:r>
      <w:r>
        <w:rPr>
          <w:rFonts w:ascii="宋体" w:hAnsi="宋体"/>
          <w:color w:val="auto"/>
          <w:sz w:val="24"/>
          <w:highlight w:val="none"/>
        </w:rPr>
        <w:t>定期提交服务报告</w:t>
      </w:r>
      <w:r>
        <w:rPr>
          <w:rFonts w:hint="eastAsia" w:ascii="宋体" w:hAnsi="宋体"/>
          <w:color w:val="auto"/>
          <w:sz w:val="24"/>
          <w:highlight w:val="none"/>
        </w:rPr>
        <w:t>，甲方按照</w:t>
      </w:r>
      <w:r>
        <w:rPr>
          <w:rFonts w:ascii="宋体" w:hAnsi="宋体"/>
          <w:b/>
          <w:i/>
          <w:color w:val="auto"/>
          <w:sz w:val="24"/>
          <w:highlight w:val="none"/>
          <w:u w:val="single"/>
        </w:rPr>
        <w:t>合同专用条款</w:t>
      </w:r>
      <w:r>
        <w:rPr>
          <w:rFonts w:ascii="宋体" w:hAnsi="宋体"/>
          <w:color w:val="auto"/>
          <w:sz w:val="24"/>
          <w:highlight w:val="none"/>
        </w:rPr>
        <w:t>的约定进行定期验收</w:t>
      </w:r>
      <w:r>
        <w:rPr>
          <w:rFonts w:hint="eastAsia" w:ascii="宋体" w:hAnsi="宋体"/>
          <w:color w:val="auto"/>
          <w:sz w:val="24"/>
          <w:highlight w:val="none"/>
        </w:rPr>
        <w:t>；</w:t>
      </w:r>
    </w:p>
    <w:p>
      <w:pPr>
        <w:tabs>
          <w:tab w:val="left" w:pos="360"/>
          <w:tab w:val="left" w:pos="540"/>
          <w:tab w:val="left" w:pos="1080"/>
        </w:tabs>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2.15.2 </w:t>
      </w:r>
      <w:r>
        <w:rPr>
          <w:rFonts w:hint="eastAsia" w:ascii="宋体" w:hAnsi="宋体"/>
          <w:color w:val="auto"/>
          <w:sz w:val="24"/>
          <w:highlight w:val="none"/>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2.15.3 </w:t>
      </w:r>
      <w:r>
        <w:rPr>
          <w:rFonts w:hint="eastAsia" w:ascii="宋体" w:hAnsi="宋体"/>
          <w:color w:val="auto"/>
          <w:sz w:val="24"/>
          <w:highlight w:val="none"/>
        </w:rPr>
        <w:t>检验和验收标准、程序等具体内容以及前述验收书的效力详见</w:t>
      </w:r>
      <w:r>
        <w:rPr>
          <w:rFonts w:ascii="宋体" w:hAnsi="宋体"/>
          <w:b/>
          <w:i/>
          <w:color w:val="auto"/>
          <w:sz w:val="24"/>
          <w:highlight w:val="none"/>
          <w:u w:val="single"/>
        </w:rPr>
        <w:t>合同专用条款</w:t>
      </w:r>
      <w:r>
        <w:rPr>
          <w:rFonts w:hint="eastAsia" w:ascii="宋体" w:hAnsi="宋体"/>
          <w:i/>
          <w:color w:val="auto"/>
          <w:sz w:val="24"/>
          <w:highlight w:val="none"/>
        </w:rPr>
        <w:t>。</w:t>
      </w:r>
    </w:p>
    <w:p>
      <w:pPr>
        <w:spacing w:line="560" w:lineRule="exact"/>
        <w:ind w:firstLine="482" w:firstLineChars="200"/>
        <w:outlineLvl w:val="0"/>
        <w:rPr>
          <w:rFonts w:ascii="宋体" w:hAnsi="宋体"/>
          <w:b/>
          <w:color w:val="auto"/>
          <w:sz w:val="24"/>
          <w:highlight w:val="none"/>
        </w:rPr>
      </w:pPr>
      <w:bookmarkStart w:id="529" w:name="_Toc12666"/>
      <w:bookmarkStart w:id="530" w:name="_Toc9808"/>
      <w:bookmarkStart w:id="531" w:name="_Toc25198"/>
      <w:bookmarkStart w:id="532" w:name="_Toc2308"/>
      <w:bookmarkStart w:id="533" w:name="_Toc31892"/>
      <w:r>
        <w:rPr>
          <w:rFonts w:ascii="宋体" w:hAnsi="宋体"/>
          <w:b/>
          <w:color w:val="auto"/>
          <w:sz w:val="24"/>
          <w:highlight w:val="none"/>
        </w:rPr>
        <w:t>2.16 通知和送达</w:t>
      </w:r>
      <w:bookmarkEnd w:id="529"/>
      <w:bookmarkEnd w:id="530"/>
      <w:bookmarkEnd w:id="531"/>
      <w:bookmarkEnd w:id="532"/>
      <w:bookmarkEnd w:id="533"/>
    </w:p>
    <w:p>
      <w:pPr>
        <w:spacing w:line="560" w:lineRule="exact"/>
        <w:ind w:firstLine="480" w:firstLineChars="200"/>
        <w:rPr>
          <w:rFonts w:ascii="宋体" w:hAnsi="宋体"/>
          <w:color w:val="auto"/>
          <w:sz w:val="24"/>
          <w:highlight w:val="none"/>
        </w:rPr>
      </w:pPr>
      <w:bookmarkStart w:id="534" w:name="_Toc18401"/>
      <w:bookmarkStart w:id="535" w:name="_Toc27674"/>
      <w:r>
        <w:rPr>
          <w:rFonts w:ascii="宋体" w:hAnsi="宋体"/>
          <w:color w:val="auto"/>
          <w:sz w:val="24"/>
          <w:highlight w:val="none"/>
        </w:rPr>
        <w:t>2.17.1</w:t>
      </w:r>
      <w:r>
        <w:rPr>
          <w:rFonts w:hint="eastAsia" w:ascii="宋体" w:hAnsi="宋体"/>
          <w:color w:val="auto"/>
          <w:sz w:val="24"/>
          <w:highlight w:val="none"/>
        </w:rPr>
        <w:t>任何一方因履行合同而以合同第一部分尾部所列明的传真或电子邮件</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发出的所有通知、文件、材料，均视为已向对方当事人送达；任何一方变更上述送达方式或者地址的，应于</w:t>
      </w:r>
      <w:r>
        <w:rPr>
          <w:rFonts w:ascii="宋体" w:hAnsi="宋体"/>
          <w:color w:val="auto"/>
          <w:sz w:val="24"/>
          <w:highlight w:val="none"/>
          <w:u w:val="single"/>
        </w:rPr>
        <w:t>3</w:t>
      </w:r>
      <w:r>
        <w:rPr>
          <w:rFonts w:hint="eastAsia" w:ascii="宋体" w:hAnsi="宋体"/>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宋体" w:hAnsi="宋体"/>
          <w:color w:val="auto"/>
          <w:sz w:val="24"/>
          <w:highlight w:val="none"/>
        </w:rPr>
        <w:t>的，邮件挂号寄出或者交邮之日之次日视为送达。</w:t>
      </w:r>
      <w:bookmarkEnd w:id="534"/>
      <w:bookmarkEnd w:id="535"/>
    </w:p>
    <w:p>
      <w:pPr>
        <w:spacing w:line="560" w:lineRule="exact"/>
        <w:ind w:firstLine="482" w:firstLineChars="200"/>
        <w:outlineLvl w:val="0"/>
        <w:rPr>
          <w:rFonts w:ascii="宋体" w:hAnsi="宋体"/>
          <w:b/>
          <w:color w:val="auto"/>
          <w:sz w:val="24"/>
          <w:highlight w:val="none"/>
        </w:rPr>
      </w:pPr>
      <w:bookmarkStart w:id="536" w:name="_Toc12254"/>
      <w:bookmarkStart w:id="537" w:name="_Toc5063"/>
      <w:bookmarkStart w:id="538" w:name="_Toc27644"/>
      <w:bookmarkStart w:id="539" w:name="_Toc28906"/>
      <w:bookmarkStart w:id="540" w:name="_Toc20808"/>
      <w:r>
        <w:rPr>
          <w:rFonts w:ascii="宋体" w:hAnsi="宋体"/>
          <w:b/>
          <w:color w:val="auto"/>
          <w:sz w:val="24"/>
          <w:highlight w:val="none"/>
        </w:rPr>
        <w:t xml:space="preserve">2.17 </w:t>
      </w:r>
      <w:r>
        <w:rPr>
          <w:rFonts w:hint="eastAsia" w:ascii="宋体" w:hAnsi="宋体"/>
          <w:b/>
          <w:color w:val="auto"/>
          <w:sz w:val="24"/>
          <w:highlight w:val="none"/>
        </w:rPr>
        <w:t>合同使用的文字和</w:t>
      </w:r>
      <w:r>
        <w:rPr>
          <w:rFonts w:ascii="宋体" w:hAnsi="宋体"/>
          <w:b/>
          <w:color w:val="auto"/>
          <w:sz w:val="24"/>
          <w:highlight w:val="none"/>
        </w:rPr>
        <w:t>适用的法律</w:t>
      </w:r>
      <w:bookmarkEnd w:id="536"/>
      <w:bookmarkEnd w:id="537"/>
      <w:bookmarkEnd w:id="538"/>
      <w:bookmarkEnd w:id="539"/>
      <w:bookmarkEnd w:id="540"/>
    </w:p>
    <w:p>
      <w:pPr>
        <w:spacing w:line="560" w:lineRule="exact"/>
        <w:ind w:firstLine="480" w:firstLineChars="200"/>
        <w:rPr>
          <w:rFonts w:ascii="宋体" w:hAnsi="宋体"/>
          <w:color w:val="auto"/>
          <w:sz w:val="24"/>
          <w:highlight w:val="none"/>
        </w:rPr>
      </w:pPr>
      <w:r>
        <w:rPr>
          <w:rFonts w:ascii="宋体" w:hAnsi="宋体"/>
          <w:color w:val="auto"/>
          <w:sz w:val="24"/>
          <w:highlight w:val="none"/>
        </w:rPr>
        <w:t>2.17.1 合同使用汉语书就</w:t>
      </w:r>
      <w:r>
        <w:rPr>
          <w:rFonts w:hint="eastAsia" w:ascii="宋体" w:hAnsi="宋体"/>
          <w:color w:val="auto"/>
          <w:sz w:val="24"/>
          <w:highlight w:val="none"/>
        </w:rPr>
        <w:t>、</w:t>
      </w:r>
      <w:r>
        <w:rPr>
          <w:rFonts w:ascii="宋体" w:hAnsi="宋体"/>
          <w:color w:val="auto"/>
          <w:sz w:val="24"/>
          <w:highlight w:val="none"/>
        </w:rPr>
        <w:t>变更和解释</w:t>
      </w:r>
      <w:r>
        <w:rPr>
          <w:rFonts w:hint="eastAsia" w:ascii="宋体" w:hAnsi="宋体"/>
          <w:color w:val="auto"/>
          <w:sz w:val="24"/>
          <w:highlight w:val="none"/>
        </w:rPr>
        <w:t>；</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2.17.2 </w:t>
      </w:r>
      <w:r>
        <w:rPr>
          <w:rFonts w:hint="eastAsia" w:ascii="宋体" w:hAnsi="宋体"/>
          <w:color w:val="auto"/>
          <w:sz w:val="24"/>
          <w:highlight w:val="none"/>
        </w:rPr>
        <w:t>合同适用</w:t>
      </w:r>
      <w:r>
        <w:rPr>
          <w:rFonts w:ascii="宋体" w:hAnsi="宋体"/>
          <w:color w:val="auto"/>
          <w:sz w:val="24"/>
          <w:highlight w:val="none"/>
        </w:rPr>
        <w:t>中华人民共和国法律。</w:t>
      </w:r>
    </w:p>
    <w:p>
      <w:pPr>
        <w:spacing w:line="560" w:lineRule="exact"/>
        <w:ind w:firstLine="482" w:firstLineChars="200"/>
        <w:outlineLvl w:val="0"/>
        <w:rPr>
          <w:rFonts w:ascii="宋体" w:hAnsi="宋体" w:cs="宋体"/>
          <w:b/>
          <w:color w:val="auto"/>
          <w:sz w:val="24"/>
          <w:highlight w:val="none"/>
        </w:rPr>
      </w:pPr>
      <w:bookmarkStart w:id="541" w:name="_Toc4355"/>
      <w:bookmarkStart w:id="542" w:name="_Toc30599"/>
      <w:bookmarkStart w:id="543" w:name="_Toc18540"/>
      <w:r>
        <w:rPr>
          <w:rFonts w:hint="eastAsia" w:ascii="宋体" w:hAnsi="宋体" w:cs="宋体"/>
          <w:b/>
          <w:color w:val="auto"/>
          <w:sz w:val="24"/>
          <w:highlight w:val="none"/>
        </w:rPr>
        <w:t>2.18 计量单位</w:t>
      </w:r>
      <w:bookmarkEnd w:id="541"/>
      <w:bookmarkEnd w:id="542"/>
      <w:bookmarkEnd w:id="543"/>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pPr>
        <w:spacing w:line="560" w:lineRule="exact"/>
        <w:ind w:firstLine="482" w:firstLineChars="200"/>
        <w:rPr>
          <w:rFonts w:ascii="宋体" w:hAns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19</w:t>
      </w:r>
      <w:r>
        <w:rPr>
          <w:rFonts w:ascii="宋体" w:hAnsi="宋体"/>
          <w:b/>
          <w:color w:val="auto"/>
          <w:sz w:val="24"/>
          <w:highlight w:val="none"/>
        </w:rPr>
        <w:t>合同份数</w:t>
      </w:r>
    </w:p>
    <w:p>
      <w:pPr>
        <w:spacing w:line="560" w:lineRule="exact"/>
        <w:ind w:firstLine="480" w:firstLineChars="200"/>
        <w:rPr>
          <w:rFonts w:ascii="宋体" w:hAnsi="宋体"/>
          <w:color w:val="auto"/>
          <w:sz w:val="24"/>
          <w:highlight w:val="none"/>
        </w:rPr>
      </w:pPr>
      <w:r>
        <w:rPr>
          <w:rFonts w:ascii="宋体" w:hAnsi="宋体"/>
          <w:color w:val="auto"/>
          <w:sz w:val="24"/>
          <w:highlight w:val="none"/>
        </w:rPr>
        <w:t>合同份数按</w:t>
      </w:r>
      <w:r>
        <w:rPr>
          <w:rFonts w:ascii="宋体" w:hAnsi="宋体"/>
          <w:b/>
          <w:i/>
          <w:color w:val="auto"/>
          <w:sz w:val="24"/>
          <w:highlight w:val="none"/>
          <w:u w:val="single"/>
        </w:rPr>
        <w:t>合同专用条款</w:t>
      </w:r>
      <w:r>
        <w:rPr>
          <w:rFonts w:ascii="宋体" w:hAnsi="宋体"/>
          <w:color w:val="auto"/>
          <w:sz w:val="24"/>
          <w:highlight w:val="none"/>
        </w:rPr>
        <w:t>规定</w:t>
      </w:r>
      <w:r>
        <w:rPr>
          <w:rFonts w:hint="eastAsia" w:ascii="宋体" w:hAnsi="宋体"/>
          <w:color w:val="auto"/>
          <w:sz w:val="24"/>
          <w:highlight w:val="none"/>
        </w:rPr>
        <w:t>，</w:t>
      </w:r>
      <w:r>
        <w:rPr>
          <w:rFonts w:ascii="宋体" w:hAnsi="宋体"/>
          <w:color w:val="auto"/>
          <w:sz w:val="24"/>
          <w:highlight w:val="none"/>
        </w:rPr>
        <w:t>每份均具有同等法律效力</w:t>
      </w:r>
      <w:r>
        <w:rPr>
          <w:rFonts w:hint="eastAsia" w:ascii="宋体" w:hAnsi="宋体"/>
          <w:color w:val="auto"/>
          <w:sz w:val="24"/>
          <w:highlight w:val="none"/>
        </w:rPr>
        <w:t>。</w:t>
      </w:r>
    </w:p>
    <w:p>
      <w:pPr>
        <w:spacing w:line="360" w:lineRule="auto"/>
        <w:jc w:val="center"/>
        <w:outlineLvl w:val="0"/>
        <w:rPr>
          <w:rFonts w:ascii="宋体" w:hAnsi="宋体" w:cs="宋体"/>
          <w:b/>
          <w:color w:val="auto"/>
          <w:sz w:val="24"/>
          <w:highlight w:val="none"/>
        </w:rPr>
      </w:pPr>
      <w:r>
        <w:rPr>
          <w:rFonts w:hint="eastAsia" w:ascii="宋体" w:hAnsi="宋体" w:cs="宋体"/>
          <w:color w:val="auto"/>
          <w:kern w:val="0"/>
          <w:highlight w:val="none"/>
        </w:rPr>
        <w:br w:type="page"/>
      </w:r>
      <w:bookmarkStart w:id="544" w:name="_Toc331685784"/>
      <w:r>
        <w:rPr>
          <w:rFonts w:hint="eastAsia" w:ascii="宋体" w:hAnsi="宋体" w:cs="宋体"/>
          <w:b/>
          <w:color w:val="auto"/>
          <w:sz w:val="24"/>
          <w:highlight w:val="none"/>
        </w:rPr>
        <w:t xml:space="preserve"> </w:t>
      </w:r>
      <w:bookmarkEnd w:id="544"/>
      <w:r>
        <w:rPr>
          <w:rFonts w:hint="eastAsia" w:ascii="宋体" w:hAnsi="宋体" w:cs="宋体"/>
          <w:b/>
          <w:color w:val="auto"/>
          <w:sz w:val="24"/>
          <w:highlight w:val="none"/>
        </w:rPr>
        <w:t>第三部分  合同专用条款</w:t>
      </w:r>
    </w:p>
    <w:p>
      <w:pPr>
        <w:spacing w:line="560" w:lineRule="exact"/>
        <w:ind w:left="-420" w:leftChars="-200" w:right="-420" w:rightChars="-200" w:firstLine="480" w:firstLineChars="200"/>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77" w:type="dxa"/>
            <w:tcBorders>
              <w:lef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8149"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1.3.2</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1.4.2</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1.5.1 </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1.5.2</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1.5.3 </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1.7.4.1</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1.7.4.2</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1.7.4.3</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1.8.7</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1.9.1</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1.9.2</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8149" w:type="dxa"/>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5</w:t>
            </w:r>
          </w:p>
        </w:tc>
        <w:tc>
          <w:tcPr>
            <w:tcW w:w="8149" w:type="dxa"/>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11</w:t>
            </w:r>
            <w:r>
              <w:rPr>
                <w:rFonts w:hint="eastAsia" w:ascii="宋体" w:hAnsi="宋体" w:cs="宋体"/>
                <w:color w:val="auto"/>
                <w:sz w:val="24"/>
                <w:highlight w:val="none"/>
              </w:rPr>
              <w:t>.</w:t>
            </w:r>
            <w:r>
              <w:rPr>
                <w:rFonts w:ascii="宋体" w:hAnsi="宋体" w:cs="宋体"/>
                <w:color w:val="auto"/>
                <w:sz w:val="24"/>
                <w:highlight w:val="none"/>
              </w:rPr>
              <w:t>3</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top"/>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11.4</w:t>
            </w:r>
            <w:r>
              <w:rPr>
                <w:rFonts w:hint="eastAsia" w:ascii="宋体" w:hAnsi="宋体" w:cs="宋体"/>
                <w:color w:val="auto"/>
                <w:sz w:val="24"/>
                <w:highlight w:val="none"/>
              </w:rPr>
              <w:t xml:space="preserve"> </w:t>
            </w:r>
          </w:p>
        </w:tc>
        <w:tc>
          <w:tcPr>
            <w:tcW w:w="8149" w:type="dxa"/>
            <w:vAlign w:val="top"/>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15</w:t>
            </w:r>
            <w:r>
              <w:rPr>
                <w:rFonts w:hint="eastAsia" w:ascii="宋体" w:hAnsi="宋体" w:cs="宋体"/>
                <w:color w:val="auto"/>
                <w:sz w:val="24"/>
                <w:highlight w:val="none"/>
              </w:rPr>
              <w:t>.</w:t>
            </w:r>
            <w:r>
              <w:rPr>
                <w:rFonts w:ascii="宋体" w:hAnsi="宋体" w:cs="宋体"/>
                <w:color w:val="auto"/>
                <w:sz w:val="24"/>
                <w:highlight w:val="none"/>
              </w:rPr>
              <w:t>1</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77"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15</w:t>
            </w:r>
            <w:r>
              <w:rPr>
                <w:rFonts w:hint="eastAsia" w:ascii="宋体" w:hAnsi="宋体" w:cs="宋体"/>
                <w:color w:val="auto"/>
                <w:sz w:val="24"/>
                <w:highlight w:val="none"/>
              </w:rPr>
              <w:t>.</w:t>
            </w:r>
            <w:r>
              <w:rPr>
                <w:rFonts w:ascii="宋体" w:hAnsi="宋体" w:cs="宋体"/>
                <w:color w:val="auto"/>
                <w:sz w:val="24"/>
                <w:highlight w:val="none"/>
              </w:rPr>
              <w:t>3</w:t>
            </w:r>
          </w:p>
        </w:tc>
        <w:tc>
          <w:tcPr>
            <w:tcW w:w="814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977" w:type="dxa"/>
            <w:tcBorders>
              <w:left w:val="single" w:color="auto" w:sz="4" w:space="0"/>
            </w:tcBorders>
            <w:vAlign w:val="top"/>
          </w:tcPr>
          <w:p>
            <w:pPr>
              <w:spacing w:line="360" w:lineRule="auto"/>
              <w:rPr>
                <w:rFonts w:ascii="宋体" w:hAnsi="宋体" w:cs="宋体"/>
                <w:color w:val="auto"/>
                <w:sz w:val="24"/>
                <w:highlight w:val="none"/>
              </w:rPr>
            </w:pPr>
            <w:r>
              <w:rPr>
                <w:rFonts w:hint="eastAsia" w:ascii="宋体" w:hAnsi="宋体" w:cs="宋体"/>
                <w:color w:val="auto"/>
                <w:sz w:val="24"/>
                <w:highlight w:val="none"/>
              </w:rPr>
              <w:t>2.19</w:t>
            </w:r>
          </w:p>
        </w:tc>
        <w:tc>
          <w:tcPr>
            <w:tcW w:w="8149" w:type="dxa"/>
            <w:vAlign w:val="top"/>
          </w:tcPr>
          <w:p>
            <w:pPr>
              <w:spacing w:line="360" w:lineRule="auto"/>
              <w:rPr>
                <w:rFonts w:ascii="宋体" w:hAnsi="宋体" w:cs="宋体"/>
                <w:color w:val="auto"/>
                <w:sz w:val="24"/>
                <w:highlight w:val="none"/>
              </w:rPr>
            </w:pPr>
          </w:p>
        </w:tc>
      </w:tr>
    </w:tbl>
    <w:p>
      <w:pPr>
        <w:spacing w:line="360" w:lineRule="auto"/>
        <w:ind w:left="-420" w:leftChars="-200" w:right="-420" w:rightChars="-200" w:firstLine="480" w:firstLineChars="200"/>
        <w:rPr>
          <w:rFonts w:ascii="宋体" w:hAnsi="宋体" w:cs="宋体"/>
          <w:color w:val="auto"/>
          <w:sz w:val="24"/>
          <w:highlight w:val="none"/>
        </w:rPr>
      </w:pPr>
    </w:p>
    <w:p>
      <w:pPr>
        <w:spacing w:line="360" w:lineRule="auto"/>
        <w:ind w:left="-420" w:leftChars="-200" w:right="-420" w:rightChars="-200" w:firstLine="480" w:firstLineChars="200"/>
        <w:jc w:val="center"/>
        <w:outlineLvl w:val="0"/>
        <w:rPr>
          <w:rFonts w:ascii="宋体" w:hAnsi="宋体" w:cs="宋体"/>
          <w:color w:val="auto"/>
          <w:sz w:val="24"/>
          <w:highlight w:val="none"/>
        </w:rPr>
      </w:pPr>
    </w:p>
    <w:p>
      <w:pPr>
        <w:widowControl/>
        <w:adjustRightInd/>
        <w:jc w:val="center"/>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29"/>
      <w:r>
        <w:rPr>
          <w:rFonts w:hint="eastAsia" w:ascii="宋体" w:hAnsi="宋体" w:cs="宋体"/>
          <w:b/>
          <w:color w:val="auto"/>
          <w:sz w:val="36"/>
          <w:szCs w:val="20"/>
          <w:highlight w:val="none"/>
        </w:rPr>
        <w:t xml:space="preserve"> </w:t>
      </w:r>
      <w:bookmarkEnd w:id="430"/>
      <w:r>
        <w:rPr>
          <w:rFonts w:hint="eastAsia" w:ascii="宋体" w:hAnsi="宋体" w:cs="宋体"/>
          <w:b/>
          <w:color w:val="auto"/>
          <w:sz w:val="36"/>
          <w:szCs w:val="20"/>
          <w:highlight w:val="none"/>
        </w:rPr>
        <w:t>应提交的有关格式范例</w:t>
      </w:r>
    </w:p>
    <w:p>
      <w:pPr>
        <w:spacing w:line="360" w:lineRule="auto"/>
        <w:jc w:val="center"/>
        <w:outlineLvl w:val="0"/>
        <w:rPr>
          <w:rFonts w:ascii="宋体" w:hAnsi="宋体" w:cs="宋体"/>
          <w:b/>
          <w:color w:val="auto"/>
          <w:kern w:val="0"/>
          <w:sz w:val="36"/>
          <w:szCs w:val="36"/>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杭州市临平区人民政府运河街道办事处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杭州正鸿工程咨询有限公司</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运河街道道路安全隐患及零星交通安全设施应急处理设备采购项目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HZZHCG2024-033</w:t>
      </w:r>
      <w:r>
        <w:rPr>
          <w:rFonts w:hint="eastAsia" w:ascii="宋体" w:hAnsi="宋体" w:cs="宋体"/>
          <w:color w:val="auto"/>
          <w:sz w:val="24"/>
          <w:highlight w:val="none"/>
        </w:rPr>
        <w:t>】政府采购活动，郑重承诺：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firstLine="480"/>
        <w:jc w:val="left"/>
        <w:rPr>
          <w:rFonts w:ascii="宋体" w:hAnsi="宋体" w:cs="宋体"/>
          <w:color w:val="auto"/>
          <w:sz w:val="24"/>
          <w:highlight w:val="none"/>
        </w:rPr>
      </w:pP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pPr>
        <w:widowControl/>
        <w:spacing w:line="360" w:lineRule="auto"/>
        <w:ind w:left="150"/>
        <w:jc w:val="center"/>
        <w:rPr>
          <w:rFonts w:ascii="宋体" w:hAnsi="宋体" w:cs="宋体"/>
          <w:b/>
          <w:color w:val="auto"/>
          <w:kern w:val="0"/>
          <w:sz w:val="32"/>
          <w:szCs w:val="32"/>
          <w:highlight w:val="none"/>
        </w:rPr>
      </w:pP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4"/>
          <w:highlight w:val="none"/>
        </w:rPr>
      </w:pP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rPr>
          <w:rFonts w:ascii="宋体" w:hAnsi="宋体" w:cs="宋体"/>
          <w:b/>
          <w:color w:val="auto"/>
          <w:kern w:val="0"/>
          <w:sz w:val="32"/>
          <w:szCs w:val="32"/>
          <w:highlight w:val="none"/>
          <w:lang w:val="zh-CN"/>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杭州市临平区人民政府运河街道办事处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杭州正鸿工程咨询有限公司</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运河街道道路安全隐患及零星交通安全设施应急处理设备采购项目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HZZHCG2024-033</w:t>
      </w:r>
      <w:r>
        <w:rPr>
          <w:rFonts w:hint="eastAsia" w:ascii="宋体" w:hAnsi="宋体" w:cs="宋体"/>
          <w:color w:val="auto"/>
          <w:sz w:val="24"/>
          <w:highlight w:val="none"/>
        </w:rPr>
        <w:t>】招标的有关活动，并对此项目进行投标。为此：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545" w:name="_Hlk101257010"/>
      <w:r>
        <w:rPr>
          <w:rFonts w:hint="eastAsia" w:ascii="宋体" w:hAnsi="宋体" w:cs="宋体"/>
          <w:color w:val="auto"/>
          <w:sz w:val="24"/>
          <w:highlight w:val="none"/>
        </w:rPr>
        <w:t>（如果有)</w:t>
      </w:r>
      <w:bookmarkEnd w:id="545"/>
      <w:r>
        <w:rPr>
          <w:rFonts w:hint="eastAsia" w:ascii="宋体" w:hAnsi="宋体" w:cs="宋体"/>
          <w:snapToGrid w:val="0"/>
          <w:color w:val="auto"/>
          <w:kern w:val="28"/>
          <w:sz w:val="24"/>
          <w:szCs w:val="20"/>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pStyle w:val="5"/>
        <w:rPr>
          <w:color w:val="auto"/>
          <w:highlight w:val="none"/>
          <w:lang w:val="en-US"/>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杭州市临平区人民政府运河街道办事处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杭州正鸿工程咨询有限公司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运河街道道路安全隐患及零星交通安全设施应急处理设备采购项目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HZZHCG2024-033</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杭州市临平区人民政府运河街道办事处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杭州正鸿工程咨询有限公司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运河街道道路安全隐患及零星交通安全设施应急处理设备采购项目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HZZHCG2024-033</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spacing w:line="360" w:lineRule="auto"/>
        <w:jc w:val="center"/>
        <w:rPr>
          <w:rFonts w:ascii="宋体" w:hAnsi="宋体" w:cs="宋体"/>
          <w:b/>
          <w:color w:val="auto"/>
          <w:kern w:val="0"/>
          <w:sz w:val="32"/>
          <w:szCs w:val="32"/>
          <w:highlight w:val="none"/>
          <w:lang w:val="zh-CN"/>
        </w:rPr>
      </w:pPr>
    </w:p>
    <w:p>
      <w:pPr>
        <w:autoSpaceDE w:val="0"/>
        <w:autoSpaceDN w:val="0"/>
        <w:spacing w:line="360" w:lineRule="auto"/>
        <w:jc w:val="center"/>
        <w:rPr>
          <w:rFonts w:ascii="宋体" w:hAnsi="宋体" w:cs="宋体"/>
          <w:b/>
          <w:color w:val="auto"/>
          <w:kern w:val="0"/>
          <w:sz w:val="32"/>
          <w:szCs w:val="32"/>
          <w:highlight w:val="none"/>
          <w:lang w:val="zh-CN"/>
        </w:rPr>
      </w:pPr>
    </w:p>
    <w:p>
      <w:pPr>
        <w:autoSpaceDE w:val="0"/>
        <w:autoSpaceDN w:val="0"/>
        <w:spacing w:line="360" w:lineRule="auto"/>
        <w:jc w:val="center"/>
        <w:rPr>
          <w:rFonts w:ascii="宋体" w:hAnsi="宋体" w:cs="宋体"/>
          <w:b/>
          <w:color w:val="auto"/>
          <w:kern w:val="0"/>
          <w:sz w:val="32"/>
          <w:szCs w:val="32"/>
          <w:highlight w:val="none"/>
          <w:lang w:val="zh-CN"/>
        </w:rPr>
      </w:pPr>
    </w:p>
    <w:p>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88"/>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pPr>
              <w:pStyle w:val="88"/>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88"/>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rPr>
          <w:rFonts w:ascii="宋体" w:hAnsi="宋体" w:cs="宋体"/>
          <w:color w:val="auto"/>
          <w:kern w:val="0"/>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vAlign w:val="top"/>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vAlign w:val="top"/>
          </w:tcPr>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见投标文件</w:t>
            </w:r>
          </w:p>
          <w:p>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vAlign w:val="top"/>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vAlign w:val="top"/>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vAlign w:val="top"/>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vAlign w:val="top"/>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vAlign w:val="top"/>
          </w:tcPr>
          <w:p>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vAlign w:val="top"/>
          </w:tcPr>
          <w:p>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vAlign w:val="top"/>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vAlign w:val="top"/>
          </w:tcPr>
          <w:p>
            <w:pPr>
              <w:jc w:val="center"/>
              <w:rPr>
                <w:rFonts w:ascii="宋体" w:hAnsi="宋体" w:cs="宋体"/>
                <w:b/>
                <w:color w:val="auto"/>
                <w:kern w:val="0"/>
                <w:sz w:val="32"/>
                <w:szCs w:val="32"/>
                <w:highlight w:val="none"/>
              </w:rPr>
            </w:pPr>
          </w:p>
        </w:tc>
        <w:tc>
          <w:tcPr>
            <w:tcW w:w="3546" w:type="dxa"/>
            <w:vAlign w:val="top"/>
          </w:tcPr>
          <w:p>
            <w:pPr>
              <w:jc w:val="center"/>
              <w:rPr>
                <w:rFonts w:ascii="宋体" w:hAnsi="宋体" w:cs="宋体"/>
                <w:b/>
                <w:color w:val="auto"/>
                <w:kern w:val="0"/>
                <w:sz w:val="32"/>
                <w:szCs w:val="32"/>
                <w:highlight w:val="none"/>
              </w:rPr>
            </w:pPr>
          </w:p>
        </w:tc>
        <w:tc>
          <w:tcPr>
            <w:tcW w:w="1276" w:type="dxa"/>
            <w:vAlign w:val="top"/>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vAlign w:val="top"/>
          </w:tcPr>
          <w:p>
            <w:pPr>
              <w:jc w:val="center"/>
              <w:rPr>
                <w:rFonts w:ascii="宋体" w:hAnsi="宋体" w:cs="宋体"/>
                <w:b/>
                <w:color w:val="auto"/>
                <w:kern w:val="0"/>
                <w:sz w:val="32"/>
                <w:szCs w:val="32"/>
                <w:highlight w:val="none"/>
              </w:rPr>
            </w:pPr>
          </w:p>
        </w:tc>
        <w:tc>
          <w:tcPr>
            <w:tcW w:w="3546" w:type="dxa"/>
            <w:vAlign w:val="top"/>
          </w:tcPr>
          <w:p>
            <w:pPr>
              <w:jc w:val="center"/>
              <w:rPr>
                <w:rFonts w:ascii="宋体" w:hAnsi="宋体" w:cs="宋体"/>
                <w:b/>
                <w:color w:val="auto"/>
                <w:kern w:val="0"/>
                <w:sz w:val="32"/>
                <w:szCs w:val="32"/>
                <w:highlight w:val="none"/>
              </w:rPr>
            </w:pPr>
          </w:p>
        </w:tc>
        <w:tc>
          <w:tcPr>
            <w:tcW w:w="1276" w:type="dxa"/>
            <w:vAlign w:val="top"/>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vAlign w:val="top"/>
          </w:tcPr>
          <w:p>
            <w:pPr>
              <w:jc w:val="center"/>
              <w:rPr>
                <w:rFonts w:ascii="宋体" w:hAnsi="宋体" w:cs="宋体"/>
                <w:b/>
                <w:color w:val="auto"/>
                <w:kern w:val="0"/>
                <w:sz w:val="32"/>
                <w:szCs w:val="32"/>
                <w:highlight w:val="none"/>
              </w:rPr>
            </w:pPr>
          </w:p>
        </w:tc>
        <w:tc>
          <w:tcPr>
            <w:tcW w:w="3546" w:type="dxa"/>
            <w:vAlign w:val="top"/>
          </w:tcPr>
          <w:p>
            <w:pPr>
              <w:jc w:val="center"/>
              <w:rPr>
                <w:rFonts w:ascii="宋体" w:hAnsi="宋体" w:cs="宋体"/>
                <w:b/>
                <w:color w:val="auto"/>
                <w:kern w:val="0"/>
                <w:sz w:val="32"/>
                <w:szCs w:val="32"/>
                <w:highlight w:val="none"/>
              </w:rPr>
            </w:pPr>
          </w:p>
        </w:tc>
        <w:tc>
          <w:tcPr>
            <w:tcW w:w="1276" w:type="dxa"/>
            <w:vAlign w:val="top"/>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杭州市临平区人民政府运河街道办事处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杭州正鸿工程咨询有限公司</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（2）中小企业声明函………………………………………………………………（页码）</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377"/>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377"/>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杭州市临平区人民政府运河街道办事处</w:t>
      </w:r>
      <w:r>
        <w:rPr>
          <w:rFonts w:hint="eastAsia" w:ascii="宋体" w:hAnsi="宋体" w:cs="宋体"/>
          <w:color w:val="auto"/>
          <w:sz w:val="24"/>
          <w:highlight w:val="none"/>
        </w:rPr>
        <w:t>、</w:t>
      </w:r>
      <w:r>
        <w:rPr>
          <w:rFonts w:hint="eastAsia" w:ascii="宋体" w:hAnsi="宋体" w:cs="宋体"/>
          <w:color w:val="auto"/>
          <w:sz w:val="24"/>
          <w:highlight w:val="none"/>
          <w:lang w:eastAsia="zh-CN"/>
        </w:rPr>
        <w:t>杭州正鸿工程咨询有限公司</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运河街道道路安全隐患及零星交通安全设施应急处理设备采购项目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HZZHCG2024-033</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934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672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10" w:hRule="atLeast"/>
          <w:jc w:val="center"/>
        </w:trPr>
        <w:tc>
          <w:tcPr>
            <w:tcW w:w="2628" w:type="dxa"/>
            <w:tcBorders>
              <w:top w:val="single" w:color="auto" w:sz="4" w:space="0"/>
              <w:left w:val="double" w:color="auto" w:sz="4" w:space="0"/>
              <w:right w:val="single" w:color="auto" w:sz="4" w:space="0"/>
            </w:tcBorders>
            <w:noWrap w:val="0"/>
            <w:vAlign w:val="center"/>
          </w:tcPr>
          <w:p>
            <w:pPr>
              <w:autoSpaceDE w:val="0"/>
              <w:autoSpaceDN w:val="0"/>
              <w:adjustRightInd w:val="0"/>
              <w:spacing w:line="440" w:lineRule="exact"/>
              <w:jc w:val="center"/>
              <w:rPr>
                <w:rFonts w:hint="eastAsia" w:asciiTheme="minorEastAsia" w:hAnsiTheme="minorEastAsia" w:eastAsiaTheme="minorEastAsia" w:cstheme="minorEastAsia"/>
                <w:b/>
                <w:color w:val="auto"/>
                <w:kern w:val="0"/>
                <w:sz w:val="24"/>
                <w:szCs w:val="24"/>
              </w:rPr>
            </w:pPr>
            <w:r>
              <w:rPr>
                <w:rFonts w:hint="eastAsia" w:asciiTheme="minorEastAsia" w:hAnsiTheme="minorEastAsia" w:eastAsiaTheme="minorEastAsia" w:cstheme="minorEastAsia"/>
                <w:b/>
                <w:color w:val="auto"/>
                <w:kern w:val="0"/>
                <w:sz w:val="24"/>
                <w:szCs w:val="24"/>
              </w:rPr>
              <w:t>本项目投标总报价</w:t>
            </w:r>
          </w:p>
        </w:tc>
        <w:tc>
          <w:tcPr>
            <w:tcW w:w="6720" w:type="dxa"/>
            <w:tcBorders>
              <w:top w:val="single" w:color="auto" w:sz="4" w:space="0"/>
              <w:left w:val="single" w:color="auto" w:sz="4" w:space="0"/>
              <w:bottom w:val="double" w:color="auto" w:sz="4" w:space="0"/>
              <w:right w:val="double" w:color="auto" w:sz="4" w:space="0"/>
            </w:tcBorders>
            <w:noWrap w:val="0"/>
            <w:vAlign w:val="center"/>
          </w:tcPr>
          <w:p>
            <w:pPr>
              <w:rPr>
                <w:rFonts w:hint="eastAsia" w:asciiTheme="minorEastAsia" w:hAnsiTheme="minorEastAsia" w:eastAsiaTheme="minorEastAsia" w:cstheme="minorEastAsia"/>
                <w:color w:val="auto"/>
                <w:sz w:val="24"/>
                <w:szCs w:val="24"/>
                <w:lang w:bidi="ar"/>
              </w:rPr>
            </w:pPr>
            <w:bookmarkStart w:id="546" w:name="OLE_LINK11"/>
            <w:r>
              <w:rPr>
                <w:rFonts w:hint="eastAsia" w:asciiTheme="minorEastAsia" w:hAnsiTheme="minorEastAsia" w:eastAsiaTheme="minorEastAsia" w:cstheme="minorEastAsia"/>
                <w:color w:val="auto"/>
                <w:sz w:val="24"/>
                <w:szCs w:val="24"/>
              </w:rPr>
              <w:t>按招标文件限价一览表的_______%计算（小数点后保留两位小数。（填写折扣率，非下浮率，如报价为80%，即辅助牌1的中标价为</w:t>
            </w:r>
            <w:r>
              <w:rPr>
                <w:rFonts w:hint="eastAsia" w:asciiTheme="minorEastAsia" w:hAnsiTheme="minorEastAsia" w:eastAsiaTheme="minorEastAsia" w:cstheme="minorEastAsia"/>
                <w:color w:val="auto"/>
                <w:sz w:val="24"/>
                <w:szCs w:val="24"/>
                <w:lang w:val="en-US" w:eastAsia="zh-CN"/>
              </w:rPr>
              <w:t>100</w:t>
            </w:r>
            <w:r>
              <w:rPr>
                <w:rFonts w:hint="eastAsia" w:asciiTheme="minorEastAsia" w:hAnsiTheme="minorEastAsia" w:eastAsiaTheme="minorEastAsia" w:cstheme="minorEastAsia"/>
                <w:color w:val="auto"/>
                <w:sz w:val="24"/>
                <w:szCs w:val="24"/>
              </w:rPr>
              <w:t>*80%=</w:t>
            </w:r>
            <w:r>
              <w:rPr>
                <w:rFonts w:hint="eastAsia" w:asciiTheme="minorEastAsia" w:hAnsiTheme="minorEastAsia" w:eastAsiaTheme="minorEastAsia" w:cstheme="minorEastAsia"/>
                <w:color w:val="auto"/>
                <w:sz w:val="24"/>
                <w:szCs w:val="24"/>
                <w:lang w:val="en-US" w:eastAsia="zh-CN"/>
              </w:rPr>
              <w:t>80</w:t>
            </w:r>
            <w:r>
              <w:rPr>
                <w:rFonts w:hint="eastAsia" w:asciiTheme="minorEastAsia" w:hAnsiTheme="minorEastAsia" w:eastAsiaTheme="minorEastAsia" w:cstheme="minorEastAsia"/>
                <w:color w:val="auto"/>
                <w:sz w:val="24"/>
                <w:szCs w:val="24"/>
              </w:rPr>
              <w:t>元）</w:t>
            </w:r>
            <w:bookmarkEnd w:id="546"/>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宋体" w:hAnsi="宋体" w:eastAsia="宋体" w:cs="宋体"/>
          <w:color w:val="auto"/>
          <w:kern w:val="2"/>
          <w:sz w:val="32"/>
          <w:szCs w:val="32"/>
          <w:highlight w:val="none"/>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377"/>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1906" w:h="16838"/>
          <w:pgMar w:top="1247" w:right="1418" w:bottom="1276" w:left="1418" w:header="851" w:footer="992" w:gutter="0"/>
          <w:cols w:space="720" w:num="1"/>
          <w:titlePg/>
          <w:docGrid w:linePitch="312" w:charSpace="0"/>
        </w:sectPr>
      </w:pPr>
    </w:p>
    <w:p>
      <w:pPr>
        <w:pStyle w:val="377"/>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中小企业声明函（如果有）</w:t>
      </w:r>
    </w:p>
    <w:p>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pStyle w:val="377"/>
        <w:tabs>
          <w:tab w:val="clear" w:pos="720"/>
        </w:tabs>
        <w:snapToGrid w:val="0"/>
        <w:spacing w:before="120" w:after="120"/>
        <w:ind w:firstLine="643"/>
        <w:outlineLvl w:val="9"/>
        <w:rPr>
          <w:rFonts w:ascii="宋体" w:hAnsi="宋体" w:eastAsia="宋体" w:cs="宋体"/>
          <w:b w:val="0"/>
          <w:color w:val="auto"/>
          <w:sz w:val="32"/>
          <w:szCs w:val="32"/>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pStyle w:val="4"/>
        <w:pageBreakBefore/>
        <w:widowControl/>
        <w:spacing w:before="100" w:beforeAutospacing="1" w:after="100" w:afterAutospacing="1" w:line="360" w:lineRule="auto"/>
        <w:ind w:left="1290" w:firstLine="3092" w:firstLineChars="700"/>
        <w:rPr>
          <w:rFonts w:ascii="宋体" w:hAnsi="宋体" w:cs="宋体"/>
          <w:color w:val="auto"/>
          <w:highlight w:val="none"/>
        </w:rPr>
      </w:pPr>
      <w:r>
        <w:rPr>
          <w:rFonts w:hint="eastAsia" w:ascii="宋体" w:hAnsi="宋体" w:cs="宋体"/>
          <w:color w:val="auto"/>
          <w:highlight w:val="none"/>
        </w:rPr>
        <w:t>附件</w:t>
      </w:r>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547" w:name="OLE_LINK14"/>
      <w:bookmarkStart w:id="548" w:name="OLE_LINK13"/>
      <w:r>
        <w:rPr>
          <w:rFonts w:hint="eastAsia" w:ascii="宋体" w:hAnsi="宋体" w:cs="宋体"/>
          <w:b/>
          <w:color w:val="auto"/>
          <w:spacing w:val="6"/>
          <w:sz w:val="32"/>
          <w:szCs w:val="32"/>
          <w:highlight w:val="none"/>
        </w:rPr>
        <w:t>残疾人福利性单位声明函</w:t>
      </w:r>
    </w:p>
    <w:bookmarkEnd w:id="547"/>
    <w:bookmarkEnd w:id="548"/>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运河街道道路安全隐患及零星交通安全设施应急处理设备采购项目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u w:val="single"/>
        </w:rPr>
      </w:pPr>
    </w:p>
    <w:p>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杭州市临平区人民政府运河街道办事处</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杭州正鸿工程咨询有限公司</w:t>
      </w:r>
      <w:r>
        <w:rPr>
          <w:rFonts w:hint="eastAsia" w:ascii="宋体" w:hAnsi="宋体" w:cs="宋体"/>
          <w:color w:val="auto"/>
          <w:sz w:val="24"/>
          <w:highlight w:val="none"/>
          <w:u w:val="singl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运河街道道路安全隐患及零星交通安全设施应急处理设备采购项目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HZZHCG2024-033</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hint="eastAsia" w:ascii="宋体" w:hAnsi="宋体" w:eastAsia="宋体" w:cs="宋体"/>
          <w:b/>
          <w:bCs/>
          <w:color w:val="auto"/>
          <w:kern w:val="2"/>
          <w:sz w:val="24"/>
          <w:szCs w:val="24"/>
          <w:highlight w:val="none"/>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rFonts w:hint="eastAsia" w:ascii="宋体" w:hAnsi="宋体" w:eastAsia="宋体" w:cs="宋体"/>
          <w:b/>
          <w:bCs/>
          <w:color w:val="auto"/>
          <w:kern w:val="2"/>
          <w:sz w:val="24"/>
          <w:szCs w:val="24"/>
          <w:highlight w:val="none"/>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OwWNgAAAAKAQAADwAAAAAAAAABACAAAAAiAAAAZHJzL2Rvd25yZXYueG1sUEsBAhQA&#10;FAAAAAgAh07iQM239AXyAQAAIwQAAA4AAAAAAAAAAQAgAAAAJwEAAGRycy9lMm9Eb2MueG1sUEsF&#10;BgAAAAAGAAYAWQEAAIsFAAAAAA==&#10;">
                <v:fill on="t" focussize="0,0"/>
                <v:stroke color="#000000"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运河街道道路安全隐患及零星交通安全设施应急处理设备采购项目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HZZHCG2024-033</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549"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549"/>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550" w:name="_Hlk101133598"/>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550"/>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51"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551"/>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ind w:firstLine="3666" w:firstLineChars="1100"/>
        <w:rPr>
          <w:rFonts w:ascii="宋体" w:hAnsi="宋体" w:cs="宋体"/>
          <w:b/>
          <w:color w:val="auto"/>
          <w:spacing w:val="6"/>
          <w:sz w:val="32"/>
          <w:szCs w:val="32"/>
          <w:highlight w:val="none"/>
        </w:rPr>
      </w:pPr>
    </w:p>
    <w:p>
      <w:pPr>
        <w:widowControl/>
        <w:adjustRightInd/>
        <w:jc w:val="left"/>
        <w:rPr>
          <w:rFonts w:ascii="宋体" w:hAnsi="宋体" w:cs="宋体"/>
          <w:b/>
          <w:color w:val="auto"/>
          <w:spacing w:val="6"/>
          <w:sz w:val="32"/>
          <w:szCs w:val="32"/>
          <w:highlight w:val="none"/>
        </w:rPr>
      </w:pPr>
      <w:r>
        <w:rPr>
          <w:rFonts w:ascii="宋体" w:hAnsi="宋体" w:cs="宋体"/>
          <w:b/>
          <w:color w:val="auto"/>
          <w:spacing w:val="6"/>
          <w:sz w:val="32"/>
          <w:szCs w:val="32"/>
          <w:highlight w:val="none"/>
        </w:rPr>
        <w:br w:type="page"/>
      </w:r>
    </w:p>
    <w:p>
      <w:pPr>
        <w:snapToGrid w:val="0"/>
        <w:spacing w:line="360" w:lineRule="auto"/>
        <w:ind w:firstLine="3666" w:firstLineChars="1100"/>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运河街道道路安全隐患及零星交通安全设施应急处理设备采购项目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HZZHCG2024-033</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（分包供应商2名称），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5"/>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rPr>
          <w:color w:val="auto"/>
          <w:highlight w:val="none"/>
        </w:rPr>
      </w:pPr>
      <w:r>
        <w:rPr>
          <w:rFonts w:hint="eastAsia"/>
          <w:color w:val="auto"/>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                                           投标人名称(电子签名)：</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pacing w:line="360" w:lineRule="auto"/>
        <w:jc w:val="left"/>
        <w:outlineLvl w:val="0"/>
        <w:rPr>
          <w:rFonts w:ascii="宋体" w:hAnsi="宋体" w:cs="宋体"/>
          <w:b/>
          <w:color w:val="auto"/>
          <w:sz w:val="36"/>
          <w:szCs w:val="20"/>
          <w:highlight w:val="none"/>
        </w:rPr>
      </w:pPr>
      <w:r>
        <w:rPr>
          <w:rFonts w:hint="eastAsia" w:ascii="宋体" w:hAnsi="宋体" w:cs="宋体"/>
          <w:b/>
          <w:color w:val="auto"/>
          <w:sz w:val="36"/>
          <w:szCs w:val="20"/>
          <w:highlight w:val="none"/>
        </w:rPr>
        <w:t>附件</w:t>
      </w:r>
      <w:r>
        <w:rPr>
          <w:rFonts w:ascii="宋体" w:hAnsi="宋体" w:cs="宋体"/>
          <w:b/>
          <w:color w:val="auto"/>
          <w:sz w:val="36"/>
          <w:szCs w:val="20"/>
          <w:highlight w:val="none"/>
        </w:rPr>
        <w:t>7</w:t>
      </w:r>
      <w:r>
        <w:rPr>
          <w:rFonts w:hint="eastAsia" w:ascii="宋体" w:hAnsi="宋体" w:cs="宋体"/>
          <w:b/>
          <w:color w:val="auto"/>
          <w:sz w:val="36"/>
          <w:szCs w:val="20"/>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杭州市临平区人民政府运河街道办事处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运河街道道路安全隐患及零星交通安全设施应急处理设备采购项目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pPr>
        <w:spacing w:line="360" w:lineRule="auto"/>
        <w:ind w:firstLine="310" w:firstLineChars="147"/>
        <w:jc w:val="left"/>
        <w:rPr>
          <w:rFonts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pPr>
        <w:spacing w:line="360" w:lineRule="auto"/>
        <w:ind w:right="420"/>
        <w:rPr>
          <w:rFonts w:ascii="宋体" w:hAnsi="宋体" w:cs="宋体"/>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 xml:space="preserve">   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right="420" w:firstLine="720" w:firstLineChars="300"/>
        <w:rPr>
          <w:rFonts w:ascii="宋体" w:hAnsi="宋体" w:cs="宋体"/>
          <w:color w:val="auto"/>
          <w:sz w:val="24"/>
        </w:rPr>
      </w:pPr>
      <w:r>
        <w:rPr>
          <w:rFonts w:hint="eastAsia" w:ascii="宋体" w:hAnsi="宋体" w:cs="宋体"/>
          <w:color w:val="auto"/>
          <w:sz w:val="24"/>
          <w:lang w:val="en-US" w:eastAsia="zh-CN"/>
        </w:rPr>
        <w:t>3</w:t>
      </w:r>
      <w:r>
        <w:rPr>
          <w:rFonts w:hint="eastAsia" w:ascii="宋体" w:hAnsi="宋体" w:cs="宋体"/>
          <w:color w:val="auto"/>
          <w:sz w:val="24"/>
        </w:rPr>
        <w:t>、</w:t>
      </w:r>
      <w:r>
        <w:rPr>
          <w:rFonts w:hint="eastAsia" w:ascii="宋体" w:hAnsi="宋体" w:cs="宋体"/>
          <w:color w:val="auto"/>
          <w:sz w:val="24"/>
          <w:lang w:val="en-US" w:eastAsia="zh-CN"/>
        </w:rPr>
        <w:t>《中小企业声明函》中类型、行业填写错误的均投标无效</w:t>
      </w:r>
      <w:r>
        <w:rPr>
          <w:rFonts w:hint="eastAsia" w:ascii="宋体" w:hAnsi="宋体" w:cs="宋体"/>
          <w:color w:val="auto"/>
          <w:sz w:val="24"/>
          <w:lang w:eastAsia="zh-CN"/>
        </w:rPr>
        <w:t>，</w:t>
      </w:r>
      <w:r>
        <w:rPr>
          <w:rFonts w:hint="eastAsia" w:ascii="宋体" w:hAnsi="宋体" w:cs="宋体"/>
          <w:color w:val="auto"/>
          <w:sz w:val="24"/>
          <w:lang w:val="en-US" w:eastAsia="zh-CN"/>
        </w:rPr>
        <w:t>《中小企业声明函》中的制造厂商不可使用他人授权品牌或者授权他人实际生产。</w:t>
      </w:r>
    </w:p>
    <w:p>
      <w:pPr>
        <w:spacing w:line="360" w:lineRule="auto"/>
        <w:ind w:right="420" w:firstLine="720" w:firstLineChars="300"/>
        <w:rPr>
          <w:rFonts w:ascii="宋体" w:hAnsi="宋体" w:cs="宋体"/>
          <w:color w:val="auto"/>
          <w:sz w:val="24"/>
          <w:highlight w:val="none"/>
        </w:rPr>
      </w:pPr>
    </w:p>
    <w:p>
      <w:pPr>
        <w:pStyle w:val="5"/>
        <w:rPr>
          <w:rFonts w:ascii="宋体" w:hAnsi="宋体" w:eastAsia="宋体" w:cs="宋体"/>
          <w:color w:val="auto"/>
          <w:highlight w:val="none"/>
          <w:lang w:val="en-US"/>
        </w:rPr>
      </w:pPr>
    </w:p>
    <w:p>
      <w:pPr>
        <w:spacing w:line="360" w:lineRule="auto"/>
        <w:ind w:right="420"/>
        <w:rPr>
          <w:rFonts w:ascii="宋体" w:hAnsi="宋体" w:cs="宋体"/>
          <w:color w:val="auto"/>
          <w:highlight w:val="none"/>
        </w:rPr>
      </w:pPr>
    </w:p>
    <w:p>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Tahoma">
    <w:panose1 w:val="020B0604030504040204"/>
    <w:charset w:val="00"/>
    <w:family w:val="auto"/>
    <w:pitch w:val="default"/>
    <w:sig w:usb0="E1002EFF" w:usb1="C000605B" w:usb2="00000029" w:usb3="00000000" w:csb0="200101FF" w:csb1="20280000"/>
  </w:font>
  <w:font w:name="Lucida Sans">
    <w:altName w:val="Lucida Sans Unicode"/>
    <w:panose1 w:val="020B0602030504020204"/>
    <w:charset w:val="00"/>
    <w:family w:val="auto"/>
    <w:pitch w:val="default"/>
    <w:sig w:usb0="00000000" w:usb1="00000000" w:usb2="00000000" w:usb3="00000000" w:csb0="20000001" w:csb1="00000000"/>
  </w:font>
  <w:font w:name="Verdana">
    <w:panose1 w:val="020B0604030504040204"/>
    <w:charset w:val="00"/>
    <w:family w:val="auto"/>
    <w:pitch w:val="default"/>
    <w:sig w:usb0="A00006FF" w:usb1="4000205B" w:usb2="00000010" w:usb3="00000000" w:csb0="2000019F" w:csb1="00000000"/>
  </w:font>
  <w:font w:name="幼圆">
    <w:altName w:val="宋体"/>
    <w:panose1 w:val="02010509060101010101"/>
    <w:charset w:val="86"/>
    <w:family w:val="auto"/>
    <w:pitch w:val="default"/>
    <w:sig w:usb0="00000000" w:usb1="00000000" w:usb2="00000000" w:usb3="00000000" w:csb0="00040000" w:csb1="00000000"/>
  </w:font>
  <w:font w:name="Arial Narrow">
    <w:altName w:val="Arial"/>
    <w:panose1 w:val="020B0606020202030204"/>
    <w:charset w:val="00"/>
    <w:family w:val="auto"/>
    <w:pitch w:val="default"/>
    <w:sig w:usb0="00000000" w:usb1="000000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0" w:usb3="00000000" w:csb0="00000000"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Latha">
    <w:altName w:val="Segoe Print"/>
    <w:panose1 w:val="020B0604020202020204"/>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auto"/>
    <w:pitch w:val="default"/>
    <w:sig w:usb0="00000000"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Segoe UI Symbol">
    <w:panose1 w:val="020B0502040204020203"/>
    <w:charset w:val="00"/>
    <w:family w:val="auto"/>
    <w:pitch w:val="default"/>
    <w:sig w:usb0="800001E3" w:usb1="1200FFEF" w:usb2="00040000" w:usb3="04000000" w:csb0="00000001" w:csb1="40000000"/>
  </w:font>
  <w:font w:name="MS Gothic">
    <w:panose1 w:val="020B0609070205080204"/>
    <w:charset w:val="80"/>
    <w:family w:val="auto"/>
    <w:pitch w:val="default"/>
    <w:sig w:usb0="E00002FF" w:usb1="6AC7FDFB" w:usb2="08000012" w:usb3="00000000" w:csb0="4002009F" w:csb1="DFD70000"/>
  </w:font>
  <w:font w:name="MS Mincho">
    <w:altName w:val="Yu Gothic UI"/>
    <w:panose1 w:val="02020609040205080304"/>
    <w:charset w:val="80"/>
    <w:family w:val="auto"/>
    <w:pitch w:val="default"/>
    <w:sig w:usb0="00000000" w:usb1="00000000" w:usb2="00000010" w:usb3="00000000" w:csb0="4002009F" w:csb1="DFD70000"/>
  </w:font>
  <w:font w:name="RomanD">
    <w:altName w:val="Segoe Print"/>
    <w:panose1 w:val="00000400000000000000"/>
    <w:charset w:val="00"/>
    <w:family w:val="auto"/>
    <w:pitch w:val="default"/>
    <w:sig w:usb0="00000000" w:usb1="00000000" w:usb2="00000000" w:usb3="00000000" w:csb0="000001F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52" w:name="_Toc131845147"/>
    <w:bookmarkStart w:id="553" w:name="_Toc164085800"/>
    <w:bookmarkStart w:id="554" w:name="_Toc36110187"/>
    <w:bookmarkStart w:id="555" w:name="_Toc91899912"/>
    <w:r>
      <w:rPr>
        <w:rFonts w:hint="eastAsia" w:ascii="仿宋_GB2312" w:eastAsia="仿宋_GB2312"/>
        <w:kern w:val="0"/>
        <w:szCs w:val="21"/>
      </w:rPr>
      <w:t xml:space="preserve"> 页</w:t>
    </w:r>
    <w:bookmarkEnd w:id="552"/>
    <w:bookmarkEnd w:id="553"/>
    <w:bookmarkEnd w:id="554"/>
    <w:bookmarkEnd w:id="55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3576C9"/>
    <w:multiLevelType w:val="singleLevel"/>
    <w:tmpl w:val="3B3576C9"/>
    <w:lvl w:ilvl="0" w:tentative="0">
      <w:start w:val="4"/>
      <w:numFmt w:val="chineseCounting"/>
      <w:suff w:val="space"/>
      <w:lvlText w:val="第%1部分"/>
      <w:lvlJc w:val="left"/>
      <w:rPr>
        <w:rFonts w:hint="eastAsia"/>
      </w:rPr>
    </w:lvl>
  </w:abstractNum>
  <w:abstractNum w:abstractNumId="1">
    <w:nsid w:val="7316D8D4"/>
    <w:multiLevelType w:val="singleLevel"/>
    <w:tmpl w:val="7316D8D4"/>
    <w:lvl w:ilvl="0" w:tentative="0">
      <w:start w:val="1"/>
      <w:numFmt w:val="decimal"/>
      <w:suff w:val="nothing"/>
      <w:lvlText w:val="%1、"/>
      <w:lvlJc w:val="left"/>
      <w:pPr>
        <w:ind w:left="60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3MzMzM2M4NDNjM2RkNzE1OWE0NTE1MjgwZTIwNG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37556A"/>
    <w:rsid w:val="015129C6"/>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3F91976"/>
    <w:rsid w:val="03FD0D36"/>
    <w:rsid w:val="04076900"/>
    <w:rsid w:val="041A5A3B"/>
    <w:rsid w:val="042311BA"/>
    <w:rsid w:val="042B157A"/>
    <w:rsid w:val="048F763B"/>
    <w:rsid w:val="049F330E"/>
    <w:rsid w:val="04AA775C"/>
    <w:rsid w:val="04AF1889"/>
    <w:rsid w:val="04F66F48"/>
    <w:rsid w:val="05251E14"/>
    <w:rsid w:val="058928B6"/>
    <w:rsid w:val="05A16594"/>
    <w:rsid w:val="05A7762D"/>
    <w:rsid w:val="060E5941"/>
    <w:rsid w:val="06110FAF"/>
    <w:rsid w:val="06493CA7"/>
    <w:rsid w:val="065A6178"/>
    <w:rsid w:val="065E5408"/>
    <w:rsid w:val="066F1CF3"/>
    <w:rsid w:val="06930BB8"/>
    <w:rsid w:val="07245D42"/>
    <w:rsid w:val="07264C62"/>
    <w:rsid w:val="0779354C"/>
    <w:rsid w:val="08061376"/>
    <w:rsid w:val="08125415"/>
    <w:rsid w:val="08452D77"/>
    <w:rsid w:val="086401F8"/>
    <w:rsid w:val="08751CAA"/>
    <w:rsid w:val="087E4C40"/>
    <w:rsid w:val="08A871D0"/>
    <w:rsid w:val="08D66AD6"/>
    <w:rsid w:val="08DA33A3"/>
    <w:rsid w:val="08E80F13"/>
    <w:rsid w:val="09167982"/>
    <w:rsid w:val="09335624"/>
    <w:rsid w:val="0944690F"/>
    <w:rsid w:val="09535675"/>
    <w:rsid w:val="095F057D"/>
    <w:rsid w:val="09642282"/>
    <w:rsid w:val="09733572"/>
    <w:rsid w:val="09772C16"/>
    <w:rsid w:val="098353B5"/>
    <w:rsid w:val="09A92330"/>
    <w:rsid w:val="09B06B87"/>
    <w:rsid w:val="09C13146"/>
    <w:rsid w:val="09E04166"/>
    <w:rsid w:val="0A13184E"/>
    <w:rsid w:val="0A1C0718"/>
    <w:rsid w:val="0A3E7710"/>
    <w:rsid w:val="0A5B7E63"/>
    <w:rsid w:val="0AA374A5"/>
    <w:rsid w:val="0AAB7649"/>
    <w:rsid w:val="0ABC5606"/>
    <w:rsid w:val="0B30404E"/>
    <w:rsid w:val="0B4C6C14"/>
    <w:rsid w:val="0B503C3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587ABB"/>
    <w:rsid w:val="0D827401"/>
    <w:rsid w:val="0D84094E"/>
    <w:rsid w:val="0D8A00E9"/>
    <w:rsid w:val="0D8D589E"/>
    <w:rsid w:val="0DA01C73"/>
    <w:rsid w:val="0DD63300"/>
    <w:rsid w:val="0DF50604"/>
    <w:rsid w:val="0DF702FE"/>
    <w:rsid w:val="0E00340E"/>
    <w:rsid w:val="0E060E51"/>
    <w:rsid w:val="0E322BAF"/>
    <w:rsid w:val="0E5604B2"/>
    <w:rsid w:val="0E6D5D79"/>
    <w:rsid w:val="0E9D0089"/>
    <w:rsid w:val="0EB803EE"/>
    <w:rsid w:val="0EF94D4B"/>
    <w:rsid w:val="0F4958DC"/>
    <w:rsid w:val="0F515DF7"/>
    <w:rsid w:val="0F596BA8"/>
    <w:rsid w:val="0F6248D2"/>
    <w:rsid w:val="0F693536"/>
    <w:rsid w:val="0F7B0511"/>
    <w:rsid w:val="0F7B76D9"/>
    <w:rsid w:val="0F816ACD"/>
    <w:rsid w:val="0F9832DB"/>
    <w:rsid w:val="0FAC6062"/>
    <w:rsid w:val="0FBF3FD2"/>
    <w:rsid w:val="0FBF7FF3"/>
    <w:rsid w:val="10646583"/>
    <w:rsid w:val="107D4B15"/>
    <w:rsid w:val="108A3C80"/>
    <w:rsid w:val="10C26171"/>
    <w:rsid w:val="10F33360"/>
    <w:rsid w:val="10FC16EA"/>
    <w:rsid w:val="110F1D40"/>
    <w:rsid w:val="11266F33"/>
    <w:rsid w:val="11314070"/>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85843"/>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6E35BD9"/>
    <w:rsid w:val="172F2D79"/>
    <w:rsid w:val="17557BEF"/>
    <w:rsid w:val="17D349C1"/>
    <w:rsid w:val="1830729E"/>
    <w:rsid w:val="1870062C"/>
    <w:rsid w:val="18817102"/>
    <w:rsid w:val="18830A15"/>
    <w:rsid w:val="18852B28"/>
    <w:rsid w:val="188B5321"/>
    <w:rsid w:val="1906117E"/>
    <w:rsid w:val="19932372"/>
    <w:rsid w:val="19A20DD5"/>
    <w:rsid w:val="19AE03F1"/>
    <w:rsid w:val="1A071A03"/>
    <w:rsid w:val="1A1B615C"/>
    <w:rsid w:val="1A1F16AE"/>
    <w:rsid w:val="1A3B5C77"/>
    <w:rsid w:val="1A984BAD"/>
    <w:rsid w:val="1AB8220E"/>
    <w:rsid w:val="1AE4166C"/>
    <w:rsid w:val="1AF06CFB"/>
    <w:rsid w:val="1AF11B8D"/>
    <w:rsid w:val="1B11359C"/>
    <w:rsid w:val="1B2A271F"/>
    <w:rsid w:val="1B530544"/>
    <w:rsid w:val="1B713184"/>
    <w:rsid w:val="1BA209CF"/>
    <w:rsid w:val="1BB4777D"/>
    <w:rsid w:val="1BB758B0"/>
    <w:rsid w:val="1BD75AB8"/>
    <w:rsid w:val="1C0459C2"/>
    <w:rsid w:val="1C1B3B4A"/>
    <w:rsid w:val="1C604813"/>
    <w:rsid w:val="1C870501"/>
    <w:rsid w:val="1C88086E"/>
    <w:rsid w:val="1CFC15DD"/>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4907"/>
    <w:rsid w:val="20173E4B"/>
    <w:rsid w:val="204E48BC"/>
    <w:rsid w:val="205043E8"/>
    <w:rsid w:val="208921B3"/>
    <w:rsid w:val="20973DEB"/>
    <w:rsid w:val="20B26522"/>
    <w:rsid w:val="20B44310"/>
    <w:rsid w:val="211116EB"/>
    <w:rsid w:val="216133FC"/>
    <w:rsid w:val="21D56769"/>
    <w:rsid w:val="21E52EF3"/>
    <w:rsid w:val="21FB5D7B"/>
    <w:rsid w:val="22015E94"/>
    <w:rsid w:val="220B1C3D"/>
    <w:rsid w:val="221D1D20"/>
    <w:rsid w:val="22334A87"/>
    <w:rsid w:val="227D2FED"/>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C25633"/>
    <w:rsid w:val="25F74A5C"/>
    <w:rsid w:val="2628662C"/>
    <w:rsid w:val="262D45DE"/>
    <w:rsid w:val="26871DC8"/>
    <w:rsid w:val="26981E37"/>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3B77A0"/>
    <w:rsid w:val="294C65AD"/>
    <w:rsid w:val="29806583"/>
    <w:rsid w:val="298B3C4C"/>
    <w:rsid w:val="29E259F5"/>
    <w:rsid w:val="29F26D24"/>
    <w:rsid w:val="2A15033F"/>
    <w:rsid w:val="2A1662C1"/>
    <w:rsid w:val="2A1C7367"/>
    <w:rsid w:val="2A1D2DF3"/>
    <w:rsid w:val="2A2815FA"/>
    <w:rsid w:val="2A6D6092"/>
    <w:rsid w:val="2A7D76B4"/>
    <w:rsid w:val="2B057409"/>
    <w:rsid w:val="2B437463"/>
    <w:rsid w:val="2B7807EE"/>
    <w:rsid w:val="2B9F029D"/>
    <w:rsid w:val="2BA50BF7"/>
    <w:rsid w:val="2BBF00EC"/>
    <w:rsid w:val="2BC37CFD"/>
    <w:rsid w:val="2BD5237F"/>
    <w:rsid w:val="2BE536CE"/>
    <w:rsid w:val="2BE758D9"/>
    <w:rsid w:val="2C09049E"/>
    <w:rsid w:val="2C0A653C"/>
    <w:rsid w:val="2C191F85"/>
    <w:rsid w:val="2CE82D6F"/>
    <w:rsid w:val="2D343236"/>
    <w:rsid w:val="2DD15014"/>
    <w:rsid w:val="2DF72DE4"/>
    <w:rsid w:val="2E0220AF"/>
    <w:rsid w:val="2E140E2C"/>
    <w:rsid w:val="2E4B082A"/>
    <w:rsid w:val="2E5D4E86"/>
    <w:rsid w:val="2E5D790B"/>
    <w:rsid w:val="2E9A3C18"/>
    <w:rsid w:val="2EBB0FEE"/>
    <w:rsid w:val="2EC63002"/>
    <w:rsid w:val="2EE85F28"/>
    <w:rsid w:val="2F0A6B38"/>
    <w:rsid w:val="2F4578D7"/>
    <w:rsid w:val="2F946CCB"/>
    <w:rsid w:val="2FD25781"/>
    <w:rsid w:val="2FDC745C"/>
    <w:rsid w:val="2FF87A6A"/>
    <w:rsid w:val="2FFD7934"/>
    <w:rsid w:val="30104789"/>
    <w:rsid w:val="30114EB2"/>
    <w:rsid w:val="30733ACD"/>
    <w:rsid w:val="308C3862"/>
    <w:rsid w:val="309379D8"/>
    <w:rsid w:val="30A270F7"/>
    <w:rsid w:val="30DF1478"/>
    <w:rsid w:val="30EC586F"/>
    <w:rsid w:val="314550B7"/>
    <w:rsid w:val="319C6071"/>
    <w:rsid w:val="31AC537E"/>
    <w:rsid w:val="31E3679B"/>
    <w:rsid w:val="31E732FD"/>
    <w:rsid w:val="32063D1C"/>
    <w:rsid w:val="321A7BE4"/>
    <w:rsid w:val="32517576"/>
    <w:rsid w:val="32BE5C2C"/>
    <w:rsid w:val="32FB6478"/>
    <w:rsid w:val="33263B3F"/>
    <w:rsid w:val="336963EB"/>
    <w:rsid w:val="336F76C2"/>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5C3856"/>
    <w:rsid w:val="36607A0A"/>
    <w:rsid w:val="36670833"/>
    <w:rsid w:val="366E227C"/>
    <w:rsid w:val="366F2E0D"/>
    <w:rsid w:val="367B6A5C"/>
    <w:rsid w:val="36A74ADA"/>
    <w:rsid w:val="36AD60D5"/>
    <w:rsid w:val="36B224F9"/>
    <w:rsid w:val="36EC0CC9"/>
    <w:rsid w:val="373F410B"/>
    <w:rsid w:val="37472BA8"/>
    <w:rsid w:val="37E00F32"/>
    <w:rsid w:val="37EE7094"/>
    <w:rsid w:val="38296C89"/>
    <w:rsid w:val="383002EB"/>
    <w:rsid w:val="38586797"/>
    <w:rsid w:val="38BC0149"/>
    <w:rsid w:val="38D87D1C"/>
    <w:rsid w:val="39636459"/>
    <w:rsid w:val="396B7F6C"/>
    <w:rsid w:val="39B417A9"/>
    <w:rsid w:val="39BC0207"/>
    <w:rsid w:val="39FC5695"/>
    <w:rsid w:val="3A006D8E"/>
    <w:rsid w:val="3A3651E5"/>
    <w:rsid w:val="3A744481"/>
    <w:rsid w:val="3A8C7BEF"/>
    <w:rsid w:val="3A906246"/>
    <w:rsid w:val="3B1E7517"/>
    <w:rsid w:val="3B2349B7"/>
    <w:rsid w:val="3B616CFF"/>
    <w:rsid w:val="3B6259F6"/>
    <w:rsid w:val="3B976654"/>
    <w:rsid w:val="3BC01EFC"/>
    <w:rsid w:val="3BCA786A"/>
    <w:rsid w:val="3BD31E2F"/>
    <w:rsid w:val="3BF15831"/>
    <w:rsid w:val="3C105946"/>
    <w:rsid w:val="3C471448"/>
    <w:rsid w:val="3C5F759A"/>
    <w:rsid w:val="3C6C525A"/>
    <w:rsid w:val="3CCE23CB"/>
    <w:rsid w:val="3CD17D17"/>
    <w:rsid w:val="3CE26756"/>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47E7D"/>
    <w:rsid w:val="3E9A59DE"/>
    <w:rsid w:val="3EAF4836"/>
    <w:rsid w:val="3EBC0A64"/>
    <w:rsid w:val="3EC33DFA"/>
    <w:rsid w:val="3F060E16"/>
    <w:rsid w:val="3F1D1096"/>
    <w:rsid w:val="3F2F0234"/>
    <w:rsid w:val="3F4F2C8D"/>
    <w:rsid w:val="3F5100A6"/>
    <w:rsid w:val="3F6363FE"/>
    <w:rsid w:val="3F756B8F"/>
    <w:rsid w:val="3F95482B"/>
    <w:rsid w:val="4019356B"/>
    <w:rsid w:val="40592157"/>
    <w:rsid w:val="406E1CAE"/>
    <w:rsid w:val="40A0133A"/>
    <w:rsid w:val="40C31A53"/>
    <w:rsid w:val="40FF545D"/>
    <w:rsid w:val="410067C8"/>
    <w:rsid w:val="418F0D2A"/>
    <w:rsid w:val="41A16BD1"/>
    <w:rsid w:val="41D01505"/>
    <w:rsid w:val="42474939"/>
    <w:rsid w:val="424C3C57"/>
    <w:rsid w:val="42613FF3"/>
    <w:rsid w:val="42660D96"/>
    <w:rsid w:val="427B6B1F"/>
    <w:rsid w:val="428667D2"/>
    <w:rsid w:val="42CD1CE0"/>
    <w:rsid w:val="42E1381E"/>
    <w:rsid w:val="42ED6459"/>
    <w:rsid w:val="42FE58DD"/>
    <w:rsid w:val="43174B3D"/>
    <w:rsid w:val="434B790E"/>
    <w:rsid w:val="4360274F"/>
    <w:rsid w:val="43977AB6"/>
    <w:rsid w:val="43A3342B"/>
    <w:rsid w:val="43C77C27"/>
    <w:rsid w:val="43DE09EE"/>
    <w:rsid w:val="44002FAD"/>
    <w:rsid w:val="446D4732"/>
    <w:rsid w:val="449101DD"/>
    <w:rsid w:val="44C670FB"/>
    <w:rsid w:val="44DE1391"/>
    <w:rsid w:val="44F80CB6"/>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6E76BE4"/>
    <w:rsid w:val="477B778F"/>
    <w:rsid w:val="478203EC"/>
    <w:rsid w:val="479C19C8"/>
    <w:rsid w:val="47B025FA"/>
    <w:rsid w:val="4809698F"/>
    <w:rsid w:val="4811697D"/>
    <w:rsid w:val="487A3E25"/>
    <w:rsid w:val="488B5503"/>
    <w:rsid w:val="48937E21"/>
    <w:rsid w:val="489A0361"/>
    <w:rsid w:val="48A04930"/>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EB7664"/>
    <w:rsid w:val="4AFD7C19"/>
    <w:rsid w:val="4B0567D1"/>
    <w:rsid w:val="4B236AAE"/>
    <w:rsid w:val="4B707271"/>
    <w:rsid w:val="4B9739F7"/>
    <w:rsid w:val="4BEE2503"/>
    <w:rsid w:val="4C166669"/>
    <w:rsid w:val="4C245A30"/>
    <w:rsid w:val="4CB6685F"/>
    <w:rsid w:val="4CC367FE"/>
    <w:rsid w:val="4CE873F2"/>
    <w:rsid w:val="4D077F3C"/>
    <w:rsid w:val="4D123355"/>
    <w:rsid w:val="4D2A3B31"/>
    <w:rsid w:val="4D312C52"/>
    <w:rsid w:val="4D905305"/>
    <w:rsid w:val="4D964A72"/>
    <w:rsid w:val="4D9C1254"/>
    <w:rsid w:val="4E220132"/>
    <w:rsid w:val="4E793892"/>
    <w:rsid w:val="4E800872"/>
    <w:rsid w:val="4EC569ED"/>
    <w:rsid w:val="4ED50EA1"/>
    <w:rsid w:val="4EEC050C"/>
    <w:rsid w:val="4F104EC3"/>
    <w:rsid w:val="4F326A7A"/>
    <w:rsid w:val="4F47354A"/>
    <w:rsid w:val="4F6B1146"/>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BD6ADB"/>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202F02"/>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6C66234"/>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79158C"/>
    <w:rsid w:val="5B843A1C"/>
    <w:rsid w:val="5B873E3F"/>
    <w:rsid w:val="5C02690E"/>
    <w:rsid w:val="5C196DA7"/>
    <w:rsid w:val="5C2A048C"/>
    <w:rsid w:val="5C74136E"/>
    <w:rsid w:val="5C80234E"/>
    <w:rsid w:val="5C8A680C"/>
    <w:rsid w:val="5D0C4701"/>
    <w:rsid w:val="5D0F0395"/>
    <w:rsid w:val="5D221076"/>
    <w:rsid w:val="5D397964"/>
    <w:rsid w:val="5D5A391C"/>
    <w:rsid w:val="5D5F10C0"/>
    <w:rsid w:val="5D891B7B"/>
    <w:rsid w:val="5DAD38EE"/>
    <w:rsid w:val="5E006862"/>
    <w:rsid w:val="5E0207B9"/>
    <w:rsid w:val="5E1834A1"/>
    <w:rsid w:val="5E261785"/>
    <w:rsid w:val="5E282CB4"/>
    <w:rsid w:val="5E4A7017"/>
    <w:rsid w:val="5E552BBA"/>
    <w:rsid w:val="5E611C10"/>
    <w:rsid w:val="5E7A0F3F"/>
    <w:rsid w:val="5EB5006A"/>
    <w:rsid w:val="5EFC7377"/>
    <w:rsid w:val="5F06174D"/>
    <w:rsid w:val="5F2C521E"/>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4E2369"/>
    <w:rsid w:val="615227C4"/>
    <w:rsid w:val="61654E3F"/>
    <w:rsid w:val="6182292A"/>
    <w:rsid w:val="619F7F92"/>
    <w:rsid w:val="61F94C26"/>
    <w:rsid w:val="62000E56"/>
    <w:rsid w:val="624F3E49"/>
    <w:rsid w:val="62632286"/>
    <w:rsid w:val="62885958"/>
    <w:rsid w:val="62D1004C"/>
    <w:rsid w:val="62F40B65"/>
    <w:rsid w:val="62FC2CFE"/>
    <w:rsid w:val="63024505"/>
    <w:rsid w:val="635600A5"/>
    <w:rsid w:val="635B1DB5"/>
    <w:rsid w:val="63671FA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5E34814"/>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7FD1E64"/>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D55B8"/>
    <w:rsid w:val="6A0B1C62"/>
    <w:rsid w:val="6A2406C8"/>
    <w:rsid w:val="6ADE0BD1"/>
    <w:rsid w:val="6AE96859"/>
    <w:rsid w:val="6B147746"/>
    <w:rsid w:val="6B24787C"/>
    <w:rsid w:val="6B3A4675"/>
    <w:rsid w:val="6B573233"/>
    <w:rsid w:val="6B5B6274"/>
    <w:rsid w:val="6B935D53"/>
    <w:rsid w:val="6C196F71"/>
    <w:rsid w:val="6C226FCB"/>
    <w:rsid w:val="6C31226F"/>
    <w:rsid w:val="6C552F0B"/>
    <w:rsid w:val="6C6F0E7C"/>
    <w:rsid w:val="6C8C67B7"/>
    <w:rsid w:val="6C9D744C"/>
    <w:rsid w:val="6D167928"/>
    <w:rsid w:val="6D26299B"/>
    <w:rsid w:val="6D4772EC"/>
    <w:rsid w:val="6D7B7514"/>
    <w:rsid w:val="6D9078AF"/>
    <w:rsid w:val="6DAA3FEF"/>
    <w:rsid w:val="6DC0172B"/>
    <w:rsid w:val="6DCB690C"/>
    <w:rsid w:val="6DD41A5B"/>
    <w:rsid w:val="6DF43C2E"/>
    <w:rsid w:val="6DF51CA3"/>
    <w:rsid w:val="6E8335BD"/>
    <w:rsid w:val="6E8E12EF"/>
    <w:rsid w:val="6E972936"/>
    <w:rsid w:val="6ED446C5"/>
    <w:rsid w:val="6F2A7D94"/>
    <w:rsid w:val="6F8331F1"/>
    <w:rsid w:val="6F976CA4"/>
    <w:rsid w:val="6FAE1A09"/>
    <w:rsid w:val="6FD75BF8"/>
    <w:rsid w:val="700941D1"/>
    <w:rsid w:val="707723D0"/>
    <w:rsid w:val="70F5661B"/>
    <w:rsid w:val="71360107"/>
    <w:rsid w:val="713B688E"/>
    <w:rsid w:val="71AB6CFE"/>
    <w:rsid w:val="71D43752"/>
    <w:rsid w:val="71F1796A"/>
    <w:rsid w:val="72154626"/>
    <w:rsid w:val="72262B5D"/>
    <w:rsid w:val="72283FF7"/>
    <w:rsid w:val="722E7212"/>
    <w:rsid w:val="723A0474"/>
    <w:rsid w:val="725923E4"/>
    <w:rsid w:val="72864BF7"/>
    <w:rsid w:val="729023FC"/>
    <w:rsid w:val="73083C35"/>
    <w:rsid w:val="73280EA0"/>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ADB1119"/>
    <w:rsid w:val="7B257FFD"/>
    <w:rsid w:val="7B273D20"/>
    <w:rsid w:val="7B343476"/>
    <w:rsid w:val="7B5A2978"/>
    <w:rsid w:val="7B5A7E4C"/>
    <w:rsid w:val="7B667AF9"/>
    <w:rsid w:val="7B7468F8"/>
    <w:rsid w:val="7BEE0103"/>
    <w:rsid w:val="7C0A0FE4"/>
    <w:rsid w:val="7C254906"/>
    <w:rsid w:val="7C590818"/>
    <w:rsid w:val="7C7C10F6"/>
    <w:rsid w:val="7C853BEA"/>
    <w:rsid w:val="7C881368"/>
    <w:rsid w:val="7CC65AC3"/>
    <w:rsid w:val="7CE27788"/>
    <w:rsid w:val="7D0C32F1"/>
    <w:rsid w:val="7D0F408D"/>
    <w:rsid w:val="7D491C6C"/>
    <w:rsid w:val="7D5429C0"/>
    <w:rsid w:val="7D6E6D43"/>
    <w:rsid w:val="7DB57A34"/>
    <w:rsid w:val="7DE60973"/>
    <w:rsid w:val="7DEF0916"/>
    <w:rsid w:val="7E1E5218"/>
    <w:rsid w:val="7E9A4E1F"/>
    <w:rsid w:val="7EA7723A"/>
    <w:rsid w:val="7EE713C0"/>
    <w:rsid w:val="7EF56FBB"/>
    <w:rsid w:val="7F0768EB"/>
    <w:rsid w:val="7F143BEC"/>
    <w:rsid w:val="7F715AF2"/>
    <w:rsid w:val="7F886E69"/>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842"/>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81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681"/>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824"/>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86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71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unhideWhenUsed/>
    <w:qFormat/>
    <w:uiPriority w:val="1"/>
  </w:style>
  <w:style w:type="table" w:default="1" w:styleId="63">
    <w:name w:val="Normal Table"/>
    <w:autoRedefine/>
    <w:unhideWhenUsed/>
    <w:qFormat/>
    <w:uiPriority w:val="99"/>
    <w:tblPr>
      <w:tblCellMar>
        <w:top w:w="0" w:type="dxa"/>
        <w:left w:w="108" w:type="dxa"/>
        <w:bottom w:w="0" w:type="dxa"/>
        <w:right w:w="108" w:type="dxa"/>
      </w:tblCellMar>
    </w:tblPr>
  </w:style>
  <w:style w:type="paragraph" w:styleId="2">
    <w:name w:val="Body Text Indent"/>
    <w:basedOn w:val="1"/>
    <w:next w:val="3"/>
    <w:link w:val="785"/>
    <w:autoRedefine/>
    <w:qFormat/>
    <w:uiPriority w:val="0"/>
    <w:pPr>
      <w:spacing w:line="480" w:lineRule="exact"/>
      <w:ind w:firstLine="480" w:firstLineChars="200"/>
    </w:pPr>
    <w:rPr>
      <w:rFonts w:ascii="宋体" w:hAnsi="宋体"/>
      <w:sz w:val="24"/>
    </w:rPr>
  </w:style>
  <w:style w:type="paragraph" w:customStyle="1" w:styleId="3">
    <w:name w:val="正文文本首行缩进 2"/>
    <w:basedOn w:val="2"/>
    <w:autoRedefine/>
    <w:qFormat/>
    <w:uiPriority w:val="99"/>
    <w:pPr>
      <w:spacing w:line="200" w:lineRule="atLeast"/>
      <w:ind w:firstLine="420"/>
    </w:pPr>
    <w:rPr>
      <w:rFonts w:ascii="宋体" w:hAnsi="Courier New"/>
      <w:spacing w:val="-4"/>
      <w:sz w:val="18"/>
    </w:rPr>
  </w:style>
  <w:style w:type="paragraph" w:styleId="7">
    <w:name w:val="Normal Indent"/>
    <w:basedOn w:val="1"/>
    <w:next w:val="1"/>
    <w:link w:val="722"/>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754"/>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729"/>
    <w:autoRedefine/>
    <w:qFormat/>
    <w:uiPriority w:val="0"/>
    <w:pPr>
      <w:shd w:val="clear" w:color="auto" w:fill="000080"/>
    </w:pPr>
  </w:style>
  <w:style w:type="paragraph" w:styleId="21">
    <w:name w:val="annotation text"/>
    <w:basedOn w:val="1"/>
    <w:link w:val="857"/>
    <w:autoRedefine/>
    <w:qFormat/>
    <w:uiPriority w:val="99"/>
    <w:pPr>
      <w:jc w:val="left"/>
    </w:pPr>
  </w:style>
  <w:style w:type="paragraph" w:styleId="22">
    <w:name w:val="Salutation"/>
    <w:basedOn w:val="1"/>
    <w:next w:val="1"/>
    <w:link w:val="817"/>
    <w:autoRedefine/>
    <w:qFormat/>
    <w:uiPriority w:val="0"/>
    <w:rPr>
      <w:rFonts w:ascii="仿宋_GB2312" w:eastAsia="仿宋_GB2312"/>
      <w:sz w:val="28"/>
      <w:szCs w:val="20"/>
    </w:rPr>
  </w:style>
  <w:style w:type="paragraph" w:styleId="23">
    <w:name w:val="Body Text 3"/>
    <w:basedOn w:val="1"/>
    <w:link w:val="845"/>
    <w:autoRedefine/>
    <w:qFormat/>
    <w:uiPriority w:val="0"/>
    <w:pPr>
      <w:jc w:val="center"/>
    </w:pPr>
    <w:rPr>
      <w:szCs w:val="20"/>
    </w:rPr>
  </w:style>
  <w:style w:type="paragraph" w:styleId="24">
    <w:name w:val="List Bullet 3"/>
    <w:basedOn w:val="1"/>
    <w:autoRedefine/>
    <w:unhideWhenUsed/>
    <w:qFormat/>
    <w:uiPriority w:val="0"/>
    <w:pPr>
      <w:snapToGrid w:val="0"/>
      <w:spacing w:line="360" w:lineRule="auto"/>
      <w:ind w:left="360" w:right="238" w:hanging="360"/>
      <w:contextualSpacing/>
    </w:pPr>
    <w:rPr>
      <w:sz w:val="24"/>
    </w:rPr>
  </w:style>
  <w:style w:type="paragraph" w:styleId="25">
    <w:name w:val="Body Text"/>
    <w:basedOn w:val="1"/>
    <w:next w:val="26"/>
    <w:link w:val="934"/>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836"/>
    <w:autoRedefine/>
    <w:qFormat/>
    <w:uiPriority w:val="0"/>
    <w:pPr>
      <w:ind w:firstLine="420"/>
    </w:pPr>
    <w:rPr>
      <w:rFonts w:hAnsi="Calibri" w:cs="Times New Roman"/>
      <w:szCs w:val="20"/>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746"/>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661"/>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711"/>
    <w:autoRedefine/>
    <w:qFormat/>
    <w:uiPriority w:val="0"/>
    <w:pPr>
      <w:ind w:left="100" w:leftChars="2500"/>
    </w:pPr>
    <w:rPr>
      <w:rFonts w:ascii="宋体"/>
      <w:sz w:val="24"/>
      <w:szCs w:val="21"/>
      <w:lang w:val="zh-CN"/>
    </w:rPr>
  </w:style>
  <w:style w:type="paragraph" w:styleId="38">
    <w:name w:val="Body Text Indent 2"/>
    <w:basedOn w:val="1"/>
    <w:link w:val="825"/>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42"/>
    <w:autoRedefine/>
    <w:qFormat/>
    <w:uiPriority w:val="0"/>
    <w:rPr>
      <w:lang w:val="zh-CN"/>
    </w:rPr>
  </w:style>
  <w:style w:type="paragraph" w:styleId="40">
    <w:name w:val="Balloon Text"/>
    <w:basedOn w:val="1"/>
    <w:link w:val="718"/>
    <w:autoRedefine/>
    <w:qFormat/>
    <w:uiPriority w:val="0"/>
    <w:rPr>
      <w:sz w:val="18"/>
      <w:szCs w:val="18"/>
    </w:rPr>
  </w:style>
  <w:style w:type="paragraph" w:styleId="41">
    <w:name w:val="footer"/>
    <w:basedOn w:val="1"/>
    <w:link w:val="893"/>
    <w:autoRedefine/>
    <w:qFormat/>
    <w:uiPriority w:val="99"/>
    <w:pPr>
      <w:tabs>
        <w:tab w:val="center" w:pos="4153"/>
        <w:tab w:val="right" w:pos="8306"/>
      </w:tabs>
      <w:snapToGrid w:val="0"/>
      <w:jc w:val="left"/>
    </w:pPr>
    <w:rPr>
      <w:sz w:val="18"/>
      <w:szCs w:val="18"/>
    </w:rPr>
  </w:style>
  <w:style w:type="paragraph" w:styleId="42">
    <w:name w:val="header"/>
    <w:basedOn w:val="1"/>
    <w:link w:val="901"/>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858"/>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668"/>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
    <w:link w:val="827"/>
    <w:autoRedefine/>
    <w:qFormat/>
    <w:uiPriority w:val="0"/>
    <w:pPr>
      <w:adjustRightInd/>
      <w:snapToGrid/>
      <w:spacing w:before="60" w:after="60" w:line="300" w:lineRule="exact"/>
      <w:ind w:firstLine="0"/>
    </w:pPr>
    <w:rPr>
      <w:rFonts w:ascii="Calibri"/>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88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821"/>
    <w:autoRedefine/>
    <w:qFormat/>
    <w:uiPriority w:val="0"/>
    <w:pPr>
      <w:spacing w:after="120" w:line="480" w:lineRule="auto"/>
    </w:pPr>
  </w:style>
  <w:style w:type="paragraph" w:styleId="58">
    <w:name w:val="HTML Preformatted"/>
    <w:basedOn w:val="1"/>
    <w:link w:val="82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805"/>
    <w:autoRedefine/>
    <w:qFormat/>
    <w:uiPriority w:val="10"/>
    <w:pPr>
      <w:widowControl/>
      <w:overflowPunct w:val="0"/>
      <w:autoSpaceDE w:val="0"/>
      <w:autoSpaceDN w:val="0"/>
      <w:jc w:val="center"/>
      <w:textAlignment w:val="baseline"/>
    </w:pPr>
    <w:rPr>
      <w:b/>
      <w:kern w:val="0"/>
      <w:sz w:val="24"/>
      <w:szCs w:val="20"/>
    </w:rPr>
  </w:style>
  <w:style w:type="paragraph" w:styleId="61">
    <w:name w:val="annotation subject"/>
    <w:basedOn w:val="21"/>
    <w:next w:val="21"/>
    <w:link w:val="634"/>
    <w:autoRedefine/>
    <w:qFormat/>
    <w:uiPriority w:val="0"/>
    <w:rPr>
      <w:b/>
      <w:bCs/>
    </w:rPr>
  </w:style>
  <w:style w:type="paragraph" w:styleId="62">
    <w:name w:val="Body Text First Indent 2"/>
    <w:basedOn w:val="2"/>
    <w:next w:val="26"/>
    <w:link w:val="657"/>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正文文本首行缩进 21"/>
    <w:basedOn w:val="2"/>
    <w:autoRedefine/>
    <w:qFormat/>
    <w:uiPriority w:val="99"/>
    <w:pPr>
      <w:spacing w:line="200" w:lineRule="atLeast"/>
      <w:ind w:firstLine="420"/>
    </w:pPr>
    <w:rPr>
      <w:rFonts w:hAnsi="Courier New"/>
      <w:spacing w:val="-4"/>
      <w:sz w:val="18"/>
      <w:szCs w:val="18"/>
    </w:rPr>
  </w:style>
  <w:style w:type="paragraph" w:customStyle="1" w:styleId="81">
    <w:name w:val="表格非标题文字"/>
    <w:link w:val="623"/>
    <w:autoRedefine/>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2">
    <w:name w:val="*正文"/>
    <w:basedOn w:val="1"/>
    <w:link w:val="624"/>
    <w:autoRedefine/>
    <w:qFormat/>
    <w:uiPriority w:val="0"/>
    <w:pPr>
      <w:snapToGrid w:val="0"/>
      <w:spacing w:line="360" w:lineRule="auto"/>
      <w:ind w:firstLine="482"/>
      <w:jc w:val="left"/>
    </w:pPr>
    <w:rPr>
      <w:rFonts w:ascii="宋体" w:hAnsi="宋体"/>
      <w:kern w:val="0"/>
      <w:sz w:val="24"/>
      <w:szCs w:val="20"/>
    </w:rPr>
  </w:style>
  <w:style w:type="paragraph" w:customStyle="1" w:styleId="83">
    <w:name w:val="U_正文"/>
    <w:basedOn w:val="1"/>
    <w:link w:val="632"/>
    <w:autoRedefine/>
    <w:qFormat/>
    <w:uiPriority w:val="0"/>
    <w:pPr>
      <w:adjustRightInd/>
      <w:spacing w:beforeLines="20" w:afterLines="20" w:line="300" w:lineRule="auto"/>
      <w:ind w:firstLine="200" w:firstLineChars="200"/>
    </w:pPr>
    <w:rPr>
      <w:kern w:val="0"/>
      <w:sz w:val="24"/>
    </w:rPr>
  </w:style>
  <w:style w:type="paragraph" w:customStyle="1" w:styleId="84">
    <w:name w:val="哈哈正文"/>
    <w:basedOn w:val="1"/>
    <w:link w:val="639"/>
    <w:autoRedefine/>
    <w:qFormat/>
    <w:uiPriority w:val="0"/>
    <w:pPr>
      <w:adjustRightInd/>
      <w:spacing w:line="360" w:lineRule="auto"/>
      <w:ind w:firstLine="200" w:firstLineChars="200"/>
    </w:pPr>
    <w:rPr>
      <w:rFonts w:ascii="宋体" w:hAnsi="宋体"/>
      <w:sz w:val="24"/>
      <w:szCs w:val="20"/>
    </w:rPr>
  </w:style>
  <w:style w:type="paragraph" w:customStyle="1" w:styleId="85">
    <w:name w:val="5正文"/>
    <w:basedOn w:val="1"/>
    <w:link w:val="652"/>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6">
    <w:name w:val="正文2"/>
    <w:basedOn w:val="1"/>
    <w:link w:val="666"/>
    <w:autoRedefine/>
    <w:qFormat/>
    <w:uiPriority w:val="0"/>
    <w:pPr>
      <w:spacing w:before="156" w:line="360" w:lineRule="auto"/>
      <w:ind w:firstLine="510" w:firstLineChars="200"/>
    </w:pPr>
    <w:rPr>
      <w:sz w:val="24"/>
      <w:szCs w:val="20"/>
    </w:rPr>
  </w:style>
  <w:style w:type="paragraph" w:customStyle="1" w:styleId="87">
    <w:name w:val="无间隔1"/>
    <w:link w:val="674"/>
    <w:autoRedefine/>
    <w:qFormat/>
    <w:uiPriority w:val="1"/>
    <w:rPr>
      <w:rFonts w:ascii="Times New Roman" w:hAnsi="Times New Roman" w:eastAsia="宋体" w:cs="Times New Roman"/>
      <w:sz w:val="22"/>
      <w:szCs w:val="22"/>
      <w:lang w:val="en-US" w:eastAsia="zh-CN" w:bidi="ar-SA"/>
    </w:rPr>
  </w:style>
  <w:style w:type="paragraph" w:customStyle="1" w:styleId="88">
    <w:name w:val="纯文本_0_0"/>
    <w:basedOn w:val="89"/>
    <w:link w:val="682"/>
    <w:autoRedefine/>
    <w:qFormat/>
    <w:uiPriority w:val="0"/>
    <w:rPr>
      <w:rFonts w:ascii="宋体" w:hAnsi="Courier New"/>
      <w:szCs w:val="21"/>
    </w:rPr>
  </w:style>
  <w:style w:type="paragraph" w:customStyle="1" w:styleId="8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正文（绿盟科技）"/>
    <w:link w:val="692"/>
    <w:autoRedefine/>
    <w:qFormat/>
    <w:uiPriority w:val="0"/>
    <w:pPr>
      <w:spacing w:line="300" w:lineRule="auto"/>
    </w:pPr>
    <w:rPr>
      <w:rFonts w:ascii="Arial" w:hAnsi="Arial" w:eastAsia="宋体" w:cs="Times New Roman"/>
      <w:sz w:val="21"/>
      <w:szCs w:val="21"/>
      <w:lang w:val="en-US" w:eastAsia="zh-CN" w:bidi="ar-SA"/>
    </w:rPr>
  </w:style>
  <w:style w:type="paragraph" w:customStyle="1" w:styleId="91">
    <w:name w:val="表格名称"/>
    <w:basedOn w:val="5"/>
    <w:link w:val="70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2">
    <w:name w:val="my正文"/>
    <w:basedOn w:val="1"/>
    <w:link w:val="721"/>
    <w:autoRedefine/>
    <w:qFormat/>
    <w:uiPriority w:val="0"/>
    <w:pPr>
      <w:adjustRightInd/>
      <w:spacing w:line="360" w:lineRule="auto"/>
      <w:ind w:firstLine="480" w:firstLineChars="200"/>
    </w:pPr>
    <w:rPr>
      <w:rFonts w:ascii="Tahoma" w:hAnsi="Tahoma"/>
      <w:kern w:val="0"/>
      <w:sz w:val="24"/>
    </w:rPr>
  </w:style>
  <w:style w:type="paragraph" w:customStyle="1" w:styleId="93">
    <w:name w:val="3级"/>
    <w:basedOn w:val="94"/>
    <w:link w:val="727"/>
    <w:autoRedefine/>
    <w:qFormat/>
    <w:uiPriority w:val="0"/>
    <w:pPr>
      <w:ind w:left="0" w:right="466" w:firstLine="288"/>
    </w:pPr>
    <w:rPr>
      <w:rFonts w:hAnsi="宋体"/>
    </w:rPr>
  </w:style>
  <w:style w:type="paragraph" w:customStyle="1" w:styleId="94">
    <w:name w:val="样式 标题 3h33rd level3BOD 0H3l3CTHeading 3 - oldLevel 3 He..."/>
    <w:basedOn w:val="6"/>
    <w:autoRedefine/>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5">
    <w:name w:val="标题4-dyf"/>
    <w:basedOn w:val="8"/>
    <w:link w:val="749"/>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6">
    <w:name w:val="冯"/>
    <w:basedOn w:val="1"/>
    <w:link w:val="751"/>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97">
    <w:name w:val="Default"/>
    <w:link w:val="759"/>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8">
    <w:name w:val="正文样式"/>
    <w:basedOn w:val="1"/>
    <w:link w:val="769"/>
    <w:autoRedefine/>
    <w:qFormat/>
    <w:uiPriority w:val="0"/>
    <w:pPr>
      <w:adjustRightInd/>
      <w:spacing w:line="360" w:lineRule="auto"/>
      <w:ind w:firstLine="480" w:firstLineChars="200"/>
    </w:pPr>
    <w:rPr>
      <w:kern w:val="0"/>
      <w:sz w:val="24"/>
    </w:rPr>
  </w:style>
  <w:style w:type="paragraph" w:customStyle="1" w:styleId="99">
    <w:name w:val="gf正文1"/>
    <w:basedOn w:val="1"/>
    <w:link w:val="775"/>
    <w:autoRedefine/>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0">
    <w:name w:val="列表1"/>
    <w:basedOn w:val="1"/>
    <w:next w:val="101"/>
    <w:link w:val="778"/>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1">
    <w:name w:val="List Paragraph"/>
    <w:basedOn w:val="1"/>
    <w:autoRedefine/>
    <w:qFormat/>
    <w:uiPriority w:val="34"/>
    <w:pPr>
      <w:spacing w:line="360" w:lineRule="auto"/>
      <w:ind w:firstLine="200" w:firstLineChars="200"/>
    </w:pPr>
    <w:rPr>
      <w:rFonts w:eastAsia="楷体_GB2312" w:cs="Lucida Sans"/>
      <w:sz w:val="24"/>
    </w:rPr>
  </w:style>
  <w:style w:type="paragraph" w:customStyle="1" w:styleId="102">
    <w:name w:val="此正文"/>
    <w:basedOn w:val="1"/>
    <w:link w:val="800"/>
    <w:autoRedefine/>
    <w:qFormat/>
    <w:uiPriority w:val="0"/>
    <w:pPr>
      <w:adjustRightInd/>
      <w:spacing w:line="360" w:lineRule="auto"/>
      <w:ind w:firstLine="200" w:firstLineChars="200"/>
    </w:pPr>
    <w:rPr>
      <w:sz w:val="24"/>
    </w:rPr>
  </w:style>
  <w:style w:type="paragraph" w:customStyle="1" w:styleId="103">
    <w:name w:val="样式 样式 标题 4h4H4Fab-4T5Ref Heading 1rh1Heading sqlsect 1.2.3.... +..."/>
    <w:basedOn w:val="104"/>
    <w:link w:val="822"/>
    <w:autoRedefine/>
    <w:qFormat/>
    <w:uiPriority w:val="0"/>
    <w:pPr>
      <w:tabs>
        <w:tab w:val="left" w:pos="2356"/>
      </w:tabs>
    </w:pPr>
  </w:style>
  <w:style w:type="paragraph" w:customStyle="1" w:styleId="104">
    <w:name w:val="样式 标题 4h4H4Fab-4T5Ref Heading 1rh1Heading sqlsect 1.2.3...."/>
    <w:basedOn w:val="8"/>
    <w:link w:val="919"/>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5">
    <w:name w:val="Item List"/>
    <w:link w:val="833"/>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6">
    <w:name w:val="纯文本1"/>
    <w:basedOn w:val="1"/>
    <w:link w:val="835"/>
    <w:autoRedefine/>
    <w:qFormat/>
    <w:uiPriority w:val="0"/>
    <w:pPr>
      <w:adjustRightInd/>
    </w:pPr>
    <w:rPr>
      <w:rFonts w:ascii="宋体" w:hAnsi="Courier New"/>
      <w:kern w:val="0"/>
      <w:sz w:val="20"/>
      <w:szCs w:val="20"/>
    </w:rPr>
  </w:style>
  <w:style w:type="paragraph" w:customStyle="1" w:styleId="107">
    <w:name w:val="正文说明"/>
    <w:basedOn w:val="1"/>
    <w:link w:val="847"/>
    <w:autoRedefine/>
    <w:qFormat/>
    <w:uiPriority w:val="0"/>
    <w:pPr>
      <w:adjustRightInd/>
      <w:spacing w:line="360" w:lineRule="auto"/>
    </w:pPr>
    <w:rPr>
      <w:kern w:val="0"/>
      <w:sz w:val="24"/>
    </w:rPr>
  </w:style>
  <w:style w:type="paragraph" w:customStyle="1" w:styleId="108">
    <w:name w:val="Table Text"/>
    <w:basedOn w:val="1"/>
    <w:link w:val="853"/>
    <w:autoRedefine/>
    <w:qFormat/>
    <w:uiPriority w:val="0"/>
    <w:pPr>
      <w:widowControl/>
      <w:spacing w:before="60" w:after="60"/>
      <w:jc w:val="left"/>
    </w:pPr>
    <w:rPr>
      <w:kern w:val="0"/>
      <w:sz w:val="24"/>
    </w:rPr>
  </w:style>
  <w:style w:type="paragraph" w:customStyle="1" w:styleId="109">
    <w:name w:val="公文正文"/>
    <w:basedOn w:val="1"/>
    <w:link w:val="865"/>
    <w:autoRedefine/>
    <w:qFormat/>
    <w:uiPriority w:val="0"/>
    <w:pPr>
      <w:adjustRightInd/>
      <w:spacing w:before="156" w:line="360" w:lineRule="auto"/>
      <w:ind w:firstLine="360" w:firstLineChars="200"/>
    </w:pPr>
    <w:rPr>
      <w:rFonts w:ascii="仿宋_GB2312" w:eastAsia="仿宋_GB2312"/>
      <w:sz w:val="24"/>
    </w:rPr>
  </w:style>
  <w:style w:type="paragraph" w:customStyle="1" w:styleId="110">
    <w:name w:val="正文（缩进2汉字）"/>
    <w:basedOn w:val="1"/>
    <w:link w:val="86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1">
    <w:name w:val="b11_01b"/>
    <w:basedOn w:val="1"/>
    <w:next w:val="1"/>
    <w:link w:val="89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2">
    <w:name w:val="段落"/>
    <w:basedOn w:val="1"/>
    <w:link w:val="898"/>
    <w:autoRedefine/>
    <w:qFormat/>
    <w:uiPriority w:val="0"/>
    <w:pPr>
      <w:adjustRightInd/>
      <w:spacing w:line="360" w:lineRule="auto"/>
      <w:ind w:firstLine="480" w:firstLineChars="200"/>
    </w:pPr>
    <w:rPr>
      <w:rFonts w:ascii="宋体" w:hAnsi="宋体"/>
      <w:kern w:val="0"/>
      <w:sz w:val="24"/>
      <w:szCs w:val="20"/>
    </w:rPr>
  </w:style>
  <w:style w:type="paragraph" w:customStyle="1" w:styleId="113">
    <w:name w:val="正文段"/>
    <w:basedOn w:val="1"/>
    <w:link w:val="905"/>
    <w:autoRedefine/>
    <w:qFormat/>
    <w:uiPriority w:val="0"/>
    <w:pPr>
      <w:widowControl/>
      <w:snapToGrid w:val="0"/>
      <w:spacing w:after="156" w:afterLines="50"/>
      <w:ind w:firstLine="200" w:firstLineChars="200"/>
    </w:pPr>
    <w:rPr>
      <w:kern w:val="0"/>
      <w:sz w:val="24"/>
      <w:szCs w:val="20"/>
    </w:rPr>
  </w:style>
  <w:style w:type="paragraph" w:customStyle="1" w:styleId="114">
    <w:name w:val="冯广丽"/>
    <w:basedOn w:val="1"/>
    <w:link w:val="908"/>
    <w:autoRedefine/>
    <w:qFormat/>
    <w:uiPriority w:val="0"/>
    <w:pPr>
      <w:adjustRightInd/>
      <w:spacing w:line="360" w:lineRule="auto"/>
      <w:ind w:firstLine="480" w:firstLineChars="200"/>
    </w:pPr>
    <w:rPr>
      <w:rFonts w:ascii="宋体" w:hAnsi="宋体"/>
      <w:sz w:val="24"/>
      <w:szCs w:val="22"/>
    </w:rPr>
  </w:style>
  <w:style w:type="paragraph" w:customStyle="1" w:styleId="115">
    <w:name w:val="编号，小四"/>
    <w:basedOn w:val="1"/>
    <w:link w:val="914"/>
    <w:autoRedefine/>
    <w:qFormat/>
    <w:uiPriority w:val="0"/>
    <w:pPr>
      <w:tabs>
        <w:tab w:val="left" w:pos="432"/>
      </w:tabs>
      <w:adjustRightInd/>
      <w:spacing w:line="360" w:lineRule="auto"/>
      <w:ind w:left="432" w:hanging="432"/>
    </w:pPr>
    <w:rPr>
      <w:rFonts w:ascii="Arial" w:hAnsi="Arial"/>
      <w:kern w:val="0"/>
      <w:sz w:val="24"/>
      <w:szCs w:val="20"/>
    </w:rPr>
  </w:style>
  <w:style w:type="paragraph" w:customStyle="1" w:styleId="116">
    <w:name w:val="仿宋正文"/>
    <w:basedOn w:val="1"/>
    <w:link w:val="921"/>
    <w:autoRedefine/>
    <w:qFormat/>
    <w:uiPriority w:val="0"/>
    <w:pPr>
      <w:adjustRightInd/>
      <w:spacing w:line="360" w:lineRule="auto"/>
      <w:ind w:firstLine="480" w:firstLineChars="200"/>
    </w:pPr>
    <w:rPr>
      <w:rFonts w:ascii="仿宋_GB2312" w:eastAsia="仿宋_GB2312"/>
      <w:sz w:val="24"/>
      <w:szCs w:val="20"/>
    </w:rPr>
  </w:style>
  <w:style w:type="paragraph" w:customStyle="1" w:styleId="117">
    <w:name w:val="样式 正文缩进 + 首行缩进:  2 字符"/>
    <w:basedOn w:val="7"/>
    <w:link w:val="933"/>
    <w:autoRedefine/>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8">
    <w:name w:val="样式 正文文本缩进 + 左侧:  2 字符 首行缩进:  2 字符"/>
    <w:basedOn w:val="2"/>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9">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120">
    <w:name w:val="正文文本 221"/>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121">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122">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3">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124">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125">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126">
    <w:name w:val="正文 内标 序号标"/>
    <w:basedOn w:val="127"/>
    <w:autoRedefine/>
    <w:qFormat/>
    <w:uiPriority w:val="0"/>
    <w:pPr>
      <w:tabs>
        <w:tab w:val="left" w:pos="0"/>
      </w:tabs>
      <w:adjustRightInd/>
      <w:spacing w:before="0"/>
      <w:ind w:firstLine="482"/>
    </w:pPr>
    <w:rPr>
      <w:rFonts w:ascii="微软雅黑" w:hAnsi="微软雅黑"/>
      <w:sz w:val="24"/>
      <w:szCs w:val="24"/>
    </w:rPr>
  </w:style>
  <w:style w:type="paragraph" w:customStyle="1" w:styleId="127">
    <w:name w:val="My正文"/>
    <w:basedOn w:val="1"/>
    <w:autoRedefine/>
    <w:qFormat/>
    <w:uiPriority w:val="0"/>
    <w:pPr>
      <w:spacing w:before="120" w:line="360" w:lineRule="auto"/>
      <w:ind w:firstLine="567"/>
    </w:pPr>
    <w:rPr>
      <w:rFonts w:ascii="Arial" w:hAnsi="Arial"/>
      <w:sz w:val="20"/>
      <w:szCs w:val="20"/>
    </w:rPr>
  </w:style>
  <w:style w:type="paragraph" w:customStyle="1" w:styleId="128">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129">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130">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1">
    <w:name w:val="修订2"/>
    <w:autoRedefine/>
    <w:qFormat/>
    <w:uiPriority w:val="0"/>
    <w:rPr>
      <w:rFonts w:ascii="Times New Roman" w:hAnsi="Times New Roman" w:eastAsia="宋体" w:cs="Times New Roman"/>
      <w:kern w:val="2"/>
      <w:sz w:val="21"/>
      <w:lang w:val="en-US" w:eastAsia="zh-CN" w:bidi="ar-SA"/>
    </w:rPr>
  </w:style>
  <w:style w:type="paragraph" w:customStyle="1" w:styleId="132">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33">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4">
    <w:name w:val="文章标题"/>
    <w:next w:val="135"/>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5">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36">
    <w:name w:val="Char1 Char Char Char5"/>
    <w:basedOn w:val="1"/>
    <w:autoRedefine/>
    <w:qFormat/>
    <w:uiPriority w:val="0"/>
    <w:pPr>
      <w:adjustRightInd/>
      <w:ind w:firstLine="200" w:firstLineChars="200"/>
    </w:pPr>
    <w:rPr>
      <w:rFonts w:ascii="Tahoma" w:hAnsi="Tahoma"/>
      <w:sz w:val="24"/>
      <w:szCs w:val="20"/>
    </w:rPr>
  </w:style>
  <w:style w:type="paragraph" w:customStyle="1" w:styleId="137">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8">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9">
    <w:name w:val="Char Char Char Char Char Char Char Char"/>
    <w:basedOn w:val="1"/>
    <w:autoRedefine/>
    <w:qFormat/>
    <w:uiPriority w:val="0"/>
    <w:pPr>
      <w:tabs>
        <w:tab w:val="left" w:pos="360"/>
      </w:tabs>
    </w:pPr>
    <w:rPr>
      <w:sz w:val="24"/>
      <w:szCs w:val="20"/>
    </w:rPr>
  </w:style>
  <w:style w:type="paragraph" w:customStyle="1" w:styleId="140">
    <w:name w:val="Char Char11 Char Char Char"/>
    <w:basedOn w:val="1"/>
    <w:autoRedefine/>
    <w:qFormat/>
    <w:uiPriority w:val="0"/>
    <w:pPr>
      <w:spacing w:line="360" w:lineRule="auto"/>
    </w:pPr>
    <w:rPr>
      <w:szCs w:val="20"/>
    </w:rPr>
  </w:style>
  <w:style w:type="paragraph" w:customStyle="1" w:styleId="141">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2">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143">
    <w:name w:val="样式3"/>
    <w:basedOn w:val="144"/>
    <w:autoRedefine/>
    <w:qFormat/>
    <w:uiPriority w:val="0"/>
    <w:pPr>
      <w:tabs>
        <w:tab w:val="left" w:pos="2790"/>
        <w:tab w:val="left" w:pos="4230"/>
      </w:tabs>
      <w:spacing w:before="312" w:beforeLines="100"/>
      <w:jc w:val="left"/>
    </w:pPr>
  </w:style>
  <w:style w:type="paragraph" w:customStyle="1" w:styleId="144">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5">
    <w:name w:val="Char Char1 Char Char1 Char Char1"/>
    <w:basedOn w:val="1"/>
    <w:autoRedefine/>
    <w:qFormat/>
    <w:uiPriority w:val="0"/>
    <w:pPr>
      <w:tabs>
        <w:tab w:val="left" w:pos="840"/>
      </w:tabs>
      <w:ind w:left="840" w:hanging="420"/>
    </w:pPr>
    <w:rPr>
      <w:rFonts w:ascii="Tahoma" w:hAnsi="Tahoma"/>
      <w:sz w:val="24"/>
    </w:rPr>
  </w:style>
  <w:style w:type="paragraph" w:customStyle="1" w:styleId="146">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147">
    <w:name w:val="标书标题2"/>
    <w:basedOn w:val="5"/>
    <w:autoRedefine/>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48">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149">
    <w:name w:val="正文21"/>
    <w:basedOn w:val="1"/>
    <w:autoRedefine/>
    <w:qFormat/>
    <w:uiPriority w:val="0"/>
    <w:pPr>
      <w:adjustRightInd/>
      <w:spacing w:before="156" w:line="360" w:lineRule="auto"/>
      <w:ind w:firstLine="510" w:firstLineChars="200"/>
    </w:pPr>
    <w:rPr>
      <w:sz w:val="24"/>
      <w:szCs w:val="20"/>
    </w:rPr>
  </w:style>
  <w:style w:type="paragraph" w:customStyle="1" w:styleId="150">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1">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2">
    <w:name w:val="Char1"/>
    <w:basedOn w:val="1"/>
    <w:autoRedefine/>
    <w:qFormat/>
    <w:uiPriority w:val="0"/>
    <w:rPr>
      <w:rFonts w:ascii="仿宋_GB2312" w:eastAsia="仿宋_GB2312"/>
      <w:b/>
      <w:sz w:val="32"/>
      <w:szCs w:val="32"/>
    </w:rPr>
  </w:style>
  <w:style w:type="paragraph" w:customStyle="1" w:styleId="153">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4">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155">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156">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7">
    <w:name w:val="6级标题"/>
    <w:basedOn w:val="158"/>
    <w:autoRedefine/>
    <w:qFormat/>
    <w:uiPriority w:val="0"/>
    <w:pPr>
      <w:keepNext/>
      <w:tabs>
        <w:tab w:val="left" w:pos="360"/>
      </w:tabs>
      <w:spacing w:before="0" w:after="0"/>
      <w:outlineLvl w:val="5"/>
    </w:pPr>
  </w:style>
  <w:style w:type="paragraph" w:customStyle="1" w:styleId="158">
    <w:name w:val="5级标题"/>
    <w:basedOn w:val="159"/>
    <w:autoRedefine/>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59">
    <w:name w:val="4级标题"/>
    <w:basedOn w:val="101"/>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0">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161">
    <w:name w:val="Char2 Char Char"/>
    <w:basedOn w:val="1"/>
    <w:autoRedefine/>
    <w:qFormat/>
    <w:uiPriority w:val="0"/>
    <w:pPr>
      <w:adjustRightInd/>
    </w:pPr>
    <w:rPr>
      <w:rFonts w:ascii="Tahoma" w:hAnsi="Tahoma"/>
      <w:sz w:val="24"/>
      <w:szCs w:val="20"/>
    </w:rPr>
  </w:style>
  <w:style w:type="paragraph" w:customStyle="1" w:styleId="162">
    <w:name w:val="_Style 11"/>
    <w:basedOn w:val="1"/>
    <w:autoRedefine/>
    <w:qFormat/>
    <w:uiPriority w:val="34"/>
    <w:pPr>
      <w:adjustRightInd/>
      <w:ind w:firstLine="420" w:firstLineChars="200"/>
    </w:pPr>
    <w:rPr>
      <w:rFonts w:eastAsia="仿宋_GB2312"/>
      <w:sz w:val="28"/>
    </w:rPr>
  </w:style>
  <w:style w:type="paragraph" w:customStyle="1" w:styleId="163">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4">
    <w:name w:val="Char Char Char"/>
    <w:basedOn w:val="1"/>
    <w:autoRedefine/>
    <w:qFormat/>
    <w:uiPriority w:val="0"/>
    <w:rPr>
      <w:rFonts w:ascii="Tahoma" w:hAnsi="Tahoma"/>
      <w:sz w:val="24"/>
      <w:szCs w:val="20"/>
    </w:rPr>
  </w:style>
  <w:style w:type="paragraph" w:customStyle="1" w:styleId="165">
    <w:name w:val="数字标题6"/>
    <w:basedOn w:val="10"/>
    <w:next w:val="1"/>
    <w:autoRedefine/>
    <w:qFormat/>
    <w:uiPriority w:val="0"/>
    <w:pPr>
      <w:tabs>
        <w:tab w:val="left" w:pos="1080"/>
        <w:tab w:val="clear" w:pos="1152"/>
      </w:tabs>
      <w:ind w:left="1080" w:hanging="1080"/>
    </w:pPr>
    <w:rPr>
      <w:rFonts w:ascii="Times New Roman" w:hAnsi="Times New Roman" w:eastAsia="宋体"/>
      <w:i/>
    </w:rPr>
  </w:style>
  <w:style w:type="paragraph" w:customStyle="1" w:styleId="166">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7">
    <w:name w:val="No Spacing"/>
    <w:basedOn w:val="1"/>
    <w:link w:val="943"/>
    <w:autoRedefine/>
    <w:qFormat/>
    <w:uiPriority w:val="99"/>
    <w:rPr>
      <w:szCs w:val="22"/>
    </w:rPr>
  </w:style>
  <w:style w:type="paragraph" w:customStyle="1" w:styleId="16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9">
    <w:name w:val="Char Char Char Char Char Char Char Char Char Char Char Char1 Char1"/>
    <w:basedOn w:val="1"/>
    <w:autoRedefine/>
    <w:qFormat/>
    <w:uiPriority w:val="6"/>
    <w:rPr>
      <w:rFonts w:ascii="Tahoma" w:hAnsi="Tahoma" w:cs="仿宋_GB2312"/>
      <w:sz w:val="24"/>
      <w:szCs w:val="20"/>
    </w:rPr>
  </w:style>
  <w:style w:type="paragraph" w:customStyle="1" w:styleId="170">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1">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2">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3">
    <w:name w:val="MM Topic 2"/>
    <w:basedOn w:val="5"/>
    <w:autoRedefine/>
    <w:qFormat/>
    <w:uiPriority w:val="0"/>
    <w:pPr>
      <w:tabs>
        <w:tab w:val="left" w:pos="1260"/>
        <w:tab w:val="clear" w:pos="432"/>
      </w:tabs>
      <w:ind w:left="1260" w:hanging="420"/>
    </w:pPr>
    <w:rPr>
      <w:rFonts w:ascii="Arial" w:hAnsi="Arial" w:eastAsia="黑体"/>
      <w:lang w:val="en-US"/>
    </w:rPr>
  </w:style>
  <w:style w:type="paragraph" w:customStyle="1" w:styleId="174">
    <w:name w:val="五级无标题条"/>
    <w:basedOn w:val="1"/>
    <w:autoRedefine/>
    <w:qFormat/>
    <w:uiPriority w:val="0"/>
    <w:pPr>
      <w:adjustRightInd/>
    </w:pPr>
  </w:style>
  <w:style w:type="paragraph" w:customStyle="1" w:styleId="175">
    <w:name w:val="Char5"/>
    <w:basedOn w:val="1"/>
    <w:autoRedefine/>
    <w:qFormat/>
    <w:uiPriority w:val="0"/>
    <w:rPr>
      <w:rFonts w:ascii="仿宋_GB2312" w:eastAsia="仿宋_GB2312"/>
      <w:b/>
      <w:sz w:val="32"/>
      <w:szCs w:val="32"/>
    </w:rPr>
  </w:style>
  <w:style w:type="paragraph" w:customStyle="1" w:styleId="176">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7">
    <w:name w:val="彩色列表 - 强调文字颜色 12"/>
    <w:basedOn w:val="1"/>
    <w:autoRedefine/>
    <w:qFormat/>
    <w:uiPriority w:val="0"/>
    <w:pPr>
      <w:adjustRightInd/>
      <w:ind w:firstLine="420" w:firstLineChars="200"/>
    </w:pPr>
    <w:rPr>
      <w:rFonts w:ascii="Calibri" w:hAnsi="Calibri"/>
      <w:szCs w:val="22"/>
    </w:rPr>
  </w:style>
  <w:style w:type="paragraph" w:customStyle="1" w:styleId="178">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179">
    <w:name w:val="Char2"/>
    <w:basedOn w:val="1"/>
    <w:autoRedefine/>
    <w:qFormat/>
    <w:uiPriority w:val="0"/>
    <w:rPr>
      <w:rFonts w:ascii="仿宋_GB2312" w:eastAsia="仿宋_GB2312"/>
      <w:b/>
      <w:sz w:val="32"/>
      <w:szCs w:val="32"/>
    </w:rPr>
  </w:style>
  <w:style w:type="paragraph" w:customStyle="1" w:styleId="180">
    <w:name w:val="数字标题3"/>
    <w:basedOn w:val="6"/>
    <w:next w:val="1"/>
    <w:autoRedefine/>
    <w:qFormat/>
    <w:uiPriority w:val="0"/>
    <w:pPr>
      <w:spacing w:line="240" w:lineRule="auto"/>
    </w:pPr>
    <w:rPr>
      <w:sz w:val="28"/>
      <w:szCs w:val="28"/>
    </w:rPr>
  </w:style>
  <w:style w:type="paragraph" w:customStyle="1" w:styleId="181">
    <w:name w:val="FA正文"/>
    <w:basedOn w:val="1"/>
    <w:autoRedefine/>
    <w:qFormat/>
    <w:uiPriority w:val="0"/>
    <w:pPr>
      <w:spacing w:line="360" w:lineRule="auto"/>
      <w:ind w:firstLine="480" w:firstLineChars="200"/>
    </w:pPr>
    <w:rPr>
      <w:rFonts w:hAnsi="宋体"/>
      <w:sz w:val="24"/>
      <w:szCs w:val="20"/>
    </w:rPr>
  </w:style>
  <w:style w:type="paragraph" w:customStyle="1" w:styleId="182">
    <w:name w:val="MM Topic 5"/>
    <w:basedOn w:val="9"/>
    <w:autoRedefine/>
    <w:qFormat/>
    <w:uiPriority w:val="0"/>
    <w:pPr>
      <w:tabs>
        <w:tab w:val="left" w:pos="2520"/>
        <w:tab w:val="clear" w:pos="1008"/>
      </w:tabs>
      <w:adjustRightInd/>
      <w:ind w:left="2520" w:hanging="420"/>
    </w:pPr>
  </w:style>
  <w:style w:type="paragraph" w:customStyle="1" w:styleId="183">
    <w:name w:val="Char Char Char Char Char Char Char Char Char Char1"/>
    <w:basedOn w:val="1"/>
    <w:autoRedefine/>
    <w:qFormat/>
    <w:uiPriority w:val="0"/>
    <w:rPr>
      <w:rFonts w:ascii="仿宋_GB2312" w:eastAsia="仿宋_GB2312"/>
      <w:b/>
      <w:sz w:val="32"/>
      <w:szCs w:val="32"/>
    </w:rPr>
  </w:style>
  <w:style w:type="paragraph" w:customStyle="1" w:styleId="184">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5">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186">
    <w:name w:val="Char2 Char Char Char"/>
    <w:basedOn w:val="1"/>
    <w:autoRedefine/>
    <w:qFormat/>
    <w:uiPriority w:val="0"/>
    <w:rPr>
      <w:rFonts w:ascii="仿宋_GB2312" w:eastAsia="仿宋_GB2312"/>
      <w:b/>
      <w:sz w:val="32"/>
      <w:szCs w:val="32"/>
    </w:rPr>
  </w:style>
  <w:style w:type="paragraph" w:customStyle="1" w:styleId="187">
    <w:name w:val="Char2 Char Char Char1"/>
    <w:basedOn w:val="1"/>
    <w:autoRedefine/>
    <w:qFormat/>
    <w:uiPriority w:val="6"/>
    <w:rPr>
      <w:rFonts w:ascii="仿宋_GB2312" w:eastAsia="仿宋_GB2312"/>
      <w:b/>
      <w:sz w:val="32"/>
      <w:szCs w:val="32"/>
    </w:rPr>
  </w:style>
  <w:style w:type="paragraph" w:customStyle="1" w:styleId="188">
    <w:name w:val="默认段落样式"/>
    <w:basedOn w:val="86"/>
    <w:autoRedefine/>
    <w:qFormat/>
    <w:uiPriority w:val="0"/>
    <w:pPr>
      <w:spacing w:before="0"/>
      <w:ind w:firstLine="480"/>
      <w:outlineLvl w:val="2"/>
    </w:pPr>
    <w:rPr>
      <w:rFonts w:ascii="仿宋_GB2312" w:hAnsi="宋体" w:eastAsia="仿宋_GB2312"/>
      <w:color w:val="000000"/>
      <w:szCs w:val="24"/>
    </w:rPr>
  </w:style>
  <w:style w:type="paragraph" w:customStyle="1" w:styleId="189">
    <w:name w:val="图中文字"/>
    <w:basedOn w:val="1"/>
    <w:autoRedefine/>
    <w:qFormat/>
    <w:uiPriority w:val="0"/>
    <w:pPr>
      <w:snapToGrid w:val="0"/>
      <w:spacing w:line="0" w:lineRule="atLeast"/>
      <w:ind w:firstLine="200" w:firstLineChars="200"/>
      <w:jc w:val="center"/>
    </w:pPr>
    <w:rPr>
      <w:sz w:val="24"/>
      <w:szCs w:val="20"/>
    </w:rPr>
  </w:style>
  <w:style w:type="paragraph" w:customStyle="1" w:styleId="190">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1">
    <w:name w:val="MM Topic 3"/>
    <w:basedOn w:val="6"/>
    <w:autoRedefine/>
    <w:qFormat/>
    <w:uiPriority w:val="0"/>
    <w:pPr>
      <w:tabs>
        <w:tab w:val="left" w:pos="1680"/>
        <w:tab w:val="clear" w:pos="900"/>
      </w:tabs>
      <w:adjustRightInd/>
      <w:ind w:left="1680" w:hanging="420"/>
    </w:pPr>
  </w:style>
  <w:style w:type="paragraph" w:customStyle="1" w:styleId="192">
    <w:name w:val="标准小四"/>
    <w:basedOn w:val="1"/>
    <w:autoRedefine/>
    <w:qFormat/>
    <w:uiPriority w:val="0"/>
    <w:pPr>
      <w:spacing w:line="360" w:lineRule="auto"/>
      <w:ind w:firstLine="480" w:firstLineChars="200"/>
    </w:pPr>
    <w:rPr>
      <w:rFonts w:ascii="Arial" w:hAnsi="Arial"/>
      <w:sz w:val="24"/>
      <w:szCs w:val="21"/>
    </w:rPr>
  </w:style>
  <w:style w:type="paragraph" w:customStyle="1" w:styleId="193">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194">
    <w:name w:val="表格（小）"/>
    <w:basedOn w:val="1"/>
    <w:autoRedefine/>
    <w:qFormat/>
    <w:uiPriority w:val="0"/>
    <w:pPr>
      <w:adjustRightInd/>
      <w:snapToGrid w:val="0"/>
      <w:spacing w:line="300" w:lineRule="auto"/>
    </w:pPr>
    <w:rPr>
      <w:rFonts w:eastAsia="仿宋"/>
      <w:szCs w:val="21"/>
    </w:rPr>
  </w:style>
  <w:style w:type="paragraph" w:customStyle="1" w:styleId="195">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196">
    <w:name w:val="Char2 Char Char1"/>
    <w:basedOn w:val="1"/>
    <w:autoRedefine/>
    <w:qFormat/>
    <w:uiPriority w:val="6"/>
    <w:pPr>
      <w:adjustRightInd/>
    </w:pPr>
    <w:rPr>
      <w:rFonts w:ascii="Tahoma" w:hAnsi="Tahoma"/>
      <w:sz w:val="24"/>
      <w:szCs w:val="20"/>
    </w:rPr>
  </w:style>
  <w:style w:type="paragraph" w:customStyle="1" w:styleId="197">
    <w:name w:val="列出段落5"/>
    <w:basedOn w:val="1"/>
    <w:autoRedefine/>
    <w:qFormat/>
    <w:uiPriority w:val="0"/>
    <w:pPr>
      <w:spacing w:line="360" w:lineRule="auto"/>
      <w:ind w:firstLine="200" w:firstLineChars="200"/>
    </w:pPr>
    <w:rPr>
      <w:rFonts w:eastAsia="楷体_GB2312" w:cs="Lucida Sans"/>
      <w:sz w:val="24"/>
    </w:rPr>
  </w:style>
  <w:style w:type="paragraph" w:customStyle="1" w:styleId="198">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9">
    <w:name w:val="表格文字"/>
    <w:basedOn w:val="1"/>
    <w:next w:val="7"/>
    <w:autoRedefine/>
    <w:qFormat/>
    <w:uiPriority w:val="0"/>
    <w:pPr>
      <w:adjustRightInd/>
      <w:ind w:firstLine="200" w:firstLineChars="200"/>
    </w:pPr>
    <w:rPr>
      <w:rFonts w:ascii="Arial" w:hAnsi="Arial"/>
      <w:spacing w:val="-5"/>
      <w:kern w:val="0"/>
      <w:sz w:val="24"/>
      <w:szCs w:val="20"/>
    </w:rPr>
  </w:style>
  <w:style w:type="paragraph" w:customStyle="1" w:styleId="200">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1">
    <w:name w:val="TOC 标题111"/>
    <w:basedOn w:val="4"/>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2">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3">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204">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5">
    <w:name w:val="_Style 3"/>
    <w:basedOn w:val="1"/>
    <w:autoRedefine/>
    <w:qFormat/>
    <w:uiPriority w:val="0"/>
    <w:pPr>
      <w:adjustRightInd/>
      <w:ind w:firstLine="420" w:firstLineChars="200"/>
    </w:pPr>
    <w:rPr>
      <w:rFonts w:eastAsia="仿宋_GB2312"/>
      <w:sz w:val="28"/>
    </w:rPr>
  </w:style>
  <w:style w:type="paragraph" w:customStyle="1" w:styleId="20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7">
    <w:name w:val="Bulleting First Indent 1"/>
    <w:basedOn w:val="26"/>
    <w:autoRedefine/>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8">
    <w:name w:val="左对齐表格文字"/>
    <w:basedOn w:val="1"/>
    <w:autoRedefine/>
    <w:qFormat/>
    <w:uiPriority w:val="0"/>
    <w:pPr>
      <w:adjustRightInd/>
      <w:ind w:firstLine="200" w:firstLineChars="200"/>
      <w:jc w:val="right"/>
    </w:pPr>
  </w:style>
  <w:style w:type="paragraph" w:customStyle="1" w:styleId="209">
    <w:name w:val="Char Char11 Char Char Char Char Char Char Char Char Char"/>
    <w:basedOn w:val="1"/>
    <w:autoRedefine/>
    <w:qFormat/>
    <w:uiPriority w:val="0"/>
    <w:pPr>
      <w:spacing w:line="360" w:lineRule="auto"/>
    </w:pPr>
    <w:rPr>
      <w:szCs w:val="20"/>
    </w:rPr>
  </w:style>
  <w:style w:type="paragraph" w:customStyle="1" w:styleId="210">
    <w:name w:val="正文1.25"/>
    <w:basedOn w:val="1"/>
    <w:autoRedefine/>
    <w:qFormat/>
    <w:uiPriority w:val="0"/>
    <w:pPr>
      <w:adjustRightInd/>
      <w:spacing w:line="300" w:lineRule="auto"/>
      <w:ind w:firstLine="480" w:firstLineChars="200"/>
    </w:pPr>
    <w:rPr>
      <w:sz w:val="24"/>
      <w:szCs w:val="20"/>
    </w:rPr>
  </w:style>
  <w:style w:type="paragraph" w:customStyle="1" w:styleId="211">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212">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3">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4">
    <w:name w:val="Char Char1 Char Char Char1"/>
    <w:basedOn w:val="1"/>
    <w:autoRedefine/>
    <w:qFormat/>
    <w:uiPriority w:val="6"/>
    <w:rPr>
      <w:rFonts w:ascii="仿宋_GB2312" w:eastAsia="仿宋_GB2312"/>
      <w:b/>
      <w:sz w:val="32"/>
      <w:szCs w:val="20"/>
    </w:rPr>
  </w:style>
  <w:style w:type="paragraph" w:customStyle="1" w:styleId="215">
    <w:name w:val="列出段落2"/>
    <w:basedOn w:val="1"/>
    <w:autoRedefine/>
    <w:qFormat/>
    <w:uiPriority w:val="0"/>
    <w:pPr>
      <w:adjustRightInd/>
      <w:ind w:firstLine="420" w:firstLineChars="200"/>
    </w:pPr>
    <w:rPr>
      <w:rFonts w:ascii="宋体" w:hAnsi="宋体"/>
      <w:sz w:val="24"/>
    </w:rPr>
  </w:style>
  <w:style w:type="paragraph" w:customStyle="1" w:styleId="216">
    <w:name w:val="默认段落字体 Para Char Char Char Char Char Char Char"/>
    <w:basedOn w:val="1"/>
    <w:autoRedefine/>
    <w:qFormat/>
    <w:uiPriority w:val="0"/>
    <w:rPr>
      <w:rFonts w:eastAsia="仿宋_GB2312"/>
      <w:sz w:val="28"/>
      <w:szCs w:val="20"/>
    </w:rPr>
  </w:style>
  <w:style w:type="paragraph" w:customStyle="1" w:styleId="217">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8">
    <w:name w:val="样式 标题 4PIM 4H4h4bulletblbbH41H42H43H44H45H46H47H48...1"/>
    <w:basedOn w:val="8"/>
    <w:autoRedefine/>
    <w:qFormat/>
    <w:uiPriority w:val="0"/>
    <w:pPr>
      <w:widowControl/>
      <w:jc w:val="left"/>
    </w:pPr>
    <w:rPr>
      <w:rFonts w:cs="宋体"/>
      <w:sz w:val="24"/>
      <w:szCs w:val="20"/>
    </w:rPr>
  </w:style>
  <w:style w:type="paragraph" w:customStyle="1" w:styleId="219">
    <w:name w:val="彩色列表 - 强调文字颜色 11"/>
    <w:basedOn w:val="1"/>
    <w:autoRedefine/>
    <w:qFormat/>
    <w:uiPriority w:val="0"/>
    <w:pPr>
      <w:adjustRightInd/>
      <w:ind w:firstLine="420" w:firstLineChars="200"/>
    </w:pPr>
    <w:rPr>
      <w:rFonts w:ascii="Calibri" w:hAnsi="Calibri"/>
      <w:szCs w:val="22"/>
    </w:rPr>
  </w:style>
  <w:style w:type="paragraph" w:customStyle="1" w:styleId="220">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221">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2">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223">
    <w:name w:val="Char Char Char1 Char1"/>
    <w:basedOn w:val="1"/>
    <w:autoRedefine/>
    <w:qFormat/>
    <w:uiPriority w:val="6"/>
    <w:rPr>
      <w:szCs w:val="20"/>
    </w:rPr>
  </w:style>
  <w:style w:type="paragraph" w:customStyle="1" w:styleId="224">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5">
    <w:name w:val="样式 标题 2 + 宋体 左侧:  1.76 厘米 首行缩进:  0 厘米"/>
    <w:basedOn w:val="5"/>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6">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227">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228">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9">
    <w:name w:val="CM14"/>
    <w:basedOn w:val="97"/>
    <w:next w:val="97"/>
    <w:autoRedefine/>
    <w:qFormat/>
    <w:uiPriority w:val="0"/>
    <w:pPr>
      <w:spacing w:after="68"/>
    </w:pPr>
    <w:rPr>
      <w:rFonts w:ascii="FHLHE E+ Futura Bk" w:eastAsia="FHLHE E+ Futura Bk" w:cs="Times New Roman"/>
      <w:color w:val="auto"/>
    </w:rPr>
  </w:style>
  <w:style w:type="paragraph" w:customStyle="1" w:styleId="230">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2">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233">
    <w:name w:val="正文文字 2"/>
    <w:basedOn w:val="97"/>
    <w:next w:val="97"/>
    <w:autoRedefine/>
    <w:qFormat/>
    <w:uiPriority w:val="0"/>
    <w:rPr>
      <w:rFonts w:ascii="宋体" w:eastAsia="宋体" w:cs="Times New Roman"/>
      <w:color w:val="auto"/>
    </w:rPr>
  </w:style>
  <w:style w:type="paragraph" w:customStyle="1" w:styleId="234">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5">
    <w:name w:val="Char Char1 Char"/>
    <w:basedOn w:val="1"/>
    <w:autoRedefine/>
    <w:qFormat/>
    <w:uiPriority w:val="0"/>
    <w:rPr>
      <w:rFonts w:ascii="仿宋_GB2312" w:eastAsia="仿宋_GB2312"/>
      <w:b/>
      <w:sz w:val="32"/>
      <w:szCs w:val="32"/>
    </w:rPr>
  </w:style>
  <w:style w:type="paragraph" w:customStyle="1" w:styleId="236">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7">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238">
    <w:name w:val="Char Char111"/>
    <w:basedOn w:val="1"/>
    <w:autoRedefine/>
    <w:qFormat/>
    <w:uiPriority w:val="0"/>
    <w:pPr>
      <w:spacing w:line="360" w:lineRule="auto"/>
    </w:pPr>
    <w:rPr>
      <w:szCs w:val="20"/>
    </w:rPr>
  </w:style>
  <w:style w:type="paragraph" w:customStyle="1" w:styleId="239">
    <w:name w:val="Char"/>
    <w:basedOn w:val="1"/>
    <w:autoRedefine/>
    <w:qFormat/>
    <w:uiPriority w:val="0"/>
    <w:rPr>
      <w:rFonts w:ascii="仿宋_GB2312" w:eastAsia="仿宋_GB2312"/>
      <w:b/>
      <w:sz w:val="32"/>
      <w:szCs w:val="32"/>
    </w:rPr>
  </w:style>
  <w:style w:type="paragraph" w:customStyle="1" w:styleId="240">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1">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2">
    <w:name w:val="Char Char Char1 Char"/>
    <w:basedOn w:val="1"/>
    <w:autoRedefine/>
    <w:qFormat/>
    <w:uiPriority w:val="0"/>
    <w:rPr>
      <w:szCs w:val="20"/>
    </w:rPr>
  </w:style>
  <w:style w:type="paragraph" w:customStyle="1" w:styleId="243">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244">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5">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46">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7">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248">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9">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0">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51">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2">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3">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4">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5">
    <w:name w:val="标准有序列表（L1）"/>
    <w:basedOn w:val="7"/>
    <w:autoRedefine/>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6">
    <w:name w:val="Char Char Char Char Char Char Char Char Char Char"/>
    <w:basedOn w:val="1"/>
    <w:autoRedefine/>
    <w:qFormat/>
    <w:uiPriority w:val="0"/>
    <w:rPr>
      <w:rFonts w:ascii="仿宋_GB2312" w:eastAsia="仿宋_GB2312"/>
      <w:b/>
      <w:sz w:val="32"/>
      <w:szCs w:val="32"/>
    </w:rPr>
  </w:style>
  <w:style w:type="paragraph" w:customStyle="1" w:styleId="257">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58">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259">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260">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1">
    <w:name w:val="正文（首行缩进）"/>
    <w:basedOn w:val="2"/>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2">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63">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4">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5">
    <w:name w:val="Char Char Char1 Char2"/>
    <w:basedOn w:val="1"/>
    <w:autoRedefine/>
    <w:qFormat/>
    <w:uiPriority w:val="0"/>
    <w:rPr>
      <w:szCs w:val="20"/>
    </w:rPr>
  </w:style>
  <w:style w:type="paragraph" w:customStyle="1" w:styleId="266">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7">
    <w:name w:val="默认段落字体 Para Char"/>
    <w:basedOn w:val="1"/>
    <w:autoRedefine/>
    <w:qFormat/>
    <w:uiPriority w:val="0"/>
    <w:rPr>
      <w:rFonts w:ascii="Tahoma" w:hAnsi="Tahoma"/>
      <w:sz w:val="24"/>
      <w:szCs w:val="20"/>
    </w:rPr>
  </w:style>
  <w:style w:type="paragraph" w:customStyle="1" w:styleId="268">
    <w:name w:val="标题五"/>
    <w:basedOn w:val="1"/>
    <w:autoRedefine/>
    <w:qFormat/>
    <w:uiPriority w:val="0"/>
    <w:pPr>
      <w:adjustRightInd/>
      <w:spacing w:before="156" w:beforeLines="50" w:line="360" w:lineRule="auto"/>
    </w:pPr>
    <w:rPr>
      <w:b/>
      <w:sz w:val="24"/>
    </w:rPr>
  </w:style>
  <w:style w:type="paragraph" w:customStyle="1" w:styleId="269">
    <w:name w:val="Char Char1101"/>
    <w:basedOn w:val="1"/>
    <w:autoRedefine/>
    <w:qFormat/>
    <w:uiPriority w:val="0"/>
    <w:pPr>
      <w:spacing w:line="360" w:lineRule="auto"/>
    </w:pPr>
    <w:rPr>
      <w:rFonts w:ascii="Tahoma" w:hAnsi="Tahoma"/>
      <w:sz w:val="24"/>
      <w:szCs w:val="20"/>
    </w:rPr>
  </w:style>
  <w:style w:type="paragraph" w:customStyle="1" w:styleId="270">
    <w:name w:val="Char Char Char Char Char Char Char Char1"/>
    <w:basedOn w:val="1"/>
    <w:autoRedefine/>
    <w:qFormat/>
    <w:uiPriority w:val="0"/>
    <w:pPr>
      <w:tabs>
        <w:tab w:val="left" w:pos="360"/>
      </w:tabs>
    </w:pPr>
    <w:rPr>
      <w:sz w:val="24"/>
      <w:szCs w:val="20"/>
    </w:rPr>
  </w:style>
  <w:style w:type="paragraph" w:customStyle="1" w:styleId="271">
    <w:name w:val="Char Char Char 字元 字元"/>
    <w:basedOn w:val="1"/>
    <w:autoRedefine/>
    <w:qFormat/>
    <w:uiPriority w:val="0"/>
    <w:pPr>
      <w:adjustRightInd/>
      <w:spacing w:line="360" w:lineRule="auto"/>
      <w:ind w:firstLine="200" w:firstLineChars="200"/>
    </w:pPr>
    <w:rPr>
      <w:szCs w:val="20"/>
    </w:rPr>
  </w:style>
  <w:style w:type="paragraph" w:customStyle="1" w:styleId="272">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3">
    <w:name w:val="Char Char Char Char Char Char Char"/>
    <w:basedOn w:val="1"/>
    <w:autoRedefine/>
    <w:qFormat/>
    <w:uiPriority w:val="0"/>
    <w:rPr>
      <w:rFonts w:ascii="仿宋_GB2312" w:eastAsia="仿宋_GB2312"/>
      <w:b/>
      <w:sz w:val="32"/>
      <w:szCs w:val="32"/>
    </w:rPr>
  </w:style>
  <w:style w:type="paragraph" w:customStyle="1" w:styleId="274">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5">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6">
    <w:name w:val="样式 标题 22h2L1 Heading 2H2sect 1.2H21sect 1.21H22sect 1.2..."/>
    <w:basedOn w:val="5"/>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7">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278">
    <w:name w:val="批注框文本 Char Char"/>
    <w:basedOn w:val="1"/>
    <w:autoRedefine/>
    <w:qFormat/>
    <w:uiPriority w:val="0"/>
    <w:pPr>
      <w:adjustRightInd/>
    </w:pPr>
    <w:rPr>
      <w:sz w:val="18"/>
      <w:szCs w:val="20"/>
    </w:rPr>
  </w:style>
  <w:style w:type="paragraph" w:customStyle="1" w:styleId="279">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0">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1">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28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3">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284">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5">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286">
    <w:name w:val="正文文字缩进项目"/>
    <w:basedOn w:val="2"/>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7">
    <w:name w:val="文档正文"/>
    <w:basedOn w:val="1"/>
    <w:autoRedefine/>
    <w:qFormat/>
    <w:uiPriority w:val="0"/>
    <w:pPr>
      <w:spacing w:line="480" w:lineRule="atLeast"/>
      <w:ind w:firstLine="567"/>
      <w:textAlignment w:val="baseline"/>
    </w:pPr>
    <w:rPr>
      <w:kern w:val="0"/>
      <w:sz w:val="24"/>
      <w:szCs w:val="20"/>
    </w:rPr>
  </w:style>
  <w:style w:type="paragraph" w:customStyle="1" w:styleId="288">
    <w:name w:val="正文文字表格居中"/>
    <w:basedOn w:val="1"/>
    <w:next w:val="57"/>
    <w:autoRedefine/>
    <w:qFormat/>
    <w:uiPriority w:val="0"/>
    <w:pPr>
      <w:snapToGrid w:val="0"/>
      <w:spacing w:line="360" w:lineRule="auto"/>
    </w:pPr>
    <w:rPr>
      <w:rFonts w:ascii="宋体"/>
      <w:b/>
      <w:sz w:val="24"/>
      <w:szCs w:val="20"/>
    </w:rPr>
  </w:style>
  <w:style w:type="paragraph" w:customStyle="1" w:styleId="289">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290">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1">
    <w:name w:val="Plain Text1"/>
    <w:basedOn w:val="1"/>
    <w:autoRedefine/>
    <w:qFormat/>
    <w:uiPriority w:val="7"/>
    <w:pPr>
      <w:adjustRightInd/>
    </w:pPr>
    <w:rPr>
      <w:rFonts w:ascii="宋体" w:hAnsi="Courier New"/>
    </w:rPr>
  </w:style>
  <w:style w:type="paragraph" w:customStyle="1" w:styleId="292">
    <w:name w:val="Char3"/>
    <w:basedOn w:val="1"/>
    <w:autoRedefine/>
    <w:qFormat/>
    <w:uiPriority w:val="0"/>
    <w:pPr>
      <w:adjustRightInd/>
    </w:pPr>
    <w:rPr>
      <w:rFonts w:ascii="仿宋_GB2312" w:eastAsia="仿宋_GB2312"/>
      <w:b/>
      <w:sz w:val="32"/>
      <w:szCs w:val="32"/>
    </w:rPr>
  </w:style>
  <w:style w:type="paragraph" w:customStyle="1" w:styleId="293">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4">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5">
    <w:name w:val="标题2"/>
    <w:basedOn w:val="5"/>
    <w:next w:val="1"/>
    <w:autoRedefine/>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6">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297">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9">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0">
    <w:name w:val="Char3 Char Char Char"/>
    <w:basedOn w:val="1"/>
    <w:autoRedefine/>
    <w:qFormat/>
    <w:uiPriority w:val="0"/>
    <w:pPr>
      <w:widowControl/>
      <w:adjustRightInd/>
      <w:spacing w:after="160" w:line="240" w:lineRule="exact"/>
      <w:jc w:val="left"/>
    </w:pPr>
    <w:rPr>
      <w:szCs w:val="20"/>
    </w:rPr>
  </w:style>
  <w:style w:type="paragraph" w:customStyle="1" w:styleId="301">
    <w:name w:val="表格标题2"/>
    <w:basedOn w:val="302"/>
    <w:autoRedefine/>
    <w:qFormat/>
    <w:uiPriority w:val="0"/>
    <w:rPr>
      <w:b/>
    </w:rPr>
  </w:style>
  <w:style w:type="paragraph" w:customStyle="1" w:styleId="302">
    <w:name w:val="表格内文"/>
    <w:basedOn w:val="1"/>
    <w:autoRedefine/>
    <w:qFormat/>
    <w:uiPriority w:val="0"/>
    <w:pPr>
      <w:adjustRightInd/>
      <w:spacing w:line="360" w:lineRule="auto"/>
    </w:pPr>
    <w:rPr>
      <w:rFonts w:ascii="宋体" w:hAnsi="宋体" w:cs="宋体"/>
      <w:color w:val="000000"/>
      <w:szCs w:val="20"/>
    </w:rPr>
  </w:style>
  <w:style w:type="paragraph" w:customStyle="1" w:styleId="303">
    <w:name w:val="Char Char Char Char Char Char Char Char Char Char2"/>
    <w:basedOn w:val="1"/>
    <w:autoRedefine/>
    <w:qFormat/>
    <w:uiPriority w:val="0"/>
    <w:rPr>
      <w:rFonts w:ascii="仿宋_GB2312" w:eastAsia="仿宋_GB2312"/>
      <w:b/>
      <w:sz w:val="32"/>
      <w:szCs w:val="32"/>
    </w:rPr>
  </w:style>
  <w:style w:type="paragraph" w:customStyle="1" w:styleId="304">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6">
    <w:name w:val="Char Char11 Char Char Char Char Char Char Char Char Char11"/>
    <w:basedOn w:val="1"/>
    <w:autoRedefine/>
    <w:qFormat/>
    <w:uiPriority w:val="0"/>
    <w:pPr>
      <w:spacing w:line="360" w:lineRule="auto"/>
    </w:pPr>
    <w:rPr>
      <w:szCs w:val="20"/>
    </w:rPr>
  </w:style>
  <w:style w:type="paragraph" w:customStyle="1" w:styleId="30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9">
    <w:name w:val="MM Topic 1"/>
    <w:basedOn w:val="4"/>
    <w:qFormat/>
    <w:uiPriority w:val="0"/>
    <w:pPr>
      <w:tabs>
        <w:tab w:val="left" w:pos="840"/>
        <w:tab w:val="clear" w:pos="432"/>
      </w:tabs>
      <w:adjustRightInd/>
      <w:ind w:left="840" w:hanging="420"/>
    </w:pPr>
  </w:style>
  <w:style w:type="paragraph" w:customStyle="1" w:styleId="310">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311">
    <w:name w:val="文本正文 Char"/>
    <w:basedOn w:val="1"/>
    <w:qFormat/>
    <w:uiPriority w:val="0"/>
    <w:pPr>
      <w:spacing w:line="360" w:lineRule="auto"/>
      <w:ind w:firstLine="200" w:firstLineChars="200"/>
    </w:pPr>
    <w:rPr>
      <w:kern w:val="0"/>
      <w:sz w:val="24"/>
      <w:szCs w:val="20"/>
    </w:rPr>
  </w:style>
  <w:style w:type="paragraph" w:customStyle="1" w:styleId="312">
    <w:name w:val="表格"/>
    <w:basedOn w:val="1"/>
    <w:qFormat/>
    <w:uiPriority w:val="0"/>
    <w:pPr>
      <w:snapToGrid w:val="0"/>
      <w:ind w:firstLine="42" w:firstLineChars="21"/>
    </w:pPr>
    <w:rPr>
      <w:rFonts w:ascii="宋体" w:hAnsi="宋体"/>
      <w:kern w:val="0"/>
      <w:sz w:val="20"/>
      <w:szCs w:val="20"/>
    </w:rPr>
  </w:style>
  <w:style w:type="paragraph" w:customStyle="1" w:styleId="313">
    <w:name w:val="标书标题4"/>
    <w:basedOn w:val="8"/>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4">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6">
    <w:name w:val="表格项目符号 2"/>
    <w:basedOn w:val="30"/>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7">
    <w:name w:val="EB_表格"/>
    <w:basedOn w:val="1"/>
    <w:qFormat/>
    <w:uiPriority w:val="0"/>
    <w:pPr>
      <w:adjustRightInd/>
      <w:spacing w:line="300" w:lineRule="auto"/>
      <w:jc w:val="center"/>
    </w:pPr>
  </w:style>
  <w:style w:type="paragraph" w:customStyle="1" w:styleId="318">
    <w:name w:val="_Style 6"/>
    <w:basedOn w:val="1"/>
    <w:qFormat/>
    <w:uiPriority w:val="34"/>
    <w:pPr>
      <w:adjustRightInd/>
      <w:ind w:firstLine="420" w:firstLineChars="200"/>
    </w:pPr>
    <w:rPr>
      <w:rFonts w:eastAsia="仿宋_GB2312"/>
      <w:sz w:val="28"/>
    </w:rPr>
  </w:style>
  <w:style w:type="paragraph" w:customStyle="1" w:styleId="31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1">
    <w:name w:val="!大节"/>
    <w:basedOn w:val="5"/>
    <w:qFormat/>
    <w:uiPriority w:val="0"/>
    <w:pPr>
      <w:spacing w:before="260" w:after="260" w:line="415" w:lineRule="auto"/>
      <w:ind w:left="420" w:hanging="420"/>
    </w:pPr>
    <w:rPr>
      <w:rFonts w:ascii="Arial" w:hAnsi="Arial" w:eastAsia="微软雅黑"/>
      <w:lang w:val="en-US"/>
    </w:rPr>
  </w:style>
  <w:style w:type="paragraph" w:customStyle="1" w:styleId="322">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3">
    <w:name w:val="正文表标题"/>
    <w:next w:val="32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5">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6">
    <w:name w:val="trademark"/>
    <w:qFormat/>
    <w:uiPriority w:val="0"/>
    <w:pPr>
      <w:spacing w:after="60"/>
    </w:pPr>
    <w:rPr>
      <w:rFonts w:ascii="Futura Bk" w:hAnsi="Futura Bk" w:eastAsia="宋体" w:cs="Times New Roman"/>
      <w:sz w:val="15"/>
      <w:lang w:val="en-US" w:eastAsia="en-US" w:bidi="ar-SA"/>
    </w:rPr>
  </w:style>
  <w:style w:type="paragraph" w:customStyle="1" w:styleId="3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8">
    <w:name w:val="Char Char1 Char Char Char Char Char Char1"/>
    <w:basedOn w:val="1"/>
    <w:qFormat/>
    <w:uiPriority w:val="0"/>
    <w:rPr>
      <w:rFonts w:ascii="仿宋_GB2312" w:eastAsia="仿宋_GB2312"/>
      <w:b/>
      <w:sz w:val="32"/>
      <w:szCs w:val="20"/>
    </w:rPr>
  </w:style>
  <w:style w:type="paragraph" w:customStyle="1" w:styleId="32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0">
    <w:name w:val="Char1 Char Char Char1"/>
    <w:basedOn w:val="1"/>
    <w:qFormat/>
    <w:uiPriority w:val="0"/>
    <w:pPr>
      <w:adjustRightInd/>
      <w:ind w:firstLine="200" w:firstLineChars="200"/>
    </w:pPr>
    <w:rPr>
      <w:rFonts w:ascii="Tahoma" w:hAnsi="Tahoma"/>
      <w:sz w:val="24"/>
      <w:szCs w:val="20"/>
    </w:rPr>
  </w:style>
  <w:style w:type="paragraph" w:customStyle="1" w:styleId="331">
    <w:name w:val="a1"/>
    <w:basedOn w:val="1"/>
    <w:qFormat/>
    <w:uiPriority w:val="0"/>
    <w:pPr>
      <w:widowControl/>
      <w:spacing w:line="300" w:lineRule="atLeast"/>
      <w:jc w:val="left"/>
    </w:pPr>
    <w:rPr>
      <w:rFonts w:ascii="宋体" w:hAnsi="宋体"/>
      <w:kern w:val="0"/>
      <w:sz w:val="18"/>
      <w:szCs w:val="20"/>
    </w:rPr>
  </w:style>
  <w:style w:type="paragraph" w:customStyle="1" w:styleId="332">
    <w:name w:val="样式7"/>
    <w:basedOn w:val="333"/>
    <w:next w:val="1"/>
    <w:autoRedefine/>
    <w:qFormat/>
    <w:uiPriority w:val="0"/>
    <w:pPr>
      <w:spacing w:after="156" w:afterLines="50"/>
      <w:jc w:val="left"/>
      <w:outlineLvl w:val="3"/>
    </w:pPr>
    <w:rPr>
      <w:sz w:val="24"/>
      <w:szCs w:val="24"/>
    </w:rPr>
  </w:style>
  <w:style w:type="paragraph" w:customStyle="1" w:styleId="3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6">
    <w:name w:val="样式 样式2 + 左侧:  1 字符 右侧:  1 字符"/>
    <w:basedOn w:val="144"/>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7">
    <w:name w:val="Char2 Char Char2"/>
    <w:basedOn w:val="1"/>
    <w:qFormat/>
    <w:uiPriority w:val="0"/>
    <w:pPr>
      <w:adjustRightInd/>
    </w:pPr>
    <w:rPr>
      <w:rFonts w:ascii="Tahoma" w:hAnsi="Tahoma"/>
      <w:sz w:val="24"/>
      <w:szCs w:val="20"/>
    </w:rPr>
  </w:style>
  <w:style w:type="paragraph" w:customStyle="1" w:styleId="33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9">
    <w:name w:val="三级条标题"/>
    <w:basedOn w:val="340"/>
    <w:next w:val="324"/>
    <w:qFormat/>
    <w:uiPriority w:val="0"/>
    <w:pPr>
      <w:tabs>
        <w:tab w:val="left" w:pos="1260"/>
        <w:tab w:val="left" w:pos="1680"/>
        <w:tab w:val="left" w:pos="2100"/>
        <w:tab w:val="left" w:pos="2520"/>
      </w:tabs>
      <w:ind w:left="2520"/>
      <w:outlineLvl w:val="4"/>
    </w:pPr>
  </w:style>
  <w:style w:type="paragraph" w:customStyle="1" w:styleId="340">
    <w:name w:val="二级条标题"/>
    <w:basedOn w:val="341"/>
    <w:next w:val="324"/>
    <w:qFormat/>
    <w:uiPriority w:val="0"/>
    <w:pPr>
      <w:tabs>
        <w:tab w:val="left" w:pos="1260"/>
        <w:tab w:val="left" w:pos="1680"/>
        <w:tab w:val="left" w:pos="2100"/>
      </w:tabs>
      <w:ind w:left="0"/>
      <w:outlineLvl w:val="3"/>
    </w:pPr>
  </w:style>
  <w:style w:type="paragraph" w:customStyle="1" w:styleId="341">
    <w:name w:val="一级条标题"/>
    <w:basedOn w:val="342"/>
    <w:next w:val="324"/>
    <w:qFormat/>
    <w:uiPriority w:val="0"/>
    <w:pPr>
      <w:tabs>
        <w:tab w:val="left" w:pos="1260"/>
        <w:tab w:val="left" w:pos="1680"/>
      </w:tabs>
      <w:spacing w:before="0" w:beforeLines="0" w:after="0" w:afterLines="0"/>
      <w:ind w:left="1680"/>
      <w:outlineLvl w:val="2"/>
    </w:pPr>
  </w:style>
  <w:style w:type="paragraph" w:customStyle="1" w:styleId="342">
    <w:name w:val="章标题"/>
    <w:next w:val="324"/>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3">
    <w:name w:val="数字标题2"/>
    <w:basedOn w:val="5"/>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5">
    <w:name w:val="样式 标题 1Level 1 HeadPIM 1Section Headh1l11Heading 0Datash..."/>
    <w:basedOn w:val="4"/>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7">
    <w:name w:val="样式 标题 1章节第一层h1H"/>
    <w:basedOn w:val="4"/>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9">
    <w:name w:val="正文 项目2"/>
    <w:basedOn w:val="350"/>
    <w:qFormat/>
    <w:uiPriority w:val="0"/>
    <w:pPr>
      <w:tabs>
        <w:tab w:val="left" w:pos="840"/>
      </w:tabs>
      <w:spacing w:after="0"/>
      <w:ind w:left="900"/>
    </w:pPr>
  </w:style>
  <w:style w:type="paragraph" w:customStyle="1" w:styleId="35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1">
    <w:name w:val="Body Text 2*"/>
    <w:basedOn w:val="1"/>
    <w:qFormat/>
    <w:uiPriority w:val="6"/>
    <w:pPr>
      <w:widowControl/>
      <w:adjustRightInd/>
      <w:ind w:left="720" w:hanging="720"/>
    </w:pPr>
    <w:rPr>
      <w:color w:val="000000"/>
      <w:kern w:val="0"/>
      <w:sz w:val="24"/>
      <w:szCs w:val="20"/>
    </w:rPr>
  </w:style>
  <w:style w:type="paragraph" w:customStyle="1" w:styleId="352">
    <w:name w:val="表1"/>
    <w:basedOn w:val="1"/>
    <w:qFormat/>
    <w:uiPriority w:val="0"/>
    <w:pPr>
      <w:tabs>
        <w:tab w:val="left" w:pos="703"/>
      </w:tabs>
      <w:adjustRightInd/>
      <w:spacing w:line="360" w:lineRule="auto"/>
      <w:ind w:left="703"/>
      <w:jc w:val="center"/>
    </w:pPr>
  </w:style>
  <w:style w:type="paragraph" w:customStyle="1" w:styleId="35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5">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6">
    <w:name w:val="2级标题"/>
    <w:basedOn w:val="357"/>
    <w:qFormat/>
    <w:uiPriority w:val="0"/>
    <w:pPr>
      <w:jc w:val="left"/>
      <w:outlineLvl w:val="1"/>
    </w:pPr>
    <w:rPr>
      <w:rFonts w:ascii="Times New Roman" w:hAnsi="Times New Roman" w:eastAsia="仿宋"/>
      <w:sz w:val="30"/>
    </w:rPr>
  </w:style>
  <w:style w:type="paragraph" w:customStyle="1" w:styleId="357">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2">
    <w:name w:val="bullet"/>
    <w:basedOn w:val="1"/>
    <w:qFormat/>
    <w:uiPriority w:val="0"/>
    <w:pPr>
      <w:tabs>
        <w:tab w:val="left" w:pos="840"/>
      </w:tabs>
      <w:adjustRightInd/>
      <w:ind w:left="840" w:hanging="420"/>
    </w:pPr>
  </w:style>
  <w:style w:type="paragraph" w:customStyle="1" w:styleId="36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0">
    <w:name w:val="MM Topic 4"/>
    <w:basedOn w:val="8"/>
    <w:qFormat/>
    <w:uiPriority w:val="0"/>
    <w:pPr>
      <w:tabs>
        <w:tab w:val="left" w:pos="2100"/>
        <w:tab w:val="clear" w:pos="864"/>
      </w:tabs>
      <w:adjustRightInd/>
      <w:ind w:left="2100" w:hanging="420"/>
    </w:pPr>
    <w:rPr>
      <w:lang w:val="en-US"/>
    </w:rPr>
  </w:style>
  <w:style w:type="paragraph" w:customStyle="1" w:styleId="37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3">
    <w:name w:val="Char Char11 Char Char Char Char Char Char Char Char Char1"/>
    <w:basedOn w:val="1"/>
    <w:qFormat/>
    <w:uiPriority w:val="6"/>
    <w:pPr>
      <w:spacing w:line="360" w:lineRule="auto"/>
    </w:pPr>
    <w:rPr>
      <w:szCs w:val="20"/>
    </w:rPr>
  </w:style>
  <w:style w:type="paragraph" w:customStyle="1" w:styleId="37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6">
    <w:name w:val="body text bold"/>
    <w:basedOn w:val="25"/>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3">
    <w:name w:val="单元格居中"/>
    <w:basedOn w:val="1"/>
    <w:qFormat/>
    <w:uiPriority w:val="0"/>
    <w:pPr>
      <w:adjustRightInd/>
      <w:spacing w:line="360" w:lineRule="auto"/>
      <w:jc w:val="center"/>
    </w:pPr>
    <w:rPr>
      <w:sz w:val="24"/>
    </w:rPr>
  </w:style>
  <w:style w:type="paragraph" w:customStyle="1" w:styleId="384">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5">
    <w:name w:val="Char Char Char Char Char Char Char1"/>
    <w:basedOn w:val="1"/>
    <w:qFormat/>
    <w:uiPriority w:val="6"/>
    <w:rPr>
      <w:rFonts w:ascii="仿宋_GB2312" w:eastAsia="仿宋_GB2312"/>
      <w:b/>
      <w:sz w:val="32"/>
      <w:szCs w:val="32"/>
    </w:rPr>
  </w:style>
  <w:style w:type="paragraph" w:customStyle="1" w:styleId="386">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8">
    <w:name w:val="Char3 Char Char Char11"/>
    <w:basedOn w:val="1"/>
    <w:qFormat/>
    <w:uiPriority w:val="0"/>
    <w:pPr>
      <w:widowControl/>
      <w:adjustRightInd/>
      <w:spacing w:after="160" w:line="240" w:lineRule="exact"/>
      <w:jc w:val="left"/>
    </w:pPr>
    <w:rPr>
      <w:szCs w:val="20"/>
    </w:rPr>
  </w:style>
  <w:style w:type="paragraph" w:customStyle="1" w:styleId="389">
    <w:name w:val="Char Char1121"/>
    <w:basedOn w:val="1"/>
    <w:qFormat/>
    <w:uiPriority w:val="0"/>
    <w:pPr>
      <w:spacing w:line="360" w:lineRule="auto"/>
    </w:pPr>
    <w:rPr>
      <w:szCs w:val="20"/>
    </w:rPr>
  </w:style>
  <w:style w:type="paragraph" w:customStyle="1" w:styleId="39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2">
    <w:name w:val="Normal0"/>
    <w:qFormat/>
    <w:uiPriority w:val="0"/>
    <w:rPr>
      <w:rFonts w:ascii="Times New Roman" w:hAnsi="Times New Roman" w:eastAsia="宋体" w:cs="Times New Roman"/>
      <w:lang w:val="en-US" w:eastAsia="en-US" w:bidi="ar-SA"/>
    </w:rPr>
  </w:style>
  <w:style w:type="paragraph" w:customStyle="1" w:styleId="393">
    <w:name w:val="带编号样式"/>
    <w:basedOn w:val="311"/>
    <w:qFormat/>
    <w:uiPriority w:val="0"/>
    <w:pPr>
      <w:tabs>
        <w:tab w:val="left" w:pos="840"/>
      </w:tabs>
      <w:snapToGrid w:val="0"/>
      <w:ind w:left="840" w:hanging="420" w:firstLineChars="0"/>
    </w:pPr>
    <w:rPr>
      <w:rFonts w:ascii="仿宋_GB2312" w:eastAsia="仿宋_GB2312"/>
      <w:color w:val="000000"/>
    </w:rPr>
  </w:style>
  <w:style w:type="paragraph" w:customStyle="1" w:styleId="39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6">
    <w:name w:val="封面"/>
    <w:basedOn w:val="1"/>
    <w:qFormat/>
    <w:uiPriority w:val="0"/>
    <w:pPr>
      <w:spacing w:line="360" w:lineRule="atLeast"/>
      <w:jc w:val="right"/>
      <w:textAlignment w:val="baseline"/>
    </w:pPr>
    <w:rPr>
      <w:rFonts w:ascii="Symbol" w:hAnsi="Symbol"/>
      <w:kern w:val="0"/>
      <w:szCs w:val="20"/>
    </w:rPr>
  </w:style>
  <w:style w:type="paragraph" w:customStyle="1" w:styleId="39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9">
    <w:name w:val="默认段落字体 Para Char Char Char1 Char"/>
    <w:basedOn w:val="1"/>
    <w:qFormat/>
    <w:uiPriority w:val="0"/>
    <w:pPr>
      <w:spacing w:line="240" w:lineRule="atLeast"/>
      <w:ind w:left="420" w:firstLine="420"/>
    </w:pPr>
    <w:rPr>
      <w:sz w:val="24"/>
    </w:rPr>
  </w:style>
  <w:style w:type="paragraph" w:customStyle="1" w:styleId="400">
    <w:name w:val="WW-正文文字缩进 2"/>
    <w:basedOn w:val="1"/>
    <w:qFormat/>
    <w:uiPriority w:val="0"/>
    <w:pPr>
      <w:suppressAutoHyphens/>
      <w:adjustRightInd/>
      <w:ind w:firstLine="420"/>
    </w:pPr>
    <w:rPr>
      <w:kern w:val="1"/>
      <w:szCs w:val="20"/>
    </w:rPr>
  </w:style>
  <w:style w:type="paragraph" w:customStyle="1" w:styleId="40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2">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403">
    <w:name w:val="有符号正文"/>
    <w:basedOn w:val="1"/>
    <w:qFormat/>
    <w:uiPriority w:val="0"/>
    <w:pPr>
      <w:adjustRightInd/>
      <w:spacing w:line="400" w:lineRule="exact"/>
      <w:ind w:firstLine="200" w:firstLineChars="200"/>
    </w:pPr>
    <w:rPr>
      <w:rFonts w:ascii="Arial" w:hAnsi="Arial"/>
    </w:rPr>
  </w:style>
  <w:style w:type="paragraph" w:customStyle="1" w:styleId="40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6">
    <w:name w:val="4"/>
    <w:basedOn w:val="1"/>
    <w:next w:val="38"/>
    <w:qFormat/>
    <w:uiPriority w:val="0"/>
    <w:pPr>
      <w:spacing w:after="120" w:line="480" w:lineRule="auto"/>
      <w:ind w:left="420" w:leftChars="200"/>
    </w:pPr>
    <w:rPr>
      <w:sz w:val="24"/>
      <w:szCs w:val="20"/>
    </w:rPr>
  </w:style>
  <w:style w:type="paragraph" w:customStyle="1" w:styleId="40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9">
    <w:name w:val="样式 标题 3H3 + 两端对齐"/>
    <w:basedOn w:val="6"/>
    <w:qFormat/>
    <w:uiPriority w:val="0"/>
    <w:pPr>
      <w:spacing w:before="0" w:after="0" w:line="240" w:lineRule="auto"/>
      <w:jc w:val="left"/>
    </w:pPr>
    <w:rPr>
      <w:rFonts w:cs="宋体"/>
      <w:sz w:val="21"/>
      <w:szCs w:val="20"/>
    </w:rPr>
  </w:style>
  <w:style w:type="paragraph" w:customStyle="1" w:styleId="41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3">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5">
    <w:name w:val="Char Char1 Char Char Char"/>
    <w:basedOn w:val="1"/>
    <w:qFormat/>
    <w:uiPriority w:val="0"/>
    <w:rPr>
      <w:rFonts w:ascii="仿宋_GB2312" w:eastAsia="仿宋_GB2312"/>
      <w:b/>
      <w:sz w:val="32"/>
      <w:szCs w:val="20"/>
    </w:rPr>
  </w:style>
  <w:style w:type="paragraph" w:customStyle="1" w:styleId="416">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8">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9">
    <w:name w:val="Char Char1 Char Char Char2"/>
    <w:basedOn w:val="1"/>
    <w:qFormat/>
    <w:uiPriority w:val="0"/>
    <w:rPr>
      <w:rFonts w:ascii="仿宋_GB2312" w:eastAsia="仿宋_GB2312"/>
      <w:b/>
      <w:sz w:val="32"/>
      <w:szCs w:val="32"/>
    </w:rPr>
  </w:style>
  <w:style w:type="paragraph" w:customStyle="1" w:styleId="420">
    <w:name w:val="Char3 Char Char Char1"/>
    <w:basedOn w:val="1"/>
    <w:qFormat/>
    <w:uiPriority w:val="6"/>
    <w:pPr>
      <w:widowControl/>
      <w:adjustRightInd/>
      <w:spacing w:after="160" w:line="240" w:lineRule="exact"/>
      <w:jc w:val="left"/>
    </w:pPr>
    <w:rPr>
      <w:szCs w:val="20"/>
    </w:rPr>
  </w:style>
  <w:style w:type="paragraph" w:customStyle="1" w:styleId="421">
    <w:name w:val="Char1 Char Char Char21"/>
    <w:basedOn w:val="1"/>
    <w:qFormat/>
    <w:uiPriority w:val="0"/>
    <w:rPr>
      <w:rFonts w:ascii="Tahoma" w:hAnsi="Tahoma"/>
      <w:sz w:val="24"/>
      <w:szCs w:val="20"/>
    </w:rPr>
  </w:style>
  <w:style w:type="paragraph" w:customStyle="1" w:styleId="42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3">
    <w:name w:val="正文（标题三）"/>
    <w:basedOn w:val="1"/>
    <w:qFormat/>
    <w:uiPriority w:val="0"/>
    <w:pPr>
      <w:spacing w:line="360" w:lineRule="auto"/>
      <w:ind w:firstLine="200" w:firstLineChars="200"/>
    </w:pPr>
    <w:rPr>
      <w:sz w:val="24"/>
    </w:rPr>
  </w:style>
  <w:style w:type="paragraph" w:customStyle="1" w:styleId="42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9">
    <w:name w:val="Char1 Char Char Char4"/>
    <w:basedOn w:val="1"/>
    <w:qFormat/>
    <w:uiPriority w:val="0"/>
    <w:pPr>
      <w:adjustRightInd/>
      <w:ind w:firstLine="200" w:firstLineChars="200"/>
    </w:pPr>
    <w:rPr>
      <w:rFonts w:ascii="Tahoma" w:hAnsi="Tahoma"/>
      <w:sz w:val="24"/>
      <w:szCs w:val="20"/>
    </w:rPr>
  </w:style>
  <w:style w:type="paragraph" w:customStyle="1" w:styleId="430">
    <w:name w:val="_标题2"/>
    <w:basedOn w:val="397"/>
    <w:next w:val="397"/>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31">
    <w:name w:val="样式1 + (中宋体"/>
    <w:basedOn w:val="408"/>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5">
    <w:name w:val="四号　首行缩进"/>
    <w:basedOn w:val="1"/>
    <w:qFormat/>
    <w:uiPriority w:val="0"/>
    <w:pPr>
      <w:adjustRightInd/>
      <w:spacing w:line="360" w:lineRule="auto"/>
    </w:pPr>
    <w:rPr>
      <w:rFonts w:ascii="宋体" w:hAnsi="宋体"/>
      <w:szCs w:val="20"/>
    </w:rPr>
  </w:style>
  <w:style w:type="paragraph" w:customStyle="1" w:styleId="43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7">
    <w:name w:val="Char Char Char Char Char Char Char Char Char Char Char1 Char"/>
    <w:basedOn w:val="1"/>
    <w:qFormat/>
    <w:uiPriority w:val="0"/>
    <w:pPr>
      <w:adjustRightInd/>
    </w:pPr>
    <w:rPr>
      <w:rFonts w:ascii="Tahoma" w:hAnsi="Tahoma"/>
      <w:sz w:val="24"/>
    </w:rPr>
  </w:style>
  <w:style w:type="paragraph" w:customStyle="1" w:styleId="438">
    <w:name w:val="Char Char Char Char11"/>
    <w:basedOn w:val="1"/>
    <w:qFormat/>
    <w:uiPriority w:val="0"/>
    <w:rPr>
      <w:rFonts w:ascii="Tahoma" w:hAnsi="Tahoma"/>
      <w:sz w:val="24"/>
      <w:szCs w:val="20"/>
    </w:rPr>
  </w:style>
  <w:style w:type="paragraph" w:customStyle="1" w:styleId="43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0">
    <w:name w:val="Char Char Char Char"/>
    <w:basedOn w:val="1"/>
    <w:qFormat/>
    <w:uiPriority w:val="0"/>
    <w:rPr>
      <w:rFonts w:ascii="Tahoma" w:hAnsi="Tahoma"/>
      <w:sz w:val="24"/>
      <w:szCs w:val="20"/>
    </w:rPr>
  </w:style>
  <w:style w:type="paragraph" w:customStyle="1" w:styleId="44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2">
    <w:name w:val="Char19"/>
    <w:basedOn w:val="1"/>
    <w:qFormat/>
    <w:uiPriority w:val="0"/>
    <w:pPr>
      <w:adjustRightInd/>
    </w:pPr>
    <w:rPr>
      <w:szCs w:val="20"/>
    </w:rPr>
  </w:style>
  <w:style w:type="paragraph" w:customStyle="1" w:styleId="44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5">
    <w:name w:val="_Style 5"/>
    <w:basedOn w:val="1"/>
    <w:qFormat/>
    <w:uiPriority w:val="34"/>
    <w:pPr>
      <w:adjustRightInd/>
      <w:ind w:firstLine="420" w:firstLineChars="200"/>
    </w:pPr>
    <w:rPr>
      <w:rFonts w:eastAsia="仿宋_GB2312"/>
      <w:sz w:val="28"/>
    </w:rPr>
  </w:style>
  <w:style w:type="paragraph" w:customStyle="1" w:styleId="44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9">
    <w:name w:val="标书表格字体格式"/>
    <w:next w:val="443"/>
    <w:qFormat/>
    <w:uiPriority w:val="0"/>
    <w:rPr>
      <w:rFonts w:ascii="Times New Roman" w:hAnsi="Times New Roman" w:eastAsia="宋体" w:cs="Times New Roman"/>
      <w:kern w:val="2"/>
      <w:sz w:val="21"/>
      <w:szCs w:val="24"/>
      <w:lang w:val="en-US" w:eastAsia="zh-CN" w:bidi="ar-SA"/>
    </w:rPr>
  </w:style>
  <w:style w:type="paragraph" w:customStyle="1" w:styleId="45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2">
    <w:name w:val="修订3"/>
    <w:qFormat/>
    <w:uiPriority w:val="0"/>
    <w:rPr>
      <w:rFonts w:ascii="Times New Roman" w:hAnsi="Times New Roman" w:eastAsia="宋体" w:cs="Times New Roman"/>
      <w:kern w:val="2"/>
      <w:sz w:val="21"/>
      <w:lang w:val="en-US" w:eastAsia="zh-CN" w:bidi="ar-SA"/>
    </w:rPr>
  </w:style>
  <w:style w:type="paragraph" w:customStyle="1" w:styleId="453">
    <w:name w:val="CSS1级正文 Char"/>
    <w:basedOn w:val="25"/>
    <w:qFormat/>
    <w:uiPriority w:val="0"/>
    <w:pPr>
      <w:snapToGrid w:val="0"/>
      <w:ind w:firstLine="480" w:firstLineChars="200"/>
    </w:pPr>
    <w:rPr>
      <w:rFonts w:ascii="Times New Roman"/>
      <w:szCs w:val="24"/>
      <w:lang w:val="en-US"/>
    </w:rPr>
  </w:style>
  <w:style w:type="paragraph" w:customStyle="1" w:styleId="454">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5">
    <w:name w:val="表文字"/>
    <w:qFormat/>
    <w:uiPriority w:val="0"/>
    <w:rPr>
      <w:rFonts w:ascii="宋体" w:hAnsi="Times New Roman" w:eastAsia="宋体" w:cs="Times New Roman"/>
      <w:kern w:val="2"/>
      <w:lang w:val="en-US" w:eastAsia="zh-CN" w:bidi="ar-SA"/>
    </w:rPr>
  </w:style>
  <w:style w:type="paragraph" w:customStyle="1" w:styleId="456">
    <w:name w:val="MM Title"/>
    <w:basedOn w:val="60"/>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9">
    <w:name w:val="Char Char Char Char Char Char Char Char2"/>
    <w:basedOn w:val="1"/>
    <w:qFormat/>
    <w:uiPriority w:val="0"/>
    <w:pPr>
      <w:tabs>
        <w:tab w:val="left" w:pos="360"/>
      </w:tabs>
    </w:pPr>
    <w:rPr>
      <w:sz w:val="24"/>
      <w:szCs w:val="20"/>
    </w:rPr>
  </w:style>
  <w:style w:type="paragraph" w:customStyle="1" w:styleId="46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1">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2">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5">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8">
    <w:name w:val="p0"/>
    <w:basedOn w:val="1"/>
    <w:qFormat/>
    <w:uiPriority w:val="0"/>
    <w:pPr>
      <w:widowControl/>
      <w:adjustRightInd/>
    </w:pPr>
    <w:rPr>
      <w:kern w:val="0"/>
      <w:szCs w:val="21"/>
    </w:rPr>
  </w:style>
  <w:style w:type="paragraph" w:customStyle="1" w:styleId="469">
    <w:name w:val="Char6"/>
    <w:basedOn w:val="1"/>
    <w:qFormat/>
    <w:uiPriority w:val="0"/>
    <w:rPr>
      <w:rFonts w:ascii="仿宋_GB2312" w:eastAsia="仿宋_GB2312"/>
      <w:b/>
      <w:sz w:val="32"/>
      <w:szCs w:val="32"/>
    </w:rPr>
  </w:style>
  <w:style w:type="paragraph" w:customStyle="1" w:styleId="470">
    <w:name w:val="Char111"/>
    <w:basedOn w:val="1"/>
    <w:qFormat/>
    <w:uiPriority w:val="0"/>
    <w:rPr>
      <w:rFonts w:ascii="仿宋_GB2312" w:eastAsia="仿宋_GB2312"/>
      <w:b/>
      <w:sz w:val="32"/>
      <w:szCs w:val="32"/>
    </w:rPr>
  </w:style>
  <w:style w:type="paragraph" w:customStyle="1" w:styleId="471">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47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4">
    <w:name w:val="Char1 Char Char Char2"/>
    <w:basedOn w:val="1"/>
    <w:qFormat/>
    <w:uiPriority w:val="0"/>
    <w:pPr>
      <w:adjustRightInd/>
      <w:ind w:firstLine="200" w:firstLineChars="200"/>
    </w:pPr>
    <w:rPr>
      <w:rFonts w:ascii="Tahoma" w:hAnsi="Tahoma"/>
      <w:sz w:val="24"/>
      <w:szCs w:val="20"/>
    </w:rPr>
  </w:style>
  <w:style w:type="paragraph" w:customStyle="1" w:styleId="475">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76">
    <w:name w:val="样式 标题 1 + 黑色 段前: 0.5 行 段后: 0.5 行1"/>
    <w:basedOn w:val="4"/>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7">
    <w:name w:val="Char Char Char Char Char Char Char2"/>
    <w:basedOn w:val="1"/>
    <w:qFormat/>
    <w:uiPriority w:val="0"/>
    <w:rPr>
      <w:rFonts w:ascii="仿宋_GB2312" w:eastAsia="仿宋_GB2312"/>
      <w:b/>
      <w:sz w:val="32"/>
      <w:szCs w:val="32"/>
    </w:rPr>
  </w:style>
  <w:style w:type="paragraph" w:customStyle="1" w:styleId="478">
    <w:name w:val="五级条标题"/>
    <w:basedOn w:val="479"/>
    <w:next w:val="324"/>
    <w:qFormat/>
    <w:uiPriority w:val="0"/>
    <w:pPr>
      <w:tabs>
        <w:tab w:val="left" w:pos="1260"/>
        <w:tab w:val="left" w:pos="1680"/>
        <w:tab w:val="left" w:pos="2100"/>
        <w:tab w:val="left" w:pos="2940"/>
        <w:tab w:val="left" w:pos="3360"/>
      </w:tabs>
      <w:ind w:left="3360"/>
      <w:outlineLvl w:val="6"/>
    </w:pPr>
  </w:style>
  <w:style w:type="paragraph" w:customStyle="1" w:styleId="479">
    <w:name w:val="四级条标题"/>
    <w:basedOn w:val="339"/>
    <w:next w:val="324"/>
    <w:qFormat/>
    <w:uiPriority w:val="0"/>
    <w:pPr>
      <w:tabs>
        <w:tab w:val="left" w:pos="2940"/>
        <w:tab w:val="clear" w:pos="1260"/>
        <w:tab w:val="clear" w:pos="1680"/>
        <w:tab w:val="clear" w:pos="2100"/>
        <w:tab w:val="clear" w:pos="2520"/>
      </w:tabs>
      <w:ind w:left="2940"/>
      <w:outlineLvl w:val="5"/>
    </w:pPr>
  </w:style>
  <w:style w:type="paragraph" w:customStyle="1" w:styleId="48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1">
    <w:name w:val="Char23"/>
    <w:basedOn w:val="1"/>
    <w:qFormat/>
    <w:uiPriority w:val="0"/>
    <w:rPr>
      <w:rFonts w:ascii="仿宋_GB2312" w:eastAsia="仿宋_GB2312"/>
      <w:b/>
      <w:sz w:val="32"/>
      <w:szCs w:val="32"/>
    </w:rPr>
  </w:style>
  <w:style w:type="paragraph" w:customStyle="1" w:styleId="48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4">
    <w:name w:val="首行缩进"/>
    <w:basedOn w:val="1"/>
    <w:qFormat/>
    <w:uiPriority w:val="0"/>
    <w:pPr>
      <w:spacing w:line="360" w:lineRule="auto"/>
      <w:ind w:firstLine="480" w:firstLineChars="200"/>
    </w:pPr>
    <w:rPr>
      <w:rFonts w:ascii="宋体"/>
      <w:sz w:val="24"/>
      <w:szCs w:val="20"/>
    </w:rPr>
  </w:style>
  <w:style w:type="paragraph" w:customStyle="1" w:styleId="48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6">
    <w:name w:val="单元格左对齐"/>
    <w:basedOn w:val="1"/>
    <w:qFormat/>
    <w:uiPriority w:val="0"/>
    <w:pPr>
      <w:adjustRightInd/>
      <w:spacing w:line="360" w:lineRule="auto"/>
    </w:pPr>
    <w:rPr>
      <w:sz w:val="24"/>
    </w:rPr>
  </w:style>
  <w:style w:type="paragraph" w:customStyle="1" w:styleId="487">
    <w:name w:val="正文主体"/>
    <w:basedOn w:val="308"/>
    <w:qFormat/>
    <w:uiPriority w:val="0"/>
  </w:style>
  <w:style w:type="paragraph" w:customStyle="1" w:styleId="48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1">
    <w:name w:val="正文（首行缩进2字符）"/>
    <w:basedOn w:val="1"/>
    <w:qFormat/>
    <w:uiPriority w:val="0"/>
    <w:pPr>
      <w:adjustRightInd/>
      <w:spacing w:line="360" w:lineRule="auto"/>
      <w:ind w:firstLine="480" w:firstLineChars="200"/>
    </w:pPr>
    <w:rPr>
      <w:sz w:val="24"/>
      <w:szCs w:val="20"/>
    </w:rPr>
  </w:style>
  <w:style w:type="paragraph" w:customStyle="1" w:styleId="492">
    <w:name w:val="P1"/>
    <w:basedOn w:val="1"/>
    <w:qFormat/>
    <w:uiPriority w:val="0"/>
    <w:pPr>
      <w:adjustRightInd/>
      <w:spacing w:line="288" w:lineRule="auto"/>
      <w:ind w:firstLine="425" w:firstLineChars="200"/>
    </w:pPr>
  </w:style>
  <w:style w:type="paragraph" w:customStyle="1" w:styleId="493">
    <w:name w:val="列表内容"/>
    <w:basedOn w:val="1"/>
    <w:next w:val="1"/>
    <w:qFormat/>
    <w:uiPriority w:val="0"/>
    <w:pPr>
      <w:widowControl/>
      <w:tabs>
        <w:tab w:val="left" w:pos="840"/>
      </w:tabs>
      <w:ind w:left="840" w:hanging="420"/>
      <w:jc w:val="left"/>
    </w:pPr>
    <w:rPr>
      <w:kern w:val="0"/>
      <w:sz w:val="18"/>
    </w:rPr>
  </w:style>
  <w:style w:type="paragraph" w:customStyle="1" w:styleId="494">
    <w:name w:val="Char Char11 Char Char Char1"/>
    <w:basedOn w:val="1"/>
    <w:qFormat/>
    <w:uiPriority w:val="6"/>
    <w:pPr>
      <w:spacing w:line="360" w:lineRule="auto"/>
    </w:pPr>
    <w:rPr>
      <w:szCs w:val="20"/>
    </w:rPr>
  </w:style>
  <w:style w:type="paragraph" w:customStyle="1" w:styleId="49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6">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9">
    <w:name w:val="正文文字缩进2字"/>
    <w:basedOn w:val="25"/>
    <w:qFormat/>
    <w:uiPriority w:val="0"/>
    <w:pPr>
      <w:adjustRightInd/>
      <w:spacing w:before="60" w:after="60"/>
      <w:ind w:firstLine="200" w:firstLineChars="200"/>
    </w:pPr>
    <w:rPr>
      <w:rFonts w:ascii="Times New Roman"/>
      <w:szCs w:val="20"/>
      <w:lang w:val="en-US"/>
    </w:rPr>
  </w:style>
  <w:style w:type="paragraph" w:customStyle="1" w:styleId="500">
    <w:name w:val="默认段落字体 Para Char Char Char Char"/>
    <w:basedOn w:val="1"/>
    <w:qFormat/>
    <w:uiPriority w:val="0"/>
    <w:pPr>
      <w:spacing w:line="360" w:lineRule="auto"/>
    </w:pPr>
    <w:rPr>
      <w:szCs w:val="20"/>
    </w:rPr>
  </w:style>
  <w:style w:type="paragraph" w:customStyle="1" w:styleId="50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3">
    <w:name w:val="Char2 Char Char Char2"/>
    <w:basedOn w:val="1"/>
    <w:qFormat/>
    <w:uiPriority w:val="0"/>
    <w:rPr>
      <w:rFonts w:ascii="仿宋_GB2312" w:eastAsia="仿宋_GB2312"/>
      <w:b/>
      <w:sz w:val="32"/>
      <w:szCs w:val="32"/>
    </w:rPr>
  </w:style>
  <w:style w:type="paragraph" w:customStyle="1" w:styleId="50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6">
    <w:name w:val="正文 首行缩进:  2 字符 Char"/>
    <w:basedOn w:val="1"/>
    <w:qFormat/>
    <w:uiPriority w:val="0"/>
    <w:pPr>
      <w:adjustRightInd/>
      <w:spacing w:line="360" w:lineRule="auto"/>
      <w:ind w:firstLine="480"/>
    </w:pPr>
    <w:rPr>
      <w:rFonts w:cs="宋体"/>
      <w:sz w:val="24"/>
      <w:szCs w:val="20"/>
    </w:rPr>
  </w:style>
  <w:style w:type="paragraph" w:customStyle="1" w:styleId="507">
    <w:name w:val="Char Char4 Char Char"/>
    <w:basedOn w:val="1"/>
    <w:qFormat/>
    <w:uiPriority w:val="0"/>
    <w:pPr>
      <w:widowControl/>
      <w:adjustRightInd/>
      <w:spacing w:after="160" w:line="240" w:lineRule="exact"/>
      <w:jc w:val="left"/>
    </w:pPr>
  </w:style>
  <w:style w:type="paragraph" w:customStyle="1" w:styleId="50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9">
    <w:name w:val="Char Char11 Char Char Char2"/>
    <w:basedOn w:val="1"/>
    <w:qFormat/>
    <w:uiPriority w:val="0"/>
    <w:pPr>
      <w:spacing w:line="360" w:lineRule="auto"/>
    </w:pPr>
    <w:rPr>
      <w:szCs w:val="20"/>
    </w:rPr>
  </w:style>
  <w:style w:type="paragraph" w:customStyle="1" w:styleId="51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2">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6">
    <w:name w:val="Char311"/>
    <w:basedOn w:val="1"/>
    <w:qFormat/>
    <w:uiPriority w:val="0"/>
    <w:pPr>
      <w:adjustRightInd/>
      <w:ind w:firstLine="200" w:firstLineChars="200"/>
    </w:pPr>
    <w:rPr>
      <w:rFonts w:ascii="Tahoma" w:hAnsi="Tahoma"/>
      <w:sz w:val="24"/>
      <w:szCs w:val="20"/>
    </w:rPr>
  </w:style>
  <w:style w:type="paragraph" w:customStyle="1" w:styleId="517">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9">
    <w:name w:val="正文 内标"/>
    <w:basedOn w:val="434"/>
    <w:qFormat/>
    <w:uiPriority w:val="0"/>
    <w:pPr>
      <w:tabs>
        <w:tab w:val="left" w:pos="0"/>
      </w:tabs>
      <w:ind w:left="900" w:firstLine="0" w:firstLineChars="0"/>
    </w:pPr>
  </w:style>
  <w:style w:type="paragraph" w:customStyle="1" w:styleId="520">
    <w:name w:val="Bulleted List"/>
    <w:basedOn w:val="1"/>
    <w:qFormat/>
    <w:uiPriority w:val="0"/>
    <w:pPr>
      <w:tabs>
        <w:tab w:val="left" w:pos="1260"/>
      </w:tabs>
      <w:adjustRightInd/>
      <w:ind w:left="1260" w:hanging="420"/>
    </w:pPr>
  </w:style>
  <w:style w:type="paragraph" w:customStyle="1" w:styleId="521">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522">
    <w:name w:val="样式 左侧:  0.85 厘米"/>
    <w:basedOn w:val="1"/>
    <w:qFormat/>
    <w:uiPriority w:val="2"/>
    <w:pPr>
      <w:adjustRightInd/>
      <w:spacing w:line="360" w:lineRule="auto"/>
    </w:pPr>
    <w:rPr>
      <w:rFonts w:cs="宋体"/>
      <w:sz w:val="24"/>
      <w:szCs w:val="20"/>
    </w:rPr>
  </w:style>
  <w:style w:type="paragraph" w:customStyle="1" w:styleId="523">
    <w:name w:val="Char Char Char Char Char Char Char Char Char Char Char Char1 Char"/>
    <w:basedOn w:val="1"/>
    <w:qFormat/>
    <w:uiPriority w:val="0"/>
    <w:rPr>
      <w:rFonts w:ascii="Tahoma" w:hAnsi="Tahoma" w:cs="仿宋_GB2312"/>
      <w:sz w:val="24"/>
      <w:szCs w:val="20"/>
    </w:rPr>
  </w:style>
  <w:style w:type="paragraph" w:customStyle="1" w:styleId="524">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52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8">
    <w:name w:val="Char Char1 Char Char Char Char Char Char"/>
    <w:basedOn w:val="1"/>
    <w:qFormat/>
    <w:uiPriority w:val="0"/>
    <w:rPr>
      <w:rFonts w:ascii="仿宋_GB2312" w:eastAsia="仿宋_GB2312"/>
      <w:b/>
      <w:sz w:val="32"/>
      <w:szCs w:val="20"/>
    </w:rPr>
  </w:style>
  <w:style w:type="paragraph" w:customStyle="1" w:styleId="52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qFormat/>
    <w:uiPriority w:val="0"/>
    <w:rPr>
      <w:rFonts w:ascii="仿宋_GB2312" w:eastAsia="仿宋_GB2312"/>
      <w:b/>
      <w:sz w:val="32"/>
      <w:szCs w:val="20"/>
    </w:rPr>
  </w:style>
  <w:style w:type="paragraph" w:customStyle="1" w:styleId="53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0">
    <w:name w:val="Char31"/>
    <w:basedOn w:val="1"/>
    <w:qFormat/>
    <w:uiPriority w:val="0"/>
    <w:pPr>
      <w:adjustRightInd/>
    </w:pPr>
    <w:rPr>
      <w:rFonts w:ascii="仿宋_GB2312" w:eastAsia="仿宋_GB2312"/>
      <w:b/>
      <w:sz w:val="32"/>
      <w:szCs w:val="32"/>
    </w:rPr>
  </w:style>
  <w:style w:type="paragraph" w:customStyle="1" w:styleId="541">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54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4">
    <w:name w:val="Char Char1"/>
    <w:basedOn w:val="1"/>
    <w:qFormat/>
    <w:uiPriority w:val="0"/>
    <w:pPr>
      <w:widowControl/>
      <w:spacing w:after="160" w:line="240" w:lineRule="exact"/>
      <w:jc w:val="left"/>
    </w:pPr>
    <w:rPr>
      <w:rFonts w:eastAsia="仿宋_GB2312"/>
      <w:sz w:val="28"/>
    </w:rPr>
  </w:style>
  <w:style w:type="paragraph" w:customStyle="1" w:styleId="545">
    <w:name w:val="Char21"/>
    <w:basedOn w:val="1"/>
    <w:qFormat/>
    <w:uiPriority w:val="0"/>
    <w:pPr>
      <w:adjustRightInd/>
      <w:ind w:firstLine="200" w:firstLineChars="200"/>
    </w:pPr>
    <w:rPr>
      <w:rFonts w:ascii="仿宋_GB2312" w:eastAsia="仿宋_GB2312"/>
      <w:b/>
      <w:sz w:val="32"/>
      <w:szCs w:val="32"/>
    </w:rPr>
  </w:style>
  <w:style w:type="paragraph" w:customStyle="1" w:styleId="546">
    <w:name w:val="列表段落1"/>
    <w:basedOn w:val="1"/>
    <w:qFormat/>
    <w:uiPriority w:val="34"/>
    <w:pPr>
      <w:adjustRightInd/>
      <w:ind w:right="238" w:firstLine="420"/>
    </w:pPr>
    <w:rPr>
      <w:rFonts w:ascii="Calibri" w:hAnsi="Calibri"/>
      <w:sz w:val="24"/>
    </w:rPr>
  </w:style>
  <w:style w:type="paragraph" w:customStyle="1" w:styleId="547">
    <w:name w:val="Char Char110"/>
    <w:basedOn w:val="1"/>
    <w:qFormat/>
    <w:uiPriority w:val="6"/>
    <w:pPr>
      <w:spacing w:line="360" w:lineRule="auto"/>
    </w:pPr>
    <w:rPr>
      <w:rFonts w:ascii="Tahoma" w:hAnsi="Tahoma"/>
      <w:sz w:val="24"/>
      <w:szCs w:val="20"/>
    </w:rPr>
  </w:style>
  <w:style w:type="paragraph" w:customStyle="1" w:styleId="54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2">
    <w:name w:val="Char Char Char Char Char Char Char Char Char Char Char Char1 Char2"/>
    <w:basedOn w:val="1"/>
    <w:qFormat/>
    <w:uiPriority w:val="0"/>
    <w:rPr>
      <w:rFonts w:ascii="Tahoma" w:hAnsi="Tahoma" w:cs="仿宋_GB2312"/>
      <w:sz w:val="24"/>
      <w:szCs w:val="20"/>
    </w:rPr>
  </w:style>
  <w:style w:type="paragraph" w:customStyle="1" w:styleId="55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5">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55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7">
    <w:name w:val="_Style 12"/>
    <w:basedOn w:val="20"/>
    <w:qFormat/>
    <w:uiPriority w:val="0"/>
    <w:pPr>
      <w:snapToGrid w:val="0"/>
      <w:spacing w:line="360" w:lineRule="auto"/>
    </w:pPr>
  </w:style>
  <w:style w:type="paragraph" w:customStyle="1" w:styleId="55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0">
    <w:name w:val="_Style 94"/>
    <w:basedOn w:val="1"/>
    <w:next w:val="101"/>
    <w:qFormat/>
    <w:uiPriority w:val="34"/>
    <w:pPr>
      <w:adjustRightInd/>
      <w:spacing w:line="360" w:lineRule="auto"/>
      <w:ind w:firstLine="200" w:firstLineChars="200"/>
    </w:pPr>
    <w:rPr>
      <w:rFonts w:ascii="Calibri" w:hAnsi="Calibri"/>
      <w:sz w:val="28"/>
      <w:szCs w:val="20"/>
    </w:rPr>
  </w:style>
  <w:style w:type="paragraph" w:customStyle="1" w:styleId="56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2">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4">
    <w:name w:val="3级标题"/>
    <w:basedOn w:val="356"/>
    <w:qFormat/>
    <w:uiPriority w:val="0"/>
    <w:pPr>
      <w:outlineLvl w:val="2"/>
    </w:pPr>
  </w:style>
  <w:style w:type="paragraph" w:customStyle="1" w:styleId="56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6">
    <w:name w:val="Char1 Char Char Char3"/>
    <w:basedOn w:val="1"/>
    <w:qFormat/>
    <w:uiPriority w:val="0"/>
    <w:pPr>
      <w:adjustRightInd/>
      <w:ind w:firstLine="200" w:firstLineChars="200"/>
    </w:pPr>
    <w:rPr>
      <w:rFonts w:ascii="Tahoma" w:hAnsi="Tahoma"/>
      <w:sz w:val="24"/>
      <w:szCs w:val="20"/>
    </w:rPr>
  </w:style>
  <w:style w:type="paragraph" w:customStyle="1" w:styleId="56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8">
    <w:name w:val="MM Empty"/>
    <w:basedOn w:val="1"/>
    <w:qFormat/>
    <w:uiPriority w:val="0"/>
    <w:pPr>
      <w:adjustRightInd/>
    </w:pPr>
  </w:style>
  <w:style w:type="paragraph" w:customStyle="1" w:styleId="569">
    <w:name w:val="Char24"/>
    <w:basedOn w:val="1"/>
    <w:qFormat/>
    <w:uiPriority w:val="0"/>
    <w:rPr>
      <w:rFonts w:ascii="仿宋_GB2312" w:eastAsia="仿宋_GB2312"/>
      <w:b/>
      <w:sz w:val="32"/>
      <w:szCs w:val="32"/>
    </w:rPr>
  </w:style>
  <w:style w:type="paragraph" w:customStyle="1" w:styleId="570">
    <w:name w:val="正文箭头"/>
    <w:basedOn w:val="222"/>
    <w:qFormat/>
    <w:uiPriority w:val="0"/>
  </w:style>
  <w:style w:type="paragraph" w:customStyle="1" w:styleId="571">
    <w:name w:val="U_编号2"/>
    <w:basedOn w:val="1"/>
    <w:qFormat/>
    <w:uiPriority w:val="0"/>
    <w:pPr>
      <w:tabs>
        <w:tab w:val="left" w:pos="785"/>
      </w:tabs>
      <w:adjustRightInd/>
      <w:spacing w:beforeLines="10" w:afterLines="10" w:line="300" w:lineRule="auto"/>
    </w:pPr>
    <w:rPr>
      <w:sz w:val="24"/>
    </w:rPr>
  </w:style>
  <w:style w:type="paragraph" w:customStyle="1" w:styleId="57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4">
    <w:name w:val="标书标题3"/>
    <w:basedOn w:val="6"/>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5">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6">
    <w:name w:val="_Style 1"/>
    <w:basedOn w:val="1"/>
    <w:qFormat/>
    <w:uiPriority w:val="34"/>
    <w:pPr>
      <w:adjustRightInd/>
      <w:ind w:firstLine="420" w:firstLineChars="200"/>
    </w:pPr>
    <w:rPr>
      <w:rFonts w:eastAsia="仿宋_GB2312"/>
      <w:sz w:val="28"/>
    </w:rPr>
  </w:style>
  <w:style w:type="paragraph" w:customStyle="1" w:styleId="577">
    <w:name w:val="表格 内容"/>
    <w:basedOn w:val="413"/>
    <w:qFormat/>
    <w:uiPriority w:val="0"/>
    <w:rPr>
      <w:b w:val="0"/>
      <w:sz w:val="20"/>
    </w:rPr>
  </w:style>
  <w:style w:type="paragraph" w:customStyle="1" w:styleId="578">
    <w:name w:val="正文首行缩进1"/>
    <w:basedOn w:val="25"/>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0">
    <w:name w:val="数字标题5"/>
    <w:basedOn w:val="9"/>
    <w:next w:val="1"/>
    <w:qFormat/>
    <w:uiPriority w:val="0"/>
    <w:pPr>
      <w:tabs>
        <w:tab w:val="left" w:pos="1080"/>
        <w:tab w:val="clear" w:pos="1008"/>
      </w:tabs>
      <w:ind w:left="1080" w:hanging="1080"/>
    </w:pPr>
  </w:style>
  <w:style w:type="paragraph" w:customStyle="1" w:styleId="581">
    <w:name w:val="数字标题1"/>
    <w:basedOn w:val="4"/>
    <w:next w:val="1"/>
    <w:qFormat/>
    <w:uiPriority w:val="0"/>
    <w:pPr>
      <w:tabs>
        <w:tab w:val="left" w:pos="480"/>
        <w:tab w:val="clear" w:pos="432"/>
      </w:tabs>
      <w:ind w:left="480" w:hanging="480"/>
    </w:pPr>
  </w:style>
  <w:style w:type="paragraph" w:customStyle="1" w:styleId="58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8">
    <w:name w:val="0"/>
    <w:basedOn w:val="1"/>
    <w:qFormat/>
    <w:uiPriority w:val="0"/>
    <w:pPr>
      <w:widowControl/>
    </w:pPr>
    <w:rPr>
      <w:kern w:val="0"/>
      <w:sz w:val="24"/>
      <w:szCs w:val="20"/>
    </w:rPr>
  </w:style>
  <w:style w:type="paragraph" w:customStyle="1" w:styleId="589">
    <w:name w:val="Char Char113"/>
    <w:basedOn w:val="1"/>
    <w:qFormat/>
    <w:uiPriority w:val="0"/>
    <w:pPr>
      <w:widowControl/>
      <w:spacing w:after="160" w:line="240" w:lineRule="exact"/>
      <w:jc w:val="left"/>
    </w:pPr>
    <w:rPr>
      <w:rFonts w:eastAsia="仿宋_GB2312"/>
      <w:sz w:val="28"/>
    </w:rPr>
  </w:style>
  <w:style w:type="paragraph" w:customStyle="1" w:styleId="59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1">
    <w:name w:val="_Style 8"/>
    <w:basedOn w:val="1"/>
    <w:qFormat/>
    <w:uiPriority w:val="34"/>
    <w:pPr>
      <w:adjustRightInd/>
      <w:ind w:firstLine="420" w:firstLineChars="200"/>
    </w:pPr>
    <w:rPr>
      <w:rFonts w:eastAsia="仿宋_GB2312"/>
      <w:sz w:val="28"/>
    </w:rPr>
  </w:style>
  <w:style w:type="paragraph" w:customStyle="1" w:styleId="59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3">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7">
    <w:name w:val="Char Char112"/>
    <w:basedOn w:val="1"/>
    <w:qFormat/>
    <w:uiPriority w:val="6"/>
    <w:pPr>
      <w:widowControl/>
      <w:spacing w:after="160" w:line="240" w:lineRule="exact"/>
      <w:jc w:val="left"/>
    </w:pPr>
    <w:rPr>
      <w:rFonts w:eastAsia="仿宋_GB2312"/>
      <w:sz w:val="28"/>
    </w:rPr>
  </w:style>
  <w:style w:type="paragraph" w:customStyle="1" w:styleId="598">
    <w:name w:val="正文 图"/>
    <w:basedOn w:val="127"/>
    <w:qFormat/>
    <w:uiPriority w:val="0"/>
    <w:pPr>
      <w:adjustRightInd/>
      <w:spacing w:before="0"/>
      <w:ind w:firstLine="0"/>
      <w:jc w:val="center"/>
    </w:pPr>
    <w:rPr>
      <w:rFonts w:ascii="微软雅黑" w:hAnsi="微软雅黑"/>
    </w:rPr>
  </w:style>
  <w:style w:type="paragraph" w:customStyle="1" w:styleId="59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1">
    <w:name w:val="Thf"/>
    <w:basedOn w:val="246"/>
    <w:qFormat/>
    <w:uiPriority w:val="0"/>
    <w:pPr>
      <w:ind w:left="0"/>
    </w:pPr>
  </w:style>
  <w:style w:type="paragraph" w:customStyle="1" w:styleId="60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4">
    <w:name w:val="注释"/>
    <w:basedOn w:val="1"/>
    <w:qFormat/>
    <w:uiPriority w:val="0"/>
    <w:pPr>
      <w:adjustRightInd/>
      <w:spacing w:line="360" w:lineRule="auto"/>
      <w:ind w:firstLine="480"/>
    </w:pPr>
    <w:rPr>
      <w:sz w:val="24"/>
    </w:rPr>
  </w:style>
  <w:style w:type="paragraph" w:customStyle="1" w:styleId="605">
    <w:name w:val="列出段落111"/>
    <w:basedOn w:val="1"/>
    <w:qFormat/>
    <w:uiPriority w:val="34"/>
    <w:pPr>
      <w:ind w:firstLine="420" w:firstLineChars="200"/>
    </w:pPr>
  </w:style>
  <w:style w:type="paragraph" w:customStyle="1" w:styleId="606">
    <w:name w:val="标准文本"/>
    <w:basedOn w:val="1"/>
    <w:link w:val="944"/>
    <w:qFormat/>
    <w:uiPriority w:val="0"/>
    <w:pPr>
      <w:adjustRightInd/>
      <w:spacing w:line="360" w:lineRule="auto"/>
      <w:ind w:firstLine="480" w:firstLineChars="200"/>
    </w:pPr>
    <w:rPr>
      <w:rFonts w:cs="宋体"/>
      <w:sz w:val="24"/>
      <w:szCs w:val="20"/>
    </w:rPr>
  </w:style>
  <w:style w:type="paragraph" w:customStyle="1" w:styleId="607">
    <w:name w:val="_Style 947"/>
    <w:basedOn w:val="1"/>
    <w:next w:val="101"/>
    <w:qFormat/>
    <w:uiPriority w:val="34"/>
    <w:pPr>
      <w:adjustRightInd/>
      <w:ind w:firstLine="420" w:firstLineChars="200"/>
    </w:pPr>
  </w:style>
  <w:style w:type="paragraph" w:customStyle="1" w:styleId="60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9">
    <w:name w:val="纯文本2"/>
    <w:basedOn w:val="1"/>
    <w:qFormat/>
    <w:uiPriority w:val="0"/>
    <w:pPr>
      <w:adjustRightInd/>
      <w:snapToGrid w:val="0"/>
      <w:jc w:val="left"/>
    </w:pPr>
    <w:rPr>
      <w:rFonts w:ascii="Century Gothic" w:hAnsi="楷体_GB2312" w:eastAsia="Century Gothic"/>
      <w:szCs w:val="20"/>
    </w:rPr>
  </w:style>
  <w:style w:type="paragraph" w:customStyle="1" w:styleId="61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3">
    <w:name w:val="Blockquote"/>
    <w:basedOn w:val="1"/>
    <w:qFormat/>
    <w:uiPriority w:val="0"/>
    <w:pPr>
      <w:autoSpaceDE w:val="0"/>
      <w:autoSpaceDN w:val="0"/>
      <w:spacing w:before="100" w:after="100"/>
      <w:ind w:left="360" w:right="360"/>
      <w:jc w:val="left"/>
    </w:pPr>
    <w:rPr>
      <w:kern w:val="0"/>
      <w:sz w:val="24"/>
      <w:szCs w:val="20"/>
    </w:rPr>
  </w:style>
  <w:style w:type="paragraph" w:customStyle="1" w:styleId="614">
    <w:name w:val="p1"/>
    <w:basedOn w:val="1"/>
    <w:qFormat/>
    <w:uiPriority w:val="0"/>
    <w:pPr>
      <w:widowControl/>
      <w:adjustRightInd/>
      <w:jc w:val="left"/>
    </w:pPr>
    <w:rPr>
      <w:rFonts w:ascii=".PingFang SC" w:eastAsia=".PingFang SC"/>
      <w:color w:val="454545"/>
      <w:kern w:val="0"/>
      <w:sz w:val="18"/>
      <w:szCs w:val="18"/>
    </w:rPr>
  </w:style>
  <w:style w:type="paragraph" w:customStyle="1" w:styleId="615">
    <w:name w:val="Table Paragraph"/>
    <w:basedOn w:val="1"/>
    <w:qFormat/>
    <w:uiPriority w:val="0"/>
    <w:pPr>
      <w:adjustRightInd/>
      <w:jc w:val="left"/>
    </w:pPr>
    <w:rPr>
      <w:rFonts w:ascii="Calibri" w:hAnsi="Calibri"/>
      <w:kern w:val="0"/>
      <w:sz w:val="22"/>
      <w:szCs w:val="22"/>
      <w:lang w:eastAsia="en-US"/>
    </w:rPr>
  </w:style>
  <w:style w:type="paragraph" w:customStyle="1" w:styleId="61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9">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620">
    <w:name w:val="No Spacing1"/>
    <w:qFormat/>
    <w:uiPriority w:val="0"/>
    <w:rPr>
      <w:rFonts w:ascii="Calibri" w:hAnsi="Calibri" w:eastAsia="??" w:cs="宋体"/>
      <w:sz w:val="22"/>
      <w:szCs w:val="22"/>
      <w:lang w:val="en-US" w:eastAsia="en-US" w:bidi="ar-SA"/>
    </w:rPr>
  </w:style>
  <w:style w:type="paragraph" w:customStyle="1" w:styleId="621">
    <w:name w:val="[Normal]"/>
    <w:qFormat/>
    <w:uiPriority w:val="0"/>
    <w:rPr>
      <w:rFonts w:ascii="宋体" w:hAnsi="宋体" w:eastAsia="宋体" w:cs="Times New Roman"/>
      <w:sz w:val="24"/>
      <w:szCs w:val="22"/>
      <w:lang w:val="zh-CN" w:eastAsia="zh-CN" w:bidi="ar-SA"/>
    </w:rPr>
  </w:style>
  <w:style w:type="paragraph" w:customStyle="1" w:styleId="622">
    <w:name w:val="样式6 正文"/>
    <w:qFormat/>
    <w:uiPriority w:val="0"/>
    <w:pPr>
      <w:spacing w:line="360" w:lineRule="auto"/>
      <w:ind w:firstLine="528" w:firstLineChars="220"/>
      <w:jc w:val="both"/>
    </w:pPr>
    <w:rPr>
      <w:rFonts w:ascii="Times New Roman" w:hAnsi="Times New Roman" w:eastAsia="宋体" w:cs="Times New Roman"/>
      <w:sz w:val="24"/>
      <w:szCs w:val="22"/>
      <w:lang w:val="en-US" w:eastAsia="zh-CN" w:bidi="ar-SA"/>
    </w:rPr>
  </w:style>
  <w:style w:type="character" w:customStyle="1" w:styleId="623">
    <w:name w:val="表格非标题文字 Char"/>
    <w:link w:val="81"/>
    <w:qFormat/>
    <w:uiPriority w:val="0"/>
    <w:rPr>
      <w:rFonts w:ascii="Futura Bk" w:hAnsi="Futura Bk"/>
      <w:kern w:val="2"/>
      <w:sz w:val="18"/>
      <w:szCs w:val="21"/>
      <w:lang w:val="en-US" w:eastAsia="zh-CN" w:bidi="ar-SA"/>
    </w:rPr>
  </w:style>
  <w:style w:type="character" w:customStyle="1" w:styleId="624">
    <w:name w:val="*正文 Char"/>
    <w:link w:val="82"/>
    <w:qFormat/>
    <w:locked/>
    <w:uiPriority w:val="0"/>
    <w:rPr>
      <w:rFonts w:ascii="宋体" w:hAnsi="宋体"/>
      <w:sz w:val="24"/>
    </w:rPr>
  </w:style>
  <w:style w:type="character" w:customStyle="1" w:styleId="625">
    <w:name w:val="Char Char71"/>
    <w:semiHidden/>
    <w:qFormat/>
    <w:uiPriority w:val="0"/>
    <w:rPr>
      <w:rFonts w:eastAsia="宋体"/>
      <w:kern w:val="2"/>
      <w:sz w:val="21"/>
      <w:szCs w:val="24"/>
      <w:lang w:val="en-US" w:eastAsia="zh-CN" w:bidi="ar-SA"/>
    </w:rPr>
  </w:style>
  <w:style w:type="character" w:customStyle="1" w:styleId="626">
    <w:name w:val="Char Char6"/>
    <w:qFormat/>
    <w:uiPriority w:val="0"/>
    <w:rPr>
      <w:rFonts w:eastAsia="宋体"/>
      <w:kern w:val="2"/>
      <w:sz w:val="21"/>
      <w:szCs w:val="24"/>
      <w:lang w:val="en-US" w:eastAsia="zh-CN" w:bidi="ar-SA"/>
    </w:rPr>
  </w:style>
  <w:style w:type="character" w:customStyle="1" w:styleId="627">
    <w:name w:val="正文缩进 Char"/>
    <w:qFormat/>
    <w:uiPriority w:val="0"/>
    <w:rPr>
      <w:rFonts w:eastAsia="宋体"/>
      <w:kern w:val="2"/>
      <w:sz w:val="21"/>
      <w:lang w:val="en-US" w:eastAsia="zh-CN"/>
    </w:rPr>
  </w:style>
  <w:style w:type="character" w:customStyle="1" w:styleId="628">
    <w:name w:val="正文首行缩进 Char1"/>
    <w:qFormat/>
    <w:uiPriority w:val="0"/>
    <w:rPr>
      <w:rFonts w:ascii="宋体" w:hAnsi="Times New Roman" w:eastAsia="宋体" w:cs="Times New Roman"/>
      <w:snapToGrid w:val="0"/>
      <w:kern w:val="2"/>
      <w:sz w:val="24"/>
      <w:szCs w:val="21"/>
      <w:lang w:val="zh-CN"/>
    </w:rPr>
  </w:style>
  <w:style w:type="character" w:customStyle="1" w:styleId="629">
    <w:name w:val="Char Char28"/>
    <w:qFormat/>
    <w:uiPriority w:val="6"/>
    <w:rPr>
      <w:rFonts w:ascii="仿宋_GB2312" w:hAnsi="仿宋_GB2312" w:eastAsia="仿宋_GB2312"/>
      <w:kern w:val="1"/>
      <w:sz w:val="28"/>
    </w:rPr>
  </w:style>
  <w:style w:type="character" w:customStyle="1" w:styleId="63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31">
    <w:name w:val="Heading 1 Char"/>
    <w:qFormat/>
    <w:uiPriority w:val="6"/>
    <w:rPr>
      <w:rFonts w:ascii="Times New Roman" w:hAnsi="Times New Roman" w:eastAsia="黑体" w:cs="Times New Roman"/>
      <w:b/>
      <w:kern w:val="0"/>
      <w:sz w:val="24"/>
      <w:szCs w:val="24"/>
    </w:rPr>
  </w:style>
  <w:style w:type="character" w:customStyle="1" w:styleId="632">
    <w:name w:val="U_正文 Char"/>
    <w:link w:val="83"/>
    <w:qFormat/>
    <w:uiPriority w:val="0"/>
    <w:rPr>
      <w:sz w:val="24"/>
      <w:szCs w:val="24"/>
    </w:rPr>
  </w:style>
  <w:style w:type="character" w:customStyle="1" w:styleId="633">
    <w:name w:val="HTML 地址 Char1"/>
    <w:qFormat/>
    <w:uiPriority w:val="0"/>
    <w:rPr>
      <w:rFonts w:ascii="Times New Roman" w:hAnsi="Times New Roman" w:eastAsia="宋体" w:cs="Times New Roman"/>
      <w:i/>
      <w:iCs/>
      <w:szCs w:val="24"/>
    </w:rPr>
  </w:style>
  <w:style w:type="character" w:customStyle="1" w:styleId="634">
    <w:name w:val="批注主题 Char1"/>
    <w:link w:val="61"/>
    <w:qFormat/>
    <w:uiPriority w:val="0"/>
    <w:rPr>
      <w:b/>
      <w:bCs/>
      <w:kern w:val="2"/>
      <w:sz w:val="21"/>
      <w:szCs w:val="24"/>
    </w:rPr>
  </w:style>
  <w:style w:type="character" w:customStyle="1" w:styleId="635">
    <w:name w:val="Char Char51"/>
    <w:qFormat/>
    <w:uiPriority w:val="0"/>
    <w:rPr>
      <w:rFonts w:ascii="宋体" w:hAnsi="Courier New" w:eastAsia="宋体"/>
      <w:kern w:val="2"/>
      <w:sz w:val="21"/>
      <w:lang w:val="en-US" w:eastAsia="zh-CN"/>
    </w:rPr>
  </w:style>
  <w:style w:type="character" w:customStyle="1" w:styleId="636">
    <w:name w:val="表正文 Char"/>
    <w:qFormat/>
    <w:uiPriority w:val="0"/>
    <w:rPr>
      <w:rFonts w:ascii="宋体" w:eastAsia="宋体"/>
      <w:snapToGrid w:val="0"/>
      <w:color w:val="000000"/>
      <w:kern w:val="28"/>
      <w:sz w:val="28"/>
      <w:lang w:val="en-US" w:eastAsia="zh-CN" w:bidi="ar-SA"/>
    </w:rPr>
  </w:style>
  <w:style w:type="character" w:customStyle="1" w:styleId="637">
    <w:name w:val="Char Char34"/>
    <w:qFormat/>
    <w:uiPriority w:val="6"/>
    <w:rPr>
      <w:b/>
      <w:kern w:val="1"/>
      <w:sz w:val="28"/>
      <w:szCs w:val="28"/>
    </w:rPr>
  </w:style>
  <w:style w:type="character" w:customStyle="1" w:styleId="63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9">
    <w:name w:val="哈哈正文 Char"/>
    <w:link w:val="84"/>
    <w:qFormat/>
    <w:uiPriority w:val="0"/>
    <w:rPr>
      <w:rFonts w:ascii="宋体" w:hAnsi="宋体" w:eastAsia="宋体"/>
      <w:kern w:val="2"/>
      <w:sz w:val="24"/>
      <w:lang w:bidi="ar-SA"/>
    </w:rPr>
  </w:style>
  <w:style w:type="character" w:customStyle="1" w:styleId="640">
    <w:name w:val="未处理的提及1"/>
    <w:qFormat/>
    <w:uiPriority w:val="0"/>
    <w:rPr>
      <w:color w:val="808080"/>
      <w:shd w:val="clear" w:color="auto" w:fill="E6E6E6"/>
    </w:rPr>
  </w:style>
  <w:style w:type="character" w:customStyle="1" w:styleId="641">
    <w:name w:val="txt"/>
    <w:qFormat/>
    <w:uiPriority w:val="0"/>
    <w:rPr>
      <w:rFonts w:ascii="仿宋_GB2312" w:eastAsia="微软雅黑"/>
      <w:b/>
      <w:kern w:val="2"/>
      <w:sz w:val="32"/>
      <w:szCs w:val="32"/>
      <w:lang w:val="en-US" w:eastAsia="zh-CN" w:bidi="ar-SA"/>
    </w:rPr>
  </w:style>
  <w:style w:type="character" w:customStyle="1" w:styleId="642">
    <w:name w:val="二级标题 Char Char"/>
    <w:qFormat/>
    <w:uiPriority w:val="0"/>
    <w:rPr>
      <w:rFonts w:ascii="宋体" w:hAnsi="宋体" w:eastAsia="宋体"/>
      <w:b/>
      <w:snapToGrid w:val="0"/>
      <w:kern w:val="2"/>
      <w:sz w:val="24"/>
      <w:szCs w:val="24"/>
      <w:lang w:val="en-US" w:eastAsia="zh-CN" w:bidi="ar-SA"/>
    </w:rPr>
  </w:style>
  <w:style w:type="character" w:customStyle="1" w:styleId="643">
    <w:name w:val="Char Char32"/>
    <w:qFormat/>
    <w:uiPriority w:val="6"/>
    <w:rPr>
      <w:b/>
      <w:kern w:val="1"/>
      <w:sz w:val="24"/>
      <w:szCs w:val="24"/>
    </w:rPr>
  </w:style>
  <w:style w:type="character" w:customStyle="1" w:styleId="644">
    <w:name w:val="PI Char1"/>
    <w:qFormat/>
    <w:uiPriority w:val="0"/>
    <w:rPr>
      <w:rFonts w:ascii="宋体" w:hAnsi="宋体"/>
      <w:kern w:val="2"/>
      <w:sz w:val="24"/>
      <w:szCs w:val="24"/>
    </w:rPr>
  </w:style>
  <w:style w:type="character" w:customStyle="1" w:styleId="645">
    <w:name w:val="tw4winTerm"/>
    <w:qFormat/>
    <w:uiPriority w:val="0"/>
    <w:rPr>
      <w:color w:val="0000FF"/>
    </w:rPr>
  </w:style>
  <w:style w:type="character" w:customStyle="1" w:styleId="646">
    <w:name w:val="Footer Char"/>
    <w:qFormat/>
    <w:locked/>
    <w:uiPriority w:val="0"/>
    <w:rPr>
      <w:rFonts w:eastAsia="宋体"/>
      <w:kern w:val="2"/>
      <w:sz w:val="18"/>
      <w:lang w:val="en-US" w:eastAsia="zh-CN" w:bidi="ar-SA"/>
    </w:rPr>
  </w:style>
  <w:style w:type="character" w:customStyle="1" w:styleId="647">
    <w:name w:val="普通文字 Char Char1"/>
    <w:qFormat/>
    <w:uiPriority w:val="0"/>
    <w:rPr>
      <w:rFonts w:ascii="宋体" w:hAnsi="Courier New"/>
      <w:kern w:val="2"/>
      <w:sz w:val="21"/>
    </w:rPr>
  </w:style>
  <w:style w:type="character" w:customStyle="1" w:styleId="648">
    <w:name w:val="Char Char101"/>
    <w:qFormat/>
    <w:uiPriority w:val="6"/>
    <w:rPr>
      <w:rFonts w:ascii="宋体" w:hAnsi="宋体"/>
      <w:kern w:val="2"/>
      <w:sz w:val="21"/>
      <w:szCs w:val="24"/>
      <w:lang w:val="en-US" w:eastAsia="zh-CN"/>
    </w:rPr>
  </w:style>
  <w:style w:type="character" w:customStyle="1" w:styleId="649">
    <w:name w:val="标题 4 Char"/>
    <w:qFormat/>
    <w:uiPriority w:val="0"/>
    <w:rPr>
      <w:rFonts w:ascii="Arial" w:hAnsi="Arial" w:eastAsia="黑体"/>
      <w:b/>
      <w:kern w:val="2"/>
      <w:sz w:val="28"/>
    </w:rPr>
  </w:style>
  <w:style w:type="character" w:customStyle="1" w:styleId="650">
    <w:name w:val="链接"/>
    <w:qFormat/>
    <w:uiPriority w:val="0"/>
    <w:rPr>
      <w:color w:val="0000FF"/>
      <w:sz w:val="21"/>
      <w:szCs w:val="21"/>
      <w:u w:val="single"/>
    </w:rPr>
  </w:style>
  <w:style w:type="character" w:customStyle="1" w:styleId="651">
    <w:name w:val="h4 Char"/>
    <w:qFormat/>
    <w:uiPriority w:val="0"/>
    <w:rPr>
      <w:rFonts w:ascii="Arial" w:hAnsi="Arial" w:eastAsia="黑体"/>
      <w:b/>
      <w:bCs/>
      <w:kern w:val="2"/>
      <w:sz w:val="28"/>
      <w:szCs w:val="28"/>
      <w:lang w:val="zh-CN" w:eastAsia="zh-CN" w:bidi="ar-SA"/>
    </w:rPr>
  </w:style>
  <w:style w:type="character" w:customStyle="1" w:styleId="652">
    <w:name w:val="5正文 Char"/>
    <w:link w:val="85"/>
    <w:qFormat/>
    <w:uiPriority w:val="0"/>
    <w:rPr>
      <w:rFonts w:ascii="仿宋_GB2312" w:hAnsi="微软雅黑" w:eastAsia="仿宋_GB2312"/>
      <w:sz w:val="28"/>
      <w:szCs w:val="21"/>
    </w:rPr>
  </w:style>
  <w:style w:type="character" w:customStyle="1" w:styleId="653">
    <w:name w:val="标题 3 字符"/>
    <w:qFormat/>
    <w:uiPriority w:val="9"/>
    <w:rPr>
      <w:b/>
      <w:bCs/>
      <w:kern w:val="2"/>
      <w:sz w:val="32"/>
      <w:szCs w:val="32"/>
    </w:rPr>
  </w:style>
  <w:style w:type="character" w:customStyle="1" w:styleId="654">
    <w:name w:val="样式6 Char"/>
    <w:qFormat/>
    <w:uiPriority w:val="0"/>
    <w:rPr>
      <w:rFonts w:ascii="仿宋_GB2312" w:hAnsi="宋体" w:eastAsia="仿宋_GB2312"/>
      <w:b/>
      <w:bCs/>
      <w:kern w:val="2"/>
      <w:sz w:val="24"/>
      <w:szCs w:val="24"/>
      <w:lang w:val="en-US" w:eastAsia="zh-CN" w:bidi="ar-SA"/>
    </w:rPr>
  </w:style>
  <w:style w:type="character" w:customStyle="1" w:styleId="655">
    <w:name w:val="Char Char14"/>
    <w:qFormat/>
    <w:uiPriority w:val="6"/>
    <w:rPr>
      <w:rFonts w:ascii="黑体" w:hAnsi="黑体" w:eastAsia="黑体"/>
    </w:rPr>
  </w:style>
  <w:style w:type="character" w:customStyle="1" w:styleId="656">
    <w:name w:val="Heading 2 Hidden Char"/>
    <w:qFormat/>
    <w:uiPriority w:val="0"/>
    <w:rPr>
      <w:rFonts w:ascii="仿宋_GB2312" w:eastAsia="仿宋_GB2312"/>
      <w:b/>
      <w:bCs/>
      <w:kern w:val="2"/>
      <w:sz w:val="24"/>
      <w:szCs w:val="24"/>
      <w:lang w:val="zh-CN" w:eastAsia="zh-CN" w:bidi="ar-SA"/>
    </w:rPr>
  </w:style>
  <w:style w:type="character" w:customStyle="1" w:styleId="657">
    <w:name w:val="正文首行缩进 2 Char"/>
    <w:link w:val="62"/>
    <w:qFormat/>
    <w:uiPriority w:val="0"/>
    <w:rPr>
      <w:rFonts w:ascii="宋体" w:hAnsi="宋体"/>
      <w:kern w:val="2"/>
      <w:sz w:val="21"/>
      <w:szCs w:val="24"/>
    </w:rPr>
  </w:style>
  <w:style w:type="character" w:customStyle="1" w:styleId="658">
    <w:name w:val="font11"/>
    <w:qFormat/>
    <w:uiPriority w:val="0"/>
    <w:rPr>
      <w:rFonts w:hint="default" w:ascii="Times New Roman" w:hAnsi="Times New Roman" w:cs="Times New Roman"/>
      <w:color w:val="000000"/>
      <w:sz w:val="22"/>
      <w:szCs w:val="22"/>
      <w:u w:val="none"/>
    </w:rPr>
  </w:style>
  <w:style w:type="character" w:customStyle="1" w:styleId="659">
    <w:name w:val="表正文 Char1"/>
    <w:qFormat/>
    <w:uiPriority w:val="0"/>
    <w:rPr>
      <w:rFonts w:ascii="宋体" w:eastAsia="宋体"/>
      <w:snapToGrid w:val="0"/>
      <w:color w:val="000000"/>
      <w:kern w:val="28"/>
      <w:sz w:val="28"/>
    </w:rPr>
  </w:style>
  <w:style w:type="character" w:customStyle="1" w:styleId="660">
    <w:name w:val="blue1"/>
    <w:basedOn w:val="70"/>
    <w:qFormat/>
    <w:uiPriority w:val="0"/>
    <w:rPr>
      <w:rFonts w:ascii="Arial" w:hAnsi="Arial" w:eastAsia="黑体" w:cs="Arial"/>
      <w:snapToGrid w:val="0"/>
      <w:kern w:val="0"/>
      <w:szCs w:val="21"/>
    </w:rPr>
  </w:style>
  <w:style w:type="character" w:customStyle="1" w:styleId="661">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662">
    <w:name w:val="标书1 Char"/>
    <w:qFormat/>
    <w:uiPriority w:val="0"/>
    <w:rPr>
      <w:rFonts w:eastAsia="宋体"/>
      <w:b/>
      <w:bCs/>
      <w:kern w:val="44"/>
      <w:sz w:val="44"/>
      <w:szCs w:val="44"/>
      <w:lang w:val="en-US" w:eastAsia="zh-CN" w:bidi="ar-SA"/>
    </w:rPr>
  </w:style>
  <w:style w:type="character" w:customStyle="1" w:styleId="663">
    <w:name w:val="样式5 Char"/>
    <w:qFormat/>
    <w:uiPriority w:val="0"/>
    <w:rPr>
      <w:rFonts w:ascii="仿宋_GB2312" w:hAnsi="仿宋" w:eastAsia="仿宋_GB2312"/>
      <w:kern w:val="2"/>
      <w:sz w:val="24"/>
      <w:szCs w:val="24"/>
    </w:rPr>
  </w:style>
  <w:style w:type="character" w:customStyle="1" w:styleId="664">
    <w:name w:val="样式4 Char"/>
    <w:qFormat/>
    <w:uiPriority w:val="0"/>
    <w:rPr>
      <w:rFonts w:ascii="仿宋_GB2312" w:hAnsi="仿宋" w:eastAsia="仿宋_GB2312"/>
      <w:b/>
      <w:kern w:val="2"/>
      <w:sz w:val="32"/>
      <w:szCs w:val="32"/>
      <w:lang w:bidi="ar-SA"/>
    </w:rPr>
  </w:style>
  <w:style w:type="character" w:customStyle="1" w:styleId="665">
    <w:name w:val="插图说明 Char"/>
    <w:qFormat/>
    <w:uiPriority w:val="0"/>
    <w:rPr>
      <w:rFonts w:eastAsia="黑体"/>
      <w:sz w:val="24"/>
      <w:lang w:val="en-US" w:eastAsia="zh-CN"/>
    </w:rPr>
  </w:style>
  <w:style w:type="character" w:customStyle="1" w:styleId="666">
    <w:name w:val="正文2 Char Char"/>
    <w:link w:val="86"/>
    <w:qFormat/>
    <w:uiPriority w:val="0"/>
    <w:rPr>
      <w:rFonts w:eastAsia="宋体"/>
      <w:kern w:val="2"/>
      <w:sz w:val="24"/>
      <w:lang w:val="en-US" w:eastAsia="zh-CN" w:bidi="ar-SA"/>
    </w:rPr>
  </w:style>
  <w:style w:type="character" w:customStyle="1" w:styleId="667">
    <w:name w:val="Char Char24"/>
    <w:autoRedefine/>
    <w:qFormat/>
    <w:uiPriority w:val="6"/>
    <w:rPr>
      <w:kern w:val="1"/>
      <w:sz w:val="21"/>
    </w:rPr>
  </w:style>
  <w:style w:type="character" w:customStyle="1" w:styleId="668">
    <w:name w:val="副标题 Char"/>
    <w:link w:val="48"/>
    <w:qFormat/>
    <w:uiPriority w:val="0"/>
    <w:rPr>
      <w:rFonts w:ascii="Arial" w:hAnsi="Arial" w:eastAsia="隶书"/>
      <w:b/>
      <w:bCs/>
      <w:kern w:val="28"/>
      <w:sz w:val="44"/>
      <w:szCs w:val="32"/>
      <w:lang w:val="en-US" w:eastAsia="zh-CN" w:bidi="ar-SA"/>
    </w:rPr>
  </w:style>
  <w:style w:type="character" w:customStyle="1" w:styleId="669">
    <w:name w:val="普通文字 Char1 Char"/>
    <w:qFormat/>
    <w:uiPriority w:val="0"/>
    <w:rPr>
      <w:rFonts w:ascii="宋体" w:hAnsi="Courier New" w:eastAsia="宋体"/>
      <w:kern w:val="2"/>
      <w:sz w:val="21"/>
      <w:szCs w:val="24"/>
      <w:lang w:val="en-US" w:eastAsia="zh-CN" w:bidi="ar-SA"/>
    </w:rPr>
  </w:style>
  <w:style w:type="character" w:customStyle="1" w:styleId="670">
    <w:name w:val="h3 Char1"/>
    <w:qFormat/>
    <w:uiPriority w:val="0"/>
    <w:rPr>
      <w:rFonts w:eastAsia="宋体"/>
      <w:b/>
      <w:bCs/>
      <w:kern w:val="2"/>
      <w:sz w:val="32"/>
      <w:szCs w:val="32"/>
      <w:lang w:bidi="ar-SA"/>
    </w:rPr>
  </w:style>
  <w:style w:type="character" w:customStyle="1" w:styleId="671">
    <w:name w:val="标题 Char1"/>
    <w:qFormat/>
    <w:uiPriority w:val="0"/>
    <w:rPr>
      <w:rFonts w:ascii="Cambria" w:hAnsi="Cambria" w:eastAsia="宋体" w:cs="Times New Roman"/>
      <w:b/>
      <w:bCs/>
      <w:sz w:val="32"/>
      <w:szCs w:val="32"/>
      <w:lang w:bidi="ar-SA"/>
    </w:rPr>
  </w:style>
  <w:style w:type="character" w:customStyle="1" w:styleId="672">
    <w:name w:val="gf正文1 Char"/>
    <w:qFormat/>
    <w:uiPriority w:val="0"/>
    <w:rPr>
      <w:rFonts w:ascii="宋体" w:hAnsi="宋体" w:eastAsia="宋体" w:cs="宋体"/>
      <w:kern w:val="2"/>
      <w:sz w:val="24"/>
      <w:szCs w:val="24"/>
      <w:lang w:val="en-US" w:eastAsia="zh-CN" w:bidi="ar-SA"/>
    </w:rPr>
  </w:style>
  <w:style w:type="character" w:customStyle="1" w:styleId="673">
    <w:name w:val="正文文本缩进 Char1"/>
    <w:qFormat/>
    <w:uiPriority w:val="0"/>
    <w:rPr>
      <w:rFonts w:ascii="Calibri" w:hAnsi="Calibri"/>
      <w:sz w:val="28"/>
    </w:rPr>
  </w:style>
  <w:style w:type="character" w:customStyle="1" w:styleId="674">
    <w:name w:val="No Spacing Char"/>
    <w:link w:val="87"/>
    <w:qFormat/>
    <w:uiPriority w:val="1"/>
    <w:rPr>
      <w:sz w:val="22"/>
      <w:szCs w:val="22"/>
      <w:lang w:val="en-US" w:eastAsia="zh-CN" w:bidi="ar-SA"/>
    </w:rPr>
  </w:style>
  <w:style w:type="character" w:customStyle="1" w:styleId="675">
    <w:name w:val="样式7 Char"/>
    <w:qFormat/>
    <w:uiPriority w:val="0"/>
    <w:rPr>
      <w:rFonts w:ascii="仿宋_GB2312" w:hAnsi="仿宋" w:eastAsia="仿宋_GB2312"/>
      <w:b/>
      <w:kern w:val="2"/>
      <w:sz w:val="24"/>
      <w:szCs w:val="24"/>
    </w:rPr>
  </w:style>
  <w:style w:type="character" w:customStyle="1" w:styleId="676">
    <w:name w:val="font12gray1"/>
    <w:qFormat/>
    <w:uiPriority w:val="0"/>
    <w:rPr>
      <w:rFonts w:ascii="仿宋_GB2312" w:eastAsia="微软雅黑"/>
      <w:b/>
      <w:spacing w:val="300"/>
      <w:kern w:val="2"/>
      <w:sz w:val="18"/>
      <w:szCs w:val="18"/>
      <w:lang w:val="en-US" w:eastAsia="zh-CN" w:bidi="ar-SA"/>
    </w:rPr>
  </w:style>
  <w:style w:type="character" w:customStyle="1" w:styleId="677">
    <w:name w:val="Char Char7"/>
    <w:semiHidden/>
    <w:qFormat/>
    <w:uiPriority w:val="0"/>
    <w:rPr>
      <w:rFonts w:eastAsia="宋体"/>
      <w:kern w:val="2"/>
      <w:sz w:val="21"/>
      <w:szCs w:val="24"/>
      <w:lang w:val="en-US" w:eastAsia="zh-CN" w:bidi="ar-SA"/>
    </w:rPr>
  </w:style>
  <w:style w:type="character" w:customStyle="1" w:styleId="678">
    <w:name w:val="表名 Char"/>
    <w:qFormat/>
    <w:uiPriority w:val="0"/>
    <w:rPr>
      <w:rFonts w:eastAsia="宋体"/>
      <w:b/>
      <w:bCs/>
      <w:kern w:val="2"/>
      <w:sz w:val="24"/>
      <w:szCs w:val="24"/>
      <w:lang w:val="en-US" w:eastAsia="zh-CN" w:bidi="ar-SA"/>
    </w:rPr>
  </w:style>
  <w:style w:type="character" w:customStyle="1" w:styleId="679">
    <w:name w:val="Document Map Char"/>
    <w:qFormat/>
    <w:locked/>
    <w:uiPriority w:val="0"/>
    <w:rPr>
      <w:rFonts w:eastAsia="宋体"/>
      <w:kern w:val="2"/>
      <w:sz w:val="21"/>
      <w:szCs w:val="24"/>
      <w:lang w:val="en-US" w:eastAsia="zh-CN" w:bidi="ar-SA"/>
    </w:rPr>
  </w:style>
  <w:style w:type="character" w:customStyle="1" w:styleId="680">
    <w:name w:val="font41"/>
    <w:qFormat/>
    <w:uiPriority w:val="0"/>
    <w:rPr>
      <w:rFonts w:hint="eastAsia" w:ascii="仿宋_GB2312" w:eastAsia="仿宋_GB2312" w:cs="仿宋_GB2312"/>
      <w:color w:val="000000"/>
      <w:sz w:val="22"/>
      <w:szCs w:val="22"/>
      <w:u w:val="none"/>
    </w:rPr>
  </w:style>
  <w:style w:type="character" w:customStyle="1" w:styleId="681">
    <w:name w:val="标题 6 Char"/>
    <w:link w:val="10"/>
    <w:qFormat/>
    <w:uiPriority w:val="0"/>
    <w:rPr>
      <w:rFonts w:ascii="Arial" w:hAnsi="Arial" w:eastAsia="黑体"/>
      <w:b/>
      <w:bCs/>
      <w:kern w:val="2"/>
      <w:sz w:val="24"/>
      <w:szCs w:val="24"/>
    </w:rPr>
  </w:style>
  <w:style w:type="character" w:customStyle="1" w:styleId="682">
    <w:name w:val="纯文本 Char_0"/>
    <w:link w:val="88"/>
    <w:qFormat/>
    <w:uiPriority w:val="0"/>
    <w:rPr>
      <w:rFonts w:ascii="宋体" w:hAnsi="Courier New"/>
      <w:kern w:val="2"/>
      <w:sz w:val="21"/>
      <w:szCs w:val="21"/>
      <w:lang w:val="en-US" w:eastAsia="zh-CN"/>
    </w:rPr>
  </w:style>
  <w:style w:type="character" w:customStyle="1" w:styleId="683">
    <w:name w:val="Balloon Text Char"/>
    <w:qFormat/>
    <w:locked/>
    <w:uiPriority w:val="0"/>
    <w:rPr>
      <w:rFonts w:eastAsia="宋体"/>
      <w:kern w:val="2"/>
      <w:sz w:val="18"/>
      <w:szCs w:val="18"/>
      <w:lang w:val="en-US" w:eastAsia="zh-CN" w:bidi="ar-SA"/>
    </w:rPr>
  </w:style>
  <w:style w:type="character" w:customStyle="1" w:styleId="684">
    <w:name w:val="正文 项目2 Char"/>
    <w:basedOn w:val="685"/>
    <w:qFormat/>
    <w:uiPriority w:val="0"/>
    <w:rPr>
      <w:rFonts w:ascii="仿宋_GB2312" w:hAnsi="仿宋_GB2312" w:eastAsia="仿宋_GB2312"/>
      <w:kern w:val="2"/>
      <w:sz w:val="24"/>
      <w:lang w:bidi="ar-SA"/>
    </w:rPr>
  </w:style>
  <w:style w:type="character" w:customStyle="1" w:styleId="685">
    <w:name w:val="正文 项目 Char"/>
    <w:qFormat/>
    <w:uiPriority w:val="0"/>
    <w:rPr>
      <w:rFonts w:ascii="仿宋_GB2312" w:hAnsi="仿宋_GB2312" w:eastAsia="仿宋_GB2312"/>
      <w:kern w:val="2"/>
      <w:sz w:val="24"/>
      <w:lang w:bidi="ar-SA"/>
    </w:rPr>
  </w:style>
  <w:style w:type="character" w:customStyle="1" w:styleId="686">
    <w:name w:val="h Char Char1"/>
    <w:qFormat/>
    <w:uiPriority w:val="0"/>
    <w:rPr>
      <w:rFonts w:eastAsia="宋体"/>
      <w:kern w:val="2"/>
      <w:sz w:val="18"/>
      <w:szCs w:val="18"/>
      <w:lang w:val="en-US" w:eastAsia="zh-CN" w:bidi="ar-SA"/>
    </w:rPr>
  </w:style>
  <w:style w:type="character" w:customStyle="1" w:styleId="687">
    <w:name w:val="Char Char27"/>
    <w:qFormat/>
    <w:uiPriority w:val="6"/>
    <w:rPr>
      <w:rFonts w:ascii="宋体" w:hAnsi="宋体" w:eastAsia="宋体"/>
      <w:color w:val="000000"/>
      <w:kern w:val="1"/>
      <w:sz w:val="28"/>
      <w:lang w:val="en-US" w:eastAsia="zh-CN" w:bidi="ar-SA"/>
    </w:rPr>
  </w:style>
  <w:style w:type="character" w:customStyle="1" w:styleId="688">
    <w:name w:val="px14"/>
    <w:qFormat/>
    <w:uiPriority w:val="0"/>
    <w:rPr>
      <w:rFonts w:ascii="仿宋_GB2312" w:eastAsia="微软雅黑" w:cs="Times New Roman"/>
      <w:b/>
      <w:kern w:val="2"/>
      <w:sz w:val="32"/>
      <w:szCs w:val="32"/>
      <w:lang w:val="en-US" w:eastAsia="zh-CN" w:bidi="ar-SA"/>
    </w:rPr>
  </w:style>
  <w:style w:type="character" w:customStyle="1" w:styleId="689">
    <w:name w:val="HTML 预设格式 Char1"/>
    <w:qFormat/>
    <w:uiPriority w:val="0"/>
    <w:rPr>
      <w:rFonts w:ascii="Courier New" w:hAnsi="Courier New" w:eastAsia="宋体" w:cs="Courier New"/>
      <w:sz w:val="20"/>
      <w:szCs w:val="20"/>
    </w:rPr>
  </w:style>
  <w:style w:type="character" w:customStyle="1" w:styleId="690">
    <w:name w:val="普通文字 Char1"/>
    <w:qFormat/>
    <w:uiPriority w:val="0"/>
    <w:rPr>
      <w:rFonts w:ascii="宋体" w:hAnsi="Courier New" w:eastAsia="宋体"/>
      <w:kern w:val="2"/>
      <w:sz w:val="21"/>
      <w:lang w:val="en-US" w:eastAsia="zh-CN"/>
    </w:rPr>
  </w:style>
  <w:style w:type="character" w:customStyle="1" w:styleId="691">
    <w:name w:val="hei16b1"/>
    <w:qFormat/>
    <w:uiPriority w:val="0"/>
    <w:rPr>
      <w:rFonts w:hint="default" w:ascii="Arial" w:hAnsi="Arial" w:cs="Arial"/>
      <w:b/>
      <w:bCs/>
      <w:color w:val="000000"/>
      <w:sz w:val="24"/>
      <w:szCs w:val="24"/>
    </w:rPr>
  </w:style>
  <w:style w:type="character" w:customStyle="1" w:styleId="692">
    <w:name w:val="正文（绿盟科技） Char"/>
    <w:link w:val="90"/>
    <w:qFormat/>
    <w:uiPriority w:val="0"/>
    <w:rPr>
      <w:rFonts w:ascii="Arial" w:hAnsi="Arial"/>
      <w:sz w:val="21"/>
      <w:szCs w:val="21"/>
    </w:rPr>
  </w:style>
  <w:style w:type="character" w:customStyle="1" w:styleId="693">
    <w:name w:val="Char Char19"/>
    <w:qFormat/>
    <w:uiPriority w:val="6"/>
    <w:rPr>
      <w:rFonts w:ascii="宋体" w:hAnsi="宋体"/>
      <w:i/>
      <w:sz w:val="24"/>
      <w:szCs w:val="24"/>
    </w:rPr>
  </w:style>
  <w:style w:type="character" w:customStyle="1" w:styleId="694">
    <w:name w:val="页脚 Char"/>
    <w:qFormat/>
    <w:uiPriority w:val="0"/>
    <w:rPr>
      <w:rFonts w:eastAsia="仿宋_GB2312"/>
      <w:kern w:val="2"/>
      <w:sz w:val="18"/>
      <w:lang w:val="en-US" w:eastAsia="zh-CN"/>
    </w:rPr>
  </w:style>
  <w:style w:type="character" w:customStyle="1" w:styleId="695">
    <w:name w:val="批注主题 Char"/>
    <w:qFormat/>
    <w:uiPriority w:val="0"/>
    <w:rPr>
      <w:rFonts w:eastAsia="宋体"/>
      <w:b/>
      <w:bCs/>
      <w:kern w:val="2"/>
      <w:sz w:val="21"/>
      <w:szCs w:val="24"/>
      <w:lang w:val="en-US" w:eastAsia="zh-CN" w:bidi="ar-SA"/>
    </w:rPr>
  </w:style>
  <w:style w:type="character" w:customStyle="1" w:styleId="696">
    <w:name w:val="Comment Text Char"/>
    <w:qFormat/>
    <w:locked/>
    <w:uiPriority w:val="0"/>
    <w:rPr>
      <w:rFonts w:ascii="宋体" w:hAnsi="宋体" w:eastAsia="宋体"/>
      <w:kern w:val="2"/>
      <w:sz w:val="24"/>
      <w:lang w:val="en-US" w:eastAsia="zh-CN" w:bidi="ar-SA"/>
    </w:rPr>
  </w:style>
  <w:style w:type="character" w:customStyle="1" w:styleId="697">
    <w:name w:val="标题 2 字符"/>
    <w:qFormat/>
    <w:uiPriority w:val="1"/>
    <w:rPr>
      <w:rFonts w:ascii="仿宋_GB2312" w:hAnsi="Times New Roman" w:eastAsia="仿宋_GB2312" w:cs="Times New Roman"/>
      <w:b/>
      <w:kern w:val="2"/>
      <w:sz w:val="24"/>
      <w:lang w:val="zh-CN"/>
    </w:rPr>
  </w:style>
  <w:style w:type="character" w:customStyle="1" w:styleId="698">
    <w:name w:val="Char Char72"/>
    <w:qFormat/>
    <w:uiPriority w:val="0"/>
    <w:rPr>
      <w:rFonts w:eastAsia="宋体"/>
      <w:kern w:val="2"/>
      <w:sz w:val="21"/>
      <w:szCs w:val="24"/>
      <w:lang w:val="en-US" w:eastAsia="zh-CN" w:bidi="ar-SA"/>
    </w:rPr>
  </w:style>
  <w:style w:type="character" w:customStyle="1" w:styleId="699">
    <w:name w:val="正文文本缩进 Char2"/>
    <w:qFormat/>
    <w:uiPriority w:val="0"/>
    <w:rPr>
      <w:rFonts w:ascii="Times New Roman" w:hAnsi="Times New Roman" w:eastAsia="宋体" w:cs="Times New Roman"/>
      <w:snapToGrid w:val="0"/>
      <w:kern w:val="0"/>
      <w:szCs w:val="24"/>
    </w:rPr>
  </w:style>
  <w:style w:type="character" w:customStyle="1" w:styleId="700">
    <w:name w:val="样式2 Char"/>
    <w:qFormat/>
    <w:uiPriority w:val="0"/>
    <w:rPr>
      <w:rFonts w:ascii="仿宋_GB2312" w:hAnsi="仿宋" w:eastAsia="仿宋_GB2312" w:cs="仿宋_GB2312"/>
      <w:b/>
      <w:bCs/>
      <w:sz w:val="32"/>
      <w:szCs w:val="30"/>
      <w:lang w:val="zh-CN"/>
    </w:rPr>
  </w:style>
  <w:style w:type="character" w:customStyle="1" w:styleId="701">
    <w:name w:val="表格名称[858D7CFB-ED40-4347-BF05-701D383B685F]"/>
    <w:link w:val="91"/>
    <w:qFormat/>
    <w:uiPriority w:val="0"/>
    <w:rPr>
      <w:sz w:val="32"/>
    </w:rPr>
  </w:style>
  <w:style w:type="character" w:customStyle="1" w:styleId="702">
    <w:name w:val="Char Char4"/>
    <w:qFormat/>
    <w:uiPriority w:val="0"/>
    <w:rPr>
      <w:rFonts w:eastAsia="宋体"/>
      <w:b/>
      <w:sz w:val="24"/>
      <w:lang w:eastAsia="zh-CN" w:bidi="ar-SA"/>
    </w:rPr>
  </w:style>
  <w:style w:type="character" w:customStyle="1" w:styleId="703">
    <w:name w:val="c7 style3"/>
    <w:qFormat/>
    <w:uiPriority w:val="0"/>
  </w:style>
  <w:style w:type="character" w:customStyle="1" w:styleId="704">
    <w:name w:val="正文文本 3 Char1"/>
    <w:semiHidden/>
    <w:qFormat/>
    <w:uiPriority w:val="99"/>
    <w:rPr>
      <w:rFonts w:ascii="Times New Roman" w:hAnsi="Times New Roman" w:eastAsia="宋体" w:cs="Times New Roman"/>
      <w:sz w:val="16"/>
      <w:szCs w:val="16"/>
    </w:rPr>
  </w:style>
  <w:style w:type="character" w:customStyle="1" w:styleId="705">
    <w:name w:val="tw4winInternal"/>
    <w:qFormat/>
    <w:uiPriority w:val="0"/>
    <w:rPr>
      <w:rFonts w:ascii="Courier New" w:hAnsi="Courier New" w:cs="Courier New"/>
      <w:color w:val="FF0000"/>
      <w:lang w:val="en-US" w:eastAsia="zh-CN"/>
    </w:rPr>
  </w:style>
  <w:style w:type="character" w:customStyle="1" w:styleId="706">
    <w:name w:val="Char Char10"/>
    <w:semiHidden/>
    <w:qFormat/>
    <w:uiPriority w:val="0"/>
    <w:rPr>
      <w:rFonts w:ascii="宋体" w:hAnsi="宋体"/>
      <w:kern w:val="2"/>
      <w:sz w:val="21"/>
      <w:szCs w:val="24"/>
      <w:lang w:val="en-US" w:eastAsia="zh-CN"/>
    </w:rPr>
  </w:style>
  <w:style w:type="character" w:customStyle="1" w:styleId="707">
    <w:name w:val="shadow11"/>
    <w:qFormat/>
    <w:uiPriority w:val="0"/>
    <w:rPr>
      <w:color w:val="000000"/>
      <w:sz w:val="21"/>
    </w:rPr>
  </w:style>
  <w:style w:type="character" w:customStyle="1" w:styleId="708">
    <w:name w:val="正文非缩进 Char3"/>
    <w:qFormat/>
    <w:uiPriority w:val="0"/>
    <w:rPr>
      <w:rFonts w:ascii="宋体" w:eastAsia="宋体"/>
      <w:snapToGrid w:val="0"/>
      <w:color w:val="000000"/>
      <w:kern w:val="28"/>
      <w:sz w:val="28"/>
      <w:lang w:val="en-US" w:eastAsia="zh-CN" w:bidi="ar-SA"/>
    </w:rPr>
  </w:style>
  <w:style w:type="character" w:customStyle="1" w:styleId="709">
    <w:name w:val="Char Char"/>
    <w:qFormat/>
    <w:uiPriority w:val="0"/>
    <w:rPr>
      <w:rFonts w:ascii="宋体" w:hAnsi="Courier New" w:eastAsia="宋体"/>
      <w:kern w:val="2"/>
      <w:sz w:val="21"/>
      <w:lang w:val="en-US" w:eastAsia="zh-CN" w:bidi="ar-SA"/>
    </w:rPr>
  </w:style>
  <w:style w:type="character" w:customStyle="1" w:styleId="710">
    <w:name w:val="签名 Char1"/>
    <w:qFormat/>
    <w:uiPriority w:val="0"/>
    <w:rPr>
      <w:rFonts w:ascii="Times New Roman" w:hAnsi="Times New Roman" w:eastAsia="宋体" w:cs="Times New Roman"/>
      <w:szCs w:val="24"/>
    </w:rPr>
  </w:style>
  <w:style w:type="character" w:customStyle="1" w:styleId="711">
    <w:name w:val="日期 Char"/>
    <w:link w:val="37"/>
    <w:qFormat/>
    <w:uiPriority w:val="0"/>
    <w:rPr>
      <w:rFonts w:ascii="宋体"/>
      <w:kern w:val="2"/>
      <w:sz w:val="24"/>
      <w:szCs w:val="21"/>
      <w:lang w:val="zh-CN"/>
    </w:rPr>
  </w:style>
  <w:style w:type="character" w:customStyle="1" w:styleId="712">
    <w:name w:val="标题 9 Char"/>
    <w:link w:val="13"/>
    <w:qFormat/>
    <w:uiPriority w:val="0"/>
    <w:rPr>
      <w:rFonts w:ascii="Arial" w:hAnsi="Arial" w:eastAsia="黑体"/>
      <w:kern w:val="2"/>
      <w:sz w:val="21"/>
      <w:szCs w:val="21"/>
    </w:rPr>
  </w:style>
  <w:style w:type="character" w:customStyle="1" w:styleId="713">
    <w:name w:val="Char Char18"/>
    <w:qFormat/>
    <w:uiPriority w:val="6"/>
    <w:rPr>
      <w:rFonts w:ascii="宋体" w:hAnsi="宋体"/>
      <w:sz w:val="28"/>
    </w:rPr>
  </w:style>
  <w:style w:type="character" w:customStyle="1" w:styleId="714">
    <w:name w:val="批注文字 Char"/>
    <w:qFormat/>
    <w:uiPriority w:val="99"/>
    <w:rPr>
      <w:kern w:val="2"/>
      <w:sz w:val="21"/>
      <w:szCs w:val="24"/>
    </w:rPr>
  </w:style>
  <w:style w:type="character" w:customStyle="1" w:styleId="715">
    <w:name w:val="Char Char22"/>
    <w:qFormat/>
    <w:uiPriority w:val="6"/>
    <w:rPr>
      <w:rFonts w:ascii="宋体" w:hAnsi="宋体"/>
      <w:kern w:val="1"/>
      <w:sz w:val="24"/>
      <w:szCs w:val="24"/>
    </w:rPr>
  </w:style>
  <w:style w:type="character" w:customStyle="1" w:styleId="716">
    <w:name w:val="pt141"/>
    <w:qFormat/>
    <w:uiPriority w:val="0"/>
    <w:rPr>
      <w:color w:val="330066"/>
      <w:sz w:val="22"/>
      <w:szCs w:val="22"/>
    </w:rPr>
  </w:style>
  <w:style w:type="character" w:customStyle="1" w:styleId="717">
    <w:name w:val="正文文本缩进 2 Char1"/>
    <w:semiHidden/>
    <w:qFormat/>
    <w:uiPriority w:val="99"/>
    <w:rPr>
      <w:rFonts w:ascii="Times New Roman" w:hAnsi="Times New Roman" w:eastAsia="宋体" w:cs="Times New Roman"/>
      <w:szCs w:val="24"/>
    </w:rPr>
  </w:style>
  <w:style w:type="character" w:customStyle="1" w:styleId="718">
    <w:name w:val="批注框文本 Char"/>
    <w:link w:val="40"/>
    <w:qFormat/>
    <w:uiPriority w:val="0"/>
    <w:rPr>
      <w:kern w:val="2"/>
      <w:sz w:val="18"/>
      <w:szCs w:val="18"/>
    </w:rPr>
  </w:style>
  <w:style w:type="character" w:customStyle="1" w:styleId="719">
    <w:name w:val="Char Char611"/>
    <w:qFormat/>
    <w:uiPriority w:val="0"/>
    <w:rPr>
      <w:rFonts w:eastAsia="宋体"/>
      <w:kern w:val="2"/>
      <w:sz w:val="21"/>
      <w:szCs w:val="24"/>
      <w:lang w:val="en-US" w:eastAsia="zh-CN" w:bidi="ar-SA"/>
    </w:rPr>
  </w:style>
  <w:style w:type="character" w:customStyle="1" w:styleId="720">
    <w:name w:val="highlight1"/>
    <w:qFormat/>
    <w:uiPriority w:val="0"/>
    <w:rPr>
      <w:rFonts w:ascii="仿宋_GB2312" w:eastAsia="微软雅黑"/>
      <w:b/>
      <w:kern w:val="2"/>
      <w:sz w:val="23"/>
      <w:szCs w:val="23"/>
      <w:lang w:val="en-US" w:eastAsia="zh-CN" w:bidi="ar-SA"/>
    </w:rPr>
  </w:style>
  <w:style w:type="character" w:customStyle="1" w:styleId="721">
    <w:name w:val="my正文 Char"/>
    <w:link w:val="92"/>
    <w:qFormat/>
    <w:locked/>
    <w:uiPriority w:val="0"/>
    <w:rPr>
      <w:rFonts w:ascii="Tahoma" w:hAnsi="Tahoma"/>
      <w:sz w:val="24"/>
      <w:szCs w:val="24"/>
    </w:rPr>
  </w:style>
  <w:style w:type="character" w:customStyle="1" w:styleId="722">
    <w:name w:val="正文缩进 Char2"/>
    <w:link w:val="7"/>
    <w:qFormat/>
    <w:uiPriority w:val="0"/>
    <w:rPr>
      <w:rFonts w:ascii="宋体" w:eastAsia="宋体"/>
      <w:snapToGrid w:val="0"/>
      <w:color w:val="000000"/>
      <w:kern w:val="28"/>
      <w:sz w:val="28"/>
      <w:lang w:val="en-US" w:eastAsia="zh-CN" w:bidi="ar-SA"/>
    </w:rPr>
  </w:style>
  <w:style w:type="character" w:customStyle="1" w:styleId="723">
    <w:name w:val="Used by Word for text of Help footnotes Char Char1"/>
    <w:qFormat/>
    <w:uiPriority w:val="0"/>
    <w:rPr>
      <w:color w:val="0000FF"/>
      <w:sz w:val="21"/>
    </w:rPr>
  </w:style>
  <w:style w:type="character" w:customStyle="1" w:styleId="724">
    <w:name w:val="页眉 Char"/>
    <w:qFormat/>
    <w:uiPriority w:val="0"/>
    <w:rPr>
      <w:rFonts w:eastAsia="仿宋_GB2312"/>
      <w:kern w:val="2"/>
      <w:sz w:val="18"/>
      <w:lang w:val="en-US" w:eastAsia="zh-CN"/>
    </w:rPr>
  </w:style>
  <w:style w:type="character" w:customStyle="1" w:styleId="725">
    <w:name w:val="FA正文 Char Char"/>
    <w:qFormat/>
    <w:uiPriority w:val="0"/>
    <w:rPr>
      <w:rFonts w:hAnsi="宋体"/>
      <w:kern w:val="2"/>
      <w:sz w:val="24"/>
      <w:lang w:bidi="ar-SA"/>
    </w:rPr>
  </w:style>
  <w:style w:type="character" w:customStyle="1" w:styleId="726">
    <w:name w:val="纯文本 字符"/>
    <w:qFormat/>
    <w:uiPriority w:val="0"/>
    <w:rPr>
      <w:rFonts w:ascii="宋体" w:hAnsi="Courier New" w:eastAsia="宋体" w:cs="Arial"/>
      <w:snapToGrid w:val="0"/>
      <w:kern w:val="2"/>
      <w:sz w:val="21"/>
      <w:szCs w:val="21"/>
      <w:lang w:val="en-US" w:eastAsia="zh-CN" w:bidi="ar-SA"/>
    </w:rPr>
  </w:style>
  <w:style w:type="character" w:customStyle="1" w:styleId="727">
    <w:name w:val="3级 Char"/>
    <w:link w:val="93"/>
    <w:qFormat/>
    <w:uiPriority w:val="0"/>
    <w:rPr>
      <w:rFonts w:ascii="宋体" w:hAnsi="宋体"/>
      <w:b/>
      <w:bCs/>
      <w:sz w:val="28"/>
    </w:rPr>
  </w:style>
  <w:style w:type="character" w:customStyle="1" w:styleId="728">
    <w:name w:val="myp11"/>
    <w:qFormat/>
    <w:uiPriority w:val="0"/>
    <w:rPr>
      <w:rFonts w:ascii="仿宋_GB2312" w:eastAsia="微软雅黑"/>
      <w:b/>
      <w:kern w:val="2"/>
      <w:sz w:val="32"/>
      <w:szCs w:val="32"/>
      <w:lang w:val="en-US" w:eastAsia="zh-CN" w:bidi="ar-SA"/>
    </w:rPr>
  </w:style>
  <w:style w:type="character" w:customStyle="1" w:styleId="729">
    <w:name w:val="文档结构图 Char1"/>
    <w:link w:val="20"/>
    <w:qFormat/>
    <w:uiPriority w:val="0"/>
    <w:rPr>
      <w:kern w:val="2"/>
      <w:sz w:val="21"/>
      <w:szCs w:val="24"/>
      <w:shd w:val="clear" w:color="auto" w:fill="000080"/>
    </w:rPr>
  </w:style>
  <w:style w:type="character" w:customStyle="1" w:styleId="730">
    <w:name w:val="H6 Char"/>
    <w:qFormat/>
    <w:uiPriority w:val="0"/>
    <w:rPr>
      <w:rFonts w:ascii="Arial" w:hAnsi="Arial" w:eastAsia="黑体"/>
      <w:b/>
      <w:bCs/>
      <w:kern w:val="2"/>
      <w:sz w:val="24"/>
      <w:szCs w:val="24"/>
    </w:rPr>
  </w:style>
  <w:style w:type="character" w:customStyle="1" w:styleId="731">
    <w:name w:val="Char Char91"/>
    <w:qFormat/>
    <w:uiPriority w:val="0"/>
    <w:rPr>
      <w:rFonts w:eastAsia="宋体"/>
      <w:kern w:val="2"/>
      <w:sz w:val="18"/>
      <w:szCs w:val="18"/>
      <w:lang w:val="en-US" w:eastAsia="zh-CN" w:bidi="ar-SA"/>
    </w:rPr>
  </w:style>
  <w:style w:type="character" w:customStyle="1" w:styleId="732">
    <w:name w:val="副标题 Char1"/>
    <w:qFormat/>
    <w:uiPriority w:val="0"/>
    <w:rPr>
      <w:rFonts w:ascii="Cambria" w:hAnsi="Cambria" w:eastAsia="宋体" w:cs="Times New Roman"/>
      <w:b/>
      <w:bCs/>
      <w:snapToGrid w:val="0"/>
      <w:kern w:val="28"/>
      <w:sz w:val="32"/>
      <w:szCs w:val="32"/>
    </w:rPr>
  </w:style>
  <w:style w:type="character" w:customStyle="1" w:styleId="733">
    <w:name w:val="font61"/>
    <w:qFormat/>
    <w:uiPriority w:val="0"/>
    <w:rPr>
      <w:rFonts w:hint="eastAsia" w:ascii="仿宋" w:hAnsi="仿宋" w:eastAsia="仿宋" w:cs="仿宋"/>
      <w:color w:val="000000"/>
      <w:sz w:val="20"/>
      <w:szCs w:val="20"/>
      <w:u w:val="none"/>
    </w:rPr>
  </w:style>
  <w:style w:type="character" w:customStyle="1" w:styleId="73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5">
    <w:name w:val="Char Char211"/>
    <w:qFormat/>
    <w:uiPriority w:val="0"/>
    <w:rPr>
      <w:rFonts w:eastAsia="宋体"/>
      <w:b/>
      <w:bCs/>
      <w:kern w:val="2"/>
      <w:sz w:val="21"/>
      <w:szCs w:val="24"/>
      <w:lang w:val="en-US" w:eastAsia="zh-CN" w:bidi="ar-SA"/>
    </w:rPr>
  </w:style>
  <w:style w:type="character" w:customStyle="1" w:styleId="736">
    <w:name w:val="标题 2 Char"/>
    <w:qFormat/>
    <w:uiPriority w:val="0"/>
    <w:rPr>
      <w:rFonts w:ascii="Arial" w:hAnsi="Arial" w:eastAsia="黑体"/>
      <w:b/>
      <w:kern w:val="2"/>
      <w:sz w:val="32"/>
      <w:lang w:val="en-US" w:eastAsia="zh-CN"/>
    </w:rPr>
  </w:style>
  <w:style w:type="character" w:customStyle="1" w:styleId="737">
    <w:name w:val="maywed421"/>
    <w:qFormat/>
    <w:uiPriority w:val="0"/>
    <w:rPr>
      <w:color w:val="366FB6"/>
      <w:u w:val="none"/>
    </w:rPr>
  </w:style>
  <w:style w:type="character" w:customStyle="1" w:styleId="738">
    <w:name w:val="正文文本缩进 Char"/>
    <w:qFormat/>
    <w:uiPriority w:val="0"/>
    <w:rPr>
      <w:rFonts w:ascii="宋体" w:hAnsi="宋体"/>
      <w:kern w:val="2"/>
      <w:sz w:val="24"/>
      <w:szCs w:val="24"/>
    </w:rPr>
  </w:style>
  <w:style w:type="character" w:customStyle="1" w:styleId="739">
    <w:name w:val="Char Char102"/>
    <w:semiHidden/>
    <w:qFormat/>
    <w:uiPriority w:val="0"/>
    <w:rPr>
      <w:rFonts w:ascii="宋体" w:hAnsi="宋体"/>
      <w:kern w:val="2"/>
      <w:sz w:val="21"/>
      <w:szCs w:val="24"/>
      <w:lang w:val="en-US" w:eastAsia="zh-CN"/>
    </w:rPr>
  </w:style>
  <w:style w:type="character" w:customStyle="1" w:styleId="740">
    <w:name w:val="页眉 Char1"/>
    <w:qFormat/>
    <w:uiPriority w:val="0"/>
    <w:rPr>
      <w:rFonts w:eastAsia="宋体"/>
      <w:kern w:val="2"/>
      <w:sz w:val="18"/>
      <w:szCs w:val="18"/>
      <w:lang w:val="en-US" w:eastAsia="zh-CN" w:bidi="ar-SA"/>
    </w:rPr>
  </w:style>
  <w:style w:type="character" w:customStyle="1" w:styleId="741">
    <w:name w:val="md"/>
    <w:basedOn w:val="70"/>
    <w:qFormat/>
    <w:uiPriority w:val="0"/>
    <w:rPr>
      <w:rFonts w:ascii="Arial" w:hAnsi="Arial" w:eastAsia="黑体" w:cs="Arial"/>
      <w:snapToGrid w:val="0"/>
      <w:kern w:val="0"/>
      <w:szCs w:val="21"/>
    </w:rPr>
  </w:style>
  <w:style w:type="character" w:customStyle="1" w:styleId="742">
    <w:name w:val="big1"/>
    <w:qFormat/>
    <w:uiPriority w:val="0"/>
    <w:rPr>
      <w:rFonts w:hint="eastAsia" w:ascii="宋体" w:hAnsi="宋体" w:eastAsia="宋体"/>
      <w:color w:val="333333"/>
      <w:sz w:val="22"/>
      <w:szCs w:val="22"/>
    </w:rPr>
  </w:style>
  <w:style w:type="character" w:customStyle="1" w:styleId="743">
    <w:name w:val="Char Char311"/>
    <w:qFormat/>
    <w:uiPriority w:val="0"/>
    <w:rPr>
      <w:rFonts w:eastAsia="宋体"/>
      <w:kern w:val="2"/>
      <w:sz w:val="21"/>
      <w:szCs w:val="24"/>
      <w:lang w:val="en-US" w:eastAsia="zh-CN" w:bidi="ar-SA"/>
    </w:rPr>
  </w:style>
  <w:style w:type="character" w:customStyle="1" w:styleId="744">
    <w:name w:val="Char Char81"/>
    <w:qFormat/>
    <w:uiPriority w:val="6"/>
    <w:rPr>
      <w:rFonts w:eastAsia="宋体"/>
      <w:b/>
      <w:sz w:val="24"/>
      <w:lang w:eastAsia="zh-CN"/>
    </w:rPr>
  </w:style>
  <w:style w:type="character" w:customStyle="1" w:styleId="745">
    <w:name w:val="样式3 Char"/>
    <w:basedOn w:val="700"/>
    <w:qFormat/>
    <w:uiPriority w:val="0"/>
    <w:rPr>
      <w:rFonts w:ascii="仿宋_GB2312" w:hAnsi="仿宋" w:eastAsia="仿宋_GB2312" w:cs="仿宋_GB2312"/>
      <w:sz w:val="32"/>
      <w:szCs w:val="30"/>
      <w:lang w:val="zh-CN"/>
    </w:rPr>
  </w:style>
  <w:style w:type="character" w:customStyle="1" w:styleId="746">
    <w:name w:val="HTML 地址 Char"/>
    <w:link w:val="31"/>
    <w:qFormat/>
    <w:uiPriority w:val="0"/>
    <w:rPr>
      <w:rFonts w:ascii="宋体" w:hAnsi="宋体"/>
      <w:i/>
      <w:iCs/>
      <w:sz w:val="24"/>
      <w:szCs w:val="24"/>
    </w:rPr>
  </w:style>
  <w:style w:type="character" w:customStyle="1" w:styleId="747">
    <w:name w:val="正文首行缩进 2 Char1"/>
    <w:qFormat/>
    <w:uiPriority w:val="0"/>
    <w:rPr>
      <w:rFonts w:ascii="Times New Roman" w:hAnsi="Times New Roman" w:eastAsia="宋体" w:cs="Times New Roman"/>
      <w:kern w:val="2"/>
      <w:sz w:val="24"/>
      <w:szCs w:val="24"/>
    </w:rPr>
  </w:style>
  <w:style w:type="character" w:customStyle="1" w:styleId="748">
    <w:name w:val="副标题 Char2"/>
    <w:qFormat/>
    <w:uiPriority w:val="0"/>
    <w:rPr>
      <w:rFonts w:ascii="Cambria" w:hAnsi="Cambria" w:eastAsia="宋体" w:cs="Times New Roman"/>
      <w:b/>
      <w:bCs/>
      <w:snapToGrid w:val="0"/>
      <w:kern w:val="28"/>
      <w:sz w:val="32"/>
      <w:szCs w:val="32"/>
    </w:rPr>
  </w:style>
  <w:style w:type="character" w:customStyle="1" w:styleId="749">
    <w:name w:val="标题4-dyf Char"/>
    <w:link w:val="95"/>
    <w:qFormat/>
    <w:uiPriority w:val="0"/>
    <w:rPr>
      <w:rFonts w:ascii="Cambria" w:hAnsi="Cambria"/>
      <w:b/>
      <w:bCs/>
      <w:color w:val="000000"/>
      <w:kern w:val="2"/>
      <w:sz w:val="21"/>
      <w:szCs w:val="21"/>
    </w:rPr>
  </w:style>
  <w:style w:type="character" w:customStyle="1" w:styleId="750">
    <w:name w:val="dectext1"/>
    <w:qFormat/>
    <w:uiPriority w:val="0"/>
    <w:rPr>
      <w:rFonts w:ascii="宋体" w:hAnsi="宋体" w:eastAsia="宋体"/>
      <w:color w:val="333333"/>
      <w:sz w:val="21"/>
      <w:szCs w:val="21"/>
      <w:u w:val="none"/>
    </w:rPr>
  </w:style>
  <w:style w:type="character" w:customStyle="1" w:styleId="751">
    <w:name w:val="冯 Char"/>
    <w:link w:val="96"/>
    <w:qFormat/>
    <w:uiPriority w:val="0"/>
    <w:rPr>
      <w:rFonts w:ascii="宋体" w:hAnsi="宋体"/>
      <w:color w:val="000000"/>
      <w:sz w:val="24"/>
      <w:szCs w:val="24"/>
    </w:rPr>
  </w:style>
  <w:style w:type="character" w:customStyle="1" w:styleId="752">
    <w:name w:val="Header Char"/>
    <w:qFormat/>
    <w:locked/>
    <w:uiPriority w:val="0"/>
    <w:rPr>
      <w:rFonts w:eastAsia="宋体"/>
      <w:kern w:val="2"/>
      <w:sz w:val="18"/>
      <w:szCs w:val="18"/>
      <w:lang w:val="en-US" w:eastAsia="zh-CN" w:bidi="ar-SA"/>
    </w:rPr>
  </w:style>
  <w:style w:type="character" w:customStyle="1" w:styleId="753">
    <w:name w:val="Char Char12"/>
    <w:qFormat/>
    <w:uiPriority w:val="0"/>
    <w:rPr>
      <w:rFonts w:ascii="仿宋_GB2312" w:eastAsia="仿宋_GB2312"/>
      <w:b/>
      <w:bCs/>
      <w:kern w:val="2"/>
      <w:sz w:val="24"/>
      <w:szCs w:val="24"/>
      <w:lang w:val="zh-CN" w:eastAsia="zh-CN" w:bidi="ar-SA"/>
    </w:rPr>
  </w:style>
  <w:style w:type="character" w:customStyle="1" w:styleId="754">
    <w:name w:val="题注 Char"/>
    <w:link w:val="18"/>
    <w:qFormat/>
    <w:uiPriority w:val="0"/>
    <w:rPr>
      <w:b/>
      <w:kern w:val="2"/>
      <w:sz w:val="28"/>
    </w:rPr>
  </w:style>
  <w:style w:type="character" w:customStyle="1" w:styleId="755">
    <w:name w:val="普通文字 Char3"/>
    <w:qFormat/>
    <w:uiPriority w:val="0"/>
    <w:rPr>
      <w:rFonts w:ascii="宋体" w:hAnsi="Courier New" w:eastAsia="宋体"/>
      <w:kern w:val="2"/>
      <w:sz w:val="21"/>
      <w:lang w:val="en-US" w:eastAsia="zh-CN" w:bidi="ar-SA"/>
    </w:rPr>
  </w:style>
  <w:style w:type="character" w:customStyle="1" w:styleId="756">
    <w:name w:val="公文正文 Char"/>
    <w:qFormat/>
    <w:uiPriority w:val="0"/>
    <w:rPr>
      <w:rFonts w:ascii="仿宋_GB2312" w:eastAsia="仿宋_GB2312"/>
      <w:kern w:val="2"/>
      <w:sz w:val="24"/>
      <w:szCs w:val="24"/>
      <w:lang w:val="en-US" w:eastAsia="zh-CN" w:bidi="ar-SA"/>
    </w:rPr>
  </w:style>
  <w:style w:type="character" w:customStyle="1" w:styleId="757">
    <w:name w:val="正文首行缩进 Char Char Char Char Char"/>
    <w:qFormat/>
    <w:uiPriority w:val="0"/>
    <w:rPr>
      <w:rFonts w:ascii="宋体"/>
      <w:kern w:val="2"/>
      <w:sz w:val="24"/>
      <w:lang w:val="zh-CN"/>
    </w:rPr>
  </w:style>
  <w:style w:type="character" w:customStyle="1" w:styleId="758">
    <w:name w:val="PI Char"/>
    <w:qFormat/>
    <w:uiPriority w:val="0"/>
    <w:rPr>
      <w:rFonts w:ascii="宋体" w:hAnsi="宋体" w:eastAsia="宋体"/>
      <w:kern w:val="2"/>
      <w:sz w:val="24"/>
      <w:szCs w:val="24"/>
      <w:lang w:val="en-US" w:eastAsia="zh-CN" w:bidi="ar-SA"/>
    </w:rPr>
  </w:style>
  <w:style w:type="character" w:customStyle="1" w:styleId="759">
    <w:name w:val="Default Char"/>
    <w:link w:val="97"/>
    <w:qFormat/>
    <w:uiPriority w:val="0"/>
    <w:rPr>
      <w:rFonts w:ascii="仿宋_GB2312" w:eastAsia="仿宋_GB2312" w:cs="仿宋_GB2312"/>
      <w:color w:val="000000"/>
      <w:sz w:val="24"/>
      <w:szCs w:val="24"/>
      <w:lang w:val="en-US" w:eastAsia="zh-CN" w:bidi="ar-SA"/>
    </w:rPr>
  </w:style>
  <w:style w:type="character" w:customStyle="1" w:styleId="760">
    <w:name w:val="style91"/>
    <w:qFormat/>
    <w:uiPriority w:val="0"/>
    <w:rPr>
      <w:color w:val="333333"/>
    </w:rPr>
  </w:style>
  <w:style w:type="character" w:customStyle="1" w:styleId="761">
    <w:name w:val="列出段落 Char2"/>
    <w:qFormat/>
    <w:uiPriority w:val="34"/>
    <w:rPr>
      <w:rFonts w:ascii="Calibri" w:hAnsi="Calibri"/>
      <w:kern w:val="2"/>
      <w:sz w:val="28"/>
    </w:rPr>
  </w:style>
  <w:style w:type="character" w:customStyle="1" w:styleId="762">
    <w:name w:val="mdeck"/>
    <w:qFormat/>
    <w:uiPriority w:val="0"/>
    <w:rPr>
      <w:rFonts w:ascii="仿宋_GB2312" w:eastAsia="微软雅黑"/>
      <w:b/>
      <w:kern w:val="2"/>
      <w:sz w:val="32"/>
      <w:szCs w:val="32"/>
      <w:lang w:val="en-US" w:eastAsia="zh-CN" w:bidi="ar-SA"/>
    </w:rPr>
  </w:style>
  <w:style w:type="character" w:customStyle="1" w:styleId="763">
    <w:name w:val="unnamed11"/>
    <w:qFormat/>
    <w:uiPriority w:val="0"/>
    <w:rPr>
      <w:sz w:val="20"/>
      <w:szCs w:val="20"/>
    </w:rPr>
  </w:style>
  <w:style w:type="character" w:customStyle="1" w:styleId="764">
    <w:name w:val="正文文本 Char2"/>
    <w:semiHidden/>
    <w:qFormat/>
    <w:uiPriority w:val="99"/>
    <w:rPr>
      <w:rFonts w:ascii="Times New Roman" w:hAnsi="Times New Roman" w:eastAsia="宋体" w:cs="Times New Roman"/>
      <w:snapToGrid w:val="0"/>
      <w:kern w:val="0"/>
      <w:szCs w:val="24"/>
    </w:rPr>
  </w:style>
  <w:style w:type="character" w:customStyle="1" w:styleId="765">
    <w:name w:val="标书正文格式 Char"/>
    <w:qFormat/>
    <w:uiPriority w:val="0"/>
    <w:rPr>
      <w:rFonts w:eastAsia="楷体_GB2312"/>
      <w:kern w:val="2"/>
      <w:sz w:val="24"/>
      <w:szCs w:val="24"/>
      <w:lang w:bidi="ar-SA"/>
    </w:rPr>
  </w:style>
  <w:style w:type="character" w:customStyle="1" w:styleId="766">
    <w:name w:val="Char Char11"/>
    <w:qFormat/>
    <w:locked/>
    <w:uiPriority w:val="0"/>
    <w:rPr>
      <w:rFonts w:ascii="宋体" w:hAnsi="宋体" w:eastAsia="宋体"/>
      <w:b/>
      <w:kern w:val="2"/>
      <w:sz w:val="24"/>
      <w:szCs w:val="24"/>
      <w:lang w:val="en-US" w:eastAsia="zh-CN" w:bidi="ar-SA"/>
    </w:rPr>
  </w:style>
  <w:style w:type="character" w:customStyle="1" w:styleId="767">
    <w:name w:val="ca-131"/>
    <w:qFormat/>
    <w:uiPriority w:val="0"/>
    <w:rPr>
      <w:rFonts w:hint="eastAsia" w:ascii="仿宋_GB2312" w:eastAsia="仿宋_GB2312"/>
      <w:b/>
      <w:bCs/>
      <w:color w:val="000000"/>
      <w:spacing w:val="-20"/>
      <w:sz w:val="24"/>
      <w:szCs w:val="24"/>
    </w:rPr>
  </w:style>
  <w:style w:type="character" w:customStyle="1" w:styleId="768">
    <w:name w:val="tw4winMark"/>
    <w:qFormat/>
    <w:uiPriority w:val="0"/>
    <w:rPr>
      <w:rFonts w:ascii="Courier New" w:hAnsi="Courier New" w:cs="Courier New"/>
      <w:vanish/>
      <w:color w:val="800080"/>
      <w:sz w:val="24"/>
      <w:szCs w:val="24"/>
      <w:vertAlign w:val="subscript"/>
    </w:rPr>
  </w:style>
  <w:style w:type="character" w:customStyle="1" w:styleId="769">
    <w:name w:val="正文样式 Char"/>
    <w:link w:val="98"/>
    <w:qFormat/>
    <w:uiPriority w:val="0"/>
    <w:rPr>
      <w:rFonts w:ascii="Calibri" w:hAnsi="Calibri"/>
      <w:sz w:val="24"/>
      <w:szCs w:val="24"/>
    </w:rPr>
  </w:style>
  <w:style w:type="character" w:customStyle="1" w:styleId="770">
    <w:name w:val="表正文 Char3"/>
    <w:qFormat/>
    <w:uiPriority w:val="0"/>
    <w:rPr>
      <w:rFonts w:eastAsia="宋体"/>
    </w:rPr>
  </w:style>
  <w:style w:type="character" w:customStyle="1" w:styleId="771">
    <w:name w:val="H5 Char"/>
    <w:qFormat/>
    <w:uiPriority w:val="0"/>
    <w:rPr>
      <w:b/>
      <w:bCs/>
      <w:kern w:val="2"/>
      <w:sz w:val="28"/>
      <w:szCs w:val="28"/>
    </w:rPr>
  </w:style>
  <w:style w:type="character" w:customStyle="1" w:styleId="772">
    <w:name w:val="Char Char3"/>
    <w:qFormat/>
    <w:uiPriority w:val="0"/>
    <w:rPr>
      <w:rFonts w:eastAsia="宋体"/>
      <w:kern w:val="2"/>
      <w:sz w:val="21"/>
      <w:szCs w:val="24"/>
      <w:lang w:val="en-US" w:eastAsia="zh-CN" w:bidi="ar-SA"/>
    </w:rPr>
  </w:style>
  <w:style w:type="character" w:customStyle="1" w:styleId="773">
    <w:name w:val="正文 编号 Char"/>
    <w:qFormat/>
    <w:uiPriority w:val="0"/>
    <w:rPr>
      <w:rFonts w:ascii="仿宋_GB2312" w:hAnsi="仿宋_GB2312" w:eastAsia="仿宋_GB2312"/>
      <w:kern w:val="2"/>
      <w:sz w:val="24"/>
      <w:lang w:bidi="ar-SA"/>
    </w:rPr>
  </w:style>
  <w:style w:type="character" w:customStyle="1" w:styleId="774">
    <w:name w:val="question-title2"/>
    <w:qFormat/>
    <w:uiPriority w:val="6"/>
    <w:rPr>
      <w:rFonts w:ascii="Arial" w:hAnsi="Arial" w:eastAsia="黑体" w:cs="Arial"/>
      <w:snapToGrid w:val="0"/>
      <w:kern w:val="0"/>
      <w:szCs w:val="21"/>
    </w:rPr>
  </w:style>
  <w:style w:type="character" w:customStyle="1" w:styleId="775">
    <w:name w:val="gf正文1 Char Char"/>
    <w:link w:val="99"/>
    <w:qFormat/>
    <w:uiPriority w:val="0"/>
    <w:rPr>
      <w:rFonts w:ascii="宋体" w:hAnsi="宋体" w:cs="宋体"/>
      <w:kern w:val="2"/>
      <w:sz w:val="24"/>
      <w:szCs w:val="24"/>
    </w:rPr>
  </w:style>
  <w:style w:type="character" w:customStyle="1" w:styleId="776">
    <w:name w:val="Char Char15"/>
    <w:qFormat/>
    <w:uiPriority w:val="6"/>
    <w:rPr>
      <w:rFonts w:ascii="宋体" w:hAnsi="宋体"/>
      <w:kern w:val="1"/>
      <w:sz w:val="21"/>
    </w:rPr>
  </w:style>
  <w:style w:type="character" w:customStyle="1" w:styleId="777">
    <w:name w:val="正文缩进 Char3"/>
    <w:qFormat/>
    <w:uiPriority w:val="0"/>
    <w:rPr>
      <w:rFonts w:ascii="宋体" w:eastAsia="宋体"/>
      <w:snapToGrid w:val="0"/>
      <w:color w:val="000000"/>
      <w:kern w:val="28"/>
      <w:sz w:val="28"/>
      <w:lang w:val="en-US" w:eastAsia="zh-CN" w:bidi="ar-SA"/>
    </w:rPr>
  </w:style>
  <w:style w:type="character" w:customStyle="1" w:styleId="778">
    <w:name w:val="列出段落 Char1"/>
    <w:link w:val="100"/>
    <w:qFormat/>
    <w:uiPriority w:val="0"/>
    <w:rPr>
      <w:rFonts w:ascii="Calibri" w:hAnsi="Calibri"/>
      <w:sz w:val="24"/>
      <w:lang w:eastAsia="en-US"/>
    </w:rPr>
  </w:style>
  <w:style w:type="character" w:customStyle="1" w:styleId="779">
    <w:name w:val="Char Char8"/>
    <w:qFormat/>
    <w:uiPriority w:val="0"/>
    <w:rPr>
      <w:rFonts w:eastAsia="宋体"/>
      <w:b/>
      <w:sz w:val="24"/>
      <w:lang w:eastAsia="zh-CN"/>
    </w:rPr>
  </w:style>
  <w:style w:type="character" w:customStyle="1" w:styleId="780">
    <w:name w:val="Normal Indent Char Char"/>
    <w:qFormat/>
    <w:uiPriority w:val="0"/>
    <w:rPr>
      <w:rFonts w:eastAsia="宋体"/>
      <w:kern w:val="2"/>
      <w:sz w:val="21"/>
      <w:lang w:val="en-US" w:eastAsia="zh-CN" w:bidi="ar-SA"/>
    </w:rPr>
  </w:style>
  <w:style w:type="character" w:customStyle="1" w:styleId="781">
    <w:name w:val="列表段落 字符"/>
    <w:qFormat/>
    <w:uiPriority w:val="99"/>
  </w:style>
  <w:style w:type="character" w:customStyle="1" w:styleId="782">
    <w:name w:val="Ò³Ã¼ Char Char1"/>
    <w:qFormat/>
    <w:uiPriority w:val="0"/>
    <w:rPr>
      <w:rFonts w:eastAsia="宋体"/>
      <w:kern w:val="2"/>
      <w:sz w:val="18"/>
      <w:szCs w:val="18"/>
      <w:lang w:val="en-US" w:eastAsia="zh-CN" w:bidi="ar-SA"/>
    </w:rPr>
  </w:style>
  <w:style w:type="character" w:customStyle="1" w:styleId="783">
    <w:name w:val="方案正文 Char"/>
    <w:qFormat/>
    <w:uiPriority w:val="0"/>
    <w:rPr>
      <w:rFonts w:ascii="仿宋_GB2312" w:eastAsia="仿宋_GB2312"/>
      <w:b/>
      <w:color w:val="000000"/>
      <w:kern w:val="2"/>
      <w:sz w:val="24"/>
      <w:lang w:val="en-US" w:eastAsia="zh-CN" w:bidi="ar-SA"/>
    </w:rPr>
  </w:style>
  <w:style w:type="character" w:customStyle="1" w:styleId="784">
    <w:name w:val="Char Char30"/>
    <w:qFormat/>
    <w:uiPriority w:val="6"/>
    <w:rPr>
      <w:rFonts w:ascii="Arial" w:hAnsi="Arial" w:eastAsia="黑体"/>
      <w:kern w:val="1"/>
      <w:sz w:val="21"/>
      <w:szCs w:val="21"/>
    </w:rPr>
  </w:style>
  <w:style w:type="character" w:customStyle="1" w:styleId="785">
    <w:name w:val="正文文本缩进 Char3"/>
    <w:link w:val="2"/>
    <w:qFormat/>
    <w:uiPriority w:val="0"/>
    <w:rPr>
      <w:rFonts w:ascii="宋体" w:hAnsi="宋体"/>
      <w:kern w:val="2"/>
      <w:sz w:val="24"/>
      <w:szCs w:val="24"/>
    </w:rPr>
  </w:style>
  <w:style w:type="character" w:customStyle="1" w:styleId="786">
    <w:name w:val="font01"/>
    <w:qFormat/>
    <w:uiPriority w:val="0"/>
    <w:rPr>
      <w:rFonts w:hint="eastAsia" w:ascii="微软雅黑" w:hAnsi="微软雅黑" w:eastAsia="微软雅黑" w:cs="微软雅黑"/>
      <w:color w:val="000000"/>
      <w:sz w:val="20"/>
      <w:szCs w:val="20"/>
      <w:u w:val="none"/>
    </w:rPr>
  </w:style>
  <w:style w:type="character" w:customStyle="1" w:styleId="787">
    <w:name w:val="Char Char20"/>
    <w:qFormat/>
    <w:uiPriority w:val="6"/>
    <w:rPr>
      <w:kern w:val="1"/>
      <w:sz w:val="24"/>
    </w:rPr>
  </w:style>
  <w:style w:type="character" w:customStyle="1" w:styleId="788">
    <w:name w:val="tw4winExternal"/>
    <w:qFormat/>
    <w:uiPriority w:val="0"/>
    <w:rPr>
      <w:rFonts w:ascii="Courier New" w:hAnsi="Courier New" w:cs="Courier New"/>
      <w:color w:val="808080"/>
      <w:lang w:val="en-US" w:eastAsia="zh-CN"/>
    </w:rPr>
  </w:style>
  <w:style w:type="character" w:customStyle="1" w:styleId="789">
    <w:name w:val="标题 4 Char1"/>
    <w:qFormat/>
    <w:uiPriority w:val="9"/>
    <w:rPr>
      <w:rFonts w:ascii="Cambria" w:hAnsi="Cambria" w:eastAsia="宋体" w:cs="Times New Roman"/>
      <w:b/>
      <w:bCs/>
      <w:kern w:val="2"/>
      <w:sz w:val="28"/>
      <w:szCs w:val="28"/>
    </w:rPr>
  </w:style>
  <w:style w:type="character" w:customStyle="1" w:styleId="790">
    <w:name w:val="批注文字 Char2"/>
    <w:qFormat/>
    <w:uiPriority w:val="99"/>
    <w:rPr>
      <w:rFonts w:ascii="Times New Roman" w:hAnsi="Times New Roman" w:eastAsia="宋体" w:cs="Times New Roman"/>
      <w:snapToGrid w:val="0"/>
      <w:kern w:val="0"/>
      <w:szCs w:val="24"/>
    </w:rPr>
  </w:style>
  <w:style w:type="character" w:customStyle="1" w:styleId="791">
    <w:name w:val="正文文本 2 Char"/>
    <w:qFormat/>
    <w:uiPriority w:val="0"/>
    <w:rPr>
      <w:rFonts w:eastAsia="宋体"/>
      <w:kern w:val="2"/>
      <w:sz w:val="21"/>
      <w:szCs w:val="24"/>
      <w:lang w:val="en-US" w:eastAsia="zh-CN" w:bidi="ar-SA"/>
    </w:rPr>
  </w:style>
  <w:style w:type="character" w:customStyle="1" w:styleId="792">
    <w:name w:val="Ò³Ã¼ Char Char"/>
    <w:qFormat/>
    <w:uiPriority w:val="0"/>
    <w:rPr>
      <w:rFonts w:eastAsia="宋体"/>
      <w:kern w:val="2"/>
      <w:sz w:val="18"/>
      <w:lang w:val="en-US" w:eastAsia="zh-CN" w:bidi="ar-SA"/>
    </w:rPr>
  </w:style>
  <w:style w:type="character" w:customStyle="1" w:styleId="793">
    <w:name w:val="message1"/>
    <w:qFormat/>
    <w:uiPriority w:val="0"/>
    <w:rPr>
      <w:rFonts w:hint="default" w:ascii="Tahoma" w:hAnsi="Tahoma" w:cs="Tahoma"/>
      <w:sz w:val="18"/>
      <w:szCs w:val="18"/>
    </w:rPr>
  </w:style>
  <w:style w:type="character" w:customStyle="1" w:styleId="794">
    <w:name w:val="Char Char23"/>
    <w:qFormat/>
    <w:uiPriority w:val="6"/>
    <w:rPr>
      <w:color w:val="0000FF"/>
      <w:sz w:val="21"/>
    </w:rPr>
  </w:style>
  <w:style w:type="character" w:customStyle="1" w:styleId="795">
    <w:name w:val="批注框文本 字符"/>
    <w:qFormat/>
    <w:uiPriority w:val="0"/>
    <w:rPr>
      <w:rFonts w:ascii="Arial" w:hAnsi="Arial" w:eastAsia="黑体" w:cs="Arial"/>
      <w:snapToGrid w:val="0"/>
      <w:kern w:val="0"/>
      <w:sz w:val="18"/>
      <w:szCs w:val="18"/>
    </w:rPr>
  </w:style>
  <w:style w:type="character" w:customStyle="1" w:styleId="796">
    <w:name w:val="纯文本 Char2"/>
    <w:semiHidden/>
    <w:qFormat/>
    <w:uiPriority w:val="99"/>
    <w:rPr>
      <w:rFonts w:ascii="宋体" w:hAnsi="Courier New" w:eastAsia="宋体" w:cs="Courier New"/>
    </w:rPr>
  </w:style>
  <w:style w:type="character" w:customStyle="1" w:styleId="797">
    <w:name w:val="Char Char25"/>
    <w:qFormat/>
    <w:uiPriority w:val="6"/>
    <w:rPr>
      <w:rFonts w:ascii="宋体" w:hAnsi="宋体"/>
      <w:kern w:val="1"/>
      <w:sz w:val="24"/>
      <w:lang w:val="zh-CN"/>
    </w:rPr>
  </w:style>
  <w:style w:type="character" w:customStyle="1" w:styleId="798">
    <w:name w:val="Char Char411"/>
    <w:qFormat/>
    <w:uiPriority w:val="0"/>
    <w:rPr>
      <w:rFonts w:eastAsia="宋体"/>
      <w:b/>
      <w:sz w:val="24"/>
      <w:lang w:eastAsia="zh-CN" w:bidi="ar-SA"/>
    </w:rPr>
  </w:style>
  <w:style w:type="character" w:customStyle="1" w:styleId="799">
    <w:name w:val="Heading 7 Char"/>
    <w:qFormat/>
    <w:locked/>
    <w:uiPriority w:val="0"/>
    <w:rPr>
      <w:rFonts w:ascii="宋体" w:hAnsi="宋体" w:eastAsia="宋体"/>
      <w:b/>
      <w:bCs/>
      <w:kern w:val="2"/>
      <w:sz w:val="24"/>
      <w:szCs w:val="24"/>
      <w:lang w:val="en-US" w:eastAsia="zh-CN" w:bidi="ar-SA"/>
    </w:rPr>
  </w:style>
  <w:style w:type="character" w:customStyle="1" w:styleId="800">
    <w:name w:val="此正文 Char"/>
    <w:link w:val="102"/>
    <w:qFormat/>
    <w:uiPriority w:val="0"/>
    <w:rPr>
      <w:kern w:val="2"/>
      <w:sz w:val="24"/>
      <w:szCs w:val="24"/>
    </w:rPr>
  </w:style>
  <w:style w:type="character" w:customStyle="1" w:styleId="801">
    <w:name w:val="Char Char2"/>
    <w:qFormat/>
    <w:uiPriority w:val="0"/>
    <w:rPr>
      <w:rFonts w:eastAsia="宋体"/>
      <w:b/>
      <w:bCs/>
      <w:kern w:val="2"/>
      <w:sz w:val="21"/>
      <w:szCs w:val="24"/>
      <w:lang w:val="en-US" w:eastAsia="zh-CN" w:bidi="ar-SA"/>
    </w:rPr>
  </w:style>
  <w:style w:type="character" w:customStyle="1" w:styleId="802">
    <w:name w:val="标题 1 Char"/>
    <w:link w:val="4"/>
    <w:qFormat/>
    <w:uiPriority w:val="9"/>
    <w:rPr>
      <w:b/>
      <w:bCs/>
      <w:kern w:val="44"/>
      <w:sz w:val="44"/>
      <w:szCs w:val="44"/>
    </w:rPr>
  </w:style>
  <w:style w:type="character" w:customStyle="1" w:styleId="803">
    <w:name w:val="Footer-Even Char1"/>
    <w:qFormat/>
    <w:uiPriority w:val="0"/>
    <w:rPr>
      <w:rFonts w:eastAsia="宋体"/>
      <w:kern w:val="2"/>
      <w:sz w:val="18"/>
      <w:szCs w:val="18"/>
      <w:lang w:val="en-US" w:eastAsia="zh-CN" w:bidi="ar-SA"/>
    </w:rPr>
  </w:style>
  <w:style w:type="character" w:customStyle="1" w:styleId="804">
    <w:name w:val="Char Char29"/>
    <w:qFormat/>
    <w:uiPriority w:val="6"/>
    <w:rPr>
      <w:rFonts w:ascii="Arial" w:hAnsi="Arial" w:eastAsia="微软雅黑"/>
      <w:b/>
      <w:kern w:val="1"/>
      <w:sz w:val="44"/>
      <w:szCs w:val="32"/>
      <w:lang w:val="en-US" w:eastAsia="zh-CN" w:bidi="ar-SA"/>
    </w:rPr>
  </w:style>
  <w:style w:type="character" w:customStyle="1" w:styleId="805">
    <w:name w:val="标题 Char2"/>
    <w:link w:val="60"/>
    <w:qFormat/>
    <w:uiPriority w:val="10"/>
    <w:rPr>
      <w:b/>
      <w:sz w:val="24"/>
    </w:rPr>
  </w:style>
  <w:style w:type="character" w:customStyle="1" w:styleId="806">
    <w:name w:val="font81"/>
    <w:qFormat/>
    <w:uiPriority w:val="0"/>
    <w:rPr>
      <w:rFonts w:ascii="微软雅黑" w:hAnsi="微软雅黑" w:eastAsia="微软雅黑" w:cs="微软雅黑"/>
      <w:color w:val="000000"/>
      <w:sz w:val="20"/>
      <w:szCs w:val="20"/>
      <w:u w:val="none"/>
    </w:rPr>
  </w:style>
  <w:style w:type="character" w:customStyle="1" w:styleId="807">
    <w:name w:val="Char Char312"/>
    <w:qFormat/>
    <w:uiPriority w:val="0"/>
    <w:rPr>
      <w:rFonts w:ascii="Times New Roman" w:hAnsi="Times New Roman" w:eastAsia="宋体" w:cs="Times New Roman"/>
      <w:b/>
      <w:kern w:val="2"/>
      <w:sz w:val="32"/>
      <w:szCs w:val="24"/>
      <w:lang w:val="en-US" w:eastAsia="zh-CN" w:bidi="ar-SA"/>
    </w:rPr>
  </w:style>
  <w:style w:type="character" w:customStyle="1" w:styleId="808">
    <w:name w:val="t21"/>
    <w:qFormat/>
    <w:uiPriority w:val="0"/>
    <w:rPr>
      <w:rFonts w:ascii="仿宋_GB2312" w:eastAsia="微软雅黑"/>
      <w:b/>
      <w:kern w:val="2"/>
      <w:sz w:val="23"/>
      <w:szCs w:val="23"/>
      <w:lang w:val="en-US" w:eastAsia="zh-CN" w:bidi="ar-SA"/>
    </w:rPr>
  </w:style>
  <w:style w:type="character" w:customStyle="1" w:styleId="809">
    <w:name w:val="样式8 Char"/>
    <w:qFormat/>
    <w:uiPriority w:val="0"/>
    <w:rPr>
      <w:rFonts w:ascii="仿宋_GB2312" w:hAnsi="宋体" w:eastAsia="仿宋_GB2312"/>
      <w:b/>
      <w:bCs/>
      <w:kern w:val="2"/>
      <w:sz w:val="24"/>
      <w:szCs w:val="24"/>
    </w:rPr>
  </w:style>
  <w:style w:type="character" w:customStyle="1" w:styleId="810">
    <w:name w:val="表格 Char Char"/>
    <w:qFormat/>
    <w:uiPriority w:val="0"/>
    <w:rPr>
      <w:rFonts w:ascii="宋体" w:hAnsi="宋体" w:eastAsia="宋体"/>
      <w:lang w:bidi="ar-SA"/>
    </w:rPr>
  </w:style>
  <w:style w:type="character" w:customStyle="1" w:styleId="811">
    <w:name w:val="正文文本 字符1"/>
    <w:qFormat/>
    <w:uiPriority w:val="0"/>
    <w:rPr>
      <w:rFonts w:ascii="Calibri" w:hAnsi="Calibri" w:eastAsia="黑体" w:cs="Arial"/>
      <w:snapToGrid w:val="0"/>
      <w:kern w:val="2"/>
      <w:sz w:val="28"/>
      <w:szCs w:val="21"/>
    </w:rPr>
  </w:style>
  <w:style w:type="character" w:customStyle="1" w:styleId="812">
    <w:name w:val="标题 5 Char"/>
    <w:link w:val="9"/>
    <w:qFormat/>
    <w:uiPriority w:val="9"/>
    <w:rPr>
      <w:b/>
      <w:bCs/>
      <w:kern w:val="2"/>
      <w:sz w:val="28"/>
      <w:szCs w:val="28"/>
    </w:rPr>
  </w:style>
  <w:style w:type="character" w:customStyle="1" w:styleId="813">
    <w:name w:val="标题 6 Char1"/>
    <w:qFormat/>
    <w:uiPriority w:val="0"/>
    <w:rPr>
      <w:rFonts w:ascii="Arial" w:hAnsi="Arial" w:eastAsia="黑体" w:cs="Times New Roman"/>
      <w:b/>
      <w:sz w:val="24"/>
      <w:szCs w:val="20"/>
      <w:lang w:bidi="ar-SA"/>
    </w:rPr>
  </w:style>
  <w:style w:type="character" w:customStyle="1" w:styleId="814">
    <w:name w:val="带编号样式 Char"/>
    <w:qFormat/>
    <w:uiPriority w:val="0"/>
    <w:rPr>
      <w:rFonts w:ascii="仿宋_GB2312" w:eastAsia="仿宋_GB2312"/>
      <w:color w:val="000000"/>
      <w:sz w:val="24"/>
      <w:lang w:bidi="ar-SA"/>
    </w:rPr>
  </w:style>
  <w:style w:type="character" w:customStyle="1" w:styleId="815">
    <w:name w:val="unnamed31"/>
    <w:qFormat/>
    <w:uiPriority w:val="0"/>
    <w:rPr>
      <w:rFonts w:ascii="Tahoma" w:hAnsi="Tahoma" w:eastAsia="宋体"/>
      <w:b/>
      <w:kern w:val="2"/>
      <w:sz w:val="24"/>
      <w:szCs w:val="32"/>
      <w:u w:val="none"/>
      <w:lang w:val="en-US" w:eastAsia="zh-CN" w:bidi="ar-SA"/>
    </w:rPr>
  </w:style>
  <w:style w:type="character" w:customStyle="1" w:styleId="816">
    <w:name w:val="正文首行缩进 Char Char Char Char Char Char1"/>
    <w:qFormat/>
    <w:uiPriority w:val="0"/>
    <w:rPr>
      <w:rFonts w:ascii="宋体" w:eastAsia="宋体"/>
      <w:kern w:val="2"/>
      <w:sz w:val="24"/>
      <w:szCs w:val="24"/>
      <w:lang w:val="zh-CN" w:bidi="ar-SA"/>
    </w:rPr>
  </w:style>
  <w:style w:type="character" w:customStyle="1" w:styleId="817">
    <w:name w:val="称呼 Char"/>
    <w:link w:val="22"/>
    <w:qFormat/>
    <w:uiPriority w:val="0"/>
    <w:rPr>
      <w:rFonts w:ascii="仿宋_GB2312" w:eastAsia="仿宋_GB2312"/>
      <w:kern w:val="2"/>
      <w:sz w:val="28"/>
    </w:rPr>
  </w:style>
  <w:style w:type="character" w:customStyle="1" w:styleId="818">
    <w:name w:val="文本正文 Char Char"/>
    <w:qFormat/>
    <w:locked/>
    <w:uiPriority w:val="0"/>
    <w:rPr>
      <w:sz w:val="24"/>
      <w:lang w:bidi="ar-SA"/>
    </w:rPr>
  </w:style>
  <w:style w:type="character" w:customStyle="1" w:styleId="819">
    <w:name w:val="正文缩进 字符"/>
    <w:qFormat/>
    <w:uiPriority w:val="0"/>
    <w:rPr>
      <w:rFonts w:ascii="宋体" w:eastAsia="宋体"/>
      <w:snapToGrid w:val="0"/>
      <w:color w:val="000000"/>
      <w:kern w:val="28"/>
      <w:sz w:val="28"/>
      <w:lang w:val="en-US" w:eastAsia="zh-CN" w:bidi="ar-SA"/>
    </w:rPr>
  </w:style>
  <w:style w:type="character" w:customStyle="1" w:styleId="820">
    <w:name w:val="HTML 预设格式 Char"/>
    <w:link w:val="58"/>
    <w:qFormat/>
    <w:uiPriority w:val="0"/>
    <w:rPr>
      <w:rFonts w:ascii="黑体" w:hAnsi="Courier New" w:eastAsia="黑体"/>
    </w:rPr>
  </w:style>
  <w:style w:type="character" w:customStyle="1" w:styleId="821">
    <w:name w:val="正文文本 2 Char1"/>
    <w:link w:val="57"/>
    <w:qFormat/>
    <w:uiPriority w:val="0"/>
    <w:rPr>
      <w:kern w:val="2"/>
      <w:sz w:val="21"/>
      <w:szCs w:val="24"/>
    </w:rPr>
  </w:style>
  <w:style w:type="character" w:customStyle="1" w:styleId="822">
    <w:name w:val="样式 样式 标题 4h4H4Fab-4T5Ref Heading 1rh1Heading sqlsect 1.2.3.... +... Char"/>
    <w:link w:val="103"/>
    <w:qFormat/>
    <w:uiPriority w:val="0"/>
    <w:rPr>
      <w:rFonts w:ascii="微软雅黑" w:hAnsi="微软雅黑" w:eastAsia="微软雅黑"/>
      <w:b/>
      <w:bCs/>
      <w:kern w:val="2"/>
      <w:sz w:val="24"/>
      <w:szCs w:val="28"/>
    </w:rPr>
  </w:style>
  <w:style w:type="character" w:customStyle="1" w:styleId="823">
    <w:name w:val="正文非缩进 Char"/>
    <w:qFormat/>
    <w:uiPriority w:val="0"/>
    <w:rPr>
      <w:rFonts w:ascii="宋体" w:eastAsia="宋体"/>
      <w:snapToGrid w:val="0"/>
      <w:color w:val="000000"/>
      <w:kern w:val="28"/>
      <w:sz w:val="28"/>
      <w:lang w:val="en-US" w:eastAsia="zh-CN" w:bidi="ar-SA"/>
    </w:rPr>
  </w:style>
  <w:style w:type="character" w:customStyle="1" w:styleId="824">
    <w:name w:val="标题 7 Char"/>
    <w:link w:val="11"/>
    <w:qFormat/>
    <w:uiPriority w:val="0"/>
    <w:rPr>
      <w:b/>
      <w:bCs/>
      <w:kern w:val="2"/>
      <w:sz w:val="24"/>
      <w:szCs w:val="24"/>
    </w:rPr>
  </w:style>
  <w:style w:type="character" w:customStyle="1" w:styleId="825">
    <w:name w:val="正文文本缩进 2 Char"/>
    <w:link w:val="38"/>
    <w:qFormat/>
    <w:uiPriority w:val="0"/>
    <w:rPr>
      <w:rFonts w:ascii="宋体"/>
      <w:sz w:val="28"/>
    </w:rPr>
  </w:style>
  <w:style w:type="character" w:customStyle="1" w:styleId="826">
    <w:name w:val="Char Char5"/>
    <w:qFormat/>
    <w:uiPriority w:val="0"/>
    <w:rPr>
      <w:rFonts w:ascii="宋体" w:hAnsi="Courier New" w:eastAsia="宋体"/>
      <w:kern w:val="2"/>
      <w:sz w:val="21"/>
      <w:lang w:val="en-US" w:eastAsia="zh-CN"/>
    </w:rPr>
  </w:style>
  <w:style w:type="character" w:customStyle="1" w:styleId="827">
    <w:name w:val="脚注文本 Char"/>
    <w:link w:val="51"/>
    <w:qFormat/>
    <w:uiPriority w:val="0"/>
    <w:rPr>
      <w:color w:val="0000FF"/>
      <w:sz w:val="21"/>
    </w:rPr>
  </w:style>
  <w:style w:type="character" w:customStyle="1" w:styleId="828">
    <w:name w:val="称呼 Char1"/>
    <w:qFormat/>
    <w:uiPriority w:val="0"/>
    <w:rPr>
      <w:rFonts w:ascii="Times New Roman" w:hAnsi="Times New Roman" w:eastAsia="宋体" w:cs="Times New Roman"/>
      <w:szCs w:val="24"/>
    </w:rPr>
  </w:style>
  <w:style w:type="character" w:customStyle="1" w:styleId="829">
    <w:name w:val="正文1 Char"/>
    <w:qFormat/>
    <w:uiPriority w:val="0"/>
    <w:rPr>
      <w:rFonts w:ascii="宋体" w:eastAsia="宋体"/>
      <w:snapToGrid w:val="0"/>
      <w:color w:val="000000"/>
      <w:kern w:val="28"/>
      <w:sz w:val="28"/>
      <w:lang w:val="en-US" w:eastAsia="zh-CN" w:bidi="ar-SA"/>
    </w:rPr>
  </w:style>
  <w:style w:type="character" w:customStyle="1" w:styleId="830">
    <w:name w:val="正文缩进 Char1"/>
    <w:qFormat/>
    <w:uiPriority w:val="0"/>
    <w:rPr>
      <w:rFonts w:ascii="宋体" w:eastAsia="宋体"/>
      <w:snapToGrid w:val="0"/>
      <w:color w:val="000000"/>
      <w:kern w:val="28"/>
      <w:sz w:val="28"/>
      <w:lang w:val="en-US" w:eastAsia="zh-CN" w:bidi="ar-SA"/>
    </w:rPr>
  </w:style>
  <w:style w:type="character" w:customStyle="1" w:styleId="831">
    <w:name w:val="font21"/>
    <w:qFormat/>
    <w:uiPriority w:val="0"/>
    <w:rPr>
      <w:rFonts w:hint="eastAsia" w:ascii="宋体" w:hAnsi="宋体" w:eastAsia="宋体"/>
      <w:kern w:val="2"/>
      <w:sz w:val="28"/>
      <w:szCs w:val="28"/>
      <w:lang w:val="en-US" w:eastAsia="zh-CN" w:bidi="ar-SA"/>
    </w:rPr>
  </w:style>
  <w:style w:type="character" w:customStyle="1" w:styleId="832">
    <w:name w:val="Char Char26"/>
    <w:qFormat/>
    <w:uiPriority w:val="6"/>
    <w:rPr>
      <w:kern w:val="1"/>
      <w:sz w:val="21"/>
      <w:szCs w:val="24"/>
    </w:rPr>
  </w:style>
  <w:style w:type="character" w:customStyle="1" w:styleId="833">
    <w:name w:val="Item List Char"/>
    <w:link w:val="105"/>
    <w:qFormat/>
    <w:uiPriority w:val="0"/>
    <w:rPr>
      <w:rFonts w:ascii="Arial"/>
      <w:bCs/>
      <w:sz w:val="21"/>
      <w:szCs w:val="21"/>
      <w:lang w:val="en-US" w:eastAsia="zh-CN" w:bidi="ar-SA"/>
    </w:rPr>
  </w:style>
  <w:style w:type="character" w:customStyle="1" w:styleId="834">
    <w:name w:val="批注框文本 Char1"/>
    <w:qFormat/>
    <w:uiPriority w:val="0"/>
    <w:rPr>
      <w:rFonts w:ascii="Times New Roman" w:hAnsi="Times New Roman" w:eastAsia="宋体" w:cs="Times New Roman"/>
      <w:sz w:val="18"/>
      <w:szCs w:val="18"/>
    </w:rPr>
  </w:style>
  <w:style w:type="character" w:customStyle="1" w:styleId="835">
    <w:name w:val="纯文本 Char1"/>
    <w:link w:val="106"/>
    <w:qFormat/>
    <w:uiPriority w:val="0"/>
    <w:rPr>
      <w:rFonts w:ascii="宋体" w:hAnsi="Courier New"/>
    </w:rPr>
  </w:style>
  <w:style w:type="character" w:customStyle="1" w:styleId="836">
    <w:name w:val="正文首行缩进 Char"/>
    <w:link w:val="26"/>
    <w:qFormat/>
    <w:uiPriority w:val="0"/>
    <w:rPr>
      <w:rFonts w:ascii="宋体"/>
      <w:kern w:val="2"/>
      <w:sz w:val="24"/>
      <w:lang w:val="zh-CN"/>
    </w:rPr>
  </w:style>
  <w:style w:type="character" w:customStyle="1" w:styleId="837">
    <w:name w:val="h3 Char"/>
    <w:qFormat/>
    <w:uiPriority w:val="0"/>
    <w:rPr>
      <w:rFonts w:eastAsia="宋体"/>
      <w:b/>
      <w:kern w:val="2"/>
      <w:sz w:val="32"/>
      <w:lang w:val="en-US" w:eastAsia="zh-CN" w:bidi="ar-SA"/>
    </w:rPr>
  </w:style>
  <w:style w:type="character" w:customStyle="1" w:styleId="838">
    <w:name w:val="dandyren_title1"/>
    <w:qFormat/>
    <w:uiPriority w:val="0"/>
    <w:rPr>
      <w:b/>
      <w:bCs/>
      <w:color w:val="FF6633"/>
      <w:sz w:val="18"/>
      <w:szCs w:val="18"/>
    </w:rPr>
  </w:style>
  <w:style w:type="character" w:customStyle="1" w:styleId="839">
    <w:name w:val="Char Char31"/>
    <w:qFormat/>
    <w:uiPriority w:val="6"/>
    <w:rPr>
      <w:rFonts w:ascii="Arial" w:hAnsi="Arial" w:eastAsia="黑体"/>
      <w:kern w:val="1"/>
      <w:sz w:val="24"/>
      <w:szCs w:val="24"/>
    </w:rPr>
  </w:style>
  <w:style w:type="character" w:customStyle="1" w:styleId="840">
    <w:name w:val="h Char1"/>
    <w:qFormat/>
    <w:uiPriority w:val="0"/>
    <w:rPr>
      <w:sz w:val="18"/>
      <w:szCs w:val="18"/>
    </w:rPr>
  </w:style>
  <w:style w:type="character" w:customStyle="1" w:styleId="841">
    <w:name w:val="solutionfonts"/>
    <w:autoRedefine/>
    <w:qFormat/>
    <w:uiPriority w:val="0"/>
  </w:style>
  <w:style w:type="character" w:customStyle="1" w:styleId="842">
    <w:name w:val="标题 4 Char2"/>
    <w:link w:val="8"/>
    <w:qFormat/>
    <w:uiPriority w:val="9"/>
    <w:rPr>
      <w:rFonts w:ascii="Arial" w:hAnsi="Arial" w:eastAsia="黑体"/>
      <w:b/>
      <w:bCs/>
      <w:kern w:val="2"/>
      <w:sz w:val="28"/>
      <w:szCs w:val="28"/>
      <w:lang w:val="zh-CN"/>
    </w:rPr>
  </w:style>
  <w:style w:type="character" w:customStyle="1" w:styleId="843">
    <w:name w:val="首行缩进 Char"/>
    <w:qFormat/>
    <w:uiPriority w:val="0"/>
    <w:rPr>
      <w:rFonts w:ascii="宋体" w:eastAsia="宋体"/>
      <w:kern w:val="2"/>
      <w:sz w:val="24"/>
      <w:lang w:val="en-US" w:eastAsia="zh-CN" w:bidi="ar-SA"/>
    </w:rPr>
  </w:style>
  <w:style w:type="character" w:customStyle="1" w:styleId="844">
    <w:name w:val="Char Char52"/>
    <w:qFormat/>
    <w:uiPriority w:val="0"/>
    <w:rPr>
      <w:rFonts w:ascii="宋体" w:hAnsi="Courier New" w:eastAsia="宋体"/>
      <w:kern w:val="2"/>
      <w:sz w:val="21"/>
      <w:lang w:val="en-US" w:eastAsia="zh-CN"/>
    </w:rPr>
  </w:style>
  <w:style w:type="character" w:customStyle="1" w:styleId="845">
    <w:name w:val="正文文本 3 Char"/>
    <w:link w:val="23"/>
    <w:qFormat/>
    <w:uiPriority w:val="0"/>
    <w:rPr>
      <w:kern w:val="2"/>
      <w:sz w:val="21"/>
    </w:rPr>
  </w:style>
  <w:style w:type="character" w:customStyle="1" w:styleId="846">
    <w:name w:val="font31"/>
    <w:qFormat/>
    <w:uiPriority w:val="0"/>
    <w:rPr>
      <w:rFonts w:hint="eastAsia" w:ascii="仿宋" w:hAnsi="仿宋" w:eastAsia="仿宋" w:cs="仿宋"/>
      <w:color w:val="000000"/>
      <w:sz w:val="20"/>
      <w:szCs w:val="20"/>
      <w:u w:val="none"/>
    </w:rPr>
  </w:style>
  <w:style w:type="character" w:customStyle="1" w:styleId="847">
    <w:name w:val="正文说明 Char"/>
    <w:link w:val="107"/>
    <w:qFormat/>
    <w:uiPriority w:val="0"/>
    <w:rPr>
      <w:sz w:val="24"/>
      <w:szCs w:val="24"/>
    </w:rPr>
  </w:style>
  <w:style w:type="character" w:customStyle="1" w:styleId="848">
    <w:name w:val="脚注文本 Char1"/>
    <w:qFormat/>
    <w:uiPriority w:val="0"/>
    <w:rPr>
      <w:rFonts w:ascii="Times New Roman" w:hAnsi="Times New Roman" w:eastAsia="宋体" w:cs="Times New Roman"/>
      <w:sz w:val="18"/>
      <w:szCs w:val="18"/>
    </w:rPr>
  </w:style>
  <w:style w:type="character" w:customStyle="1" w:styleId="849">
    <w:name w:val="Char Char1211"/>
    <w:qFormat/>
    <w:uiPriority w:val="0"/>
    <w:rPr>
      <w:rFonts w:ascii="仿宋_GB2312" w:eastAsia="仿宋_GB2312"/>
      <w:b/>
      <w:bCs/>
      <w:kern w:val="2"/>
      <w:sz w:val="24"/>
      <w:szCs w:val="24"/>
      <w:lang w:val="zh-CN" w:eastAsia="zh-CN" w:bidi="ar-SA"/>
    </w:rPr>
  </w:style>
  <w:style w:type="character" w:customStyle="1" w:styleId="850">
    <w:name w:val="标题 Char"/>
    <w:qFormat/>
    <w:uiPriority w:val="0"/>
    <w:rPr>
      <w:rFonts w:eastAsia="宋体"/>
      <w:b/>
      <w:sz w:val="24"/>
      <w:lang w:eastAsia="zh-CN" w:bidi="ar-SA"/>
    </w:rPr>
  </w:style>
  <w:style w:type="character" w:customStyle="1" w:styleId="851">
    <w:name w:val="Char Char35"/>
    <w:qFormat/>
    <w:uiPriority w:val="6"/>
    <w:rPr>
      <w:rFonts w:ascii="Arial" w:hAnsi="Arial" w:eastAsia="黑体"/>
      <w:b/>
      <w:kern w:val="1"/>
      <w:sz w:val="28"/>
      <w:szCs w:val="28"/>
      <w:lang w:val="zh-CN"/>
    </w:rPr>
  </w:style>
  <w:style w:type="character" w:customStyle="1" w:styleId="852">
    <w:name w:val="纯文本 Char Char Char"/>
    <w:qFormat/>
    <w:uiPriority w:val="0"/>
    <w:rPr>
      <w:rFonts w:ascii="宋体" w:hAnsi="Courier New" w:eastAsia="宋体"/>
      <w:kern w:val="2"/>
      <w:sz w:val="21"/>
      <w:lang w:val="en-US" w:eastAsia="zh-CN" w:bidi="ar-SA"/>
    </w:rPr>
  </w:style>
  <w:style w:type="character" w:customStyle="1" w:styleId="853">
    <w:name w:val="Table Text Char"/>
    <w:link w:val="108"/>
    <w:qFormat/>
    <w:uiPriority w:val="0"/>
    <w:rPr>
      <w:sz w:val="24"/>
      <w:szCs w:val="24"/>
    </w:rPr>
  </w:style>
  <w:style w:type="character" w:customStyle="1" w:styleId="854">
    <w:name w:val="正文1 Char1"/>
    <w:qFormat/>
    <w:uiPriority w:val="0"/>
    <w:rPr>
      <w:rFonts w:ascii="仿宋_GB2312" w:hAnsi="Courier New" w:eastAsia="仿宋_GB2312"/>
      <w:kern w:val="28"/>
      <w:sz w:val="24"/>
      <w:szCs w:val="24"/>
      <w:lang w:val="en-US" w:eastAsia="zh-CN"/>
    </w:rPr>
  </w:style>
  <w:style w:type="character" w:customStyle="1" w:styleId="855">
    <w:name w:val="页脚 Char1"/>
    <w:qFormat/>
    <w:uiPriority w:val="0"/>
    <w:rPr>
      <w:rFonts w:eastAsia="宋体"/>
      <w:kern w:val="2"/>
      <w:sz w:val="18"/>
      <w:szCs w:val="18"/>
      <w:lang w:val="en-US" w:eastAsia="zh-CN" w:bidi="ar-SA"/>
    </w:rPr>
  </w:style>
  <w:style w:type="character" w:customStyle="1" w:styleId="856">
    <w:name w:val="Bold"/>
    <w:qFormat/>
    <w:uiPriority w:val="0"/>
    <w:rPr>
      <w:rFonts w:ascii="Arial" w:hAnsi="Arial" w:eastAsia="黑体" w:cs="Times New Roman"/>
      <w:b/>
      <w:kern w:val="2"/>
      <w:sz w:val="32"/>
      <w:szCs w:val="32"/>
      <w:lang w:val="en-US" w:eastAsia="zh-CN" w:bidi="ar-SA"/>
    </w:rPr>
  </w:style>
  <w:style w:type="character" w:customStyle="1" w:styleId="857">
    <w:name w:val="批注文字 Char1"/>
    <w:link w:val="21"/>
    <w:qFormat/>
    <w:uiPriority w:val="99"/>
    <w:rPr>
      <w:kern w:val="2"/>
      <w:sz w:val="21"/>
      <w:szCs w:val="24"/>
    </w:rPr>
  </w:style>
  <w:style w:type="character" w:customStyle="1" w:styleId="858">
    <w:name w:val="签名 Char"/>
    <w:link w:val="43"/>
    <w:qFormat/>
    <w:uiPriority w:val="0"/>
    <w:rPr>
      <w:rFonts w:eastAsia="仿宋_GB2312"/>
      <w:sz w:val="24"/>
    </w:rPr>
  </w:style>
  <w:style w:type="character" w:customStyle="1" w:styleId="859">
    <w:name w:val="hui3"/>
    <w:qFormat/>
    <w:uiPriority w:val="0"/>
    <w:rPr>
      <w:color w:val="333333"/>
    </w:rPr>
  </w:style>
  <w:style w:type="character" w:customStyle="1" w:styleId="860">
    <w:name w:val="Char Char17"/>
    <w:qFormat/>
    <w:uiPriority w:val="6"/>
    <w:rPr>
      <w:rFonts w:eastAsia="仿宋_GB2312"/>
      <w:sz w:val="24"/>
    </w:rPr>
  </w:style>
  <w:style w:type="character" w:customStyle="1" w:styleId="861">
    <w:name w:val="标题 4 字符"/>
    <w:qFormat/>
    <w:uiPriority w:val="9"/>
    <w:rPr>
      <w:rFonts w:ascii="等线 Light" w:hAnsi="等线 Light" w:eastAsia="等线 Light" w:cs="Times New Roman"/>
      <w:b/>
      <w:bCs/>
      <w:snapToGrid w:val="0"/>
      <w:kern w:val="0"/>
      <w:sz w:val="28"/>
      <w:szCs w:val="28"/>
    </w:rPr>
  </w:style>
  <w:style w:type="character" w:customStyle="1" w:styleId="862">
    <w:name w:val="Char Char37"/>
    <w:qFormat/>
    <w:uiPriority w:val="6"/>
    <w:rPr>
      <w:b/>
      <w:kern w:val="1"/>
      <w:sz w:val="44"/>
      <w:szCs w:val="44"/>
    </w:rPr>
  </w:style>
  <w:style w:type="character" w:customStyle="1" w:styleId="863">
    <w:name w:val="列出段落 Char"/>
    <w:qFormat/>
    <w:uiPriority w:val="0"/>
    <w:rPr>
      <w:rFonts w:eastAsia="楷体_GB2312" w:cs="Lucida Sans"/>
      <w:kern w:val="2"/>
      <w:sz w:val="24"/>
      <w:szCs w:val="24"/>
      <w:lang w:val="en-US" w:eastAsia="zh-CN" w:bidi="ar-SA"/>
    </w:rPr>
  </w:style>
  <w:style w:type="character" w:customStyle="1" w:styleId="864">
    <w:name w:val="正文文本缩进 3 Char1"/>
    <w:semiHidden/>
    <w:qFormat/>
    <w:uiPriority w:val="99"/>
    <w:rPr>
      <w:rFonts w:ascii="Times New Roman" w:hAnsi="Times New Roman" w:eastAsia="宋体" w:cs="Times New Roman"/>
      <w:sz w:val="16"/>
      <w:szCs w:val="16"/>
    </w:rPr>
  </w:style>
  <w:style w:type="character" w:customStyle="1" w:styleId="865">
    <w:name w:val="公文正文 Char Char"/>
    <w:link w:val="109"/>
    <w:qFormat/>
    <w:uiPriority w:val="0"/>
    <w:rPr>
      <w:rFonts w:ascii="仿宋_GB2312" w:eastAsia="仿宋_GB2312"/>
      <w:kern w:val="2"/>
      <w:sz w:val="24"/>
      <w:szCs w:val="24"/>
    </w:rPr>
  </w:style>
  <w:style w:type="character" w:customStyle="1" w:styleId="866">
    <w:name w:val="Table Text Char1"/>
    <w:qFormat/>
    <w:uiPriority w:val="0"/>
    <w:rPr>
      <w:rFonts w:eastAsia="宋体"/>
      <w:sz w:val="24"/>
      <w:szCs w:val="24"/>
      <w:lang w:val="en-US" w:eastAsia="zh-CN" w:bidi="ar-SA"/>
    </w:rPr>
  </w:style>
  <w:style w:type="character" w:customStyle="1" w:styleId="867">
    <w:name w:val="标题 1 Char Char"/>
    <w:qFormat/>
    <w:uiPriority w:val="0"/>
    <w:rPr>
      <w:rFonts w:hint="eastAsia" w:ascii="宋体" w:hAnsi="宋体" w:eastAsia="宋体"/>
      <w:b/>
      <w:spacing w:val="-2"/>
      <w:sz w:val="24"/>
      <w:lang w:val="en-US" w:eastAsia="zh-CN" w:bidi="ar-SA"/>
    </w:rPr>
  </w:style>
  <w:style w:type="character" w:customStyle="1" w:styleId="868">
    <w:name w:val="正文（缩进2汉字） Char"/>
    <w:link w:val="110"/>
    <w:qFormat/>
    <w:uiPriority w:val="0"/>
    <w:rPr>
      <w:rFonts w:ascii="宋体"/>
    </w:rPr>
  </w:style>
  <w:style w:type="character" w:customStyle="1" w:styleId="869">
    <w:name w:val="标题 8 Char"/>
    <w:link w:val="12"/>
    <w:qFormat/>
    <w:uiPriority w:val="0"/>
    <w:rPr>
      <w:rFonts w:ascii="Arial" w:hAnsi="Arial" w:eastAsia="黑体"/>
      <w:kern w:val="2"/>
      <w:sz w:val="24"/>
      <w:szCs w:val="24"/>
    </w:rPr>
  </w:style>
  <w:style w:type="character" w:customStyle="1" w:styleId="870">
    <w:name w:val="标书表格字体格式 Char"/>
    <w:qFormat/>
    <w:uiPriority w:val="0"/>
    <w:rPr>
      <w:kern w:val="2"/>
      <w:sz w:val="21"/>
      <w:szCs w:val="24"/>
      <w:lang w:bidi="ar-SA"/>
    </w:rPr>
  </w:style>
  <w:style w:type="character" w:customStyle="1" w:styleId="871">
    <w:name w:val="tw4winError"/>
    <w:qFormat/>
    <w:uiPriority w:val="0"/>
    <w:rPr>
      <w:rFonts w:ascii="Courier New" w:hAnsi="Courier New" w:cs="Courier New"/>
      <w:color w:val="00FF00"/>
      <w:sz w:val="40"/>
      <w:szCs w:val="40"/>
    </w:rPr>
  </w:style>
  <w:style w:type="character" w:customStyle="1" w:styleId="872">
    <w:name w:val="Body Text(ch) Char Char"/>
    <w:qFormat/>
    <w:uiPriority w:val="0"/>
    <w:rPr>
      <w:rFonts w:ascii="宋体"/>
      <w:kern w:val="2"/>
      <w:sz w:val="24"/>
      <w:szCs w:val="21"/>
      <w:lang w:val="zh-CN"/>
    </w:rPr>
  </w:style>
  <w:style w:type="character" w:customStyle="1" w:styleId="873">
    <w:name w:val="正文首行缩进两字 Char"/>
    <w:qFormat/>
    <w:uiPriority w:val="0"/>
    <w:rPr>
      <w:sz w:val="24"/>
      <w:szCs w:val="24"/>
      <w:lang w:val="en-US" w:eastAsia="zh-CN" w:bidi="ar-SA"/>
    </w:rPr>
  </w:style>
  <w:style w:type="character" w:customStyle="1" w:styleId="874">
    <w:name w:val="正文文本 Char"/>
    <w:qFormat/>
    <w:uiPriority w:val="0"/>
    <w:rPr>
      <w:rFonts w:eastAsia="宋体"/>
      <w:kern w:val="2"/>
      <w:sz w:val="24"/>
      <w:szCs w:val="24"/>
      <w:lang w:val="en-US" w:eastAsia="zh-CN" w:bidi="ar-SA"/>
    </w:rPr>
  </w:style>
  <w:style w:type="character" w:customStyle="1" w:styleId="875">
    <w:name w:val="文档结构图 字符1"/>
    <w:qFormat/>
    <w:uiPriority w:val="0"/>
    <w:rPr>
      <w:rFonts w:ascii="宋体" w:hAnsi="Calibri" w:eastAsia="黑体" w:cs="Arial"/>
      <w:snapToGrid w:val="0"/>
      <w:kern w:val="2"/>
      <w:sz w:val="18"/>
      <w:szCs w:val="18"/>
    </w:rPr>
  </w:style>
  <w:style w:type="character" w:customStyle="1" w:styleId="876">
    <w:name w:val="content"/>
    <w:qFormat/>
    <w:uiPriority w:val="0"/>
  </w:style>
  <w:style w:type="character" w:customStyle="1" w:styleId="877">
    <w:name w:val="tw4winPopup"/>
    <w:qFormat/>
    <w:uiPriority w:val="0"/>
    <w:rPr>
      <w:rFonts w:ascii="Courier New" w:hAnsi="Courier New" w:cs="Courier New"/>
      <w:color w:val="008000"/>
      <w:lang w:val="en-US" w:eastAsia="zh-CN"/>
    </w:rPr>
  </w:style>
  <w:style w:type="character" w:customStyle="1" w:styleId="878">
    <w:name w:val="param-name"/>
    <w:qFormat/>
    <w:uiPriority w:val="99"/>
    <w:rPr>
      <w:rFonts w:ascii="Arial" w:hAnsi="Arial" w:eastAsia="黑体" w:cs="Arial"/>
      <w:snapToGrid w:val="0"/>
      <w:kern w:val="0"/>
      <w:szCs w:val="21"/>
    </w:rPr>
  </w:style>
  <w:style w:type="character" w:customStyle="1" w:styleId="879">
    <w:name w:val="标准正文格式 Char"/>
    <w:qFormat/>
    <w:uiPriority w:val="0"/>
    <w:rPr>
      <w:rFonts w:ascii="宋体" w:eastAsia="仿宋_GB2312" w:cs="宋体"/>
      <w:color w:val="000000"/>
      <w:sz w:val="24"/>
      <w:lang w:val="en-US" w:eastAsia="zh-CN" w:bidi="ar-SA"/>
    </w:rPr>
  </w:style>
  <w:style w:type="character" w:customStyle="1" w:styleId="880">
    <w:name w:val="Char Char212"/>
    <w:qFormat/>
    <w:uiPriority w:val="0"/>
    <w:rPr>
      <w:rFonts w:eastAsia="宋体"/>
      <w:b/>
      <w:bCs/>
      <w:kern w:val="2"/>
      <w:sz w:val="21"/>
      <w:szCs w:val="24"/>
      <w:lang w:val="en-US" w:eastAsia="zh-CN" w:bidi="ar-SA"/>
    </w:rPr>
  </w:style>
  <w:style w:type="character" w:customStyle="1" w:styleId="881">
    <w:name w:val="文档结构图 Char"/>
    <w:qFormat/>
    <w:uiPriority w:val="0"/>
    <w:rPr>
      <w:rFonts w:eastAsia="宋体"/>
      <w:kern w:val="2"/>
      <w:sz w:val="21"/>
      <w:szCs w:val="24"/>
      <w:lang w:val="en-US" w:eastAsia="zh-CN" w:bidi="ar-SA"/>
    </w:rPr>
  </w:style>
  <w:style w:type="character" w:customStyle="1" w:styleId="882">
    <w:name w:val="zbggmain style9"/>
    <w:qFormat/>
    <w:uiPriority w:val="0"/>
  </w:style>
  <w:style w:type="character" w:customStyle="1" w:styleId="883">
    <w:name w:val="Char Char16"/>
    <w:qFormat/>
    <w:uiPriority w:val="6"/>
    <w:rPr>
      <w:kern w:val="1"/>
      <w:sz w:val="18"/>
      <w:szCs w:val="18"/>
    </w:rPr>
  </w:style>
  <w:style w:type="character" w:customStyle="1" w:styleId="884">
    <w:name w:val="font51"/>
    <w:qFormat/>
    <w:uiPriority w:val="0"/>
    <w:rPr>
      <w:rFonts w:hint="eastAsia" w:ascii="仿宋" w:hAnsi="仿宋" w:eastAsia="仿宋" w:cs="仿宋"/>
      <w:color w:val="000000"/>
      <w:sz w:val="20"/>
      <w:szCs w:val="20"/>
      <w:u w:val="none"/>
    </w:rPr>
  </w:style>
  <w:style w:type="character" w:customStyle="1" w:styleId="885">
    <w:name w:val="Char Char82"/>
    <w:qFormat/>
    <w:uiPriority w:val="0"/>
    <w:rPr>
      <w:rFonts w:eastAsia="宋体"/>
      <w:b/>
      <w:sz w:val="24"/>
      <w:lang w:eastAsia="zh-CN"/>
    </w:rPr>
  </w:style>
  <w:style w:type="character" w:customStyle="1" w:styleId="886">
    <w:name w:val="正文文本缩进 3 Char"/>
    <w:link w:val="54"/>
    <w:qFormat/>
    <w:uiPriority w:val="0"/>
    <w:rPr>
      <w:kern w:val="2"/>
      <w:sz w:val="24"/>
    </w:rPr>
  </w:style>
  <w:style w:type="character" w:customStyle="1" w:styleId="887">
    <w:name w:val="日期 Char1"/>
    <w:semiHidden/>
    <w:qFormat/>
    <w:uiPriority w:val="99"/>
    <w:rPr>
      <w:rFonts w:ascii="Times New Roman" w:hAnsi="Times New Roman" w:eastAsia="宋体" w:cs="Times New Roman"/>
      <w:szCs w:val="24"/>
    </w:rPr>
  </w:style>
  <w:style w:type="character" w:customStyle="1" w:styleId="888">
    <w:name w:val="页眉 字符"/>
    <w:qFormat/>
    <w:uiPriority w:val="99"/>
    <w:rPr>
      <w:kern w:val="2"/>
      <w:sz w:val="18"/>
      <w:szCs w:val="18"/>
    </w:rPr>
  </w:style>
  <w:style w:type="character" w:customStyle="1" w:styleId="889">
    <w:name w:val="Char Char33"/>
    <w:qFormat/>
    <w:uiPriority w:val="6"/>
    <w:rPr>
      <w:rFonts w:ascii="Arial" w:hAnsi="Arial" w:eastAsia="黑体"/>
      <w:b/>
      <w:kern w:val="1"/>
      <w:sz w:val="24"/>
      <w:szCs w:val="24"/>
    </w:rPr>
  </w:style>
  <w:style w:type="character" w:customStyle="1" w:styleId="890">
    <w:name w:val="b11_01b Char"/>
    <w:link w:val="111"/>
    <w:qFormat/>
    <w:uiPriority w:val="0"/>
    <w:rPr>
      <w:rFonts w:ascii="Verdana" w:hAnsi="Verdana"/>
      <w:b/>
      <w:bCs/>
      <w:color w:val="4A82CA"/>
      <w:sz w:val="17"/>
      <w:szCs w:val="17"/>
    </w:rPr>
  </w:style>
  <w:style w:type="character" w:customStyle="1" w:styleId="891">
    <w:name w:val="Char Char121"/>
    <w:qFormat/>
    <w:uiPriority w:val="6"/>
    <w:rPr>
      <w:rFonts w:ascii="仿宋_GB2312" w:eastAsia="仿宋_GB2312"/>
      <w:b/>
      <w:bCs/>
      <w:kern w:val="2"/>
      <w:sz w:val="24"/>
      <w:szCs w:val="24"/>
      <w:lang w:val="zh-CN" w:eastAsia="zh-CN" w:bidi="ar-SA"/>
    </w:rPr>
  </w:style>
  <w:style w:type="character" w:customStyle="1" w:styleId="892">
    <w:name w:val="Footer-Even Char"/>
    <w:qFormat/>
    <w:uiPriority w:val="0"/>
    <w:rPr>
      <w:rFonts w:eastAsia="宋体"/>
      <w:kern w:val="2"/>
      <w:sz w:val="18"/>
      <w:lang w:val="en-US" w:eastAsia="zh-CN" w:bidi="ar-SA"/>
    </w:rPr>
  </w:style>
  <w:style w:type="character" w:customStyle="1" w:styleId="893">
    <w:name w:val="页脚 Char2"/>
    <w:link w:val="41"/>
    <w:qFormat/>
    <w:locked/>
    <w:uiPriority w:val="99"/>
    <w:rPr>
      <w:kern w:val="2"/>
      <w:sz w:val="18"/>
      <w:szCs w:val="18"/>
    </w:rPr>
  </w:style>
  <w:style w:type="character" w:customStyle="1" w:styleId="894">
    <w:name w:val="Char Char36"/>
    <w:qFormat/>
    <w:uiPriority w:val="6"/>
    <w:rPr>
      <w:rFonts w:ascii="仿宋_GB2312" w:hAnsi="仿宋_GB2312" w:eastAsia="仿宋_GB2312" w:cs="Arial"/>
      <w:b/>
      <w:kern w:val="1"/>
      <w:sz w:val="32"/>
      <w:szCs w:val="32"/>
      <w:lang w:val="zh-CN" w:eastAsia="zh-CN" w:bidi="ar-SA"/>
    </w:rPr>
  </w:style>
  <w:style w:type="character" w:customStyle="1" w:styleId="895">
    <w:name w:val="Char Char61"/>
    <w:qFormat/>
    <w:uiPriority w:val="6"/>
    <w:rPr>
      <w:rFonts w:eastAsia="宋体"/>
      <w:kern w:val="2"/>
      <w:sz w:val="21"/>
      <w:szCs w:val="24"/>
      <w:lang w:val="en-US" w:eastAsia="zh-CN" w:bidi="ar-SA"/>
    </w:rPr>
  </w:style>
  <w:style w:type="character" w:customStyle="1" w:styleId="896">
    <w:name w:val="正文文字缩进 2 Char Char"/>
    <w:qFormat/>
    <w:uiPriority w:val="0"/>
    <w:rPr>
      <w:rFonts w:ascii="宋体"/>
      <w:sz w:val="28"/>
    </w:rPr>
  </w:style>
  <w:style w:type="character" w:customStyle="1" w:styleId="897">
    <w:name w:val="f141"/>
    <w:qFormat/>
    <w:uiPriority w:val="0"/>
    <w:rPr>
      <w:rFonts w:ascii="Tahoma" w:hAnsi="Tahoma" w:eastAsia="宋体"/>
      <w:b/>
      <w:kern w:val="2"/>
      <w:sz w:val="21"/>
      <w:szCs w:val="21"/>
      <w:lang w:val="en-US" w:eastAsia="zh-CN" w:bidi="ar-SA"/>
    </w:rPr>
  </w:style>
  <w:style w:type="character" w:customStyle="1" w:styleId="898">
    <w:name w:val="段落 Char Char"/>
    <w:link w:val="112"/>
    <w:qFormat/>
    <w:uiPriority w:val="0"/>
    <w:rPr>
      <w:rFonts w:ascii="宋体" w:hAnsi="宋体"/>
      <w:sz w:val="24"/>
    </w:rPr>
  </w:style>
  <w:style w:type="character" w:customStyle="1" w:styleId="899">
    <w:name w:val="标题 3 Char2"/>
    <w:qFormat/>
    <w:uiPriority w:val="0"/>
    <w:rPr>
      <w:rFonts w:eastAsia="宋体"/>
      <w:b/>
      <w:bCs/>
      <w:kern w:val="2"/>
      <w:sz w:val="32"/>
      <w:szCs w:val="32"/>
      <w:lang w:val="en-US" w:eastAsia="zh-CN" w:bidi="ar-SA"/>
    </w:rPr>
  </w:style>
  <w:style w:type="character" w:customStyle="1" w:styleId="900">
    <w:name w:val="apple-converted-space"/>
    <w:qFormat/>
    <w:uiPriority w:val="0"/>
  </w:style>
  <w:style w:type="character" w:customStyle="1" w:styleId="901">
    <w:name w:val="页眉 Char2"/>
    <w:link w:val="42"/>
    <w:qFormat/>
    <w:uiPriority w:val="99"/>
    <w:rPr>
      <w:kern w:val="2"/>
      <w:sz w:val="18"/>
      <w:szCs w:val="18"/>
    </w:rPr>
  </w:style>
  <w:style w:type="character" w:customStyle="1" w:styleId="902">
    <w:name w:val="Char Char9"/>
    <w:qFormat/>
    <w:uiPriority w:val="0"/>
    <w:rPr>
      <w:rFonts w:eastAsia="宋体"/>
      <w:kern w:val="2"/>
      <w:sz w:val="18"/>
      <w:szCs w:val="18"/>
      <w:lang w:val="en-US" w:eastAsia="zh-CN" w:bidi="ar-SA"/>
    </w:rPr>
  </w:style>
  <w:style w:type="character" w:customStyle="1" w:styleId="903">
    <w:name w:val="Char Char41"/>
    <w:qFormat/>
    <w:uiPriority w:val="0"/>
    <w:rPr>
      <w:rFonts w:eastAsia="宋体"/>
      <w:b/>
      <w:sz w:val="24"/>
      <w:lang w:eastAsia="zh-CN" w:bidi="ar-SA"/>
    </w:rPr>
  </w:style>
  <w:style w:type="character" w:customStyle="1" w:styleId="904">
    <w:name w:val="large1"/>
    <w:qFormat/>
    <w:uiPriority w:val="0"/>
    <w:rPr>
      <w:rFonts w:hint="eastAsia" w:ascii="宋体" w:hAnsi="宋体" w:eastAsia="宋体"/>
      <w:sz w:val="21"/>
      <w:szCs w:val="21"/>
    </w:rPr>
  </w:style>
  <w:style w:type="character" w:customStyle="1" w:styleId="905">
    <w:name w:val="正文段 Char"/>
    <w:link w:val="113"/>
    <w:qFormat/>
    <w:uiPriority w:val="0"/>
    <w:rPr>
      <w:sz w:val="24"/>
    </w:rPr>
  </w:style>
  <w:style w:type="character" w:customStyle="1" w:styleId="906">
    <w:name w:val="Char Char13"/>
    <w:qFormat/>
    <w:uiPriority w:val="6"/>
    <w:rPr>
      <w:rFonts w:ascii="宋体" w:hAnsi="宋体"/>
      <w:kern w:val="1"/>
      <w:sz w:val="21"/>
      <w:szCs w:val="24"/>
    </w:rPr>
  </w:style>
  <w:style w:type="character" w:customStyle="1" w:styleId="90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8">
    <w:name w:val="冯广丽 Char"/>
    <w:link w:val="114"/>
    <w:qFormat/>
    <w:uiPriority w:val="0"/>
    <w:rPr>
      <w:rFonts w:ascii="宋体" w:hAnsi="宋体"/>
      <w:kern w:val="2"/>
      <w:sz w:val="24"/>
      <w:szCs w:val="22"/>
    </w:rPr>
  </w:style>
  <w:style w:type="character" w:customStyle="1" w:styleId="909">
    <w:name w:val="批注文字 字符"/>
    <w:qFormat/>
    <w:uiPriority w:val="0"/>
    <w:rPr>
      <w:rFonts w:ascii="Arial" w:hAnsi="Arial" w:eastAsia="黑体" w:cs="Arial"/>
      <w:snapToGrid w:val="0"/>
      <w:kern w:val="0"/>
      <w:szCs w:val="21"/>
    </w:rPr>
  </w:style>
  <w:style w:type="character" w:customStyle="1" w:styleId="910">
    <w:name w:val="Char Char161"/>
    <w:qFormat/>
    <w:uiPriority w:val="0"/>
    <w:rPr>
      <w:rFonts w:eastAsia="宋体"/>
      <w:b/>
      <w:kern w:val="2"/>
      <w:sz w:val="32"/>
      <w:lang w:val="en-US" w:eastAsia="zh-CN"/>
    </w:rPr>
  </w:style>
  <w:style w:type="character" w:customStyle="1" w:styleId="911">
    <w:name w:val="javascript"/>
    <w:qFormat/>
    <w:uiPriority w:val="0"/>
  </w:style>
  <w:style w:type="character" w:customStyle="1" w:styleId="912">
    <w:name w:val="图名 Char"/>
    <w:qFormat/>
    <w:uiPriority w:val="0"/>
    <w:rPr>
      <w:rFonts w:ascii="Arial" w:hAnsi="Arial" w:eastAsia="黑体"/>
      <w:kern w:val="2"/>
      <w:sz w:val="24"/>
      <w:szCs w:val="24"/>
      <w:lang w:val="en-US" w:eastAsia="zh-CN" w:bidi="ar-SA"/>
    </w:rPr>
  </w:style>
  <w:style w:type="character" w:customStyle="1" w:styleId="913">
    <w:name w:val="Used by Word for text of Help footnotes Char Char"/>
    <w:qFormat/>
    <w:uiPriority w:val="0"/>
    <w:rPr>
      <w:rFonts w:ascii="Times New Roman" w:hAnsi="Times New Roman" w:eastAsia="宋体" w:cs="Times New Roman"/>
      <w:sz w:val="20"/>
      <w:szCs w:val="20"/>
    </w:rPr>
  </w:style>
  <w:style w:type="character" w:customStyle="1" w:styleId="914">
    <w:name w:val="编号，小四 Char"/>
    <w:link w:val="115"/>
    <w:qFormat/>
    <w:uiPriority w:val="0"/>
    <w:rPr>
      <w:rFonts w:ascii="Arial" w:hAnsi="Arial"/>
      <w:sz w:val="24"/>
    </w:rPr>
  </w:style>
  <w:style w:type="character" w:customStyle="1" w:styleId="915">
    <w:name w:val="Font Style82"/>
    <w:qFormat/>
    <w:uiPriority w:val="99"/>
    <w:rPr>
      <w:rFonts w:ascii="宋体" w:eastAsia="宋体" w:cs="宋体"/>
      <w:color w:val="000000"/>
      <w:sz w:val="14"/>
      <w:szCs w:val="14"/>
    </w:rPr>
  </w:style>
  <w:style w:type="character" w:customStyle="1" w:styleId="916">
    <w:name w:val="标题 2 Char Char"/>
    <w:qFormat/>
    <w:uiPriority w:val="0"/>
    <w:rPr>
      <w:rFonts w:ascii="楷体_GB2312" w:hAnsi="Arial" w:eastAsia="楷体_GB2312"/>
      <w:b/>
      <w:bCs/>
      <w:kern w:val="2"/>
      <w:sz w:val="24"/>
      <w:szCs w:val="32"/>
      <w:lang w:val="en-US" w:eastAsia="zh-CN" w:bidi="ar-SA"/>
    </w:rPr>
  </w:style>
  <w:style w:type="character" w:customStyle="1" w:styleId="917">
    <w:name w:val="未用 Char"/>
    <w:qFormat/>
    <w:uiPriority w:val="0"/>
    <w:rPr>
      <w:rFonts w:ascii="Arial" w:hAnsi="Arial" w:eastAsia="黑体"/>
      <w:kern w:val="2"/>
      <w:sz w:val="21"/>
      <w:szCs w:val="21"/>
      <w:lang w:val="en-US" w:eastAsia="zh-CN" w:bidi="ar-SA"/>
    </w:rPr>
  </w:style>
  <w:style w:type="character" w:customStyle="1" w:styleId="918">
    <w:name w:val="myp1111"/>
    <w:qFormat/>
    <w:uiPriority w:val="0"/>
    <w:rPr>
      <w:rFonts w:hint="default" w:ascii="ˎ̥" w:hAnsi="ˎ̥"/>
      <w:color w:val="000000"/>
      <w:sz w:val="20"/>
      <w:szCs w:val="20"/>
      <w:u w:val="none"/>
    </w:rPr>
  </w:style>
  <w:style w:type="character" w:customStyle="1" w:styleId="919">
    <w:name w:val="样式 标题 4h4H4Fab-4T5Ref Heading 1rh1Heading sqlsect 1.2.3.... Char"/>
    <w:link w:val="104"/>
    <w:qFormat/>
    <w:uiPriority w:val="0"/>
    <w:rPr>
      <w:rFonts w:ascii="微软雅黑" w:hAnsi="微软雅黑" w:eastAsia="微软雅黑"/>
      <w:b/>
      <w:bCs/>
      <w:kern w:val="2"/>
      <w:sz w:val="24"/>
      <w:szCs w:val="28"/>
    </w:rPr>
  </w:style>
  <w:style w:type="character" w:customStyle="1" w:styleId="920">
    <w:name w:val="h Char Char"/>
    <w:qFormat/>
    <w:uiPriority w:val="0"/>
    <w:rPr>
      <w:rFonts w:eastAsia="宋体"/>
      <w:kern w:val="2"/>
      <w:sz w:val="18"/>
      <w:lang w:val="en-US" w:eastAsia="zh-CN" w:bidi="ar-SA"/>
    </w:rPr>
  </w:style>
  <w:style w:type="character" w:customStyle="1" w:styleId="921">
    <w:name w:val="仿宋正文 Char"/>
    <w:link w:val="116"/>
    <w:qFormat/>
    <w:uiPriority w:val="0"/>
    <w:rPr>
      <w:rFonts w:ascii="仿宋_GB2312" w:eastAsia="仿宋_GB2312"/>
      <w:kern w:val="2"/>
      <w:sz w:val="24"/>
      <w:lang w:val="en-US" w:eastAsia="zh-CN" w:bidi="ar-SA"/>
    </w:rPr>
  </w:style>
  <w:style w:type="character" w:customStyle="1" w:styleId="922">
    <w:name w:val="正文首行缩进 Char Char Char Char Char Char"/>
    <w:qFormat/>
    <w:uiPriority w:val="0"/>
    <w:rPr>
      <w:rFonts w:ascii="宋体" w:eastAsia="宋体"/>
      <w:kern w:val="2"/>
      <w:sz w:val="24"/>
      <w:lang w:val="zh-CN" w:bidi="ar-SA"/>
    </w:rPr>
  </w:style>
  <w:style w:type="character" w:customStyle="1" w:styleId="923">
    <w:name w:val="样式 宋体"/>
    <w:qFormat/>
    <w:uiPriority w:val="0"/>
    <w:rPr>
      <w:rFonts w:ascii="宋体" w:hAnsi="宋体"/>
      <w:sz w:val="24"/>
    </w:rPr>
  </w:style>
  <w:style w:type="character" w:customStyle="1" w:styleId="924">
    <w:name w:val="tw4winJump"/>
    <w:qFormat/>
    <w:uiPriority w:val="0"/>
    <w:rPr>
      <w:rFonts w:ascii="Courier New" w:hAnsi="Courier New" w:cs="Courier New"/>
      <w:color w:val="008080"/>
      <w:lang w:val="en-US" w:eastAsia="zh-CN"/>
    </w:rPr>
  </w:style>
  <w:style w:type="character" w:customStyle="1" w:styleId="925">
    <w:name w:val="标题 1 字符"/>
    <w:qFormat/>
    <w:uiPriority w:val="9"/>
    <w:rPr>
      <w:rFonts w:ascii="Arial" w:hAnsi="Arial" w:eastAsia="黑体" w:cs="Arial"/>
      <w:b/>
      <w:bCs/>
      <w:snapToGrid w:val="0"/>
      <w:kern w:val="44"/>
      <w:sz w:val="44"/>
      <w:szCs w:val="44"/>
    </w:rPr>
  </w:style>
  <w:style w:type="character" w:customStyle="1" w:styleId="926">
    <w:name w:val="style36"/>
    <w:basedOn w:val="70"/>
    <w:qFormat/>
    <w:uiPriority w:val="0"/>
    <w:rPr>
      <w:rFonts w:ascii="Arial" w:hAnsi="Arial" w:eastAsia="黑体" w:cs="Arial"/>
      <w:snapToGrid w:val="0"/>
      <w:kern w:val="0"/>
      <w:szCs w:val="21"/>
    </w:rPr>
  </w:style>
  <w:style w:type="character" w:customStyle="1" w:styleId="927">
    <w:name w:val="pt9"/>
    <w:qFormat/>
    <w:uiPriority w:val="0"/>
    <w:rPr>
      <w:rFonts w:ascii="仿宋_GB2312" w:eastAsia="微软雅黑"/>
      <w:b/>
      <w:kern w:val="2"/>
      <w:sz w:val="32"/>
      <w:szCs w:val="32"/>
      <w:lang w:val="en-US" w:eastAsia="zh-CN" w:bidi="ar-SA"/>
    </w:rPr>
  </w:style>
  <w:style w:type="character" w:customStyle="1" w:styleId="928">
    <w:name w:val="DO_NOT_TRANSLATE"/>
    <w:qFormat/>
    <w:uiPriority w:val="0"/>
    <w:rPr>
      <w:rFonts w:ascii="Courier New" w:hAnsi="Courier New" w:cs="Courier New"/>
      <w:color w:val="800000"/>
      <w:lang w:val="en-US" w:eastAsia="zh-CN"/>
    </w:rPr>
  </w:style>
  <w:style w:type="character" w:customStyle="1" w:styleId="929">
    <w:name w:val="标书1 Char1"/>
    <w:qFormat/>
    <w:uiPriority w:val="0"/>
    <w:rPr>
      <w:rFonts w:eastAsia="宋体"/>
      <w:b/>
      <w:bCs/>
      <w:kern w:val="44"/>
      <w:sz w:val="44"/>
      <w:szCs w:val="44"/>
      <w:lang w:val="en-US" w:eastAsia="zh-CN" w:bidi="ar-SA"/>
    </w:rPr>
  </w:style>
  <w:style w:type="character" w:customStyle="1" w:styleId="930">
    <w:name w:val="页脚 字符"/>
    <w:qFormat/>
    <w:uiPriority w:val="99"/>
    <w:rPr>
      <w:kern w:val="2"/>
      <w:sz w:val="18"/>
      <w:szCs w:val="18"/>
    </w:rPr>
  </w:style>
  <w:style w:type="character" w:customStyle="1" w:styleId="931">
    <w:name w:val="正文2 Char"/>
    <w:qFormat/>
    <w:uiPriority w:val="0"/>
    <w:rPr>
      <w:rFonts w:eastAsia="宋体"/>
      <w:kern w:val="2"/>
      <w:sz w:val="24"/>
      <w:lang w:val="en-US" w:eastAsia="zh-CN" w:bidi="ar-SA"/>
    </w:rPr>
  </w:style>
  <w:style w:type="character" w:customStyle="1" w:styleId="932">
    <w:name w:val="Char Char21"/>
    <w:qFormat/>
    <w:uiPriority w:val="6"/>
    <w:rPr>
      <w:rFonts w:ascii="宋体" w:hAnsi="宋体"/>
      <w:kern w:val="1"/>
      <w:sz w:val="24"/>
      <w:szCs w:val="21"/>
      <w:lang w:val="zh-CN"/>
    </w:rPr>
  </w:style>
  <w:style w:type="character" w:customStyle="1" w:styleId="933">
    <w:name w:val="样式 正文缩进 + 首行缩进:  2 字符 Char Char"/>
    <w:link w:val="117"/>
    <w:qFormat/>
    <w:uiPriority w:val="0"/>
    <w:rPr>
      <w:rFonts w:cs="宋体"/>
      <w:kern w:val="2"/>
      <w:sz w:val="24"/>
    </w:rPr>
  </w:style>
  <w:style w:type="character" w:customStyle="1" w:styleId="934">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935">
    <w:name w:val="gray6"/>
    <w:basedOn w:val="70"/>
    <w:qFormat/>
    <w:uiPriority w:val="0"/>
    <w:rPr>
      <w:rFonts w:ascii="Arial" w:hAnsi="Arial" w:eastAsia="黑体" w:cs="Arial"/>
      <w:snapToGrid w:val="0"/>
      <w:kern w:val="0"/>
      <w:szCs w:val="21"/>
    </w:rPr>
  </w:style>
  <w:style w:type="character" w:customStyle="1" w:styleId="936">
    <w:name w:val="hui"/>
    <w:basedOn w:val="70"/>
    <w:qFormat/>
    <w:uiPriority w:val="0"/>
    <w:rPr>
      <w:rFonts w:ascii="Arial" w:hAnsi="Arial" w:eastAsia="黑体" w:cs="Arial"/>
      <w:snapToGrid w:val="0"/>
      <w:kern w:val="0"/>
      <w:szCs w:val="21"/>
    </w:rPr>
  </w:style>
  <w:style w:type="character" w:customStyle="1" w:styleId="937">
    <w:name w:val="哈哈正文 Char Char"/>
    <w:qFormat/>
    <w:uiPriority w:val="0"/>
    <w:rPr>
      <w:rFonts w:ascii="宋体" w:hAnsi="宋体" w:eastAsia="宋体" w:cs="宋体"/>
      <w:kern w:val="2"/>
      <w:sz w:val="24"/>
      <w:lang w:val="en-US" w:eastAsia="zh-CN" w:bidi="ar-SA"/>
    </w:rPr>
  </w:style>
  <w:style w:type="character" w:customStyle="1" w:styleId="938">
    <w:name w:val="交叉引用"/>
    <w:qFormat/>
    <w:uiPriority w:val="1"/>
    <w:rPr>
      <w:rFonts w:ascii="Arial" w:hAnsi="Arial" w:eastAsia="黑体"/>
      <w:snapToGrid w:val="0"/>
      <w:color w:val="0000FF"/>
      <w:kern w:val="0"/>
      <w:sz w:val="20"/>
      <w:szCs w:val="21"/>
      <w:u w:val="single"/>
      <w:lang w:val="en-US" w:eastAsia="zh-CN"/>
    </w:rPr>
  </w:style>
  <w:style w:type="character" w:customStyle="1" w:styleId="939">
    <w:name w:val="正文缩进 字符1"/>
    <w:qFormat/>
    <w:uiPriority w:val="0"/>
    <w:rPr>
      <w:rFonts w:ascii="宋体" w:eastAsia="宋体"/>
      <w:snapToGrid w:val="0"/>
      <w:color w:val="000000"/>
      <w:kern w:val="28"/>
      <w:sz w:val="28"/>
      <w:lang w:val="en-US" w:eastAsia="zh-CN" w:bidi="ar-SA"/>
    </w:rPr>
  </w:style>
  <w:style w:type="character" w:customStyle="1" w:styleId="940">
    <w:name w:val="页脚 字符1"/>
    <w:qFormat/>
    <w:locked/>
    <w:uiPriority w:val="99"/>
    <w:rPr>
      <w:kern w:val="2"/>
      <w:sz w:val="18"/>
      <w:szCs w:val="18"/>
    </w:rPr>
  </w:style>
  <w:style w:type="character" w:customStyle="1" w:styleId="941">
    <w:name w:val="页眉 字符1"/>
    <w:qFormat/>
    <w:uiPriority w:val="99"/>
    <w:rPr>
      <w:kern w:val="2"/>
      <w:sz w:val="18"/>
      <w:szCs w:val="18"/>
    </w:rPr>
  </w:style>
  <w:style w:type="character" w:customStyle="1" w:styleId="942">
    <w:name w:val="尾注文本 Char"/>
    <w:link w:val="39"/>
    <w:qFormat/>
    <w:uiPriority w:val="0"/>
    <w:rPr>
      <w:kern w:val="2"/>
      <w:sz w:val="21"/>
      <w:szCs w:val="24"/>
      <w:lang w:val="zh-CN"/>
    </w:rPr>
  </w:style>
  <w:style w:type="character" w:customStyle="1" w:styleId="943">
    <w:name w:val="无间隔 Char"/>
    <w:link w:val="167"/>
    <w:qFormat/>
    <w:uiPriority w:val="99"/>
    <w:rPr>
      <w:kern w:val="2"/>
      <w:sz w:val="21"/>
      <w:szCs w:val="22"/>
    </w:rPr>
  </w:style>
  <w:style w:type="character" w:customStyle="1" w:styleId="944">
    <w:name w:val="标准文本 Char Char"/>
    <w:link w:val="606"/>
    <w:qFormat/>
    <w:uiPriority w:val="0"/>
    <w:rPr>
      <w:rFonts w:cs="宋体"/>
      <w:kern w:val="2"/>
      <w:sz w:val="24"/>
    </w:rPr>
  </w:style>
  <w:style w:type="character" w:customStyle="1" w:styleId="945">
    <w:name w:val="Char Char213"/>
    <w:qFormat/>
    <w:uiPriority w:val="0"/>
    <w:rPr>
      <w:rFonts w:eastAsia="Century Gothic"/>
      <w:b/>
      <w:bCs/>
      <w:kern w:val="44"/>
      <w:sz w:val="32"/>
      <w:szCs w:val="44"/>
      <w:lang w:val="en-US" w:eastAsia="zh-CN" w:bidi="ar-SA"/>
    </w:rPr>
  </w:style>
  <w:style w:type="character" w:customStyle="1" w:styleId="946">
    <w:name w:val="apple-style-span"/>
    <w:qFormat/>
    <w:uiPriority w:val="0"/>
    <w:rPr>
      <w:rFonts w:ascii="Arial" w:hAnsi="Arial" w:eastAsia="黑体" w:cs="Arial"/>
      <w:snapToGrid w:val="0"/>
      <w:kern w:val="0"/>
      <w:szCs w:val="21"/>
    </w:rPr>
  </w:style>
  <w:style w:type="character" w:customStyle="1" w:styleId="947">
    <w:name w:val="15"/>
    <w:qFormat/>
    <w:uiPriority w:val="0"/>
    <w:rPr>
      <w:rFonts w:hint="default" w:ascii="Calibri" w:hAnsi="Calibri"/>
      <w:color w:val="0000FF"/>
      <w:u w:val="single"/>
    </w:rPr>
  </w:style>
  <w:style w:type="character" w:customStyle="1" w:styleId="948">
    <w:name w:val="16"/>
    <w:qFormat/>
    <w:uiPriority w:val="0"/>
    <w:rPr>
      <w:rFonts w:hint="eastAsia" w:ascii="宋体" w:hAnsi="宋体" w:eastAsia="宋体"/>
      <w:color w:val="000000"/>
      <w:sz w:val="20"/>
      <w:szCs w:val="20"/>
    </w:rPr>
  </w:style>
  <w:style w:type="character" w:customStyle="1" w:styleId="949">
    <w:name w:val="edui-unclickable"/>
    <w:qFormat/>
    <w:uiPriority w:val="0"/>
    <w:rPr>
      <w:color w:val="808080"/>
    </w:rPr>
  </w:style>
  <w:style w:type="character" w:customStyle="1" w:styleId="950">
    <w:name w:val="tpc_content1"/>
    <w:qFormat/>
    <w:uiPriority w:val="0"/>
    <w:rPr>
      <w:sz w:val="20"/>
      <w:szCs w:val="20"/>
    </w:rPr>
  </w:style>
  <w:style w:type="character" w:customStyle="1" w:styleId="951">
    <w:name w:val="正文文本缩进 字符"/>
    <w:qFormat/>
    <w:uiPriority w:val="0"/>
    <w:rPr>
      <w:rFonts w:ascii="Century Gothic" w:hAnsi="Century Gothic" w:eastAsia="Century Gothic"/>
      <w:kern w:val="2"/>
      <w:sz w:val="24"/>
      <w:lang w:val="en-US" w:eastAsia="zh-CN" w:bidi="ar-SA"/>
    </w:rPr>
  </w:style>
  <w:style w:type="character" w:customStyle="1" w:styleId="952">
    <w:name w:val="正文文本 2 字符"/>
    <w:qFormat/>
    <w:uiPriority w:val="0"/>
    <w:rPr>
      <w:rFonts w:ascii="Arial" w:hAnsi="Arial" w:eastAsia="宋体"/>
      <w:kern w:val="2"/>
      <w:sz w:val="24"/>
      <w:szCs w:val="24"/>
      <w:lang w:val="en-US" w:eastAsia="zh-CN" w:bidi="ar-SA"/>
    </w:rPr>
  </w:style>
  <w:style w:type="character" w:customStyle="1" w:styleId="953">
    <w:name w:val="edui-clickable2"/>
    <w:qFormat/>
    <w:uiPriority w:val="0"/>
    <w:rPr>
      <w:color w:val="0000FF"/>
      <w:u w:val="single"/>
    </w:rPr>
  </w:style>
  <w:style w:type="character" w:customStyle="1" w:styleId="954">
    <w:name w:val="style1"/>
    <w:qFormat/>
    <w:uiPriority w:val="0"/>
    <w:rPr>
      <w:rFonts w:ascii="Arial" w:hAnsi="Arial" w:eastAsia="黑体" w:cs="Arial"/>
      <w:snapToGrid w:val="0"/>
      <w:kern w:val="0"/>
      <w:szCs w:val="21"/>
    </w:rPr>
  </w:style>
  <w:style w:type="character" w:customStyle="1" w:styleId="955">
    <w:name w:val="zbggtop11 style5"/>
    <w:qFormat/>
    <w:uiPriority w:val="0"/>
    <w:rPr>
      <w:rFonts w:ascii="Arial" w:hAnsi="Arial" w:eastAsia="黑体" w:cs="Arial"/>
      <w:snapToGrid w:val="0"/>
      <w:kern w:val="0"/>
      <w:szCs w:val="21"/>
    </w:rPr>
  </w:style>
  <w:style w:type="character" w:customStyle="1" w:styleId="95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7">
    <w:name w:val="bulletintext1"/>
    <w:qFormat/>
    <w:uiPriority w:val="0"/>
    <w:rPr>
      <w:color w:val="000000"/>
      <w:sz w:val="18"/>
    </w:rPr>
  </w:style>
  <w:style w:type="character" w:customStyle="1" w:styleId="958">
    <w:name w:val="ksfind_class_select1"/>
    <w:basedOn w:val="70"/>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table" w:customStyle="1" w:styleId="96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7">
    <w:name w:val="Table Normal"/>
    <w:basedOn w:val="63"/>
    <w:qFormat/>
    <w:uiPriority w:val="0"/>
    <w:rPr>
      <w:rFonts w:eastAsia="Times New Roman"/>
    </w:rPr>
    <w:tblPr>
      <w:tblCellMar>
        <w:left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1.pn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109</Pages>
  <Words>52954</Words>
  <Characters>58396</Characters>
  <Lines>281</Lines>
  <Paragraphs>79</Paragraphs>
  <TotalTime>51</TotalTime>
  <ScaleCrop>false</ScaleCrop>
  <LinksUpToDate>false</LinksUpToDate>
  <CharactersWithSpaces>64043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Administrator</cp:lastModifiedBy>
  <cp:lastPrinted>2021-12-27T03:06:00Z</cp:lastPrinted>
  <dcterms:modified xsi:type="dcterms:W3CDTF">2024-12-11T08:46:59Z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C8E2CD53D7A848E2ACCFA2FBCB2C7765_13</vt:lpwstr>
  </property>
</Properties>
</file>