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4F2EA4">
      <w:pPr>
        <w:adjustRightInd/>
        <w:spacing w:line="360" w:lineRule="auto"/>
        <w:jc w:val="center"/>
        <w:rPr>
          <w:rFonts w:ascii="宋体" w:hAnsi="宋体" w:cs="宋体"/>
          <w:color w:val="000000" w:themeColor="text1"/>
          <w:sz w:val="48"/>
          <w:szCs w:val="48"/>
          <w14:textFill>
            <w14:solidFill>
              <w14:schemeClr w14:val="tx1"/>
            </w14:solidFill>
          </w14:textFill>
        </w:rPr>
      </w:pPr>
    </w:p>
    <w:p w14:paraId="46286493">
      <w:pPr>
        <w:adjustRightInd/>
        <w:spacing w:line="360" w:lineRule="auto"/>
        <w:jc w:val="center"/>
        <w:rPr>
          <w:rFonts w:ascii="宋体" w:hAnsi="宋体" w:cs="宋体"/>
          <w:color w:val="000000" w:themeColor="text1"/>
          <w:sz w:val="48"/>
          <w:szCs w:val="48"/>
          <w14:textFill>
            <w14:solidFill>
              <w14:schemeClr w14:val="tx1"/>
            </w14:solidFill>
          </w14:textFill>
        </w:rPr>
      </w:pPr>
    </w:p>
    <w:p w14:paraId="763941A9">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2025年度萧山区义务教育段空白作业本政府采购项目</w:t>
      </w:r>
    </w:p>
    <w:p w14:paraId="094E591A">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 xml:space="preserve">招标文件 </w:t>
      </w:r>
    </w:p>
    <w:p w14:paraId="6D2B34EE">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（电子招投标）</w:t>
      </w:r>
    </w:p>
    <w:p w14:paraId="17ACC796">
      <w:pPr>
        <w:snapToGrid w:val="0"/>
        <w:spacing w:line="360" w:lineRule="auto"/>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w:t>
      </w:r>
      <w:r>
        <w:rPr>
          <w:rFonts w:hint="eastAsia" w:ascii="仿宋" w:hAnsi="仿宋" w:eastAsia="仿宋" w:cs="仿宋"/>
          <w:color w:val="000000" w:themeColor="text1"/>
          <w:sz w:val="32"/>
          <w:szCs w:val="32"/>
          <w14:textFill>
            <w14:solidFill>
              <w14:schemeClr w14:val="tx1"/>
            </w14:solidFill>
          </w14:textFill>
        </w:rPr>
        <w:t>XSJYJ-XC2024-1125</w:t>
      </w:r>
      <w:r>
        <w:rPr>
          <w:rFonts w:hint="eastAsia" w:ascii="宋体" w:hAnsi="宋体" w:cs="宋体"/>
          <w:color w:val="000000" w:themeColor="text1"/>
          <w:sz w:val="30"/>
          <w:szCs w:val="30"/>
          <w14:textFill>
            <w14:solidFill>
              <w14:schemeClr w14:val="tx1"/>
            </w14:solidFill>
          </w14:textFill>
        </w:rPr>
        <w:t>）</w:t>
      </w:r>
    </w:p>
    <w:p w14:paraId="7CDE5087">
      <w:pPr>
        <w:adjustRightInd/>
        <w:spacing w:line="360" w:lineRule="auto"/>
        <w:rPr>
          <w:rFonts w:ascii="宋体" w:hAnsi="宋体" w:cs="宋体"/>
          <w:color w:val="000000" w:themeColor="text1"/>
          <w:sz w:val="28"/>
          <w:szCs w:val="20"/>
          <w14:textFill>
            <w14:solidFill>
              <w14:schemeClr w14:val="tx1"/>
            </w14:solidFill>
          </w14:textFill>
        </w:rPr>
      </w:pPr>
    </w:p>
    <w:p w14:paraId="4C907E12">
      <w:pPr>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14:paraId="39C4CBB4">
      <w:pPr>
        <w:spacing w:line="360" w:lineRule="auto"/>
        <w:rPr>
          <w:rFonts w:ascii="宋体" w:hAnsi="宋体" w:cs="宋体"/>
          <w:color w:val="000000" w:themeColor="text1"/>
          <w:sz w:val="32"/>
          <w:szCs w:val="32"/>
          <w14:textFill>
            <w14:solidFill>
              <w14:schemeClr w14:val="tx1"/>
            </w14:solidFill>
          </w14:textFill>
        </w:rPr>
      </w:pPr>
    </w:p>
    <w:p w14:paraId="45A260EF">
      <w:pPr>
        <w:snapToGrid w:val="0"/>
        <w:spacing w:line="360" w:lineRule="auto"/>
        <w:jc w:val="center"/>
        <w:rPr>
          <w:rFonts w:ascii="宋体" w:hAnsi="宋体" w:cs="宋体"/>
          <w:color w:val="000000" w:themeColor="text1"/>
          <w:sz w:val="32"/>
          <w:szCs w:val="32"/>
          <w14:textFill>
            <w14:solidFill>
              <w14:schemeClr w14:val="tx1"/>
            </w14:solidFill>
          </w14:textFill>
        </w:rPr>
      </w:pPr>
    </w:p>
    <w:p w14:paraId="0F2B1BE6">
      <w:pPr>
        <w:snapToGrid w:val="0"/>
        <w:spacing w:line="360" w:lineRule="auto"/>
        <w:jc w:val="center"/>
        <w:rPr>
          <w:rFonts w:ascii="宋体" w:hAnsi="宋体" w:cs="宋体"/>
          <w:color w:val="000000" w:themeColor="text1"/>
          <w:sz w:val="32"/>
          <w:szCs w:val="32"/>
          <w14:textFill>
            <w14:solidFill>
              <w14:schemeClr w14:val="tx1"/>
            </w14:solidFill>
          </w14:textFill>
        </w:rPr>
      </w:pPr>
    </w:p>
    <w:p w14:paraId="10064D19">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杭州市萧山区教育局</w:t>
      </w:r>
    </w:p>
    <w:p w14:paraId="15ADCC69">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杭州萧诚工程管理有限公司</w:t>
      </w:r>
    </w:p>
    <w:p w14:paraId="0B19D8CD">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 xml:space="preserve"> 2024年1</w:t>
      </w:r>
      <w:r>
        <w:rPr>
          <w:rFonts w:hint="eastAsia" w:ascii="宋体" w:hAnsi="宋体" w:cs="宋体"/>
          <w:bCs/>
          <w:color w:val="000000" w:themeColor="text1"/>
          <w:sz w:val="32"/>
          <w:szCs w:val="32"/>
          <w:lang w:val="en-US" w:eastAsia="zh-CN"/>
          <w14:textFill>
            <w14:solidFill>
              <w14:schemeClr w14:val="tx1"/>
            </w14:solidFill>
          </w14:textFill>
        </w:rPr>
        <w:t>2</w:t>
      </w:r>
      <w:r>
        <w:rPr>
          <w:rFonts w:hint="eastAsia" w:ascii="宋体" w:hAnsi="宋体" w:cs="宋体"/>
          <w:bCs/>
          <w:color w:val="000000" w:themeColor="text1"/>
          <w:sz w:val="32"/>
          <w:szCs w:val="32"/>
          <w14:textFill>
            <w14:solidFill>
              <w14:schemeClr w14:val="tx1"/>
            </w14:solidFill>
          </w14:textFill>
        </w:rPr>
        <w:t>月</w:t>
      </w:r>
      <w:r>
        <w:rPr>
          <w:rFonts w:hint="eastAsia" w:ascii="宋体" w:hAnsi="宋体" w:cs="宋体"/>
          <w:bCs/>
          <w:color w:val="000000" w:themeColor="text1"/>
          <w:sz w:val="32"/>
          <w:szCs w:val="32"/>
          <w:lang w:val="en-US" w:eastAsia="zh-CN"/>
          <w14:textFill>
            <w14:solidFill>
              <w14:schemeClr w14:val="tx1"/>
            </w14:solidFill>
          </w14:textFill>
        </w:rPr>
        <w:t>17</w:t>
      </w:r>
      <w:r>
        <w:rPr>
          <w:rFonts w:hint="eastAsia" w:ascii="宋体" w:hAnsi="宋体" w:cs="宋体"/>
          <w:bCs/>
          <w:color w:val="000000" w:themeColor="text1"/>
          <w:sz w:val="32"/>
          <w:szCs w:val="32"/>
          <w14:textFill>
            <w14:solidFill>
              <w14:schemeClr w14:val="tx1"/>
            </w14:solidFill>
          </w14:textFill>
        </w:rPr>
        <w:t>日</w:t>
      </w:r>
    </w:p>
    <w:p w14:paraId="0BB2B31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本招标文件为2024年10月21日稿</w:t>
      </w:r>
    </w:p>
    <w:p w14:paraId="742EAE48">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5E2AF4FD">
      <w:pPr>
        <w:spacing w:line="360" w:lineRule="auto"/>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目  录</w:t>
      </w:r>
    </w:p>
    <w:p w14:paraId="27D938D5">
      <w:pPr>
        <w:spacing w:line="360" w:lineRule="auto"/>
        <w:rPr>
          <w:rFonts w:ascii="宋体" w:hAnsi="宋体" w:cs="宋体"/>
          <w:color w:val="000000" w:themeColor="text1"/>
          <w:sz w:val="32"/>
          <w:szCs w:val="32"/>
          <w14:textFill>
            <w14:solidFill>
              <w14:schemeClr w14:val="tx1"/>
            </w14:solidFill>
          </w14:textFill>
        </w:rPr>
      </w:pPr>
    </w:p>
    <w:p w14:paraId="4F8F4913">
      <w:pPr>
        <w:spacing w:line="360" w:lineRule="auto"/>
        <w:rPr>
          <w:rFonts w:ascii="宋体" w:hAnsi="宋体" w:cs="宋体"/>
          <w:color w:val="000000" w:themeColor="text1"/>
          <w:sz w:val="32"/>
          <w:szCs w:val="32"/>
          <w14:textFill>
            <w14:solidFill>
              <w14:schemeClr w14:val="tx1"/>
            </w14:solidFill>
          </w14:textFill>
        </w:rPr>
      </w:pPr>
    </w:p>
    <w:p w14:paraId="46D6DEC6">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第一部分      招标公告</w:t>
      </w:r>
    </w:p>
    <w:p w14:paraId="6F421935">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第二部分      投标人须知</w:t>
      </w:r>
    </w:p>
    <w:p w14:paraId="4D509876">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第三部分      采购需求</w:t>
      </w:r>
    </w:p>
    <w:p w14:paraId="1DFD517A">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第四部分      评标办法</w:t>
      </w:r>
    </w:p>
    <w:p w14:paraId="40CA09FE">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第五部分      拟签订的合同文本</w:t>
      </w:r>
    </w:p>
    <w:p w14:paraId="6BC3C0F2">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第六部分      应提交的有关格式范例</w:t>
      </w:r>
    </w:p>
    <w:p w14:paraId="423C33E7">
      <w:pP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br w:type="page"/>
      </w:r>
    </w:p>
    <w:p w14:paraId="669208F2">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0" w:name="_Hlt74728647"/>
      <w:bookmarkEnd w:id="0"/>
      <w:bookmarkStart w:id="1" w:name="_Hlt74729822"/>
      <w:bookmarkEnd w:id="1"/>
      <w:bookmarkStart w:id="2" w:name="_Hlt74707423"/>
      <w:bookmarkEnd w:id="2"/>
      <w:bookmarkStart w:id="3" w:name="_Hlt74649545"/>
      <w:bookmarkEnd w:id="3"/>
      <w:bookmarkStart w:id="4" w:name="第二部分"/>
      <w:bookmarkStart w:id="5" w:name="_Toc91899870"/>
      <w:bookmarkStart w:id="6" w:name="_Toc91899871"/>
      <w:r>
        <w:rPr>
          <w:rFonts w:hint="eastAsia" w:ascii="宋体" w:hAnsi="宋体" w:cs="宋体"/>
          <w:b/>
          <w:color w:val="000000" w:themeColor="text1"/>
          <w:sz w:val="36"/>
          <w:szCs w:val="20"/>
          <w14:textFill>
            <w14:solidFill>
              <w14:schemeClr w14:val="tx1"/>
            </w14:solidFill>
          </w14:textFill>
        </w:rPr>
        <w:t>第一部分 招标公告</w:t>
      </w:r>
    </w:p>
    <w:p w14:paraId="7FDAD1E9">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项目概况</w:t>
      </w:r>
    </w:p>
    <w:p w14:paraId="52AF5AC9">
      <w:pPr>
        <w:pBdr>
          <w:top w:val="single" w:color="auto" w:sz="4" w:space="1"/>
          <w:left w:val="single" w:color="auto" w:sz="4" w:space="4"/>
          <w:bottom w:val="single" w:color="auto" w:sz="4" w:space="2"/>
          <w:right w:val="single" w:color="auto" w:sz="4" w:space="4"/>
        </w:pBdr>
        <w:spacing w:line="360" w:lineRule="auto"/>
        <w:ind w:firstLine="480" w:firstLineChars="200"/>
        <w:rPr>
          <w:rStyle w:val="76"/>
          <w:rFonts w:cs="Times New Roman" w:asciiTheme="minorEastAsia" w:hAnsiTheme="minorEastAsia" w:eastAsiaTheme="minorEastAsia"/>
          <w:snapToGrid/>
          <w:color w:val="000000" w:themeColor="text1"/>
          <w:kern w:val="2"/>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u w:val="single"/>
          <w14:textFill>
            <w14:solidFill>
              <w14:schemeClr w14:val="tx1"/>
            </w14:solidFill>
          </w14:textFill>
        </w:rPr>
        <w:t>（2025年度萧山区义务教育段空白作业本政府采购项目）</w:t>
      </w:r>
      <w:r>
        <w:rPr>
          <w:rFonts w:hint="eastAsia" w:asciiTheme="minorEastAsia" w:hAnsiTheme="minorEastAsia" w:eastAsiaTheme="minorEastAsia"/>
          <w:color w:val="000000" w:themeColor="text1"/>
          <w:sz w:val="24"/>
          <w14:textFill>
            <w14:solidFill>
              <w14:schemeClr w14:val="tx1"/>
            </w14:solidFill>
          </w14:textFill>
        </w:rPr>
        <w:t>招标项目的潜在投标人应在政采云平台（</w:t>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"https://www.zcygov.cn/）获取（下载）招标文件，并于202%20年%20月%20日%20点%20分00秒" </w:instrText>
      </w:r>
      <w:r>
        <w:rPr>
          <w:rFonts w:hint="eastAsia"/>
          <w:color w:val="000000" w:themeColor="text1"/>
          <w14:textFill>
            <w14:solidFill>
              <w14:schemeClr w14:val="tx1"/>
            </w14:solidFill>
          </w14:textFill>
        </w:rPr>
        <w:fldChar w:fldCharType="separate"/>
      </w:r>
      <w:r>
        <w:rPr>
          <w:rStyle w:val="76"/>
          <w:rFonts w:cs="Times New Roman" w:asciiTheme="minorEastAsia" w:hAnsiTheme="minorEastAsia" w:eastAsiaTheme="minorEastAsia"/>
          <w:snapToGrid/>
          <w:color w:val="000000" w:themeColor="text1"/>
          <w:kern w:val="2"/>
          <w:sz w:val="24"/>
          <w:szCs w:val="24"/>
          <w14:textFill>
            <w14:solidFill>
              <w14:schemeClr w14:val="tx1"/>
            </w14:solidFill>
          </w14:textFill>
        </w:rPr>
        <w:t>https://www.zcygov.cn/）获取（下载）招标文件，并于</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202</w:t>
      </w:r>
      <w:r>
        <w:rPr>
          <w:rStyle w:val="76"/>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5</w:t>
      </w:r>
      <w:r>
        <w:rPr>
          <w:rStyle w:val="76"/>
          <w:rFonts w:cs="Times New Roman" w:asciiTheme="minorEastAsia" w:hAnsiTheme="minorEastAsia" w:eastAsiaTheme="minorEastAsia"/>
          <w:snapToGrid/>
          <w:color w:val="000000" w:themeColor="text1"/>
          <w:kern w:val="2"/>
          <w:sz w:val="24"/>
          <w:szCs w:val="24"/>
          <w14:textFill>
            <w14:solidFill>
              <w14:schemeClr w14:val="tx1"/>
            </w14:solidFill>
          </w14:textFill>
        </w:rPr>
        <w:t>年</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1月</w:t>
      </w:r>
    </w:p>
    <w:p w14:paraId="64BBD097">
      <w:pPr>
        <w:pBdr>
          <w:top w:val="single" w:color="auto" w:sz="4" w:space="1"/>
          <w:left w:val="single" w:color="auto" w:sz="4" w:space="4"/>
          <w:bottom w:val="single" w:color="auto" w:sz="4" w:space="2"/>
          <w:right w:val="single" w:color="auto" w:sz="4" w:space="4"/>
        </w:pBdr>
        <w:spacing w:line="360" w:lineRule="auto"/>
        <w:rPr>
          <w:rFonts w:asciiTheme="minorEastAsia" w:hAnsiTheme="minorEastAsia" w:eastAsiaTheme="minorEastAsia"/>
          <w:color w:val="000000" w:themeColor="text1"/>
          <w:sz w:val="24"/>
          <w:u w:val="single"/>
          <w14:textFill>
            <w14:solidFill>
              <w14:schemeClr w14:val="tx1"/>
            </w14:solidFill>
          </w14:textFill>
        </w:rPr>
      </w:pPr>
      <w:r>
        <w:rPr>
          <w:rStyle w:val="76"/>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14</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 xml:space="preserve">日 </w:t>
      </w:r>
      <w:r>
        <w:rPr>
          <w:rStyle w:val="76"/>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9</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点</w:t>
      </w:r>
      <w:r>
        <w:rPr>
          <w:rStyle w:val="76"/>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30</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分</w:t>
      </w:r>
      <w:r>
        <w:rPr>
          <w:rStyle w:val="76"/>
          <w:rFonts w:hint="eastAsia" w:cs="Times New Roman" w:asciiTheme="minorEastAsia" w:hAnsiTheme="minorEastAsia" w:eastAsiaTheme="minorEastAsia"/>
          <w:bCs/>
          <w:snapToGrid/>
          <w:color w:val="000000" w:themeColor="text1"/>
          <w:kern w:val="2"/>
          <w:sz w:val="24"/>
          <w:szCs w:val="24"/>
          <w14:textFill>
            <w14:solidFill>
              <w14:schemeClr w14:val="tx1"/>
            </w14:solidFill>
          </w14:textFill>
        </w:rPr>
        <w:t>00秒</w:t>
      </w:r>
      <w:r>
        <w:rPr>
          <w:rStyle w:val="76"/>
          <w:rFonts w:hint="eastAsia" w:cs="Times New Roman" w:asciiTheme="minorEastAsia" w:hAnsiTheme="minorEastAsia" w:eastAsiaTheme="minorEastAsia"/>
          <w:bCs/>
          <w:snapToGrid/>
          <w:color w:val="000000" w:themeColor="text1"/>
          <w:kern w:val="2"/>
          <w:sz w:val="24"/>
          <w:szCs w:val="24"/>
          <w14:textFill>
            <w14:solidFill>
              <w14:schemeClr w14:val="tx1"/>
            </w14:solidFill>
          </w14:textFill>
        </w:rPr>
        <w:fldChar w:fldCharType="end"/>
      </w:r>
      <w:r>
        <w:rPr>
          <w:rFonts w:hint="eastAsia" w:asciiTheme="minorEastAsia" w:hAnsiTheme="minorEastAsia" w:eastAsiaTheme="minorEastAsia"/>
          <w:bCs/>
          <w:color w:val="000000" w:themeColor="text1"/>
          <w:sz w:val="24"/>
          <w14:textFill>
            <w14:solidFill>
              <w14:schemeClr w14:val="tx1"/>
            </w14:solidFill>
          </w14:textFill>
        </w:rPr>
        <w:t>（北京时间）前</w:t>
      </w:r>
      <w:r>
        <w:rPr>
          <w:rFonts w:hint="eastAsia" w:asciiTheme="minorEastAsia" w:hAnsiTheme="minorEastAsia" w:eastAsiaTheme="minorEastAsia"/>
          <w:color w:val="000000" w:themeColor="text1"/>
          <w:sz w:val="24"/>
          <w14:textFill>
            <w14:solidFill>
              <w14:schemeClr w14:val="tx1"/>
            </w14:solidFill>
          </w14:textFill>
        </w:rPr>
        <w:t>递交（上传）投标文件。</w:t>
      </w:r>
    </w:p>
    <w:p w14:paraId="51A68254">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14:paraId="0FC6F7F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color w:val="000000" w:themeColor="text1"/>
          <w:sz w:val="24"/>
          <w14:textFill>
            <w14:solidFill>
              <w14:schemeClr w14:val="tx1"/>
            </w14:solidFill>
          </w14:textFill>
        </w:rPr>
        <w:t>XSJYJ-XC2024-1125</w:t>
      </w:r>
    </w:p>
    <w:p w14:paraId="5F9C7EE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项目名称：</w:t>
      </w:r>
      <w:r>
        <w:rPr>
          <w:rFonts w:hint="eastAsia" w:ascii="宋体" w:hAnsi="宋体" w:cs="宋体"/>
          <w:color w:val="000000" w:themeColor="text1"/>
          <w:sz w:val="24"/>
          <w14:textFill>
            <w14:solidFill>
              <w14:schemeClr w14:val="tx1"/>
            </w14:solidFill>
          </w14:textFill>
        </w:rPr>
        <w:t>2025年度萧山区义务教育段空白作业本政府采购项目</w:t>
      </w:r>
    </w:p>
    <w:p w14:paraId="36AC632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预算金额（元）：</w:t>
      </w: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en-US" w:eastAsia="zh-CN"/>
          <w14:textFill>
            <w14:solidFill>
              <w14:schemeClr w14:val="tx1"/>
            </w14:solidFill>
          </w14:textFill>
        </w:rPr>
        <w:t>514</w:t>
      </w:r>
      <w:r>
        <w:rPr>
          <w:rFonts w:hint="eastAsia" w:ascii="宋体" w:hAnsi="宋体" w:cs="宋体"/>
          <w:color w:val="000000" w:themeColor="text1"/>
          <w:sz w:val="24"/>
          <w14:textFill>
            <w14:solidFill>
              <w14:schemeClr w14:val="tx1"/>
            </w14:solidFill>
          </w14:textFill>
        </w:rPr>
        <w:t xml:space="preserve">000 </w:t>
      </w:r>
    </w:p>
    <w:p w14:paraId="204008CC">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w:t>
      </w: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en-US" w:eastAsia="zh-CN"/>
          <w14:textFill>
            <w14:solidFill>
              <w14:schemeClr w14:val="tx1"/>
            </w14:solidFill>
          </w14:textFill>
        </w:rPr>
        <w:t>514</w:t>
      </w:r>
      <w:r>
        <w:rPr>
          <w:rFonts w:hint="eastAsia" w:ascii="宋体" w:hAnsi="宋体" w:cs="宋体"/>
          <w:color w:val="000000" w:themeColor="text1"/>
          <w:sz w:val="24"/>
          <w14:textFill>
            <w14:solidFill>
              <w14:schemeClr w14:val="tx1"/>
            </w14:solidFill>
          </w14:textFill>
        </w:rPr>
        <w:t>000</w:t>
      </w:r>
    </w:p>
    <w:p w14:paraId="38725721">
      <w:pPr>
        <w:pStyle w:val="5"/>
        <w:spacing w:line="360" w:lineRule="auto"/>
        <w:ind w:firstLine="480"/>
        <w:rPr>
          <w:rFonts w:hAnsi="宋体" w:cs="宋体"/>
          <w:bCs/>
          <w:snapToGrid/>
          <w:color w:val="000000" w:themeColor="text1"/>
          <w:kern w:val="2"/>
          <w:sz w:val="24"/>
          <w:szCs w:val="24"/>
          <w14:textFill>
            <w14:solidFill>
              <w14:schemeClr w14:val="tx1"/>
            </w14:solidFill>
          </w14:textFill>
        </w:rPr>
      </w:pPr>
      <w:r>
        <w:rPr>
          <w:rFonts w:hint="eastAsia" w:hAnsi="宋体" w:cs="宋体"/>
          <w:b/>
          <w:color w:val="000000" w:themeColor="text1"/>
          <w:sz w:val="24"/>
          <w14:textFill>
            <w14:solidFill>
              <w14:schemeClr w14:val="tx1"/>
            </w14:solidFill>
          </w14:textFill>
        </w:rPr>
        <w:t>采购需求：</w:t>
      </w:r>
      <w:r>
        <w:rPr>
          <w:rFonts w:hint="eastAsia" w:hAnsi="宋体" w:cs="宋体"/>
          <w:color w:val="000000" w:themeColor="text1"/>
          <w:sz w:val="24"/>
          <w14:textFill>
            <w14:solidFill>
              <w14:schemeClr w14:val="tx1"/>
            </w14:solidFill>
          </w14:textFill>
        </w:rPr>
        <w:t>2025年度萧山区义务教育段空白作业本政府采购项</w:t>
      </w:r>
      <w:r>
        <w:rPr>
          <w:rFonts w:hint="eastAsia" w:hAnsi="宋体" w:cs="宋体"/>
          <w:bCs/>
          <w:snapToGrid/>
          <w:color w:val="000000" w:themeColor="text1"/>
          <w:kern w:val="2"/>
          <w:sz w:val="24"/>
          <w:szCs w:val="24"/>
          <w14:textFill>
            <w14:solidFill>
              <w14:schemeClr w14:val="tx1"/>
            </w14:solidFill>
          </w14:textFill>
        </w:rPr>
        <w:t>。</w:t>
      </w:r>
      <w:r>
        <w:rPr>
          <w:rFonts w:hint="eastAsia" w:asciiTheme="minorEastAsia" w:hAnsiTheme="minorEastAsia" w:eastAsiaTheme="minorEastAsia"/>
          <w:snapToGrid/>
          <w:color w:val="000000" w:themeColor="text1"/>
          <w:kern w:val="2"/>
          <w:sz w:val="24"/>
          <w:szCs w:val="24"/>
          <w14:textFill>
            <w14:solidFill>
              <w14:schemeClr w14:val="tx1"/>
            </w14:solidFill>
          </w14:textFill>
        </w:rPr>
        <w:t>具体以招标文件第三部分采购需求为准，供应商可点击本公告下方“浏览采购文件”查看采购需求。</w:t>
      </w:r>
    </w:p>
    <w:p w14:paraId="351AD56C">
      <w:pPr>
        <w:pStyle w:val="128"/>
        <w:ind w:firstLine="482"/>
        <w:outlineLvl w:val="2"/>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合同履约期限： 详见招标文件</w:t>
      </w:r>
    </w:p>
    <w:p w14:paraId="22D89BA9">
      <w:pPr>
        <w:pStyle w:val="5"/>
        <w:spacing w:line="360" w:lineRule="auto"/>
        <w:ind w:firstLine="480"/>
        <w:rPr>
          <w:rFonts w:hAnsi="宋体" w:cs="宋体"/>
          <w:color w:val="000000" w:themeColor="text1"/>
          <w:kern w:val="0"/>
          <w:sz w:val="24"/>
          <w14:textFill>
            <w14:solidFill>
              <w14:schemeClr w14:val="tx1"/>
            </w14:solidFill>
          </w14:textFill>
        </w:rPr>
      </w:pPr>
      <w:r>
        <w:rPr>
          <w:rFonts w:hint="eastAsia" w:hAnsi="宋体" w:cs="宋体"/>
          <w:b/>
          <w:color w:val="000000" w:themeColor="text1"/>
          <w:sz w:val="24"/>
          <w14:textFill>
            <w14:solidFill>
              <w14:schemeClr w14:val="tx1"/>
            </w14:solidFill>
          </w14:textFill>
        </w:rPr>
        <w:t>本项目接受联合体投标：</w:t>
      </w:r>
      <w:sdt>
        <w:sdtPr>
          <w:rPr>
            <w:rFonts w:hint="eastAsia" w:hAnsi="宋体" w:cs="宋体"/>
            <w:color w:val="000000" w:themeColor="text1"/>
            <w:kern w:val="0"/>
            <w:sz w:val="24"/>
            <w14:textFill>
              <w14:solidFill>
                <w14:schemeClr w14:val="tx1"/>
              </w14:solidFill>
            </w14:textFill>
          </w:rPr>
          <w:id w:val="4648"/>
          <w14:checkbox>
            <w14:checked w14:val="1"/>
            <w14:checkedState w14:val="00FE" w14:font="Wingdings"/>
            <w14:uncheckedState w14:val="2610" w14:font="MS Gothic"/>
          </w14:checkbox>
        </w:sdtPr>
        <w:sdtEndPr>
          <w:rPr>
            <w:rFonts w:hint="eastAsia" w:hAnsi="宋体" w:cs="宋体"/>
            <w:snapToGrid/>
            <w:color w:val="000000" w:themeColor="text1"/>
            <w:kern w:val="2"/>
            <w:sz w:val="24"/>
            <w:szCs w:val="24"/>
            <w14:textFill>
              <w14:solidFill>
                <w14:schemeClr w14:val="tx1"/>
              </w14:solidFill>
            </w14:textFill>
          </w:rPr>
        </w:sdtEndPr>
        <w:sdtContent>
          <w:r>
            <w:rPr>
              <w:rFonts w:ascii="Wingdings" w:hAnsi="Wingdings" w:cs="宋体"/>
              <w:snapToGrid/>
              <w:color w:val="000000" w:themeColor="text1"/>
              <w:kern w:val="2"/>
              <w:sz w:val="24"/>
              <w:szCs w:val="24"/>
              <w14:textFill>
                <w14:solidFill>
                  <w14:schemeClr w14:val="tx1"/>
                </w14:solidFill>
              </w14:textFill>
            </w:rPr>
            <w:t></w:t>
          </w:r>
        </w:sdtContent>
      </w:sdt>
      <w:r>
        <w:rPr>
          <w:rFonts w:hint="eastAsia" w:hAnsi="宋体" w:cs="宋体"/>
          <w:snapToGrid/>
          <w:color w:val="000000" w:themeColor="text1"/>
          <w:kern w:val="2"/>
          <w:sz w:val="24"/>
          <w:szCs w:val="24"/>
          <w14:textFill>
            <w14:solidFill>
              <w14:schemeClr w14:val="tx1"/>
            </w14:solidFill>
          </w14:textFill>
        </w:rPr>
        <w:t xml:space="preserve"> 是；</w:t>
      </w:r>
      <w:sdt>
        <w:sdtPr>
          <w:rPr>
            <w:rFonts w:hint="eastAsia" w:hAnsi="宋体" w:cs="宋体"/>
            <w:snapToGrid/>
            <w:color w:val="000000" w:themeColor="text1"/>
            <w:kern w:val="2"/>
            <w:sz w:val="24"/>
            <w:szCs w:val="24"/>
            <w14:textFill>
              <w14:solidFill>
                <w14:schemeClr w14:val="tx1"/>
              </w14:solidFill>
            </w14:textFill>
          </w:rPr>
          <w:id w:val="4649"/>
          <w14:checkbox>
            <w14:checked w14:val="0"/>
            <w14:checkedState w14:val="00FE" w14:font="Wingdings"/>
            <w14:uncheckedState w14:val="2610" w14:font="MS Gothic"/>
          </w14:checkbox>
        </w:sdtPr>
        <w:sdtEndPr>
          <w:rPr>
            <w:rFonts w:hint="eastAsia" w:hAnsi="宋体" w:cs="宋体"/>
            <w:snapToGrid/>
            <w:color w:val="000000" w:themeColor="text1"/>
            <w:kern w:val="2"/>
            <w:sz w:val="24"/>
            <w:szCs w:val="24"/>
            <w14:textFill>
              <w14:solidFill>
                <w14:schemeClr w14:val="tx1"/>
              </w14:solidFill>
            </w14:textFill>
          </w:rPr>
        </w:sdtEndPr>
        <w:sdtContent>
          <w:r>
            <w:rPr>
              <w:rFonts w:hint="eastAsia" w:hAnsi="宋体" w:cs="宋体"/>
              <w:snapToGrid/>
              <w:color w:val="000000" w:themeColor="text1"/>
              <w:kern w:val="2"/>
              <w:sz w:val="24"/>
              <w:szCs w:val="24"/>
              <w14:textFill>
                <w14:solidFill>
                  <w14:schemeClr w14:val="tx1"/>
                </w14:solidFill>
              </w14:textFill>
            </w:rPr>
            <w:t>☐</w:t>
          </w:r>
        </w:sdtContent>
      </w:sdt>
      <w:r>
        <w:rPr>
          <w:rFonts w:hint="eastAsia" w:hAnsi="宋体" w:cs="宋体"/>
          <w:snapToGrid/>
          <w:color w:val="000000" w:themeColor="text1"/>
          <w:kern w:val="2"/>
          <w:sz w:val="24"/>
          <w:szCs w:val="24"/>
          <w14:textFill>
            <w14:solidFill>
              <w14:schemeClr w14:val="tx1"/>
            </w14:solidFill>
          </w14:textFill>
        </w:rPr>
        <w:t xml:space="preserve"> 否</w:t>
      </w:r>
    </w:p>
    <w:p w14:paraId="032B15E3">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w:t>
      </w:r>
      <w:bookmarkStart w:id="7" w:name="_Hlk101132948"/>
      <w:r>
        <w:rPr>
          <w:rFonts w:hint="eastAsia" w:ascii="宋体" w:hAnsi="宋体" w:cs="宋体"/>
          <w:b/>
          <w:color w:val="000000" w:themeColor="text1"/>
          <w:sz w:val="24"/>
          <w14:textFill>
            <w14:solidFill>
              <w14:schemeClr w14:val="tx1"/>
            </w14:solidFill>
          </w14:textFill>
        </w:rPr>
        <w:t>申请人的资格要求</w:t>
      </w:r>
      <w:bookmarkEnd w:id="7"/>
      <w:r>
        <w:rPr>
          <w:rFonts w:hint="eastAsia" w:ascii="宋体" w:hAnsi="宋体" w:cs="宋体"/>
          <w:b/>
          <w:color w:val="000000" w:themeColor="text1"/>
          <w:sz w:val="24"/>
          <w14:textFill>
            <w14:solidFill>
              <w14:schemeClr w14:val="tx1"/>
            </w14:solidFill>
          </w14:textFill>
        </w:rPr>
        <w:t>：</w:t>
      </w:r>
    </w:p>
    <w:p w14:paraId="72BDD0FF">
      <w:pPr>
        <w:spacing w:line="360" w:lineRule="auto"/>
        <w:ind w:firstLine="48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1DAE648F">
      <w:pPr>
        <w:spacing w:line="360" w:lineRule="auto"/>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 xml:space="preserve">    </w:t>
      </w:r>
      <w:r>
        <w:rPr>
          <w:rFonts w:ascii="宋体" w:hAnsi="宋体" w:cs="宋体"/>
          <w:snapToGrid w:val="0"/>
          <w:color w:val="000000" w:themeColor="text1"/>
          <w:kern w:val="28"/>
          <w:sz w:val="24"/>
          <w:szCs w:val="20"/>
          <w14:textFill>
            <w14:solidFill>
              <w14:schemeClr w14:val="tx1"/>
            </w14:solidFill>
          </w14:textFill>
        </w:rPr>
        <w:t>2</w:t>
      </w:r>
      <w:r>
        <w:rPr>
          <w:rFonts w:hint="eastAsia" w:ascii="宋体" w:hAnsi="宋体" w:cs="宋体"/>
          <w:snapToGrid w:val="0"/>
          <w:color w:val="000000" w:themeColor="text1"/>
          <w:kern w:val="28"/>
          <w:sz w:val="24"/>
          <w:szCs w:val="20"/>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宋体" w:hAnsi="宋体" w:cs="宋体"/>
          <w:snapToGrid w:val="0"/>
          <w:color w:val="000000" w:themeColor="text1"/>
          <w:kern w:val="28"/>
          <w:sz w:val="24"/>
          <w:szCs w:val="20"/>
          <w14:textFill>
            <w14:solidFill>
              <w14:schemeClr w14:val="tx1"/>
            </w14:solidFill>
          </w14:textFill>
        </w:rPr>
        <w:t>以联合体形式投标的，提供联合协议(本项目不接受联合体投标或者投标人不以联合体形式投标的，则不需要提供) ；</w:t>
      </w:r>
    </w:p>
    <w:p w14:paraId="283D1AFA">
      <w:pPr>
        <w:spacing w:line="360" w:lineRule="auto"/>
        <w:ind w:firstLine="480" w:firstLineChars="200"/>
        <w:rPr>
          <w:rFonts w:ascii="宋体" w:hAnsi="宋体" w:cs="宋体"/>
          <w:snapToGrid w:val="0"/>
          <w:color w:val="000000" w:themeColor="text1"/>
          <w:kern w:val="28"/>
          <w:sz w:val="24"/>
          <w:szCs w:val="20"/>
          <w14:textFill>
            <w14:solidFill>
              <w14:schemeClr w14:val="tx1"/>
            </w14:solidFill>
          </w14:textFill>
        </w:rPr>
      </w:pPr>
      <w:r>
        <w:rPr>
          <w:rFonts w:ascii="宋体" w:hAnsi="宋体" w:cs="宋体"/>
          <w:snapToGrid w:val="0"/>
          <w:color w:val="000000" w:themeColor="text1"/>
          <w:kern w:val="28"/>
          <w:sz w:val="24"/>
          <w:szCs w:val="20"/>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w:t>
      </w:r>
    </w:p>
    <w:p w14:paraId="124E5314">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4650"/>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（注：不得限制大中型企业与小微企业组成联合体参与投标）</w:t>
      </w:r>
      <w:r>
        <w:rPr>
          <w:rFonts w:hint="eastAsia" w:ascii="宋体" w:hAnsi="宋体" w:cs="宋体"/>
          <w:color w:val="000000" w:themeColor="text1"/>
          <w:sz w:val="24"/>
          <w14:textFill>
            <w14:solidFill>
              <w14:schemeClr w14:val="tx1"/>
            </w14:solidFill>
          </w14:textFill>
        </w:rPr>
        <w:t>；</w:t>
      </w:r>
    </w:p>
    <w:p w14:paraId="788E061D">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465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专</w:t>
      </w:r>
      <w:r>
        <w:rPr>
          <w:rFonts w:hint="eastAsia" w:ascii="宋体" w:hAnsi="宋体" w:cs="宋体"/>
          <w:color w:val="000000" w:themeColor="text1"/>
          <w:sz w:val="24"/>
          <w14:textFill>
            <w14:solidFill>
              <w14:schemeClr w14:val="tx1"/>
            </w14:solidFill>
          </w14:textFill>
        </w:rPr>
        <w:t>门面向中小企业</w:t>
      </w:r>
    </w:p>
    <w:p w14:paraId="5DF8BFB8">
      <w:pPr>
        <w:spacing w:line="360" w:lineRule="auto"/>
        <w:ind w:firstLine="897" w:firstLineChars="374"/>
        <w:rPr>
          <w:rFonts w:ascii="宋体" w:hAnsi="宋体" w:cs="宋体"/>
          <w:color w:val="000000" w:themeColor="text1"/>
          <w:sz w:val="24"/>
          <w:u w:val="single"/>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4652"/>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货物全部由符合政策要求的中小企业制造，提供中小企业声明函；</w:t>
      </w:r>
    </w:p>
    <w:p w14:paraId="575CF87C">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465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货物全部由符合政策要求的小微企业制造，提供中小企业声明函；</w:t>
      </w:r>
    </w:p>
    <w:p w14:paraId="5A54C564">
      <w:pPr>
        <w:spacing w:line="360" w:lineRule="auto"/>
        <w:ind w:firstLine="480" w:firstLineChars="200"/>
        <w:rPr>
          <w:rFonts w:ascii="宋体" w:hAnsi="宋体" w:cs="宋体"/>
          <w:color w:val="000000" w:themeColor="text1"/>
          <w:sz w:val="24"/>
          <w14:textFill>
            <w14:solidFill>
              <w14:schemeClr w14:val="tx1"/>
            </w14:solidFill>
          </w14:textFill>
        </w:rPr>
      </w:pPr>
      <w:bookmarkStart w:id="8" w:name="_Hlk101132524"/>
      <w:sdt>
        <w:sdtPr>
          <w:rPr>
            <w:rFonts w:hint="eastAsia" w:ascii="宋体" w:hAnsi="宋体" w:cs="宋体"/>
            <w:color w:val="000000" w:themeColor="text1"/>
            <w:kern w:val="0"/>
            <w:sz w:val="24"/>
            <w14:textFill>
              <w14:solidFill>
                <w14:schemeClr w14:val="tx1"/>
              </w14:solidFill>
            </w14:textFill>
          </w:rPr>
          <w:id w:val="465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bookmarkEnd w:id="8"/>
    <w:p w14:paraId="0DDA474D">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465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14:paraId="2E8F2B18">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sdt>
        <w:sdtPr>
          <w:rPr>
            <w:rFonts w:hint="eastAsia" w:ascii="宋体" w:hAnsi="宋体" w:cs="宋体"/>
            <w:color w:val="000000" w:themeColor="text1"/>
            <w:kern w:val="0"/>
            <w:sz w:val="24"/>
            <w14:textFill>
              <w14:solidFill>
                <w14:schemeClr w14:val="tx1"/>
              </w14:solidFill>
            </w14:textFill>
          </w:rPr>
          <w:id w:val="465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无</w:t>
      </w:r>
      <w:r>
        <w:rPr>
          <w:rFonts w:hint="eastAsia" w:ascii="宋体" w:hAnsi="宋体" w:cs="宋体"/>
          <w:color w:val="000000" w:themeColor="text1"/>
          <w:sz w:val="24"/>
          <w14:textFill>
            <w14:solidFill>
              <w14:schemeClr w14:val="tx1"/>
            </w14:solidFill>
          </w14:textFill>
        </w:rPr>
        <w:br w:type="textWrapping"/>
      </w:r>
      <w:sdt>
        <w:sdtPr>
          <w:rPr>
            <w:rFonts w:hint="eastAsia" w:ascii="宋体" w:hAnsi="宋体" w:cs="宋体"/>
            <w:color w:val="000000" w:themeColor="text1"/>
            <w:kern w:val="0"/>
            <w:sz w:val="24"/>
            <w14:textFill>
              <w14:solidFill>
                <w14:schemeClr w14:val="tx1"/>
              </w14:solidFill>
            </w14:textFill>
          </w:rPr>
          <w:id w:val="4657"/>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有特定资格要求：</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，该特定条件的法律法规据：</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095A78D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527A2A1">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三、获取招标文件 </w:t>
      </w:r>
    </w:p>
    <w:p w14:paraId="689A84FE">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w:t>
      </w:r>
      <w:r>
        <w:rPr>
          <w:rFonts w:hint="eastAsia"/>
          <w:color w:val="000000" w:themeColor="text1"/>
          <w:sz w:val="24"/>
          <w:szCs w:val="32"/>
          <w:u w:val="single"/>
          <w14:textFill>
            <w14:solidFill>
              <w14:schemeClr w14:val="tx1"/>
            </w14:solidFill>
          </w14:textFill>
        </w:rPr>
        <w:t>202</w:t>
      </w:r>
      <w:r>
        <w:rPr>
          <w:rFonts w:hint="eastAsia"/>
          <w:color w:val="000000" w:themeColor="text1"/>
          <w:sz w:val="24"/>
          <w:szCs w:val="32"/>
          <w:u w:val="single"/>
          <w:lang w:val="en-US" w:eastAsia="zh-CN"/>
          <w14:textFill>
            <w14:solidFill>
              <w14:schemeClr w14:val="tx1"/>
            </w14:solidFill>
          </w14:textFill>
        </w:rPr>
        <w:t>5</w:t>
      </w:r>
      <w:r>
        <w:rPr>
          <w:rFonts w:hint="eastAsia"/>
          <w:color w:val="000000" w:themeColor="text1"/>
          <w:sz w:val="24"/>
          <w:szCs w:val="32"/>
          <w:u w:val="single"/>
          <w14:textFill>
            <w14:solidFill>
              <w14:schemeClr w14:val="tx1"/>
            </w14:solidFill>
          </w14:textFill>
        </w:rPr>
        <w:t>年1月</w:t>
      </w:r>
      <w:r>
        <w:rPr>
          <w:rFonts w:hint="eastAsia"/>
          <w:color w:val="000000" w:themeColor="text1"/>
          <w:sz w:val="24"/>
          <w:szCs w:val="32"/>
          <w:u w:val="single"/>
          <w:lang w:val="en-US" w:eastAsia="zh-CN"/>
          <w14:textFill>
            <w14:solidFill>
              <w14:schemeClr w14:val="tx1"/>
            </w14:solidFill>
          </w14:textFill>
        </w:rPr>
        <w:t>14</w:t>
      </w:r>
      <w:r>
        <w:rPr>
          <w:rFonts w:hint="eastAsia"/>
          <w:color w:val="000000" w:themeColor="text1"/>
          <w:sz w:val="24"/>
          <w:szCs w:val="32"/>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14:paraId="16EAB962">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2C57149D">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6868DEB2">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14:paraId="0E946BA0">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p>
    <w:p w14:paraId="763922F0">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提交投标文件截止时间：</w:t>
      </w:r>
      <w:r>
        <w:rPr>
          <w:rFonts w:hint="eastAsia" w:ascii="宋体" w:hAnsi="宋体" w:cs="宋体"/>
          <w:color w:val="000000" w:themeColor="text1"/>
          <w:sz w:val="24"/>
          <w:u w:val="single"/>
          <w14:textFill>
            <w14:solidFill>
              <w14:schemeClr w14:val="tx1"/>
            </w14:solidFill>
          </w14:textFill>
        </w:rPr>
        <w:t xml:space="preserve"> 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年1月</w:t>
      </w:r>
      <w:r>
        <w:rPr>
          <w:rFonts w:hint="eastAsia" w:ascii="宋体" w:hAnsi="宋体" w:cs="宋体"/>
          <w:color w:val="000000" w:themeColor="text1"/>
          <w:sz w:val="24"/>
          <w:u w:val="single"/>
          <w:lang w:val="en-US" w:eastAsia="zh-CN"/>
          <w14:textFill>
            <w14:solidFill>
              <w14:schemeClr w14:val="tx1"/>
            </w14:solidFill>
          </w14:textFill>
        </w:rPr>
        <w:t>14</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30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color w:val="000000" w:themeColor="text1"/>
          <w:sz w:val="24"/>
          <w14:textFill>
            <w14:solidFill>
              <w14:schemeClr w14:val="tx1"/>
            </w14:solidFill>
          </w14:textFill>
        </w:rPr>
        <w:t>（北京时间）</w:t>
      </w:r>
    </w:p>
    <w:p w14:paraId="5FB811BC">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0E3A456A">
      <w:pPr>
        <w:spacing w:line="360" w:lineRule="auto"/>
        <w:ind w:firstLine="482"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年1月</w:t>
      </w:r>
      <w:r>
        <w:rPr>
          <w:rFonts w:hint="eastAsia" w:ascii="宋体" w:hAnsi="宋体" w:cs="宋体"/>
          <w:color w:val="000000" w:themeColor="text1"/>
          <w:sz w:val="24"/>
          <w:u w:val="single"/>
          <w:lang w:val="en-US" w:eastAsia="zh-CN"/>
          <w14:textFill>
            <w14:solidFill>
              <w14:schemeClr w14:val="tx1"/>
            </w14:solidFill>
          </w14:textFill>
        </w:rPr>
        <w:t>14</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30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color w:val="000000" w:themeColor="text1"/>
          <w:sz w:val="24"/>
          <w14:textFill>
            <w14:solidFill>
              <w14:schemeClr w14:val="tx1"/>
            </w14:solidFill>
          </w14:textFill>
        </w:rPr>
        <w:t>（北京时间）</w:t>
      </w:r>
    </w:p>
    <w:p w14:paraId="65C92965">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开标地点（网址）：</w:t>
      </w:r>
      <w:r>
        <w:rPr>
          <w:rFonts w:hint="eastAsia" w:ascii="宋体" w:hAnsi="宋体" w:cs="宋体"/>
          <w:color w:val="000000" w:themeColor="text1"/>
          <w:sz w:val="24"/>
          <w14:textFill>
            <w14:solidFill>
              <w14:schemeClr w14:val="tx1"/>
            </w14:solidFill>
          </w14:textFill>
        </w:rPr>
        <w:t>政采云平台（https://www.zcygov.cn/）</w:t>
      </w:r>
    </w:p>
    <w:p w14:paraId="2B80ECB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五、公告期限 </w:t>
      </w:r>
    </w:p>
    <w:p w14:paraId="62354A1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自本公告发布之日起5个工作日。</w:t>
      </w:r>
    </w:p>
    <w:p w14:paraId="21053C5D">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六、其他补充事宜</w:t>
      </w:r>
    </w:p>
    <w:p w14:paraId="7FC7012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 </w:t>
      </w:r>
      <w:r>
        <w:rPr>
          <w:rFonts w:ascii="宋体" w:hAnsi="宋体" w:cs="宋体"/>
          <w:color w:val="000000" w:themeColor="text1"/>
          <w:sz w:val="24"/>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14:textFill>
            <w14:solidFill>
              <w14:schemeClr w14:val="tx1"/>
            </w14:solidFill>
          </w14:textFill>
        </w:rPr>
        <w:t>。</w:t>
      </w:r>
    </w:p>
    <w:p w14:paraId="2308C84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44795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F08ED0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4FBCED9">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七、对本次采购提出询问、质疑、投诉，请按以下方式联系</w:t>
      </w:r>
    </w:p>
    <w:p w14:paraId="2ED5DBD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1.采购人信息</w:t>
      </w:r>
    </w:p>
    <w:p w14:paraId="131E877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名    称：杭州市萧山区教育局</w:t>
      </w:r>
    </w:p>
    <w:p w14:paraId="4954D02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 杭州市萧山区西河路197号      </w:t>
      </w:r>
    </w:p>
    <w:p w14:paraId="0F6B90FE">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 /</w:t>
      </w:r>
    </w:p>
    <w:p w14:paraId="04DCA0E2">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 楼学迅</w:t>
      </w:r>
    </w:p>
    <w:p w14:paraId="76C6B7A4">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项目联系方式（询问）：0571-82621430</w:t>
      </w:r>
    </w:p>
    <w:p w14:paraId="5A4B1BCF">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质疑联系人：谢丽娜 </w:t>
      </w:r>
    </w:p>
    <w:p w14:paraId="4FE29439">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质疑联系方式：0571-82370213 </w:t>
      </w:r>
    </w:p>
    <w:p w14:paraId="4DCB42D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2.采购代理机构信息            </w:t>
      </w:r>
    </w:p>
    <w:p w14:paraId="05AD480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称：杭州萧诚工程管理有限公司</w:t>
      </w:r>
    </w:p>
    <w:p w14:paraId="6ADCE62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    址：浙江省杭州市萧山区北干街道山阴路869号绿创中心1302室           </w:t>
      </w:r>
    </w:p>
    <w:p w14:paraId="22404BD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项目联系人（询问）：赵妮</w:t>
      </w:r>
    </w:p>
    <w:p w14:paraId="4980802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项目联系方式（询问）：15869158391</w:t>
      </w:r>
    </w:p>
    <w:p w14:paraId="09E5061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质疑联系人：方涵君</w:t>
      </w:r>
    </w:p>
    <w:p w14:paraId="4EB82B8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质疑联系方式：15858128791</w:t>
      </w:r>
    </w:p>
    <w:p w14:paraId="4FE05FE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3.</w:t>
      </w:r>
      <w:r>
        <w:rPr>
          <w:rFonts w:hint="eastAsia"/>
          <w:color w:val="000000" w:themeColor="text1"/>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同级政府采购监督管理部门            </w:t>
      </w:r>
    </w:p>
    <w:p w14:paraId="316A545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名    称：萧山区财政局、浙江省政府采购行政裁决服务中心（杭州）</w:t>
      </w:r>
    </w:p>
    <w:p w14:paraId="0944926F">
      <w:pPr>
        <w:spacing w:line="360" w:lineRule="auto"/>
        <w:ind w:left="237" w:leftChars="113" w:firstLine="180" w:firstLineChars="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址：杭州市上城区清泰街549号城建综合大楼11楼（快递仅限ems或顺丰）</w:t>
      </w:r>
    </w:p>
    <w:p w14:paraId="06C6F4F9">
      <w:pPr>
        <w:spacing w:line="360" w:lineRule="auto"/>
        <w:ind w:left="237" w:leftChars="113" w:firstLine="180" w:firstLineChars="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w:t>
      </w:r>
    </w:p>
    <w:p w14:paraId="2550BBD7">
      <w:pPr>
        <w:spacing w:line="360" w:lineRule="auto"/>
        <w:ind w:left="237" w:leftChars="113" w:firstLine="180" w:firstLineChars="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 ：朱女士/王女士</w:t>
      </w:r>
    </w:p>
    <w:p w14:paraId="27141290">
      <w:pPr>
        <w:spacing w:line="360" w:lineRule="auto"/>
        <w:ind w:left="237" w:leftChars="113" w:firstLine="180" w:firstLineChars="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监督投诉电话：0571-87227671,0571-87800218 </w:t>
      </w:r>
    </w:p>
    <w:p w14:paraId="6C847950">
      <w:pPr>
        <w:spacing w:line="360" w:lineRule="auto"/>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政策咨询电话：0571-82756122  （汤先生）</w:t>
      </w:r>
    </w:p>
    <w:p w14:paraId="58C2C592">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217CBA45">
      <w:pPr>
        <w:pStyle w:val="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CA问题联系电话（人工）：汇信CA 400-888-4636；天谷CA 400-087-8198。</w:t>
      </w:r>
    </w:p>
    <w:p w14:paraId="1FB55479">
      <w:pPr>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br w:type="page"/>
      </w:r>
    </w:p>
    <w:p w14:paraId="5FA9ED85">
      <w:pPr>
        <w:jc w:val="center"/>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第二部分</w:t>
      </w:r>
      <w:bookmarkEnd w:id="4"/>
      <w:r>
        <w:rPr>
          <w:rFonts w:hint="eastAsia" w:ascii="宋体" w:hAnsi="宋体" w:cs="宋体"/>
          <w:b/>
          <w:color w:val="000000" w:themeColor="text1"/>
          <w:sz w:val="36"/>
          <w:szCs w:val="20"/>
          <w14:textFill>
            <w14:solidFill>
              <w14:schemeClr w14:val="tx1"/>
            </w14:solidFill>
          </w14:textFill>
        </w:rPr>
        <w:t xml:space="preserve"> 投标人须知</w:t>
      </w:r>
      <w:bookmarkEnd w:id="5"/>
    </w:p>
    <w:p w14:paraId="421B9FF4">
      <w:pPr>
        <w:adjustRightInd/>
        <w:spacing w:line="360" w:lineRule="auto"/>
        <w:jc w:val="center"/>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4029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C2831EE">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0D986D4">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019FD4F">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14:paraId="6C874D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A9FD09">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CD0AFD7">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A83063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货物类，单一产品或</w:t>
            </w:r>
            <w:r>
              <w:rPr>
                <w:rFonts w:hint="eastAsia" w:ascii="宋体" w:hAnsi="宋体" w:cs="宋体"/>
                <w:color w:val="000000" w:themeColor="text1"/>
                <w:kern w:val="0"/>
                <w:sz w:val="24"/>
                <w14:textFill>
                  <w14:solidFill>
                    <w14:schemeClr w14:val="tx1"/>
                  </w14:solidFill>
                </w14:textFill>
              </w:rPr>
              <w:t>核心产品为：</w:t>
            </w:r>
            <w:r>
              <w:rPr>
                <w:rFonts w:hint="eastAsia" w:ascii="宋体" w:hAnsi="宋体" w:cs="宋体"/>
                <w:color w:val="000000" w:themeColor="text1"/>
                <w:sz w:val="24"/>
                <w:u w:val="single"/>
                <w14:textFill>
                  <w14:solidFill>
                    <w14:schemeClr w14:val="tx1"/>
                  </w14:solidFill>
                </w14:textFill>
              </w:rPr>
              <w:t xml:space="preserve"> 空白作业本 </w:t>
            </w:r>
            <w:r>
              <w:rPr>
                <w:rFonts w:hint="eastAsia" w:ascii="宋体" w:hAnsi="宋体" w:cs="宋体"/>
                <w:color w:val="000000" w:themeColor="text1"/>
                <w:sz w:val="24"/>
                <w14:textFill>
                  <w14:solidFill>
                    <w14:schemeClr w14:val="tx1"/>
                  </w14:solidFill>
                </w14:textFill>
              </w:rPr>
              <w:t>。</w:t>
            </w:r>
          </w:p>
        </w:tc>
      </w:tr>
      <w:tr w14:paraId="1DBE8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5BE954">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2B8A17B">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40CD178">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（1）标的：</w:t>
            </w:r>
            <w:r>
              <w:rPr>
                <w:rFonts w:hint="eastAsia" w:ascii="宋体" w:hAnsi="宋体" w:cs="宋体"/>
                <w:color w:val="000000" w:themeColor="text1"/>
                <w:sz w:val="24"/>
                <w:u w:val="single"/>
                <w14:textFill>
                  <w14:solidFill>
                    <w14:schemeClr w14:val="tx1"/>
                  </w14:solidFill>
                </w14:textFill>
              </w:rPr>
              <w:t>第三部分采购需求空白作业本，</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 xml:space="preserve"> 工业 </w:t>
            </w:r>
            <w:r>
              <w:rPr>
                <w:rFonts w:hint="eastAsia" w:ascii="宋体" w:hAnsi="宋体" w:cs="宋体"/>
                <w:color w:val="000000" w:themeColor="text1"/>
                <w:sz w:val="24"/>
                <w14:textFill>
                  <w14:solidFill>
                    <w14:schemeClr w14:val="tx1"/>
                  </w14:solidFill>
                </w14:textFill>
              </w:rPr>
              <w:t>行业；</w:t>
            </w:r>
          </w:p>
          <w:p w14:paraId="6092C611">
            <w:pP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《关于印发中小企业划型标准规定的通知》工信部联企业〔2011〕300号</w:t>
            </w:r>
          </w:p>
        </w:tc>
      </w:tr>
      <w:tr w14:paraId="48558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F487EC">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38B3169">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82545EC">
            <w:pPr>
              <w:rPr>
                <w:color w:val="000000" w:themeColor="text1"/>
                <w:sz w:val="24"/>
                <w14:textFill>
                  <w14:solidFill>
                    <w14:schemeClr w14:val="tx1"/>
                  </w14:solidFill>
                </w14:textFill>
              </w:rPr>
            </w:pPr>
            <w:sdt>
              <w:sdtPr>
                <w:rPr>
                  <w:rFonts w:hint="eastAsia"/>
                  <w:color w:val="000000" w:themeColor="text1"/>
                  <w:sz w:val="24"/>
                  <w14:textFill>
                    <w14:solidFill>
                      <w14:schemeClr w14:val="tx1"/>
                    </w14:solidFill>
                  </w14:textFill>
                </w:rPr>
                <w:id w:val="4658"/>
                <w14:checkbox>
                  <w14:checked w14:val="1"/>
                  <w14:checkedState w14:val="00FE" w14:font="Wingdings"/>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color w:val="000000" w:themeColor="text1"/>
                    <w:sz w:val="24"/>
                    <w14:textFill>
                      <w14:solidFill>
                        <w14:schemeClr w14:val="tx1"/>
                      </w14:solidFill>
                    </w14:textFill>
                  </w:rPr>
                  <w:sym w:font="Wingdings" w:char="F0FE"/>
                </w:r>
              </w:sdtContent>
            </w:sdt>
            <w:r>
              <w:rPr>
                <w:rFonts w:hint="eastAsia"/>
                <w:color w:val="000000" w:themeColor="text1"/>
                <w:sz w:val="24"/>
                <w14:textFill>
                  <w14:solidFill>
                    <w14:schemeClr w14:val="tx1"/>
                  </w14:solidFill>
                </w14:textFill>
              </w:rPr>
              <w:t>本项目不允许采购进口产品。</w:t>
            </w:r>
          </w:p>
          <w:p w14:paraId="154621EE">
            <w:pPr>
              <w:rPr>
                <w:color w:val="000000" w:themeColor="text1"/>
                <w:sz w:val="24"/>
                <w14:textFill>
                  <w14:solidFill>
                    <w14:schemeClr w14:val="tx1"/>
                  </w14:solidFill>
                </w14:textFill>
              </w:rPr>
            </w:pPr>
            <w:sdt>
              <w:sdtPr>
                <w:rPr>
                  <w:rFonts w:hint="eastAsia"/>
                  <w:color w:val="000000" w:themeColor="text1"/>
                  <w:sz w:val="24"/>
                  <w14:textFill>
                    <w14:solidFill>
                      <w14:schemeClr w14:val="tx1"/>
                    </w14:solidFill>
                  </w14:textFill>
                </w:rPr>
                <w:id w:val="4659"/>
                <w14:checkbox>
                  <w14:checked w14:val="0"/>
                  <w14:checkedState w14:val="00FE" w14:font="Wingdings"/>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color w:val="000000" w:themeColor="text1"/>
                    <w:sz w:val="24"/>
                    <w14:textFill>
                      <w14:solidFill>
                        <w14:schemeClr w14:val="tx1"/>
                      </w14:solidFill>
                    </w14:textFill>
                  </w:rPr>
                  <w:t>☐</w:t>
                </w:r>
              </w:sdtContent>
            </w:sdt>
            <w:r>
              <w:rPr>
                <w:rFonts w:hint="eastAsia"/>
                <w:color w:val="000000" w:themeColor="text1"/>
                <w:sz w:val="24"/>
                <w14:textFill>
                  <w14:solidFill>
                    <w14:schemeClr w14:val="tx1"/>
                  </w14:solidFill>
                </w14:textFill>
              </w:rPr>
              <w:t>可以就    采购进口产品。</w:t>
            </w:r>
            <w:r>
              <w:rPr>
                <w:rFonts w:hint="eastAsia" w:ascii="宋体" w:hAnsi="宋体" w:cs="宋体"/>
                <w:color w:val="000000" w:themeColor="text1"/>
                <w:kern w:val="0"/>
                <w:sz w:val="24"/>
                <w14:textFill>
                  <w14:solidFill>
                    <w14:schemeClr w14:val="tx1"/>
                  </w14:solidFill>
                </w14:textFill>
              </w:rPr>
              <w:t>优先采购向我国企业转让技术、与我国企业签订消化吸收再创新方案的供应商的进口产品，详见</w:t>
            </w:r>
            <w:r>
              <w:rPr>
                <w:rFonts w:hint="eastAsia" w:ascii="宋体" w:hAnsi="宋体" w:cs="宋体"/>
                <w:color w:val="000000" w:themeColor="text1"/>
                <w:kern w:val="0"/>
                <w:sz w:val="24"/>
                <w:u w:val="single"/>
                <w14:textFill>
                  <w14:solidFill>
                    <w14:schemeClr w14:val="tx1"/>
                  </w14:solidFill>
                </w14:textFill>
              </w:rPr>
              <w:t>评分标准</w:t>
            </w:r>
            <w:r>
              <w:rPr>
                <w:rFonts w:hint="eastAsia" w:ascii="宋体" w:hAnsi="宋体" w:cs="宋体"/>
                <w:color w:val="000000" w:themeColor="text1"/>
                <w:kern w:val="0"/>
                <w:sz w:val="24"/>
                <w14:textFill>
                  <w14:solidFill>
                    <w14:schemeClr w14:val="tx1"/>
                  </w14:solidFill>
                </w14:textFill>
              </w:rPr>
              <w:t>。</w:t>
            </w:r>
          </w:p>
        </w:tc>
      </w:tr>
      <w:tr w14:paraId="1AB73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8CF8C5">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2424B7B">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B8ACE78">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4660"/>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同意将非主体、非关键性的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工作分包。</w:t>
            </w:r>
            <w:sdt>
              <w:sdtPr>
                <w:rPr>
                  <w:rFonts w:hint="eastAsia" w:ascii="宋体" w:hAnsi="宋体" w:cs="宋体"/>
                  <w:color w:val="000000" w:themeColor="text1"/>
                  <w:kern w:val="0"/>
                  <w:sz w:val="24"/>
                  <w14:textFill>
                    <w14:solidFill>
                      <w14:schemeClr w14:val="tx1"/>
                    </w14:solidFill>
                  </w14:textFill>
                </w:rPr>
                <w:id w:val="4661"/>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B</w:t>
            </w:r>
            <w:r>
              <w:rPr>
                <w:rFonts w:hint="eastAsia" w:ascii="宋体" w:hAnsi="宋体" w:cs="宋体"/>
                <w:color w:val="000000" w:themeColor="text1"/>
                <w:sz w:val="24"/>
                <w14:textFill>
                  <w14:solidFill>
                    <w14:schemeClr w14:val="tx1"/>
                  </w14:solidFill>
                </w14:textFill>
              </w:rPr>
              <w:t>不同意分包。</w:t>
            </w:r>
          </w:p>
          <w:p w14:paraId="4A6F617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注：不得限制大中型企业向小微企业合理分包。</w:t>
            </w:r>
          </w:p>
        </w:tc>
      </w:tr>
      <w:tr w14:paraId="5E93B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0AD10E">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E6C3872">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9360CBE">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4662"/>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tc>
      </w:tr>
      <w:tr w14:paraId="08845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7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761C3D">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5BA41B7">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5397415">
            <w:pPr>
              <w:spacing w:line="360" w:lineRule="auto"/>
              <w:rPr>
                <w:color w:val="000000" w:themeColor="text1"/>
                <w:sz w:val="24"/>
                <w14:textFill>
                  <w14:solidFill>
                    <w14:schemeClr w14:val="tx1"/>
                  </w14:solidFill>
                </w14:textFill>
              </w:rPr>
            </w:pPr>
          </w:p>
          <w:p w14:paraId="46623845">
            <w:pPr>
              <w:spacing w:line="360" w:lineRule="auto"/>
              <w:rPr>
                <w:color w:val="000000" w:themeColor="text1"/>
                <w:sz w:val="24"/>
                <w14:textFill>
                  <w14:solidFill>
                    <w14:schemeClr w14:val="tx1"/>
                  </w14:solidFill>
                </w14:textFill>
              </w:rPr>
            </w:pPr>
            <w:sdt>
              <w:sdtPr>
                <w:rPr>
                  <w:rFonts w:hint="eastAsia"/>
                  <w:color w:val="000000" w:themeColor="text1"/>
                  <w:sz w:val="24"/>
                  <w14:textFill>
                    <w14:solidFill>
                      <w14:schemeClr w14:val="tx1"/>
                    </w14:solidFill>
                  </w14:textFill>
                </w:rPr>
                <w:id w:val="1026831988"/>
                <w14:checkbox>
                  <w14:checked w14:val="1"/>
                  <w14:checkedState w14:val="00FE" w14:font="Wingdings"/>
                  <w14:uncheckedState w14:val="2610" w14:font="MS Gothic"/>
                </w14:checkbox>
              </w:sdtPr>
              <w:sdtEndPr>
                <w:rPr>
                  <w:rFonts w:hint="eastAsia"/>
                  <w:color w:val="000000" w:themeColor="text1"/>
                  <w:sz w:val="24"/>
                  <w14:textFill>
                    <w14:solidFill>
                      <w14:schemeClr w14:val="tx1"/>
                    </w14:solidFill>
                  </w14:textFill>
                </w:rPr>
              </w:sdtEndPr>
              <w:sdtContent>
                <w:r>
                  <w:rPr>
                    <w:rFonts w:ascii="Wingdings" w:hAnsi="Wingdings"/>
                    <w:color w:val="000000" w:themeColor="text1"/>
                    <w:sz w:val="24"/>
                    <w14:textFill>
                      <w14:solidFill>
                        <w14:schemeClr w14:val="tx1"/>
                      </w14:solidFill>
                    </w14:textFill>
                  </w:rPr>
                  <w:t></w:t>
                </w:r>
              </w:sdtContent>
            </w:sdt>
            <w:r>
              <w:rPr>
                <w:rFonts w:hint="eastAsia"/>
                <w:color w:val="000000" w:themeColor="text1"/>
                <w:sz w:val="24"/>
                <w14:textFill>
                  <w14:solidFill>
                    <w14:schemeClr w14:val="tx1"/>
                  </w14:solidFill>
                </w14:textFill>
              </w:rPr>
              <w:t>B要求提供</w:t>
            </w:r>
            <w:r>
              <w:rPr>
                <w:rFonts w:hint="eastAsia" w:ascii="宋体" w:hAnsi="宋体" w:cs="宋体"/>
                <w:color w:val="000000" w:themeColor="text1"/>
                <w:kern w:val="0"/>
                <w:sz w:val="24"/>
                <w14:textFill>
                  <w14:solidFill>
                    <w14:schemeClr w14:val="tx1"/>
                  </w14:solidFill>
                </w14:textFill>
              </w:rPr>
              <w:t>（未提供样品或提供样品不满足采购需求实质性条件的供应商，投标无效）</w:t>
            </w:r>
          </w:p>
          <w:p w14:paraId="2FFAB239">
            <w:pPr>
              <w:spacing w:line="400" w:lineRule="exact"/>
              <w:rPr>
                <w:rFonts w:ascii="宋体" w:hAnsi="宋体" w:cs="宋体"/>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（1）样品：</w:t>
            </w:r>
            <w:r>
              <w:rPr>
                <w:rFonts w:hint="eastAsia" w:ascii="宋体" w:hAnsi="宋体" w:cs="宋体"/>
                <w:b/>
                <w:snapToGrid w:val="0"/>
                <w:color w:val="000000" w:themeColor="text1"/>
                <w:kern w:val="28"/>
                <w:sz w:val="24"/>
                <w14:textFill>
                  <w14:solidFill>
                    <w14:schemeClr w14:val="tx1"/>
                  </w14:solidFill>
                </w14:textFill>
              </w:rPr>
              <w:t>按采购需求规定的规格和要求提供样品（小样）：总共14种规格作业本（小学：田字本、拼田本、高段数学本、小方格、听写本、低算本、小作文、美术本、通用本、中高方格、英语本；初中：练习本、作文本、几何本），每种规格各1册，打包成1套（14种/套）。须采用环保材料POF热收缩膜封装成套</w:t>
            </w:r>
            <w:r>
              <w:rPr>
                <w:rFonts w:hint="eastAsia" w:ascii="宋体" w:hAnsi="宋体" w:cs="宋体"/>
                <w:color w:val="000000" w:themeColor="text1"/>
                <w:kern w:val="0"/>
                <w:sz w:val="24"/>
                <w14:textFill>
                  <w14:solidFill>
                    <w14:schemeClr w14:val="tx1"/>
                  </w14:solidFill>
                </w14:textFill>
              </w:rPr>
              <w:t>；</w:t>
            </w:r>
          </w:p>
          <w:p w14:paraId="4A3121CD">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（2）样品制作的标准和要求：</w:t>
            </w:r>
            <w:r>
              <w:rPr>
                <w:rFonts w:hint="eastAsia" w:ascii="宋体" w:hAnsi="宋体" w:cs="宋体"/>
                <w:color w:val="000000" w:themeColor="text1"/>
                <w:sz w:val="24"/>
                <w:u w:val="single"/>
                <w14:textFill>
                  <w14:solidFill>
                    <w14:schemeClr w14:val="tx1"/>
                  </w14:solidFill>
                </w14:textFill>
              </w:rPr>
              <w:t>详见采购需求</w:t>
            </w:r>
            <w:r>
              <w:rPr>
                <w:rFonts w:hint="eastAsia"/>
                <w:color w:val="000000" w:themeColor="text1"/>
                <w:sz w:val="24"/>
                <w14:textFill>
                  <w14:solidFill>
                    <w14:schemeClr w14:val="tx1"/>
                  </w14:solidFill>
                </w14:textFill>
              </w:rPr>
              <w:t>；</w:t>
            </w:r>
          </w:p>
          <w:p w14:paraId="24AA7C1F">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（3）样品的评审方法以及评审标准：</w:t>
            </w:r>
            <w:r>
              <w:rPr>
                <w:rFonts w:hint="eastAsia" w:ascii="宋体" w:hAnsi="宋体" w:cs="宋体"/>
                <w:color w:val="000000" w:themeColor="text1"/>
                <w:sz w:val="24"/>
                <w:u w:val="single"/>
                <w14:textFill>
                  <w14:solidFill>
                    <w14:schemeClr w14:val="tx1"/>
                  </w14:solidFill>
                </w14:textFill>
              </w:rPr>
              <w:t>详见评标办法</w:t>
            </w:r>
            <w:r>
              <w:rPr>
                <w:rFonts w:hint="eastAsia"/>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br w:type="textWrapping"/>
            </w:r>
            <w:sdt>
              <w:sdtPr>
                <w:rPr>
                  <w:rFonts w:hint="eastAsia" w:ascii="宋体" w:hAnsi="宋体" w:cs="宋体"/>
                  <w:color w:val="000000" w:themeColor="text1"/>
                  <w:kern w:val="0"/>
                  <w:sz w:val="24"/>
                  <w14:textFill>
                    <w14:solidFill>
                      <w14:schemeClr w14:val="tx1"/>
                    </w14:solidFill>
                  </w14:textFill>
                </w:rPr>
                <w:id w:val="466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color w:val="000000" w:themeColor="text1"/>
                    <w:sz w:val="24"/>
                    <w14:textFill>
                      <w14:solidFill>
                        <w14:schemeClr w14:val="tx1"/>
                      </w14:solidFill>
                    </w14:textFill>
                  </w:rPr>
                  <w:t>☐</w:t>
                </w:r>
              </w:sdtContent>
            </w:sdt>
            <w:r>
              <w:rPr>
                <w:rFonts w:hint="eastAsia"/>
                <w:color w:val="000000" w:themeColor="text1"/>
                <w:sz w:val="24"/>
                <w14:textFill>
                  <w14:solidFill>
                    <w14:schemeClr w14:val="tx1"/>
                  </w14:solidFill>
                </w14:textFill>
              </w:rPr>
              <w:t>样品分未超过价格分的50%；</w:t>
            </w:r>
          </w:p>
          <w:p w14:paraId="24AEAF37">
            <w:pPr>
              <w:spacing w:line="360" w:lineRule="auto"/>
              <w:rPr>
                <w:color w:val="000000" w:themeColor="text1"/>
                <w:sz w:val="24"/>
                <w14:textFill>
                  <w14:solidFill>
                    <w14:schemeClr w14:val="tx1"/>
                  </w14:solidFill>
                </w14:textFill>
              </w:rPr>
            </w:pPr>
            <w:sdt>
              <w:sdtPr>
                <w:rPr>
                  <w:rFonts w:hint="eastAsia"/>
                  <w:color w:val="000000" w:themeColor="text1"/>
                  <w:sz w:val="24"/>
                  <w14:textFill>
                    <w14:solidFill>
                      <w14:schemeClr w14:val="tx1"/>
                    </w14:solidFill>
                  </w14:textFill>
                </w:rPr>
                <w:id w:val="4667"/>
                <w14:checkbox>
                  <w14:checked w14:val="0"/>
                  <w14:checkedState w14:val="00FE" w14:font="Wingdings"/>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color w:val="000000" w:themeColor="text1"/>
                    <w:sz w:val="24"/>
                    <w14:textFill>
                      <w14:solidFill>
                        <w14:schemeClr w14:val="tx1"/>
                      </w14:solidFill>
                    </w14:textFill>
                  </w:rPr>
                  <w:t>☐</w:t>
                </w:r>
              </w:sdtContent>
            </w:sdt>
            <w:r>
              <w:rPr>
                <w:rFonts w:hint="eastAsia"/>
                <w:color w:val="000000" w:themeColor="text1"/>
                <w:sz w:val="24"/>
                <w14:textFill>
                  <w14:solidFill>
                    <w14:schemeClr w14:val="tx1"/>
                  </w14:solidFill>
                </w14:textFill>
              </w:rPr>
              <w:t>样品分超过价格分的50%，理由</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w:t>
            </w:r>
          </w:p>
          <w:p w14:paraId="116D1BFE">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详见招标文件第四部分评标办分法。 </w:t>
            </w:r>
          </w:p>
          <w:p w14:paraId="3FE9921D">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（4）是否需要随样品提交检测报告：</w:t>
            </w:r>
            <w:sdt>
              <w:sdtPr>
                <w:rPr>
                  <w:rFonts w:hint="eastAsia"/>
                  <w:color w:val="000000" w:themeColor="text1"/>
                  <w:sz w:val="24"/>
                  <w14:textFill>
                    <w14:solidFill>
                      <w14:schemeClr w14:val="tx1"/>
                    </w14:solidFill>
                  </w14:textFill>
                </w:rPr>
                <w:id w:val="1303421454"/>
                <w14:checkbox>
                  <w14:checked w14:val="1"/>
                  <w14:checkedState w14:val="00FE" w14:font="Wingdings"/>
                  <w14:uncheckedState w14:val="2610" w14:font="MS Gothic"/>
                </w14:checkbox>
              </w:sdtPr>
              <w:sdtEndPr>
                <w:rPr>
                  <w:rFonts w:hint="eastAsia"/>
                  <w:color w:val="000000" w:themeColor="text1"/>
                  <w:sz w:val="24"/>
                  <w14:textFill>
                    <w14:solidFill>
                      <w14:schemeClr w14:val="tx1"/>
                    </w14:solidFill>
                  </w14:textFill>
                </w:rPr>
              </w:sdtEndPr>
              <w:sdtContent>
                <w:r>
                  <w:rPr>
                    <w:rFonts w:ascii="Wingdings" w:hAnsi="Wingdings"/>
                    <w:color w:val="000000" w:themeColor="text1"/>
                    <w:sz w:val="24"/>
                    <w14:textFill>
                      <w14:solidFill>
                        <w14:schemeClr w14:val="tx1"/>
                      </w14:solidFill>
                    </w14:textFill>
                  </w:rPr>
                  <w:t></w:t>
                </w:r>
              </w:sdtContent>
            </w:sdt>
            <w:r>
              <w:rPr>
                <w:rFonts w:hint="eastAsia"/>
                <w:color w:val="000000" w:themeColor="text1"/>
                <w:sz w:val="24"/>
                <w14:textFill>
                  <w14:solidFill>
                    <w14:schemeClr w14:val="tx1"/>
                  </w14:solidFill>
                </w14:textFill>
              </w:rPr>
              <w:t>否；</w:t>
            </w:r>
          </w:p>
          <w:p w14:paraId="77916316">
            <w:pPr>
              <w:spacing w:line="400" w:lineRule="exact"/>
              <w:jc w:val="left"/>
              <w:rPr>
                <w:rFonts w:ascii="宋体" w:hAnsi="宋体"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（5）提供样品的时间：</w:t>
            </w:r>
            <w:r>
              <w:rPr>
                <w:rFonts w:hint="eastAsia" w:ascii="宋体" w:hAnsi="宋体" w:cs="宋体"/>
                <w:b/>
                <w:snapToGrid w:val="0"/>
                <w:color w:val="000000" w:themeColor="text1"/>
                <w:kern w:val="28"/>
                <w:sz w:val="24"/>
                <w14:textFill>
                  <w14:solidFill>
                    <w14:schemeClr w14:val="tx1"/>
                  </w14:solidFill>
                </w14:textFill>
              </w:rPr>
              <w:t>202</w:t>
            </w:r>
            <w:r>
              <w:rPr>
                <w:rFonts w:hint="eastAsia" w:ascii="宋体" w:hAnsi="宋体" w:cs="宋体"/>
                <w:b/>
                <w:snapToGrid w:val="0"/>
                <w:color w:val="000000" w:themeColor="text1"/>
                <w:kern w:val="28"/>
                <w:sz w:val="24"/>
                <w:lang w:val="en-US" w:eastAsia="zh-CN"/>
                <w14:textFill>
                  <w14:solidFill>
                    <w14:schemeClr w14:val="tx1"/>
                  </w14:solidFill>
                </w14:textFill>
              </w:rPr>
              <w:t>5</w:t>
            </w:r>
            <w:r>
              <w:rPr>
                <w:rFonts w:hint="eastAsia" w:ascii="宋体" w:hAnsi="宋体" w:cs="宋体"/>
                <w:b/>
                <w:snapToGrid w:val="0"/>
                <w:color w:val="000000" w:themeColor="text1"/>
                <w:kern w:val="28"/>
                <w:sz w:val="24"/>
                <w14:textFill>
                  <w14:solidFill>
                    <w14:schemeClr w14:val="tx1"/>
                  </w14:solidFill>
                </w14:textFill>
              </w:rPr>
              <w:t>年</w:t>
            </w:r>
            <w:r>
              <w:rPr>
                <w:rFonts w:hint="eastAsia" w:ascii="宋体" w:hAnsi="宋体" w:cs="宋体"/>
                <w:b/>
                <w:snapToGrid w:val="0"/>
                <w:color w:val="000000" w:themeColor="text1"/>
                <w:kern w:val="28"/>
                <w:sz w:val="24"/>
                <w:lang w:val="en-US" w:eastAsia="zh-CN"/>
                <w14:textFill>
                  <w14:solidFill>
                    <w14:schemeClr w14:val="tx1"/>
                  </w14:solidFill>
                </w14:textFill>
              </w:rPr>
              <w:t>1</w:t>
            </w:r>
            <w:r>
              <w:rPr>
                <w:rFonts w:hint="eastAsia" w:ascii="宋体" w:hAnsi="宋体" w:cs="宋体"/>
                <w:b/>
                <w:snapToGrid w:val="0"/>
                <w:color w:val="000000" w:themeColor="text1"/>
                <w:kern w:val="28"/>
                <w:sz w:val="24"/>
                <w14:textFill>
                  <w14:solidFill>
                    <w14:schemeClr w14:val="tx1"/>
                  </w14:solidFill>
                </w14:textFill>
              </w:rPr>
              <w:t>月</w:t>
            </w:r>
            <w:r>
              <w:rPr>
                <w:rFonts w:hint="eastAsia" w:ascii="宋体" w:hAnsi="宋体" w:cs="宋体"/>
                <w:b/>
                <w:snapToGrid w:val="0"/>
                <w:color w:val="000000" w:themeColor="text1"/>
                <w:kern w:val="28"/>
                <w:sz w:val="24"/>
                <w:lang w:val="en-US" w:eastAsia="zh-CN"/>
                <w14:textFill>
                  <w14:solidFill>
                    <w14:schemeClr w14:val="tx1"/>
                  </w14:solidFill>
                </w14:textFill>
              </w:rPr>
              <w:t>14</w:t>
            </w:r>
            <w:r>
              <w:rPr>
                <w:rFonts w:hint="eastAsia" w:ascii="宋体" w:hAnsi="宋体" w:cs="宋体"/>
                <w:b/>
                <w:snapToGrid w:val="0"/>
                <w:color w:val="000000" w:themeColor="text1"/>
                <w:kern w:val="28"/>
                <w:sz w:val="24"/>
                <w14:textFill>
                  <w14:solidFill>
                    <w14:schemeClr w14:val="tx1"/>
                  </w14:solidFill>
                </w14:textFill>
              </w:rPr>
              <w:t>日9:00至202</w:t>
            </w:r>
            <w:r>
              <w:rPr>
                <w:rFonts w:hint="eastAsia" w:ascii="宋体" w:hAnsi="宋体" w:cs="宋体"/>
                <w:b/>
                <w:snapToGrid w:val="0"/>
                <w:color w:val="000000" w:themeColor="text1"/>
                <w:kern w:val="28"/>
                <w:sz w:val="24"/>
                <w:lang w:val="en-US" w:eastAsia="zh-CN"/>
                <w14:textFill>
                  <w14:solidFill>
                    <w14:schemeClr w14:val="tx1"/>
                  </w14:solidFill>
                </w14:textFill>
              </w:rPr>
              <w:t>5</w:t>
            </w:r>
            <w:r>
              <w:rPr>
                <w:rFonts w:hint="eastAsia" w:ascii="宋体" w:hAnsi="宋体" w:cs="宋体"/>
                <w:b/>
                <w:snapToGrid w:val="0"/>
                <w:color w:val="000000" w:themeColor="text1"/>
                <w:kern w:val="28"/>
                <w:sz w:val="24"/>
                <w14:textFill>
                  <w14:solidFill>
                    <w14:schemeClr w14:val="tx1"/>
                  </w14:solidFill>
                </w14:textFill>
              </w:rPr>
              <w:t>年</w:t>
            </w:r>
            <w:r>
              <w:rPr>
                <w:rFonts w:hint="eastAsia" w:ascii="宋体" w:hAnsi="宋体" w:cs="宋体"/>
                <w:b/>
                <w:snapToGrid w:val="0"/>
                <w:color w:val="000000" w:themeColor="text1"/>
                <w:kern w:val="28"/>
                <w:sz w:val="24"/>
                <w:lang w:val="en-US" w:eastAsia="zh-CN"/>
                <w14:textFill>
                  <w14:solidFill>
                    <w14:schemeClr w14:val="tx1"/>
                  </w14:solidFill>
                </w14:textFill>
              </w:rPr>
              <w:t>1</w:t>
            </w:r>
            <w:r>
              <w:rPr>
                <w:rFonts w:hint="eastAsia" w:ascii="宋体" w:hAnsi="宋体" w:cs="宋体"/>
                <w:b/>
                <w:snapToGrid w:val="0"/>
                <w:color w:val="000000" w:themeColor="text1"/>
                <w:kern w:val="28"/>
                <w:sz w:val="24"/>
                <w14:textFill>
                  <w14:solidFill>
                    <w14:schemeClr w14:val="tx1"/>
                  </w14:solidFill>
                </w14:textFill>
              </w:rPr>
              <w:t xml:space="preserve">月 </w:t>
            </w:r>
            <w:r>
              <w:rPr>
                <w:rFonts w:hint="eastAsia" w:ascii="宋体" w:hAnsi="宋体" w:cs="宋体"/>
                <w:b/>
                <w:snapToGrid w:val="0"/>
                <w:color w:val="000000" w:themeColor="text1"/>
                <w:kern w:val="28"/>
                <w:sz w:val="24"/>
                <w:lang w:val="en-US" w:eastAsia="zh-CN"/>
                <w14:textFill>
                  <w14:solidFill>
                    <w14:schemeClr w14:val="tx1"/>
                  </w14:solidFill>
                </w14:textFill>
              </w:rPr>
              <w:t>14</w:t>
            </w:r>
            <w:bookmarkStart w:id="555" w:name="_GoBack"/>
            <w:bookmarkEnd w:id="555"/>
            <w:r>
              <w:rPr>
                <w:rFonts w:hint="eastAsia" w:ascii="宋体" w:hAnsi="宋体" w:cs="宋体"/>
                <w:b/>
                <w:snapToGrid w:val="0"/>
                <w:color w:val="000000" w:themeColor="text1"/>
                <w:kern w:val="28"/>
                <w:sz w:val="24"/>
                <w14:textFill>
                  <w14:solidFill>
                    <w14:schemeClr w14:val="tx1"/>
                  </w14:solidFill>
                </w14:textFill>
              </w:rPr>
              <w:t>日09:30</w:t>
            </w:r>
            <w:r>
              <w:rPr>
                <w:rFonts w:hint="eastAsia" w:ascii="宋体" w:hAnsi="宋体" w:cs="宋体"/>
                <w:color w:val="000000" w:themeColor="text1"/>
                <w:kern w:val="0"/>
                <w:sz w:val="24"/>
                <w14:textFill>
                  <w14:solidFill>
                    <w14:schemeClr w14:val="tx1"/>
                  </w14:solidFill>
                </w14:textFill>
              </w:rPr>
              <w:t>；地点：</w:t>
            </w:r>
            <w:r>
              <w:rPr>
                <w:rFonts w:hint="eastAsia" w:ascii="宋体" w:hAnsi="宋体" w:cs="宋体"/>
                <w:b/>
                <w:snapToGrid w:val="0"/>
                <w:color w:val="000000" w:themeColor="text1"/>
                <w:kern w:val="28"/>
                <w:sz w:val="24"/>
                <w14:textFill>
                  <w14:solidFill>
                    <w14:schemeClr w14:val="tx1"/>
                  </w14:solidFill>
                </w14:textFill>
              </w:rPr>
              <w:t>浙江省杭州市萧山区北干街道山阴路869号绿创中心1302室</w:t>
            </w:r>
            <w:r>
              <w:rPr>
                <w:rFonts w:hint="eastAsia" w:ascii="宋体" w:hAnsi="宋体" w:cs="宋体"/>
                <w:color w:val="000000" w:themeColor="text1"/>
                <w:kern w:val="0"/>
                <w:sz w:val="24"/>
                <w14:textFill>
                  <w14:solidFill>
                    <w14:schemeClr w14:val="tx1"/>
                  </w14:solidFill>
                </w14:textFill>
              </w:rPr>
              <w:t>；联系人</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赵妮</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样品递交人须提供投标</w:t>
            </w:r>
            <w:r>
              <w:rPr>
                <w:rFonts w:hint="eastAsia" w:ascii="宋体" w:hAnsi="宋体" w:cs="宋体"/>
                <w:color w:val="000000" w:themeColor="text1"/>
                <w:sz w:val="24"/>
                <w14:textFill>
                  <w14:solidFill>
                    <w14:schemeClr w14:val="tx1"/>
                  </w14:solidFill>
                </w14:textFill>
              </w:rPr>
              <w:t>人</w:t>
            </w:r>
            <w:r>
              <w:rPr>
                <w:rFonts w:hint="eastAsia" w:ascii="宋体" w:hAnsi="宋体" w:cs="宋体"/>
                <w:color w:val="000000" w:themeColor="text1"/>
                <w:sz w:val="24"/>
                <w:lang w:val="zh-CN"/>
                <w14:textFill>
                  <w14:solidFill>
                    <w14:schemeClr w14:val="tx1"/>
                  </w14:solidFill>
                </w14:textFill>
              </w:rPr>
              <w:t>的授权书（见附件5，法人代表请携带身份证及营业执照复印件）身份证。</w:t>
            </w:r>
            <w:r>
              <w:rPr>
                <w:rFonts w:hint="eastAsia" w:ascii="宋体" w:hAnsi="宋体" w:cs="宋体"/>
                <w:color w:val="000000" w:themeColor="text1"/>
                <w:sz w:val="24"/>
                <w14:textFill>
                  <w14:solidFill>
                    <w14:schemeClr w14:val="tx1"/>
                  </w14:solidFill>
                </w14:textFill>
              </w:rPr>
              <w:t>请投标人在上述时间内提供样品。超过截止时间的，采购人或采购代理机构将不予接收，并将清场并封闭样品现场。</w:t>
            </w:r>
          </w:p>
          <w:p w14:paraId="31F0C9F0">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8D7A875">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（7）制作、运输、安装和保管样品所发生的一切费用由投标人自理。</w:t>
            </w:r>
          </w:p>
        </w:tc>
      </w:tr>
      <w:tr w14:paraId="5F8E0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4733C3">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1F3F75">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2BF9F3E">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4670"/>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7087527D">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p>
          <w:p w14:paraId="7F465B2C">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（1）在评标时安排每个投标人进行方案讲解演示。每个投标人时间不超过20分钟，讲解次序以投标文件解密时间先后次序为准，讲解演示人员不超过3人。讲解演示结束后按要求解答评标委员会提问。</w:t>
            </w:r>
          </w:p>
          <w:p w14:paraId="268F4C9D">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（2）方案讲解演示方式：交易中心现场讲解演示。</w:t>
            </w:r>
          </w:p>
          <w:p w14:paraId="4FDFF48B">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现场讲解地点为</w:t>
            </w:r>
            <w:r>
              <w:rPr>
                <w:rFonts w:hint="eastAsia" w:ascii="宋体" w:hAnsi="宋体" w:cs="宋体"/>
                <w:color w:val="000000" w:themeColor="text1"/>
                <w:sz w:val="24"/>
                <w:u w:val="single"/>
                <w14:textFill>
                  <w14:solidFill>
                    <w14:schemeClr w14:val="tx1"/>
                  </w14:solidFill>
                </w14:textFill>
              </w:rPr>
              <w:t>杭州市公共资源交易中心萧山分中心4楼415室</w:t>
            </w:r>
            <w:r>
              <w:rPr>
                <w:rFonts w:hint="eastAsia" w:ascii="宋体" w:hAnsi="宋体" w:cs="宋体"/>
                <w:color w:val="000000" w:themeColor="text1"/>
                <w:kern w:val="0"/>
                <w:sz w:val="24"/>
                <w14:textFill>
                  <w14:solidFill>
                    <w14:schemeClr w14:val="tx1"/>
                  </w14:solidFill>
                </w14:textFill>
              </w:rPr>
              <w:t>，讲解演示所用电脑等设备由投标人自备。现场讲解演示人员须提供</w:t>
            </w:r>
            <w:r>
              <w:rPr>
                <w:rFonts w:hint="eastAsia" w:ascii="宋体" w:hAnsi="宋体" w:cs="宋体"/>
                <w:color w:val="000000" w:themeColor="text1"/>
                <w:kern w:val="0"/>
                <w:sz w:val="24"/>
                <w:u w:val="single"/>
                <w14:textFill>
                  <w14:solidFill>
                    <w14:schemeClr w14:val="tx1"/>
                  </w14:solidFill>
                </w14:textFill>
              </w:rPr>
              <w:t>投标人的授权书（见附件格式，法人代表请携带身份证复件及营业执照复印件）、身份证</w:t>
            </w:r>
            <w:r>
              <w:rPr>
                <w:rFonts w:hint="eastAsia" w:ascii="宋体" w:hAnsi="宋体" w:cs="宋体"/>
                <w:color w:val="000000" w:themeColor="text1"/>
                <w:kern w:val="0"/>
                <w:sz w:val="24"/>
                <w14:textFill>
                  <w14:solidFill>
                    <w14:schemeClr w14:val="tx1"/>
                  </w14:solidFill>
                </w14:textFill>
              </w:rPr>
              <w:t>，否则不得讲解演示。讲解签到时间为</w:t>
            </w:r>
            <w:r>
              <w:rPr>
                <w:rFonts w:hint="eastAsia" w:ascii="宋体" w:hAnsi="宋体" w:cs="宋体"/>
                <w:color w:val="000000" w:themeColor="text1"/>
                <w:kern w:val="0"/>
                <w:sz w:val="24"/>
                <w:u w:val="single"/>
                <w14:textFill>
                  <w14:solidFill>
                    <w14:schemeClr w14:val="tx1"/>
                  </w14:solidFill>
                </w14:textFill>
              </w:rPr>
              <w:t>开标当天8:30-9:00</w:t>
            </w:r>
            <w:r>
              <w:rPr>
                <w:rFonts w:hint="eastAsia" w:ascii="宋体" w:hAnsi="宋体" w:cs="宋体"/>
                <w:color w:val="000000" w:themeColor="text1"/>
                <w:kern w:val="0"/>
                <w:sz w:val="24"/>
                <w14:textFill>
                  <w14:solidFill>
                    <w14:schemeClr w14:val="tx1"/>
                  </w14:solidFill>
                </w14:textFill>
              </w:rPr>
              <w:t>。</w:t>
            </w:r>
          </w:p>
          <w:p w14:paraId="2F33DBE8">
            <w:pPr>
              <w:snapToGrid w:val="0"/>
              <w:spacing w:line="360" w:lineRule="auto"/>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7F120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C8378D7">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237B4F1D">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146C96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（1）资格证明文件：见招标文件第二部分11.1。</w:t>
            </w:r>
          </w:p>
          <w:p w14:paraId="1BFD94F2">
            <w:pPr>
              <w:spacing w:line="360" w:lineRule="auto"/>
              <w:rPr>
                <w:rFonts w:ascii="宋体" w:hAnsi="宋体" w:cs="宋体"/>
                <w:snapToGrid w:val="0"/>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14:paraId="212565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EF647E3">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3884DE9B">
            <w:pPr>
              <w:snapToGrid w:val="0"/>
              <w:spacing w:line="360" w:lineRule="auto"/>
              <w:jc w:val="center"/>
              <w:rPr>
                <w:rFonts w:ascii="宋体" w:hAnsi="宋体" w:cs="宋体"/>
                <w:b/>
                <w:color w:val="000000" w:themeColor="text1"/>
                <w:sz w:val="24"/>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F14582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（2）资信证明文件：根据招标文件第四部分评标标准提供。</w:t>
            </w:r>
          </w:p>
        </w:tc>
      </w:tr>
      <w:tr w14:paraId="06257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1A23A0">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3FBC909">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9E5463D">
            <w:pPr>
              <w:spacing w:line="360" w:lineRule="auto"/>
              <w:rPr>
                <w:rFonts w:ascii="宋体" w:hAnsi="宋体" w:cs="宋体"/>
                <w:color w:val="000000" w:themeColor="text1"/>
                <w:kern w:val="0"/>
                <w:sz w:val="24"/>
                <w:lang w:val="zh-CN"/>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86232013"/>
                <w14:checkbox>
                  <w14:checked w14:val="0"/>
                  <w14:checkedState w14:val="00FE" w14:font="Wingdings"/>
                  <w14:uncheckedState w14:val="2610" w14:font="MS Gothic"/>
                </w14:checkbox>
              </w:sdtPr>
              <w:sdtEndPr>
                <w:rPr>
                  <w:rFonts w:hint="eastAsia" w:ascii="宋体" w:hAnsi="宋体" w:cs="宋体"/>
                  <w:color w:val="000000" w:themeColor="text1"/>
                  <w:kern w:val="0"/>
                  <w:sz w:val="24"/>
                  <w:lang w:val="zh-CN"/>
                  <w14:textFill>
                    <w14:solidFill>
                      <w14:schemeClr w14:val="tx1"/>
                    </w14:solidFill>
                  </w14:textFill>
                </w:rPr>
              </w:sdtEndPr>
              <w:sdtContent>
                <w:r>
                  <w:rPr>
                    <w:rFonts w:hint="eastAsia" w:ascii="MS Gothic" w:hAnsi="MS Gothic" w:cs="宋体"/>
                    <w:color w:val="000000" w:themeColor="text1"/>
                    <w:kern w:val="0"/>
                    <w:sz w:val="24"/>
                    <w:lang w:val="zh-CN"/>
                    <w14:textFill>
                      <w14:solidFill>
                        <w14:schemeClr w14:val="tx1"/>
                      </w14:solidFill>
                    </w14:textFill>
                  </w:rPr>
                  <w:t>☐</w:t>
                </w:r>
              </w:sdtContent>
            </w:sdt>
            <w:r>
              <w:rPr>
                <w:rFonts w:hint="eastAsia" w:ascii="宋体" w:hAnsi="宋体" w:cs="宋体"/>
                <w:color w:val="000000" w:themeColor="text1"/>
                <w:kern w:val="0"/>
                <w:sz w:val="24"/>
                <w:lang w:val="zh-CN"/>
                <w14:textFill>
                  <w14:solidFill>
                    <w14:schemeClr w14:val="tx1"/>
                  </w14:solidFill>
                </w14:textFill>
              </w:rPr>
              <w:t>依据国家确定的认证机构出具的、处于有效期之内的节能产品认证证书，对获得证书的产品实施政府优先采购或强制采购；其中，对</w:t>
            </w:r>
            <w:r>
              <w:rPr>
                <w:rFonts w:hint="eastAsia" w:ascii="宋体" w:hAnsi="宋体" w:cs="宋体"/>
                <w:b/>
                <w:bCs/>
                <w:color w:val="000000" w:themeColor="text1"/>
                <w:kern w:val="0"/>
                <w:sz w:val="24"/>
                <w:u w:val="single"/>
                <w:shd w:val="pct10" w:color="auto" w:fill="FFFFFF"/>
                <w:lang w:val="zh-CN"/>
                <w14:textFill>
                  <w14:solidFill>
                    <w14:schemeClr w14:val="tx1"/>
                  </w14:solidFill>
                </w14:textFill>
              </w:rPr>
              <w:t>产品名称XXX</w:t>
            </w:r>
            <w:r>
              <w:rPr>
                <w:rFonts w:hint="eastAsia" w:ascii="宋体" w:hAnsi="宋体" w:cs="宋体"/>
                <w:color w:val="000000" w:themeColor="text1"/>
                <w:kern w:val="0"/>
                <w:sz w:val="24"/>
                <w:lang w:val="zh-CN"/>
                <w14:textFill>
                  <w14:solidFill>
                    <w14:schemeClr w14:val="tx1"/>
                  </w14:solidFill>
                </w14:textFill>
              </w:rPr>
              <w:t>实施政府优先采购，</w:t>
            </w:r>
            <w:r>
              <w:rPr>
                <w:rFonts w:hint="eastAsia" w:ascii="宋体" w:hAnsi="宋体" w:cs="宋体"/>
                <w:color w:val="000000" w:themeColor="text1"/>
                <w:kern w:val="0"/>
                <w:sz w:val="24"/>
                <w14:textFill>
                  <w14:solidFill>
                    <w14:schemeClr w14:val="tx1"/>
                  </w14:solidFill>
                </w14:textFill>
              </w:rPr>
              <w:t>详</w:t>
            </w:r>
            <w:r>
              <w:rPr>
                <w:rFonts w:hint="eastAsia" w:ascii="宋体" w:hAnsi="宋体" w:cs="宋体"/>
                <w:color w:val="000000" w:themeColor="text1"/>
                <w:kern w:val="0"/>
                <w:sz w:val="24"/>
                <w:lang w:val="zh-CN"/>
                <w14:textFill>
                  <w14:solidFill>
                    <w14:schemeClr w14:val="tx1"/>
                  </w14:solidFill>
                </w14:textFill>
              </w:rPr>
              <w:t>见</w:t>
            </w:r>
            <w:r>
              <w:rPr>
                <w:rFonts w:hint="eastAsia" w:ascii="宋体" w:hAnsi="宋体" w:cs="宋体"/>
                <w:color w:val="000000" w:themeColor="text1"/>
                <w:kern w:val="0"/>
                <w:sz w:val="24"/>
                <w:u w:val="single"/>
                <w:lang w:val="zh-CN"/>
                <w14:textFill>
                  <w14:solidFill>
                    <w14:schemeClr w14:val="tx1"/>
                  </w14:solidFill>
                </w14:textFill>
              </w:rPr>
              <w:t>评分标准</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对</w:t>
            </w:r>
            <w:r>
              <w:rPr>
                <w:rFonts w:hint="eastAsia" w:ascii="宋体" w:hAnsi="宋体" w:cs="宋体"/>
                <w:b/>
                <w:bCs/>
                <w:color w:val="000000" w:themeColor="text1"/>
                <w:kern w:val="0"/>
                <w:sz w:val="24"/>
                <w:u w:val="single"/>
                <w:shd w:val="pct10" w:color="auto" w:fill="FFFFFF"/>
                <w:lang w:val="zh-CN"/>
                <w14:textFill>
                  <w14:solidFill>
                    <w14:schemeClr w14:val="tx1"/>
                  </w14:solidFill>
                </w14:textFill>
              </w:rPr>
              <w:t>产品名称XXX</w:t>
            </w:r>
            <w:r>
              <w:rPr>
                <w:rFonts w:hint="eastAsia" w:ascii="宋体" w:hAnsi="宋体" w:cs="宋体"/>
                <w:color w:val="000000" w:themeColor="text1"/>
                <w:kern w:val="0"/>
                <w:sz w:val="24"/>
                <w:lang w:val="zh-CN"/>
                <w14:textFill>
                  <w14:solidFill>
                    <w14:schemeClr w14:val="tx1"/>
                  </w14:solidFill>
                </w14:textFill>
              </w:rPr>
              <w:t>实施政府强制采购，</w:t>
            </w:r>
            <w:r>
              <w:rPr>
                <w:rFonts w:hint="eastAsia" w:ascii="宋体" w:hAnsi="宋体" w:cs="宋体"/>
                <w:b/>
                <w:bCs/>
                <w:color w:val="000000" w:themeColor="text1"/>
                <w:kern w:val="0"/>
                <w:sz w:val="24"/>
                <w:lang w:val="zh-CN"/>
                <w14:textFill>
                  <w14:solidFill>
                    <w14:schemeClr w14:val="tx1"/>
                  </w14:solidFill>
                </w14:textFill>
              </w:rPr>
              <w:t>投标人</w:t>
            </w:r>
            <w:r>
              <w:rPr>
                <w:rFonts w:hint="eastAsia" w:ascii="宋体" w:hAnsi="宋体" w:cs="宋体"/>
                <w:b/>
                <w:bCs/>
                <w:color w:val="000000" w:themeColor="text1"/>
                <w:kern w:val="0"/>
                <w:sz w:val="24"/>
                <w14:textFill>
                  <w14:solidFill>
                    <w14:schemeClr w14:val="tx1"/>
                  </w14:solidFill>
                </w14:textFill>
              </w:rPr>
              <w:t>就</w:t>
            </w:r>
            <w:r>
              <w:rPr>
                <w:rFonts w:hint="eastAsia" w:ascii="宋体" w:hAnsi="宋体" w:cs="宋体"/>
                <w:b/>
                <w:bCs/>
                <w:color w:val="000000" w:themeColor="text1"/>
                <w:kern w:val="0"/>
                <w:sz w:val="24"/>
                <w:lang w:val="zh-CN"/>
                <w14:textFill>
                  <w14:solidFill>
                    <w14:schemeClr w14:val="tx1"/>
                  </w14:solidFill>
                </w14:textFill>
              </w:rPr>
              <w:t>相应的投标产品未</w:t>
            </w:r>
            <w:r>
              <w:rPr>
                <w:rFonts w:hint="eastAsia" w:ascii="宋体" w:hAnsi="宋体" w:cs="宋体"/>
                <w:b/>
                <w:bCs/>
                <w:color w:val="000000" w:themeColor="text1"/>
                <w:kern w:val="0"/>
                <w:sz w:val="24"/>
                <w14:textFill>
                  <w14:solidFill>
                    <w14:schemeClr w14:val="tx1"/>
                  </w14:solidFill>
                </w14:textFill>
              </w:rPr>
              <w:t>提供</w:t>
            </w:r>
            <w:r>
              <w:rPr>
                <w:rFonts w:hint="eastAsia" w:ascii="宋体" w:hAnsi="宋体" w:cs="宋体"/>
                <w:b/>
                <w:bCs/>
                <w:color w:val="000000" w:themeColor="text1"/>
                <w:kern w:val="0"/>
                <w:sz w:val="24"/>
                <w:lang w:val="zh-CN"/>
                <w14:textFill>
                  <w14:solidFill>
                    <w14:schemeClr w14:val="tx1"/>
                  </w14:solidFill>
                </w14:textFill>
              </w:rPr>
              <w:t>国家确定的认证机构出具的、处于有效期之内的节能产品认证证书的，投标无效</w:t>
            </w:r>
            <w:r>
              <w:rPr>
                <w:rFonts w:hint="eastAsia" w:ascii="宋体" w:hAnsi="宋体" w:cs="宋体"/>
                <w:color w:val="000000" w:themeColor="text1"/>
                <w:kern w:val="0"/>
                <w:sz w:val="24"/>
                <w:lang w:val="zh-CN"/>
                <w14:textFill>
                  <w14:solidFill>
                    <w14:schemeClr w14:val="tx1"/>
                  </w14:solidFill>
                </w14:textFill>
              </w:rPr>
              <w:t>。</w:t>
            </w:r>
          </w:p>
          <w:p w14:paraId="35262463">
            <w:pPr>
              <w:spacing w:line="360" w:lineRule="auto"/>
              <w:rPr>
                <w:rFonts w:ascii="宋体" w:hAnsi="宋体" w:cs="宋体"/>
                <w:color w:val="000000" w:themeColor="text1"/>
                <w:kern w:val="0"/>
                <w:sz w:val="24"/>
                <w:lang w:val="zh-CN"/>
                <w14:textFill>
                  <w14:solidFill>
                    <w14:schemeClr w14:val="tx1"/>
                  </w14:solidFill>
                </w14:textFill>
              </w:rPr>
            </w:pPr>
            <w:sdt>
              <w:sdtPr>
                <w:rPr>
                  <w:rFonts w:hint="eastAsia" w:ascii="宋体" w:hAnsi="宋体" w:cs="宋体"/>
                  <w:color w:val="000000" w:themeColor="text1"/>
                  <w:kern w:val="0"/>
                  <w:sz w:val="24"/>
                  <w:lang w:val="zh-CN"/>
                  <w14:textFill>
                    <w14:solidFill>
                      <w14:schemeClr w14:val="tx1"/>
                    </w14:solidFill>
                  </w14:textFill>
                </w:rPr>
                <w:id w:val="93515011"/>
                <w14:checkbox>
                  <w14:checked w14:val="0"/>
                  <w14:checkedState w14:val="00FE" w14:font="Wingdings"/>
                  <w14:uncheckedState w14:val="2610" w14:font="MS Gothic"/>
                </w14:checkbox>
              </w:sdtPr>
              <w:sdtEndPr>
                <w:rPr>
                  <w:rFonts w:hint="eastAsia" w:ascii="宋体" w:hAnsi="宋体" w:cs="宋体"/>
                  <w:color w:val="000000" w:themeColor="text1"/>
                  <w:kern w:val="0"/>
                  <w:sz w:val="24"/>
                  <w:lang w:val="zh-CN"/>
                  <w14:textFill>
                    <w14:solidFill>
                      <w14:schemeClr w14:val="tx1"/>
                    </w14:solidFill>
                  </w14:textFill>
                </w:rPr>
              </w:sdtEndPr>
              <w:sdtContent>
                <w:r>
                  <w:rPr>
                    <w:rFonts w:hint="eastAsia" w:ascii="宋体" w:hAnsi="宋体" w:cs="宋体"/>
                    <w:color w:val="000000" w:themeColor="text1"/>
                    <w:kern w:val="0"/>
                    <w:sz w:val="24"/>
                    <w:lang w:val="zh-CN"/>
                    <w14:textFill>
                      <w14:solidFill>
                        <w14:schemeClr w14:val="tx1"/>
                      </w14:solidFill>
                    </w14:textFill>
                  </w:rPr>
                  <w:t>☐</w:t>
                </w:r>
              </w:sdtContent>
            </w:sdt>
            <w:r>
              <w:rPr>
                <w:rFonts w:hint="eastAsia" w:ascii="宋体" w:hAnsi="宋体" w:cs="宋体"/>
                <w:color w:val="000000" w:themeColor="text1"/>
                <w:kern w:val="0"/>
                <w:sz w:val="24"/>
                <w:lang w:val="zh-CN"/>
                <w14:textFill>
                  <w14:solidFill>
                    <w14:schemeClr w14:val="tx1"/>
                  </w14:solidFill>
                </w14:textFill>
              </w:rPr>
              <w:t>依据国家确定的认证机构出具的、处于有效期之内的环境标志产品认证证书，对获得证书的</w:t>
            </w:r>
            <w:r>
              <w:rPr>
                <w:rFonts w:hint="eastAsia" w:ascii="宋体" w:hAnsi="宋体" w:cs="宋体"/>
                <w:b/>
                <w:bCs/>
                <w:color w:val="000000" w:themeColor="text1"/>
                <w:kern w:val="0"/>
                <w:sz w:val="24"/>
                <w:u w:val="single"/>
                <w:shd w:val="pct10" w:color="auto" w:fill="FFFFFF"/>
                <w:lang w:val="zh-CN"/>
                <w14:textFill>
                  <w14:solidFill>
                    <w14:schemeClr w14:val="tx1"/>
                  </w14:solidFill>
                </w14:textFill>
              </w:rPr>
              <w:t>产品名称XXX</w:t>
            </w:r>
            <w:r>
              <w:rPr>
                <w:rFonts w:hint="eastAsia" w:ascii="宋体" w:hAnsi="宋体" w:cs="宋体"/>
                <w:color w:val="000000" w:themeColor="text1"/>
                <w:kern w:val="0"/>
                <w:sz w:val="24"/>
                <w:lang w:val="zh-CN"/>
                <w14:textFill>
                  <w14:solidFill>
                    <w14:schemeClr w14:val="tx1"/>
                  </w14:solidFill>
                </w14:textFill>
              </w:rPr>
              <w:t>实施政府优先采购，</w:t>
            </w:r>
            <w:r>
              <w:rPr>
                <w:rFonts w:hint="eastAsia" w:ascii="宋体" w:hAnsi="宋体" w:cs="宋体"/>
                <w:color w:val="000000" w:themeColor="text1"/>
                <w:kern w:val="0"/>
                <w:sz w:val="24"/>
                <w14:textFill>
                  <w14:solidFill>
                    <w14:schemeClr w14:val="tx1"/>
                  </w14:solidFill>
                </w14:textFill>
              </w:rPr>
              <w:t>详</w:t>
            </w:r>
            <w:r>
              <w:rPr>
                <w:rFonts w:hint="eastAsia" w:ascii="宋体" w:hAnsi="宋体" w:cs="宋体"/>
                <w:color w:val="000000" w:themeColor="text1"/>
                <w:kern w:val="0"/>
                <w:sz w:val="24"/>
                <w:lang w:val="zh-CN"/>
                <w14:textFill>
                  <w14:solidFill>
                    <w14:schemeClr w14:val="tx1"/>
                  </w14:solidFill>
                </w14:textFill>
              </w:rPr>
              <w:t>见</w:t>
            </w:r>
            <w:r>
              <w:rPr>
                <w:rFonts w:hint="eastAsia" w:ascii="宋体" w:hAnsi="宋体" w:cs="宋体"/>
                <w:color w:val="000000" w:themeColor="text1"/>
                <w:kern w:val="0"/>
                <w:sz w:val="24"/>
                <w:u w:val="single"/>
                <w:lang w:val="zh-CN"/>
                <w14:textFill>
                  <w14:solidFill>
                    <w14:schemeClr w14:val="tx1"/>
                  </w14:solidFill>
                </w14:textFill>
              </w:rPr>
              <w:t>评分标准</w:t>
            </w:r>
            <w:r>
              <w:rPr>
                <w:rFonts w:hint="eastAsia" w:ascii="宋体" w:hAnsi="宋体" w:cs="宋体"/>
                <w:color w:val="000000" w:themeColor="text1"/>
                <w:kern w:val="0"/>
                <w:sz w:val="24"/>
                <w:lang w:val="zh-CN"/>
                <w14:textFill>
                  <w14:solidFill>
                    <w14:schemeClr w14:val="tx1"/>
                  </w14:solidFill>
                </w14:textFill>
              </w:rPr>
              <w:t>。</w:t>
            </w:r>
          </w:p>
          <w:p w14:paraId="10E933DB">
            <w:pPr>
              <w:snapToGrid w:val="0"/>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无。</w:t>
            </w:r>
          </w:p>
        </w:tc>
      </w:tr>
      <w:tr w14:paraId="6A0A1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0570427">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641F21A">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D59DB6E">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lang w:val="zh-CN"/>
                <w14:textFill>
                  <w14:solidFill>
                    <w14:schemeClr w14:val="tx1"/>
                  </w14:solidFill>
                </w14:textFill>
              </w:rPr>
              <w:t>投标文件</w:t>
            </w:r>
            <w:r>
              <w:rPr>
                <w:rFonts w:hint="eastAsia" w:ascii="宋体" w:hAnsi="宋体" w:cs="宋体"/>
                <w:b/>
                <w:bCs/>
                <w:color w:val="000000" w:themeColor="text1"/>
                <w:sz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lang w:val="zh-CN"/>
                <w14:textFill>
                  <w14:solidFill>
                    <w14:schemeClr w14:val="tx1"/>
                  </w14:solidFill>
                </w14:textFill>
              </w:rPr>
              <w:t>提醒：验收时检测费用由采购人承担，不包含在投标总价中。</w:t>
            </w:r>
          </w:p>
          <w:p w14:paraId="5524682D">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投标报价出现下列情形的，投标无效：</w:t>
            </w:r>
          </w:p>
          <w:p w14:paraId="08168CD4">
            <w:pPr>
              <w:snapToGrid w:val="0"/>
              <w:spacing w:line="360" w:lineRule="auto"/>
              <w:ind w:firstLine="241" w:firstLineChars="10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投标文件出现不是唯一的、有选择性投标报价的；</w:t>
            </w:r>
          </w:p>
          <w:p w14:paraId="7FB7DE03">
            <w:pPr>
              <w:snapToGrid w:val="0"/>
              <w:spacing w:line="360" w:lineRule="auto"/>
              <w:ind w:firstLine="241"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投标报价超过招标文件中规定的预算金额或者最高限价的;</w:t>
            </w:r>
          </w:p>
          <w:p w14:paraId="444C5141">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14:textFill>
                  <w14:solidFill>
                    <w14:schemeClr w14:val="tx1"/>
                  </w14:solidFill>
                </w14:textFill>
              </w:rPr>
              <w:t>;</w:t>
            </w:r>
          </w:p>
          <w:p w14:paraId="7EC1E3AE">
            <w:pPr>
              <w:spacing w:line="360" w:lineRule="auto"/>
              <w:ind w:firstLine="241" w:firstLineChars="1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投标人对根据修正原则修正后的报价不确认的</w:t>
            </w:r>
            <w:r>
              <w:rPr>
                <w:rFonts w:hint="eastAsia" w:ascii="宋体" w:hAnsi="宋体" w:cs="宋体"/>
                <w:b/>
                <w:color w:val="000000" w:themeColor="text1"/>
                <w:sz w:val="24"/>
                <w14:textFill>
                  <w14:solidFill>
                    <w14:schemeClr w14:val="tx1"/>
                  </w14:solidFill>
                </w14:textFill>
              </w:rPr>
              <w:t>。</w:t>
            </w:r>
          </w:p>
        </w:tc>
      </w:tr>
      <w:tr w14:paraId="50E59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70719E3F">
            <w:pPr>
              <w:snapToGrid w:val="0"/>
              <w:spacing w:line="360" w:lineRule="auto"/>
              <w:jc w:val="center"/>
              <w:rPr>
                <w:rFonts w:ascii="宋体" w:hAnsi="宋体" w:cs="宋体"/>
                <w:color w:val="000000" w:themeColor="text1"/>
                <w:sz w:val="24"/>
                <w14:textFill>
                  <w14:solidFill>
                    <w14:schemeClr w14:val="tx1"/>
                  </w14:solidFill>
                </w14:textFill>
              </w:rPr>
            </w:pPr>
          </w:p>
          <w:p w14:paraId="6E8238DC">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668B183A">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63A622E7">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2A2D5BF9">
            <w:pPr>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w:t>
            </w:r>
            <w:r>
              <w:rPr>
                <w:color w:val="000000" w:themeColor="text1"/>
                <w:sz w:val="24"/>
                <w14:textFill>
                  <w14:solidFill>
                    <w14:schemeClr w14:val="tx1"/>
                  </w14:solidFill>
                </w14:textFill>
              </w:rPr>
              <w:t>支持</w:t>
            </w:r>
            <w:r>
              <w:rPr>
                <w:rFonts w:hint="eastAsia"/>
                <w:color w:val="000000" w:themeColor="text1"/>
                <w:sz w:val="24"/>
                <w14:textFill>
                  <w14:solidFill>
                    <w14:schemeClr w14:val="tx1"/>
                  </w14:solidFill>
                </w14:textFill>
              </w:rPr>
              <w:t>《杭州市萧山区政府采购支持中小企业信用融资暂行办法》。</w:t>
            </w:r>
          </w:p>
          <w:p w14:paraId="6D7F64CF">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有</w:t>
            </w:r>
            <w:r>
              <w:rPr>
                <w:color w:val="000000" w:themeColor="text1"/>
                <w:sz w:val="24"/>
                <w14:textFill>
                  <w14:solidFill>
                    <w14:schemeClr w14:val="tx1"/>
                  </w14:solidFill>
                </w14:textFill>
              </w:rPr>
              <w:t>融资需求的中标供应商可参照相关规定及银行方案</w:t>
            </w:r>
            <w:r>
              <w:rPr>
                <w:rFonts w:hint="eastAsia"/>
                <w:color w:val="000000" w:themeColor="text1"/>
                <w:sz w:val="24"/>
                <w14:textFill>
                  <w14:solidFill>
                    <w14:schemeClr w14:val="tx1"/>
                  </w14:solidFill>
                </w14:textFill>
              </w:rPr>
              <w:t>凭政府采购合同向相关合作银行提出信用融资（贷款）申请。详见</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"http://www.xiaoshan.gov.cn/art/2018/12/20/art_1229293109_1559514.html" </w:instrText>
            </w:r>
            <w:r>
              <w:rPr>
                <w:color w:val="000000" w:themeColor="text1"/>
                <w14:textFill>
                  <w14:solidFill>
                    <w14:schemeClr w14:val="tx1"/>
                  </w14:solidFill>
                </w14:textFill>
              </w:rPr>
              <w:fldChar w:fldCharType="separate"/>
            </w:r>
            <w:r>
              <w:rPr>
                <w:rStyle w:val="76"/>
                <w:rFonts w:ascii="仿宋" w:hAnsi="仿宋" w:eastAsia="仿宋" w:cstheme="majorBidi"/>
                <w:snapToGrid/>
                <w:color w:val="000000" w:themeColor="text1"/>
                <w:sz w:val="24"/>
                <w:szCs w:val="24"/>
                <w14:textFill>
                  <w14:solidFill>
                    <w14:schemeClr w14:val="tx1"/>
                  </w14:solidFill>
                </w14:textFill>
              </w:rPr>
              <w:t>http://www.xiaoshan.gov.cn/art/2018/12/20/art_1229293109_1559514.html</w:t>
            </w:r>
            <w:r>
              <w:rPr>
                <w:rStyle w:val="76"/>
                <w:rFonts w:ascii="仿宋" w:hAnsi="仿宋" w:eastAsia="仿宋" w:cstheme="majorBidi"/>
                <w:snapToGrid/>
                <w:color w:val="000000" w:themeColor="text1"/>
                <w:sz w:val="24"/>
                <w:szCs w:val="24"/>
                <w14:textFill>
                  <w14:solidFill>
                    <w14:schemeClr w14:val="tx1"/>
                  </w14:solidFill>
                </w14:textFill>
              </w:rPr>
              <w:fldChar w:fldCharType="end"/>
            </w:r>
          </w:p>
        </w:tc>
      </w:tr>
      <w:tr w14:paraId="16C97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0D0CAFB">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A641D61">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ED0A668">
            <w:pPr>
              <w:pStyle w:val="32"/>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kern w:val="28"/>
                <w:sz w:val="24"/>
                <w:szCs w:val="24"/>
                <w14:textFill>
                  <w14:solidFill>
                    <w14:schemeClr w14:val="tx1"/>
                  </w14:solidFill>
                </w14:textFill>
              </w:rPr>
              <w:t>本项目备份文件是否收取：不收取</w:t>
            </w:r>
          </w:p>
          <w:p w14:paraId="0A2404B9">
            <w:pPr>
              <w:pStyle w:val="32"/>
              <w:spacing w:line="360" w:lineRule="auto"/>
              <w:rPr>
                <w:rFonts w:hAnsi="宋体" w:cs="宋体"/>
                <w:color w:val="000000" w:themeColor="text1"/>
                <w:kern w:val="28"/>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采购人、采购代理机构不强制或变相强制投标人提交备份投标文件。</w:t>
            </w:r>
          </w:p>
        </w:tc>
      </w:tr>
      <w:tr w14:paraId="58FAA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826E47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6C02137">
            <w:pPr>
              <w:jc w:val="center"/>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13C42990">
            <w:pPr>
              <w:rPr>
                <w:color w:val="000000" w:themeColor="text1"/>
                <w:sz w:val="24"/>
                <w14:textFill>
                  <w14:solidFill>
                    <w14:schemeClr w14:val="tx1"/>
                  </w14:solidFill>
                </w14:textFill>
              </w:rPr>
            </w:pPr>
            <w:r>
              <w:rPr>
                <w:rFonts w:hint="eastAsia" w:cs="仿宋_GB2312"/>
                <w:color w:val="000000" w:themeColor="text1"/>
                <w:sz w:val="24"/>
                <w14:textFill>
                  <w14:solidFill>
                    <w14:schemeClr w14:val="tx1"/>
                  </w14:solidFill>
                </w14:textFill>
              </w:rPr>
              <w:t>本项目采购代理费由该标项成交人支付，招标代理费按计价格[2002]1980号文件</w:t>
            </w:r>
            <w:r>
              <w:rPr>
                <w:rFonts w:hint="eastAsia" w:cs="仿宋_GB2312"/>
                <w:color w:val="000000" w:themeColor="text1"/>
                <w:sz w:val="24"/>
                <w:lang w:val="en-US" w:eastAsia="zh-CN"/>
                <w14:textFill>
                  <w14:solidFill>
                    <w14:schemeClr w14:val="tx1"/>
                  </w14:solidFill>
                </w14:textFill>
              </w:rPr>
              <w:t>的80%</w:t>
            </w:r>
            <w:r>
              <w:rPr>
                <w:rFonts w:hint="eastAsia" w:cs="仿宋_GB2312"/>
                <w:color w:val="000000" w:themeColor="text1"/>
                <w:sz w:val="24"/>
                <w14:textFill>
                  <w14:solidFill>
                    <w14:schemeClr w14:val="tx1"/>
                  </w14:solidFill>
                </w14:textFill>
              </w:rPr>
              <w:t>计取。</w:t>
            </w:r>
          </w:p>
        </w:tc>
      </w:tr>
      <w:tr w14:paraId="4C247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23D1F2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2205A02">
            <w:pPr>
              <w:jc w:val="center"/>
              <w:rPr>
                <w:color w:val="000000" w:themeColor="text1"/>
                <w:sz w:val="24"/>
                <w14:textFill>
                  <w14:solidFill>
                    <w14:schemeClr w14:val="tx1"/>
                  </w14:solidFill>
                </w14:textFill>
              </w:rPr>
            </w:pPr>
            <w:r>
              <w:rPr>
                <w:rFonts w:hint="eastAsia" w:cs="仿宋"/>
                <w:b/>
                <w:color w:val="000000" w:themeColor="text1"/>
                <w:sz w:val="24"/>
                <w14:textFill>
                  <w14:solidFill>
                    <w14:schemeClr w14:val="tx1"/>
                  </w14:solidFill>
                </w14:textFill>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405F8EB5">
            <w:pPr>
              <w:rPr>
                <w:color w:val="000000" w:themeColor="text1"/>
                <w:sz w:val="24"/>
                <w14:textFill>
                  <w14:solidFill>
                    <w14:schemeClr w14:val="tx1"/>
                  </w14:solidFill>
                </w14:textFill>
              </w:rPr>
            </w:pPr>
            <w:r>
              <w:rPr>
                <w:rFonts w:hint="eastAsia" w:cs="仿宋_GB2312"/>
                <w:color w:val="000000" w:themeColor="text1"/>
                <w:sz w:val="24"/>
                <w14:textFill>
                  <w14:solidFill>
                    <w14:schemeClr w14:val="tx1"/>
                  </w14:solidFill>
                </w14:textFill>
              </w:rPr>
              <w:t>本项目</w:t>
            </w:r>
            <w:r>
              <w:rPr>
                <w:rFonts w:cs="仿宋_GB2312"/>
                <w:color w:val="000000" w:themeColor="text1"/>
                <w:sz w:val="24"/>
                <w14:textFill>
                  <w14:solidFill>
                    <w14:schemeClr w14:val="tx1"/>
                  </w14:solidFill>
                </w14:textFill>
              </w:rPr>
              <w:t>由采购人</w:t>
            </w:r>
            <w:r>
              <w:rPr>
                <w:rFonts w:hint="eastAsia" w:cs="仿宋_GB2312"/>
                <w:color w:val="000000" w:themeColor="text1"/>
                <w:sz w:val="24"/>
                <w14:textFill>
                  <w14:solidFill>
                    <w14:schemeClr w14:val="tx1"/>
                  </w14:solidFill>
                </w14:textFill>
              </w:rPr>
              <w:t>进行</w:t>
            </w:r>
            <w:r>
              <w:rPr>
                <w:rFonts w:cs="仿宋_GB2312"/>
                <w:color w:val="000000" w:themeColor="text1"/>
                <w:sz w:val="24"/>
                <w14:textFill>
                  <w14:solidFill>
                    <w14:schemeClr w14:val="tx1"/>
                  </w14:solidFill>
                </w14:textFill>
              </w:rPr>
              <w:t>资格文件</w:t>
            </w:r>
            <w:r>
              <w:rPr>
                <w:rFonts w:hint="eastAsia" w:cs="仿宋_GB2312"/>
                <w:color w:val="000000" w:themeColor="text1"/>
                <w:sz w:val="24"/>
                <w14:textFill>
                  <w14:solidFill>
                    <w14:schemeClr w14:val="tx1"/>
                  </w14:solidFill>
                </w14:textFill>
              </w:rPr>
              <w:t>及</w:t>
            </w:r>
            <w:r>
              <w:rPr>
                <w:rFonts w:cs="仿宋_GB2312"/>
                <w:color w:val="000000" w:themeColor="text1"/>
                <w:sz w:val="24"/>
                <w14:textFill>
                  <w14:solidFill>
                    <w14:schemeClr w14:val="tx1"/>
                  </w14:solidFill>
                </w14:textFill>
              </w:rPr>
              <w:t>信用信息</w:t>
            </w:r>
            <w:r>
              <w:rPr>
                <w:rFonts w:hint="eastAsia" w:cs="仿宋_GB2312"/>
                <w:color w:val="000000" w:themeColor="text1"/>
                <w:sz w:val="24"/>
                <w14:textFill>
                  <w14:solidFill>
                    <w14:schemeClr w14:val="tx1"/>
                  </w14:solidFill>
                </w14:textFill>
              </w:rPr>
              <w:t>查询</w:t>
            </w:r>
            <w:r>
              <w:rPr>
                <w:rFonts w:cs="仿宋_GB2312"/>
                <w:color w:val="000000" w:themeColor="text1"/>
                <w:sz w:val="24"/>
                <w14:textFill>
                  <w14:solidFill>
                    <w14:schemeClr w14:val="tx1"/>
                  </w14:solidFill>
                </w14:textFill>
              </w:rPr>
              <w:t>。</w:t>
            </w:r>
          </w:p>
        </w:tc>
      </w:tr>
      <w:tr w14:paraId="30133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7B7172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0027A255">
            <w:pPr>
              <w:jc w:val="center"/>
              <w:rPr>
                <w:rFonts w:cs="仿宋"/>
                <w:b/>
                <w:color w:val="000000" w:themeColor="text1"/>
                <w:sz w:val="24"/>
                <w14:textFill>
                  <w14:solidFill>
                    <w14:schemeClr w14:val="tx1"/>
                  </w14:solidFill>
                </w14:textFill>
              </w:rPr>
            </w:pPr>
            <w:r>
              <w:rPr>
                <w:rFonts w:hint="eastAsia" w:cs="仿宋"/>
                <w:b/>
                <w:color w:val="000000" w:themeColor="text1"/>
                <w:sz w:val="24"/>
                <w14:textFill>
                  <w14:solidFill>
                    <w14:schemeClr w14:val="tx1"/>
                  </w14:solidFill>
                </w14:textFill>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620BE5E1">
            <w:pPr>
              <w:snapToGrid w:val="0"/>
              <w:spacing w:line="360" w:lineRule="auto"/>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采购</w:t>
            </w:r>
            <w:r>
              <w:rPr>
                <w:color w:val="000000" w:themeColor="text1"/>
                <w:sz w:val="24"/>
                <w14:textFill>
                  <w14:solidFill>
                    <w14:schemeClr w14:val="tx1"/>
                  </w14:solidFill>
                </w14:textFill>
              </w:rPr>
              <w:t>人、</w:t>
            </w:r>
            <w:r>
              <w:rPr>
                <w:rFonts w:hint="eastAsia"/>
                <w:color w:val="000000" w:themeColor="text1"/>
                <w:sz w:val="24"/>
                <w14:textFill>
                  <w14:solidFill>
                    <w14:schemeClr w14:val="tx1"/>
                  </w14:solidFill>
                </w14:textFill>
              </w:rPr>
              <w:t>采购</w:t>
            </w:r>
            <w:r>
              <w:rPr>
                <w:color w:val="000000" w:themeColor="text1"/>
                <w:sz w:val="24"/>
                <w14:textFill>
                  <w14:solidFill>
                    <w14:schemeClr w14:val="tx1"/>
                  </w14:solidFill>
                </w14:textFill>
              </w:rPr>
              <w:t>机构质疑接收人</w:t>
            </w:r>
            <w:r>
              <w:rPr>
                <w:rFonts w:hint="eastAsia"/>
                <w:color w:val="000000" w:themeColor="text1"/>
                <w:sz w:val="24"/>
                <w14:textFill>
                  <w14:solidFill>
                    <w14:schemeClr w14:val="tx1"/>
                  </w14:solidFill>
                </w14:textFill>
              </w:rPr>
              <w:t>、联系方式</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详见公告</w:t>
            </w:r>
          </w:p>
          <w:p w14:paraId="28A3994B">
            <w:pPr>
              <w:snapToGrid w:val="0"/>
              <w:spacing w:line="36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线上提交质疑方式：政采云线上质疑路径：项目采购-询问质疑投诉-质疑列表。请使用ca签章在每一页质疑文件中加盖电子公章，上传完整附件。</w:t>
            </w:r>
          </w:p>
          <w:p w14:paraId="35B4DE7D">
            <w:pPr>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本项目涉及资格条件、采购需求、评分办法及采购过程中有关现场考察或开标前答疑会等事项由</w:t>
            </w:r>
            <w:r>
              <w:rPr>
                <w:b/>
                <w:bCs/>
                <w:color w:val="000000" w:themeColor="text1"/>
                <w:sz w:val="24"/>
                <w14:textFill>
                  <w14:solidFill>
                    <w14:schemeClr w14:val="tx1"/>
                  </w14:solidFill>
                </w14:textFill>
              </w:rPr>
              <w:t>采购人</w:t>
            </w:r>
            <w:r>
              <w:rPr>
                <w:color w:val="000000" w:themeColor="text1"/>
                <w:sz w:val="24"/>
                <w14:textFill>
                  <w14:solidFill>
                    <w14:schemeClr w14:val="tx1"/>
                  </w14:solidFill>
                </w14:textFill>
              </w:rPr>
              <w:t>进行答复。</w:t>
            </w:r>
          </w:p>
          <w:p w14:paraId="0F9BD783">
            <w:pPr>
              <w:rPr>
                <w:rFonts w:cs="仿宋_GB2312"/>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涉及</w:t>
            </w:r>
            <w:r>
              <w:rPr>
                <w:color w:val="000000" w:themeColor="text1"/>
                <w:sz w:val="24"/>
                <w14:textFill>
                  <w14:solidFill>
                    <w14:schemeClr w14:val="tx1"/>
                  </w14:solidFill>
                </w14:textFill>
              </w:rPr>
              <w:t>流程规范性、组织程序等</w:t>
            </w:r>
            <w:r>
              <w:rPr>
                <w:rFonts w:hint="eastAsia"/>
                <w:color w:val="000000" w:themeColor="text1"/>
                <w:sz w:val="24"/>
                <w14:textFill>
                  <w14:solidFill>
                    <w14:schemeClr w14:val="tx1"/>
                  </w14:solidFill>
                </w14:textFill>
              </w:rPr>
              <w:t>相关</w:t>
            </w:r>
            <w:r>
              <w:rPr>
                <w:color w:val="000000" w:themeColor="text1"/>
                <w:sz w:val="24"/>
                <w14:textFill>
                  <w14:solidFill>
                    <w14:schemeClr w14:val="tx1"/>
                  </w14:solidFill>
                </w14:textFill>
              </w:rPr>
              <w:t>事项，由</w:t>
            </w:r>
            <w:r>
              <w:rPr>
                <w:rFonts w:hint="eastAsia"/>
                <w:b/>
                <w:bCs/>
                <w:color w:val="000000" w:themeColor="text1"/>
                <w:sz w:val="24"/>
                <w14:textFill>
                  <w14:solidFill>
                    <w14:schemeClr w14:val="tx1"/>
                  </w14:solidFill>
                </w14:textFill>
              </w:rPr>
              <w:t>采购代理</w:t>
            </w:r>
            <w:r>
              <w:rPr>
                <w:b/>
                <w:bCs/>
                <w:color w:val="000000" w:themeColor="text1"/>
                <w:sz w:val="24"/>
                <w14:textFill>
                  <w14:solidFill>
                    <w14:schemeClr w14:val="tx1"/>
                  </w14:solidFill>
                </w14:textFill>
              </w:rPr>
              <w:t>机构</w:t>
            </w:r>
            <w:r>
              <w:rPr>
                <w:color w:val="000000" w:themeColor="text1"/>
                <w:sz w:val="24"/>
                <w14:textFill>
                  <w14:solidFill>
                    <w14:schemeClr w14:val="tx1"/>
                  </w14:solidFill>
                </w14:textFill>
              </w:rPr>
              <w:t>进行答复。</w:t>
            </w:r>
          </w:p>
        </w:tc>
      </w:tr>
      <w:tr w14:paraId="5C8D8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E82F3F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67FC7330">
            <w:pPr>
              <w:jc w:val="center"/>
              <w:rPr>
                <w:rFonts w:cs="仿宋"/>
                <w:b/>
                <w:color w:val="000000" w:themeColor="text1"/>
                <w:sz w:val="24"/>
                <w14:textFill>
                  <w14:solidFill>
                    <w14:schemeClr w14:val="tx1"/>
                  </w14:solidFill>
                </w14:textFill>
              </w:rPr>
            </w:pPr>
            <w:r>
              <w:rPr>
                <w:rFonts w:hint="eastAsia" w:cs="仿宋"/>
                <w:b/>
                <w:color w:val="000000" w:themeColor="text1"/>
                <w:sz w:val="24"/>
                <w14:textFill>
                  <w14:solidFill>
                    <w14:schemeClr w14:val="tx1"/>
                  </w14:solidFill>
                </w14:textFill>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2BF8EE64">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000000" w:themeColor="text1"/>
                <w:sz w:val="24"/>
                <w14:textFill>
                  <w14:solidFill>
                    <w14:schemeClr w14:val="tx1"/>
                  </w14:solidFill>
                </w14:textFill>
              </w:rPr>
              <w:br w:type="textWrapping"/>
            </w:r>
            <w:r>
              <w:rPr>
                <w:rFonts w:hint="eastAsia"/>
                <w:color w:val="000000" w:themeColor="text1"/>
                <w:sz w:val="24"/>
                <w14:textFill>
                  <w14:solidFill>
                    <w14:schemeClr w14:val="tx1"/>
                  </w14:solidFill>
                </w14:textFill>
              </w:rPr>
              <w:t>联系电话: 0571-83587785/0571-82816012 联系地址: 萧山区通惠北路2-1号304室</w:t>
            </w:r>
          </w:p>
        </w:tc>
      </w:tr>
      <w:tr w14:paraId="58C08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4C6AC0FC">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w:t>
            </w:r>
          </w:p>
        </w:tc>
        <w:tc>
          <w:tcPr>
            <w:tcW w:w="1843" w:type="dxa"/>
            <w:vMerge w:val="restart"/>
            <w:tcBorders>
              <w:top w:val="single" w:color="000000" w:sz="8" w:space="0"/>
              <w:left w:val="single" w:color="000000" w:sz="2" w:space="0"/>
              <w:right w:val="single" w:color="000000" w:sz="8" w:space="0"/>
            </w:tcBorders>
            <w:vAlign w:val="center"/>
          </w:tcPr>
          <w:p w14:paraId="5D4492F5">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D7D001C">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p>
          <w:p w14:paraId="25910FD2">
            <w:pPr>
              <w:spacing w:line="360" w:lineRule="auto"/>
              <w:rPr>
                <w:color w:val="000000" w:themeColor="text1"/>
                <w:sz w:val="24"/>
                <w14:textFill>
                  <w14:solidFill>
                    <w14:schemeClr w14:val="tx1"/>
                  </w14:solidFill>
                </w14:textFill>
              </w:rPr>
            </w:pPr>
            <w:sdt>
              <w:sdtPr>
                <w:rPr>
                  <w:rFonts w:hint="eastAsia"/>
                  <w:color w:val="000000" w:themeColor="text1"/>
                  <w:sz w:val="24"/>
                  <w14:textFill>
                    <w14:solidFill>
                      <w14:schemeClr w14:val="tx1"/>
                    </w14:solidFill>
                  </w14:textFill>
                </w:rPr>
                <w:id w:val="4672"/>
                <w14:checkbox>
                  <w14:checked w14:val="0"/>
                  <w14:checkedState w14:val="00FE" w14:font="Wingdings"/>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color w:val="000000" w:themeColor="text1"/>
                    <w:sz w:val="24"/>
                    <w14:textFill>
                      <w14:solidFill>
                        <w14:schemeClr w14:val="tx1"/>
                      </w14:solidFill>
                    </w14:textFill>
                  </w:rPr>
                  <w:t>☐</w:t>
                </w:r>
              </w:sdtContent>
            </w:sdt>
            <w:r>
              <w:rPr>
                <w:rFonts w:hint="eastAsia"/>
                <w:color w:val="000000" w:themeColor="text1"/>
                <w:sz w:val="24"/>
                <w14:textFill>
                  <w14:solidFill>
                    <w14:schemeClr w14:val="tx1"/>
                  </w14:solidFill>
                </w14:textFill>
              </w:rPr>
              <w:t>联合体投标的，联合体各方均需按招标文件第四部分评标标准要求提供资信证明文件，否则视为不符合相关要求。</w:t>
            </w:r>
          </w:p>
          <w:p w14:paraId="161A387D">
            <w:pPr>
              <w:pStyle w:val="2"/>
              <w:ind w:left="0" w:firstLine="0"/>
              <w:rPr>
                <w:color w:val="000000" w:themeColor="text1"/>
                <w14:textFill>
                  <w14:solidFill>
                    <w14:schemeClr w14:val="tx1"/>
                  </w14:solidFill>
                </w14:textFill>
              </w:rPr>
            </w:pPr>
            <w:sdt>
              <w:sdtPr>
                <w:rPr>
                  <w:rFonts w:hint="eastAsia"/>
                  <w:color w:val="000000" w:themeColor="text1"/>
                  <w:sz w:val="24"/>
                  <w:szCs w:val="24"/>
                  <w14:textFill>
                    <w14:solidFill>
                      <w14:schemeClr w14:val="tx1"/>
                    </w14:solidFill>
                  </w14:textFill>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000000" w:themeColor="text1"/>
                  <w:kern w:val="28"/>
                  <w:sz w:val="24"/>
                  <w:szCs w:val="24"/>
                  <w:lang w:val="en-US"/>
                  <w14:textFill>
                    <w14:solidFill>
                      <w14:schemeClr w14:val="tx1"/>
                    </w14:solidFill>
                  </w14:textFill>
                </w:rPr>
              </w:sdtEndPr>
              <w:sdtContent>
                <w:r>
                  <w:rPr>
                    <w:rFonts w:hint="eastAsia"/>
                    <w:color w:val="000000" w:themeColor="text1"/>
                    <w:sz w:val="24"/>
                    <w:szCs w:val="24"/>
                    <w14:textFill>
                      <w14:solidFill>
                        <w14:schemeClr w14:val="tx1"/>
                      </w14:solidFill>
                    </w14:textFill>
                  </w:rPr>
                  <w:sym w:font="Wingdings" w:char="F0FE"/>
                </w:r>
              </w:sdtContent>
            </w:sdt>
            <w:r>
              <w:rPr>
                <w:rFonts w:hint="eastAsia" w:ascii="宋体" w:hAnsi="宋体" w:eastAsia="宋体" w:cs="宋体"/>
                <w:b w:val="0"/>
                <w:bCs w:val="0"/>
                <w:snapToGrid w:val="0"/>
                <w:color w:val="000000" w:themeColor="text1"/>
                <w:kern w:val="28"/>
                <w:sz w:val="24"/>
                <w:szCs w:val="24"/>
                <w:lang w:val="en-US"/>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728C5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C70AE39">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0928B8A7">
            <w:pPr>
              <w:snapToGrid w:val="0"/>
              <w:spacing w:line="360" w:lineRule="auto"/>
              <w:jc w:val="center"/>
              <w:rPr>
                <w:rFonts w:ascii="宋体" w:hAnsi="宋体" w:cs="宋体"/>
                <w:b/>
                <w:color w:val="000000" w:themeColor="text1"/>
                <w:sz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02F09B5">
            <w:pPr>
              <w:spacing w:line="360" w:lineRule="auto"/>
              <w:rPr>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kern w:val="0"/>
                <w:sz w:val="24"/>
                <w14:textFill>
                  <w14:solidFill>
                    <w14:schemeClr w14:val="tx1"/>
                  </w14:solidFill>
                </w14:textFill>
              </w:rPr>
              <w:t>评审因素对应的要求视为采购需求的一部分。</w:t>
            </w:r>
          </w:p>
          <w:p w14:paraId="065C0747">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本项目通用总则条款与前附表等专用特别规定有冲突之处，以专用条款（特别规定）为准</w:t>
            </w:r>
          </w:p>
        </w:tc>
      </w:tr>
      <w:tr w14:paraId="465FD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48D2CF51">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14:paraId="0685D683">
            <w:pPr>
              <w:snapToGrid w:val="0"/>
              <w:spacing w:line="360" w:lineRule="auto"/>
              <w:jc w:val="center"/>
              <w:rPr>
                <w:rFonts w:ascii="宋体" w:hAnsi="宋体" w:cs="宋体"/>
                <w:b/>
                <w:color w:val="000000" w:themeColor="text1"/>
                <w:sz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64D2D97">
            <w:pPr>
              <w:spacing w:line="360" w:lineRule="auto"/>
              <w:rPr>
                <w:b/>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本项目每个标项推荐中标候选人数量：1</w:t>
            </w:r>
          </w:p>
        </w:tc>
      </w:tr>
      <w:bookmarkEnd w:id="6"/>
    </w:tbl>
    <w:p w14:paraId="3A3E7F88">
      <w:pPr>
        <w:rPr>
          <w:rFonts w:ascii="宋体" w:hAnsi="宋体" w:cs="宋体"/>
          <w:b/>
          <w:color w:val="000000" w:themeColor="text1"/>
          <w:sz w:val="32"/>
          <w:szCs w:val="20"/>
          <w14:textFill>
            <w14:solidFill>
              <w14:schemeClr w14:val="tx1"/>
            </w14:solidFill>
          </w14:textFill>
        </w:rPr>
      </w:pPr>
      <w:bookmarkStart w:id="9" w:name="_Toc164416483"/>
      <w:bookmarkStart w:id="10" w:name="第三部分"/>
      <w:r>
        <w:rPr>
          <w:rFonts w:hint="eastAsia" w:ascii="宋体" w:hAnsi="宋体" w:cs="宋体"/>
          <w:b/>
          <w:color w:val="000000" w:themeColor="text1"/>
          <w:sz w:val="32"/>
          <w:szCs w:val="20"/>
          <w14:textFill>
            <w14:solidFill>
              <w14:schemeClr w14:val="tx1"/>
            </w14:solidFill>
          </w14:textFill>
        </w:rPr>
        <w:br w:type="page"/>
      </w:r>
    </w:p>
    <w:p w14:paraId="662D94EB">
      <w:pPr>
        <w:adjustRightInd/>
        <w:spacing w:line="360" w:lineRule="auto"/>
        <w:ind w:firstLine="3845" w:firstLineChars="1197"/>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一、总则</w:t>
      </w:r>
    </w:p>
    <w:p w14:paraId="2521F62F">
      <w:pPr>
        <w:snapToGrid w:val="0"/>
        <w:spacing w:line="360" w:lineRule="auto"/>
        <w:jc w:val="left"/>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 适用范围</w:t>
      </w:r>
    </w:p>
    <w:p w14:paraId="7EA11A2C">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6EB7037B">
      <w:pPr>
        <w:numPr>
          <w:ilvl w:val="0"/>
          <w:numId w:val="1"/>
        </w:numPr>
        <w:adjustRightInd/>
        <w:spacing w:line="360" w:lineRule="auto"/>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定义</w:t>
      </w:r>
    </w:p>
    <w:p w14:paraId="199937E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“采购人”系指招标公告中载明的本项目的采购人。</w:t>
      </w:r>
    </w:p>
    <w:p w14:paraId="779D19F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“采购代理机构”系指招标公告中载明的本项目的采购代理机构。</w:t>
      </w:r>
    </w:p>
    <w:p w14:paraId="154AB55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“投标人”系指是指响应招标、参加投标竞争的法人、其他组织或者自然人。</w:t>
      </w:r>
    </w:p>
    <w:p w14:paraId="4FBE1F6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546127C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BC4990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2.6“电子交易平台”系指本项目政府采购活动所依托的政府采购云平台（https://www.zcygov.cn/）。</w:t>
      </w:r>
    </w:p>
    <w:p w14:paraId="4C07BDD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 系指实质性要求条款，“</w:t>
      </w:r>
      <w:sdt>
        <w:sdtPr>
          <w:rPr>
            <w:rFonts w:hint="eastAsia" w:ascii="宋体" w:hAnsi="宋体" w:cs="宋体"/>
            <w:color w:val="000000" w:themeColor="text1"/>
            <w:kern w:val="0"/>
            <w:sz w:val="24"/>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系指适用本项目的要求，“</w:t>
      </w:r>
      <w:sdt>
        <w:sdtPr>
          <w:rPr>
            <w:rFonts w:hint="eastAsia" w:ascii="宋体" w:hAnsi="宋体" w:cs="宋体"/>
            <w:color w:val="000000" w:themeColor="text1"/>
            <w:kern w:val="0"/>
            <w:sz w:val="24"/>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系指不适用本项目的要求。</w:t>
      </w:r>
    </w:p>
    <w:p w14:paraId="2220F579">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采购项目需要落实的政府采购政策</w:t>
      </w:r>
    </w:p>
    <w:p w14:paraId="7DAEACD2">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14:textFill>
            <w14:solidFill>
              <w14:schemeClr w14:val="tx1"/>
            </w14:solidFill>
          </w14:textFill>
        </w:rPr>
        <w:t>。</w:t>
      </w:r>
    </w:p>
    <w:p w14:paraId="3837F966">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14:paraId="6D2ECFC3">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7E43F5F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14:paraId="0E83453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71AC9A4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5294E11B">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3.3支持中小企业发展</w:t>
      </w:r>
    </w:p>
    <w:p w14:paraId="33E8851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02768C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14:paraId="69C29088">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641CE3A">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3CBAE81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3.3.3对于未预留份额专门面向中小企业的政府采购货物项目，以及预留份额政府采购货物项目中的非预留部分标项，对小型和微型企业的投标报价给予10%-</w:t>
      </w:r>
      <w:r>
        <w:rPr>
          <w:rFonts w:ascii="宋体" w:hAnsi="宋体" w:cs="宋体"/>
          <w:color w:val="000000" w:themeColor="text1"/>
          <w:sz w:val="24"/>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%的扣除（</w:t>
      </w:r>
      <w:r>
        <w:rPr>
          <w:rFonts w:hint="eastAsia" w:ascii="宋体" w:hAnsi="宋体" w:cs="宋体"/>
          <w:snapToGrid w:val="0"/>
          <w:color w:val="000000" w:themeColor="text1"/>
          <w:kern w:val="28"/>
          <w:sz w:val="24"/>
          <w14:textFill>
            <w14:solidFill>
              <w14:schemeClr w14:val="tx1"/>
            </w14:solidFill>
          </w14:textFill>
        </w:rPr>
        <w:t>招标文件第四部分</w:t>
      </w:r>
      <w:r>
        <w:rPr>
          <w:rFonts w:hint="eastAsia" w:ascii="宋体" w:hAnsi="宋体" w:cs="宋体"/>
          <w:color w:val="000000" w:themeColor="text1"/>
          <w:sz w:val="24"/>
          <w:u w:val="single"/>
          <w14:textFill>
            <w14:solidFill>
              <w14:schemeClr w14:val="tx1"/>
            </w14:solidFill>
          </w14:textFill>
        </w:rPr>
        <w:t>评标办分法明确具体的扣除比例，未明确的，</w:t>
      </w:r>
      <w:r>
        <w:rPr>
          <w:rFonts w:hint="eastAsia" w:ascii="宋体" w:hAnsi="宋体" w:cs="宋体"/>
          <w:color w:val="000000" w:themeColor="text1"/>
          <w:sz w:val="24"/>
          <w14:textFill>
            <w14:solidFill>
              <w14:schemeClr w14:val="tx1"/>
            </w14:solidFill>
          </w14:textFill>
        </w:rPr>
        <w:t>给予2</w:t>
      </w:r>
      <w:r>
        <w:rPr>
          <w:rFonts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000000" w:themeColor="text1"/>
          <w:sz w:val="24"/>
          <w14:textFill>
            <w14:solidFill>
              <w14:schemeClr w14:val="tx1"/>
            </w14:solidFill>
          </w14:textFill>
        </w:rPr>
        <w:t>联合协议或者分包意向协议约定小微企业的合同份额占到合同总金额30%以上的</w:t>
      </w:r>
      <w:bookmarkEnd w:id="12"/>
      <w:r>
        <w:rPr>
          <w:rFonts w:hint="eastAsia" w:ascii="宋体" w:hAnsi="宋体" w:cs="宋体"/>
          <w:color w:val="000000" w:themeColor="text1"/>
          <w:sz w:val="24"/>
          <w14:textFill>
            <w14:solidFill>
              <w14:schemeClr w14:val="tx1"/>
            </w14:solidFill>
          </w14:textFill>
        </w:rPr>
        <w:t>，对联合体或者大中型企业的报价给予4%-</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w:t>
      </w:r>
      <w:r>
        <w:rPr>
          <w:rFonts w:hint="eastAsia" w:ascii="宋体" w:hAnsi="宋体" w:cs="宋体"/>
          <w:snapToGrid w:val="0"/>
          <w:color w:val="000000" w:themeColor="text1"/>
          <w:kern w:val="28"/>
          <w:sz w:val="24"/>
          <w14:textFill>
            <w14:solidFill>
              <w14:schemeClr w14:val="tx1"/>
            </w14:solidFill>
          </w14:textFill>
        </w:rPr>
        <w:t>招标文件第四部分</w:t>
      </w:r>
      <w:r>
        <w:rPr>
          <w:rFonts w:hint="eastAsia" w:ascii="宋体" w:hAnsi="宋体" w:cs="宋体"/>
          <w:color w:val="000000" w:themeColor="text1"/>
          <w:sz w:val="24"/>
          <w:u w:val="single"/>
          <w14:textFill>
            <w14:solidFill>
              <w14:schemeClr w14:val="tx1"/>
            </w14:solidFill>
          </w14:textFill>
        </w:rPr>
        <w:t>评标办分法明确具体的扣除比例，未明确的，</w:t>
      </w:r>
      <w:r>
        <w:rPr>
          <w:rFonts w:hint="eastAsia" w:ascii="宋体" w:hAnsi="宋体" w:cs="宋体"/>
          <w:color w:val="000000" w:themeColor="text1"/>
          <w:sz w:val="24"/>
          <w14:textFill>
            <w14:solidFill>
              <w14:schemeClr w14:val="tx1"/>
            </w14:solidFill>
          </w14:textFill>
        </w:rPr>
        <w:t>给予6%的扣除）的扣除，用扣除后的价格参加评审。组成联合体或者接受分包的小微企业与联合体内其他企业、分包企业之间存在直接控股、管理关系的，不享受价格扣除优惠政策。</w:t>
      </w:r>
    </w:p>
    <w:p w14:paraId="7DDCAE8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5CA7117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28EAFA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37459A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14:paraId="716E2DF8">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3.4 </w:t>
      </w:r>
      <w:r>
        <w:rPr>
          <w:rFonts w:hint="eastAsia" w:ascii="宋体" w:hAnsi="宋体" w:cs="宋体"/>
          <w:bCs/>
          <w:color w:val="000000" w:themeColor="text1"/>
          <w:sz w:val="24"/>
          <w14:textFill>
            <w14:solidFill>
              <w14:schemeClr w14:val="tx1"/>
            </w14:solidFill>
          </w14:textFill>
        </w:rPr>
        <w:t>支持创新发展</w:t>
      </w:r>
    </w:p>
    <w:p w14:paraId="5199031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 采购人优先采购被认定为首台套产品和“制造精品”的自主创新产品。</w:t>
      </w:r>
    </w:p>
    <w:p w14:paraId="7241817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3.4.2首台套产品被纳入《首台套产品推广应用指导目录》之日起</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308F9434">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3.5平等对待内外资企业和符合条件的破产重整企业</w:t>
      </w:r>
    </w:p>
    <w:p w14:paraId="4BABA2B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平等对待内外资企业和符合条件的破产重整企业，切实保障企业公平竞争，平等维护企业的合法利益。</w:t>
      </w:r>
    </w:p>
    <w:p w14:paraId="0043ABEF">
      <w:pPr>
        <w:spacing w:line="360" w:lineRule="auto"/>
        <w:rPr>
          <w:b/>
          <w:color w:val="000000" w:themeColor="text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 询问、质疑、投诉</w:t>
      </w:r>
    </w:p>
    <w:p w14:paraId="71C170DB">
      <w:pPr>
        <w:spacing w:line="360" w:lineRule="auto"/>
        <w:ind w:firstLine="240" w:firstLineChars="1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4.1</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在线询问、质疑、投诉</w:t>
      </w:r>
    </w:p>
    <w:p w14:paraId="3E0627DC">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C633A1">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4.2</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供应商询问</w:t>
      </w:r>
    </w:p>
    <w:p w14:paraId="02E72C5E">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FF37402">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4.3</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供应商质疑</w:t>
      </w:r>
    </w:p>
    <w:p w14:paraId="1ABB7CF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4.3</w:t>
      </w:r>
      <w:r>
        <w:rPr>
          <w:rFonts w:hint="eastAsia" w:ascii="宋体" w:hAnsi="宋体" w:cs="宋体"/>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14:paraId="3E23AF6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4.3</w:t>
      </w:r>
      <w:r>
        <w:rPr>
          <w:rFonts w:hint="eastAsia" w:ascii="宋体" w:hAnsi="宋体" w:cs="宋体"/>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EE8A64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4.3.2.1对招标文件提出质疑的，质疑期限为供应商获得招标文件之日或者招标文件公告期限届满之日起计算。</w:t>
      </w:r>
    </w:p>
    <w:p w14:paraId="0FF3A599">
      <w:pPr>
        <w:spacing w:line="360" w:lineRule="auto"/>
        <w:ind w:left="479" w:leftChars="22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4F8ECFD3">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4.3.3</w:t>
      </w:r>
      <w:r>
        <w:rPr>
          <w:rFonts w:hint="eastAsia" w:ascii="宋体" w:hAnsi="宋体" w:cs="宋体"/>
          <w:color w:val="000000" w:themeColor="text1"/>
          <w:sz w:val="24"/>
          <w14:textFill>
            <w14:solidFill>
              <w14:schemeClr w14:val="tx1"/>
            </w14:solidFill>
          </w14:textFill>
        </w:rPr>
        <w:t>供应商提出质疑应当提交质疑函和必要的证明材料。质疑函应当包括下列内容：</w:t>
      </w:r>
    </w:p>
    <w:p w14:paraId="5E61B80A">
      <w:pPr>
        <w:spacing w:line="360" w:lineRule="auto"/>
        <w:ind w:left="479" w:leftChars="228"/>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4.3.3.1供应商的姓名或者名称、地址、邮编、联系人及联系电话；</w:t>
      </w:r>
    </w:p>
    <w:p w14:paraId="72B631C1">
      <w:pPr>
        <w:spacing w:line="360" w:lineRule="auto"/>
        <w:ind w:left="479" w:leftChars="228"/>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4.3.3.2质疑项目的名称、编号；</w:t>
      </w:r>
    </w:p>
    <w:p w14:paraId="60492429">
      <w:pPr>
        <w:spacing w:line="360" w:lineRule="auto"/>
        <w:ind w:left="479" w:leftChars="228"/>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4.3.3.3具体、明确的质疑事项和与质疑事项相关的请求；</w:t>
      </w:r>
    </w:p>
    <w:p w14:paraId="02E7BF5B">
      <w:pPr>
        <w:spacing w:line="360" w:lineRule="auto"/>
        <w:ind w:left="479" w:leftChars="228"/>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4.3.3.4事实依据；</w:t>
      </w:r>
    </w:p>
    <w:p w14:paraId="37BCD941">
      <w:pPr>
        <w:spacing w:line="360" w:lineRule="auto"/>
        <w:ind w:left="479" w:leftChars="228"/>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4.3.3.5必要的法律依据；</w:t>
      </w:r>
    </w:p>
    <w:p w14:paraId="07C2A658">
      <w:pPr>
        <w:spacing w:line="360" w:lineRule="auto"/>
        <w:ind w:left="479" w:leftChars="228"/>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4.3.3.6提出质疑的日期。</w:t>
      </w:r>
    </w:p>
    <w:p w14:paraId="31D2A477">
      <w:pPr>
        <w:spacing w:line="360" w:lineRule="auto"/>
        <w:ind w:left="479" w:leftChars="228"/>
        <w:rPr>
          <w:color w:val="000000" w:themeColor="text1"/>
          <w14:textFill>
            <w14:solidFill>
              <w14:schemeClr w14:val="tx1"/>
            </w14:solidFill>
          </w14:textFill>
        </w:rPr>
      </w:pPr>
      <w:r>
        <w:rPr>
          <w:rFonts w:hint="eastAsia"/>
          <w:color w:val="000000" w:themeColor="text1"/>
          <w:sz w:val="24"/>
          <w:szCs w:val="32"/>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7F54416C">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4.3.4对同一采购程序环节的质疑，供应商须在法定质疑期内一次性提出。</w:t>
      </w:r>
    </w:p>
    <w:p w14:paraId="6EF1C5A1">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26D5E9F">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4.3.6询问或者质疑事项可能影响采购结果的，采购人应当暂停签订合同，已经签订合同的，应当中止履行合同。</w:t>
      </w:r>
    </w:p>
    <w:p w14:paraId="701DC0CF">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4.4供应商投诉</w:t>
      </w:r>
    </w:p>
    <w:p w14:paraId="3D9EF6B5">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1C55C805">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4.4.2供应商投诉的事项不得超出已质疑事项的范围，基于质疑答复内容提出的投诉事项除外。</w:t>
      </w:r>
    </w:p>
    <w:p w14:paraId="57534A96">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4.4.3供应商投诉应当有明确的请求和必要的证明材料。</w:t>
      </w:r>
    </w:p>
    <w:p w14:paraId="066C7944">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4.4.4 以联合体形式参加政府采购活动的，其投诉应当由组成联合体的所有供应商共同提出。</w:t>
      </w:r>
    </w:p>
    <w:p w14:paraId="130D07C3">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投诉书范本及制作说明详见附件3。</w:t>
      </w:r>
    </w:p>
    <w:p w14:paraId="726D4F3B">
      <w:pPr>
        <w:adjustRightInd/>
        <w:spacing w:line="360" w:lineRule="auto"/>
        <w:jc w:val="center"/>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二、招标文件的构成、澄清、修改</w:t>
      </w:r>
    </w:p>
    <w:p w14:paraId="70591AAB">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5．招标文件的构成</w:t>
      </w:r>
    </w:p>
    <w:p w14:paraId="115A6BF3">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5.1 招标文件包括下列文件及附件：</w:t>
      </w:r>
    </w:p>
    <w:p w14:paraId="7DD52C63">
      <w:pPr>
        <w:pStyle w:val="32"/>
        <w:tabs>
          <w:tab w:val="left" w:pos="840"/>
        </w:tabs>
        <w:spacing w:line="360" w:lineRule="auto"/>
        <w:ind w:firstLine="960" w:firstLineChars="400"/>
        <w:rPr>
          <w:rFonts w:hAnsi="宋体" w:cs="宋体"/>
          <w:snapToGrid/>
          <w:color w:val="000000" w:themeColor="text1"/>
          <w:sz w:val="24"/>
          <w:szCs w:val="24"/>
          <w:lang w:val="zh-CN"/>
          <w14:textFill>
            <w14:solidFill>
              <w14:schemeClr w14:val="tx1"/>
            </w14:solidFill>
          </w14:textFill>
        </w:rPr>
      </w:pPr>
      <w:r>
        <w:rPr>
          <w:rFonts w:hint="eastAsia" w:hAnsi="宋体" w:cs="宋体"/>
          <w:snapToGrid/>
          <w:color w:val="000000" w:themeColor="text1"/>
          <w:sz w:val="24"/>
          <w:szCs w:val="24"/>
          <w:lang w:val="zh-CN"/>
          <w14:textFill>
            <w14:solidFill>
              <w14:schemeClr w14:val="tx1"/>
            </w14:solidFill>
          </w14:textFill>
        </w:rPr>
        <w:t>5.1.1招标公告；</w:t>
      </w:r>
    </w:p>
    <w:p w14:paraId="4B83260A">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w:t>
      </w:r>
      <w:r>
        <w:rPr>
          <w:rFonts w:hint="eastAsia" w:hAnsi="宋体" w:cs="宋体"/>
          <w:snapToGrid/>
          <w:color w:val="000000" w:themeColor="text1"/>
          <w:sz w:val="24"/>
          <w:szCs w:val="24"/>
          <w:lang w:val="zh-CN"/>
          <w14:textFill>
            <w14:solidFill>
              <w14:schemeClr w14:val="tx1"/>
            </w14:solidFill>
          </w14:textFill>
        </w:rPr>
        <w:t>.1.2投标人须知</w:t>
      </w:r>
      <w:r>
        <w:rPr>
          <w:rFonts w:hint="eastAsia" w:hAnsi="宋体" w:cs="宋体"/>
          <w:color w:val="000000" w:themeColor="text1"/>
          <w:sz w:val="24"/>
          <w:szCs w:val="24"/>
          <w14:textFill>
            <w14:solidFill>
              <w14:schemeClr w14:val="tx1"/>
            </w14:solidFill>
          </w14:textFill>
        </w:rPr>
        <w:t>；</w:t>
      </w:r>
    </w:p>
    <w:p w14:paraId="7C4096E1">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14:paraId="178F538B">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5.1.4评标办法；</w:t>
      </w:r>
    </w:p>
    <w:p w14:paraId="4951AF66">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14:paraId="04C440CC">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14:paraId="352A201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澄清或者修改的内容为招标文件的组成部分</w:t>
      </w:r>
      <w:r>
        <w:rPr>
          <w:rFonts w:hint="eastAsia" w:ascii="宋体" w:hAnsi="宋体" w:cs="宋体"/>
          <w:color w:val="000000" w:themeColor="text1"/>
          <w:sz w:val="24"/>
          <w14:textFill>
            <w14:solidFill>
              <w14:schemeClr w14:val="tx1"/>
            </w14:solidFill>
          </w14:textFill>
        </w:rPr>
        <w:t>。</w:t>
      </w:r>
    </w:p>
    <w:p w14:paraId="350BBFF9">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 招标文件的澄清、修改</w:t>
      </w:r>
    </w:p>
    <w:p w14:paraId="32A317EF">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6.1已获取招标文件的潜在投标人，若有问题需要澄清，应于投标截止时间前，以书面形式向采购代理机构提出。</w:t>
      </w:r>
    </w:p>
    <w:p w14:paraId="2E87E6A4">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7761C7B">
      <w:pPr>
        <w:adjustRightInd/>
        <w:spacing w:line="360" w:lineRule="auto"/>
        <w:jc w:val="center"/>
        <w:outlineLvl w:val="0"/>
        <w:rPr>
          <w:rFonts w:ascii="宋体" w:hAnsi="宋体" w:cs="宋体"/>
          <w:b/>
          <w:color w:val="000000" w:themeColor="text1"/>
          <w:sz w:val="32"/>
          <w:szCs w:val="21"/>
          <w14:textFill>
            <w14:solidFill>
              <w14:schemeClr w14:val="tx1"/>
            </w14:solidFill>
          </w14:textFill>
        </w:rPr>
      </w:pPr>
      <w:r>
        <w:rPr>
          <w:rFonts w:hint="eastAsia" w:ascii="宋体" w:hAnsi="宋体" w:cs="宋体"/>
          <w:b/>
          <w:color w:val="000000" w:themeColor="text1"/>
          <w:sz w:val="32"/>
          <w:szCs w:val="21"/>
          <w14:textFill>
            <w14:solidFill>
              <w14:schemeClr w14:val="tx1"/>
            </w14:solidFill>
          </w14:textFill>
        </w:rPr>
        <w:t>三、投标</w:t>
      </w:r>
    </w:p>
    <w:p w14:paraId="3D0E1009">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 招标文件的获取</w:t>
      </w:r>
    </w:p>
    <w:p w14:paraId="44060CD7">
      <w:pPr>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详见招标公告中获取招标文件的时间期限、地点、方式及招标文件售价。</w:t>
      </w:r>
    </w:p>
    <w:p w14:paraId="00D6B977">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8.开标前答疑会或现场考察</w:t>
      </w:r>
    </w:p>
    <w:p w14:paraId="5757CD6B">
      <w:pPr>
        <w:pStyle w:val="3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3CE89B04">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9.投标保证金</w:t>
      </w:r>
    </w:p>
    <w:p w14:paraId="4D33A145">
      <w:pPr>
        <w:pStyle w:val="5"/>
        <w:spacing w:line="360" w:lineRule="auto"/>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本项目不需缴纳投标保证金。</w:t>
      </w:r>
    </w:p>
    <w:p w14:paraId="581723B5">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投标文件的语言</w:t>
      </w:r>
    </w:p>
    <w:p w14:paraId="20DA2EA0">
      <w:pPr>
        <w:autoSpaceDE w:val="0"/>
        <w:autoSpaceDN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投标文件及投标人与采购有关的来往通知、函件和文件均应使用中文。</w:t>
      </w:r>
    </w:p>
    <w:p w14:paraId="69438853">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 投标文件的组成</w:t>
      </w:r>
    </w:p>
    <w:p w14:paraId="619DACB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14:paraId="0E75F4E2">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11.1.1符合参加政府采购活动应当具备的一般条件的承诺函；</w:t>
      </w:r>
    </w:p>
    <w:p w14:paraId="1C277B1F">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1.1.2</w:t>
      </w:r>
      <w:bookmarkStart w:id="13" w:name="_Hlk101259339"/>
      <w:r>
        <w:rPr>
          <w:rFonts w:hint="eastAsia" w:ascii="宋体" w:hAnsi="宋体" w:cs="宋体"/>
          <w:snapToGrid w:val="0"/>
          <w:color w:val="000000" w:themeColor="text1"/>
          <w:kern w:val="28"/>
          <w:sz w:val="24"/>
          <w:szCs w:val="20"/>
          <w14:textFill>
            <w14:solidFill>
              <w14:schemeClr w14:val="tx1"/>
            </w14:solidFill>
          </w14:textFill>
        </w:rPr>
        <w:t>联合协议</w:t>
      </w:r>
      <w:bookmarkEnd w:id="13"/>
      <w:r>
        <w:rPr>
          <w:rFonts w:hint="eastAsia" w:ascii="宋体" w:hAnsi="宋体" w:cs="宋体"/>
          <w:snapToGrid w:val="0"/>
          <w:color w:val="000000" w:themeColor="text1"/>
          <w:kern w:val="28"/>
          <w:sz w:val="24"/>
          <w:szCs w:val="20"/>
          <w14:textFill>
            <w14:solidFill>
              <w14:schemeClr w14:val="tx1"/>
            </w14:solidFill>
          </w14:textFill>
        </w:rPr>
        <w:t>（如果有)；</w:t>
      </w:r>
    </w:p>
    <w:p w14:paraId="08363297">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14B4C472">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308047C5">
      <w:pPr>
        <w:snapToGrid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14:paraId="4AB27BC6">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r>
        <w:rPr>
          <w:rFonts w:hint="eastAsia" w:ascii="宋体" w:hAnsi="宋体" w:cs="宋体"/>
          <w:color w:val="000000" w:themeColor="text1"/>
          <w:sz w:val="24"/>
          <w:lang w:val="zh-CN"/>
          <w14:textFill>
            <w14:solidFill>
              <w14:schemeClr w14:val="tx1"/>
            </w14:solidFill>
          </w14:textFill>
        </w:rPr>
        <w:t xml:space="preserve"> </w:t>
      </w:r>
    </w:p>
    <w:p w14:paraId="3153AEA8">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p>
    <w:p w14:paraId="691B3CB2">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128EA1A0">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2AEF8E35">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14:paraId="055598E5">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14:paraId="48524807">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14:paraId="0C0CEB54">
      <w:pPr>
        <w:snapToGrid w:val="0"/>
        <w:spacing w:line="360" w:lineRule="auto"/>
        <w:ind w:firstLine="960" w:firstLineChars="4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14:paraId="31178390">
      <w:pPr>
        <w:snapToGrid w:val="0"/>
        <w:spacing w:line="360" w:lineRule="auto"/>
        <w:ind w:firstLine="480" w:firstLineChars="200"/>
        <w:rPr>
          <w:rFonts w:ascii="宋体" w:hAnsi="宋体" w:cs="宋体"/>
          <w:color w:val="000000" w:themeColor="text1"/>
          <w:sz w:val="24"/>
          <w:u w:val="single"/>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r>
        <w:rPr>
          <w:rFonts w:hint="eastAsia" w:ascii="宋体" w:hAnsi="宋体" w:cs="宋体"/>
          <w:color w:val="000000" w:themeColor="text1"/>
          <w:sz w:val="24"/>
          <w14:textFill>
            <w14:solidFill>
              <w14:schemeClr w14:val="tx1"/>
            </w14:solidFill>
          </w14:textFill>
        </w:rPr>
        <w:t xml:space="preserve"> </w:t>
      </w:r>
    </w:p>
    <w:p w14:paraId="52052D97">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11.3.1开标一览表（报价表）；</w:t>
      </w:r>
    </w:p>
    <w:p w14:paraId="3E928C7A">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11.3.2中小企业声明函。</w:t>
      </w:r>
    </w:p>
    <w:p w14:paraId="4641869C">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77E4CE5B">
      <w:pPr>
        <w:spacing w:line="360" w:lineRule="auto"/>
        <w:ind w:firstLine="723" w:firstLineChars="3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投标人提供虚假材料投标的，投标无效。</w:t>
      </w:r>
    </w:p>
    <w:p w14:paraId="186D2C1A">
      <w:pPr>
        <w:pStyle w:val="128"/>
        <w:snapToGrid w:val="0"/>
        <w:spacing w:before="0"/>
        <w:ind w:firstLine="0" w:firstLineChars="0"/>
        <w:outlineLvl w:val="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12</w:t>
      </w:r>
      <w:r>
        <w:rPr>
          <w:rFonts w:hint="eastAsia" w:ascii="宋体" w:hAnsi="宋体" w:cs="宋体"/>
          <w:b/>
          <w:color w:val="000000" w:themeColor="text1"/>
          <w:kern w:val="0"/>
          <w:szCs w:val="24"/>
          <w:lang w:val="zh-CN"/>
          <w14:textFill>
            <w14:solidFill>
              <w14:schemeClr w14:val="tx1"/>
            </w14:solidFill>
          </w14:textFill>
        </w:rPr>
        <w:t xml:space="preserve">. </w:t>
      </w:r>
      <w:r>
        <w:rPr>
          <w:rFonts w:hint="eastAsia" w:ascii="宋体" w:hAnsi="宋体" w:cs="宋体"/>
          <w:b/>
          <w:color w:val="000000" w:themeColor="text1"/>
          <w:szCs w:val="24"/>
          <w14:textFill>
            <w14:solidFill>
              <w14:schemeClr w14:val="tx1"/>
            </w14:solidFill>
          </w14:textFill>
        </w:rPr>
        <w:t>投标文件的编制</w:t>
      </w:r>
    </w:p>
    <w:p w14:paraId="13C78A21">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DC55B7F">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2C011B11">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6D4FC79F">
      <w:pPr>
        <w:numPr>
          <w:ilvl w:val="0"/>
          <w:numId w:val="2"/>
        </w:num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投标文件的签署、盖章</w:t>
      </w:r>
    </w:p>
    <w:p w14:paraId="0CD0C4A8">
      <w:pPr>
        <w:pStyle w:val="128"/>
        <w:snapToGrid w:val="0"/>
        <w:spacing w:before="0"/>
        <w:ind w:firstLine="480"/>
        <w:rPr>
          <w:rFonts w:ascii="宋体" w:hAnsi="宋体" w:cs="宋体"/>
          <w:b/>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13.1投标文件按照招标文件第六部分格式要</w:t>
      </w:r>
      <w:r>
        <w:rPr>
          <w:rFonts w:hint="eastAsia" w:ascii="宋体" w:hAnsi="宋体" w:cs="宋体"/>
          <w:color w:val="000000" w:themeColor="text1"/>
          <w14:textFill>
            <w14:solidFill>
              <w14:schemeClr w14:val="tx1"/>
            </w14:solidFill>
          </w14:textFill>
        </w:rPr>
        <w:t>求进行签署、盖章。</w:t>
      </w:r>
      <w:r>
        <w:rPr>
          <w:rFonts w:hint="eastAsia" w:ascii="宋体" w:hAnsi="宋体" w:cs="宋体"/>
          <w:b/>
          <w:color w:val="000000" w:themeColor="text1"/>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14:textFill>
            <w14:solidFill>
              <w14:schemeClr w14:val="tx1"/>
            </w14:solidFill>
          </w14:textFill>
        </w:rPr>
        <w:t>。</w:t>
      </w:r>
    </w:p>
    <w:p w14:paraId="2EA704AD">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38292523">
      <w:pPr>
        <w:pStyle w:val="128"/>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13.3招标文件对投标文件签署、盖章的要求适用于电子签名。</w:t>
      </w:r>
    </w:p>
    <w:p w14:paraId="7774D8B8">
      <w:pPr>
        <w:pStyle w:val="128"/>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14. 投标文件的提交、补充、修改、撤回</w:t>
      </w:r>
    </w:p>
    <w:p w14:paraId="0BF044EB">
      <w:pPr>
        <w:pStyle w:val="128"/>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82502CB">
      <w:pPr>
        <w:pStyle w:val="128"/>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3A14DE62">
      <w:pPr>
        <w:pStyle w:val="128"/>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4DBFF250">
      <w:pPr>
        <w:pStyle w:val="32"/>
        <w:numPr>
          <w:ilvl w:val="0"/>
          <w:numId w:val="3"/>
        </w:numPr>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备份投标文件</w:t>
      </w:r>
    </w:p>
    <w:p w14:paraId="3A377574">
      <w:pPr>
        <w:pStyle w:val="32"/>
        <w:spacing w:line="360" w:lineRule="auto"/>
        <w:ind w:firstLine="360" w:firstLineChars="15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14:textFill>
            <w14:solidFill>
              <w14:schemeClr w14:val="tx1"/>
            </w14:solidFill>
          </w14:textFill>
        </w:rPr>
        <w:t>但采购人、采购代理机构不强制或变相强制投标人提交备份投标文件。</w:t>
      </w:r>
    </w:p>
    <w:p w14:paraId="1135DC92">
      <w:pPr>
        <w:pStyle w:val="32"/>
        <w:spacing w:line="360" w:lineRule="auto"/>
        <w:ind w:firstLine="480" w:firstLineChars="20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15.2备份投标文件须在“政采云投标客户端”制作生成，并储存在</w:t>
      </w:r>
      <w:r>
        <w:rPr>
          <w:rFonts w:hint="eastAsia" w:hAnsi="宋体" w:cs="宋体"/>
          <w:color w:val="000000" w:themeColor="text1"/>
          <w:sz w:val="24"/>
          <w14:textFill>
            <w14:solidFill>
              <w14:schemeClr w14:val="tx1"/>
            </w14:solidFill>
          </w14:textFill>
        </w:rPr>
        <w:t>DVD光盘等存储介质</w:t>
      </w:r>
      <w:r>
        <w:rPr>
          <w:rFonts w:hint="eastAsia" w:hAnsi="宋体" w:cs="宋体"/>
          <w:color w:val="000000" w:themeColor="text1"/>
          <w:sz w:val="24"/>
          <w:szCs w:val="24"/>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14:textFill>
            <w14:solidFill>
              <w14:schemeClr w14:val="tx1"/>
            </w14:solidFill>
          </w14:textFill>
        </w:rPr>
        <w:t>不符合上述制作、</w:t>
      </w:r>
      <w:r>
        <w:rPr>
          <w:rFonts w:hint="eastAsia" w:hAnsi="宋体" w:cs="宋体"/>
          <w:b/>
          <w:color w:val="000000" w:themeColor="text1"/>
          <w:sz w:val="24"/>
          <w:szCs w:val="24"/>
          <w14:textFill>
            <w14:solidFill>
              <w14:schemeClr w14:val="tx1"/>
            </w14:solidFill>
          </w14:textFill>
        </w:rPr>
        <w:t>存储、密封规定的备份投标文件将被视为无效或者被拒绝接收。</w:t>
      </w:r>
    </w:p>
    <w:p w14:paraId="4AB30D67">
      <w:pPr>
        <w:pStyle w:val="3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23EEDC9F">
      <w:pPr>
        <w:pStyle w:val="3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1CE5F6D1">
      <w:pPr>
        <w:pStyle w:val="32"/>
        <w:spacing w:line="360" w:lineRule="auto"/>
        <w:ind w:firstLine="479" w:firstLineChars="199"/>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15.5投标人仅提交备份投标文件，未在电子交易平台传输递交投标文件的，投标无效。</w:t>
      </w:r>
    </w:p>
    <w:p w14:paraId="5CE68E3C">
      <w:pPr>
        <w:pStyle w:val="128"/>
        <w:numPr>
          <w:ilvl w:val="0"/>
          <w:numId w:val="4"/>
        </w:numPr>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投标文件的无效处理</w:t>
      </w:r>
    </w:p>
    <w:p w14:paraId="0AD652D4">
      <w:pPr>
        <w:pStyle w:val="24"/>
        <w:spacing w:line="360" w:lineRule="auto"/>
        <w:ind w:firstLine="360" w:firstLineChars="15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有招标文件第四部分</w:t>
      </w:r>
      <w:r>
        <w:rPr>
          <w:rFonts w:cs="宋体"/>
          <w:color w:val="000000" w:themeColor="text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的情形之一的，投标无效：</w:t>
      </w:r>
    </w:p>
    <w:p w14:paraId="3C499DAA">
      <w:pPr>
        <w:pStyle w:val="128"/>
        <w:numPr>
          <w:ilvl w:val="0"/>
          <w:numId w:val="4"/>
        </w:numPr>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投标有效期</w:t>
      </w:r>
    </w:p>
    <w:p w14:paraId="4791328E">
      <w:pPr>
        <w:spacing w:line="360" w:lineRule="auto"/>
        <w:ind w:firstLine="480"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14:textFill>
            <w14:solidFill>
              <w14:schemeClr w14:val="tx1"/>
            </w14:solidFill>
          </w14:textFill>
        </w:rPr>
        <w:t>投标人的投标文件中承</w:t>
      </w:r>
      <w:r>
        <w:rPr>
          <w:rFonts w:hint="eastAsia" w:ascii="宋体" w:hAnsi="宋体" w:cs="宋体"/>
          <w:b/>
          <w:color w:val="000000" w:themeColor="text1"/>
          <w:sz w:val="24"/>
          <w:szCs w:val="21"/>
          <w14:textFill>
            <w14:solidFill>
              <w14:schemeClr w14:val="tx1"/>
            </w14:solidFill>
          </w14:textFill>
        </w:rPr>
        <w:t>诺的投标有效期少于招标文件中载明的投标有效期的，投标无效。</w:t>
      </w:r>
    </w:p>
    <w:p w14:paraId="5790B8B4">
      <w:pPr>
        <w:pStyle w:val="12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17.2投标文件合格投递后，自投标截止日期起，在投标有效期内有效。</w:t>
      </w:r>
    </w:p>
    <w:p w14:paraId="2DFFA9B1">
      <w:pPr>
        <w:pStyle w:val="12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216B9C1A">
      <w:pPr>
        <w:pStyle w:val="12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17.4在投标截止时间起至投标有效期届满，供应商投标文件不可撤销。</w:t>
      </w:r>
    </w:p>
    <w:p w14:paraId="63791931">
      <w:pPr>
        <w:pStyle w:val="128"/>
        <w:spacing w:before="0"/>
        <w:ind w:firstLine="1928" w:firstLineChars="600"/>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四、开标、资格审查与信用信息查询</w:t>
      </w:r>
    </w:p>
    <w:p w14:paraId="7FAD1E51">
      <w:pPr>
        <w:pStyle w:val="554"/>
        <w:spacing w:before="0" w:line="360" w:lineRule="auto"/>
        <w:ind w:left="0" w:firstLine="0"/>
        <w:contextualSpacing/>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 开标</w:t>
      </w:r>
      <w:r>
        <w:rPr>
          <w:rFonts w:hint="eastAsia" w:ascii="宋体" w:hAnsi="宋体" w:cs="宋体"/>
          <w:color w:val="000000" w:themeColor="text1"/>
          <w:sz w:val="24"/>
          <w14:textFill>
            <w14:solidFill>
              <w14:schemeClr w14:val="tx1"/>
            </w14:solidFill>
          </w14:textFill>
        </w:rPr>
        <w:t xml:space="preserve"> </w:t>
      </w:r>
    </w:p>
    <w:p w14:paraId="53B765E0">
      <w:pPr>
        <w:pStyle w:val="554"/>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18.1采购代理机构按照招标文件规定的时间通过电子交易平台组织开标，所有投标人均应当准时在线参加。投标人不足3家的，不得开标。</w:t>
      </w:r>
    </w:p>
    <w:p w14:paraId="4ECD903A">
      <w:pPr>
        <w:pStyle w:val="554"/>
        <w:spacing w:before="0" w:line="360" w:lineRule="auto"/>
        <w:ind w:left="0" w:firstLine="240"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437317C0">
      <w:pPr>
        <w:pStyle w:val="554"/>
        <w:spacing w:before="0" w:line="360" w:lineRule="auto"/>
        <w:ind w:left="0" w:firstLine="240" w:firstLineChars="100"/>
        <w:contextualSpacing/>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18.3</w:t>
      </w:r>
      <w:r>
        <w:rPr>
          <w:rFonts w:hint="eastAsia" w:ascii="宋体" w:hAnsi="宋体" w:cs="宋体"/>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559942E9">
      <w:pPr>
        <w:widowControl/>
        <w:numPr>
          <w:ilvl w:val="0"/>
          <w:numId w:val="5"/>
        </w:numPr>
        <w:spacing w:before="100" w:beforeAutospacing="1" w:after="240" w:line="360" w:lineRule="auto"/>
        <w:jc w:val="left"/>
        <w:rPr>
          <w:rFonts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资格审查</w:t>
      </w:r>
    </w:p>
    <w:p w14:paraId="287DE40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19.1</w:t>
      </w:r>
      <w:r>
        <w:rPr>
          <w:rFonts w:hint="eastAsia" w:ascii="宋体" w:hAnsi="宋体" w:cs="宋体"/>
          <w:color w:val="000000" w:themeColor="text1"/>
          <w:sz w:val="24"/>
          <w14:textFill>
            <w14:solidFill>
              <w14:schemeClr w14:val="tx1"/>
            </w14:solidFill>
          </w14:textFill>
        </w:rPr>
        <w:t>采购人或采购代理机构依据法律法规和招标文件的规定，对投标人的资格进行审查。</w:t>
      </w:r>
    </w:p>
    <w:p w14:paraId="46420D30">
      <w:pPr>
        <w:pStyle w:val="12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19.2投标人未按照招标文件要求提供与</w:t>
      </w:r>
      <w:r>
        <w:rPr>
          <w:rFonts w:hint="eastAsia" w:ascii="宋体" w:hAnsi="宋体" w:cs="宋体"/>
          <w:color w:val="000000" w:themeColor="text1"/>
          <w14:textFill>
            <w14:solidFill>
              <w14:schemeClr w14:val="tx1"/>
            </w14:solidFill>
          </w14:textFill>
        </w:rPr>
        <w:t>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投标人不具备招标文件中规定的资格要求，其投标无效。</w:t>
      </w:r>
    </w:p>
    <w:p w14:paraId="783120FB">
      <w:pPr>
        <w:pStyle w:val="12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3对未通过资格审查的投标人，采购人或采购代理机构告知其未通过的原因。</w:t>
      </w:r>
    </w:p>
    <w:p w14:paraId="34F51175">
      <w:pPr>
        <w:pStyle w:val="12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4合格投标人不足3家的，不再评标。</w:t>
      </w:r>
    </w:p>
    <w:p w14:paraId="31F9FC5D">
      <w:pPr>
        <w:pStyle w:val="128"/>
        <w:numPr>
          <w:ilvl w:val="0"/>
          <w:numId w:val="5"/>
        </w:numPr>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信用信息查询</w:t>
      </w:r>
    </w:p>
    <w:p w14:paraId="4BB5811C">
      <w:pPr>
        <w:pStyle w:val="128"/>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20.1信用信息查询渠道及截止时间：采购人或采购代理机构将在资格审查时通过“信用中国”网站(www.creditchina.gov.cn)、中国政府采购网(www.ccgp.gov.cn)渠道查询投标人接受资格审查时的信用记录。</w:t>
      </w:r>
    </w:p>
    <w:p w14:paraId="73BDE8EF">
      <w:pPr>
        <w:pStyle w:val="128"/>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3364E3A1">
      <w:pPr>
        <w:pStyle w:val="128"/>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4B637814">
      <w:pPr>
        <w:pStyle w:val="12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14:paraId="3BDCEBBA">
      <w:pPr>
        <w:snapToGrid w:val="0"/>
        <w:spacing w:line="360" w:lineRule="auto"/>
        <w:jc w:val="center"/>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五、评标</w:t>
      </w:r>
    </w:p>
    <w:p w14:paraId="4318F640">
      <w:pPr>
        <w:spacing w:line="360" w:lineRule="auto"/>
        <w:rPr>
          <w:rFonts w:ascii="宋体" w:hAnsi="宋体" w:cs="宋体"/>
          <w:b/>
          <w:color w:val="000000" w:themeColor="text1"/>
          <w:sz w:val="24"/>
          <w14:textFill>
            <w14:solidFill>
              <w14:schemeClr w14:val="tx1"/>
            </w14:solidFill>
          </w14:textFill>
        </w:rPr>
      </w:pPr>
      <w:bookmarkStart w:id="14" w:name="_Toc91899903"/>
      <w:r>
        <w:rPr>
          <w:rFonts w:hint="eastAsia" w:ascii="宋体" w:hAnsi="宋体" w:cs="宋体"/>
          <w:b/>
          <w:color w:val="000000" w:themeColor="text1"/>
          <w:sz w:val="24"/>
          <w14:textFill>
            <w14:solidFill>
              <w14:schemeClr w14:val="tx1"/>
            </w14:solidFill>
          </w14:textFill>
        </w:rPr>
        <w:t>21.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14:textFill>
            <w14:solidFill>
              <w14:schemeClr w14:val="tx1"/>
            </w14:solidFill>
          </w14:textFill>
        </w:rPr>
        <w:t>详见招标文件第四部分评标办法。</w:t>
      </w:r>
    </w:p>
    <w:p w14:paraId="6767669F">
      <w:pPr>
        <w:snapToGrid w:val="0"/>
        <w:spacing w:line="360" w:lineRule="auto"/>
        <w:jc w:val="center"/>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六、定 标</w:t>
      </w:r>
    </w:p>
    <w:p w14:paraId="64CB9FA7">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 确定中标供应商</w:t>
      </w:r>
    </w:p>
    <w:p w14:paraId="175BDB7E">
      <w:pPr>
        <w:pStyle w:val="128"/>
        <w:snapToGrid w:val="0"/>
        <w:spacing w:before="0"/>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E219071">
      <w:pPr>
        <w:pStyle w:val="128"/>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23. 中标通知与中标结果公告</w:t>
      </w:r>
    </w:p>
    <w:p w14:paraId="64F2264C">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5D650C54">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2771179">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23.3公告期限为1个工作日。</w:t>
      </w:r>
    </w:p>
    <w:p w14:paraId="7B52B319">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七、合同授予</w:t>
      </w:r>
    </w:p>
    <w:p w14:paraId="3BCD22C0">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 xml:space="preserve">24. </w:t>
      </w:r>
      <w:r>
        <w:rPr>
          <w:rFonts w:hint="eastAsia" w:cs="宋体"/>
          <w:color w:val="000000" w:themeColor="text1"/>
          <w14:textFill>
            <w14:solidFill>
              <w14:schemeClr w14:val="tx1"/>
            </w14:solidFill>
          </w14:textFill>
        </w:rPr>
        <w:t>合同主要条款详见第五部分拟签订的合同文本。</w:t>
      </w:r>
    </w:p>
    <w:p w14:paraId="687A840F">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 合同的签订</w:t>
      </w:r>
    </w:p>
    <w:p w14:paraId="2A5A6662">
      <w:pPr>
        <w:widowControl/>
        <w:shd w:val="clear" w:color="auto" w:fill="FFFFFF"/>
        <w:spacing w:line="360" w:lineRule="auto"/>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25.1</w:t>
      </w:r>
      <w:r>
        <w:rPr>
          <w:rFonts w:hint="eastAsia" w:ascii="宋体" w:hAnsi="宋体" w:cs="宋体"/>
          <w:color w:val="000000" w:themeColor="text1"/>
          <w:kern w:val="0"/>
          <w:sz w:val="24"/>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086D5CC">
      <w:pPr>
        <w:pStyle w:val="128"/>
        <w:snapToGrid w:val="0"/>
        <w:spacing w:before="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30F835ED">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25.3如签订合同并生效后，供应商无故拒绝或延期，除按照合同条款处理外，列入不良行为记录一次，并给予通报。</w:t>
      </w:r>
    </w:p>
    <w:p w14:paraId="16644B4E">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63467DDD">
      <w:pPr>
        <w:pStyle w:val="128"/>
        <w:snapToGrid w:val="0"/>
        <w:spacing w:before="0" w:after="12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25.5采购合同由采购人与中标供应商根据招标文件、投标文件等内容通过政府采购电子交易平台在线签订，自动备案。</w:t>
      </w:r>
    </w:p>
    <w:p w14:paraId="0C855746">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26. 履约保证金</w:t>
      </w:r>
    </w:p>
    <w:p w14:paraId="760EB7FE">
      <w:pPr>
        <w:tabs>
          <w:tab w:val="left" w:pos="0"/>
        </w:tabs>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。履约保证金的数额不得超过政府采购合同金额的</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14:textFill>
            <w14:solidFill>
              <w14:schemeClr w14:val="tx1"/>
            </w14:solidFill>
          </w14:textFill>
        </w:rPr>
        <w:t>。</w:t>
      </w:r>
    </w:p>
    <w:p w14:paraId="54595E65">
      <w:pPr>
        <w:tabs>
          <w:tab w:val="left" w:pos="0"/>
        </w:tabs>
        <w:spacing w:line="360" w:lineRule="auto"/>
        <w:ind w:firstLine="482"/>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D76022D">
      <w:pPr>
        <w:pStyle w:val="2"/>
        <w:numPr>
          <w:ilvl w:val="0"/>
          <w:numId w:val="6"/>
        </w:numPr>
        <w:rPr>
          <w:color w:val="000000" w:themeColor="text1"/>
          <w14:textFill>
            <w14:solidFill>
              <w14:schemeClr w14:val="tx1"/>
            </w14:solidFill>
          </w14:textFill>
        </w:rPr>
      </w:pPr>
      <w:r>
        <w:rPr>
          <w:rFonts w:ascii="宋体" w:hAnsi="宋体" w:eastAsia="宋体"/>
          <w:color w:val="000000" w:themeColor="text1"/>
          <w:sz w:val="24"/>
          <w:lang w:val="en-US"/>
          <w14:textFill>
            <w14:solidFill>
              <w14:schemeClr w14:val="tx1"/>
            </w14:solidFill>
          </w14:textFill>
        </w:rPr>
        <w:t>预付款</w:t>
      </w:r>
    </w:p>
    <w:p w14:paraId="3987BA38">
      <w:pPr>
        <w:adjustRightInd/>
        <w:spacing w:line="360" w:lineRule="auto"/>
        <w:ind w:firstLine="480" w:firstLineChars="2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14:textFill>
            <w14:solidFill>
              <w14:schemeClr w14:val="tx1"/>
            </w14:solidFill>
          </w14:textFill>
        </w:rPr>
        <w:t>40％</w:t>
      </w:r>
      <w:r>
        <w:rPr>
          <w:rFonts w:hint="eastAsia" w:ascii="宋体" w:hAnsi="宋体"/>
          <w:color w:val="000000" w:themeColor="text1"/>
          <w:sz w:val="24"/>
          <w14:textFill>
            <w14:solidFill>
              <w14:schemeClr w14:val="tx1"/>
            </w14:solidFill>
          </w14:textFill>
        </w:rPr>
        <w:t>，不高于合同金额的</w:t>
      </w:r>
      <w:r>
        <w:rPr>
          <w:rFonts w:ascii="宋体" w:hAnsi="宋体"/>
          <w:color w:val="000000" w:themeColor="text1"/>
          <w:sz w:val="24"/>
          <w14:textFill>
            <w14:solidFill>
              <w14:schemeClr w14:val="tx1"/>
            </w14:solidFill>
          </w14:textFill>
        </w:rPr>
        <w:t>70%；项目分年安排预算的，每年预付款比例</w:t>
      </w:r>
      <w:r>
        <w:rPr>
          <w:rFonts w:hint="eastAsia" w:ascii="宋体" w:hAnsi="宋体"/>
          <w:color w:val="000000" w:themeColor="text1"/>
          <w:sz w:val="24"/>
          <w14:textFill>
            <w14:solidFill>
              <w14:schemeClr w14:val="tx1"/>
            </w14:solidFill>
          </w14:textFill>
        </w:rPr>
        <w:t>不低于</w:t>
      </w:r>
      <w:r>
        <w:rPr>
          <w:rFonts w:ascii="宋体" w:hAnsi="宋体"/>
          <w:color w:val="000000" w:themeColor="text1"/>
          <w:sz w:val="24"/>
          <w14:textFill>
            <w14:solidFill>
              <w14:schemeClr w14:val="tx1"/>
            </w14:solidFill>
          </w14:textFill>
        </w:rPr>
        <w:t>项目年度计划支付资金额的40％</w:t>
      </w:r>
      <w:r>
        <w:rPr>
          <w:rFonts w:hint="eastAsia" w:ascii="宋体" w:hAnsi="宋体"/>
          <w:color w:val="000000" w:themeColor="text1"/>
          <w:sz w:val="24"/>
          <w14:textFill>
            <w14:solidFill>
              <w14:schemeClr w14:val="tx1"/>
            </w14:solidFill>
          </w14:textFill>
        </w:rPr>
        <w:t>，不高于合同金额的</w:t>
      </w:r>
      <w:r>
        <w:rPr>
          <w:rFonts w:ascii="宋体" w:hAnsi="宋体"/>
          <w:color w:val="000000" w:themeColor="text1"/>
          <w:sz w:val="24"/>
          <w14:textFill>
            <w14:solidFill>
              <w14:schemeClr w14:val="tx1"/>
            </w14:solidFill>
          </w14:textFill>
        </w:rPr>
        <w:t>70%；采购项目实施以人工投入为主的，</w:t>
      </w:r>
      <w:r>
        <w:rPr>
          <w:rFonts w:hint="eastAsia" w:ascii="宋体" w:hAnsi="宋体"/>
          <w:color w:val="000000" w:themeColor="text1"/>
          <w:sz w:val="24"/>
          <w14:textFill>
            <w14:solidFill>
              <w14:schemeClr w14:val="tx1"/>
            </w14:solidFill>
          </w14:textFill>
        </w:rPr>
        <w:t>可适当降低预付款比例，但不得低于</w:t>
      </w:r>
      <w:r>
        <w:rPr>
          <w:rFonts w:ascii="宋体" w:hAnsi="宋体"/>
          <w:color w:val="000000" w:themeColor="text1"/>
          <w:sz w:val="24"/>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明确表示无需预付款或者主动要求降低预付款比例的，</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可不适用前述规定。</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根据项目特点、供应商诚信等因素，可以要求</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14:textFill>
            <w14:solidFill>
              <w14:schemeClr w14:val="tx1"/>
            </w14:solidFill>
          </w14:textFill>
        </w:rPr>
        <w:t>/保函受理—确认保单—支付保费—成功出单。政</w:t>
      </w:r>
      <w:r>
        <w:rPr>
          <w:rFonts w:hint="eastAsia" w:ascii="宋体" w:hAnsi="宋体"/>
          <w:color w:val="000000" w:themeColor="text1"/>
          <w:sz w:val="24"/>
          <w14:textFill>
            <w14:solidFill>
              <w14:schemeClr w14:val="tx1"/>
            </w14:solidFill>
          </w14:textFill>
        </w:rPr>
        <w:t>采云金融专线</w:t>
      </w:r>
      <w:r>
        <w:rPr>
          <w:rFonts w:ascii="宋体" w:hAnsi="宋体"/>
          <w:color w:val="000000" w:themeColor="text1"/>
          <w:sz w:val="24"/>
          <w14:textFill>
            <w14:solidFill>
              <w14:schemeClr w14:val="tx1"/>
            </w14:solidFill>
          </w14:textFill>
        </w:rPr>
        <w:t>400-903-9583。</w:t>
      </w:r>
    </w:p>
    <w:p w14:paraId="5461FFC9">
      <w:pPr>
        <w:snapToGrid w:val="0"/>
        <w:spacing w:line="360" w:lineRule="auto"/>
        <w:ind w:firstLine="3357" w:firstLineChars="1045"/>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八、电子交易活动的中止</w:t>
      </w:r>
    </w:p>
    <w:p w14:paraId="4C342B96">
      <w:pPr>
        <w:pStyle w:val="128"/>
        <w:snapToGrid w:val="0"/>
        <w:spacing w:before="0"/>
        <w:ind w:firstLine="0" w:firstLineChars="0"/>
        <w:rPr>
          <w:rFonts w:ascii="宋体" w:hAnsi="宋体" w:cs="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w:t>
      </w:r>
      <w:r>
        <w:rPr>
          <w:rFonts w:ascii="宋体" w:hAnsi="宋体" w:cs="宋体"/>
          <w:b/>
          <w:bCs/>
          <w:color w:val="000000" w:themeColor="text1"/>
          <w:szCs w:val="24"/>
          <w14:textFill>
            <w14:solidFill>
              <w14:schemeClr w14:val="tx1"/>
            </w14:solidFill>
          </w14:textFill>
        </w:rPr>
        <w:t>8</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14:paraId="0E0F9795">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28.1电子交易平台发生故障而无法登录访问的； </w:t>
      </w:r>
    </w:p>
    <w:p w14:paraId="7180EC18">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28.2电子交易平台应用或数据库出现错误，不能进行正常操作的；</w:t>
      </w:r>
    </w:p>
    <w:p w14:paraId="2616779A">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28.3电子交易平台发现严重安全漏洞，有潜在泄密危险的；</w:t>
      </w:r>
    </w:p>
    <w:p w14:paraId="3970CE00">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28.4病毒发作导致不能进行正常操作的； </w:t>
      </w:r>
    </w:p>
    <w:p w14:paraId="59CBFC14">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28.5其他无法保证电子交易的公平、公正和安全的情况。</w:t>
      </w:r>
    </w:p>
    <w:p w14:paraId="5E5F4013">
      <w:pPr>
        <w:pStyle w:val="128"/>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29.出现以上情形，不影响采购公平、公正性的，采购组织机构可以待上述情形消除后继续组织电子交易活动，也可以决定某些环节以纸质形式进行；影响或可能影响采购公平、公正性的，应当重新采购。</w:t>
      </w:r>
    </w:p>
    <w:p w14:paraId="7C36C3A7">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九、验收</w:t>
      </w:r>
    </w:p>
    <w:p w14:paraId="342378F6">
      <w:pPr>
        <w:pStyle w:val="24"/>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30. 验收</w:t>
      </w:r>
    </w:p>
    <w:p w14:paraId="0F32F9BF">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95B61DD">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0973EB31">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37379D">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68072990"/>
      <w:bookmarkEnd w:id="15"/>
      <w:bookmarkStart w:id="16" w:name="_Hlt75236101"/>
      <w:bookmarkEnd w:id="16"/>
      <w:bookmarkStart w:id="17" w:name="_Hlt68403820"/>
      <w:bookmarkEnd w:id="17"/>
      <w:bookmarkStart w:id="18" w:name="_Hlt74729768"/>
      <w:bookmarkEnd w:id="18"/>
      <w:bookmarkStart w:id="19" w:name="_Hlt68073093"/>
      <w:bookmarkEnd w:id="19"/>
      <w:bookmarkStart w:id="20" w:name="_Hlt74730295"/>
      <w:bookmarkEnd w:id="20"/>
      <w:bookmarkStart w:id="21" w:name="_Hlt74707468"/>
      <w:bookmarkEnd w:id="21"/>
      <w:bookmarkStart w:id="22" w:name="_Hlt75236011"/>
      <w:bookmarkEnd w:id="22"/>
      <w:bookmarkStart w:id="23" w:name="_Hlt68057669"/>
      <w:bookmarkEnd w:id="23"/>
      <w:bookmarkStart w:id="24" w:name="_Hlt75236290"/>
      <w:bookmarkEnd w:id="24"/>
      <w:bookmarkStart w:id="25" w:name="_Hlt68072998"/>
      <w:bookmarkEnd w:id="25"/>
      <w:bookmarkStart w:id="26" w:name="_Hlt74714665"/>
      <w:bookmarkEnd w:id="26"/>
      <w:r>
        <w:rPr>
          <w:rFonts w:hint="eastAsia" w:ascii="宋体" w:hAnsi="宋体" w:cs="宋体"/>
          <w:color w:val="000000" w:themeColor="text1"/>
          <w:kern w:val="0"/>
          <w:sz w:val="24"/>
          <w14:textFill>
            <w14:solidFill>
              <w14:schemeClr w14:val="tx1"/>
            </w14:solidFill>
          </w14:textFill>
        </w:rPr>
        <w:t>。</w:t>
      </w:r>
    </w:p>
    <w:p w14:paraId="4BA9E4A0">
      <w:pP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br w:type="page"/>
      </w:r>
    </w:p>
    <w:p w14:paraId="041964A4">
      <w:pPr>
        <w:pStyle w:val="2"/>
        <w:rPr>
          <w:color w:val="000000" w:themeColor="text1"/>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680" w:right="1418" w:bottom="468" w:left="1418" w:header="851" w:footer="992" w:gutter="0"/>
          <w:cols w:space="720" w:num="1"/>
          <w:titlePg/>
          <w:docGrid w:linePitch="312" w:charSpace="0"/>
        </w:sectPr>
      </w:pPr>
    </w:p>
    <w:bookmarkEnd w:id="9"/>
    <w:bookmarkEnd w:id="10"/>
    <w:p w14:paraId="3D911971">
      <w:pPr>
        <w:spacing w:line="360" w:lineRule="auto"/>
        <w:jc w:val="center"/>
        <w:outlineLvl w:val="0"/>
        <w:rPr>
          <w:rFonts w:ascii="宋体" w:hAnsi="宋体" w:cs="宋体"/>
          <w:b/>
          <w:color w:val="000000" w:themeColor="text1"/>
          <w:sz w:val="36"/>
          <w:szCs w:val="36"/>
          <w14:textFill>
            <w14:solidFill>
              <w14:schemeClr w14:val="tx1"/>
            </w14:solidFill>
          </w14:textFill>
        </w:rPr>
      </w:pPr>
      <w:bookmarkStart w:id="27" w:name="第四部分"/>
      <w:r>
        <w:rPr>
          <w:rFonts w:hint="eastAsia" w:ascii="宋体" w:hAnsi="宋体" w:cs="宋体"/>
          <w:b/>
          <w:color w:val="000000" w:themeColor="text1"/>
          <w:sz w:val="36"/>
          <w:szCs w:val="36"/>
          <w14:textFill>
            <w14:solidFill>
              <w14:schemeClr w14:val="tx1"/>
            </w14:solidFill>
          </w14:textFill>
        </w:rPr>
        <w:t>第三部分   采购需求</w:t>
      </w:r>
    </w:p>
    <w:p w14:paraId="4D2DD506">
      <w:pPr>
        <w:snapToGrid w:val="0"/>
        <w:rPr>
          <w:rStyle w:val="962"/>
          <w:i w:val="0"/>
          <w:iCs w:val="0"/>
          <w:color w:val="000000" w:themeColor="text1"/>
          <w14:textFill>
            <w14:solidFill>
              <w14:schemeClr w14:val="tx1"/>
            </w14:solidFill>
          </w14:textFill>
        </w:rPr>
      </w:pPr>
      <w:r>
        <w:rPr>
          <w:rStyle w:val="962"/>
          <w:rFonts w:hint="eastAsia"/>
          <w:i w:val="0"/>
          <w:iCs w:val="0"/>
          <w:color w:val="000000" w:themeColor="text1"/>
          <w14:textFill>
            <w14:solidFill>
              <w14:schemeClr w14:val="tx1"/>
            </w14:solidFill>
          </w14:textFill>
        </w:rPr>
        <w:t>属于实质性要求条款的，请用符号“▲”标明，否则属于非实质性要求。“★”系产品采购项目中单一产品或核心产品。</w:t>
      </w:r>
    </w:p>
    <w:p w14:paraId="5FB4E920">
      <w:pPr>
        <w:pStyle w:val="2"/>
        <w:numPr>
          <w:ilvl w:val="0"/>
          <w:numId w:val="7"/>
        </w:num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招标一览表</w:t>
      </w:r>
    </w:p>
    <w:p w14:paraId="3A604991">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标项一：</w:t>
      </w:r>
    </w:p>
    <w:tbl>
      <w:tblPr>
        <w:tblStyle w:val="62"/>
        <w:tblpPr w:leftFromText="180" w:rightFromText="180" w:vertAnchor="text" w:horzAnchor="page" w:tblpX="1508" w:tblpY="260"/>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235"/>
        <w:gridCol w:w="1048"/>
        <w:gridCol w:w="627"/>
        <w:gridCol w:w="1268"/>
        <w:gridCol w:w="1569"/>
        <w:gridCol w:w="1409"/>
      </w:tblGrid>
      <w:tr w14:paraId="7387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0" w:hRule="atLeast"/>
        </w:trPr>
        <w:tc>
          <w:tcPr>
            <w:tcW w:w="523" w:type="dxa"/>
            <w:tcMar>
              <w:top w:w="15" w:type="dxa"/>
              <w:left w:w="15" w:type="dxa"/>
              <w:bottom w:w="0" w:type="dxa"/>
              <w:right w:w="15" w:type="dxa"/>
            </w:tcMar>
            <w:vAlign w:val="center"/>
          </w:tcPr>
          <w:p w14:paraId="1AF30A75">
            <w:pPr>
              <w:tabs>
                <w:tab w:val="left" w:pos="0"/>
              </w:tabs>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2235" w:type="dxa"/>
            <w:tcMar>
              <w:top w:w="15" w:type="dxa"/>
              <w:left w:w="15" w:type="dxa"/>
              <w:bottom w:w="0" w:type="dxa"/>
              <w:right w:w="15" w:type="dxa"/>
            </w:tcMar>
            <w:vAlign w:val="center"/>
          </w:tcPr>
          <w:p w14:paraId="78E4E89E">
            <w:pPr>
              <w:tabs>
                <w:tab w:val="left" w:pos="0"/>
              </w:tabs>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w:t>
            </w:r>
          </w:p>
        </w:tc>
        <w:tc>
          <w:tcPr>
            <w:tcW w:w="1048" w:type="dxa"/>
            <w:tcMar>
              <w:top w:w="15" w:type="dxa"/>
              <w:left w:w="15" w:type="dxa"/>
              <w:bottom w:w="0" w:type="dxa"/>
              <w:right w:w="15" w:type="dxa"/>
            </w:tcMar>
            <w:vAlign w:val="center"/>
          </w:tcPr>
          <w:p w14:paraId="00BCE57F">
            <w:pPr>
              <w:tabs>
                <w:tab w:val="left" w:pos="0"/>
              </w:tabs>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627" w:type="dxa"/>
            <w:tcMar>
              <w:top w:w="15" w:type="dxa"/>
              <w:left w:w="15" w:type="dxa"/>
              <w:bottom w:w="0" w:type="dxa"/>
              <w:right w:w="15" w:type="dxa"/>
            </w:tcMar>
            <w:vAlign w:val="center"/>
          </w:tcPr>
          <w:p w14:paraId="69BCE26C">
            <w:pPr>
              <w:tabs>
                <w:tab w:val="left" w:pos="0"/>
              </w:tabs>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w:t>
            </w:r>
          </w:p>
        </w:tc>
        <w:tc>
          <w:tcPr>
            <w:tcW w:w="1268" w:type="dxa"/>
            <w:vAlign w:val="center"/>
          </w:tcPr>
          <w:p w14:paraId="0E47264D">
            <w:pPr>
              <w:tabs>
                <w:tab w:val="left" w:pos="0"/>
              </w:tabs>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预算（元）</w:t>
            </w:r>
          </w:p>
        </w:tc>
        <w:tc>
          <w:tcPr>
            <w:tcW w:w="1569" w:type="dxa"/>
            <w:vAlign w:val="center"/>
          </w:tcPr>
          <w:p w14:paraId="5A95077A">
            <w:pPr>
              <w:tabs>
                <w:tab w:val="left" w:pos="0"/>
              </w:tabs>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简要规格描述或基本情况介绍</w:t>
            </w:r>
          </w:p>
        </w:tc>
        <w:tc>
          <w:tcPr>
            <w:tcW w:w="1409" w:type="dxa"/>
            <w:vAlign w:val="center"/>
          </w:tcPr>
          <w:p w14:paraId="224CB34E">
            <w:pPr>
              <w:tabs>
                <w:tab w:val="left" w:pos="0"/>
              </w:tabs>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最高限价（元）</w:t>
            </w:r>
          </w:p>
        </w:tc>
      </w:tr>
      <w:tr w14:paraId="5C5E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3104B21A">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position w:val="-6"/>
                <w:sz w:val="24"/>
                <w14:textFill>
                  <w14:solidFill>
                    <w14:schemeClr w14:val="tx1"/>
                  </w14:solidFill>
                </w14:textFill>
              </w:rPr>
              <w:t>1</w:t>
            </w:r>
          </w:p>
        </w:tc>
        <w:tc>
          <w:tcPr>
            <w:tcW w:w="2235" w:type="dxa"/>
            <w:tcMar>
              <w:top w:w="15" w:type="dxa"/>
              <w:left w:w="15" w:type="dxa"/>
              <w:bottom w:w="0" w:type="dxa"/>
              <w:right w:w="15" w:type="dxa"/>
            </w:tcMar>
            <w:vAlign w:val="center"/>
          </w:tcPr>
          <w:p w14:paraId="1C31561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position w:val="-6"/>
                <w:sz w:val="24"/>
                <w14:textFill>
                  <w14:solidFill>
                    <w14:schemeClr w14:val="tx1"/>
                  </w14:solidFill>
                </w14:textFill>
              </w:rPr>
              <w:t>小学空白作业本</w:t>
            </w:r>
          </w:p>
        </w:tc>
        <w:tc>
          <w:tcPr>
            <w:tcW w:w="1048" w:type="dxa"/>
            <w:tcMar>
              <w:top w:w="15" w:type="dxa"/>
              <w:left w:w="15" w:type="dxa"/>
              <w:bottom w:w="0" w:type="dxa"/>
              <w:right w:w="15" w:type="dxa"/>
            </w:tcMar>
            <w:vAlign w:val="center"/>
          </w:tcPr>
          <w:p w14:paraId="2BC1084D">
            <w:pPr>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266000</w:t>
            </w:r>
          </w:p>
        </w:tc>
        <w:tc>
          <w:tcPr>
            <w:tcW w:w="627" w:type="dxa"/>
            <w:tcMar>
              <w:top w:w="15" w:type="dxa"/>
              <w:left w:w="15" w:type="dxa"/>
              <w:bottom w:w="0" w:type="dxa"/>
              <w:right w:w="15" w:type="dxa"/>
            </w:tcMar>
            <w:vAlign w:val="center"/>
          </w:tcPr>
          <w:p w14:paraId="2768382F">
            <w:pPr>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套</w:t>
            </w:r>
          </w:p>
        </w:tc>
        <w:tc>
          <w:tcPr>
            <w:tcW w:w="1268" w:type="dxa"/>
            <w:vAlign w:val="center"/>
          </w:tcPr>
          <w:p w14:paraId="64401E1E">
            <w:pPr>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2831000</w:t>
            </w:r>
          </w:p>
        </w:tc>
        <w:tc>
          <w:tcPr>
            <w:tcW w:w="1569" w:type="dxa"/>
            <w:vAlign w:val="center"/>
          </w:tcPr>
          <w:p w14:paraId="0AD043D6">
            <w:pPr>
              <w:tabs>
                <w:tab w:val="left" w:pos="0"/>
              </w:tabs>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详见采购需求</w:t>
            </w:r>
          </w:p>
        </w:tc>
        <w:tc>
          <w:tcPr>
            <w:tcW w:w="1409" w:type="dxa"/>
            <w:vAlign w:val="center"/>
          </w:tcPr>
          <w:p w14:paraId="72C72189">
            <w:pPr>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2831000</w:t>
            </w:r>
          </w:p>
        </w:tc>
      </w:tr>
      <w:tr w14:paraId="0E26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2F4E6B28">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position w:val="-6"/>
                <w:sz w:val="24"/>
                <w14:textFill>
                  <w14:solidFill>
                    <w14:schemeClr w14:val="tx1"/>
                  </w14:solidFill>
                </w14:textFill>
              </w:rPr>
              <w:t>2</w:t>
            </w:r>
          </w:p>
        </w:tc>
        <w:tc>
          <w:tcPr>
            <w:tcW w:w="2235" w:type="dxa"/>
            <w:tcMar>
              <w:top w:w="15" w:type="dxa"/>
              <w:left w:w="15" w:type="dxa"/>
              <w:bottom w:w="0" w:type="dxa"/>
              <w:right w:w="15" w:type="dxa"/>
            </w:tcMar>
            <w:vAlign w:val="center"/>
          </w:tcPr>
          <w:p w14:paraId="6E71A6F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position w:val="-6"/>
                <w:sz w:val="24"/>
                <w14:textFill>
                  <w14:solidFill>
                    <w14:schemeClr w14:val="tx1"/>
                  </w14:solidFill>
                </w14:textFill>
              </w:rPr>
              <w:t>初中空白作业本</w:t>
            </w:r>
          </w:p>
        </w:tc>
        <w:tc>
          <w:tcPr>
            <w:tcW w:w="1048" w:type="dxa"/>
            <w:tcMar>
              <w:top w:w="15" w:type="dxa"/>
              <w:left w:w="15" w:type="dxa"/>
              <w:bottom w:w="0" w:type="dxa"/>
              <w:right w:w="15" w:type="dxa"/>
            </w:tcMar>
            <w:vAlign w:val="center"/>
          </w:tcPr>
          <w:p w14:paraId="191F0582">
            <w:pPr>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102000</w:t>
            </w:r>
          </w:p>
        </w:tc>
        <w:tc>
          <w:tcPr>
            <w:tcW w:w="627" w:type="dxa"/>
            <w:tcMar>
              <w:top w:w="15" w:type="dxa"/>
              <w:left w:w="15" w:type="dxa"/>
              <w:bottom w:w="0" w:type="dxa"/>
              <w:right w:w="15" w:type="dxa"/>
            </w:tcMar>
            <w:vAlign w:val="center"/>
          </w:tcPr>
          <w:p w14:paraId="5623137B">
            <w:pPr>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套</w:t>
            </w:r>
          </w:p>
        </w:tc>
        <w:tc>
          <w:tcPr>
            <w:tcW w:w="1268" w:type="dxa"/>
            <w:vAlign w:val="center"/>
          </w:tcPr>
          <w:p w14:paraId="1AAF4BEC">
            <w:pPr>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1683000</w:t>
            </w:r>
          </w:p>
        </w:tc>
        <w:tc>
          <w:tcPr>
            <w:tcW w:w="1569" w:type="dxa"/>
            <w:vAlign w:val="center"/>
          </w:tcPr>
          <w:p w14:paraId="52006856">
            <w:pPr>
              <w:tabs>
                <w:tab w:val="left" w:pos="0"/>
              </w:tabs>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详见采购需求</w:t>
            </w:r>
          </w:p>
        </w:tc>
        <w:tc>
          <w:tcPr>
            <w:tcW w:w="1409" w:type="dxa"/>
            <w:vAlign w:val="center"/>
          </w:tcPr>
          <w:p w14:paraId="74AF8FA5">
            <w:pPr>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1683000</w:t>
            </w:r>
          </w:p>
        </w:tc>
      </w:tr>
    </w:tbl>
    <w:p w14:paraId="7957DE04">
      <w:pPr>
        <w:pStyle w:val="2"/>
        <w:ind w:left="0" w:firstLine="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注：▲投标人需在投标（开标）一览表中明确投标报价（总价）及以上各分项小计报价，各分项小计报价不得超过上表各最高限价。严格执行预算限价，项目如涉及办公用房装修、通用办公设备家具的不得超限额标准。（萧财国资【2019】389号）</w:t>
      </w:r>
    </w:p>
    <w:p w14:paraId="5C46AA8F">
      <w:pPr>
        <w:rPr>
          <w:rFonts w:hint="eastAsia" w:ascii="宋体" w:hAnsi="宋体" w:eastAsia="宋体" w:cs="宋体"/>
          <w:color w:val="000000" w:themeColor="text1"/>
          <w:sz w:val="22"/>
          <w:szCs w:val="22"/>
          <w14:textFill>
            <w14:solidFill>
              <w14:schemeClr w14:val="tx1"/>
            </w14:solidFill>
          </w14:textFill>
        </w:rPr>
      </w:pPr>
    </w:p>
    <w:p w14:paraId="64FEB0C1">
      <w:pPr>
        <w:pStyle w:val="2"/>
        <w:rPr>
          <w:rFonts w:hint="eastAsia" w:ascii="宋体" w:hAnsi="宋体" w:eastAsia="宋体" w:cs="宋体"/>
          <w:color w:val="000000" w:themeColor="text1"/>
          <w:sz w:val="22"/>
          <w:szCs w:val="22"/>
          <w14:textFill>
            <w14:solidFill>
              <w14:schemeClr w14:val="tx1"/>
            </w14:solidFill>
          </w14:textFill>
        </w:rPr>
      </w:pPr>
    </w:p>
    <w:p w14:paraId="0E8D9A35">
      <w:pPr>
        <w:rPr>
          <w:rFonts w:hint="eastAsia" w:ascii="宋体" w:hAnsi="宋体" w:eastAsia="宋体" w:cs="宋体"/>
          <w:color w:val="000000" w:themeColor="text1"/>
          <w:sz w:val="22"/>
          <w:szCs w:val="22"/>
          <w14:textFill>
            <w14:solidFill>
              <w14:schemeClr w14:val="tx1"/>
            </w14:solidFill>
          </w14:textFill>
        </w:rPr>
      </w:pPr>
    </w:p>
    <w:p w14:paraId="638E99F7">
      <w:pPr>
        <w:pStyle w:val="2"/>
        <w:rPr>
          <w:rFonts w:hint="eastAsia" w:ascii="宋体" w:hAnsi="宋体" w:eastAsia="宋体" w:cs="宋体"/>
          <w:color w:val="000000" w:themeColor="text1"/>
          <w:sz w:val="22"/>
          <w:szCs w:val="22"/>
          <w14:textFill>
            <w14:solidFill>
              <w14:schemeClr w14:val="tx1"/>
            </w14:solidFill>
          </w14:textFill>
        </w:rPr>
      </w:pPr>
    </w:p>
    <w:p w14:paraId="2BDE2AD0">
      <w:pPr>
        <w:rPr>
          <w:rFonts w:hint="eastAsia" w:ascii="宋体" w:hAnsi="宋体" w:eastAsia="宋体" w:cs="宋体"/>
          <w:color w:val="000000" w:themeColor="text1"/>
          <w:sz w:val="22"/>
          <w:szCs w:val="22"/>
          <w14:textFill>
            <w14:solidFill>
              <w14:schemeClr w14:val="tx1"/>
            </w14:solidFill>
          </w14:textFill>
        </w:rPr>
      </w:pPr>
    </w:p>
    <w:p w14:paraId="5F271179">
      <w:pPr>
        <w:pStyle w:val="2"/>
        <w:rPr>
          <w:rFonts w:hint="eastAsia" w:ascii="宋体" w:hAnsi="宋体" w:eastAsia="宋体" w:cs="宋体"/>
          <w:color w:val="000000" w:themeColor="text1"/>
          <w:sz w:val="22"/>
          <w:szCs w:val="22"/>
          <w14:textFill>
            <w14:solidFill>
              <w14:schemeClr w14:val="tx1"/>
            </w14:solidFill>
          </w14:textFill>
        </w:rPr>
      </w:pPr>
    </w:p>
    <w:p w14:paraId="5333353E">
      <w:pPr>
        <w:rPr>
          <w:rFonts w:hint="eastAsia" w:ascii="宋体" w:hAnsi="宋体" w:eastAsia="宋体" w:cs="宋体"/>
          <w:color w:val="000000" w:themeColor="text1"/>
          <w:sz w:val="22"/>
          <w:szCs w:val="22"/>
          <w14:textFill>
            <w14:solidFill>
              <w14:schemeClr w14:val="tx1"/>
            </w14:solidFill>
          </w14:textFill>
        </w:rPr>
      </w:pPr>
    </w:p>
    <w:p w14:paraId="2FEEEA8B">
      <w:pPr>
        <w:pStyle w:val="2"/>
        <w:rPr>
          <w:rFonts w:hint="eastAsia" w:ascii="宋体" w:hAnsi="宋体" w:eastAsia="宋体" w:cs="宋体"/>
          <w:color w:val="000000" w:themeColor="text1"/>
          <w:sz w:val="22"/>
          <w:szCs w:val="22"/>
          <w14:textFill>
            <w14:solidFill>
              <w14:schemeClr w14:val="tx1"/>
            </w14:solidFill>
          </w14:textFill>
        </w:rPr>
      </w:pPr>
    </w:p>
    <w:p w14:paraId="7EC7FD78">
      <w:pPr>
        <w:rPr>
          <w:rFonts w:hint="eastAsia" w:ascii="宋体" w:hAnsi="宋体" w:eastAsia="宋体" w:cs="宋体"/>
          <w:color w:val="000000" w:themeColor="text1"/>
          <w:sz w:val="22"/>
          <w:szCs w:val="22"/>
          <w14:textFill>
            <w14:solidFill>
              <w14:schemeClr w14:val="tx1"/>
            </w14:solidFill>
          </w14:textFill>
        </w:rPr>
      </w:pPr>
    </w:p>
    <w:p w14:paraId="3E002812">
      <w:pPr>
        <w:pStyle w:val="2"/>
        <w:rPr>
          <w:rFonts w:hint="eastAsia" w:ascii="宋体" w:hAnsi="宋体" w:eastAsia="宋体" w:cs="宋体"/>
          <w:color w:val="000000" w:themeColor="text1"/>
          <w:sz w:val="22"/>
          <w:szCs w:val="22"/>
          <w14:textFill>
            <w14:solidFill>
              <w14:schemeClr w14:val="tx1"/>
            </w14:solidFill>
          </w14:textFill>
        </w:rPr>
      </w:pPr>
    </w:p>
    <w:p w14:paraId="10490DFE">
      <w:pPr>
        <w:rPr>
          <w:rFonts w:hint="eastAsia" w:ascii="宋体" w:hAnsi="宋体" w:eastAsia="宋体" w:cs="宋体"/>
          <w:color w:val="000000" w:themeColor="text1"/>
          <w:sz w:val="22"/>
          <w:szCs w:val="22"/>
          <w14:textFill>
            <w14:solidFill>
              <w14:schemeClr w14:val="tx1"/>
            </w14:solidFill>
          </w14:textFill>
        </w:rPr>
      </w:pPr>
    </w:p>
    <w:p w14:paraId="464556F5">
      <w:pPr>
        <w:pStyle w:val="2"/>
        <w:ind w:left="0" w:leftChars="0" w:firstLine="0" w:firstLineChars="0"/>
        <w:rPr>
          <w:rFonts w:hint="eastAsia" w:ascii="宋体" w:hAnsi="宋体" w:eastAsia="宋体" w:cs="宋体"/>
          <w:color w:val="000000" w:themeColor="text1"/>
          <w:sz w:val="22"/>
          <w:szCs w:val="22"/>
          <w14:textFill>
            <w14:solidFill>
              <w14:schemeClr w14:val="tx1"/>
            </w14:solidFill>
          </w14:textFill>
        </w:rPr>
      </w:pPr>
    </w:p>
    <w:p w14:paraId="4C75FFEA">
      <w:pPr>
        <w:rPr>
          <w:rFonts w:hint="eastAsia" w:ascii="宋体" w:hAnsi="宋体" w:eastAsia="宋体" w:cs="宋体"/>
          <w:color w:val="000000" w:themeColor="text1"/>
          <w:sz w:val="22"/>
          <w:szCs w:val="22"/>
          <w14:textFill>
            <w14:solidFill>
              <w14:schemeClr w14:val="tx1"/>
            </w14:solidFill>
          </w14:textFill>
        </w:rPr>
      </w:pPr>
    </w:p>
    <w:p w14:paraId="60E55B96">
      <w:pPr>
        <w:pStyle w:val="2"/>
        <w:rPr>
          <w:color w:val="000000" w:themeColor="text1"/>
          <w14:textFill>
            <w14:solidFill>
              <w14:schemeClr w14:val="tx1"/>
            </w14:solidFill>
          </w14:textFill>
        </w:rPr>
      </w:pPr>
    </w:p>
    <w:p w14:paraId="1D2BBA22">
      <w:pPr>
        <w:pStyle w:val="2"/>
        <w:numPr>
          <w:ilvl w:val="0"/>
          <w:numId w:val="7"/>
        </w:numPr>
        <w:jc w:val="center"/>
        <w:rPr>
          <w:rFonts w:ascii="宋体" w:hAnsi="宋体" w:eastAsia="宋体" w:cs="宋体"/>
          <w:color w:val="000000" w:themeColor="text1"/>
          <w:lang w:val="en-US"/>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采购需求</w:t>
      </w:r>
    </w:p>
    <w:p w14:paraId="31906386">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1、技术需求</w:t>
      </w:r>
    </w:p>
    <w:p w14:paraId="0B46D5DD">
      <w:pPr>
        <w:spacing w:line="60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（1）、小学空白作业本</w:t>
      </w:r>
    </w:p>
    <w:tbl>
      <w:tblPr>
        <w:tblStyle w:val="62"/>
        <w:tblW w:w="9229" w:type="dxa"/>
        <w:tblInd w:w="93" w:type="dxa"/>
        <w:tblLayout w:type="fixed"/>
        <w:tblCellMar>
          <w:top w:w="0" w:type="dxa"/>
          <w:left w:w="108" w:type="dxa"/>
          <w:bottom w:w="0" w:type="dxa"/>
          <w:right w:w="108" w:type="dxa"/>
        </w:tblCellMar>
      </w:tblPr>
      <w:tblGrid>
        <w:gridCol w:w="519"/>
        <w:gridCol w:w="772"/>
        <w:gridCol w:w="1134"/>
        <w:gridCol w:w="709"/>
        <w:gridCol w:w="1186"/>
        <w:gridCol w:w="524"/>
        <w:gridCol w:w="983"/>
        <w:gridCol w:w="2126"/>
        <w:gridCol w:w="1276"/>
      </w:tblGrid>
      <w:tr w14:paraId="21A6C2D9">
        <w:tblPrEx>
          <w:tblCellMar>
            <w:top w:w="0" w:type="dxa"/>
            <w:left w:w="108" w:type="dxa"/>
            <w:bottom w:w="0" w:type="dxa"/>
            <w:right w:w="108" w:type="dxa"/>
          </w:tblCellMar>
        </w:tblPrEx>
        <w:trPr>
          <w:trHeight w:val="570" w:hRule="atLeast"/>
        </w:trPr>
        <w:tc>
          <w:tcPr>
            <w:tcW w:w="519" w:type="dxa"/>
            <w:tcBorders>
              <w:top w:val="single" w:color="auto" w:sz="4" w:space="0"/>
              <w:left w:val="single" w:color="auto" w:sz="4" w:space="0"/>
              <w:bottom w:val="single" w:color="auto" w:sz="4" w:space="0"/>
              <w:right w:val="single" w:color="auto" w:sz="4" w:space="0"/>
            </w:tcBorders>
            <w:vAlign w:val="center"/>
          </w:tcPr>
          <w:p w14:paraId="37872C05">
            <w:pPr>
              <w:widowControl/>
              <w:adjustRightInd/>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772" w:type="dxa"/>
            <w:tcBorders>
              <w:top w:val="single" w:color="auto" w:sz="4" w:space="0"/>
              <w:left w:val="nil"/>
              <w:bottom w:val="single" w:color="auto" w:sz="4" w:space="0"/>
              <w:right w:val="single" w:color="auto" w:sz="4" w:space="0"/>
            </w:tcBorders>
            <w:vAlign w:val="center"/>
          </w:tcPr>
          <w:p w14:paraId="57B08026">
            <w:pPr>
              <w:widowControl/>
              <w:adjustRightInd/>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年级</w:t>
            </w:r>
          </w:p>
        </w:tc>
        <w:tc>
          <w:tcPr>
            <w:tcW w:w="1134" w:type="dxa"/>
            <w:tcBorders>
              <w:top w:val="single" w:color="auto" w:sz="4" w:space="0"/>
              <w:left w:val="nil"/>
              <w:bottom w:val="single" w:color="auto" w:sz="4" w:space="0"/>
              <w:right w:val="single" w:color="auto" w:sz="4" w:space="0"/>
            </w:tcBorders>
            <w:vAlign w:val="center"/>
          </w:tcPr>
          <w:p w14:paraId="293124D2">
            <w:pPr>
              <w:widowControl/>
              <w:adjustRightInd/>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作业本名称</w:t>
            </w:r>
          </w:p>
        </w:tc>
        <w:tc>
          <w:tcPr>
            <w:tcW w:w="709" w:type="dxa"/>
            <w:tcBorders>
              <w:top w:val="single" w:color="auto" w:sz="4" w:space="0"/>
              <w:left w:val="nil"/>
              <w:bottom w:val="single" w:color="auto" w:sz="4" w:space="0"/>
              <w:right w:val="single" w:color="auto" w:sz="4" w:space="0"/>
            </w:tcBorders>
            <w:vAlign w:val="center"/>
          </w:tcPr>
          <w:p w14:paraId="5D5E5F29">
            <w:pPr>
              <w:widowControl/>
              <w:adjustRightInd/>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数量</w:t>
            </w:r>
          </w:p>
        </w:tc>
        <w:tc>
          <w:tcPr>
            <w:tcW w:w="1186" w:type="dxa"/>
            <w:tcBorders>
              <w:top w:val="single" w:color="auto" w:sz="4" w:space="0"/>
              <w:left w:val="nil"/>
              <w:bottom w:val="single" w:color="auto" w:sz="4" w:space="0"/>
              <w:right w:val="single" w:color="auto" w:sz="4" w:space="0"/>
            </w:tcBorders>
            <w:vAlign w:val="center"/>
          </w:tcPr>
          <w:p w14:paraId="08757DB1">
            <w:pPr>
              <w:widowControl/>
              <w:adjustRightInd/>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规格</w:t>
            </w:r>
          </w:p>
        </w:tc>
        <w:tc>
          <w:tcPr>
            <w:tcW w:w="524" w:type="dxa"/>
            <w:tcBorders>
              <w:top w:val="single" w:color="auto" w:sz="4" w:space="0"/>
              <w:left w:val="nil"/>
              <w:bottom w:val="single" w:color="auto" w:sz="4" w:space="0"/>
              <w:right w:val="single" w:color="auto" w:sz="4" w:space="0"/>
            </w:tcBorders>
            <w:vAlign w:val="center"/>
          </w:tcPr>
          <w:p w14:paraId="1E63A1F4">
            <w:pPr>
              <w:widowControl/>
              <w:adjustRightInd/>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单位</w:t>
            </w:r>
          </w:p>
        </w:tc>
        <w:tc>
          <w:tcPr>
            <w:tcW w:w="983" w:type="dxa"/>
            <w:tcBorders>
              <w:top w:val="single" w:color="auto" w:sz="4" w:space="0"/>
              <w:left w:val="nil"/>
              <w:bottom w:val="single" w:color="auto" w:sz="4" w:space="0"/>
              <w:right w:val="single" w:color="auto" w:sz="4" w:space="0"/>
            </w:tcBorders>
            <w:vAlign w:val="center"/>
          </w:tcPr>
          <w:p w14:paraId="6F48DF63">
            <w:pPr>
              <w:widowControl/>
              <w:adjustRightInd/>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数量</w:t>
            </w:r>
          </w:p>
        </w:tc>
        <w:tc>
          <w:tcPr>
            <w:tcW w:w="2126" w:type="dxa"/>
            <w:tcBorders>
              <w:top w:val="single" w:color="auto" w:sz="4" w:space="0"/>
              <w:left w:val="nil"/>
              <w:bottom w:val="single" w:color="auto" w:sz="4" w:space="0"/>
              <w:right w:val="single" w:color="auto" w:sz="4" w:space="0"/>
            </w:tcBorders>
            <w:vAlign w:val="center"/>
          </w:tcPr>
          <w:p w14:paraId="59AEB952">
            <w:pPr>
              <w:widowControl/>
              <w:adjustRightInd/>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质量要求</w:t>
            </w:r>
          </w:p>
        </w:tc>
        <w:tc>
          <w:tcPr>
            <w:tcW w:w="1276" w:type="dxa"/>
            <w:tcBorders>
              <w:top w:val="single" w:color="auto" w:sz="4" w:space="0"/>
              <w:left w:val="nil"/>
              <w:bottom w:val="single" w:color="auto" w:sz="4" w:space="0"/>
              <w:right w:val="single" w:color="auto" w:sz="4" w:space="0"/>
            </w:tcBorders>
            <w:vAlign w:val="center"/>
          </w:tcPr>
          <w:p w14:paraId="1F086F69">
            <w:pPr>
              <w:widowControl/>
              <w:adjustRightInd/>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备注</w:t>
            </w:r>
          </w:p>
        </w:tc>
      </w:tr>
      <w:tr w14:paraId="2029266E">
        <w:tblPrEx>
          <w:tblCellMar>
            <w:top w:w="0" w:type="dxa"/>
            <w:left w:w="108" w:type="dxa"/>
            <w:bottom w:w="0" w:type="dxa"/>
            <w:right w:w="108" w:type="dxa"/>
          </w:tblCellMar>
        </w:tblPrEx>
        <w:trPr>
          <w:trHeight w:val="465" w:hRule="atLeast"/>
        </w:trPr>
        <w:tc>
          <w:tcPr>
            <w:tcW w:w="519" w:type="dxa"/>
            <w:vMerge w:val="restart"/>
            <w:tcBorders>
              <w:top w:val="nil"/>
              <w:left w:val="single" w:color="auto" w:sz="4" w:space="0"/>
              <w:bottom w:val="single" w:color="auto" w:sz="4" w:space="0"/>
              <w:right w:val="single" w:color="auto" w:sz="4" w:space="0"/>
            </w:tcBorders>
            <w:vAlign w:val="center"/>
          </w:tcPr>
          <w:p w14:paraId="158DBF0C">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772" w:type="dxa"/>
            <w:vMerge w:val="restart"/>
            <w:tcBorders>
              <w:top w:val="nil"/>
              <w:left w:val="single" w:color="auto" w:sz="4" w:space="0"/>
              <w:bottom w:val="single" w:color="auto" w:sz="4" w:space="0"/>
              <w:right w:val="single" w:color="auto" w:sz="4" w:space="0"/>
            </w:tcBorders>
            <w:vAlign w:val="center"/>
          </w:tcPr>
          <w:p w14:paraId="79E6FC62">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小学一年级</w:t>
            </w:r>
          </w:p>
        </w:tc>
        <w:tc>
          <w:tcPr>
            <w:tcW w:w="1134" w:type="dxa"/>
            <w:tcBorders>
              <w:top w:val="nil"/>
              <w:left w:val="nil"/>
              <w:bottom w:val="single" w:color="auto" w:sz="4" w:space="0"/>
              <w:right w:val="single" w:color="auto" w:sz="4" w:space="0"/>
            </w:tcBorders>
            <w:vAlign w:val="center"/>
          </w:tcPr>
          <w:p w14:paraId="2D6D3151">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田字本</w:t>
            </w:r>
          </w:p>
        </w:tc>
        <w:tc>
          <w:tcPr>
            <w:tcW w:w="709" w:type="dxa"/>
            <w:tcBorders>
              <w:top w:val="nil"/>
              <w:left w:val="nil"/>
              <w:bottom w:val="single" w:color="auto" w:sz="4" w:space="0"/>
              <w:right w:val="single" w:color="auto" w:sz="4" w:space="0"/>
            </w:tcBorders>
            <w:vAlign w:val="center"/>
          </w:tcPr>
          <w:p w14:paraId="5109B1B0">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2本</w:t>
            </w:r>
          </w:p>
        </w:tc>
        <w:tc>
          <w:tcPr>
            <w:tcW w:w="1186" w:type="dxa"/>
            <w:tcBorders>
              <w:top w:val="nil"/>
              <w:left w:val="nil"/>
              <w:bottom w:val="single" w:color="auto" w:sz="4" w:space="0"/>
              <w:right w:val="single" w:color="auto" w:sz="4" w:space="0"/>
            </w:tcBorders>
            <w:vAlign w:val="center"/>
          </w:tcPr>
          <w:p w14:paraId="7BF28ECA">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32K 36页</w:t>
            </w:r>
          </w:p>
        </w:tc>
        <w:tc>
          <w:tcPr>
            <w:tcW w:w="524" w:type="dxa"/>
            <w:vMerge w:val="restart"/>
            <w:tcBorders>
              <w:top w:val="nil"/>
              <w:left w:val="single" w:color="auto" w:sz="4" w:space="0"/>
              <w:bottom w:val="single" w:color="auto" w:sz="4" w:space="0"/>
              <w:right w:val="single" w:color="auto" w:sz="4" w:space="0"/>
            </w:tcBorders>
            <w:vAlign w:val="center"/>
          </w:tcPr>
          <w:p w14:paraId="235CE421">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套</w:t>
            </w:r>
          </w:p>
        </w:tc>
        <w:tc>
          <w:tcPr>
            <w:tcW w:w="983" w:type="dxa"/>
            <w:vMerge w:val="restart"/>
            <w:tcBorders>
              <w:top w:val="nil"/>
              <w:left w:val="single" w:color="auto" w:sz="4" w:space="0"/>
              <w:bottom w:val="single" w:color="auto" w:sz="4" w:space="0"/>
              <w:right w:val="single" w:color="auto" w:sz="4" w:space="0"/>
            </w:tcBorders>
            <w:vAlign w:val="center"/>
          </w:tcPr>
          <w:p w14:paraId="3DA88C7F">
            <w:pPr>
              <w:widowControl/>
              <w:adjustRightInd/>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46000</w:t>
            </w:r>
          </w:p>
        </w:tc>
        <w:tc>
          <w:tcPr>
            <w:tcW w:w="2126" w:type="dxa"/>
            <w:vMerge w:val="restart"/>
            <w:tcBorders>
              <w:top w:val="nil"/>
              <w:left w:val="single" w:color="auto" w:sz="4" w:space="0"/>
              <w:bottom w:val="single" w:color="auto" w:sz="4" w:space="0"/>
              <w:right w:val="single" w:color="auto" w:sz="4" w:space="0"/>
            </w:tcBorders>
            <w:vAlign w:val="center"/>
          </w:tcPr>
          <w:p w14:paraId="0622BB0F">
            <w:pPr>
              <w:widowControl/>
              <w:adjustRightInd/>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美术本封面封底用纸128克双铜纸，内芯用105克铅画纸。其它封面封底用105克双铜纸，内芯用70克双胶纸。符合QB/T1437-2023《课业簿册》标准和（GB 40070-2021）《儿童青少年学习用品近视防控卫生要求》标准。</w:t>
            </w:r>
          </w:p>
        </w:tc>
        <w:tc>
          <w:tcPr>
            <w:tcW w:w="1276" w:type="dxa"/>
            <w:vMerge w:val="restart"/>
            <w:tcBorders>
              <w:top w:val="nil"/>
              <w:left w:val="single" w:color="auto" w:sz="4" w:space="0"/>
              <w:bottom w:val="single" w:color="auto" w:sz="4" w:space="0"/>
              <w:right w:val="single" w:color="auto" w:sz="4" w:space="0"/>
            </w:tcBorders>
            <w:vAlign w:val="center"/>
          </w:tcPr>
          <w:p w14:paraId="7D6ED688">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一期于2025年2月10日前完成供货： 23000套；二期于2025年8月25日前完成供货：23000套。   </w:t>
            </w:r>
          </w:p>
        </w:tc>
      </w:tr>
      <w:tr w14:paraId="161A9269">
        <w:tblPrEx>
          <w:tblCellMar>
            <w:top w:w="0" w:type="dxa"/>
            <w:left w:w="108" w:type="dxa"/>
            <w:bottom w:w="0" w:type="dxa"/>
            <w:right w:w="108" w:type="dxa"/>
          </w:tblCellMar>
        </w:tblPrEx>
        <w:trPr>
          <w:trHeight w:val="450" w:hRule="atLeast"/>
        </w:trPr>
        <w:tc>
          <w:tcPr>
            <w:tcW w:w="519" w:type="dxa"/>
            <w:vMerge w:val="continue"/>
            <w:tcBorders>
              <w:top w:val="nil"/>
              <w:left w:val="single" w:color="auto" w:sz="4" w:space="0"/>
              <w:bottom w:val="single" w:color="auto" w:sz="4" w:space="0"/>
              <w:right w:val="single" w:color="auto" w:sz="4" w:space="0"/>
            </w:tcBorders>
            <w:vAlign w:val="center"/>
          </w:tcPr>
          <w:p w14:paraId="65B409B9">
            <w:pPr>
              <w:widowControl/>
              <w:adjustRightInd/>
              <w:jc w:val="left"/>
              <w:rPr>
                <w:rFonts w:ascii="宋体" w:hAnsi="宋体" w:cs="宋体"/>
                <w:color w:val="000000" w:themeColor="text1"/>
                <w:kern w:val="0"/>
                <w:sz w:val="24"/>
                <w14:textFill>
                  <w14:solidFill>
                    <w14:schemeClr w14:val="tx1"/>
                  </w14:solidFill>
                </w14:textFill>
              </w:rPr>
            </w:pPr>
          </w:p>
        </w:tc>
        <w:tc>
          <w:tcPr>
            <w:tcW w:w="772" w:type="dxa"/>
            <w:vMerge w:val="continue"/>
            <w:tcBorders>
              <w:top w:val="nil"/>
              <w:left w:val="single" w:color="auto" w:sz="4" w:space="0"/>
              <w:bottom w:val="single" w:color="auto" w:sz="4" w:space="0"/>
              <w:right w:val="single" w:color="auto" w:sz="4" w:space="0"/>
            </w:tcBorders>
            <w:vAlign w:val="center"/>
          </w:tcPr>
          <w:p w14:paraId="46E5EE26">
            <w:pPr>
              <w:widowControl/>
              <w:adjustRightInd/>
              <w:jc w:val="left"/>
              <w:rPr>
                <w:rFonts w:ascii="宋体" w:hAnsi="宋体" w:cs="宋体"/>
                <w:color w:val="000000" w:themeColor="text1"/>
                <w:kern w:val="0"/>
                <w:sz w:val="24"/>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14:paraId="7DEE0FE0">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拼田本</w:t>
            </w:r>
          </w:p>
        </w:tc>
        <w:tc>
          <w:tcPr>
            <w:tcW w:w="709" w:type="dxa"/>
            <w:tcBorders>
              <w:top w:val="nil"/>
              <w:left w:val="nil"/>
              <w:bottom w:val="single" w:color="auto" w:sz="4" w:space="0"/>
              <w:right w:val="single" w:color="auto" w:sz="4" w:space="0"/>
            </w:tcBorders>
            <w:vAlign w:val="center"/>
          </w:tcPr>
          <w:p w14:paraId="30E4100B">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3本</w:t>
            </w:r>
          </w:p>
        </w:tc>
        <w:tc>
          <w:tcPr>
            <w:tcW w:w="1186" w:type="dxa"/>
            <w:tcBorders>
              <w:top w:val="nil"/>
              <w:left w:val="nil"/>
              <w:bottom w:val="single" w:color="auto" w:sz="4" w:space="0"/>
              <w:right w:val="single" w:color="auto" w:sz="4" w:space="0"/>
            </w:tcBorders>
            <w:vAlign w:val="center"/>
          </w:tcPr>
          <w:p w14:paraId="38483FA7">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32K 36页</w:t>
            </w:r>
          </w:p>
        </w:tc>
        <w:tc>
          <w:tcPr>
            <w:tcW w:w="524" w:type="dxa"/>
            <w:vMerge w:val="continue"/>
            <w:tcBorders>
              <w:top w:val="nil"/>
              <w:left w:val="single" w:color="auto" w:sz="4" w:space="0"/>
              <w:bottom w:val="single" w:color="auto" w:sz="4" w:space="0"/>
              <w:right w:val="single" w:color="auto" w:sz="4" w:space="0"/>
            </w:tcBorders>
            <w:vAlign w:val="center"/>
          </w:tcPr>
          <w:p w14:paraId="46BEB259">
            <w:pPr>
              <w:widowControl/>
              <w:adjustRightInd/>
              <w:jc w:val="left"/>
              <w:rPr>
                <w:rFonts w:ascii="宋体" w:hAnsi="宋体" w:cs="宋体"/>
                <w:color w:val="000000" w:themeColor="text1"/>
                <w:kern w:val="0"/>
                <w:sz w:val="24"/>
                <w14:textFill>
                  <w14:solidFill>
                    <w14:schemeClr w14:val="tx1"/>
                  </w14:solidFill>
                </w14:textFill>
              </w:rPr>
            </w:pPr>
          </w:p>
        </w:tc>
        <w:tc>
          <w:tcPr>
            <w:tcW w:w="983" w:type="dxa"/>
            <w:vMerge w:val="continue"/>
            <w:tcBorders>
              <w:top w:val="nil"/>
              <w:left w:val="single" w:color="auto" w:sz="4" w:space="0"/>
              <w:bottom w:val="single" w:color="auto" w:sz="4" w:space="0"/>
              <w:right w:val="single" w:color="auto" w:sz="4" w:space="0"/>
            </w:tcBorders>
            <w:vAlign w:val="center"/>
          </w:tcPr>
          <w:p w14:paraId="1CCCE184">
            <w:pPr>
              <w:widowControl/>
              <w:adjustRightInd/>
              <w:jc w:val="left"/>
              <w:rPr>
                <w:rFonts w:ascii="宋体" w:hAnsi="宋体" w:cs="宋体"/>
                <w:color w:val="000000" w:themeColor="text1"/>
                <w:kern w:val="0"/>
                <w:sz w:val="24"/>
                <w14:textFill>
                  <w14:solidFill>
                    <w14:schemeClr w14:val="tx1"/>
                  </w14:solidFill>
                </w14:textFill>
              </w:rPr>
            </w:pPr>
          </w:p>
        </w:tc>
        <w:tc>
          <w:tcPr>
            <w:tcW w:w="2126" w:type="dxa"/>
            <w:vMerge w:val="continue"/>
            <w:tcBorders>
              <w:top w:val="nil"/>
              <w:left w:val="single" w:color="auto" w:sz="4" w:space="0"/>
              <w:bottom w:val="single" w:color="auto" w:sz="4" w:space="0"/>
              <w:right w:val="single" w:color="auto" w:sz="4" w:space="0"/>
            </w:tcBorders>
            <w:vAlign w:val="center"/>
          </w:tcPr>
          <w:p w14:paraId="7AF44EFB">
            <w:pPr>
              <w:widowControl/>
              <w:adjustRightInd/>
              <w:jc w:val="left"/>
              <w:rPr>
                <w:rFonts w:ascii="宋体" w:hAnsi="宋体" w:cs="宋体"/>
                <w:color w:val="000000" w:themeColor="text1"/>
                <w:kern w:val="0"/>
                <w:szCs w:val="21"/>
                <w14:textFill>
                  <w14:solidFill>
                    <w14:schemeClr w14:val="tx1"/>
                  </w14:solidFill>
                </w14:textFill>
              </w:rPr>
            </w:pPr>
          </w:p>
        </w:tc>
        <w:tc>
          <w:tcPr>
            <w:tcW w:w="1276" w:type="dxa"/>
            <w:vMerge w:val="continue"/>
            <w:tcBorders>
              <w:top w:val="nil"/>
              <w:left w:val="single" w:color="auto" w:sz="4" w:space="0"/>
              <w:bottom w:val="single" w:color="auto" w:sz="4" w:space="0"/>
              <w:right w:val="single" w:color="auto" w:sz="4" w:space="0"/>
            </w:tcBorders>
            <w:vAlign w:val="center"/>
          </w:tcPr>
          <w:p w14:paraId="0986DEB6">
            <w:pPr>
              <w:widowControl/>
              <w:adjustRightInd/>
              <w:jc w:val="left"/>
              <w:rPr>
                <w:rFonts w:ascii="宋体" w:hAnsi="宋体" w:cs="宋体"/>
                <w:color w:val="000000" w:themeColor="text1"/>
                <w:kern w:val="0"/>
                <w:sz w:val="24"/>
                <w14:textFill>
                  <w14:solidFill>
                    <w14:schemeClr w14:val="tx1"/>
                  </w14:solidFill>
                </w14:textFill>
              </w:rPr>
            </w:pPr>
          </w:p>
        </w:tc>
      </w:tr>
      <w:tr w14:paraId="72651A14">
        <w:tblPrEx>
          <w:tblCellMar>
            <w:top w:w="0" w:type="dxa"/>
            <w:left w:w="108" w:type="dxa"/>
            <w:bottom w:w="0" w:type="dxa"/>
            <w:right w:w="108" w:type="dxa"/>
          </w:tblCellMar>
        </w:tblPrEx>
        <w:trPr>
          <w:trHeight w:val="450" w:hRule="atLeast"/>
        </w:trPr>
        <w:tc>
          <w:tcPr>
            <w:tcW w:w="519" w:type="dxa"/>
            <w:vMerge w:val="continue"/>
            <w:tcBorders>
              <w:top w:val="nil"/>
              <w:left w:val="single" w:color="auto" w:sz="4" w:space="0"/>
              <w:bottom w:val="single" w:color="auto" w:sz="4" w:space="0"/>
              <w:right w:val="single" w:color="auto" w:sz="4" w:space="0"/>
            </w:tcBorders>
            <w:vAlign w:val="center"/>
          </w:tcPr>
          <w:p w14:paraId="146F72A8">
            <w:pPr>
              <w:widowControl/>
              <w:adjustRightInd/>
              <w:jc w:val="left"/>
              <w:rPr>
                <w:rFonts w:ascii="宋体" w:hAnsi="宋体" w:cs="宋体"/>
                <w:color w:val="000000" w:themeColor="text1"/>
                <w:kern w:val="0"/>
                <w:sz w:val="24"/>
                <w14:textFill>
                  <w14:solidFill>
                    <w14:schemeClr w14:val="tx1"/>
                  </w14:solidFill>
                </w14:textFill>
              </w:rPr>
            </w:pPr>
          </w:p>
        </w:tc>
        <w:tc>
          <w:tcPr>
            <w:tcW w:w="772" w:type="dxa"/>
            <w:vMerge w:val="continue"/>
            <w:tcBorders>
              <w:top w:val="nil"/>
              <w:left w:val="single" w:color="auto" w:sz="4" w:space="0"/>
              <w:bottom w:val="single" w:color="auto" w:sz="4" w:space="0"/>
              <w:right w:val="single" w:color="auto" w:sz="4" w:space="0"/>
            </w:tcBorders>
            <w:vAlign w:val="center"/>
          </w:tcPr>
          <w:p w14:paraId="128E4677">
            <w:pPr>
              <w:widowControl/>
              <w:adjustRightInd/>
              <w:jc w:val="left"/>
              <w:rPr>
                <w:rFonts w:ascii="宋体" w:hAnsi="宋体" w:cs="宋体"/>
                <w:color w:val="000000" w:themeColor="text1"/>
                <w:kern w:val="0"/>
                <w:sz w:val="24"/>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14:paraId="7731F5E1">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拼音本</w:t>
            </w:r>
          </w:p>
        </w:tc>
        <w:tc>
          <w:tcPr>
            <w:tcW w:w="709" w:type="dxa"/>
            <w:tcBorders>
              <w:top w:val="nil"/>
              <w:left w:val="nil"/>
              <w:bottom w:val="single" w:color="auto" w:sz="4" w:space="0"/>
              <w:right w:val="single" w:color="auto" w:sz="4" w:space="0"/>
            </w:tcBorders>
            <w:vAlign w:val="center"/>
          </w:tcPr>
          <w:p w14:paraId="52B2B0D9">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3本</w:t>
            </w:r>
          </w:p>
        </w:tc>
        <w:tc>
          <w:tcPr>
            <w:tcW w:w="1186" w:type="dxa"/>
            <w:tcBorders>
              <w:top w:val="nil"/>
              <w:left w:val="nil"/>
              <w:bottom w:val="single" w:color="auto" w:sz="4" w:space="0"/>
              <w:right w:val="single" w:color="auto" w:sz="4" w:space="0"/>
            </w:tcBorders>
            <w:vAlign w:val="center"/>
          </w:tcPr>
          <w:p w14:paraId="2C375544">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32K 36页</w:t>
            </w:r>
          </w:p>
        </w:tc>
        <w:tc>
          <w:tcPr>
            <w:tcW w:w="524" w:type="dxa"/>
            <w:vMerge w:val="continue"/>
            <w:tcBorders>
              <w:top w:val="nil"/>
              <w:left w:val="single" w:color="auto" w:sz="4" w:space="0"/>
              <w:bottom w:val="single" w:color="auto" w:sz="4" w:space="0"/>
              <w:right w:val="single" w:color="auto" w:sz="4" w:space="0"/>
            </w:tcBorders>
            <w:vAlign w:val="center"/>
          </w:tcPr>
          <w:p w14:paraId="61CEE2C6">
            <w:pPr>
              <w:widowControl/>
              <w:adjustRightInd/>
              <w:jc w:val="left"/>
              <w:rPr>
                <w:rFonts w:ascii="宋体" w:hAnsi="宋体" w:cs="宋体"/>
                <w:color w:val="000000" w:themeColor="text1"/>
                <w:kern w:val="0"/>
                <w:sz w:val="24"/>
                <w14:textFill>
                  <w14:solidFill>
                    <w14:schemeClr w14:val="tx1"/>
                  </w14:solidFill>
                </w14:textFill>
              </w:rPr>
            </w:pPr>
          </w:p>
        </w:tc>
        <w:tc>
          <w:tcPr>
            <w:tcW w:w="983" w:type="dxa"/>
            <w:vMerge w:val="continue"/>
            <w:tcBorders>
              <w:top w:val="nil"/>
              <w:left w:val="single" w:color="auto" w:sz="4" w:space="0"/>
              <w:bottom w:val="single" w:color="auto" w:sz="4" w:space="0"/>
              <w:right w:val="single" w:color="auto" w:sz="4" w:space="0"/>
            </w:tcBorders>
            <w:vAlign w:val="center"/>
          </w:tcPr>
          <w:p w14:paraId="58DEB44C">
            <w:pPr>
              <w:widowControl/>
              <w:adjustRightInd/>
              <w:jc w:val="left"/>
              <w:rPr>
                <w:rFonts w:ascii="宋体" w:hAnsi="宋体" w:cs="宋体"/>
                <w:color w:val="000000" w:themeColor="text1"/>
                <w:kern w:val="0"/>
                <w:sz w:val="24"/>
                <w14:textFill>
                  <w14:solidFill>
                    <w14:schemeClr w14:val="tx1"/>
                  </w14:solidFill>
                </w14:textFill>
              </w:rPr>
            </w:pPr>
          </w:p>
        </w:tc>
        <w:tc>
          <w:tcPr>
            <w:tcW w:w="2126" w:type="dxa"/>
            <w:vMerge w:val="continue"/>
            <w:tcBorders>
              <w:top w:val="nil"/>
              <w:left w:val="single" w:color="auto" w:sz="4" w:space="0"/>
              <w:bottom w:val="single" w:color="auto" w:sz="4" w:space="0"/>
              <w:right w:val="single" w:color="auto" w:sz="4" w:space="0"/>
            </w:tcBorders>
            <w:vAlign w:val="center"/>
          </w:tcPr>
          <w:p w14:paraId="72B7B6CD">
            <w:pPr>
              <w:widowControl/>
              <w:adjustRightInd/>
              <w:jc w:val="left"/>
              <w:rPr>
                <w:rFonts w:ascii="宋体" w:hAnsi="宋体" w:cs="宋体"/>
                <w:color w:val="000000" w:themeColor="text1"/>
                <w:kern w:val="0"/>
                <w:szCs w:val="21"/>
                <w14:textFill>
                  <w14:solidFill>
                    <w14:schemeClr w14:val="tx1"/>
                  </w14:solidFill>
                </w14:textFill>
              </w:rPr>
            </w:pPr>
          </w:p>
        </w:tc>
        <w:tc>
          <w:tcPr>
            <w:tcW w:w="1276" w:type="dxa"/>
            <w:vMerge w:val="continue"/>
            <w:tcBorders>
              <w:top w:val="nil"/>
              <w:left w:val="single" w:color="auto" w:sz="4" w:space="0"/>
              <w:bottom w:val="single" w:color="auto" w:sz="4" w:space="0"/>
              <w:right w:val="single" w:color="auto" w:sz="4" w:space="0"/>
            </w:tcBorders>
            <w:vAlign w:val="center"/>
          </w:tcPr>
          <w:p w14:paraId="0CECC598">
            <w:pPr>
              <w:widowControl/>
              <w:adjustRightInd/>
              <w:jc w:val="left"/>
              <w:rPr>
                <w:rFonts w:ascii="宋体" w:hAnsi="宋体" w:cs="宋体"/>
                <w:color w:val="000000" w:themeColor="text1"/>
                <w:kern w:val="0"/>
                <w:sz w:val="24"/>
                <w14:textFill>
                  <w14:solidFill>
                    <w14:schemeClr w14:val="tx1"/>
                  </w14:solidFill>
                </w14:textFill>
              </w:rPr>
            </w:pPr>
          </w:p>
        </w:tc>
      </w:tr>
      <w:tr w14:paraId="3D6A1BC1">
        <w:tblPrEx>
          <w:tblCellMar>
            <w:top w:w="0" w:type="dxa"/>
            <w:left w:w="108" w:type="dxa"/>
            <w:bottom w:w="0" w:type="dxa"/>
            <w:right w:w="108" w:type="dxa"/>
          </w:tblCellMar>
        </w:tblPrEx>
        <w:trPr>
          <w:trHeight w:val="450" w:hRule="atLeast"/>
        </w:trPr>
        <w:tc>
          <w:tcPr>
            <w:tcW w:w="519" w:type="dxa"/>
            <w:vMerge w:val="continue"/>
            <w:tcBorders>
              <w:top w:val="nil"/>
              <w:left w:val="single" w:color="auto" w:sz="4" w:space="0"/>
              <w:bottom w:val="single" w:color="auto" w:sz="4" w:space="0"/>
              <w:right w:val="single" w:color="auto" w:sz="4" w:space="0"/>
            </w:tcBorders>
            <w:vAlign w:val="center"/>
          </w:tcPr>
          <w:p w14:paraId="2BA66482">
            <w:pPr>
              <w:widowControl/>
              <w:adjustRightInd/>
              <w:jc w:val="left"/>
              <w:rPr>
                <w:rFonts w:ascii="宋体" w:hAnsi="宋体" w:cs="宋体"/>
                <w:color w:val="000000" w:themeColor="text1"/>
                <w:kern w:val="0"/>
                <w:sz w:val="24"/>
                <w14:textFill>
                  <w14:solidFill>
                    <w14:schemeClr w14:val="tx1"/>
                  </w14:solidFill>
                </w14:textFill>
              </w:rPr>
            </w:pPr>
          </w:p>
        </w:tc>
        <w:tc>
          <w:tcPr>
            <w:tcW w:w="772" w:type="dxa"/>
            <w:vMerge w:val="continue"/>
            <w:tcBorders>
              <w:top w:val="nil"/>
              <w:left w:val="single" w:color="auto" w:sz="4" w:space="0"/>
              <w:bottom w:val="single" w:color="auto" w:sz="4" w:space="0"/>
              <w:right w:val="single" w:color="auto" w:sz="4" w:space="0"/>
            </w:tcBorders>
            <w:vAlign w:val="center"/>
          </w:tcPr>
          <w:p w14:paraId="296A90CA">
            <w:pPr>
              <w:widowControl/>
              <w:adjustRightInd/>
              <w:jc w:val="left"/>
              <w:rPr>
                <w:rFonts w:ascii="宋体" w:hAnsi="宋体" w:cs="宋体"/>
                <w:color w:val="000000" w:themeColor="text1"/>
                <w:kern w:val="0"/>
                <w:sz w:val="24"/>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14:paraId="78416CBF">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数学本</w:t>
            </w:r>
          </w:p>
        </w:tc>
        <w:tc>
          <w:tcPr>
            <w:tcW w:w="709" w:type="dxa"/>
            <w:tcBorders>
              <w:top w:val="nil"/>
              <w:left w:val="nil"/>
              <w:bottom w:val="single" w:color="auto" w:sz="4" w:space="0"/>
              <w:right w:val="single" w:color="auto" w:sz="4" w:space="0"/>
            </w:tcBorders>
            <w:vAlign w:val="center"/>
          </w:tcPr>
          <w:p w14:paraId="00F5D3A7">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2本</w:t>
            </w:r>
          </w:p>
        </w:tc>
        <w:tc>
          <w:tcPr>
            <w:tcW w:w="1186" w:type="dxa"/>
            <w:tcBorders>
              <w:top w:val="nil"/>
              <w:left w:val="nil"/>
              <w:bottom w:val="single" w:color="auto" w:sz="4" w:space="0"/>
              <w:right w:val="single" w:color="auto" w:sz="4" w:space="0"/>
            </w:tcBorders>
            <w:vAlign w:val="center"/>
          </w:tcPr>
          <w:p w14:paraId="71C54F4F">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32K 36页</w:t>
            </w:r>
          </w:p>
        </w:tc>
        <w:tc>
          <w:tcPr>
            <w:tcW w:w="524" w:type="dxa"/>
            <w:vMerge w:val="continue"/>
            <w:tcBorders>
              <w:top w:val="nil"/>
              <w:left w:val="single" w:color="auto" w:sz="4" w:space="0"/>
              <w:bottom w:val="single" w:color="auto" w:sz="4" w:space="0"/>
              <w:right w:val="single" w:color="auto" w:sz="4" w:space="0"/>
            </w:tcBorders>
            <w:vAlign w:val="center"/>
          </w:tcPr>
          <w:p w14:paraId="398078E5">
            <w:pPr>
              <w:widowControl/>
              <w:adjustRightInd/>
              <w:jc w:val="left"/>
              <w:rPr>
                <w:rFonts w:ascii="宋体" w:hAnsi="宋体" w:cs="宋体"/>
                <w:color w:val="000000" w:themeColor="text1"/>
                <w:kern w:val="0"/>
                <w:sz w:val="24"/>
                <w14:textFill>
                  <w14:solidFill>
                    <w14:schemeClr w14:val="tx1"/>
                  </w14:solidFill>
                </w14:textFill>
              </w:rPr>
            </w:pPr>
          </w:p>
        </w:tc>
        <w:tc>
          <w:tcPr>
            <w:tcW w:w="983" w:type="dxa"/>
            <w:vMerge w:val="continue"/>
            <w:tcBorders>
              <w:top w:val="nil"/>
              <w:left w:val="single" w:color="auto" w:sz="4" w:space="0"/>
              <w:bottom w:val="single" w:color="auto" w:sz="4" w:space="0"/>
              <w:right w:val="single" w:color="auto" w:sz="4" w:space="0"/>
            </w:tcBorders>
            <w:vAlign w:val="center"/>
          </w:tcPr>
          <w:p w14:paraId="10AABD7D">
            <w:pPr>
              <w:widowControl/>
              <w:adjustRightInd/>
              <w:jc w:val="left"/>
              <w:rPr>
                <w:rFonts w:ascii="宋体" w:hAnsi="宋体" w:cs="宋体"/>
                <w:color w:val="000000" w:themeColor="text1"/>
                <w:kern w:val="0"/>
                <w:sz w:val="24"/>
                <w14:textFill>
                  <w14:solidFill>
                    <w14:schemeClr w14:val="tx1"/>
                  </w14:solidFill>
                </w14:textFill>
              </w:rPr>
            </w:pPr>
          </w:p>
        </w:tc>
        <w:tc>
          <w:tcPr>
            <w:tcW w:w="2126" w:type="dxa"/>
            <w:vMerge w:val="continue"/>
            <w:tcBorders>
              <w:top w:val="nil"/>
              <w:left w:val="single" w:color="auto" w:sz="4" w:space="0"/>
              <w:bottom w:val="single" w:color="auto" w:sz="4" w:space="0"/>
              <w:right w:val="single" w:color="auto" w:sz="4" w:space="0"/>
            </w:tcBorders>
            <w:vAlign w:val="center"/>
          </w:tcPr>
          <w:p w14:paraId="01342527">
            <w:pPr>
              <w:widowControl/>
              <w:adjustRightInd/>
              <w:jc w:val="left"/>
              <w:rPr>
                <w:rFonts w:ascii="宋体" w:hAnsi="宋体" w:cs="宋体"/>
                <w:color w:val="000000" w:themeColor="text1"/>
                <w:kern w:val="0"/>
                <w:szCs w:val="21"/>
                <w14:textFill>
                  <w14:solidFill>
                    <w14:schemeClr w14:val="tx1"/>
                  </w14:solidFill>
                </w14:textFill>
              </w:rPr>
            </w:pPr>
          </w:p>
        </w:tc>
        <w:tc>
          <w:tcPr>
            <w:tcW w:w="1276" w:type="dxa"/>
            <w:vMerge w:val="continue"/>
            <w:tcBorders>
              <w:top w:val="nil"/>
              <w:left w:val="single" w:color="auto" w:sz="4" w:space="0"/>
              <w:bottom w:val="single" w:color="auto" w:sz="4" w:space="0"/>
              <w:right w:val="single" w:color="auto" w:sz="4" w:space="0"/>
            </w:tcBorders>
            <w:vAlign w:val="center"/>
          </w:tcPr>
          <w:p w14:paraId="4881FA3F">
            <w:pPr>
              <w:widowControl/>
              <w:adjustRightInd/>
              <w:jc w:val="left"/>
              <w:rPr>
                <w:rFonts w:ascii="宋体" w:hAnsi="宋体" w:cs="宋体"/>
                <w:color w:val="000000" w:themeColor="text1"/>
                <w:kern w:val="0"/>
                <w:sz w:val="24"/>
                <w14:textFill>
                  <w14:solidFill>
                    <w14:schemeClr w14:val="tx1"/>
                  </w14:solidFill>
                </w14:textFill>
              </w:rPr>
            </w:pPr>
          </w:p>
        </w:tc>
      </w:tr>
      <w:tr w14:paraId="48E0FF85">
        <w:tblPrEx>
          <w:tblCellMar>
            <w:top w:w="0" w:type="dxa"/>
            <w:left w:w="108" w:type="dxa"/>
            <w:bottom w:w="0" w:type="dxa"/>
            <w:right w:w="108" w:type="dxa"/>
          </w:tblCellMar>
        </w:tblPrEx>
        <w:trPr>
          <w:trHeight w:val="450" w:hRule="atLeast"/>
        </w:trPr>
        <w:tc>
          <w:tcPr>
            <w:tcW w:w="519" w:type="dxa"/>
            <w:vMerge w:val="continue"/>
            <w:tcBorders>
              <w:top w:val="nil"/>
              <w:left w:val="single" w:color="auto" w:sz="4" w:space="0"/>
              <w:bottom w:val="single" w:color="auto" w:sz="4" w:space="0"/>
              <w:right w:val="single" w:color="auto" w:sz="4" w:space="0"/>
            </w:tcBorders>
            <w:vAlign w:val="center"/>
          </w:tcPr>
          <w:p w14:paraId="2AB78A64">
            <w:pPr>
              <w:widowControl/>
              <w:adjustRightInd/>
              <w:jc w:val="left"/>
              <w:rPr>
                <w:rFonts w:ascii="宋体" w:hAnsi="宋体" w:cs="宋体"/>
                <w:color w:val="000000" w:themeColor="text1"/>
                <w:kern w:val="0"/>
                <w:sz w:val="24"/>
                <w14:textFill>
                  <w14:solidFill>
                    <w14:schemeClr w14:val="tx1"/>
                  </w14:solidFill>
                </w14:textFill>
              </w:rPr>
            </w:pPr>
          </w:p>
        </w:tc>
        <w:tc>
          <w:tcPr>
            <w:tcW w:w="772" w:type="dxa"/>
            <w:vMerge w:val="continue"/>
            <w:tcBorders>
              <w:top w:val="nil"/>
              <w:left w:val="single" w:color="auto" w:sz="4" w:space="0"/>
              <w:bottom w:val="single" w:color="auto" w:sz="4" w:space="0"/>
              <w:right w:val="single" w:color="auto" w:sz="4" w:space="0"/>
            </w:tcBorders>
            <w:vAlign w:val="center"/>
          </w:tcPr>
          <w:p w14:paraId="5E44D88C">
            <w:pPr>
              <w:widowControl/>
              <w:adjustRightInd/>
              <w:jc w:val="left"/>
              <w:rPr>
                <w:rFonts w:ascii="宋体" w:hAnsi="宋体" w:cs="宋体"/>
                <w:color w:val="000000" w:themeColor="text1"/>
                <w:kern w:val="0"/>
                <w:sz w:val="24"/>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14:paraId="123451DF">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小方格</w:t>
            </w:r>
          </w:p>
        </w:tc>
        <w:tc>
          <w:tcPr>
            <w:tcW w:w="709" w:type="dxa"/>
            <w:tcBorders>
              <w:top w:val="nil"/>
              <w:left w:val="nil"/>
              <w:bottom w:val="single" w:color="auto" w:sz="4" w:space="0"/>
              <w:right w:val="single" w:color="auto" w:sz="4" w:space="0"/>
            </w:tcBorders>
            <w:vAlign w:val="center"/>
          </w:tcPr>
          <w:p w14:paraId="7C3597C6">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2本</w:t>
            </w:r>
          </w:p>
        </w:tc>
        <w:tc>
          <w:tcPr>
            <w:tcW w:w="1186" w:type="dxa"/>
            <w:tcBorders>
              <w:top w:val="nil"/>
              <w:left w:val="nil"/>
              <w:bottom w:val="single" w:color="auto" w:sz="4" w:space="0"/>
              <w:right w:val="single" w:color="auto" w:sz="4" w:space="0"/>
            </w:tcBorders>
            <w:vAlign w:val="center"/>
          </w:tcPr>
          <w:p w14:paraId="2F0C76E0">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32K 36页</w:t>
            </w:r>
          </w:p>
        </w:tc>
        <w:tc>
          <w:tcPr>
            <w:tcW w:w="524" w:type="dxa"/>
            <w:vMerge w:val="continue"/>
            <w:tcBorders>
              <w:top w:val="nil"/>
              <w:left w:val="single" w:color="auto" w:sz="4" w:space="0"/>
              <w:bottom w:val="single" w:color="auto" w:sz="4" w:space="0"/>
              <w:right w:val="single" w:color="auto" w:sz="4" w:space="0"/>
            </w:tcBorders>
            <w:vAlign w:val="center"/>
          </w:tcPr>
          <w:p w14:paraId="0C39313E">
            <w:pPr>
              <w:widowControl/>
              <w:adjustRightInd/>
              <w:jc w:val="left"/>
              <w:rPr>
                <w:rFonts w:ascii="宋体" w:hAnsi="宋体" w:cs="宋体"/>
                <w:color w:val="000000" w:themeColor="text1"/>
                <w:kern w:val="0"/>
                <w:sz w:val="24"/>
                <w14:textFill>
                  <w14:solidFill>
                    <w14:schemeClr w14:val="tx1"/>
                  </w14:solidFill>
                </w14:textFill>
              </w:rPr>
            </w:pPr>
          </w:p>
        </w:tc>
        <w:tc>
          <w:tcPr>
            <w:tcW w:w="983" w:type="dxa"/>
            <w:vMerge w:val="continue"/>
            <w:tcBorders>
              <w:top w:val="nil"/>
              <w:left w:val="single" w:color="auto" w:sz="4" w:space="0"/>
              <w:bottom w:val="single" w:color="auto" w:sz="4" w:space="0"/>
              <w:right w:val="single" w:color="auto" w:sz="4" w:space="0"/>
            </w:tcBorders>
            <w:vAlign w:val="center"/>
          </w:tcPr>
          <w:p w14:paraId="0922BE0A">
            <w:pPr>
              <w:widowControl/>
              <w:adjustRightInd/>
              <w:jc w:val="left"/>
              <w:rPr>
                <w:rFonts w:ascii="宋体" w:hAnsi="宋体" w:cs="宋体"/>
                <w:color w:val="000000" w:themeColor="text1"/>
                <w:kern w:val="0"/>
                <w:sz w:val="24"/>
                <w14:textFill>
                  <w14:solidFill>
                    <w14:schemeClr w14:val="tx1"/>
                  </w14:solidFill>
                </w14:textFill>
              </w:rPr>
            </w:pPr>
          </w:p>
        </w:tc>
        <w:tc>
          <w:tcPr>
            <w:tcW w:w="2126" w:type="dxa"/>
            <w:vMerge w:val="continue"/>
            <w:tcBorders>
              <w:top w:val="nil"/>
              <w:left w:val="single" w:color="auto" w:sz="4" w:space="0"/>
              <w:bottom w:val="single" w:color="auto" w:sz="4" w:space="0"/>
              <w:right w:val="single" w:color="auto" w:sz="4" w:space="0"/>
            </w:tcBorders>
            <w:vAlign w:val="center"/>
          </w:tcPr>
          <w:p w14:paraId="14E1470C">
            <w:pPr>
              <w:widowControl/>
              <w:adjustRightInd/>
              <w:jc w:val="left"/>
              <w:rPr>
                <w:rFonts w:ascii="宋体" w:hAnsi="宋体" w:cs="宋体"/>
                <w:color w:val="000000" w:themeColor="text1"/>
                <w:kern w:val="0"/>
                <w:szCs w:val="21"/>
                <w14:textFill>
                  <w14:solidFill>
                    <w14:schemeClr w14:val="tx1"/>
                  </w14:solidFill>
                </w14:textFill>
              </w:rPr>
            </w:pPr>
          </w:p>
        </w:tc>
        <w:tc>
          <w:tcPr>
            <w:tcW w:w="1276" w:type="dxa"/>
            <w:vMerge w:val="continue"/>
            <w:tcBorders>
              <w:top w:val="nil"/>
              <w:left w:val="single" w:color="auto" w:sz="4" w:space="0"/>
              <w:bottom w:val="single" w:color="auto" w:sz="4" w:space="0"/>
              <w:right w:val="single" w:color="auto" w:sz="4" w:space="0"/>
            </w:tcBorders>
            <w:vAlign w:val="center"/>
          </w:tcPr>
          <w:p w14:paraId="216F60CB">
            <w:pPr>
              <w:widowControl/>
              <w:adjustRightInd/>
              <w:jc w:val="left"/>
              <w:rPr>
                <w:rFonts w:ascii="宋体" w:hAnsi="宋体" w:cs="宋体"/>
                <w:color w:val="000000" w:themeColor="text1"/>
                <w:kern w:val="0"/>
                <w:sz w:val="24"/>
                <w14:textFill>
                  <w14:solidFill>
                    <w14:schemeClr w14:val="tx1"/>
                  </w14:solidFill>
                </w14:textFill>
              </w:rPr>
            </w:pPr>
          </w:p>
        </w:tc>
      </w:tr>
      <w:tr w14:paraId="5B85B93F">
        <w:tblPrEx>
          <w:tblCellMar>
            <w:top w:w="0" w:type="dxa"/>
            <w:left w:w="108" w:type="dxa"/>
            <w:bottom w:w="0" w:type="dxa"/>
            <w:right w:w="108" w:type="dxa"/>
          </w:tblCellMar>
        </w:tblPrEx>
        <w:trPr>
          <w:trHeight w:val="450" w:hRule="atLeast"/>
        </w:trPr>
        <w:tc>
          <w:tcPr>
            <w:tcW w:w="519" w:type="dxa"/>
            <w:vMerge w:val="continue"/>
            <w:tcBorders>
              <w:top w:val="nil"/>
              <w:left w:val="single" w:color="auto" w:sz="4" w:space="0"/>
              <w:bottom w:val="single" w:color="auto" w:sz="4" w:space="0"/>
              <w:right w:val="single" w:color="auto" w:sz="4" w:space="0"/>
            </w:tcBorders>
            <w:vAlign w:val="center"/>
          </w:tcPr>
          <w:p w14:paraId="7AB77EDC">
            <w:pPr>
              <w:widowControl/>
              <w:adjustRightInd/>
              <w:jc w:val="left"/>
              <w:rPr>
                <w:rFonts w:ascii="宋体" w:hAnsi="宋体" w:cs="宋体"/>
                <w:color w:val="000000" w:themeColor="text1"/>
                <w:kern w:val="0"/>
                <w:sz w:val="24"/>
                <w14:textFill>
                  <w14:solidFill>
                    <w14:schemeClr w14:val="tx1"/>
                  </w14:solidFill>
                </w14:textFill>
              </w:rPr>
            </w:pPr>
          </w:p>
        </w:tc>
        <w:tc>
          <w:tcPr>
            <w:tcW w:w="772" w:type="dxa"/>
            <w:vMerge w:val="continue"/>
            <w:tcBorders>
              <w:top w:val="nil"/>
              <w:left w:val="single" w:color="auto" w:sz="4" w:space="0"/>
              <w:bottom w:val="single" w:color="auto" w:sz="4" w:space="0"/>
              <w:right w:val="single" w:color="auto" w:sz="4" w:space="0"/>
            </w:tcBorders>
            <w:vAlign w:val="center"/>
          </w:tcPr>
          <w:p w14:paraId="6C8AAD30">
            <w:pPr>
              <w:widowControl/>
              <w:adjustRightInd/>
              <w:jc w:val="left"/>
              <w:rPr>
                <w:rFonts w:ascii="宋体" w:hAnsi="宋体" w:cs="宋体"/>
                <w:color w:val="000000" w:themeColor="text1"/>
                <w:kern w:val="0"/>
                <w:sz w:val="24"/>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14:paraId="1F23009A">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听写本</w:t>
            </w:r>
          </w:p>
        </w:tc>
        <w:tc>
          <w:tcPr>
            <w:tcW w:w="709" w:type="dxa"/>
            <w:tcBorders>
              <w:top w:val="nil"/>
              <w:left w:val="nil"/>
              <w:bottom w:val="single" w:color="auto" w:sz="4" w:space="0"/>
              <w:right w:val="single" w:color="auto" w:sz="4" w:space="0"/>
            </w:tcBorders>
            <w:vAlign w:val="center"/>
          </w:tcPr>
          <w:p w14:paraId="1CDAD8A8">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2本</w:t>
            </w:r>
          </w:p>
        </w:tc>
        <w:tc>
          <w:tcPr>
            <w:tcW w:w="1186" w:type="dxa"/>
            <w:tcBorders>
              <w:top w:val="nil"/>
              <w:left w:val="nil"/>
              <w:bottom w:val="single" w:color="auto" w:sz="4" w:space="0"/>
              <w:right w:val="single" w:color="auto" w:sz="4" w:space="0"/>
            </w:tcBorders>
            <w:vAlign w:val="center"/>
          </w:tcPr>
          <w:p w14:paraId="12B66E2A">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32K 36页</w:t>
            </w:r>
          </w:p>
        </w:tc>
        <w:tc>
          <w:tcPr>
            <w:tcW w:w="524" w:type="dxa"/>
            <w:vMerge w:val="continue"/>
            <w:tcBorders>
              <w:top w:val="nil"/>
              <w:left w:val="single" w:color="auto" w:sz="4" w:space="0"/>
              <w:bottom w:val="single" w:color="auto" w:sz="4" w:space="0"/>
              <w:right w:val="single" w:color="auto" w:sz="4" w:space="0"/>
            </w:tcBorders>
            <w:vAlign w:val="center"/>
          </w:tcPr>
          <w:p w14:paraId="7BACFF85">
            <w:pPr>
              <w:widowControl/>
              <w:adjustRightInd/>
              <w:jc w:val="left"/>
              <w:rPr>
                <w:rFonts w:ascii="宋体" w:hAnsi="宋体" w:cs="宋体"/>
                <w:color w:val="000000" w:themeColor="text1"/>
                <w:kern w:val="0"/>
                <w:sz w:val="24"/>
                <w14:textFill>
                  <w14:solidFill>
                    <w14:schemeClr w14:val="tx1"/>
                  </w14:solidFill>
                </w14:textFill>
              </w:rPr>
            </w:pPr>
          </w:p>
        </w:tc>
        <w:tc>
          <w:tcPr>
            <w:tcW w:w="983" w:type="dxa"/>
            <w:vMerge w:val="continue"/>
            <w:tcBorders>
              <w:top w:val="nil"/>
              <w:left w:val="single" w:color="auto" w:sz="4" w:space="0"/>
              <w:bottom w:val="single" w:color="auto" w:sz="4" w:space="0"/>
              <w:right w:val="single" w:color="auto" w:sz="4" w:space="0"/>
            </w:tcBorders>
            <w:vAlign w:val="center"/>
          </w:tcPr>
          <w:p w14:paraId="36D38F59">
            <w:pPr>
              <w:widowControl/>
              <w:adjustRightInd/>
              <w:jc w:val="left"/>
              <w:rPr>
                <w:rFonts w:ascii="宋体" w:hAnsi="宋体" w:cs="宋体"/>
                <w:color w:val="000000" w:themeColor="text1"/>
                <w:kern w:val="0"/>
                <w:sz w:val="24"/>
                <w14:textFill>
                  <w14:solidFill>
                    <w14:schemeClr w14:val="tx1"/>
                  </w14:solidFill>
                </w14:textFill>
              </w:rPr>
            </w:pPr>
          </w:p>
        </w:tc>
        <w:tc>
          <w:tcPr>
            <w:tcW w:w="2126" w:type="dxa"/>
            <w:vMerge w:val="continue"/>
            <w:tcBorders>
              <w:top w:val="nil"/>
              <w:left w:val="single" w:color="auto" w:sz="4" w:space="0"/>
              <w:bottom w:val="single" w:color="auto" w:sz="4" w:space="0"/>
              <w:right w:val="single" w:color="auto" w:sz="4" w:space="0"/>
            </w:tcBorders>
            <w:vAlign w:val="center"/>
          </w:tcPr>
          <w:p w14:paraId="6D2F10E3">
            <w:pPr>
              <w:widowControl/>
              <w:adjustRightInd/>
              <w:jc w:val="left"/>
              <w:rPr>
                <w:rFonts w:ascii="宋体" w:hAnsi="宋体" w:cs="宋体"/>
                <w:color w:val="000000" w:themeColor="text1"/>
                <w:kern w:val="0"/>
                <w:szCs w:val="21"/>
                <w14:textFill>
                  <w14:solidFill>
                    <w14:schemeClr w14:val="tx1"/>
                  </w14:solidFill>
                </w14:textFill>
              </w:rPr>
            </w:pPr>
          </w:p>
        </w:tc>
        <w:tc>
          <w:tcPr>
            <w:tcW w:w="1276" w:type="dxa"/>
            <w:vMerge w:val="continue"/>
            <w:tcBorders>
              <w:top w:val="nil"/>
              <w:left w:val="single" w:color="auto" w:sz="4" w:space="0"/>
              <w:bottom w:val="single" w:color="auto" w:sz="4" w:space="0"/>
              <w:right w:val="single" w:color="auto" w:sz="4" w:space="0"/>
            </w:tcBorders>
            <w:vAlign w:val="center"/>
          </w:tcPr>
          <w:p w14:paraId="41A7C036">
            <w:pPr>
              <w:widowControl/>
              <w:adjustRightInd/>
              <w:jc w:val="left"/>
              <w:rPr>
                <w:rFonts w:ascii="宋体" w:hAnsi="宋体" w:cs="宋体"/>
                <w:color w:val="000000" w:themeColor="text1"/>
                <w:kern w:val="0"/>
                <w:sz w:val="24"/>
                <w14:textFill>
                  <w14:solidFill>
                    <w14:schemeClr w14:val="tx1"/>
                  </w14:solidFill>
                </w14:textFill>
              </w:rPr>
            </w:pPr>
          </w:p>
        </w:tc>
      </w:tr>
      <w:tr w14:paraId="79B047E5">
        <w:tblPrEx>
          <w:tblCellMar>
            <w:top w:w="0" w:type="dxa"/>
            <w:left w:w="108" w:type="dxa"/>
            <w:bottom w:w="0" w:type="dxa"/>
            <w:right w:w="108" w:type="dxa"/>
          </w:tblCellMar>
        </w:tblPrEx>
        <w:trPr>
          <w:trHeight w:val="450" w:hRule="atLeast"/>
        </w:trPr>
        <w:tc>
          <w:tcPr>
            <w:tcW w:w="519" w:type="dxa"/>
            <w:vMerge w:val="continue"/>
            <w:tcBorders>
              <w:top w:val="nil"/>
              <w:left w:val="single" w:color="auto" w:sz="4" w:space="0"/>
              <w:bottom w:val="single" w:color="auto" w:sz="4" w:space="0"/>
              <w:right w:val="single" w:color="auto" w:sz="4" w:space="0"/>
            </w:tcBorders>
            <w:vAlign w:val="center"/>
          </w:tcPr>
          <w:p w14:paraId="342099BA">
            <w:pPr>
              <w:widowControl/>
              <w:adjustRightInd/>
              <w:jc w:val="left"/>
              <w:rPr>
                <w:rFonts w:ascii="宋体" w:hAnsi="宋体" w:cs="宋体"/>
                <w:color w:val="000000" w:themeColor="text1"/>
                <w:kern w:val="0"/>
                <w:sz w:val="24"/>
                <w14:textFill>
                  <w14:solidFill>
                    <w14:schemeClr w14:val="tx1"/>
                  </w14:solidFill>
                </w14:textFill>
              </w:rPr>
            </w:pPr>
          </w:p>
        </w:tc>
        <w:tc>
          <w:tcPr>
            <w:tcW w:w="772" w:type="dxa"/>
            <w:vMerge w:val="continue"/>
            <w:tcBorders>
              <w:top w:val="nil"/>
              <w:left w:val="single" w:color="auto" w:sz="4" w:space="0"/>
              <w:bottom w:val="single" w:color="auto" w:sz="4" w:space="0"/>
              <w:right w:val="single" w:color="auto" w:sz="4" w:space="0"/>
            </w:tcBorders>
            <w:vAlign w:val="center"/>
          </w:tcPr>
          <w:p w14:paraId="61B6475D">
            <w:pPr>
              <w:widowControl/>
              <w:adjustRightInd/>
              <w:jc w:val="left"/>
              <w:rPr>
                <w:rFonts w:ascii="宋体" w:hAnsi="宋体" w:cs="宋体"/>
                <w:color w:val="000000" w:themeColor="text1"/>
                <w:kern w:val="0"/>
                <w:sz w:val="24"/>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14:paraId="28DCAFFA">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低算本</w:t>
            </w:r>
          </w:p>
        </w:tc>
        <w:tc>
          <w:tcPr>
            <w:tcW w:w="709" w:type="dxa"/>
            <w:tcBorders>
              <w:top w:val="nil"/>
              <w:left w:val="nil"/>
              <w:bottom w:val="single" w:color="auto" w:sz="4" w:space="0"/>
              <w:right w:val="single" w:color="auto" w:sz="4" w:space="0"/>
            </w:tcBorders>
            <w:vAlign w:val="center"/>
          </w:tcPr>
          <w:p w14:paraId="3557C098">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2本</w:t>
            </w:r>
          </w:p>
        </w:tc>
        <w:tc>
          <w:tcPr>
            <w:tcW w:w="1186" w:type="dxa"/>
            <w:tcBorders>
              <w:top w:val="nil"/>
              <w:left w:val="nil"/>
              <w:bottom w:val="single" w:color="auto" w:sz="4" w:space="0"/>
              <w:right w:val="single" w:color="auto" w:sz="4" w:space="0"/>
            </w:tcBorders>
            <w:vAlign w:val="center"/>
          </w:tcPr>
          <w:p w14:paraId="02845898">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32K 36页</w:t>
            </w:r>
          </w:p>
        </w:tc>
        <w:tc>
          <w:tcPr>
            <w:tcW w:w="524" w:type="dxa"/>
            <w:vMerge w:val="continue"/>
            <w:tcBorders>
              <w:top w:val="nil"/>
              <w:left w:val="single" w:color="auto" w:sz="4" w:space="0"/>
              <w:bottom w:val="single" w:color="auto" w:sz="4" w:space="0"/>
              <w:right w:val="single" w:color="auto" w:sz="4" w:space="0"/>
            </w:tcBorders>
            <w:vAlign w:val="center"/>
          </w:tcPr>
          <w:p w14:paraId="2A477CBD">
            <w:pPr>
              <w:widowControl/>
              <w:adjustRightInd/>
              <w:jc w:val="left"/>
              <w:rPr>
                <w:rFonts w:ascii="宋体" w:hAnsi="宋体" w:cs="宋体"/>
                <w:color w:val="000000" w:themeColor="text1"/>
                <w:kern w:val="0"/>
                <w:sz w:val="24"/>
                <w14:textFill>
                  <w14:solidFill>
                    <w14:schemeClr w14:val="tx1"/>
                  </w14:solidFill>
                </w14:textFill>
              </w:rPr>
            </w:pPr>
          </w:p>
        </w:tc>
        <w:tc>
          <w:tcPr>
            <w:tcW w:w="983" w:type="dxa"/>
            <w:vMerge w:val="continue"/>
            <w:tcBorders>
              <w:top w:val="nil"/>
              <w:left w:val="single" w:color="auto" w:sz="4" w:space="0"/>
              <w:bottom w:val="single" w:color="auto" w:sz="4" w:space="0"/>
              <w:right w:val="single" w:color="auto" w:sz="4" w:space="0"/>
            </w:tcBorders>
            <w:vAlign w:val="center"/>
          </w:tcPr>
          <w:p w14:paraId="13891703">
            <w:pPr>
              <w:widowControl/>
              <w:adjustRightInd/>
              <w:jc w:val="left"/>
              <w:rPr>
                <w:rFonts w:ascii="宋体" w:hAnsi="宋体" w:cs="宋体"/>
                <w:color w:val="000000" w:themeColor="text1"/>
                <w:kern w:val="0"/>
                <w:sz w:val="24"/>
                <w14:textFill>
                  <w14:solidFill>
                    <w14:schemeClr w14:val="tx1"/>
                  </w14:solidFill>
                </w14:textFill>
              </w:rPr>
            </w:pPr>
          </w:p>
        </w:tc>
        <w:tc>
          <w:tcPr>
            <w:tcW w:w="2126" w:type="dxa"/>
            <w:vMerge w:val="continue"/>
            <w:tcBorders>
              <w:top w:val="nil"/>
              <w:left w:val="single" w:color="auto" w:sz="4" w:space="0"/>
              <w:bottom w:val="single" w:color="auto" w:sz="4" w:space="0"/>
              <w:right w:val="single" w:color="auto" w:sz="4" w:space="0"/>
            </w:tcBorders>
            <w:vAlign w:val="center"/>
          </w:tcPr>
          <w:p w14:paraId="0D4488FD">
            <w:pPr>
              <w:widowControl/>
              <w:adjustRightInd/>
              <w:jc w:val="left"/>
              <w:rPr>
                <w:rFonts w:ascii="宋体" w:hAnsi="宋体" w:cs="宋体"/>
                <w:color w:val="000000" w:themeColor="text1"/>
                <w:kern w:val="0"/>
                <w:szCs w:val="21"/>
                <w14:textFill>
                  <w14:solidFill>
                    <w14:schemeClr w14:val="tx1"/>
                  </w14:solidFill>
                </w14:textFill>
              </w:rPr>
            </w:pPr>
          </w:p>
        </w:tc>
        <w:tc>
          <w:tcPr>
            <w:tcW w:w="1276" w:type="dxa"/>
            <w:vMerge w:val="continue"/>
            <w:tcBorders>
              <w:top w:val="nil"/>
              <w:left w:val="single" w:color="auto" w:sz="4" w:space="0"/>
              <w:bottom w:val="single" w:color="auto" w:sz="4" w:space="0"/>
              <w:right w:val="single" w:color="auto" w:sz="4" w:space="0"/>
            </w:tcBorders>
            <w:vAlign w:val="center"/>
          </w:tcPr>
          <w:p w14:paraId="1947FC8C">
            <w:pPr>
              <w:widowControl/>
              <w:adjustRightInd/>
              <w:jc w:val="left"/>
              <w:rPr>
                <w:rFonts w:ascii="宋体" w:hAnsi="宋体" w:cs="宋体"/>
                <w:color w:val="000000" w:themeColor="text1"/>
                <w:kern w:val="0"/>
                <w:sz w:val="24"/>
                <w14:textFill>
                  <w14:solidFill>
                    <w14:schemeClr w14:val="tx1"/>
                  </w14:solidFill>
                </w14:textFill>
              </w:rPr>
            </w:pPr>
          </w:p>
        </w:tc>
      </w:tr>
      <w:tr w14:paraId="45155AF1">
        <w:tblPrEx>
          <w:tblCellMar>
            <w:top w:w="0" w:type="dxa"/>
            <w:left w:w="108" w:type="dxa"/>
            <w:bottom w:w="0" w:type="dxa"/>
            <w:right w:w="108" w:type="dxa"/>
          </w:tblCellMar>
        </w:tblPrEx>
        <w:trPr>
          <w:trHeight w:val="630" w:hRule="atLeast"/>
        </w:trPr>
        <w:tc>
          <w:tcPr>
            <w:tcW w:w="519" w:type="dxa"/>
            <w:vMerge w:val="continue"/>
            <w:tcBorders>
              <w:top w:val="nil"/>
              <w:left w:val="single" w:color="auto" w:sz="4" w:space="0"/>
              <w:bottom w:val="single" w:color="auto" w:sz="4" w:space="0"/>
              <w:right w:val="single" w:color="auto" w:sz="4" w:space="0"/>
            </w:tcBorders>
            <w:vAlign w:val="center"/>
          </w:tcPr>
          <w:p w14:paraId="7AC30F81">
            <w:pPr>
              <w:widowControl/>
              <w:adjustRightInd/>
              <w:jc w:val="left"/>
              <w:rPr>
                <w:rFonts w:ascii="宋体" w:hAnsi="宋体" w:cs="宋体"/>
                <w:color w:val="000000" w:themeColor="text1"/>
                <w:kern w:val="0"/>
                <w:sz w:val="24"/>
                <w14:textFill>
                  <w14:solidFill>
                    <w14:schemeClr w14:val="tx1"/>
                  </w14:solidFill>
                </w14:textFill>
              </w:rPr>
            </w:pPr>
          </w:p>
        </w:tc>
        <w:tc>
          <w:tcPr>
            <w:tcW w:w="772" w:type="dxa"/>
            <w:vMerge w:val="continue"/>
            <w:tcBorders>
              <w:top w:val="nil"/>
              <w:left w:val="single" w:color="auto" w:sz="4" w:space="0"/>
              <w:bottom w:val="single" w:color="auto" w:sz="4" w:space="0"/>
              <w:right w:val="single" w:color="auto" w:sz="4" w:space="0"/>
            </w:tcBorders>
            <w:vAlign w:val="center"/>
          </w:tcPr>
          <w:p w14:paraId="2836B6AF">
            <w:pPr>
              <w:widowControl/>
              <w:adjustRightInd/>
              <w:jc w:val="left"/>
              <w:rPr>
                <w:rFonts w:ascii="宋体" w:hAnsi="宋体" w:cs="宋体"/>
                <w:color w:val="000000" w:themeColor="text1"/>
                <w:kern w:val="0"/>
                <w:sz w:val="24"/>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14:paraId="560B23ED">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美术本</w:t>
            </w:r>
          </w:p>
        </w:tc>
        <w:tc>
          <w:tcPr>
            <w:tcW w:w="709" w:type="dxa"/>
            <w:tcBorders>
              <w:top w:val="nil"/>
              <w:left w:val="nil"/>
              <w:bottom w:val="single" w:color="auto" w:sz="4" w:space="0"/>
              <w:right w:val="single" w:color="auto" w:sz="4" w:space="0"/>
            </w:tcBorders>
            <w:vAlign w:val="center"/>
          </w:tcPr>
          <w:p w14:paraId="046E1876">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1本</w:t>
            </w:r>
          </w:p>
        </w:tc>
        <w:tc>
          <w:tcPr>
            <w:tcW w:w="1186" w:type="dxa"/>
            <w:tcBorders>
              <w:top w:val="nil"/>
              <w:left w:val="nil"/>
              <w:bottom w:val="single" w:color="auto" w:sz="4" w:space="0"/>
              <w:right w:val="single" w:color="auto" w:sz="4" w:space="0"/>
            </w:tcBorders>
            <w:vAlign w:val="center"/>
          </w:tcPr>
          <w:p w14:paraId="0EAD26C9">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横大16K  36页</w:t>
            </w:r>
          </w:p>
        </w:tc>
        <w:tc>
          <w:tcPr>
            <w:tcW w:w="524" w:type="dxa"/>
            <w:vMerge w:val="continue"/>
            <w:tcBorders>
              <w:top w:val="nil"/>
              <w:left w:val="single" w:color="auto" w:sz="4" w:space="0"/>
              <w:bottom w:val="single" w:color="auto" w:sz="4" w:space="0"/>
              <w:right w:val="single" w:color="auto" w:sz="4" w:space="0"/>
            </w:tcBorders>
            <w:vAlign w:val="center"/>
          </w:tcPr>
          <w:p w14:paraId="23B59E2D">
            <w:pPr>
              <w:widowControl/>
              <w:adjustRightInd/>
              <w:jc w:val="left"/>
              <w:rPr>
                <w:rFonts w:ascii="宋体" w:hAnsi="宋体" w:cs="宋体"/>
                <w:color w:val="000000" w:themeColor="text1"/>
                <w:kern w:val="0"/>
                <w:sz w:val="24"/>
                <w14:textFill>
                  <w14:solidFill>
                    <w14:schemeClr w14:val="tx1"/>
                  </w14:solidFill>
                </w14:textFill>
              </w:rPr>
            </w:pPr>
          </w:p>
        </w:tc>
        <w:tc>
          <w:tcPr>
            <w:tcW w:w="983" w:type="dxa"/>
            <w:vMerge w:val="continue"/>
            <w:tcBorders>
              <w:top w:val="nil"/>
              <w:left w:val="single" w:color="auto" w:sz="4" w:space="0"/>
              <w:bottom w:val="single" w:color="auto" w:sz="4" w:space="0"/>
              <w:right w:val="single" w:color="auto" w:sz="4" w:space="0"/>
            </w:tcBorders>
            <w:vAlign w:val="center"/>
          </w:tcPr>
          <w:p w14:paraId="0981DDD2">
            <w:pPr>
              <w:widowControl/>
              <w:adjustRightInd/>
              <w:jc w:val="left"/>
              <w:rPr>
                <w:rFonts w:ascii="宋体" w:hAnsi="宋体" w:cs="宋体"/>
                <w:color w:val="000000" w:themeColor="text1"/>
                <w:kern w:val="0"/>
                <w:sz w:val="24"/>
                <w14:textFill>
                  <w14:solidFill>
                    <w14:schemeClr w14:val="tx1"/>
                  </w14:solidFill>
                </w14:textFill>
              </w:rPr>
            </w:pPr>
          </w:p>
        </w:tc>
        <w:tc>
          <w:tcPr>
            <w:tcW w:w="2126" w:type="dxa"/>
            <w:vMerge w:val="continue"/>
            <w:tcBorders>
              <w:top w:val="nil"/>
              <w:left w:val="single" w:color="auto" w:sz="4" w:space="0"/>
              <w:bottom w:val="single" w:color="auto" w:sz="4" w:space="0"/>
              <w:right w:val="single" w:color="auto" w:sz="4" w:space="0"/>
            </w:tcBorders>
            <w:vAlign w:val="center"/>
          </w:tcPr>
          <w:p w14:paraId="562780FA">
            <w:pPr>
              <w:widowControl/>
              <w:adjustRightInd/>
              <w:jc w:val="left"/>
              <w:rPr>
                <w:rFonts w:ascii="宋体" w:hAnsi="宋体" w:cs="宋体"/>
                <w:color w:val="000000" w:themeColor="text1"/>
                <w:kern w:val="0"/>
                <w:szCs w:val="21"/>
                <w14:textFill>
                  <w14:solidFill>
                    <w14:schemeClr w14:val="tx1"/>
                  </w14:solidFill>
                </w14:textFill>
              </w:rPr>
            </w:pPr>
          </w:p>
        </w:tc>
        <w:tc>
          <w:tcPr>
            <w:tcW w:w="1276" w:type="dxa"/>
            <w:vMerge w:val="continue"/>
            <w:tcBorders>
              <w:top w:val="nil"/>
              <w:left w:val="single" w:color="auto" w:sz="4" w:space="0"/>
              <w:bottom w:val="single" w:color="auto" w:sz="4" w:space="0"/>
              <w:right w:val="single" w:color="auto" w:sz="4" w:space="0"/>
            </w:tcBorders>
            <w:vAlign w:val="center"/>
          </w:tcPr>
          <w:p w14:paraId="448BDFCB">
            <w:pPr>
              <w:widowControl/>
              <w:adjustRightInd/>
              <w:jc w:val="left"/>
              <w:rPr>
                <w:rFonts w:ascii="宋体" w:hAnsi="宋体" w:cs="宋体"/>
                <w:color w:val="000000" w:themeColor="text1"/>
                <w:kern w:val="0"/>
                <w:sz w:val="24"/>
                <w14:textFill>
                  <w14:solidFill>
                    <w14:schemeClr w14:val="tx1"/>
                  </w14:solidFill>
                </w14:textFill>
              </w:rPr>
            </w:pPr>
          </w:p>
        </w:tc>
      </w:tr>
      <w:tr w14:paraId="3D78A0DD">
        <w:tblPrEx>
          <w:tblCellMar>
            <w:top w:w="0" w:type="dxa"/>
            <w:left w:w="108" w:type="dxa"/>
            <w:bottom w:w="0" w:type="dxa"/>
            <w:right w:w="108" w:type="dxa"/>
          </w:tblCellMar>
        </w:tblPrEx>
        <w:trPr>
          <w:trHeight w:val="450" w:hRule="atLeast"/>
        </w:trPr>
        <w:tc>
          <w:tcPr>
            <w:tcW w:w="519" w:type="dxa"/>
            <w:vMerge w:val="restart"/>
            <w:tcBorders>
              <w:top w:val="nil"/>
              <w:left w:val="single" w:color="auto" w:sz="4" w:space="0"/>
              <w:bottom w:val="single" w:color="auto" w:sz="4" w:space="0"/>
              <w:right w:val="single" w:color="auto" w:sz="4" w:space="0"/>
            </w:tcBorders>
            <w:vAlign w:val="center"/>
          </w:tcPr>
          <w:p w14:paraId="5F4EB47A">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772" w:type="dxa"/>
            <w:vMerge w:val="restart"/>
            <w:tcBorders>
              <w:top w:val="nil"/>
              <w:left w:val="single" w:color="auto" w:sz="4" w:space="0"/>
              <w:bottom w:val="single" w:color="auto" w:sz="4" w:space="0"/>
              <w:right w:val="single" w:color="auto" w:sz="4" w:space="0"/>
            </w:tcBorders>
            <w:vAlign w:val="center"/>
          </w:tcPr>
          <w:p w14:paraId="696E9FDC">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小学二年级</w:t>
            </w:r>
          </w:p>
        </w:tc>
        <w:tc>
          <w:tcPr>
            <w:tcW w:w="1134" w:type="dxa"/>
            <w:tcBorders>
              <w:top w:val="nil"/>
              <w:left w:val="nil"/>
              <w:bottom w:val="single" w:color="auto" w:sz="4" w:space="0"/>
              <w:right w:val="single" w:color="auto" w:sz="4" w:space="0"/>
            </w:tcBorders>
            <w:vAlign w:val="center"/>
          </w:tcPr>
          <w:p w14:paraId="53F79835">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田字本</w:t>
            </w:r>
          </w:p>
        </w:tc>
        <w:tc>
          <w:tcPr>
            <w:tcW w:w="709" w:type="dxa"/>
            <w:tcBorders>
              <w:top w:val="nil"/>
              <w:left w:val="nil"/>
              <w:bottom w:val="single" w:color="auto" w:sz="4" w:space="0"/>
              <w:right w:val="single" w:color="auto" w:sz="4" w:space="0"/>
            </w:tcBorders>
            <w:vAlign w:val="center"/>
          </w:tcPr>
          <w:p w14:paraId="5C970890">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2本</w:t>
            </w:r>
          </w:p>
        </w:tc>
        <w:tc>
          <w:tcPr>
            <w:tcW w:w="1186" w:type="dxa"/>
            <w:tcBorders>
              <w:top w:val="nil"/>
              <w:left w:val="nil"/>
              <w:bottom w:val="single" w:color="auto" w:sz="4" w:space="0"/>
              <w:right w:val="single" w:color="auto" w:sz="4" w:space="0"/>
            </w:tcBorders>
            <w:vAlign w:val="center"/>
          </w:tcPr>
          <w:p w14:paraId="293057F4">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32K 36页</w:t>
            </w:r>
          </w:p>
        </w:tc>
        <w:tc>
          <w:tcPr>
            <w:tcW w:w="524" w:type="dxa"/>
            <w:vMerge w:val="restart"/>
            <w:tcBorders>
              <w:top w:val="nil"/>
              <w:left w:val="single" w:color="auto" w:sz="4" w:space="0"/>
              <w:bottom w:val="single" w:color="auto" w:sz="4" w:space="0"/>
              <w:right w:val="single" w:color="auto" w:sz="4" w:space="0"/>
            </w:tcBorders>
            <w:vAlign w:val="center"/>
          </w:tcPr>
          <w:p w14:paraId="3EAAE4BD">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套</w:t>
            </w:r>
          </w:p>
        </w:tc>
        <w:tc>
          <w:tcPr>
            <w:tcW w:w="983" w:type="dxa"/>
            <w:vMerge w:val="restart"/>
            <w:tcBorders>
              <w:top w:val="nil"/>
              <w:left w:val="single" w:color="auto" w:sz="4" w:space="0"/>
              <w:bottom w:val="single" w:color="auto" w:sz="4" w:space="0"/>
              <w:right w:val="single" w:color="auto" w:sz="4" w:space="0"/>
            </w:tcBorders>
            <w:vAlign w:val="center"/>
          </w:tcPr>
          <w:p w14:paraId="3D15E9DF">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r>
              <w:rPr>
                <w:rFonts w:ascii="宋体" w:hAnsi="宋体" w:cs="宋体"/>
                <w:color w:val="000000" w:themeColor="text1"/>
                <w:kern w:val="0"/>
                <w:sz w:val="24"/>
                <w14:textFill>
                  <w14:solidFill>
                    <w14:schemeClr w14:val="tx1"/>
                  </w14:solidFill>
                </w14:textFill>
              </w:rPr>
              <w:t>49000</w:t>
            </w:r>
          </w:p>
        </w:tc>
        <w:tc>
          <w:tcPr>
            <w:tcW w:w="2126" w:type="dxa"/>
            <w:vMerge w:val="restart"/>
            <w:tcBorders>
              <w:top w:val="nil"/>
              <w:left w:val="single" w:color="auto" w:sz="4" w:space="0"/>
              <w:bottom w:val="single" w:color="auto" w:sz="4" w:space="0"/>
              <w:right w:val="single" w:color="auto" w:sz="4" w:space="0"/>
            </w:tcBorders>
            <w:vAlign w:val="center"/>
          </w:tcPr>
          <w:p w14:paraId="0CB9E73B">
            <w:pPr>
              <w:widowControl/>
              <w:adjustRightInd/>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美术本封面封底用纸128克双铜纸，内芯用105克铅画纸。其它封面封底用105克双铜纸，内芯用70克双胶纸。符合QB/T1437-2023《课业簿册》标准标准和（GB 40070-2021）《儿童青少年学习用品近视防控卫生要求》标准。</w:t>
            </w:r>
          </w:p>
        </w:tc>
        <w:tc>
          <w:tcPr>
            <w:tcW w:w="1276" w:type="dxa"/>
            <w:vMerge w:val="restart"/>
            <w:tcBorders>
              <w:top w:val="nil"/>
              <w:left w:val="single" w:color="auto" w:sz="4" w:space="0"/>
              <w:bottom w:val="single" w:color="auto" w:sz="4" w:space="0"/>
              <w:right w:val="single" w:color="auto" w:sz="4" w:space="0"/>
            </w:tcBorders>
            <w:vAlign w:val="center"/>
          </w:tcPr>
          <w:p w14:paraId="52E88665">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一期于2025年2月10日前完成供货： </w:t>
            </w:r>
            <w:r>
              <w:rPr>
                <w:rFonts w:ascii="宋体" w:hAnsi="宋体" w:cs="宋体"/>
                <w:color w:val="000000" w:themeColor="text1"/>
                <w:kern w:val="0"/>
                <w:sz w:val="24"/>
                <w14:textFill>
                  <w14:solidFill>
                    <w14:schemeClr w14:val="tx1"/>
                  </w14:solidFill>
                </w14:textFill>
              </w:rPr>
              <w:t>26000</w:t>
            </w:r>
            <w:r>
              <w:rPr>
                <w:rFonts w:hint="eastAsia" w:ascii="宋体" w:hAnsi="宋体" w:cs="宋体"/>
                <w:color w:val="000000" w:themeColor="text1"/>
                <w:kern w:val="0"/>
                <w:sz w:val="24"/>
                <w14:textFill>
                  <w14:solidFill>
                    <w14:schemeClr w14:val="tx1"/>
                  </w14:solidFill>
                </w14:textFill>
              </w:rPr>
              <w:t>套；二期于2025年8月25日前完成供货：2</w:t>
            </w:r>
            <w:r>
              <w:rPr>
                <w:rFonts w:ascii="宋体" w:hAnsi="宋体" w:cs="宋体"/>
                <w:color w:val="000000" w:themeColor="text1"/>
                <w:kern w:val="0"/>
                <w:sz w:val="24"/>
                <w14:textFill>
                  <w14:solidFill>
                    <w14:schemeClr w14:val="tx1"/>
                  </w14:solidFill>
                </w14:textFill>
              </w:rPr>
              <w:t>30</w:t>
            </w:r>
            <w:r>
              <w:rPr>
                <w:rFonts w:hint="eastAsia" w:ascii="宋体" w:hAnsi="宋体" w:cs="宋体"/>
                <w:color w:val="000000" w:themeColor="text1"/>
                <w:kern w:val="0"/>
                <w:sz w:val="24"/>
                <w14:textFill>
                  <w14:solidFill>
                    <w14:schemeClr w14:val="tx1"/>
                  </w14:solidFill>
                </w14:textFill>
              </w:rPr>
              <w:t xml:space="preserve">00       套。   </w:t>
            </w:r>
          </w:p>
        </w:tc>
      </w:tr>
      <w:tr w14:paraId="4187C464">
        <w:tblPrEx>
          <w:tblCellMar>
            <w:top w:w="0" w:type="dxa"/>
            <w:left w:w="108" w:type="dxa"/>
            <w:bottom w:w="0" w:type="dxa"/>
            <w:right w:w="108" w:type="dxa"/>
          </w:tblCellMar>
        </w:tblPrEx>
        <w:trPr>
          <w:trHeight w:val="450" w:hRule="atLeast"/>
        </w:trPr>
        <w:tc>
          <w:tcPr>
            <w:tcW w:w="519" w:type="dxa"/>
            <w:vMerge w:val="continue"/>
            <w:tcBorders>
              <w:top w:val="nil"/>
              <w:left w:val="single" w:color="auto" w:sz="4" w:space="0"/>
              <w:bottom w:val="single" w:color="auto" w:sz="4" w:space="0"/>
              <w:right w:val="single" w:color="auto" w:sz="4" w:space="0"/>
            </w:tcBorders>
            <w:vAlign w:val="center"/>
          </w:tcPr>
          <w:p w14:paraId="57C025C3">
            <w:pPr>
              <w:widowControl/>
              <w:adjustRightInd/>
              <w:jc w:val="left"/>
              <w:rPr>
                <w:rFonts w:ascii="宋体" w:hAnsi="宋体" w:cs="宋体"/>
                <w:color w:val="000000" w:themeColor="text1"/>
                <w:kern w:val="0"/>
                <w:sz w:val="24"/>
                <w14:textFill>
                  <w14:solidFill>
                    <w14:schemeClr w14:val="tx1"/>
                  </w14:solidFill>
                </w14:textFill>
              </w:rPr>
            </w:pPr>
          </w:p>
        </w:tc>
        <w:tc>
          <w:tcPr>
            <w:tcW w:w="772" w:type="dxa"/>
            <w:vMerge w:val="continue"/>
            <w:tcBorders>
              <w:top w:val="nil"/>
              <w:left w:val="single" w:color="auto" w:sz="4" w:space="0"/>
              <w:bottom w:val="single" w:color="auto" w:sz="4" w:space="0"/>
              <w:right w:val="single" w:color="auto" w:sz="4" w:space="0"/>
            </w:tcBorders>
            <w:vAlign w:val="center"/>
          </w:tcPr>
          <w:p w14:paraId="01757DC4">
            <w:pPr>
              <w:widowControl/>
              <w:adjustRightInd/>
              <w:jc w:val="left"/>
              <w:rPr>
                <w:rFonts w:ascii="宋体" w:hAnsi="宋体" w:cs="宋体"/>
                <w:color w:val="000000" w:themeColor="text1"/>
                <w:kern w:val="0"/>
                <w:sz w:val="24"/>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14:paraId="1366661A">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拼田本</w:t>
            </w:r>
          </w:p>
        </w:tc>
        <w:tc>
          <w:tcPr>
            <w:tcW w:w="709" w:type="dxa"/>
            <w:tcBorders>
              <w:top w:val="nil"/>
              <w:left w:val="nil"/>
              <w:bottom w:val="single" w:color="auto" w:sz="4" w:space="0"/>
              <w:right w:val="single" w:color="auto" w:sz="4" w:space="0"/>
            </w:tcBorders>
            <w:vAlign w:val="center"/>
          </w:tcPr>
          <w:p w14:paraId="5A67B921">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3本</w:t>
            </w:r>
          </w:p>
        </w:tc>
        <w:tc>
          <w:tcPr>
            <w:tcW w:w="1186" w:type="dxa"/>
            <w:tcBorders>
              <w:top w:val="nil"/>
              <w:left w:val="nil"/>
              <w:bottom w:val="single" w:color="auto" w:sz="4" w:space="0"/>
              <w:right w:val="single" w:color="auto" w:sz="4" w:space="0"/>
            </w:tcBorders>
            <w:vAlign w:val="center"/>
          </w:tcPr>
          <w:p w14:paraId="5836097B">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32K 36页</w:t>
            </w:r>
          </w:p>
        </w:tc>
        <w:tc>
          <w:tcPr>
            <w:tcW w:w="524" w:type="dxa"/>
            <w:vMerge w:val="continue"/>
            <w:tcBorders>
              <w:top w:val="nil"/>
              <w:left w:val="single" w:color="auto" w:sz="4" w:space="0"/>
              <w:bottom w:val="single" w:color="auto" w:sz="4" w:space="0"/>
              <w:right w:val="single" w:color="auto" w:sz="4" w:space="0"/>
            </w:tcBorders>
            <w:vAlign w:val="center"/>
          </w:tcPr>
          <w:p w14:paraId="2C1697CA">
            <w:pPr>
              <w:widowControl/>
              <w:adjustRightInd/>
              <w:jc w:val="left"/>
              <w:rPr>
                <w:rFonts w:ascii="宋体" w:hAnsi="宋体" w:cs="宋体"/>
                <w:color w:val="000000" w:themeColor="text1"/>
                <w:kern w:val="0"/>
                <w:sz w:val="24"/>
                <w14:textFill>
                  <w14:solidFill>
                    <w14:schemeClr w14:val="tx1"/>
                  </w14:solidFill>
                </w14:textFill>
              </w:rPr>
            </w:pPr>
          </w:p>
        </w:tc>
        <w:tc>
          <w:tcPr>
            <w:tcW w:w="983" w:type="dxa"/>
            <w:vMerge w:val="continue"/>
            <w:tcBorders>
              <w:top w:val="nil"/>
              <w:left w:val="single" w:color="auto" w:sz="4" w:space="0"/>
              <w:bottom w:val="single" w:color="auto" w:sz="4" w:space="0"/>
              <w:right w:val="single" w:color="auto" w:sz="4" w:space="0"/>
            </w:tcBorders>
            <w:vAlign w:val="center"/>
          </w:tcPr>
          <w:p w14:paraId="79C9EDA1">
            <w:pPr>
              <w:widowControl/>
              <w:adjustRightInd/>
              <w:jc w:val="left"/>
              <w:rPr>
                <w:rFonts w:ascii="宋体" w:hAnsi="宋体" w:cs="宋体"/>
                <w:color w:val="000000" w:themeColor="text1"/>
                <w:kern w:val="0"/>
                <w:sz w:val="24"/>
                <w14:textFill>
                  <w14:solidFill>
                    <w14:schemeClr w14:val="tx1"/>
                  </w14:solidFill>
                </w14:textFill>
              </w:rPr>
            </w:pPr>
          </w:p>
        </w:tc>
        <w:tc>
          <w:tcPr>
            <w:tcW w:w="2126" w:type="dxa"/>
            <w:vMerge w:val="continue"/>
            <w:tcBorders>
              <w:top w:val="nil"/>
              <w:left w:val="single" w:color="auto" w:sz="4" w:space="0"/>
              <w:bottom w:val="single" w:color="auto" w:sz="4" w:space="0"/>
              <w:right w:val="single" w:color="auto" w:sz="4" w:space="0"/>
            </w:tcBorders>
            <w:vAlign w:val="center"/>
          </w:tcPr>
          <w:p w14:paraId="52AE441B">
            <w:pPr>
              <w:widowControl/>
              <w:adjustRightInd/>
              <w:jc w:val="left"/>
              <w:rPr>
                <w:rFonts w:ascii="宋体" w:hAnsi="宋体" w:cs="宋体"/>
                <w:color w:val="000000" w:themeColor="text1"/>
                <w:kern w:val="0"/>
                <w:sz w:val="24"/>
                <w14:textFill>
                  <w14:solidFill>
                    <w14:schemeClr w14:val="tx1"/>
                  </w14:solidFill>
                </w14:textFill>
              </w:rPr>
            </w:pPr>
          </w:p>
        </w:tc>
        <w:tc>
          <w:tcPr>
            <w:tcW w:w="1276" w:type="dxa"/>
            <w:vMerge w:val="continue"/>
            <w:tcBorders>
              <w:top w:val="nil"/>
              <w:left w:val="single" w:color="auto" w:sz="4" w:space="0"/>
              <w:bottom w:val="single" w:color="auto" w:sz="4" w:space="0"/>
              <w:right w:val="single" w:color="auto" w:sz="4" w:space="0"/>
            </w:tcBorders>
            <w:vAlign w:val="center"/>
          </w:tcPr>
          <w:p w14:paraId="02779B26">
            <w:pPr>
              <w:widowControl/>
              <w:adjustRightInd/>
              <w:jc w:val="left"/>
              <w:rPr>
                <w:rFonts w:ascii="宋体" w:hAnsi="宋体" w:cs="宋体"/>
                <w:color w:val="000000" w:themeColor="text1"/>
                <w:kern w:val="0"/>
                <w:sz w:val="24"/>
                <w14:textFill>
                  <w14:solidFill>
                    <w14:schemeClr w14:val="tx1"/>
                  </w14:solidFill>
                </w14:textFill>
              </w:rPr>
            </w:pPr>
          </w:p>
        </w:tc>
      </w:tr>
      <w:tr w14:paraId="006616AA">
        <w:tblPrEx>
          <w:tblCellMar>
            <w:top w:w="0" w:type="dxa"/>
            <w:left w:w="108" w:type="dxa"/>
            <w:bottom w:w="0" w:type="dxa"/>
            <w:right w:w="108" w:type="dxa"/>
          </w:tblCellMar>
        </w:tblPrEx>
        <w:trPr>
          <w:trHeight w:val="450" w:hRule="atLeast"/>
        </w:trPr>
        <w:tc>
          <w:tcPr>
            <w:tcW w:w="519" w:type="dxa"/>
            <w:vMerge w:val="continue"/>
            <w:tcBorders>
              <w:top w:val="nil"/>
              <w:left w:val="single" w:color="auto" w:sz="4" w:space="0"/>
              <w:bottom w:val="single" w:color="auto" w:sz="4" w:space="0"/>
              <w:right w:val="single" w:color="auto" w:sz="4" w:space="0"/>
            </w:tcBorders>
            <w:vAlign w:val="center"/>
          </w:tcPr>
          <w:p w14:paraId="10860407">
            <w:pPr>
              <w:widowControl/>
              <w:adjustRightInd/>
              <w:jc w:val="left"/>
              <w:rPr>
                <w:rFonts w:ascii="宋体" w:hAnsi="宋体" w:cs="宋体"/>
                <w:color w:val="000000" w:themeColor="text1"/>
                <w:kern w:val="0"/>
                <w:sz w:val="24"/>
                <w14:textFill>
                  <w14:solidFill>
                    <w14:schemeClr w14:val="tx1"/>
                  </w14:solidFill>
                </w14:textFill>
              </w:rPr>
            </w:pPr>
          </w:p>
        </w:tc>
        <w:tc>
          <w:tcPr>
            <w:tcW w:w="772" w:type="dxa"/>
            <w:vMerge w:val="continue"/>
            <w:tcBorders>
              <w:top w:val="nil"/>
              <w:left w:val="single" w:color="auto" w:sz="4" w:space="0"/>
              <w:bottom w:val="single" w:color="auto" w:sz="4" w:space="0"/>
              <w:right w:val="single" w:color="auto" w:sz="4" w:space="0"/>
            </w:tcBorders>
            <w:vAlign w:val="center"/>
          </w:tcPr>
          <w:p w14:paraId="005546E8">
            <w:pPr>
              <w:widowControl/>
              <w:adjustRightInd/>
              <w:jc w:val="left"/>
              <w:rPr>
                <w:rFonts w:ascii="宋体" w:hAnsi="宋体" w:cs="宋体"/>
                <w:color w:val="000000" w:themeColor="text1"/>
                <w:kern w:val="0"/>
                <w:sz w:val="24"/>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14:paraId="628DD4E5">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数学本</w:t>
            </w:r>
          </w:p>
        </w:tc>
        <w:tc>
          <w:tcPr>
            <w:tcW w:w="709" w:type="dxa"/>
            <w:tcBorders>
              <w:top w:val="nil"/>
              <w:left w:val="nil"/>
              <w:bottom w:val="single" w:color="auto" w:sz="4" w:space="0"/>
              <w:right w:val="single" w:color="auto" w:sz="4" w:space="0"/>
            </w:tcBorders>
            <w:vAlign w:val="center"/>
          </w:tcPr>
          <w:p w14:paraId="762D523F">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4本</w:t>
            </w:r>
          </w:p>
        </w:tc>
        <w:tc>
          <w:tcPr>
            <w:tcW w:w="1186" w:type="dxa"/>
            <w:tcBorders>
              <w:top w:val="nil"/>
              <w:left w:val="nil"/>
              <w:bottom w:val="single" w:color="auto" w:sz="4" w:space="0"/>
              <w:right w:val="single" w:color="auto" w:sz="4" w:space="0"/>
            </w:tcBorders>
            <w:vAlign w:val="center"/>
          </w:tcPr>
          <w:p w14:paraId="43B9292E">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32K 36页</w:t>
            </w:r>
          </w:p>
        </w:tc>
        <w:tc>
          <w:tcPr>
            <w:tcW w:w="524" w:type="dxa"/>
            <w:vMerge w:val="continue"/>
            <w:tcBorders>
              <w:top w:val="nil"/>
              <w:left w:val="single" w:color="auto" w:sz="4" w:space="0"/>
              <w:bottom w:val="single" w:color="auto" w:sz="4" w:space="0"/>
              <w:right w:val="single" w:color="auto" w:sz="4" w:space="0"/>
            </w:tcBorders>
            <w:vAlign w:val="center"/>
          </w:tcPr>
          <w:p w14:paraId="316DB1F0">
            <w:pPr>
              <w:widowControl/>
              <w:adjustRightInd/>
              <w:jc w:val="left"/>
              <w:rPr>
                <w:rFonts w:ascii="宋体" w:hAnsi="宋体" w:cs="宋体"/>
                <w:color w:val="000000" w:themeColor="text1"/>
                <w:kern w:val="0"/>
                <w:sz w:val="24"/>
                <w14:textFill>
                  <w14:solidFill>
                    <w14:schemeClr w14:val="tx1"/>
                  </w14:solidFill>
                </w14:textFill>
              </w:rPr>
            </w:pPr>
          </w:p>
        </w:tc>
        <w:tc>
          <w:tcPr>
            <w:tcW w:w="983" w:type="dxa"/>
            <w:vMerge w:val="continue"/>
            <w:tcBorders>
              <w:top w:val="nil"/>
              <w:left w:val="single" w:color="auto" w:sz="4" w:space="0"/>
              <w:bottom w:val="single" w:color="auto" w:sz="4" w:space="0"/>
              <w:right w:val="single" w:color="auto" w:sz="4" w:space="0"/>
            </w:tcBorders>
            <w:vAlign w:val="center"/>
          </w:tcPr>
          <w:p w14:paraId="58501110">
            <w:pPr>
              <w:widowControl/>
              <w:adjustRightInd/>
              <w:jc w:val="left"/>
              <w:rPr>
                <w:rFonts w:ascii="宋体" w:hAnsi="宋体" w:cs="宋体"/>
                <w:color w:val="000000" w:themeColor="text1"/>
                <w:kern w:val="0"/>
                <w:sz w:val="24"/>
                <w14:textFill>
                  <w14:solidFill>
                    <w14:schemeClr w14:val="tx1"/>
                  </w14:solidFill>
                </w14:textFill>
              </w:rPr>
            </w:pPr>
          </w:p>
        </w:tc>
        <w:tc>
          <w:tcPr>
            <w:tcW w:w="2126" w:type="dxa"/>
            <w:vMerge w:val="continue"/>
            <w:tcBorders>
              <w:top w:val="nil"/>
              <w:left w:val="single" w:color="auto" w:sz="4" w:space="0"/>
              <w:bottom w:val="single" w:color="auto" w:sz="4" w:space="0"/>
              <w:right w:val="single" w:color="auto" w:sz="4" w:space="0"/>
            </w:tcBorders>
            <w:vAlign w:val="center"/>
          </w:tcPr>
          <w:p w14:paraId="12AB7A97">
            <w:pPr>
              <w:widowControl/>
              <w:adjustRightInd/>
              <w:jc w:val="left"/>
              <w:rPr>
                <w:rFonts w:ascii="宋体" w:hAnsi="宋体" w:cs="宋体"/>
                <w:color w:val="000000" w:themeColor="text1"/>
                <w:kern w:val="0"/>
                <w:sz w:val="24"/>
                <w14:textFill>
                  <w14:solidFill>
                    <w14:schemeClr w14:val="tx1"/>
                  </w14:solidFill>
                </w14:textFill>
              </w:rPr>
            </w:pPr>
          </w:p>
        </w:tc>
        <w:tc>
          <w:tcPr>
            <w:tcW w:w="1276" w:type="dxa"/>
            <w:vMerge w:val="continue"/>
            <w:tcBorders>
              <w:top w:val="nil"/>
              <w:left w:val="single" w:color="auto" w:sz="4" w:space="0"/>
              <w:bottom w:val="single" w:color="auto" w:sz="4" w:space="0"/>
              <w:right w:val="single" w:color="auto" w:sz="4" w:space="0"/>
            </w:tcBorders>
            <w:vAlign w:val="center"/>
          </w:tcPr>
          <w:p w14:paraId="578ABC49">
            <w:pPr>
              <w:widowControl/>
              <w:adjustRightInd/>
              <w:jc w:val="left"/>
              <w:rPr>
                <w:rFonts w:ascii="宋体" w:hAnsi="宋体" w:cs="宋体"/>
                <w:color w:val="000000" w:themeColor="text1"/>
                <w:kern w:val="0"/>
                <w:sz w:val="24"/>
                <w14:textFill>
                  <w14:solidFill>
                    <w14:schemeClr w14:val="tx1"/>
                  </w14:solidFill>
                </w14:textFill>
              </w:rPr>
            </w:pPr>
          </w:p>
        </w:tc>
      </w:tr>
      <w:tr w14:paraId="60EDBFB3">
        <w:tblPrEx>
          <w:tblCellMar>
            <w:top w:w="0" w:type="dxa"/>
            <w:left w:w="108" w:type="dxa"/>
            <w:bottom w:w="0" w:type="dxa"/>
            <w:right w:w="108" w:type="dxa"/>
          </w:tblCellMar>
        </w:tblPrEx>
        <w:trPr>
          <w:trHeight w:val="450" w:hRule="atLeast"/>
        </w:trPr>
        <w:tc>
          <w:tcPr>
            <w:tcW w:w="519" w:type="dxa"/>
            <w:vMerge w:val="continue"/>
            <w:tcBorders>
              <w:top w:val="nil"/>
              <w:left w:val="single" w:color="auto" w:sz="4" w:space="0"/>
              <w:bottom w:val="single" w:color="auto" w:sz="4" w:space="0"/>
              <w:right w:val="single" w:color="auto" w:sz="4" w:space="0"/>
            </w:tcBorders>
            <w:vAlign w:val="center"/>
          </w:tcPr>
          <w:p w14:paraId="67801893">
            <w:pPr>
              <w:widowControl/>
              <w:adjustRightInd/>
              <w:jc w:val="left"/>
              <w:rPr>
                <w:rFonts w:ascii="宋体" w:hAnsi="宋体" w:cs="宋体"/>
                <w:color w:val="000000" w:themeColor="text1"/>
                <w:kern w:val="0"/>
                <w:sz w:val="24"/>
                <w14:textFill>
                  <w14:solidFill>
                    <w14:schemeClr w14:val="tx1"/>
                  </w14:solidFill>
                </w14:textFill>
              </w:rPr>
            </w:pPr>
          </w:p>
        </w:tc>
        <w:tc>
          <w:tcPr>
            <w:tcW w:w="772" w:type="dxa"/>
            <w:vMerge w:val="continue"/>
            <w:tcBorders>
              <w:top w:val="nil"/>
              <w:left w:val="single" w:color="auto" w:sz="4" w:space="0"/>
              <w:bottom w:val="single" w:color="auto" w:sz="4" w:space="0"/>
              <w:right w:val="single" w:color="auto" w:sz="4" w:space="0"/>
            </w:tcBorders>
            <w:vAlign w:val="center"/>
          </w:tcPr>
          <w:p w14:paraId="383BAEAC">
            <w:pPr>
              <w:widowControl/>
              <w:adjustRightInd/>
              <w:jc w:val="left"/>
              <w:rPr>
                <w:rFonts w:ascii="宋体" w:hAnsi="宋体" w:cs="宋体"/>
                <w:color w:val="000000" w:themeColor="text1"/>
                <w:kern w:val="0"/>
                <w:sz w:val="24"/>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14:paraId="64A8DA98">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小方格</w:t>
            </w:r>
          </w:p>
        </w:tc>
        <w:tc>
          <w:tcPr>
            <w:tcW w:w="709" w:type="dxa"/>
            <w:tcBorders>
              <w:top w:val="nil"/>
              <w:left w:val="nil"/>
              <w:bottom w:val="single" w:color="auto" w:sz="4" w:space="0"/>
              <w:right w:val="single" w:color="auto" w:sz="4" w:space="0"/>
            </w:tcBorders>
            <w:vAlign w:val="center"/>
          </w:tcPr>
          <w:p w14:paraId="3CD6D874">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3本</w:t>
            </w:r>
          </w:p>
        </w:tc>
        <w:tc>
          <w:tcPr>
            <w:tcW w:w="1186" w:type="dxa"/>
            <w:tcBorders>
              <w:top w:val="nil"/>
              <w:left w:val="nil"/>
              <w:bottom w:val="single" w:color="auto" w:sz="4" w:space="0"/>
              <w:right w:val="single" w:color="auto" w:sz="4" w:space="0"/>
            </w:tcBorders>
            <w:vAlign w:val="center"/>
          </w:tcPr>
          <w:p w14:paraId="193AAED0">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32K 36页</w:t>
            </w:r>
          </w:p>
        </w:tc>
        <w:tc>
          <w:tcPr>
            <w:tcW w:w="524" w:type="dxa"/>
            <w:vMerge w:val="continue"/>
            <w:tcBorders>
              <w:top w:val="nil"/>
              <w:left w:val="single" w:color="auto" w:sz="4" w:space="0"/>
              <w:bottom w:val="single" w:color="auto" w:sz="4" w:space="0"/>
              <w:right w:val="single" w:color="auto" w:sz="4" w:space="0"/>
            </w:tcBorders>
            <w:vAlign w:val="center"/>
          </w:tcPr>
          <w:p w14:paraId="7B511EC7">
            <w:pPr>
              <w:widowControl/>
              <w:adjustRightInd/>
              <w:jc w:val="left"/>
              <w:rPr>
                <w:rFonts w:ascii="宋体" w:hAnsi="宋体" w:cs="宋体"/>
                <w:color w:val="000000" w:themeColor="text1"/>
                <w:kern w:val="0"/>
                <w:sz w:val="24"/>
                <w14:textFill>
                  <w14:solidFill>
                    <w14:schemeClr w14:val="tx1"/>
                  </w14:solidFill>
                </w14:textFill>
              </w:rPr>
            </w:pPr>
          </w:p>
        </w:tc>
        <w:tc>
          <w:tcPr>
            <w:tcW w:w="983" w:type="dxa"/>
            <w:vMerge w:val="continue"/>
            <w:tcBorders>
              <w:top w:val="nil"/>
              <w:left w:val="single" w:color="auto" w:sz="4" w:space="0"/>
              <w:bottom w:val="single" w:color="auto" w:sz="4" w:space="0"/>
              <w:right w:val="single" w:color="auto" w:sz="4" w:space="0"/>
            </w:tcBorders>
            <w:vAlign w:val="center"/>
          </w:tcPr>
          <w:p w14:paraId="7216A17D">
            <w:pPr>
              <w:widowControl/>
              <w:adjustRightInd/>
              <w:jc w:val="left"/>
              <w:rPr>
                <w:rFonts w:ascii="宋体" w:hAnsi="宋体" w:cs="宋体"/>
                <w:color w:val="000000" w:themeColor="text1"/>
                <w:kern w:val="0"/>
                <w:sz w:val="24"/>
                <w14:textFill>
                  <w14:solidFill>
                    <w14:schemeClr w14:val="tx1"/>
                  </w14:solidFill>
                </w14:textFill>
              </w:rPr>
            </w:pPr>
          </w:p>
        </w:tc>
        <w:tc>
          <w:tcPr>
            <w:tcW w:w="2126" w:type="dxa"/>
            <w:vMerge w:val="continue"/>
            <w:tcBorders>
              <w:top w:val="nil"/>
              <w:left w:val="single" w:color="auto" w:sz="4" w:space="0"/>
              <w:bottom w:val="single" w:color="auto" w:sz="4" w:space="0"/>
              <w:right w:val="single" w:color="auto" w:sz="4" w:space="0"/>
            </w:tcBorders>
            <w:vAlign w:val="center"/>
          </w:tcPr>
          <w:p w14:paraId="693E3982">
            <w:pPr>
              <w:widowControl/>
              <w:adjustRightInd/>
              <w:jc w:val="left"/>
              <w:rPr>
                <w:rFonts w:ascii="宋体" w:hAnsi="宋体" w:cs="宋体"/>
                <w:color w:val="000000" w:themeColor="text1"/>
                <w:kern w:val="0"/>
                <w:sz w:val="24"/>
                <w14:textFill>
                  <w14:solidFill>
                    <w14:schemeClr w14:val="tx1"/>
                  </w14:solidFill>
                </w14:textFill>
              </w:rPr>
            </w:pPr>
          </w:p>
        </w:tc>
        <w:tc>
          <w:tcPr>
            <w:tcW w:w="1276" w:type="dxa"/>
            <w:vMerge w:val="continue"/>
            <w:tcBorders>
              <w:top w:val="nil"/>
              <w:left w:val="single" w:color="auto" w:sz="4" w:space="0"/>
              <w:bottom w:val="single" w:color="auto" w:sz="4" w:space="0"/>
              <w:right w:val="single" w:color="auto" w:sz="4" w:space="0"/>
            </w:tcBorders>
            <w:vAlign w:val="center"/>
          </w:tcPr>
          <w:p w14:paraId="13312F3C">
            <w:pPr>
              <w:widowControl/>
              <w:adjustRightInd/>
              <w:jc w:val="left"/>
              <w:rPr>
                <w:rFonts w:ascii="宋体" w:hAnsi="宋体" w:cs="宋体"/>
                <w:color w:val="000000" w:themeColor="text1"/>
                <w:kern w:val="0"/>
                <w:sz w:val="24"/>
                <w14:textFill>
                  <w14:solidFill>
                    <w14:schemeClr w14:val="tx1"/>
                  </w14:solidFill>
                </w14:textFill>
              </w:rPr>
            </w:pPr>
          </w:p>
        </w:tc>
      </w:tr>
      <w:tr w14:paraId="5E6D4473">
        <w:tblPrEx>
          <w:tblCellMar>
            <w:top w:w="0" w:type="dxa"/>
            <w:left w:w="108" w:type="dxa"/>
            <w:bottom w:w="0" w:type="dxa"/>
            <w:right w:w="108" w:type="dxa"/>
          </w:tblCellMar>
        </w:tblPrEx>
        <w:trPr>
          <w:trHeight w:val="450" w:hRule="atLeast"/>
        </w:trPr>
        <w:tc>
          <w:tcPr>
            <w:tcW w:w="519" w:type="dxa"/>
            <w:vMerge w:val="continue"/>
            <w:tcBorders>
              <w:top w:val="nil"/>
              <w:left w:val="single" w:color="auto" w:sz="4" w:space="0"/>
              <w:bottom w:val="single" w:color="auto" w:sz="4" w:space="0"/>
              <w:right w:val="single" w:color="auto" w:sz="4" w:space="0"/>
            </w:tcBorders>
            <w:vAlign w:val="center"/>
          </w:tcPr>
          <w:p w14:paraId="1BE02AFE">
            <w:pPr>
              <w:widowControl/>
              <w:adjustRightInd/>
              <w:jc w:val="left"/>
              <w:rPr>
                <w:rFonts w:ascii="宋体" w:hAnsi="宋体" w:cs="宋体"/>
                <w:color w:val="000000" w:themeColor="text1"/>
                <w:kern w:val="0"/>
                <w:sz w:val="24"/>
                <w14:textFill>
                  <w14:solidFill>
                    <w14:schemeClr w14:val="tx1"/>
                  </w14:solidFill>
                </w14:textFill>
              </w:rPr>
            </w:pPr>
          </w:p>
        </w:tc>
        <w:tc>
          <w:tcPr>
            <w:tcW w:w="772" w:type="dxa"/>
            <w:vMerge w:val="continue"/>
            <w:tcBorders>
              <w:top w:val="nil"/>
              <w:left w:val="single" w:color="auto" w:sz="4" w:space="0"/>
              <w:bottom w:val="single" w:color="auto" w:sz="4" w:space="0"/>
              <w:right w:val="single" w:color="auto" w:sz="4" w:space="0"/>
            </w:tcBorders>
            <w:vAlign w:val="center"/>
          </w:tcPr>
          <w:p w14:paraId="01DE1A82">
            <w:pPr>
              <w:widowControl/>
              <w:adjustRightInd/>
              <w:jc w:val="left"/>
              <w:rPr>
                <w:rFonts w:ascii="宋体" w:hAnsi="宋体" w:cs="宋体"/>
                <w:color w:val="000000" w:themeColor="text1"/>
                <w:kern w:val="0"/>
                <w:sz w:val="24"/>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14:paraId="40ABA499">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听写本</w:t>
            </w:r>
          </w:p>
        </w:tc>
        <w:tc>
          <w:tcPr>
            <w:tcW w:w="709" w:type="dxa"/>
            <w:tcBorders>
              <w:top w:val="nil"/>
              <w:left w:val="nil"/>
              <w:bottom w:val="single" w:color="auto" w:sz="4" w:space="0"/>
              <w:right w:val="single" w:color="auto" w:sz="4" w:space="0"/>
            </w:tcBorders>
            <w:vAlign w:val="center"/>
          </w:tcPr>
          <w:p w14:paraId="13D66458">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2本</w:t>
            </w:r>
          </w:p>
        </w:tc>
        <w:tc>
          <w:tcPr>
            <w:tcW w:w="1186" w:type="dxa"/>
            <w:tcBorders>
              <w:top w:val="nil"/>
              <w:left w:val="nil"/>
              <w:bottom w:val="single" w:color="auto" w:sz="4" w:space="0"/>
              <w:right w:val="single" w:color="auto" w:sz="4" w:space="0"/>
            </w:tcBorders>
            <w:vAlign w:val="center"/>
          </w:tcPr>
          <w:p w14:paraId="22D43786">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32K 36页</w:t>
            </w:r>
          </w:p>
        </w:tc>
        <w:tc>
          <w:tcPr>
            <w:tcW w:w="524" w:type="dxa"/>
            <w:vMerge w:val="continue"/>
            <w:tcBorders>
              <w:top w:val="nil"/>
              <w:left w:val="single" w:color="auto" w:sz="4" w:space="0"/>
              <w:bottom w:val="single" w:color="auto" w:sz="4" w:space="0"/>
              <w:right w:val="single" w:color="auto" w:sz="4" w:space="0"/>
            </w:tcBorders>
            <w:vAlign w:val="center"/>
          </w:tcPr>
          <w:p w14:paraId="4262C1F5">
            <w:pPr>
              <w:widowControl/>
              <w:adjustRightInd/>
              <w:jc w:val="left"/>
              <w:rPr>
                <w:rFonts w:ascii="宋体" w:hAnsi="宋体" w:cs="宋体"/>
                <w:color w:val="000000" w:themeColor="text1"/>
                <w:kern w:val="0"/>
                <w:sz w:val="24"/>
                <w14:textFill>
                  <w14:solidFill>
                    <w14:schemeClr w14:val="tx1"/>
                  </w14:solidFill>
                </w14:textFill>
              </w:rPr>
            </w:pPr>
          </w:p>
        </w:tc>
        <w:tc>
          <w:tcPr>
            <w:tcW w:w="983" w:type="dxa"/>
            <w:vMerge w:val="continue"/>
            <w:tcBorders>
              <w:top w:val="nil"/>
              <w:left w:val="single" w:color="auto" w:sz="4" w:space="0"/>
              <w:bottom w:val="single" w:color="auto" w:sz="4" w:space="0"/>
              <w:right w:val="single" w:color="auto" w:sz="4" w:space="0"/>
            </w:tcBorders>
            <w:vAlign w:val="center"/>
          </w:tcPr>
          <w:p w14:paraId="61B7A945">
            <w:pPr>
              <w:widowControl/>
              <w:adjustRightInd/>
              <w:jc w:val="left"/>
              <w:rPr>
                <w:rFonts w:ascii="宋体" w:hAnsi="宋体" w:cs="宋体"/>
                <w:color w:val="000000" w:themeColor="text1"/>
                <w:kern w:val="0"/>
                <w:sz w:val="24"/>
                <w14:textFill>
                  <w14:solidFill>
                    <w14:schemeClr w14:val="tx1"/>
                  </w14:solidFill>
                </w14:textFill>
              </w:rPr>
            </w:pPr>
          </w:p>
        </w:tc>
        <w:tc>
          <w:tcPr>
            <w:tcW w:w="2126" w:type="dxa"/>
            <w:vMerge w:val="continue"/>
            <w:tcBorders>
              <w:top w:val="nil"/>
              <w:left w:val="single" w:color="auto" w:sz="4" w:space="0"/>
              <w:bottom w:val="single" w:color="auto" w:sz="4" w:space="0"/>
              <w:right w:val="single" w:color="auto" w:sz="4" w:space="0"/>
            </w:tcBorders>
            <w:vAlign w:val="center"/>
          </w:tcPr>
          <w:p w14:paraId="5DE5B107">
            <w:pPr>
              <w:widowControl/>
              <w:adjustRightInd/>
              <w:jc w:val="left"/>
              <w:rPr>
                <w:rFonts w:ascii="宋体" w:hAnsi="宋体" w:cs="宋体"/>
                <w:color w:val="000000" w:themeColor="text1"/>
                <w:kern w:val="0"/>
                <w:sz w:val="24"/>
                <w14:textFill>
                  <w14:solidFill>
                    <w14:schemeClr w14:val="tx1"/>
                  </w14:solidFill>
                </w14:textFill>
              </w:rPr>
            </w:pPr>
          </w:p>
        </w:tc>
        <w:tc>
          <w:tcPr>
            <w:tcW w:w="1276" w:type="dxa"/>
            <w:vMerge w:val="continue"/>
            <w:tcBorders>
              <w:top w:val="nil"/>
              <w:left w:val="single" w:color="auto" w:sz="4" w:space="0"/>
              <w:bottom w:val="single" w:color="auto" w:sz="4" w:space="0"/>
              <w:right w:val="single" w:color="auto" w:sz="4" w:space="0"/>
            </w:tcBorders>
            <w:vAlign w:val="center"/>
          </w:tcPr>
          <w:p w14:paraId="4FC54823">
            <w:pPr>
              <w:widowControl/>
              <w:adjustRightInd/>
              <w:jc w:val="left"/>
              <w:rPr>
                <w:rFonts w:ascii="宋体" w:hAnsi="宋体" w:cs="宋体"/>
                <w:color w:val="000000" w:themeColor="text1"/>
                <w:kern w:val="0"/>
                <w:sz w:val="24"/>
                <w14:textFill>
                  <w14:solidFill>
                    <w14:schemeClr w14:val="tx1"/>
                  </w14:solidFill>
                </w14:textFill>
              </w:rPr>
            </w:pPr>
          </w:p>
        </w:tc>
      </w:tr>
      <w:tr w14:paraId="1877A367">
        <w:tblPrEx>
          <w:tblCellMar>
            <w:top w:w="0" w:type="dxa"/>
            <w:left w:w="108" w:type="dxa"/>
            <w:bottom w:w="0" w:type="dxa"/>
            <w:right w:w="108" w:type="dxa"/>
          </w:tblCellMar>
        </w:tblPrEx>
        <w:trPr>
          <w:trHeight w:val="450" w:hRule="atLeast"/>
        </w:trPr>
        <w:tc>
          <w:tcPr>
            <w:tcW w:w="519" w:type="dxa"/>
            <w:vMerge w:val="continue"/>
            <w:tcBorders>
              <w:top w:val="nil"/>
              <w:left w:val="single" w:color="auto" w:sz="4" w:space="0"/>
              <w:bottom w:val="single" w:color="auto" w:sz="4" w:space="0"/>
              <w:right w:val="single" w:color="auto" w:sz="4" w:space="0"/>
            </w:tcBorders>
            <w:vAlign w:val="center"/>
          </w:tcPr>
          <w:p w14:paraId="20E7D289">
            <w:pPr>
              <w:widowControl/>
              <w:adjustRightInd/>
              <w:jc w:val="left"/>
              <w:rPr>
                <w:rFonts w:ascii="宋体" w:hAnsi="宋体" w:cs="宋体"/>
                <w:color w:val="000000" w:themeColor="text1"/>
                <w:kern w:val="0"/>
                <w:sz w:val="24"/>
                <w14:textFill>
                  <w14:solidFill>
                    <w14:schemeClr w14:val="tx1"/>
                  </w14:solidFill>
                </w14:textFill>
              </w:rPr>
            </w:pPr>
          </w:p>
        </w:tc>
        <w:tc>
          <w:tcPr>
            <w:tcW w:w="772" w:type="dxa"/>
            <w:vMerge w:val="continue"/>
            <w:tcBorders>
              <w:top w:val="nil"/>
              <w:left w:val="single" w:color="auto" w:sz="4" w:space="0"/>
              <w:bottom w:val="single" w:color="auto" w:sz="4" w:space="0"/>
              <w:right w:val="single" w:color="auto" w:sz="4" w:space="0"/>
            </w:tcBorders>
            <w:vAlign w:val="center"/>
          </w:tcPr>
          <w:p w14:paraId="788494AD">
            <w:pPr>
              <w:widowControl/>
              <w:adjustRightInd/>
              <w:jc w:val="left"/>
              <w:rPr>
                <w:rFonts w:ascii="宋体" w:hAnsi="宋体" w:cs="宋体"/>
                <w:color w:val="000000" w:themeColor="text1"/>
                <w:kern w:val="0"/>
                <w:sz w:val="24"/>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14:paraId="1148B8EC">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小作文</w:t>
            </w:r>
          </w:p>
        </w:tc>
        <w:tc>
          <w:tcPr>
            <w:tcW w:w="709" w:type="dxa"/>
            <w:tcBorders>
              <w:top w:val="nil"/>
              <w:left w:val="nil"/>
              <w:bottom w:val="single" w:color="auto" w:sz="4" w:space="0"/>
              <w:right w:val="single" w:color="auto" w:sz="4" w:space="0"/>
            </w:tcBorders>
            <w:vAlign w:val="center"/>
          </w:tcPr>
          <w:p w14:paraId="2DEAE3D1">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2本</w:t>
            </w:r>
          </w:p>
        </w:tc>
        <w:tc>
          <w:tcPr>
            <w:tcW w:w="1186" w:type="dxa"/>
            <w:tcBorders>
              <w:top w:val="nil"/>
              <w:left w:val="nil"/>
              <w:bottom w:val="single" w:color="auto" w:sz="4" w:space="0"/>
              <w:right w:val="single" w:color="auto" w:sz="4" w:space="0"/>
            </w:tcBorders>
            <w:vAlign w:val="center"/>
          </w:tcPr>
          <w:p w14:paraId="2732979A">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32K 36页</w:t>
            </w:r>
          </w:p>
        </w:tc>
        <w:tc>
          <w:tcPr>
            <w:tcW w:w="524" w:type="dxa"/>
            <w:vMerge w:val="continue"/>
            <w:tcBorders>
              <w:top w:val="nil"/>
              <w:left w:val="single" w:color="auto" w:sz="4" w:space="0"/>
              <w:bottom w:val="single" w:color="auto" w:sz="4" w:space="0"/>
              <w:right w:val="single" w:color="auto" w:sz="4" w:space="0"/>
            </w:tcBorders>
            <w:vAlign w:val="center"/>
          </w:tcPr>
          <w:p w14:paraId="5AEEBE25">
            <w:pPr>
              <w:widowControl/>
              <w:adjustRightInd/>
              <w:jc w:val="left"/>
              <w:rPr>
                <w:rFonts w:ascii="宋体" w:hAnsi="宋体" w:cs="宋体"/>
                <w:color w:val="000000" w:themeColor="text1"/>
                <w:kern w:val="0"/>
                <w:sz w:val="24"/>
                <w14:textFill>
                  <w14:solidFill>
                    <w14:schemeClr w14:val="tx1"/>
                  </w14:solidFill>
                </w14:textFill>
              </w:rPr>
            </w:pPr>
          </w:p>
        </w:tc>
        <w:tc>
          <w:tcPr>
            <w:tcW w:w="983" w:type="dxa"/>
            <w:vMerge w:val="continue"/>
            <w:tcBorders>
              <w:top w:val="nil"/>
              <w:left w:val="single" w:color="auto" w:sz="4" w:space="0"/>
              <w:bottom w:val="single" w:color="auto" w:sz="4" w:space="0"/>
              <w:right w:val="single" w:color="auto" w:sz="4" w:space="0"/>
            </w:tcBorders>
            <w:vAlign w:val="center"/>
          </w:tcPr>
          <w:p w14:paraId="14016B0F">
            <w:pPr>
              <w:widowControl/>
              <w:adjustRightInd/>
              <w:jc w:val="left"/>
              <w:rPr>
                <w:rFonts w:ascii="宋体" w:hAnsi="宋体" w:cs="宋体"/>
                <w:color w:val="000000" w:themeColor="text1"/>
                <w:kern w:val="0"/>
                <w:sz w:val="24"/>
                <w14:textFill>
                  <w14:solidFill>
                    <w14:schemeClr w14:val="tx1"/>
                  </w14:solidFill>
                </w14:textFill>
              </w:rPr>
            </w:pPr>
          </w:p>
        </w:tc>
        <w:tc>
          <w:tcPr>
            <w:tcW w:w="2126" w:type="dxa"/>
            <w:vMerge w:val="continue"/>
            <w:tcBorders>
              <w:top w:val="nil"/>
              <w:left w:val="single" w:color="auto" w:sz="4" w:space="0"/>
              <w:bottom w:val="single" w:color="auto" w:sz="4" w:space="0"/>
              <w:right w:val="single" w:color="auto" w:sz="4" w:space="0"/>
            </w:tcBorders>
            <w:vAlign w:val="center"/>
          </w:tcPr>
          <w:p w14:paraId="1574DB38">
            <w:pPr>
              <w:widowControl/>
              <w:adjustRightInd/>
              <w:jc w:val="left"/>
              <w:rPr>
                <w:rFonts w:ascii="宋体" w:hAnsi="宋体" w:cs="宋体"/>
                <w:color w:val="000000" w:themeColor="text1"/>
                <w:kern w:val="0"/>
                <w:sz w:val="24"/>
                <w14:textFill>
                  <w14:solidFill>
                    <w14:schemeClr w14:val="tx1"/>
                  </w14:solidFill>
                </w14:textFill>
              </w:rPr>
            </w:pPr>
          </w:p>
        </w:tc>
        <w:tc>
          <w:tcPr>
            <w:tcW w:w="1276" w:type="dxa"/>
            <w:vMerge w:val="continue"/>
            <w:tcBorders>
              <w:top w:val="nil"/>
              <w:left w:val="single" w:color="auto" w:sz="4" w:space="0"/>
              <w:bottom w:val="single" w:color="auto" w:sz="4" w:space="0"/>
              <w:right w:val="single" w:color="auto" w:sz="4" w:space="0"/>
            </w:tcBorders>
            <w:vAlign w:val="center"/>
          </w:tcPr>
          <w:p w14:paraId="3F0AB2BC">
            <w:pPr>
              <w:widowControl/>
              <w:adjustRightInd/>
              <w:jc w:val="left"/>
              <w:rPr>
                <w:rFonts w:ascii="宋体" w:hAnsi="宋体" w:cs="宋体"/>
                <w:color w:val="000000" w:themeColor="text1"/>
                <w:kern w:val="0"/>
                <w:sz w:val="24"/>
                <w14:textFill>
                  <w14:solidFill>
                    <w14:schemeClr w14:val="tx1"/>
                  </w14:solidFill>
                </w14:textFill>
              </w:rPr>
            </w:pPr>
          </w:p>
        </w:tc>
      </w:tr>
      <w:tr w14:paraId="4A4753F2">
        <w:tblPrEx>
          <w:tblCellMar>
            <w:top w:w="0" w:type="dxa"/>
            <w:left w:w="108" w:type="dxa"/>
            <w:bottom w:w="0" w:type="dxa"/>
            <w:right w:w="108" w:type="dxa"/>
          </w:tblCellMar>
        </w:tblPrEx>
        <w:trPr>
          <w:trHeight w:val="600" w:hRule="atLeast"/>
        </w:trPr>
        <w:tc>
          <w:tcPr>
            <w:tcW w:w="519" w:type="dxa"/>
            <w:vMerge w:val="continue"/>
            <w:tcBorders>
              <w:top w:val="nil"/>
              <w:left w:val="single" w:color="auto" w:sz="4" w:space="0"/>
              <w:bottom w:val="single" w:color="auto" w:sz="4" w:space="0"/>
              <w:right w:val="single" w:color="auto" w:sz="4" w:space="0"/>
            </w:tcBorders>
            <w:vAlign w:val="center"/>
          </w:tcPr>
          <w:p w14:paraId="40C4565F">
            <w:pPr>
              <w:widowControl/>
              <w:adjustRightInd/>
              <w:jc w:val="left"/>
              <w:rPr>
                <w:rFonts w:ascii="宋体" w:hAnsi="宋体" w:cs="宋体"/>
                <w:color w:val="000000" w:themeColor="text1"/>
                <w:kern w:val="0"/>
                <w:sz w:val="24"/>
                <w14:textFill>
                  <w14:solidFill>
                    <w14:schemeClr w14:val="tx1"/>
                  </w14:solidFill>
                </w14:textFill>
              </w:rPr>
            </w:pPr>
          </w:p>
        </w:tc>
        <w:tc>
          <w:tcPr>
            <w:tcW w:w="772" w:type="dxa"/>
            <w:vMerge w:val="continue"/>
            <w:tcBorders>
              <w:top w:val="nil"/>
              <w:left w:val="single" w:color="auto" w:sz="4" w:space="0"/>
              <w:bottom w:val="single" w:color="auto" w:sz="4" w:space="0"/>
              <w:right w:val="single" w:color="auto" w:sz="4" w:space="0"/>
            </w:tcBorders>
            <w:vAlign w:val="center"/>
          </w:tcPr>
          <w:p w14:paraId="47325DF1">
            <w:pPr>
              <w:widowControl/>
              <w:adjustRightInd/>
              <w:jc w:val="left"/>
              <w:rPr>
                <w:rFonts w:ascii="宋体" w:hAnsi="宋体" w:cs="宋体"/>
                <w:color w:val="000000" w:themeColor="text1"/>
                <w:kern w:val="0"/>
                <w:sz w:val="24"/>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14:paraId="724AC1D0">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美术本</w:t>
            </w:r>
          </w:p>
        </w:tc>
        <w:tc>
          <w:tcPr>
            <w:tcW w:w="709" w:type="dxa"/>
            <w:tcBorders>
              <w:top w:val="nil"/>
              <w:left w:val="nil"/>
              <w:bottom w:val="single" w:color="auto" w:sz="4" w:space="0"/>
              <w:right w:val="single" w:color="auto" w:sz="4" w:space="0"/>
            </w:tcBorders>
            <w:vAlign w:val="center"/>
          </w:tcPr>
          <w:p w14:paraId="38FA2B8B">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1本</w:t>
            </w:r>
          </w:p>
        </w:tc>
        <w:tc>
          <w:tcPr>
            <w:tcW w:w="1186" w:type="dxa"/>
            <w:tcBorders>
              <w:top w:val="nil"/>
              <w:left w:val="nil"/>
              <w:bottom w:val="single" w:color="auto" w:sz="4" w:space="0"/>
              <w:right w:val="single" w:color="auto" w:sz="4" w:space="0"/>
            </w:tcBorders>
            <w:vAlign w:val="center"/>
          </w:tcPr>
          <w:p w14:paraId="70654B62">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横大16K  36页</w:t>
            </w:r>
          </w:p>
        </w:tc>
        <w:tc>
          <w:tcPr>
            <w:tcW w:w="524" w:type="dxa"/>
            <w:vMerge w:val="continue"/>
            <w:tcBorders>
              <w:top w:val="nil"/>
              <w:left w:val="single" w:color="auto" w:sz="4" w:space="0"/>
              <w:bottom w:val="single" w:color="auto" w:sz="4" w:space="0"/>
              <w:right w:val="single" w:color="auto" w:sz="4" w:space="0"/>
            </w:tcBorders>
            <w:vAlign w:val="center"/>
          </w:tcPr>
          <w:p w14:paraId="7909F146">
            <w:pPr>
              <w:widowControl/>
              <w:adjustRightInd/>
              <w:jc w:val="left"/>
              <w:rPr>
                <w:rFonts w:ascii="宋体" w:hAnsi="宋体" w:cs="宋体"/>
                <w:color w:val="000000" w:themeColor="text1"/>
                <w:kern w:val="0"/>
                <w:sz w:val="24"/>
                <w14:textFill>
                  <w14:solidFill>
                    <w14:schemeClr w14:val="tx1"/>
                  </w14:solidFill>
                </w14:textFill>
              </w:rPr>
            </w:pPr>
          </w:p>
        </w:tc>
        <w:tc>
          <w:tcPr>
            <w:tcW w:w="983" w:type="dxa"/>
            <w:vMerge w:val="continue"/>
            <w:tcBorders>
              <w:top w:val="nil"/>
              <w:left w:val="single" w:color="auto" w:sz="4" w:space="0"/>
              <w:bottom w:val="single" w:color="auto" w:sz="4" w:space="0"/>
              <w:right w:val="single" w:color="auto" w:sz="4" w:space="0"/>
            </w:tcBorders>
            <w:vAlign w:val="center"/>
          </w:tcPr>
          <w:p w14:paraId="0D7A023E">
            <w:pPr>
              <w:widowControl/>
              <w:adjustRightInd/>
              <w:jc w:val="left"/>
              <w:rPr>
                <w:rFonts w:ascii="宋体" w:hAnsi="宋体" w:cs="宋体"/>
                <w:color w:val="000000" w:themeColor="text1"/>
                <w:kern w:val="0"/>
                <w:sz w:val="24"/>
                <w14:textFill>
                  <w14:solidFill>
                    <w14:schemeClr w14:val="tx1"/>
                  </w14:solidFill>
                </w14:textFill>
              </w:rPr>
            </w:pPr>
          </w:p>
        </w:tc>
        <w:tc>
          <w:tcPr>
            <w:tcW w:w="2126" w:type="dxa"/>
            <w:vMerge w:val="continue"/>
            <w:tcBorders>
              <w:top w:val="nil"/>
              <w:left w:val="single" w:color="auto" w:sz="4" w:space="0"/>
              <w:bottom w:val="single" w:color="auto" w:sz="4" w:space="0"/>
              <w:right w:val="single" w:color="auto" w:sz="4" w:space="0"/>
            </w:tcBorders>
            <w:vAlign w:val="center"/>
          </w:tcPr>
          <w:p w14:paraId="1CB4C916">
            <w:pPr>
              <w:widowControl/>
              <w:adjustRightInd/>
              <w:jc w:val="left"/>
              <w:rPr>
                <w:rFonts w:ascii="宋体" w:hAnsi="宋体" w:cs="宋体"/>
                <w:color w:val="000000" w:themeColor="text1"/>
                <w:kern w:val="0"/>
                <w:sz w:val="24"/>
                <w14:textFill>
                  <w14:solidFill>
                    <w14:schemeClr w14:val="tx1"/>
                  </w14:solidFill>
                </w14:textFill>
              </w:rPr>
            </w:pPr>
          </w:p>
        </w:tc>
        <w:tc>
          <w:tcPr>
            <w:tcW w:w="1276" w:type="dxa"/>
            <w:vMerge w:val="continue"/>
            <w:tcBorders>
              <w:top w:val="nil"/>
              <w:left w:val="single" w:color="auto" w:sz="4" w:space="0"/>
              <w:bottom w:val="single" w:color="auto" w:sz="4" w:space="0"/>
              <w:right w:val="single" w:color="auto" w:sz="4" w:space="0"/>
            </w:tcBorders>
            <w:vAlign w:val="center"/>
          </w:tcPr>
          <w:p w14:paraId="5E930C2F">
            <w:pPr>
              <w:widowControl/>
              <w:adjustRightInd/>
              <w:jc w:val="left"/>
              <w:rPr>
                <w:rFonts w:ascii="宋体" w:hAnsi="宋体" w:cs="宋体"/>
                <w:color w:val="000000" w:themeColor="text1"/>
                <w:kern w:val="0"/>
                <w:sz w:val="24"/>
                <w14:textFill>
                  <w14:solidFill>
                    <w14:schemeClr w14:val="tx1"/>
                  </w14:solidFill>
                </w14:textFill>
              </w:rPr>
            </w:pPr>
          </w:p>
        </w:tc>
      </w:tr>
      <w:tr w14:paraId="2C5D5860">
        <w:tblPrEx>
          <w:tblCellMar>
            <w:top w:w="0" w:type="dxa"/>
            <w:left w:w="108" w:type="dxa"/>
            <w:bottom w:w="0" w:type="dxa"/>
            <w:right w:w="108" w:type="dxa"/>
          </w:tblCellMar>
        </w:tblPrEx>
        <w:trPr>
          <w:trHeight w:val="450" w:hRule="atLeast"/>
        </w:trPr>
        <w:tc>
          <w:tcPr>
            <w:tcW w:w="519" w:type="dxa"/>
            <w:vMerge w:val="restart"/>
            <w:tcBorders>
              <w:top w:val="nil"/>
              <w:left w:val="single" w:color="auto" w:sz="4" w:space="0"/>
              <w:bottom w:val="single" w:color="auto" w:sz="4" w:space="0"/>
              <w:right w:val="single" w:color="auto" w:sz="4" w:space="0"/>
            </w:tcBorders>
            <w:vAlign w:val="center"/>
          </w:tcPr>
          <w:p w14:paraId="2D6C41D5">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772" w:type="dxa"/>
            <w:vMerge w:val="restart"/>
            <w:tcBorders>
              <w:top w:val="nil"/>
              <w:left w:val="single" w:color="auto" w:sz="4" w:space="0"/>
              <w:bottom w:val="single" w:color="auto" w:sz="4" w:space="0"/>
              <w:right w:val="single" w:color="auto" w:sz="4" w:space="0"/>
            </w:tcBorders>
            <w:vAlign w:val="center"/>
          </w:tcPr>
          <w:p w14:paraId="2D2656D5">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小学三至六年级</w:t>
            </w:r>
          </w:p>
        </w:tc>
        <w:tc>
          <w:tcPr>
            <w:tcW w:w="1134" w:type="dxa"/>
            <w:tcBorders>
              <w:top w:val="nil"/>
              <w:left w:val="nil"/>
              <w:bottom w:val="single" w:color="auto" w:sz="4" w:space="0"/>
              <w:right w:val="single" w:color="auto" w:sz="4" w:space="0"/>
            </w:tcBorders>
            <w:vAlign w:val="center"/>
          </w:tcPr>
          <w:p w14:paraId="32DDE3AD">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通用本</w:t>
            </w:r>
          </w:p>
        </w:tc>
        <w:tc>
          <w:tcPr>
            <w:tcW w:w="709" w:type="dxa"/>
            <w:tcBorders>
              <w:top w:val="nil"/>
              <w:left w:val="nil"/>
              <w:bottom w:val="single" w:color="auto" w:sz="4" w:space="0"/>
              <w:right w:val="single" w:color="auto" w:sz="4" w:space="0"/>
            </w:tcBorders>
            <w:vAlign w:val="center"/>
          </w:tcPr>
          <w:p w14:paraId="05742377">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5本</w:t>
            </w:r>
          </w:p>
        </w:tc>
        <w:tc>
          <w:tcPr>
            <w:tcW w:w="1186" w:type="dxa"/>
            <w:tcBorders>
              <w:top w:val="nil"/>
              <w:left w:val="nil"/>
              <w:bottom w:val="single" w:color="auto" w:sz="4" w:space="0"/>
              <w:right w:val="single" w:color="auto" w:sz="4" w:space="0"/>
            </w:tcBorders>
            <w:vAlign w:val="center"/>
          </w:tcPr>
          <w:p w14:paraId="538147DF">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32K 36页</w:t>
            </w:r>
          </w:p>
        </w:tc>
        <w:tc>
          <w:tcPr>
            <w:tcW w:w="524" w:type="dxa"/>
            <w:vMerge w:val="restart"/>
            <w:tcBorders>
              <w:top w:val="nil"/>
              <w:left w:val="single" w:color="auto" w:sz="4" w:space="0"/>
              <w:bottom w:val="single" w:color="auto" w:sz="4" w:space="0"/>
              <w:right w:val="single" w:color="auto" w:sz="4" w:space="0"/>
            </w:tcBorders>
            <w:vAlign w:val="center"/>
          </w:tcPr>
          <w:p w14:paraId="21AF2655">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套</w:t>
            </w:r>
          </w:p>
        </w:tc>
        <w:tc>
          <w:tcPr>
            <w:tcW w:w="983" w:type="dxa"/>
            <w:vMerge w:val="restart"/>
            <w:tcBorders>
              <w:top w:val="nil"/>
              <w:left w:val="single" w:color="auto" w:sz="4" w:space="0"/>
              <w:bottom w:val="single" w:color="auto" w:sz="4" w:space="0"/>
              <w:right w:val="single" w:color="auto" w:sz="4" w:space="0"/>
            </w:tcBorders>
            <w:vAlign w:val="center"/>
          </w:tcPr>
          <w:p w14:paraId="575E4911">
            <w:pPr>
              <w:widowControl/>
              <w:adjustRightInd/>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171000</w:t>
            </w:r>
          </w:p>
        </w:tc>
        <w:tc>
          <w:tcPr>
            <w:tcW w:w="2126" w:type="dxa"/>
            <w:vMerge w:val="restart"/>
            <w:tcBorders>
              <w:top w:val="nil"/>
              <w:left w:val="single" w:color="auto" w:sz="4" w:space="0"/>
              <w:bottom w:val="single" w:color="auto" w:sz="4" w:space="0"/>
              <w:right w:val="single" w:color="auto" w:sz="4" w:space="0"/>
            </w:tcBorders>
            <w:vAlign w:val="center"/>
          </w:tcPr>
          <w:p w14:paraId="5726083C">
            <w:pPr>
              <w:widowControl/>
              <w:adjustRightInd/>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美术本封面封底用纸128克双铜纸，内芯用105克铅画纸。其它封面封底用105克双铜纸，内芯用70克双胶纸。符合QB/T1437-2023《课业簿册》标准和（GB 40070-2021）《儿童青少年学习用品近视防控卫生要求》标准。</w:t>
            </w:r>
          </w:p>
        </w:tc>
        <w:tc>
          <w:tcPr>
            <w:tcW w:w="1276" w:type="dxa"/>
            <w:vMerge w:val="restart"/>
            <w:tcBorders>
              <w:top w:val="nil"/>
              <w:left w:val="single" w:color="auto" w:sz="4" w:space="0"/>
              <w:bottom w:val="single" w:color="auto" w:sz="4" w:space="0"/>
              <w:right w:val="single" w:color="auto" w:sz="4" w:space="0"/>
            </w:tcBorders>
            <w:vAlign w:val="center"/>
          </w:tcPr>
          <w:p w14:paraId="6916D7B0">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一期于2025年2月10日前完成供货： </w:t>
            </w:r>
            <w:r>
              <w:rPr>
                <w:rFonts w:ascii="宋体" w:hAnsi="宋体" w:cs="宋体"/>
                <w:color w:val="000000" w:themeColor="text1"/>
                <w:kern w:val="0"/>
                <w:sz w:val="24"/>
                <w14:textFill>
                  <w14:solidFill>
                    <w14:schemeClr w14:val="tx1"/>
                  </w14:solidFill>
                </w14:textFill>
              </w:rPr>
              <w:t>82000</w:t>
            </w:r>
            <w:r>
              <w:rPr>
                <w:rFonts w:hint="eastAsia" w:ascii="宋体" w:hAnsi="宋体" w:cs="宋体"/>
                <w:color w:val="000000" w:themeColor="text1"/>
                <w:kern w:val="0"/>
                <w:sz w:val="24"/>
                <w14:textFill>
                  <w14:solidFill>
                    <w14:schemeClr w14:val="tx1"/>
                  </w14:solidFill>
                </w14:textFill>
              </w:rPr>
              <w:t>套；二期于2025年8月25日前完成供货：8</w:t>
            </w:r>
            <w:r>
              <w:rPr>
                <w:rFonts w:ascii="宋体" w:hAnsi="宋体" w:cs="宋体"/>
                <w:color w:val="000000" w:themeColor="text1"/>
                <w:kern w:val="0"/>
                <w:sz w:val="24"/>
                <w14:textFill>
                  <w14:solidFill>
                    <w14:schemeClr w14:val="tx1"/>
                  </w14:solidFill>
                </w14:textFill>
              </w:rPr>
              <w:t>90</w:t>
            </w:r>
            <w:r>
              <w:rPr>
                <w:rFonts w:hint="eastAsia" w:ascii="宋体" w:hAnsi="宋体" w:cs="宋体"/>
                <w:color w:val="000000" w:themeColor="text1"/>
                <w:kern w:val="0"/>
                <w:sz w:val="24"/>
                <w14:textFill>
                  <w14:solidFill>
                    <w14:schemeClr w14:val="tx1"/>
                  </w14:solidFill>
                </w14:textFill>
              </w:rPr>
              <w:t xml:space="preserve">00        套。   </w:t>
            </w:r>
          </w:p>
        </w:tc>
      </w:tr>
      <w:tr w14:paraId="5F92E8A8">
        <w:tblPrEx>
          <w:tblCellMar>
            <w:top w:w="0" w:type="dxa"/>
            <w:left w:w="108" w:type="dxa"/>
            <w:bottom w:w="0" w:type="dxa"/>
            <w:right w:w="108" w:type="dxa"/>
          </w:tblCellMar>
        </w:tblPrEx>
        <w:trPr>
          <w:trHeight w:val="450" w:hRule="atLeast"/>
        </w:trPr>
        <w:tc>
          <w:tcPr>
            <w:tcW w:w="519" w:type="dxa"/>
            <w:vMerge w:val="continue"/>
            <w:tcBorders>
              <w:top w:val="nil"/>
              <w:left w:val="single" w:color="auto" w:sz="4" w:space="0"/>
              <w:bottom w:val="single" w:color="auto" w:sz="4" w:space="0"/>
              <w:right w:val="single" w:color="auto" w:sz="4" w:space="0"/>
            </w:tcBorders>
            <w:vAlign w:val="center"/>
          </w:tcPr>
          <w:p w14:paraId="141421C3">
            <w:pPr>
              <w:widowControl/>
              <w:adjustRightInd/>
              <w:jc w:val="left"/>
              <w:rPr>
                <w:rFonts w:ascii="宋体" w:hAnsi="宋体" w:cs="宋体"/>
                <w:color w:val="000000" w:themeColor="text1"/>
                <w:kern w:val="0"/>
                <w:sz w:val="24"/>
                <w14:textFill>
                  <w14:solidFill>
                    <w14:schemeClr w14:val="tx1"/>
                  </w14:solidFill>
                </w14:textFill>
              </w:rPr>
            </w:pPr>
          </w:p>
        </w:tc>
        <w:tc>
          <w:tcPr>
            <w:tcW w:w="772" w:type="dxa"/>
            <w:vMerge w:val="continue"/>
            <w:tcBorders>
              <w:top w:val="nil"/>
              <w:left w:val="single" w:color="auto" w:sz="4" w:space="0"/>
              <w:bottom w:val="single" w:color="auto" w:sz="4" w:space="0"/>
              <w:right w:val="single" w:color="auto" w:sz="4" w:space="0"/>
            </w:tcBorders>
            <w:vAlign w:val="center"/>
          </w:tcPr>
          <w:p w14:paraId="635FE2DF">
            <w:pPr>
              <w:widowControl/>
              <w:adjustRightInd/>
              <w:jc w:val="left"/>
              <w:rPr>
                <w:rFonts w:ascii="宋体" w:hAnsi="宋体" w:cs="宋体"/>
                <w:color w:val="000000" w:themeColor="text1"/>
                <w:kern w:val="0"/>
                <w:sz w:val="24"/>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14:paraId="708F6538">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数学本</w:t>
            </w:r>
          </w:p>
        </w:tc>
        <w:tc>
          <w:tcPr>
            <w:tcW w:w="709" w:type="dxa"/>
            <w:tcBorders>
              <w:top w:val="nil"/>
              <w:left w:val="nil"/>
              <w:bottom w:val="single" w:color="auto" w:sz="4" w:space="0"/>
              <w:right w:val="single" w:color="auto" w:sz="4" w:space="0"/>
            </w:tcBorders>
            <w:vAlign w:val="center"/>
          </w:tcPr>
          <w:p w14:paraId="482AF7E0">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4本</w:t>
            </w:r>
          </w:p>
        </w:tc>
        <w:tc>
          <w:tcPr>
            <w:tcW w:w="1186" w:type="dxa"/>
            <w:tcBorders>
              <w:top w:val="nil"/>
              <w:left w:val="nil"/>
              <w:bottom w:val="single" w:color="auto" w:sz="4" w:space="0"/>
              <w:right w:val="single" w:color="auto" w:sz="4" w:space="0"/>
            </w:tcBorders>
            <w:vAlign w:val="center"/>
          </w:tcPr>
          <w:p w14:paraId="337420D2">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32K 36页</w:t>
            </w:r>
          </w:p>
        </w:tc>
        <w:tc>
          <w:tcPr>
            <w:tcW w:w="524" w:type="dxa"/>
            <w:vMerge w:val="continue"/>
            <w:tcBorders>
              <w:top w:val="nil"/>
              <w:left w:val="single" w:color="auto" w:sz="4" w:space="0"/>
              <w:bottom w:val="single" w:color="auto" w:sz="4" w:space="0"/>
              <w:right w:val="single" w:color="auto" w:sz="4" w:space="0"/>
            </w:tcBorders>
            <w:vAlign w:val="center"/>
          </w:tcPr>
          <w:p w14:paraId="091BE6F8">
            <w:pPr>
              <w:widowControl/>
              <w:adjustRightInd/>
              <w:jc w:val="left"/>
              <w:rPr>
                <w:rFonts w:ascii="宋体" w:hAnsi="宋体" w:cs="宋体"/>
                <w:color w:val="000000" w:themeColor="text1"/>
                <w:kern w:val="0"/>
                <w:sz w:val="24"/>
                <w14:textFill>
                  <w14:solidFill>
                    <w14:schemeClr w14:val="tx1"/>
                  </w14:solidFill>
                </w14:textFill>
              </w:rPr>
            </w:pPr>
          </w:p>
        </w:tc>
        <w:tc>
          <w:tcPr>
            <w:tcW w:w="983" w:type="dxa"/>
            <w:vMerge w:val="continue"/>
            <w:tcBorders>
              <w:top w:val="nil"/>
              <w:left w:val="single" w:color="auto" w:sz="4" w:space="0"/>
              <w:bottom w:val="single" w:color="auto" w:sz="4" w:space="0"/>
              <w:right w:val="single" w:color="auto" w:sz="4" w:space="0"/>
            </w:tcBorders>
            <w:vAlign w:val="center"/>
          </w:tcPr>
          <w:p w14:paraId="0E7860EF">
            <w:pPr>
              <w:widowControl/>
              <w:adjustRightInd/>
              <w:jc w:val="left"/>
              <w:rPr>
                <w:rFonts w:ascii="宋体" w:hAnsi="宋体" w:cs="宋体"/>
                <w:color w:val="000000" w:themeColor="text1"/>
                <w:kern w:val="0"/>
                <w:sz w:val="24"/>
                <w14:textFill>
                  <w14:solidFill>
                    <w14:schemeClr w14:val="tx1"/>
                  </w14:solidFill>
                </w14:textFill>
              </w:rPr>
            </w:pPr>
          </w:p>
        </w:tc>
        <w:tc>
          <w:tcPr>
            <w:tcW w:w="2126" w:type="dxa"/>
            <w:vMerge w:val="continue"/>
            <w:tcBorders>
              <w:top w:val="nil"/>
              <w:left w:val="single" w:color="auto" w:sz="4" w:space="0"/>
              <w:bottom w:val="single" w:color="auto" w:sz="4" w:space="0"/>
              <w:right w:val="single" w:color="auto" w:sz="4" w:space="0"/>
            </w:tcBorders>
            <w:vAlign w:val="center"/>
          </w:tcPr>
          <w:p w14:paraId="3B2B6413">
            <w:pPr>
              <w:widowControl/>
              <w:adjustRightInd/>
              <w:jc w:val="left"/>
              <w:rPr>
                <w:rFonts w:ascii="宋体" w:hAnsi="宋体" w:cs="宋体"/>
                <w:color w:val="000000" w:themeColor="text1"/>
                <w:kern w:val="0"/>
                <w:sz w:val="24"/>
                <w14:textFill>
                  <w14:solidFill>
                    <w14:schemeClr w14:val="tx1"/>
                  </w14:solidFill>
                </w14:textFill>
              </w:rPr>
            </w:pPr>
          </w:p>
        </w:tc>
        <w:tc>
          <w:tcPr>
            <w:tcW w:w="1276" w:type="dxa"/>
            <w:vMerge w:val="continue"/>
            <w:tcBorders>
              <w:top w:val="nil"/>
              <w:left w:val="single" w:color="auto" w:sz="4" w:space="0"/>
              <w:bottom w:val="single" w:color="auto" w:sz="4" w:space="0"/>
              <w:right w:val="single" w:color="auto" w:sz="4" w:space="0"/>
            </w:tcBorders>
            <w:vAlign w:val="center"/>
          </w:tcPr>
          <w:p w14:paraId="0AAB1009">
            <w:pPr>
              <w:widowControl/>
              <w:adjustRightInd/>
              <w:jc w:val="left"/>
              <w:rPr>
                <w:rFonts w:ascii="宋体" w:hAnsi="宋体" w:cs="宋体"/>
                <w:color w:val="000000" w:themeColor="text1"/>
                <w:kern w:val="0"/>
                <w:sz w:val="24"/>
                <w14:textFill>
                  <w14:solidFill>
                    <w14:schemeClr w14:val="tx1"/>
                  </w14:solidFill>
                </w14:textFill>
              </w:rPr>
            </w:pPr>
          </w:p>
        </w:tc>
      </w:tr>
      <w:tr w14:paraId="6AB56A3A">
        <w:tblPrEx>
          <w:tblCellMar>
            <w:top w:w="0" w:type="dxa"/>
            <w:left w:w="108" w:type="dxa"/>
            <w:bottom w:w="0" w:type="dxa"/>
            <w:right w:w="108" w:type="dxa"/>
          </w:tblCellMar>
        </w:tblPrEx>
        <w:trPr>
          <w:trHeight w:val="450" w:hRule="atLeast"/>
        </w:trPr>
        <w:tc>
          <w:tcPr>
            <w:tcW w:w="519" w:type="dxa"/>
            <w:vMerge w:val="continue"/>
            <w:tcBorders>
              <w:top w:val="nil"/>
              <w:left w:val="single" w:color="auto" w:sz="4" w:space="0"/>
              <w:bottom w:val="single" w:color="auto" w:sz="4" w:space="0"/>
              <w:right w:val="single" w:color="auto" w:sz="4" w:space="0"/>
            </w:tcBorders>
            <w:vAlign w:val="center"/>
          </w:tcPr>
          <w:p w14:paraId="21F4687F">
            <w:pPr>
              <w:widowControl/>
              <w:adjustRightInd/>
              <w:jc w:val="left"/>
              <w:rPr>
                <w:rFonts w:ascii="宋体" w:hAnsi="宋体" w:cs="宋体"/>
                <w:color w:val="000000" w:themeColor="text1"/>
                <w:kern w:val="0"/>
                <w:sz w:val="24"/>
                <w14:textFill>
                  <w14:solidFill>
                    <w14:schemeClr w14:val="tx1"/>
                  </w14:solidFill>
                </w14:textFill>
              </w:rPr>
            </w:pPr>
          </w:p>
        </w:tc>
        <w:tc>
          <w:tcPr>
            <w:tcW w:w="772" w:type="dxa"/>
            <w:vMerge w:val="continue"/>
            <w:tcBorders>
              <w:top w:val="nil"/>
              <w:left w:val="single" w:color="auto" w:sz="4" w:space="0"/>
              <w:bottom w:val="single" w:color="auto" w:sz="4" w:space="0"/>
              <w:right w:val="single" w:color="auto" w:sz="4" w:space="0"/>
            </w:tcBorders>
            <w:vAlign w:val="center"/>
          </w:tcPr>
          <w:p w14:paraId="3859A674">
            <w:pPr>
              <w:widowControl/>
              <w:adjustRightInd/>
              <w:jc w:val="left"/>
              <w:rPr>
                <w:rFonts w:ascii="宋体" w:hAnsi="宋体" w:cs="宋体"/>
                <w:color w:val="000000" w:themeColor="text1"/>
                <w:kern w:val="0"/>
                <w:sz w:val="24"/>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14:paraId="62539392">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中高方格</w:t>
            </w:r>
          </w:p>
        </w:tc>
        <w:tc>
          <w:tcPr>
            <w:tcW w:w="709" w:type="dxa"/>
            <w:tcBorders>
              <w:top w:val="nil"/>
              <w:left w:val="nil"/>
              <w:bottom w:val="single" w:color="auto" w:sz="4" w:space="0"/>
              <w:right w:val="single" w:color="auto" w:sz="4" w:space="0"/>
            </w:tcBorders>
            <w:vAlign w:val="center"/>
          </w:tcPr>
          <w:p w14:paraId="3B51234D">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2本</w:t>
            </w:r>
          </w:p>
        </w:tc>
        <w:tc>
          <w:tcPr>
            <w:tcW w:w="1186" w:type="dxa"/>
            <w:tcBorders>
              <w:top w:val="nil"/>
              <w:left w:val="nil"/>
              <w:bottom w:val="single" w:color="auto" w:sz="4" w:space="0"/>
              <w:right w:val="single" w:color="auto" w:sz="4" w:space="0"/>
            </w:tcBorders>
            <w:vAlign w:val="center"/>
          </w:tcPr>
          <w:p w14:paraId="32C423F4">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32K 36页</w:t>
            </w:r>
          </w:p>
        </w:tc>
        <w:tc>
          <w:tcPr>
            <w:tcW w:w="524" w:type="dxa"/>
            <w:vMerge w:val="continue"/>
            <w:tcBorders>
              <w:top w:val="nil"/>
              <w:left w:val="single" w:color="auto" w:sz="4" w:space="0"/>
              <w:bottom w:val="single" w:color="auto" w:sz="4" w:space="0"/>
              <w:right w:val="single" w:color="auto" w:sz="4" w:space="0"/>
            </w:tcBorders>
            <w:vAlign w:val="center"/>
          </w:tcPr>
          <w:p w14:paraId="29A41F75">
            <w:pPr>
              <w:widowControl/>
              <w:adjustRightInd/>
              <w:jc w:val="left"/>
              <w:rPr>
                <w:rFonts w:ascii="宋体" w:hAnsi="宋体" w:cs="宋体"/>
                <w:color w:val="000000" w:themeColor="text1"/>
                <w:kern w:val="0"/>
                <w:sz w:val="24"/>
                <w14:textFill>
                  <w14:solidFill>
                    <w14:schemeClr w14:val="tx1"/>
                  </w14:solidFill>
                </w14:textFill>
              </w:rPr>
            </w:pPr>
          </w:p>
        </w:tc>
        <w:tc>
          <w:tcPr>
            <w:tcW w:w="983" w:type="dxa"/>
            <w:vMerge w:val="continue"/>
            <w:tcBorders>
              <w:top w:val="nil"/>
              <w:left w:val="single" w:color="auto" w:sz="4" w:space="0"/>
              <w:bottom w:val="single" w:color="auto" w:sz="4" w:space="0"/>
              <w:right w:val="single" w:color="auto" w:sz="4" w:space="0"/>
            </w:tcBorders>
            <w:vAlign w:val="center"/>
          </w:tcPr>
          <w:p w14:paraId="1857A0DA">
            <w:pPr>
              <w:widowControl/>
              <w:adjustRightInd/>
              <w:jc w:val="left"/>
              <w:rPr>
                <w:rFonts w:ascii="宋体" w:hAnsi="宋体" w:cs="宋体"/>
                <w:color w:val="000000" w:themeColor="text1"/>
                <w:kern w:val="0"/>
                <w:sz w:val="24"/>
                <w14:textFill>
                  <w14:solidFill>
                    <w14:schemeClr w14:val="tx1"/>
                  </w14:solidFill>
                </w14:textFill>
              </w:rPr>
            </w:pPr>
          </w:p>
        </w:tc>
        <w:tc>
          <w:tcPr>
            <w:tcW w:w="2126" w:type="dxa"/>
            <w:vMerge w:val="continue"/>
            <w:tcBorders>
              <w:top w:val="nil"/>
              <w:left w:val="single" w:color="auto" w:sz="4" w:space="0"/>
              <w:bottom w:val="single" w:color="auto" w:sz="4" w:space="0"/>
              <w:right w:val="single" w:color="auto" w:sz="4" w:space="0"/>
            </w:tcBorders>
            <w:vAlign w:val="center"/>
          </w:tcPr>
          <w:p w14:paraId="74C27A66">
            <w:pPr>
              <w:widowControl/>
              <w:adjustRightInd/>
              <w:jc w:val="left"/>
              <w:rPr>
                <w:rFonts w:ascii="宋体" w:hAnsi="宋体" w:cs="宋体"/>
                <w:color w:val="000000" w:themeColor="text1"/>
                <w:kern w:val="0"/>
                <w:sz w:val="24"/>
                <w14:textFill>
                  <w14:solidFill>
                    <w14:schemeClr w14:val="tx1"/>
                  </w14:solidFill>
                </w14:textFill>
              </w:rPr>
            </w:pPr>
          </w:p>
        </w:tc>
        <w:tc>
          <w:tcPr>
            <w:tcW w:w="1276" w:type="dxa"/>
            <w:vMerge w:val="continue"/>
            <w:tcBorders>
              <w:top w:val="nil"/>
              <w:left w:val="single" w:color="auto" w:sz="4" w:space="0"/>
              <w:bottom w:val="single" w:color="auto" w:sz="4" w:space="0"/>
              <w:right w:val="single" w:color="auto" w:sz="4" w:space="0"/>
            </w:tcBorders>
            <w:vAlign w:val="center"/>
          </w:tcPr>
          <w:p w14:paraId="63DE8587">
            <w:pPr>
              <w:widowControl/>
              <w:adjustRightInd/>
              <w:jc w:val="left"/>
              <w:rPr>
                <w:rFonts w:ascii="宋体" w:hAnsi="宋体" w:cs="宋体"/>
                <w:color w:val="000000" w:themeColor="text1"/>
                <w:kern w:val="0"/>
                <w:sz w:val="24"/>
                <w14:textFill>
                  <w14:solidFill>
                    <w14:schemeClr w14:val="tx1"/>
                  </w14:solidFill>
                </w14:textFill>
              </w:rPr>
            </w:pPr>
          </w:p>
        </w:tc>
      </w:tr>
      <w:tr w14:paraId="7D21882D">
        <w:tblPrEx>
          <w:tblCellMar>
            <w:top w:w="0" w:type="dxa"/>
            <w:left w:w="108" w:type="dxa"/>
            <w:bottom w:w="0" w:type="dxa"/>
            <w:right w:w="108" w:type="dxa"/>
          </w:tblCellMar>
        </w:tblPrEx>
        <w:trPr>
          <w:trHeight w:val="450" w:hRule="atLeast"/>
        </w:trPr>
        <w:tc>
          <w:tcPr>
            <w:tcW w:w="519" w:type="dxa"/>
            <w:vMerge w:val="continue"/>
            <w:tcBorders>
              <w:top w:val="nil"/>
              <w:left w:val="single" w:color="auto" w:sz="4" w:space="0"/>
              <w:bottom w:val="single" w:color="auto" w:sz="4" w:space="0"/>
              <w:right w:val="single" w:color="auto" w:sz="4" w:space="0"/>
            </w:tcBorders>
            <w:vAlign w:val="center"/>
          </w:tcPr>
          <w:p w14:paraId="4CB91946">
            <w:pPr>
              <w:widowControl/>
              <w:adjustRightInd/>
              <w:jc w:val="left"/>
              <w:rPr>
                <w:rFonts w:ascii="宋体" w:hAnsi="宋体" w:cs="宋体"/>
                <w:color w:val="000000" w:themeColor="text1"/>
                <w:kern w:val="0"/>
                <w:sz w:val="24"/>
                <w14:textFill>
                  <w14:solidFill>
                    <w14:schemeClr w14:val="tx1"/>
                  </w14:solidFill>
                </w14:textFill>
              </w:rPr>
            </w:pPr>
          </w:p>
        </w:tc>
        <w:tc>
          <w:tcPr>
            <w:tcW w:w="772" w:type="dxa"/>
            <w:vMerge w:val="continue"/>
            <w:tcBorders>
              <w:top w:val="nil"/>
              <w:left w:val="single" w:color="auto" w:sz="4" w:space="0"/>
              <w:bottom w:val="single" w:color="auto" w:sz="4" w:space="0"/>
              <w:right w:val="single" w:color="auto" w:sz="4" w:space="0"/>
            </w:tcBorders>
            <w:vAlign w:val="center"/>
          </w:tcPr>
          <w:p w14:paraId="740B62FA">
            <w:pPr>
              <w:widowControl/>
              <w:adjustRightInd/>
              <w:jc w:val="left"/>
              <w:rPr>
                <w:rFonts w:ascii="宋体" w:hAnsi="宋体" w:cs="宋体"/>
                <w:color w:val="000000" w:themeColor="text1"/>
                <w:kern w:val="0"/>
                <w:sz w:val="24"/>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14:paraId="73E0F4C6">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中高作文</w:t>
            </w:r>
          </w:p>
        </w:tc>
        <w:tc>
          <w:tcPr>
            <w:tcW w:w="709" w:type="dxa"/>
            <w:tcBorders>
              <w:top w:val="nil"/>
              <w:left w:val="nil"/>
              <w:bottom w:val="single" w:color="auto" w:sz="4" w:space="0"/>
              <w:right w:val="single" w:color="auto" w:sz="4" w:space="0"/>
            </w:tcBorders>
            <w:vAlign w:val="center"/>
          </w:tcPr>
          <w:p w14:paraId="181B35C3">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2本</w:t>
            </w:r>
          </w:p>
        </w:tc>
        <w:tc>
          <w:tcPr>
            <w:tcW w:w="1186" w:type="dxa"/>
            <w:tcBorders>
              <w:top w:val="nil"/>
              <w:left w:val="nil"/>
              <w:bottom w:val="single" w:color="auto" w:sz="4" w:space="0"/>
              <w:right w:val="single" w:color="auto" w:sz="4" w:space="0"/>
            </w:tcBorders>
            <w:vAlign w:val="center"/>
          </w:tcPr>
          <w:p w14:paraId="66EA279E">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24K 48页</w:t>
            </w:r>
          </w:p>
        </w:tc>
        <w:tc>
          <w:tcPr>
            <w:tcW w:w="524" w:type="dxa"/>
            <w:vMerge w:val="continue"/>
            <w:tcBorders>
              <w:top w:val="nil"/>
              <w:left w:val="single" w:color="auto" w:sz="4" w:space="0"/>
              <w:bottom w:val="single" w:color="auto" w:sz="4" w:space="0"/>
              <w:right w:val="single" w:color="auto" w:sz="4" w:space="0"/>
            </w:tcBorders>
            <w:vAlign w:val="center"/>
          </w:tcPr>
          <w:p w14:paraId="3FFED7ED">
            <w:pPr>
              <w:widowControl/>
              <w:adjustRightInd/>
              <w:jc w:val="left"/>
              <w:rPr>
                <w:rFonts w:ascii="宋体" w:hAnsi="宋体" w:cs="宋体"/>
                <w:color w:val="000000" w:themeColor="text1"/>
                <w:kern w:val="0"/>
                <w:sz w:val="24"/>
                <w14:textFill>
                  <w14:solidFill>
                    <w14:schemeClr w14:val="tx1"/>
                  </w14:solidFill>
                </w14:textFill>
              </w:rPr>
            </w:pPr>
          </w:p>
        </w:tc>
        <w:tc>
          <w:tcPr>
            <w:tcW w:w="983" w:type="dxa"/>
            <w:vMerge w:val="continue"/>
            <w:tcBorders>
              <w:top w:val="nil"/>
              <w:left w:val="single" w:color="auto" w:sz="4" w:space="0"/>
              <w:bottom w:val="single" w:color="auto" w:sz="4" w:space="0"/>
              <w:right w:val="single" w:color="auto" w:sz="4" w:space="0"/>
            </w:tcBorders>
            <w:vAlign w:val="center"/>
          </w:tcPr>
          <w:p w14:paraId="2EAE7EC8">
            <w:pPr>
              <w:widowControl/>
              <w:adjustRightInd/>
              <w:jc w:val="left"/>
              <w:rPr>
                <w:rFonts w:ascii="宋体" w:hAnsi="宋体" w:cs="宋体"/>
                <w:color w:val="000000" w:themeColor="text1"/>
                <w:kern w:val="0"/>
                <w:sz w:val="24"/>
                <w14:textFill>
                  <w14:solidFill>
                    <w14:schemeClr w14:val="tx1"/>
                  </w14:solidFill>
                </w14:textFill>
              </w:rPr>
            </w:pPr>
          </w:p>
        </w:tc>
        <w:tc>
          <w:tcPr>
            <w:tcW w:w="2126" w:type="dxa"/>
            <w:vMerge w:val="continue"/>
            <w:tcBorders>
              <w:top w:val="nil"/>
              <w:left w:val="single" w:color="auto" w:sz="4" w:space="0"/>
              <w:bottom w:val="single" w:color="auto" w:sz="4" w:space="0"/>
              <w:right w:val="single" w:color="auto" w:sz="4" w:space="0"/>
            </w:tcBorders>
            <w:vAlign w:val="center"/>
          </w:tcPr>
          <w:p w14:paraId="774296C5">
            <w:pPr>
              <w:widowControl/>
              <w:adjustRightInd/>
              <w:jc w:val="left"/>
              <w:rPr>
                <w:rFonts w:ascii="宋体" w:hAnsi="宋体" w:cs="宋体"/>
                <w:color w:val="000000" w:themeColor="text1"/>
                <w:kern w:val="0"/>
                <w:sz w:val="24"/>
                <w14:textFill>
                  <w14:solidFill>
                    <w14:schemeClr w14:val="tx1"/>
                  </w14:solidFill>
                </w14:textFill>
              </w:rPr>
            </w:pPr>
          </w:p>
        </w:tc>
        <w:tc>
          <w:tcPr>
            <w:tcW w:w="1276" w:type="dxa"/>
            <w:vMerge w:val="continue"/>
            <w:tcBorders>
              <w:top w:val="nil"/>
              <w:left w:val="single" w:color="auto" w:sz="4" w:space="0"/>
              <w:bottom w:val="single" w:color="auto" w:sz="4" w:space="0"/>
              <w:right w:val="single" w:color="auto" w:sz="4" w:space="0"/>
            </w:tcBorders>
            <w:vAlign w:val="center"/>
          </w:tcPr>
          <w:p w14:paraId="509EF4C8">
            <w:pPr>
              <w:widowControl/>
              <w:adjustRightInd/>
              <w:jc w:val="left"/>
              <w:rPr>
                <w:rFonts w:ascii="宋体" w:hAnsi="宋体" w:cs="宋体"/>
                <w:color w:val="000000" w:themeColor="text1"/>
                <w:kern w:val="0"/>
                <w:sz w:val="24"/>
                <w14:textFill>
                  <w14:solidFill>
                    <w14:schemeClr w14:val="tx1"/>
                  </w14:solidFill>
                </w14:textFill>
              </w:rPr>
            </w:pPr>
          </w:p>
        </w:tc>
      </w:tr>
      <w:tr w14:paraId="6B4F4AF8">
        <w:tblPrEx>
          <w:tblCellMar>
            <w:top w:w="0" w:type="dxa"/>
            <w:left w:w="108" w:type="dxa"/>
            <w:bottom w:w="0" w:type="dxa"/>
            <w:right w:w="108" w:type="dxa"/>
          </w:tblCellMar>
        </w:tblPrEx>
        <w:trPr>
          <w:trHeight w:val="450" w:hRule="atLeast"/>
        </w:trPr>
        <w:tc>
          <w:tcPr>
            <w:tcW w:w="519" w:type="dxa"/>
            <w:vMerge w:val="continue"/>
            <w:tcBorders>
              <w:top w:val="nil"/>
              <w:left w:val="single" w:color="auto" w:sz="4" w:space="0"/>
              <w:bottom w:val="single" w:color="auto" w:sz="4" w:space="0"/>
              <w:right w:val="single" w:color="auto" w:sz="4" w:space="0"/>
            </w:tcBorders>
            <w:vAlign w:val="center"/>
          </w:tcPr>
          <w:p w14:paraId="0A72194B">
            <w:pPr>
              <w:widowControl/>
              <w:adjustRightInd/>
              <w:jc w:val="left"/>
              <w:rPr>
                <w:rFonts w:ascii="宋体" w:hAnsi="宋体" w:cs="宋体"/>
                <w:color w:val="000000" w:themeColor="text1"/>
                <w:kern w:val="0"/>
                <w:sz w:val="24"/>
                <w14:textFill>
                  <w14:solidFill>
                    <w14:schemeClr w14:val="tx1"/>
                  </w14:solidFill>
                </w14:textFill>
              </w:rPr>
            </w:pPr>
          </w:p>
        </w:tc>
        <w:tc>
          <w:tcPr>
            <w:tcW w:w="772" w:type="dxa"/>
            <w:vMerge w:val="continue"/>
            <w:tcBorders>
              <w:top w:val="nil"/>
              <w:left w:val="single" w:color="auto" w:sz="4" w:space="0"/>
              <w:bottom w:val="single" w:color="auto" w:sz="4" w:space="0"/>
              <w:right w:val="single" w:color="auto" w:sz="4" w:space="0"/>
            </w:tcBorders>
            <w:vAlign w:val="center"/>
          </w:tcPr>
          <w:p w14:paraId="5640F7EF">
            <w:pPr>
              <w:widowControl/>
              <w:adjustRightInd/>
              <w:jc w:val="left"/>
              <w:rPr>
                <w:rFonts w:ascii="宋体" w:hAnsi="宋体" w:cs="宋体"/>
                <w:color w:val="000000" w:themeColor="text1"/>
                <w:kern w:val="0"/>
                <w:sz w:val="24"/>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14:paraId="157473AE">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英语本</w:t>
            </w:r>
          </w:p>
        </w:tc>
        <w:tc>
          <w:tcPr>
            <w:tcW w:w="709" w:type="dxa"/>
            <w:tcBorders>
              <w:top w:val="nil"/>
              <w:left w:val="nil"/>
              <w:bottom w:val="single" w:color="auto" w:sz="4" w:space="0"/>
              <w:right w:val="single" w:color="auto" w:sz="4" w:space="0"/>
            </w:tcBorders>
            <w:vAlign w:val="center"/>
          </w:tcPr>
          <w:p w14:paraId="2F86843F">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3本</w:t>
            </w:r>
          </w:p>
        </w:tc>
        <w:tc>
          <w:tcPr>
            <w:tcW w:w="1186" w:type="dxa"/>
            <w:tcBorders>
              <w:top w:val="nil"/>
              <w:left w:val="nil"/>
              <w:bottom w:val="single" w:color="auto" w:sz="4" w:space="0"/>
              <w:right w:val="single" w:color="auto" w:sz="4" w:space="0"/>
            </w:tcBorders>
            <w:vAlign w:val="center"/>
          </w:tcPr>
          <w:p w14:paraId="568C3AE7">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24K 48页</w:t>
            </w:r>
          </w:p>
        </w:tc>
        <w:tc>
          <w:tcPr>
            <w:tcW w:w="524" w:type="dxa"/>
            <w:vMerge w:val="continue"/>
            <w:tcBorders>
              <w:top w:val="nil"/>
              <w:left w:val="single" w:color="auto" w:sz="4" w:space="0"/>
              <w:bottom w:val="single" w:color="auto" w:sz="4" w:space="0"/>
              <w:right w:val="single" w:color="auto" w:sz="4" w:space="0"/>
            </w:tcBorders>
            <w:vAlign w:val="center"/>
          </w:tcPr>
          <w:p w14:paraId="5CBC9DD6">
            <w:pPr>
              <w:widowControl/>
              <w:adjustRightInd/>
              <w:jc w:val="left"/>
              <w:rPr>
                <w:rFonts w:ascii="宋体" w:hAnsi="宋体" w:cs="宋体"/>
                <w:color w:val="000000" w:themeColor="text1"/>
                <w:kern w:val="0"/>
                <w:sz w:val="24"/>
                <w14:textFill>
                  <w14:solidFill>
                    <w14:schemeClr w14:val="tx1"/>
                  </w14:solidFill>
                </w14:textFill>
              </w:rPr>
            </w:pPr>
          </w:p>
        </w:tc>
        <w:tc>
          <w:tcPr>
            <w:tcW w:w="983" w:type="dxa"/>
            <w:vMerge w:val="continue"/>
            <w:tcBorders>
              <w:top w:val="nil"/>
              <w:left w:val="single" w:color="auto" w:sz="4" w:space="0"/>
              <w:bottom w:val="single" w:color="auto" w:sz="4" w:space="0"/>
              <w:right w:val="single" w:color="auto" w:sz="4" w:space="0"/>
            </w:tcBorders>
            <w:vAlign w:val="center"/>
          </w:tcPr>
          <w:p w14:paraId="4B00067D">
            <w:pPr>
              <w:widowControl/>
              <w:adjustRightInd/>
              <w:jc w:val="left"/>
              <w:rPr>
                <w:rFonts w:ascii="宋体" w:hAnsi="宋体" w:cs="宋体"/>
                <w:color w:val="000000" w:themeColor="text1"/>
                <w:kern w:val="0"/>
                <w:sz w:val="24"/>
                <w14:textFill>
                  <w14:solidFill>
                    <w14:schemeClr w14:val="tx1"/>
                  </w14:solidFill>
                </w14:textFill>
              </w:rPr>
            </w:pPr>
          </w:p>
        </w:tc>
        <w:tc>
          <w:tcPr>
            <w:tcW w:w="2126" w:type="dxa"/>
            <w:vMerge w:val="continue"/>
            <w:tcBorders>
              <w:top w:val="nil"/>
              <w:left w:val="single" w:color="auto" w:sz="4" w:space="0"/>
              <w:bottom w:val="single" w:color="auto" w:sz="4" w:space="0"/>
              <w:right w:val="single" w:color="auto" w:sz="4" w:space="0"/>
            </w:tcBorders>
            <w:vAlign w:val="center"/>
          </w:tcPr>
          <w:p w14:paraId="5B05CAE4">
            <w:pPr>
              <w:widowControl/>
              <w:adjustRightInd/>
              <w:jc w:val="left"/>
              <w:rPr>
                <w:rFonts w:ascii="宋体" w:hAnsi="宋体" w:cs="宋体"/>
                <w:color w:val="000000" w:themeColor="text1"/>
                <w:kern w:val="0"/>
                <w:sz w:val="24"/>
                <w14:textFill>
                  <w14:solidFill>
                    <w14:schemeClr w14:val="tx1"/>
                  </w14:solidFill>
                </w14:textFill>
              </w:rPr>
            </w:pPr>
          </w:p>
        </w:tc>
        <w:tc>
          <w:tcPr>
            <w:tcW w:w="1276" w:type="dxa"/>
            <w:vMerge w:val="continue"/>
            <w:tcBorders>
              <w:top w:val="nil"/>
              <w:left w:val="single" w:color="auto" w:sz="4" w:space="0"/>
              <w:bottom w:val="single" w:color="auto" w:sz="4" w:space="0"/>
              <w:right w:val="single" w:color="auto" w:sz="4" w:space="0"/>
            </w:tcBorders>
            <w:vAlign w:val="center"/>
          </w:tcPr>
          <w:p w14:paraId="084572BC">
            <w:pPr>
              <w:widowControl/>
              <w:adjustRightInd/>
              <w:jc w:val="left"/>
              <w:rPr>
                <w:rFonts w:ascii="宋体" w:hAnsi="宋体" w:cs="宋体"/>
                <w:color w:val="000000" w:themeColor="text1"/>
                <w:kern w:val="0"/>
                <w:sz w:val="24"/>
                <w14:textFill>
                  <w14:solidFill>
                    <w14:schemeClr w14:val="tx1"/>
                  </w14:solidFill>
                </w14:textFill>
              </w:rPr>
            </w:pPr>
          </w:p>
        </w:tc>
      </w:tr>
      <w:tr w14:paraId="14D86698">
        <w:tblPrEx>
          <w:tblCellMar>
            <w:top w:w="0" w:type="dxa"/>
            <w:left w:w="108" w:type="dxa"/>
            <w:bottom w:w="0" w:type="dxa"/>
            <w:right w:w="108" w:type="dxa"/>
          </w:tblCellMar>
        </w:tblPrEx>
        <w:trPr>
          <w:trHeight w:val="645" w:hRule="atLeast"/>
        </w:trPr>
        <w:tc>
          <w:tcPr>
            <w:tcW w:w="519" w:type="dxa"/>
            <w:vMerge w:val="continue"/>
            <w:tcBorders>
              <w:top w:val="nil"/>
              <w:left w:val="single" w:color="auto" w:sz="4" w:space="0"/>
              <w:bottom w:val="single" w:color="auto" w:sz="4" w:space="0"/>
              <w:right w:val="single" w:color="auto" w:sz="4" w:space="0"/>
            </w:tcBorders>
            <w:vAlign w:val="center"/>
          </w:tcPr>
          <w:p w14:paraId="5BFC0088">
            <w:pPr>
              <w:widowControl/>
              <w:adjustRightInd/>
              <w:jc w:val="left"/>
              <w:rPr>
                <w:rFonts w:ascii="宋体" w:hAnsi="宋体" w:cs="宋体"/>
                <w:color w:val="000000" w:themeColor="text1"/>
                <w:kern w:val="0"/>
                <w:sz w:val="24"/>
                <w14:textFill>
                  <w14:solidFill>
                    <w14:schemeClr w14:val="tx1"/>
                  </w14:solidFill>
                </w14:textFill>
              </w:rPr>
            </w:pPr>
          </w:p>
        </w:tc>
        <w:tc>
          <w:tcPr>
            <w:tcW w:w="772" w:type="dxa"/>
            <w:vMerge w:val="continue"/>
            <w:tcBorders>
              <w:top w:val="nil"/>
              <w:left w:val="single" w:color="auto" w:sz="4" w:space="0"/>
              <w:bottom w:val="single" w:color="auto" w:sz="4" w:space="0"/>
              <w:right w:val="single" w:color="auto" w:sz="4" w:space="0"/>
            </w:tcBorders>
            <w:vAlign w:val="center"/>
          </w:tcPr>
          <w:p w14:paraId="6DAD45BC">
            <w:pPr>
              <w:widowControl/>
              <w:adjustRightInd/>
              <w:jc w:val="left"/>
              <w:rPr>
                <w:rFonts w:ascii="宋体" w:hAnsi="宋体" w:cs="宋体"/>
                <w:color w:val="000000" w:themeColor="text1"/>
                <w:kern w:val="0"/>
                <w:sz w:val="24"/>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14:paraId="2B591F74">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美术本</w:t>
            </w:r>
          </w:p>
        </w:tc>
        <w:tc>
          <w:tcPr>
            <w:tcW w:w="709" w:type="dxa"/>
            <w:tcBorders>
              <w:top w:val="nil"/>
              <w:left w:val="nil"/>
              <w:bottom w:val="single" w:color="auto" w:sz="4" w:space="0"/>
              <w:right w:val="single" w:color="auto" w:sz="4" w:space="0"/>
            </w:tcBorders>
            <w:vAlign w:val="center"/>
          </w:tcPr>
          <w:p w14:paraId="15187D2F">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1本</w:t>
            </w:r>
          </w:p>
        </w:tc>
        <w:tc>
          <w:tcPr>
            <w:tcW w:w="1186" w:type="dxa"/>
            <w:tcBorders>
              <w:top w:val="nil"/>
              <w:left w:val="nil"/>
              <w:bottom w:val="single" w:color="auto" w:sz="4" w:space="0"/>
              <w:right w:val="single" w:color="auto" w:sz="4" w:space="0"/>
            </w:tcBorders>
            <w:vAlign w:val="center"/>
          </w:tcPr>
          <w:p w14:paraId="678737F5">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横大16K  36页</w:t>
            </w:r>
          </w:p>
        </w:tc>
        <w:tc>
          <w:tcPr>
            <w:tcW w:w="524" w:type="dxa"/>
            <w:vMerge w:val="continue"/>
            <w:tcBorders>
              <w:top w:val="nil"/>
              <w:left w:val="single" w:color="auto" w:sz="4" w:space="0"/>
              <w:bottom w:val="single" w:color="auto" w:sz="4" w:space="0"/>
              <w:right w:val="single" w:color="auto" w:sz="4" w:space="0"/>
            </w:tcBorders>
            <w:vAlign w:val="center"/>
          </w:tcPr>
          <w:p w14:paraId="497AA192">
            <w:pPr>
              <w:widowControl/>
              <w:adjustRightInd/>
              <w:jc w:val="left"/>
              <w:rPr>
                <w:rFonts w:ascii="宋体" w:hAnsi="宋体" w:cs="宋体"/>
                <w:color w:val="000000" w:themeColor="text1"/>
                <w:kern w:val="0"/>
                <w:sz w:val="24"/>
                <w14:textFill>
                  <w14:solidFill>
                    <w14:schemeClr w14:val="tx1"/>
                  </w14:solidFill>
                </w14:textFill>
              </w:rPr>
            </w:pPr>
          </w:p>
        </w:tc>
        <w:tc>
          <w:tcPr>
            <w:tcW w:w="983" w:type="dxa"/>
            <w:vMerge w:val="continue"/>
            <w:tcBorders>
              <w:top w:val="nil"/>
              <w:left w:val="single" w:color="auto" w:sz="4" w:space="0"/>
              <w:bottom w:val="single" w:color="auto" w:sz="4" w:space="0"/>
              <w:right w:val="single" w:color="auto" w:sz="4" w:space="0"/>
            </w:tcBorders>
            <w:vAlign w:val="center"/>
          </w:tcPr>
          <w:p w14:paraId="009549A4">
            <w:pPr>
              <w:widowControl/>
              <w:adjustRightInd/>
              <w:jc w:val="left"/>
              <w:rPr>
                <w:rFonts w:ascii="宋体" w:hAnsi="宋体" w:cs="宋体"/>
                <w:color w:val="000000" w:themeColor="text1"/>
                <w:kern w:val="0"/>
                <w:sz w:val="24"/>
                <w14:textFill>
                  <w14:solidFill>
                    <w14:schemeClr w14:val="tx1"/>
                  </w14:solidFill>
                </w14:textFill>
              </w:rPr>
            </w:pPr>
          </w:p>
        </w:tc>
        <w:tc>
          <w:tcPr>
            <w:tcW w:w="2126" w:type="dxa"/>
            <w:vMerge w:val="continue"/>
            <w:tcBorders>
              <w:top w:val="nil"/>
              <w:left w:val="single" w:color="auto" w:sz="4" w:space="0"/>
              <w:bottom w:val="single" w:color="auto" w:sz="4" w:space="0"/>
              <w:right w:val="single" w:color="auto" w:sz="4" w:space="0"/>
            </w:tcBorders>
            <w:vAlign w:val="center"/>
          </w:tcPr>
          <w:p w14:paraId="7A36C5C2">
            <w:pPr>
              <w:widowControl/>
              <w:adjustRightInd/>
              <w:jc w:val="left"/>
              <w:rPr>
                <w:rFonts w:ascii="宋体" w:hAnsi="宋体" w:cs="宋体"/>
                <w:color w:val="000000" w:themeColor="text1"/>
                <w:kern w:val="0"/>
                <w:sz w:val="24"/>
                <w14:textFill>
                  <w14:solidFill>
                    <w14:schemeClr w14:val="tx1"/>
                  </w14:solidFill>
                </w14:textFill>
              </w:rPr>
            </w:pPr>
          </w:p>
        </w:tc>
        <w:tc>
          <w:tcPr>
            <w:tcW w:w="1276" w:type="dxa"/>
            <w:vMerge w:val="continue"/>
            <w:tcBorders>
              <w:top w:val="nil"/>
              <w:left w:val="single" w:color="auto" w:sz="4" w:space="0"/>
              <w:bottom w:val="single" w:color="auto" w:sz="4" w:space="0"/>
              <w:right w:val="single" w:color="auto" w:sz="4" w:space="0"/>
            </w:tcBorders>
            <w:vAlign w:val="center"/>
          </w:tcPr>
          <w:p w14:paraId="224D91A0">
            <w:pPr>
              <w:widowControl/>
              <w:adjustRightInd/>
              <w:jc w:val="left"/>
              <w:rPr>
                <w:rFonts w:ascii="宋体" w:hAnsi="宋体" w:cs="宋体"/>
                <w:color w:val="000000" w:themeColor="text1"/>
                <w:kern w:val="0"/>
                <w:sz w:val="24"/>
                <w14:textFill>
                  <w14:solidFill>
                    <w14:schemeClr w14:val="tx1"/>
                  </w14:solidFill>
                </w14:textFill>
              </w:rPr>
            </w:pPr>
          </w:p>
        </w:tc>
      </w:tr>
    </w:tbl>
    <w:p w14:paraId="4CE482ED">
      <w:pPr>
        <w:spacing w:line="220" w:lineRule="atLeast"/>
        <w:rPr>
          <w:rFonts w:ascii="宋体" w:hAnsi="宋体" w:cs="宋体"/>
          <w:b/>
          <w:color w:val="000000" w:themeColor="text1"/>
          <w:sz w:val="24"/>
          <w14:textFill>
            <w14:solidFill>
              <w14:schemeClr w14:val="tx1"/>
            </w14:solidFill>
          </w14:textFill>
        </w:rPr>
      </w:pPr>
    </w:p>
    <w:p w14:paraId="757F904B">
      <w:pPr>
        <w:spacing w:line="220" w:lineRule="atLeas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（2）、初中空白作业本</w:t>
      </w:r>
    </w:p>
    <w:tbl>
      <w:tblPr>
        <w:tblStyle w:val="62"/>
        <w:tblW w:w="9056" w:type="dxa"/>
        <w:tblInd w:w="52" w:type="dxa"/>
        <w:tblLayout w:type="fixed"/>
        <w:tblCellMar>
          <w:top w:w="0" w:type="dxa"/>
          <w:left w:w="108" w:type="dxa"/>
          <w:bottom w:w="0" w:type="dxa"/>
          <w:right w:w="108" w:type="dxa"/>
        </w:tblCellMar>
      </w:tblPr>
      <w:tblGrid>
        <w:gridCol w:w="457"/>
        <w:gridCol w:w="833"/>
        <w:gridCol w:w="1040"/>
        <w:gridCol w:w="703"/>
        <w:gridCol w:w="1216"/>
        <w:gridCol w:w="627"/>
        <w:gridCol w:w="989"/>
        <w:gridCol w:w="1988"/>
        <w:gridCol w:w="1203"/>
      </w:tblGrid>
      <w:tr w14:paraId="09E8A273">
        <w:tblPrEx>
          <w:tblCellMar>
            <w:top w:w="0" w:type="dxa"/>
            <w:left w:w="108" w:type="dxa"/>
            <w:bottom w:w="0" w:type="dxa"/>
            <w:right w:w="108" w:type="dxa"/>
          </w:tblCellMar>
        </w:tblPrEx>
        <w:trPr>
          <w:trHeight w:val="510" w:hRule="atLeast"/>
        </w:trPr>
        <w:tc>
          <w:tcPr>
            <w:tcW w:w="457" w:type="dxa"/>
            <w:tcBorders>
              <w:top w:val="single" w:color="auto" w:sz="4" w:space="0"/>
              <w:left w:val="single" w:color="auto" w:sz="4" w:space="0"/>
              <w:bottom w:val="single" w:color="auto" w:sz="4" w:space="0"/>
              <w:right w:val="single" w:color="auto" w:sz="4" w:space="0"/>
            </w:tcBorders>
            <w:vAlign w:val="center"/>
          </w:tcPr>
          <w:p w14:paraId="39CF710D">
            <w:pPr>
              <w:widowControl/>
              <w:adjustRightInd/>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833" w:type="dxa"/>
            <w:tcBorders>
              <w:top w:val="single" w:color="auto" w:sz="4" w:space="0"/>
              <w:left w:val="nil"/>
              <w:bottom w:val="single" w:color="auto" w:sz="4" w:space="0"/>
              <w:right w:val="single" w:color="auto" w:sz="4" w:space="0"/>
            </w:tcBorders>
            <w:vAlign w:val="center"/>
          </w:tcPr>
          <w:p w14:paraId="6630D776">
            <w:pPr>
              <w:widowControl/>
              <w:adjustRightInd/>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年级</w:t>
            </w:r>
          </w:p>
        </w:tc>
        <w:tc>
          <w:tcPr>
            <w:tcW w:w="1040" w:type="dxa"/>
            <w:tcBorders>
              <w:top w:val="single" w:color="auto" w:sz="4" w:space="0"/>
              <w:left w:val="nil"/>
              <w:bottom w:val="single" w:color="auto" w:sz="4" w:space="0"/>
              <w:right w:val="single" w:color="auto" w:sz="4" w:space="0"/>
            </w:tcBorders>
            <w:vAlign w:val="center"/>
          </w:tcPr>
          <w:p w14:paraId="7AC6BE9A">
            <w:pPr>
              <w:widowControl/>
              <w:adjustRightInd/>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作业本名称</w:t>
            </w:r>
          </w:p>
        </w:tc>
        <w:tc>
          <w:tcPr>
            <w:tcW w:w="703" w:type="dxa"/>
            <w:tcBorders>
              <w:top w:val="single" w:color="auto" w:sz="4" w:space="0"/>
              <w:left w:val="nil"/>
              <w:bottom w:val="single" w:color="auto" w:sz="4" w:space="0"/>
              <w:right w:val="single" w:color="auto" w:sz="4" w:space="0"/>
            </w:tcBorders>
            <w:vAlign w:val="center"/>
          </w:tcPr>
          <w:p w14:paraId="358B1A00">
            <w:pPr>
              <w:widowControl/>
              <w:adjustRightInd/>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数量</w:t>
            </w:r>
          </w:p>
        </w:tc>
        <w:tc>
          <w:tcPr>
            <w:tcW w:w="1216" w:type="dxa"/>
            <w:tcBorders>
              <w:top w:val="single" w:color="auto" w:sz="4" w:space="0"/>
              <w:left w:val="nil"/>
              <w:bottom w:val="single" w:color="auto" w:sz="4" w:space="0"/>
              <w:right w:val="single" w:color="auto" w:sz="4" w:space="0"/>
            </w:tcBorders>
            <w:vAlign w:val="center"/>
          </w:tcPr>
          <w:p w14:paraId="347135D0">
            <w:pPr>
              <w:widowControl/>
              <w:adjustRightInd/>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规格</w:t>
            </w:r>
          </w:p>
        </w:tc>
        <w:tc>
          <w:tcPr>
            <w:tcW w:w="627" w:type="dxa"/>
            <w:tcBorders>
              <w:top w:val="single" w:color="auto" w:sz="4" w:space="0"/>
              <w:left w:val="nil"/>
              <w:bottom w:val="single" w:color="auto" w:sz="4" w:space="0"/>
              <w:right w:val="single" w:color="auto" w:sz="4" w:space="0"/>
            </w:tcBorders>
            <w:vAlign w:val="center"/>
          </w:tcPr>
          <w:p w14:paraId="762A2ECC">
            <w:pPr>
              <w:widowControl/>
              <w:adjustRightInd/>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单位</w:t>
            </w:r>
          </w:p>
        </w:tc>
        <w:tc>
          <w:tcPr>
            <w:tcW w:w="989" w:type="dxa"/>
            <w:tcBorders>
              <w:top w:val="single" w:color="auto" w:sz="4" w:space="0"/>
              <w:left w:val="nil"/>
              <w:bottom w:val="single" w:color="auto" w:sz="4" w:space="0"/>
              <w:right w:val="single" w:color="auto" w:sz="4" w:space="0"/>
            </w:tcBorders>
            <w:vAlign w:val="center"/>
          </w:tcPr>
          <w:p w14:paraId="4B5237D4">
            <w:pPr>
              <w:widowControl/>
              <w:adjustRightInd/>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数量</w:t>
            </w:r>
          </w:p>
        </w:tc>
        <w:tc>
          <w:tcPr>
            <w:tcW w:w="1988" w:type="dxa"/>
            <w:tcBorders>
              <w:top w:val="single" w:color="auto" w:sz="4" w:space="0"/>
              <w:left w:val="nil"/>
              <w:bottom w:val="single" w:color="auto" w:sz="4" w:space="0"/>
              <w:right w:val="single" w:color="auto" w:sz="4" w:space="0"/>
            </w:tcBorders>
            <w:vAlign w:val="center"/>
          </w:tcPr>
          <w:p w14:paraId="2C349343">
            <w:pPr>
              <w:widowControl/>
              <w:adjustRightInd/>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质量要求</w:t>
            </w:r>
          </w:p>
        </w:tc>
        <w:tc>
          <w:tcPr>
            <w:tcW w:w="1203" w:type="dxa"/>
            <w:tcBorders>
              <w:top w:val="single" w:color="auto" w:sz="4" w:space="0"/>
              <w:left w:val="nil"/>
              <w:bottom w:val="single" w:color="auto" w:sz="4" w:space="0"/>
              <w:right w:val="single" w:color="auto" w:sz="4" w:space="0"/>
            </w:tcBorders>
            <w:vAlign w:val="center"/>
          </w:tcPr>
          <w:p w14:paraId="7802439C">
            <w:pPr>
              <w:widowControl/>
              <w:adjustRightInd/>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备注</w:t>
            </w:r>
          </w:p>
        </w:tc>
      </w:tr>
      <w:tr w14:paraId="29B006FF">
        <w:tblPrEx>
          <w:tblCellMar>
            <w:top w:w="0" w:type="dxa"/>
            <w:left w:w="108" w:type="dxa"/>
            <w:bottom w:w="0" w:type="dxa"/>
            <w:right w:w="108" w:type="dxa"/>
          </w:tblCellMar>
        </w:tblPrEx>
        <w:trPr>
          <w:trHeight w:val="510" w:hRule="atLeast"/>
        </w:trPr>
        <w:tc>
          <w:tcPr>
            <w:tcW w:w="457" w:type="dxa"/>
            <w:vMerge w:val="restart"/>
            <w:tcBorders>
              <w:top w:val="nil"/>
              <w:left w:val="single" w:color="auto" w:sz="4" w:space="0"/>
              <w:bottom w:val="single" w:color="auto" w:sz="4" w:space="0"/>
              <w:right w:val="single" w:color="auto" w:sz="4" w:space="0"/>
            </w:tcBorders>
            <w:vAlign w:val="center"/>
          </w:tcPr>
          <w:p w14:paraId="3CACC31C">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833" w:type="dxa"/>
            <w:vMerge w:val="restart"/>
            <w:tcBorders>
              <w:top w:val="nil"/>
              <w:left w:val="single" w:color="auto" w:sz="4" w:space="0"/>
              <w:bottom w:val="single" w:color="auto" w:sz="4" w:space="0"/>
              <w:right w:val="single" w:color="auto" w:sz="4" w:space="0"/>
            </w:tcBorders>
            <w:vAlign w:val="center"/>
          </w:tcPr>
          <w:p w14:paraId="4AC5DEE4">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初中</w:t>
            </w:r>
          </w:p>
        </w:tc>
        <w:tc>
          <w:tcPr>
            <w:tcW w:w="1040" w:type="dxa"/>
            <w:tcBorders>
              <w:top w:val="nil"/>
              <w:left w:val="nil"/>
              <w:bottom w:val="single" w:color="auto" w:sz="4" w:space="0"/>
              <w:right w:val="single" w:color="auto" w:sz="4" w:space="0"/>
            </w:tcBorders>
            <w:vAlign w:val="center"/>
          </w:tcPr>
          <w:p w14:paraId="2404A2E0">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练习本</w:t>
            </w:r>
          </w:p>
        </w:tc>
        <w:tc>
          <w:tcPr>
            <w:tcW w:w="703" w:type="dxa"/>
            <w:tcBorders>
              <w:top w:val="nil"/>
              <w:left w:val="nil"/>
              <w:bottom w:val="single" w:color="auto" w:sz="4" w:space="0"/>
              <w:right w:val="single" w:color="auto" w:sz="4" w:space="0"/>
            </w:tcBorders>
            <w:vAlign w:val="center"/>
          </w:tcPr>
          <w:p w14:paraId="60E9413E">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8本</w:t>
            </w:r>
          </w:p>
        </w:tc>
        <w:tc>
          <w:tcPr>
            <w:tcW w:w="1216" w:type="dxa"/>
            <w:tcBorders>
              <w:top w:val="nil"/>
              <w:left w:val="nil"/>
              <w:bottom w:val="single" w:color="auto" w:sz="4" w:space="0"/>
              <w:right w:val="single" w:color="auto" w:sz="4" w:space="0"/>
            </w:tcBorders>
            <w:vAlign w:val="center"/>
          </w:tcPr>
          <w:p w14:paraId="6F78C781">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24K 48页</w:t>
            </w:r>
          </w:p>
        </w:tc>
        <w:tc>
          <w:tcPr>
            <w:tcW w:w="627" w:type="dxa"/>
            <w:vMerge w:val="restart"/>
            <w:tcBorders>
              <w:top w:val="nil"/>
              <w:left w:val="single" w:color="auto" w:sz="4" w:space="0"/>
              <w:bottom w:val="single" w:color="auto" w:sz="4" w:space="0"/>
              <w:right w:val="single" w:color="auto" w:sz="4" w:space="0"/>
            </w:tcBorders>
            <w:vAlign w:val="center"/>
          </w:tcPr>
          <w:p w14:paraId="078A93DB">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套</w:t>
            </w:r>
          </w:p>
        </w:tc>
        <w:tc>
          <w:tcPr>
            <w:tcW w:w="989" w:type="dxa"/>
            <w:vMerge w:val="restart"/>
            <w:tcBorders>
              <w:top w:val="nil"/>
              <w:left w:val="single" w:color="auto" w:sz="4" w:space="0"/>
              <w:bottom w:val="single" w:color="auto" w:sz="4" w:space="0"/>
              <w:right w:val="single" w:color="auto" w:sz="4" w:space="0"/>
            </w:tcBorders>
            <w:vAlign w:val="center"/>
          </w:tcPr>
          <w:p w14:paraId="6A56F2ED">
            <w:pPr>
              <w:widowControl/>
              <w:adjustRightInd/>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102000</w:t>
            </w:r>
          </w:p>
        </w:tc>
        <w:tc>
          <w:tcPr>
            <w:tcW w:w="1988" w:type="dxa"/>
            <w:vMerge w:val="restart"/>
            <w:tcBorders>
              <w:top w:val="nil"/>
              <w:left w:val="single" w:color="auto" w:sz="4" w:space="0"/>
              <w:bottom w:val="single" w:color="auto" w:sz="4" w:space="0"/>
              <w:right w:val="single" w:color="auto" w:sz="4" w:space="0"/>
            </w:tcBorders>
            <w:vAlign w:val="center"/>
          </w:tcPr>
          <w:p w14:paraId="24B25B0C">
            <w:pPr>
              <w:widowControl/>
              <w:adjustRightInd/>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美术本和作文本封面封底用纸128克双铜纸，美术本内芯用105克铅画纸。其它封面封底用105克双铜纸，内芯用70克双胶纸。符合QB/T1437-2023《课业簿册》标准和（GB 40070-2021）《儿童青少年学习用品近视防控卫生要求》标准。</w:t>
            </w:r>
          </w:p>
        </w:tc>
        <w:tc>
          <w:tcPr>
            <w:tcW w:w="1203" w:type="dxa"/>
            <w:vMerge w:val="restart"/>
            <w:tcBorders>
              <w:top w:val="nil"/>
              <w:left w:val="single" w:color="auto" w:sz="4" w:space="0"/>
              <w:bottom w:val="single" w:color="auto" w:sz="4" w:space="0"/>
              <w:right w:val="single" w:color="auto" w:sz="4" w:space="0"/>
            </w:tcBorders>
            <w:vAlign w:val="center"/>
          </w:tcPr>
          <w:p w14:paraId="695B92E1">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一期于2025年2月10日前完成供货：</w:t>
            </w:r>
            <w:r>
              <w:rPr>
                <w:rFonts w:ascii="宋体" w:hAnsi="宋体" w:cs="宋体"/>
                <w:color w:val="000000" w:themeColor="text1"/>
                <w:kern w:val="0"/>
                <w:sz w:val="24"/>
                <w14:textFill>
                  <w14:solidFill>
                    <w14:schemeClr w14:val="tx1"/>
                  </w14:solidFill>
                </w14:textFill>
              </w:rPr>
              <w:t>49000</w:t>
            </w:r>
            <w:r>
              <w:rPr>
                <w:rFonts w:hint="eastAsia" w:ascii="宋体" w:hAnsi="宋体" w:cs="宋体"/>
                <w:color w:val="000000" w:themeColor="text1"/>
                <w:kern w:val="0"/>
                <w:sz w:val="24"/>
                <w14:textFill>
                  <w14:solidFill>
                    <w14:schemeClr w14:val="tx1"/>
                  </w14:solidFill>
                </w14:textFill>
              </w:rPr>
              <w:t xml:space="preserve">    </w:t>
            </w:r>
          </w:p>
          <w:p w14:paraId="791EB26D">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套；二期于2025年8月25日前完成供货：</w:t>
            </w:r>
            <w:r>
              <w:rPr>
                <w:rFonts w:ascii="宋体" w:hAnsi="宋体" w:cs="宋体"/>
                <w:color w:val="000000" w:themeColor="text1"/>
                <w:kern w:val="0"/>
                <w:sz w:val="24"/>
                <w14:textFill>
                  <w14:solidFill>
                    <w14:schemeClr w14:val="tx1"/>
                  </w14:solidFill>
                </w14:textFill>
              </w:rPr>
              <w:t>53000</w:t>
            </w:r>
            <w:r>
              <w:rPr>
                <w:rFonts w:hint="eastAsia" w:ascii="宋体" w:hAnsi="宋体" w:cs="宋体"/>
                <w:color w:val="000000" w:themeColor="text1"/>
                <w:kern w:val="0"/>
                <w:sz w:val="24"/>
                <w14:textFill>
                  <w14:solidFill>
                    <w14:schemeClr w14:val="tx1"/>
                  </w14:solidFill>
                </w14:textFill>
              </w:rPr>
              <w:t xml:space="preserve">        套。</w:t>
            </w:r>
          </w:p>
        </w:tc>
      </w:tr>
      <w:tr w14:paraId="37C143BF">
        <w:tblPrEx>
          <w:tblCellMar>
            <w:top w:w="0" w:type="dxa"/>
            <w:left w:w="108" w:type="dxa"/>
            <w:bottom w:w="0" w:type="dxa"/>
            <w:right w:w="108" w:type="dxa"/>
          </w:tblCellMar>
        </w:tblPrEx>
        <w:trPr>
          <w:trHeight w:val="510" w:hRule="atLeast"/>
        </w:trPr>
        <w:tc>
          <w:tcPr>
            <w:tcW w:w="457" w:type="dxa"/>
            <w:vMerge w:val="continue"/>
            <w:tcBorders>
              <w:top w:val="nil"/>
              <w:left w:val="single" w:color="auto" w:sz="4" w:space="0"/>
              <w:bottom w:val="single" w:color="auto" w:sz="4" w:space="0"/>
              <w:right w:val="single" w:color="auto" w:sz="4" w:space="0"/>
            </w:tcBorders>
            <w:vAlign w:val="center"/>
          </w:tcPr>
          <w:p w14:paraId="610920CD">
            <w:pPr>
              <w:widowControl/>
              <w:adjustRightInd/>
              <w:jc w:val="left"/>
              <w:rPr>
                <w:rFonts w:ascii="宋体" w:hAnsi="宋体" w:cs="宋体"/>
                <w:color w:val="000000" w:themeColor="text1"/>
                <w:kern w:val="0"/>
                <w:sz w:val="24"/>
                <w14:textFill>
                  <w14:solidFill>
                    <w14:schemeClr w14:val="tx1"/>
                  </w14:solidFill>
                </w14:textFill>
              </w:rPr>
            </w:pPr>
          </w:p>
        </w:tc>
        <w:tc>
          <w:tcPr>
            <w:tcW w:w="833" w:type="dxa"/>
            <w:vMerge w:val="continue"/>
            <w:tcBorders>
              <w:top w:val="nil"/>
              <w:left w:val="single" w:color="auto" w:sz="4" w:space="0"/>
              <w:bottom w:val="single" w:color="auto" w:sz="4" w:space="0"/>
              <w:right w:val="single" w:color="auto" w:sz="4" w:space="0"/>
            </w:tcBorders>
            <w:vAlign w:val="center"/>
          </w:tcPr>
          <w:p w14:paraId="363C5335">
            <w:pPr>
              <w:widowControl/>
              <w:adjustRightInd/>
              <w:jc w:val="left"/>
              <w:rPr>
                <w:rFonts w:ascii="宋体" w:hAnsi="宋体" w:cs="宋体"/>
                <w:color w:val="000000" w:themeColor="text1"/>
                <w:kern w:val="0"/>
                <w:sz w:val="24"/>
                <w14:textFill>
                  <w14:solidFill>
                    <w14:schemeClr w14:val="tx1"/>
                  </w14:solidFill>
                </w14:textFill>
              </w:rPr>
            </w:pPr>
          </w:p>
        </w:tc>
        <w:tc>
          <w:tcPr>
            <w:tcW w:w="1040" w:type="dxa"/>
            <w:tcBorders>
              <w:top w:val="nil"/>
              <w:left w:val="nil"/>
              <w:bottom w:val="single" w:color="auto" w:sz="4" w:space="0"/>
              <w:right w:val="single" w:color="auto" w:sz="4" w:space="0"/>
            </w:tcBorders>
            <w:vAlign w:val="center"/>
          </w:tcPr>
          <w:p w14:paraId="4350DFF6">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作文本</w:t>
            </w:r>
          </w:p>
        </w:tc>
        <w:tc>
          <w:tcPr>
            <w:tcW w:w="703" w:type="dxa"/>
            <w:tcBorders>
              <w:top w:val="nil"/>
              <w:left w:val="nil"/>
              <w:bottom w:val="single" w:color="auto" w:sz="4" w:space="0"/>
              <w:right w:val="single" w:color="auto" w:sz="4" w:space="0"/>
            </w:tcBorders>
            <w:vAlign w:val="center"/>
          </w:tcPr>
          <w:p w14:paraId="10ACB3B1">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2本</w:t>
            </w:r>
          </w:p>
        </w:tc>
        <w:tc>
          <w:tcPr>
            <w:tcW w:w="1216" w:type="dxa"/>
            <w:tcBorders>
              <w:top w:val="nil"/>
              <w:left w:val="nil"/>
              <w:bottom w:val="single" w:color="auto" w:sz="4" w:space="0"/>
              <w:right w:val="single" w:color="auto" w:sz="4" w:space="0"/>
            </w:tcBorders>
            <w:vAlign w:val="center"/>
          </w:tcPr>
          <w:p w14:paraId="4C76402D">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16K 48页</w:t>
            </w:r>
          </w:p>
        </w:tc>
        <w:tc>
          <w:tcPr>
            <w:tcW w:w="627" w:type="dxa"/>
            <w:vMerge w:val="continue"/>
            <w:tcBorders>
              <w:top w:val="nil"/>
              <w:left w:val="single" w:color="auto" w:sz="4" w:space="0"/>
              <w:bottom w:val="single" w:color="auto" w:sz="4" w:space="0"/>
              <w:right w:val="single" w:color="auto" w:sz="4" w:space="0"/>
            </w:tcBorders>
            <w:vAlign w:val="center"/>
          </w:tcPr>
          <w:p w14:paraId="6F88E4FF">
            <w:pPr>
              <w:widowControl/>
              <w:adjustRightInd/>
              <w:jc w:val="left"/>
              <w:rPr>
                <w:rFonts w:ascii="宋体" w:hAnsi="宋体" w:cs="宋体"/>
                <w:color w:val="000000" w:themeColor="text1"/>
                <w:kern w:val="0"/>
                <w:sz w:val="24"/>
                <w14:textFill>
                  <w14:solidFill>
                    <w14:schemeClr w14:val="tx1"/>
                  </w14:solidFill>
                </w14:textFill>
              </w:rPr>
            </w:pPr>
          </w:p>
        </w:tc>
        <w:tc>
          <w:tcPr>
            <w:tcW w:w="989" w:type="dxa"/>
            <w:vMerge w:val="continue"/>
            <w:tcBorders>
              <w:top w:val="nil"/>
              <w:left w:val="single" w:color="auto" w:sz="4" w:space="0"/>
              <w:bottom w:val="single" w:color="auto" w:sz="4" w:space="0"/>
              <w:right w:val="single" w:color="auto" w:sz="4" w:space="0"/>
            </w:tcBorders>
            <w:vAlign w:val="center"/>
          </w:tcPr>
          <w:p w14:paraId="71C604FE">
            <w:pPr>
              <w:widowControl/>
              <w:adjustRightInd/>
              <w:jc w:val="left"/>
              <w:rPr>
                <w:rFonts w:ascii="宋体" w:hAnsi="宋体" w:cs="宋体"/>
                <w:color w:val="000000" w:themeColor="text1"/>
                <w:kern w:val="0"/>
                <w:sz w:val="24"/>
                <w14:textFill>
                  <w14:solidFill>
                    <w14:schemeClr w14:val="tx1"/>
                  </w14:solidFill>
                </w14:textFill>
              </w:rPr>
            </w:pPr>
          </w:p>
        </w:tc>
        <w:tc>
          <w:tcPr>
            <w:tcW w:w="1988" w:type="dxa"/>
            <w:vMerge w:val="continue"/>
            <w:tcBorders>
              <w:top w:val="nil"/>
              <w:left w:val="single" w:color="auto" w:sz="4" w:space="0"/>
              <w:bottom w:val="single" w:color="auto" w:sz="4" w:space="0"/>
              <w:right w:val="single" w:color="auto" w:sz="4" w:space="0"/>
            </w:tcBorders>
            <w:vAlign w:val="center"/>
          </w:tcPr>
          <w:p w14:paraId="54BA75F0">
            <w:pPr>
              <w:widowControl/>
              <w:adjustRightInd/>
              <w:jc w:val="left"/>
              <w:rPr>
                <w:rFonts w:ascii="宋体" w:hAnsi="宋体" w:cs="宋体"/>
                <w:color w:val="000000" w:themeColor="text1"/>
                <w:kern w:val="0"/>
                <w:sz w:val="24"/>
                <w14:textFill>
                  <w14:solidFill>
                    <w14:schemeClr w14:val="tx1"/>
                  </w14:solidFill>
                </w14:textFill>
              </w:rPr>
            </w:pPr>
          </w:p>
        </w:tc>
        <w:tc>
          <w:tcPr>
            <w:tcW w:w="1203" w:type="dxa"/>
            <w:vMerge w:val="continue"/>
            <w:tcBorders>
              <w:top w:val="nil"/>
              <w:left w:val="single" w:color="auto" w:sz="4" w:space="0"/>
              <w:bottom w:val="single" w:color="auto" w:sz="4" w:space="0"/>
              <w:right w:val="single" w:color="auto" w:sz="4" w:space="0"/>
            </w:tcBorders>
            <w:vAlign w:val="center"/>
          </w:tcPr>
          <w:p w14:paraId="104B6729">
            <w:pPr>
              <w:widowControl/>
              <w:adjustRightInd/>
              <w:jc w:val="left"/>
              <w:rPr>
                <w:rFonts w:ascii="宋体" w:hAnsi="宋体" w:cs="宋体"/>
                <w:color w:val="000000" w:themeColor="text1"/>
                <w:kern w:val="0"/>
                <w:sz w:val="24"/>
                <w14:textFill>
                  <w14:solidFill>
                    <w14:schemeClr w14:val="tx1"/>
                  </w14:solidFill>
                </w14:textFill>
              </w:rPr>
            </w:pPr>
          </w:p>
        </w:tc>
      </w:tr>
      <w:tr w14:paraId="5B43D6E8">
        <w:tblPrEx>
          <w:tblCellMar>
            <w:top w:w="0" w:type="dxa"/>
            <w:left w:w="108" w:type="dxa"/>
            <w:bottom w:w="0" w:type="dxa"/>
            <w:right w:w="108" w:type="dxa"/>
          </w:tblCellMar>
        </w:tblPrEx>
        <w:trPr>
          <w:trHeight w:val="510" w:hRule="atLeast"/>
        </w:trPr>
        <w:tc>
          <w:tcPr>
            <w:tcW w:w="457" w:type="dxa"/>
            <w:vMerge w:val="continue"/>
            <w:tcBorders>
              <w:top w:val="nil"/>
              <w:left w:val="single" w:color="auto" w:sz="4" w:space="0"/>
              <w:bottom w:val="single" w:color="auto" w:sz="4" w:space="0"/>
              <w:right w:val="single" w:color="auto" w:sz="4" w:space="0"/>
            </w:tcBorders>
            <w:vAlign w:val="center"/>
          </w:tcPr>
          <w:p w14:paraId="0C50C48A">
            <w:pPr>
              <w:widowControl/>
              <w:adjustRightInd/>
              <w:jc w:val="left"/>
              <w:rPr>
                <w:rFonts w:ascii="宋体" w:hAnsi="宋体" w:cs="宋体"/>
                <w:color w:val="000000" w:themeColor="text1"/>
                <w:kern w:val="0"/>
                <w:sz w:val="24"/>
                <w14:textFill>
                  <w14:solidFill>
                    <w14:schemeClr w14:val="tx1"/>
                  </w14:solidFill>
                </w14:textFill>
              </w:rPr>
            </w:pPr>
          </w:p>
        </w:tc>
        <w:tc>
          <w:tcPr>
            <w:tcW w:w="833" w:type="dxa"/>
            <w:vMerge w:val="continue"/>
            <w:tcBorders>
              <w:top w:val="nil"/>
              <w:left w:val="single" w:color="auto" w:sz="4" w:space="0"/>
              <w:bottom w:val="single" w:color="auto" w:sz="4" w:space="0"/>
              <w:right w:val="single" w:color="auto" w:sz="4" w:space="0"/>
            </w:tcBorders>
            <w:vAlign w:val="center"/>
          </w:tcPr>
          <w:p w14:paraId="1190A6EC">
            <w:pPr>
              <w:widowControl/>
              <w:adjustRightInd/>
              <w:jc w:val="left"/>
              <w:rPr>
                <w:rFonts w:ascii="宋体" w:hAnsi="宋体" w:cs="宋体"/>
                <w:color w:val="000000" w:themeColor="text1"/>
                <w:kern w:val="0"/>
                <w:sz w:val="24"/>
                <w14:textFill>
                  <w14:solidFill>
                    <w14:schemeClr w14:val="tx1"/>
                  </w14:solidFill>
                </w14:textFill>
              </w:rPr>
            </w:pPr>
          </w:p>
        </w:tc>
        <w:tc>
          <w:tcPr>
            <w:tcW w:w="1040" w:type="dxa"/>
            <w:tcBorders>
              <w:top w:val="nil"/>
              <w:left w:val="nil"/>
              <w:bottom w:val="single" w:color="auto" w:sz="4" w:space="0"/>
              <w:right w:val="single" w:color="auto" w:sz="4" w:space="0"/>
            </w:tcBorders>
            <w:vAlign w:val="center"/>
          </w:tcPr>
          <w:p w14:paraId="75605577">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几何本</w:t>
            </w:r>
          </w:p>
        </w:tc>
        <w:tc>
          <w:tcPr>
            <w:tcW w:w="703" w:type="dxa"/>
            <w:tcBorders>
              <w:top w:val="nil"/>
              <w:left w:val="nil"/>
              <w:bottom w:val="single" w:color="auto" w:sz="4" w:space="0"/>
              <w:right w:val="single" w:color="auto" w:sz="4" w:space="0"/>
            </w:tcBorders>
            <w:vAlign w:val="center"/>
          </w:tcPr>
          <w:p w14:paraId="0BBBBD1B">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1本</w:t>
            </w:r>
          </w:p>
        </w:tc>
        <w:tc>
          <w:tcPr>
            <w:tcW w:w="1216" w:type="dxa"/>
            <w:tcBorders>
              <w:top w:val="nil"/>
              <w:left w:val="nil"/>
              <w:bottom w:val="single" w:color="auto" w:sz="4" w:space="0"/>
              <w:right w:val="single" w:color="auto" w:sz="4" w:space="0"/>
            </w:tcBorders>
            <w:vAlign w:val="center"/>
          </w:tcPr>
          <w:p w14:paraId="3C52667D">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24K 48页</w:t>
            </w:r>
          </w:p>
        </w:tc>
        <w:tc>
          <w:tcPr>
            <w:tcW w:w="627" w:type="dxa"/>
            <w:vMerge w:val="continue"/>
            <w:tcBorders>
              <w:top w:val="nil"/>
              <w:left w:val="single" w:color="auto" w:sz="4" w:space="0"/>
              <w:bottom w:val="single" w:color="auto" w:sz="4" w:space="0"/>
              <w:right w:val="single" w:color="auto" w:sz="4" w:space="0"/>
            </w:tcBorders>
            <w:vAlign w:val="center"/>
          </w:tcPr>
          <w:p w14:paraId="40328D4C">
            <w:pPr>
              <w:widowControl/>
              <w:adjustRightInd/>
              <w:jc w:val="left"/>
              <w:rPr>
                <w:rFonts w:ascii="宋体" w:hAnsi="宋体" w:cs="宋体"/>
                <w:color w:val="000000" w:themeColor="text1"/>
                <w:kern w:val="0"/>
                <w:sz w:val="24"/>
                <w14:textFill>
                  <w14:solidFill>
                    <w14:schemeClr w14:val="tx1"/>
                  </w14:solidFill>
                </w14:textFill>
              </w:rPr>
            </w:pPr>
          </w:p>
        </w:tc>
        <w:tc>
          <w:tcPr>
            <w:tcW w:w="989" w:type="dxa"/>
            <w:vMerge w:val="continue"/>
            <w:tcBorders>
              <w:top w:val="nil"/>
              <w:left w:val="single" w:color="auto" w:sz="4" w:space="0"/>
              <w:bottom w:val="single" w:color="auto" w:sz="4" w:space="0"/>
              <w:right w:val="single" w:color="auto" w:sz="4" w:space="0"/>
            </w:tcBorders>
            <w:vAlign w:val="center"/>
          </w:tcPr>
          <w:p w14:paraId="6E6365D0">
            <w:pPr>
              <w:widowControl/>
              <w:adjustRightInd/>
              <w:jc w:val="left"/>
              <w:rPr>
                <w:rFonts w:ascii="宋体" w:hAnsi="宋体" w:cs="宋体"/>
                <w:color w:val="000000" w:themeColor="text1"/>
                <w:kern w:val="0"/>
                <w:sz w:val="24"/>
                <w14:textFill>
                  <w14:solidFill>
                    <w14:schemeClr w14:val="tx1"/>
                  </w14:solidFill>
                </w14:textFill>
              </w:rPr>
            </w:pPr>
          </w:p>
        </w:tc>
        <w:tc>
          <w:tcPr>
            <w:tcW w:w="1988" w:type="dxa"/>
            <w:vMerge w:val="continue"/>
            <w:tcBorders>
              <w:top w:val="nil"/>
              <w:left w:val="single" w:color="auto" w:sz="4" w:space="0"/>
              <w:bottom w:val="single" w:color="auto" w:sz="4" w:space="0"/>
              <w:right w:val="single" w:color="auto" w:sz="4" w:space="0"/>
            </w:tcBorders>
            <w:vAlign w:val="center"/>
          </w:tcPr>
          <w:p w14:paraId="7645C828">
            <w:pPr>
              <w:widowControl/>
              <w:adjustRightInd/>
              <w:jc w:val="left"/>
              <w:rPr>
                <w:rFonts w:ascii="宋体" w:hAnsi="宋体" w:cs="宋体"/>
                <w:color w:val="000000" w:themeColor="text1"/>
                <w:kern w:val="0"/>
                <w:sz w:val="24"/>
                <w14:textFill>
                  <w14:solidFill>
                    <w14:schemeClr w14:val="tx1"/>
                  </w14:solidFill>
                </w14:textFill>
              </w:rPr>
            </w:pPr>
          </w:p>
        </w:tc>
        <w:tc>
          <w:tcPr>
            <w:tcW w:w="1203" w:type="dxa"/>
            <w:vMerge w:val="continue"/>
            <w:tcBorders>
              <w:top w:val="nil"/>
              <w:left w:val="single" w:color="auto" w:sz="4" w:space="0"/>
              <w:bottom w:val="single" w:color="auto" w:sz="4" w:space="0"/>
              <w:right w:val="single" w:color="auto" w:sz="4" w:space="0"/>
            </w:tcBorders>
            <w:vAlign w:val="center"/>
          </w:tcPr>
          <w:p w14:paraId="6E1CA070">
            <w:pPr>
              <w:widowControl/>
              <w:adjustRightInd/>
              <w:jc w:val="left"/>
              <w:rPr>
                <w:rFonts w:ascii="宋体" w:hAnsi="宋体" w:cs="宋体"/>
                <w:color w:val="000000" w:themeColor="text1"/>
                <w:kern w:val="0"/>
                <w:sz w:val="24"/>
                <w14:textFill>
                  <w14:solidFill>
                    <w14:schemeClr w14:val="tx1"/>
                  </w14:solidFill>
                </w14:textFill>
              </w:rPr>
            </w:pPr>
          </w:p>
        </w:tc>
      </w:tr>
      <w:tr w14:paraId="63BB5782">
        <w:tblPrEx>
          <w:tblCellMar>
            <w:top w:w="0" w:type="dxa"/>
            <w:left w:w="108" w:type="dxa"/>
            <w:bottom w:w="0" w:type="dxa"/>
            <w:right w:w="108" w:type="dxa"/>
          </w:tblCellMar>
        </w:tblPrEx>
        <w:trPr>
          <w:trHeight w:val="510" w:hRule="atLeast"/>
        </w:trPr>
        <w:tc>
          <w:tcPr>
            <w:tcW w:w="457" w:type="dxa"/>
            <w:vMerge w:val="continue"/>
            <w:tcBorders>
              <w:top w:val="nil"/>
              <w:left w:val="single" w:color="auto" w:sz="4" w:space="0"/>
              <w:bottom w:val="single" w:color="auto" w:sz="4" w:space="0"/>
              <w:right w:val="single" w:color="auto" w:sz="4" w:space="0"/>
            </w:tcBorders>
            <w:vAlign w:val="center"/>
          </w:tcPr>
          <w:p w14:paraId="5498639D">
            <w:pPr>
              <w:widowControl/>
              <w:adjustRightInd/>
              <w:jc w:val="left"/>
              <w:rPr>
                <w:rFonts w:ascii="宋体" w:hAnsi="宋体" w:cs="宋体"/>
                <w:color w:val="000000" w:themeColor="text1"/>
                <w:kern w:val="0"/>
                <w:sz w:val="24"/>
                <w14:textFill>
                  <w14:solidFill>
                    <w14:schemeClr w14:val="tx1"/>
                  </w14:solidFill>
                </w14:textFill>
              </w:rPr>
            </w:pPr>
          </w:p>
        </w:tc>
        <w:tc>
          <w:tcPr>
            <w:tcW w:w="833" w:type="dxa"/>
            <w:vMerge w:val="continue"/>
            <w:tcBorders>
              <w:top w:val="nil"/>
              <w:left w:val="single" w:color="auto" w:sz="4" w:space="0"/>
              <w:bottom w:val="single" w:color="auto" w:sz="4" w:space="0"/>
              <w:right w:val="single" w:color="auto" w:sz="4" w:space="0"/>
            </w:tcBorders>
            <w:vAlign w:val="center"/>
          </w:tcPr>
          <w:p w14:paraId="75325600">
            <w:pPr>
              <w:widowControl/>
              <w:adjustRightInd/>
              <w:jc w:val="left"/>
              <w:rPr>
                <w:rFonts w:ascii="宋体" w:hAnsi="宋体" w:cs="宋体"/>
                <w:color w:val="000000" w:themeColor="text1"/>
                <w:kern w:val="0"/>
                <w:sz w:val="24"/>
                <w14:textFill>
                  <w14:solidFill>
                    <w14:schemeClr w14:val="tx1"/>
                  </w14:solidFill>
                </w14:textFill>
              </w:rPr>
            </w:pPr>
          </w:p>
        </w:tc>
        <w:tc>
          <w:tcPr>
            <w:tcW w:w="1040" w:type="dxa"/>
            <w:tcBorders>
              <w:top w:val="nil"/>
              <w:left w:val="nil"/>
              <w:bottom w:val="single" w:color="auto" w:sz="4" w:space="0"/>
              <w:right w:val="single" w:color="auto" w:sz="4" w:space="0"/>
            </w:tcBorders>
            <w:vAlign w:val="center"/>
          </w:tcPr>
          <w:p w14:paraId="271A2148">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英语本</w:t>
            </w:r>
          </w:p>
        </w:tc>
        <w:tc>
          <w:tcPr>
            <w:tcW w:w="703" w:type="dxa"/>
            <w:tcBorders>
              <w:top w:val="nil"/>
              <w:left w:val="nil"/>
              <w:bottom w:val="single" w:color="auto" w:sz="4" w:space="0"/>
              <w:right w:val="single" w:color="auto" w:sz="4" w:space="0"/>
            </w:tcBorders>
            <w:vAlign w:val="center"/>
          </w:tcPr>
          <w:p w14:paraId="307B948F">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4本</w:t>
            </w:r>
          </w:p>
        </w:tc>
        <w:tc>
          <w:tcPr>
            <w:tcW w:w="1216" w:type="dxa"/>
            <w:tcBorders>
              <w:top w:val="nil"/>
              <w:left w:val="nil"/>
              <w:bottom w:val="single" w:color="auto" w:sz="4" w:space="0"/>
              <w:right w:val="single" w:color="auto" w:sz="4" w:space="0"/>
            </w:tcBorders>
            <w:vAlign w:val="center"/>
          </w:tcPr>
          <w:p w14:paraId="0FFEFDC8">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24K 48页</w:t>
            </w:r>
          </w:p>
        </w:tc>
        <w:tc>
          <w:tcPr>
            <w:tcW w:w="627" w:type="dxa"/>
            <w:vMerge w:val="continue"/>
            <w:tcBorders>
              <w:top w:val="nil"/>
              <w:left w:val="single" w:color="auto" w:sz="4" w:space="0"/>
              <w:bottom w:val="single" w:color="auto" w:sz="4" w:space="0"/>
              <w:right w:val="single" w:color="auto" w:sz="4" w:space="0"/>
            </w:tcBorders>
            <w:vAlign w:val="center"/>
          </w:tcPr>
          <w:p w14:paraId="445A8E3D">
            <w:pPr>
              <w:widowControl/>
              <w:adjustRightInd/>
              <w:jc w:val="left"/>
              <w:rPr>
                <w:rFonts w:ascii="宋体" w:hAnsi="宋体" w:cs="宋体"/>
                <w:color w:val="000000" w:themeColor="text1"/>
                <w:kern w:val="0"/>
                <w:sz w:val="24"/>
                <w14:textFill>
                  <w14:solidFill>
                    <w14:schemeClr w14:val="tx1"/>
                  </w14:solidFill>
                </w14:textFill>
              </w:rPr>
            </w:pPr>
          </w:p>
        </w:tc>
        <w:tc>
          <w:tcPr>
            <w:tcW w:w="989" w:type="dxa"/>
            <w:vMerge w:val="continue"/>
            <w:tcBorders>
              <w:top w:val="nil"/>
              <w:left w:val="single" w:color="auto" w:sz="4" w:space="0"/>
              <w:bottom w:val="single" w:color="auto" w:sz="4" w:space="0"/>
              <w:right w:val="single" w:color="auto" w:sz="4" w:space="0"/>
            </w:tcBorders>
            <w:vAlign w:val="center"/>
          </w:tcPr>
          <w:p w14:paraId="610F96EB">
            <w:pPr>
              <w:widowControl/>
              <w:adjustRightInd/>
              <w:jc w:val="left"/>
              <w:rPr>
                <w:rFonts w:ascii="宋体" w:hAnsi="宋体" w:cs="宋体"/>
                <w:color w:val="000000" w:themeColor="text1"/>
                <w:kern w:val="0"/>
                <w:sz w:val="24"/>
                <w14:textFill>
                  <w14:solidFill>
                    <w14:schemeClr w14:val="tx1"/>
                  </w14:solidFill>
                </w14:textFill>
              </w:rPr>
            </w:pPr>
          </w:p>
        </w:tc>
        <w:tc>
          <w:tcPr>
            <w:tcW w:w="1988" w:type="dxa"/>
            <w:vMerge w:val="continue"/>
            <w:tcBorders>
              <w:top w:val="nil"/>
              <w:left w:val="single" w:color="auto" w:sz="4" w:space="0"/>
              <w:bottom w:val="single" w:color="auto" w:sz="4" w:space="0"/>
              <w:right w:val="single" w:color="auto" w:sz="4" w:space="0"/>
            </w:tcBorders>
            <w:vAlign w:val="center"/>
          </w:tcPr>
          <w:p w14:paraId="2E1DB0A1">
            <w:pPr>
              <w:widowControl/>
              <w:adjustRightInd/>
              <w:jc w:val="left"/>
              <w:rPr>
                <w:rFonts w:ascii="宋体" w:hAnsi="宋体" w:cs="宋体"/>
                <w:color w:val="000000" w:themeColor="text1"/>
                <w:kern w:val="0"/>
                <w:sz w:val="24"/>
                <w14:textFill>
                  <w14:solidFill>
                    <w14:schemeClr w14:val="tx1"/>
                  </w14:solidFill>
                </w14:textFill>
              </w:rPr>
            </w:pPr>
          </w:p>
        </w:tc>
        <w:tc>
          <w:tcPr>
            <w:tcW w:w="1203" w:type="dxa"/>
            <w:vMerge w:val="continue"/>
            <w:tcBorders>
              <w:top w:val="nil"/>
              <w:left w:val="single" w:color="auto" w:sz="4" w:space="0"/>
              <w:bottom w:val="single" w:color="auto" w:sz="4" w:space="0"/>
              <w:right w:val="single" w:color="auto" w:sz="4" w:space="0"/>
            </w:tcBorders>
            <w:vAlign w:val="center"/>
          </w:tcPr>
          <w:p w14:paraId="440DE29C">
            <w:pPr>
              <w:widowControl/>
              <w:adjustRightInd/>
              <w:jc w:val="left"/>
              <w:rPr>
                <w:rFonts w:ascii="宋体" w:hAnsi="宋体" w:cs="宋体"/>
                <w:color w:val="000000" w:themeColor="text1"/>
                <w:kern w:val="0"/>
                <w:sz w:val="24"/>
                <w14:textFill>
                  <w14:solidFill>
                    <w14:schemeClr w14:val="tx1"/>
                  </w14:solidFill>
                </w14:textFill>
              </w:rPr>
            </w:pPr>
          </w:p>
        </w:tc>
      </w:tr>
      <w:tr w14:paraId="50E578B8">
        <w:tblPrEx>
          <w:tblCellMar>
            <w:top w:w="0" w:type="dxa"/>
            <w:left w:w="108" w:type="dxa"/>
            <w:bottom w:w="0" w:type="dxa"/>
            <w:right w:w="108" w:type="dxa"/>
          </w:tblCellMar>
        </w:tblPrEx>
        <w:trPr>
          <w:trHeight w:val="600" w:hRule="atLeast"/>
        </w:trPr>
        <w:tc>
          <w:tcPr>
            <w:tcW w:w="457" w:type="dxa"/>
            <w:vMerge w:val="continue"/>
            <w:tcBorders>
              <w:top w:val="nil"/>
              <w:left w:val="single" w:color="auto" w:sz="4" w:space="0"/>
              <w:bottom w:val="single" w:color="auto" w:sz="4" w:space="0"/>
              <w:right w:val="single" w:color="auto" w:sz="4" w:space="0"/>
            </w:tcBorders>
            <w:vAlign w:val="center"/>
          </w:tcPr>
          <w:p w14:paraId="2518F217">
            <w:pPr>
              <w:widowControl/>
              <w:adjustRightInd/>
              <w:jc w:val="left"/>
              <w:rPr>
                <w:rFonts w:ascii="宋体" w:hAnsi="宋体" w:cs="宋体"/>
                <w:color w:val="000000" w:themeColor="text1"/>
                <w:kern w:val="0"/>
                <w:sz w:val="24"/>
                <w14:textFill>
                  <w14:solidFill>
                    <w14:schemeClr w14:val="tx1"/>
                  </w14:solidFill>
                </w14:textFill>
              </w:rPr>
            </w:pPr>
          </w:p>
        </w:tc>
        <w:tc>
          <w:tcPr>
            <w:tcW w:w="833" w:type="dxa"/>
            <w:vMerge w:val="continue"/>
            <w:tcBorders>
              <w:top w:val="nil"/>
              <w:left w:val="single" w:color="auto" w:sz="4" w:space="0"/>
              <w:bottom w:val="single" w:color="auto" w:sz="4" w:space="0"/>
              <w:right w:val="single" w:color="auto" w:sz="4" w:space="0"/>
            </w:tcBorders>
            <w:vAlign w:val="center"/>
          </w:tcPr>
          <w:p w14:paraId="490C2A5B">
            <w:pPr>
              <w:widowControl/>
              <w:adjustRightInd/>
              <w:jc w:val="left"/>
              <w:rPr>
                <w:rFonts w:ascii="宋体" w:hAnsi="宋体" w:cs="宋体"/>
                <w:color w:val="000000" w:themeColor="text1"/>
                <w:kern w:val="0"/>
                <w:sz w:val="24"/>
                <w14:textFill>
                  <w14:solidFill>
                    <w14:schemeClr w14:val="tx1"/>
                  </w14:solidFill>
                </w14:textFill>
              </w:rPr>
            </w:pPr>
          </w:p>
        </w:tc>
        <w:tc>
          <w:tcPr>
            <w:tcW w:w="1040" w:type="dxa"/>
            <w:tcBorders>
              <w:top w:val="nil"/>
              <w:left w:val="nil"/>
              <w:bottom w:val="single" w:color="auto" w:sz="4" w:space="0"/>
              <w:right w:val="single" w:color="auto" w:sz="4" w:space="0"/>
            </w:tcBorders>
            <w:vAlign w:val="center"/>
          </w:tcPr>
          <w:p w14:paraId="72C1C244">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美术本</w:t>
            </w:r>
          </w:p>
        </w:tc>
        <w:tc>
          <w:tcPr>
            <w:tcW w:w="703" w:type="dxa"/>
            <w:tcBorders>
              <w:top w:val="nil"/>
              <w:left w:val="nil"/>
              <w:bottom w:val="single" w:color="auto" w:sz="4" w:space="0"/>
              <w:right w:val="single" w:color="auto" w:sz="4" w:space="0"/>
            </w:tcBorders>
            <w:vAlign w:val="center"/>
          </w:tcPr>
          <w:p w14:paraId="0E46A969">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1本</w:t>
            </w:r>
          </w:p>
        </w:tc>
        <w:tc>
          <w:tcPr>
            <w:tcW w:w="1216" w:type="dxa"/>
            <w:tcBorders>
              <w:top w:val="nil"/>
              <w:left w:val="nil"/>
              <w:bottom w:val="single" w:color="auto" w:sz="4" w:space="0"/>
              <w:right w:val="single" w:color="auto" w:sz="4" w:space="0"/>
            </w:tcBorders>
            <w:vAlign w:val="center"/>
          </w:tcPr>
          <w:p w14:paraId="47DDDA9D">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横大16K　36页</w:t>
            </w:r>
          </w:p>
        </w:tc>
        <w:tc>
          <w:tcPr>
            <w:tcW w:w="627" w:type="dxa"/>
            <w:vMerge w:val="continue"/>
            <w:tcBorders>
              <w:top w:val="nil"/>
              <w:left w:val="single" w:color="auto" w:sz="4" w:space="0"/>
              <w:bottom w:val="single" w:color="auto" w:sz="4" w:space="0"/>
              <w:right w:val="single" w:color="auto" w:sz="4" w:space="0"/>
            </w:tcBorders>
            <w:vAlign w:val="center"/>
          </w:tcPr>
          <w:p w14:paraId="25189F17">
            <w:pPr>
              <w:widowControl/>
              <w:adjustRightInd/>
              <w:jc w:val="left"/>
              <w:rPr>
                <w:rFonts w:ascii="宋体" w:hAnsi="宋体" w:cs="宋体"/>
                <w:color w:val="000000" w:themeColor="text1"/>
                <w:kern w:val="0"/>
                <w:sz w:val="24"/>
                <w14:textFill>
                  <w14:solidFill>
                    <w14:schemeClr w14:val="tx1"/>
                  </w14:solidFill>
                </w14:textFill>
              </w:rPr>
            </w:pPr>
          </w:p>
        </w:tc>
        <w:tc>
          <w:tcPr>
            <w:tcW w:w="989" w:type="dxa"/>
            <w:vMerge w:val="continue"/>
            <w:tcBorders>
              <w:top w:val="nil"/>
              <w:left w:val="single" w:color="auto" w:sz="4" w:space="0"/>
              <w:bottom w:val="single" w:color="auto" w:sz="4" w:space="0"/>
              <w:right w:val="single" w:color="auto" w:sz="4" w:space="0"/>
            </w:tcBorders>
            <w:vAlign w:val="center"/>
          </w:tcPr>
          <w:p w14:paraId="3C9BF7F8">
            <w:pPr>
              <w:widowControl/>
              <w:adjustRightInd/>
              <w:jc w:val="left"/>
              <w:rPr>
                <w:rFonts w:ascii="宋体" w:hAnsi="宋体" w:cs="宋体"/>
                <w:color w:val="000000" w:themeColor="text1"/>
                <w:kern w:val="0"/>
                <w:sz w:val="24"/>
                <w14:textFill>
                  <w14:solidFill>
                    <w14:schemeClr w14:val="tx1"/>
                  </w14:solidFill>
                </w14:textFill>
              </w:rPr>
            </w:pPr>
          </w:p>
        </w:tc>
        <w:tc>
          <w:tcPr>
            <w:tcW w:w="1988" w:type="dxa"/>
            <w:vMerge w:val="continue"/>
            <w:tcBorders>
              <w:top w:val="nil"/>
              <w:left w:val="single" w:color="auto" w:sz="4" w:space="0"/>
              <w:bottom w:val="single" w:color="auto" w:sz="4" w:space="0"/>
              <w:right w:val="single" w:color="auto" w:sz="4" w:space="0"/>
            </w:tcBorders>
            <w:vAlign w:val="center"/>
          </w:tcPr>
          <w:p w14:paraId="4684AAED">
            <w:pPr>
              <w:widowControl/>
              <w:adjustRightInd/>
              <w:jc w:val="left"/>
              <w:rPr>
                <w:rFonts w:ascii="宋体" w:hAnsi="宋体" w:cs="宋体"/>
                <w:color w:val="000000" w:themeColor="text1"/>
                <w:kern w:val="0"/>
                <w:sz w:val="24"/>
                <w14:textFill>
                  <w14:solidFill>
                    <w14:schemeClr w14:val="tx1"/>
                  </w14:solidFill>
                </w14:textFill>
              </w:rPr>
            </w:pPr>
          </w:p>
        </w:tc>
        <w:tc>
          <w:tcPr>
            <w:tcW w:w="1203" w:type="dxa"/>
            <w:vMerge w:val="continue"/>
            <w:tcBorders>
              <w:top w:val="nil"/>
              <w:left w:val="single" w:color="auto" w:sz="4" w:space="0"/>
              <w:bottom w:val="single" w:color="auto" w:sz="4" w:space="0"/>
              <w:right w:val="single" w:color="auto" w:sz="4" w:space="0"/>
            </w:tcBorders>
            <w:vAlign w:val="center"/>
          </w:tcPr>
          <w:p w14:paraId="6A9E2B06">
            <w:pPr>
              <w:widowControl/>
              <w:adjustRightInd/>
              <w:jc w:val="left"/>
              <w:rPr>
                <w:rFonts w:ascii="宋体" w:hAnsi="宋体" w:cs="宋体"/>
                <w:color w:val="000000" w:themeColor="text1"/>
                <w:kern w:val="0"/>
                <w:sz w:val="24"/>
                <w14:textFill>
                  <w14:solidFill>
                    <w14:schemeClr w14:val="tx1"/>
                  </w14:solidFill>
                </w14:textFill>
              </w:rPr>
            </w:pPr>
          </w:p>
        </w:tc>
      </w:tr>
    </w:tbl>
    <w:p w14:paraId="0E550822">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其他说明：</w:t>
      </w:r>
    </w:p>
    <w:p w14:paraId="6F25B94B">
      <w:pPr>
        <w:spacing w:line="360" w:lineRule="auto"/>
        <w:ind w:firstLine="235" w:firstLineChars="98"/>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1.各规格一栏所要求的页数不含封面、封底。</w:t>
      </w:r>
    </w:p>
    <w:p w14:paraId="15427440">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成品表面整洁，装订方式：线装生产，无缺页、褶皱、缺角。如果最终到货的作业本存在污损、缺页、缺册、缺角、褶皱等不合格情况，供应商须无条件更换。</w:t>
      </w:r>
    </w:p>
    <w:p w14:paraId="3172746C">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3.作业本封底要注明品名、规格、生产单位等相关信息。</w:t>
      </w:r>
    </w:p>
    <w:p w14:paraId="0EE91D6B">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4.供货时须按各年级标准配备，把作业本分装成套，按要求放入包装袋中供货。除美术本，其余均以每生一套独立包装。规格中页数“36页”“48页”均不包含封面页数。美术本以200本为一包单独包装。</w:t>
      </w:r>
    </w:p>
    <w:p w14:paraId="201A3E9B">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5.供货数量供货前采购人将会根据实际学生数量进行调整，中标人须按实际数量和配备标准进行供货并按投标单套价格计算。</w:t>
      </w:r>
    </w:p>
    <w:p w14:paraId="29E084A5">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6.中标供应商的供货范围：由杭州市萧山区教育局提供的中小学校名单为准，最终由各学校统计实际学生人数确定需求数。</w:t>
      </w:r>
    </w:p>
    <w:p w14:paraId="2864EC17">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2、商务需求</w:t>
      </w:r>
    </w:p>
    <w:p w14:paraId="42C2042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2.1交货时间及地点</w:t>
      </w:r>
    </w:p>
    <w:p w14:paraId="2825FED2">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snapToGrid w:val="0"/>
          <w:color w:val="000000" w:themeColor="text1"/>
          <w:kern w:val="28"/>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(1)小学空白作业本1</w:t>
      </w:r>
      <w:r>
        <w:rPr>
          <w:rFonts w:ascii="宋体" w:hAnsi="宋体" w:cs="宋体"/>
          <w:b/>
          <w:color w:val="000000" w:themeColor="text1"/>
          <w:sz w:val="24"/>
          <w14:textFill>
            <w14:solidFill>
              <w14:schemeClr w14:val="tx1"/>
            </w14:solidFill>
          </w14:textFill>
        </w:rPr>
        <w:t>31000</w:t>
      </w:r>
      <w:r>
        <w:rPr>
          <w:rFonts w:hint="eastAsia" w:ascii="宋体" w:hAnsi="宋体" w:cs="宋体"/>
          <w:b/>
          <w:color w:val="000000" w:themeColor="text1"/>
          <w:sz w:val="24"/>
          <w14:textFill>
            <w14:solidFill>
              <w14:schemeClr w14:val="tx1"/>
            </w14:solidFill>
          </w14:textFill>
        </w:rPr>
        <w:t>套、初中空白作业本4</w:t>
      </w:r>
      <w:r>
        <w:rPr>
          <w:rFonts w:ascii="宋体" w:hAnsi="宋体" w:cs="宋体"/>
          <w:b/>
          <w:color w:val="000000" w:themeColor="text1"/>
          <w:sz w:val="24"/>
          <w14:textFill>
            <w14:solidFill>
              <w14:schemeClr w14:val="tx1"/>
            </w14:solidFill>
          </w14:textFill>
        </w:rPr>
        <w:t>9000</w:t>
      </w:r>
      <w:r>
        <w:rPr>
          <w:rFonts w:hint="eastAsia" w:ascii="宋体" w:hAnsi="宋体" w:cs="宋体"/>
          <w:b/>
          <w:color w:val="000000" w:themeColor="text1"/>
          <w:sz w:val="24"/>
          <w14:textFill>
            <w14:solidFill>
              <w14:schemeClr w14:val="tx1"/>
            </w14:solidFill>
          </w14:textFill>
        </w:rPr>
        <w:t>套应在2025年2月10日前完成供货；小学空白作业本1</w:t>
      </w:r>
      <w:r>
        <w:rPr>
          <w:rFonts w:ascii="宋体" w:hAnsi="宋体" w:cs="宋体"/>
          <w:b/>
          <w:color w:val="000000" w:themeColor="text1"/>
          <w:sz w:val="24"/>
          <w14:textFill>
            <w14:solidFill>
              <w14:schemeClr w14:val="tx1"/>
            </w14:solidFill>
          </w14:textFill>
        </w:rPr>
        <w:t>35000</w:t>
      </w:r>
      <w:r>
        <w:rPr>
          <w:rFonts w:hint="eastAsia" w:ascii="宋体" w:hAnsi="宋体" w:cs="宋体"/>
          <w:b/>
          <w:color w:val="000000" w:themeColor="text1"/>
          <w:sz w:val="24"/>
          <w14:textFill>
            <w14:solidFill>
              <w14:schemeClr w14:val="tx1"/>
            </w14:solidFill>
          </w14:textFill>
        </w:rPr>
        <w:t>套、初中空白作业本5</w:t>
      </w:r>
      <w:r>
        <w:rPr>
          <w:rFonts w:ascii="宋体" w:hAnsi="宋体" w:cs="宋体"/>
          <w:b/>
          <w:color w:val="000000" w:themeColor="text1"/>
          <w:sz w:val="24"/>
          <w14:textFill>
            <w14:solidFill>
              <w14:schemeClr w14:val="tx1"/>
            </w14:solidFill>
          </w14:textFill>
        </w:rPr>
        <w:t>3000</w:t>
      </w:r>
      <w:r>
        <w:rPr>
          <w:rFonts w:hint="eastAsia" w:ascii="宋体" w:hAnsi="宋体" w:cs="宋体"/>
          <w:b/>
          <w:color w:val="000000" w:themeColor="text1"/>
          <w:sz w:val="24"/>
          <w14:textFill>
            <w14:solidFill>
              <w14:schemeClr w14:val="tx1"/>
            </w14:solidFill>
          </w14:textFill>
        </w:rPr>
        <w:t>套中标人应在2025年8月25日前供货。</w:t>
      </w:r>
    </w:p>
    <w:p w14:paraId="54AD900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(2)交货地点：采购人指定地点内（全区各义务段公办学校）。</w:t>
      </w:r>
    </w:p>
    <w:p w14:paraId="217B89A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(3)中标人提供的中标物品，必须符合本采购文件要求、原包装送达采购单位；如有不符，采购人可以无条件退货，所造成的损失由中标人承担。更换后的零部件质保期按更换日起顺延。</w:t>
      </w:r>
    </w:p>
    <w:p w14:paraId="1B5BAF9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2.2质保期及售后技术服务要求          </w:t>
      </w:r>
    </w:p>
    <w:p w14:paraId="276C2659">
      <w:pPr>
        <w:spacing w:line="360" w:lineRule="auto"/>
        <w:ind w:firstLine="120" w:firstLineChars="50"/>
        <w:rPr>
          <w:rFonts w:ascii="宋体" w:hAnsi="宋体" w:cs="宋体"/>
          <w:color w:val="000000" w:themeColor="text1"/>
          <w:sz w:val="24"/>
          <w14:textFill>
            <w14:solidFill>
              <w14:schemeClr w14:val="tx1"/>
            </w14:solidFill>
          </w14:textFill>
        </w:rPr>
      </w:pPr>
      <w:r>
        <w:rPr>
          <w:rFonts w:hint="eastAsia" w:ascii="宋体" w:hAnsi="宋体" w:cs="宋体"/>
          <w:b/>
          <w:snapToGrid w:val="0"/>
          <w:color w:val="000000" w:themeColor="text1"/>
          <w:kern w:val="28"/>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(1)质保期：</w:t>
      </w:r>
      <w:r>
        <w:rPr>
          <w:rFonts w:hint="eastAsia" w:ascii="宋体" w:hAnsi="宋体" w:cs="宋体"/>
          <w:color w:val="000000" w:themeColor="text1"/>
          <w:sz w:val="24"/>
          <w14:textFill>
            <w14:solidFill>
              <w14:schemeClr w14:val="tx1"/>
            </w14:solidFill>
          </w14:textFill>
        </w:rPr>
        <w:t>本项目质保期为一个月。</w:t>
      </w:r>
    </w:p>
    <w:p w14:paraId="7B07ECC9">
      <w:pPr>
        <w:snapToGrid w:val="0"/>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2.3项目实施计划</w:t>
      </w:r>
    </w:p>
    <w:p w14:paraId="7A13CDA8">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项目实施的组织工作方案：工作时间进度表、工作程序或步骤、管理和协调方法、送货方案等。</w:t>
      </w:r>
    </w:p>
    <w:p w14:paraId="64C5A2EF">
      <w:pPr>
        <w:snapToGrid w:val="0"/>
        <w:spacing w:line="360" w:lineRule="auto"/>
        <w:ind w:firstLine="472" w:firstLineChars="196"/>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2.4付款方式</w:t>
      </w:r>
    </w:p>
    <w:p w14:paraId="0D08A33D">
      <w:pPr>
        <w:widowControl/>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snapToGrid w:val="0"/>
          <w:color w:val="000000" w:themeColor="text1"/>
          <w:kern w:val="28"/>
          <w:sz w:val="24"/>
          <w14:textFill>
            <w14:solidFill>
              <w14:schemeClr w14:val="tx1"/>
            </w14:solidFill>
          </w14:textFill>
        </w:rPr>
        <w:t>▲2.</w:t>
      </w:r>
      <w:r>
        <w:rPr>
          <w:rFonts w:hint="eastAsia" w:ascii="宋体" w:hAnsi="宋体" w:cs="宋体"/>
          <w:b/>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1、合同生效后，本项目分两次供货，付款亦分两次完成：即每次供货完成并经验收合格后支付每次供货总价的100%。</w:t>
      </w:r>
    </w:p>
    <w:p w14:paraId="1F6B0AAB">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snapToGrid w:val="0"/>
          <w:color w:val="000000" w:themeColor="text1"/>
          <w:kern w:val="28"/>
          <w:sz w:val="24"/>
          <w14:textFill>
            <w14:solidFill>
              <w14:schemeClr w14:val="tx1"/>
            </w14:solidFill>
          </w14:textFill>
        </w:rPr>
        <w:t>▲2.</w:t>
      </w:r>
      <w:r>
        <w:rPr>
          <w:rFonts w:hint="eastAsia" w:ascii="宋体" w:hAnsi="宋体" w:cs="宋体"/>
          <w:b/>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2、本项目最终实际付款金额以实际采购数量的金额为准（实际采购数量最多减少采购需求8%），投标人投标时需要作出承诺，在采购需求数量减少8%（含）之内的成本，由中标人自行承担。请各投标人报价时将成本核算在内。</w:t>
      </w:r>
    </w:p>
    <w:p w14:paraId="6884FBBD">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14:paraId="50BA75A6">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1.除标注的参考品牌外，欢迎其它能满足本项目技术需求且性能与所注品牌相当的产品参与。</w:t>
      </w:r>
    </w:p>
    <w:p w14:paraId="1C40420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2.如有附图，仅作参考。</w:t>
      </w:r>
    </w:p>
    <w:p w14:paraId="6832403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3.打</w:t>
      </w:r>
      <w:r>
        <w:rPr>
          <w:rFonts w:hint="eastAsia" w:ascii="宋体" w:hAnsi="宋体" w:cs="宋体"/>
          <w:b/>
          <w:snapToGrid w:val="0"/>
          <w:color w:val="000000" w:themeColor="text1"/>
          <w:kern w:val="28"/>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内容为实质性要求，不允许有负偏离，否则将以涉及无效投标条款作无效投标。</w:t>
      </w:r>
    </w:p>
    <w:p w14:paraId="6AD65BDD">
      <w:pPr>
        <w:snapToGri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4、中标供应商所提供的货物、服务须与投标承诺一致，不得以次充好、偷工减料，若在项目验收中发现有上述情况，将向有关部门举报，根据相关规定进行处理。</w:t>
      </w:r>
    </w:p>
    <w:p w14:paraId="3C8F1DFA">
      <w:pPr>
        <w:jc w:val="center"/>
        <w:outlineLvl w:val="0"/>
        <w:rPr>
          <w:rFonts w:ascii="宋体" w:hAnsi="宋体" w:cs="宋体"/>
          <w:b/>
          <w:color w:val="000000" w:themeColor="text1"/>
          <w:sz w:val="36"/>
          <w:szCs w:val="36"/>
          <w14:textFill>
            <w14:solidFill>
              <w14:schemeClr w14:val="tx1"/>
            </w14:solidFill>
          </w14:textFill>
        </w:rPr>
      </w:pPr>
    </w:p>
    <w:p w14:paraId="29C4D663">
      <w:pPr>
        <w:pStyle w:val="2"/>
        <w:rPr>
          <w:color w:val="000000" w:themeColor="text1"/>
          <w:lang w:val="en-US"/>
          <w14:textFill>
            <w14:solidFill>
              <w14:schemeClr w14:val="tx1"/>
            </w14:solidFill>
          </w14:textFill>
        </w:rPr>
      </w:pPr>
    </w:p>
    <w:p w14:paraId="5873F46B">
      <w:pPr>
        <w:rPr>
          <w:color w:val="000000" w:themeColor="text1"/>
          <w14:textFill>
            <w14:solidFill>
              <w14:schemeClr w14:val="tx1"/>
            </w14:solidFill>
          </w14:textFill>
        </w:rPr>
      </w:pPr>
    </w:p>
    <w:p w14:paraId="0F39CCF0">
      <w:pPr>
        <w:spacing w:line="360" w:lineRule="auto"/>
        <w:ind w:firstLine="181" w:firstLineChars="50"/>
        <w:rPr>
          <w:rFonts w:ascii="宋体" w:hAnsi="宋体" w:cs="宋体"/>
          <w:b/>
          <w:color w:val="000000" w:themeColor="text1"/>
          <w:sz w:val="36"/>
          <w:szCs w:val="36"/>
          <w14:textFill>
            <w14:solidFill>
              <w14:schemeClr w14:val="tx1"/>
            </w14:solidFill>
          </w14:textFill>
        </w:rPr>
      </w:pPr>
    </w:p>
    <w:p w14:paraId="14FCBB19">
      <w:pPr>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第四部分   </w:t>
      </w:r>
      <w:bookmarkStart w:id="28" w:name="_Toc184313279"/>
      <w:bookmarkEnd w:id="28"/>
      <w:bookmarkStart w:id="29" w:name="_Toc184313241"/>
      <w:bookmarkEnd w:id="29"/>
      <w:bookmarkStart w:id="30" w:name="_Toc184308106"/>
      <w:bookmarkEnd w:id="30"/>
      <w:bookmarkStart w:id="31" w:name="_Toc184314457"/>
      <w:bookmarkEnd w:id="31"/>
      <w:bookmarkStart w:id="32" w:name="_Toc184314415"/>
      <w:bookmarkEnd w:id="32"/>
      <w:bookmarkStart w:id="33" w:name="_Toc184310301"/>
      <w:bookmarkEnd w:id="33"/>
      <w:bookmarkStart w:id="34" w:name="_Toc184308080"/>
      <w:bookmarkEnd w:id="34"/>
      <w:bookmarkStart w:id="35" w:name="_Toc184308052"/>
      <w:bookmarkEnd w:id="35"/>
      <w:bookmarkStart w:id="36" w:name="_Toc184310284"/>
      <w:bookmarkEnd w:id="36"/>
      <w:bookmarkStart w:id="37" w:name="_Toc184312114"/>
      <w:bookmarkEnd w:id="37"/>
      <w:bookmarkStart w:id="38" w:name="_Toc184313275"/>
      <w:bookmarkEnd w:id="38"/>
      <w:bookmarkStart w:id="39" w:name="_Toc184310343"/>
      <w:bookmarkEnd w:id="39"/>
      <w:bookmarkStart w:id="40" w:name="_Toc184314474"/>
      <w:bookmarkEnd w:id="40"/>
      <w:bookmarkStart w:id="41" w:name="_Toc184312095"/>
      <w:bookmarkEnd w:id="41"/>
      <w:bookmarkStart w:id="42" w:name="_Toc184312105"/>
      <w:bookmarkEnd w:id="42"/>
      <w:bookmarkStart w:id="43" w:name="_Toc184310273"/>
      <w:bookmarkEnd w:id="43"/>
      <w:bookmarkStart w:id="44" w:name="_Toc184314455"/>
      <w:bookmarkEnd w:id="44"/>
      <w:bookmarkStart w:id="45" w:name="_Toc184313293"/>
      <w:bookmarkEnd w:id="45"/>
      <w:bookmarkStart w:id="46" w:name="_Toc184308050"/>
      <w:bookmarkEnd w:id="46"/>
      <w:bookmarkStart w:id="47" w:name="_Toc184314410"/>
      <w:bookmarkEnd w:id="47"/>
      <w:bookmarkStart w:id="48" w:name="_Toc184312134"/>
      <w:bookmarkEnd w:id="48"/>
      <w:bookmarkStart w:id="49" w:name="_Toc184313303"/>
      <w:bookmarkEnd w:id="49"/>
      <w:bookmarkStart w:id="50" w:name="_Toc184314454"/>
      <w:bookmarkEnd w:id="50"/>
      <w:bookmarkStart w:id="51" w:name="_Toc184312131"/>
      <w:bookmarkEnd w:id="51"/>
      <w:bookmarkStart w:id="52" w:name="_Toc184310299"/>
      <w:bookmarkEnd w:id="52"/>
      <w:bookmarkStart w:id="53" w:name="_Toc184313269"/>
      <w:bookmarkEnd w:id="53"/>
      <w:bookmarkStart w:id="54" w:name="_Toc184310334"/>
      <w:bookmarkEnd w:id="54"/>
      <w:bookmarkStart w:id="55" w:name="_Toc184314436"/>
      <w:bookmarkEnd w:id="55"/>
      <w:bookmarkStart w:id="56" w:name="_Toc184313270"/>
      <w:bookmarkEnd w:id="56"/>
      <w:bookmarkStart w:id="57" w:name="_Toc184308081"/>
      <w:bookmarkEnd w:id="57"/>
      <w:bookmarkStart w:id="58" w:name="_Toc184308067"/>
      <w:bookmarkEnd w:id="58"/>
      <w:bookmarkStart w:id="59" w:name="_Toc184312120"/>
      <w:bookmarkEnd w:id="59"/>
      <w:bookmarkStart w:id="60" w:name="_Toc184310324"/>
      <w:bookmarkEnd w:id="60"/>
      <w:bookmarkStart w:id="61" w:name="_Toc184313259"/>
      <w:bookmarkEnd w:id="61"/>
      <w:bookmarkStart w:id="62" w:name="_Toc184313282"/>
      <w:bookmarkEnd w:id="62"/>
      <w:bookmarkStart w:id="63" w:name="_Toc184308037"/>
      <w:bookmarkEnd w:id="63"/>
      <w:bookmarkStart w:id="64" w:name="_Toc184308103"/>
      <w:bookmarkEnd w:id="64"/>
      <w:bookmarkStart w:id="65" w:name="_Toc184314421"/>
      <w:bookmarkEnd w:id="65"/>
      <w:bookmarkStart w:id="66" w:name="_Toc184314420"/>
      <w:bookmarkEnd w:id="66"/>
      <w:bookmarkStart w:id="67" w:name="_Toc184314462"/>
      <w:bookmarkEnd w:id="67"/>
      <w:bookmarkStart w:id="68" w:name="_Toc184313261"/>
      <w:bookmarkEnd w:id="68"/>
      <w:bookmarkStart w:id="69" w:name="_Toc184308042"/>
      <w:bookmarkEnd w:id="69"/>
      <w:bookmarkStart w:id="70" w:name="_Toc184310286"/>
      <w:bookmarkEnd w:id="70"/>
      <w:bookmarkStart w:id="71" w:name="_Toc184313301"/>
      <w:bookmarkEnd w:id="71"/>
      <w:bookmarkStart w:id="72" w:name="_Toc184308072"/>
      <w:bookmarkEnd w:id="72"/>
      <w:bookmarkStart w:id="73" w:name="_Toc184314449"/>
      <w:bookmarkEnd w:id="73"/>
      <w:bookmarkStart w:id="74" w:name="_Toc184308100"/>
      <w:bookmarkEnd w:id="74"/>
      <w:bookmarkStart w:id="75" w:name="_Toc184310340"/>
      <w:bookmarkEnd w:id="75"/>
      <w:bookmarkStart w:id="76" w:name="_Toc184310281"/>
      <w:bookmarkEnd w:id="76"/>
      <w:bookmarkStart w:id="77" w:name="_Toc184308070"/>
      <w:bookmarkEnd w:id="77"/>
      <w:bookmarkStart w:id="78" w:name="_Toc184314434"/>
      <w:bookmarkEnd w:id="78"/>
      <w:bookmarkStart w:id="79" w:name="_Toc184314441"/>
      <w:bookmarkEnd w:id="79"/>
      <w:bookmarkStart w:id="80" w:name="_Toc184314427"/>
      <w:bookmarkEnd w:id="80"/>
      <w:bookmarkStart w:id="81" w:name="_Toc184310326"/>
      <w:bookmarkEnd w:id="81"/>
      <w:bookmarkStart w:id="82" w:name="_Toc184312139"/>
      <w:bookmarkEnd w:id="82"/>
      <w:bookmarkStart w:id="83" w:name="_Toc184314432"/>
      <w:bookmarkEnd w:id="83"/>
      <w:bookmarkStart w:id="84" w:name="_Toc184308083"/>
      <w:bookmarkEnd w:id="84"/>
      <w:bookmarkStart w:id="85" w:name="_Toc184314447"/>
      <w:bookmarkEnd w:id="85"/>
      <w:bookmarkStart w:id="86" w:name="_Toc184312085"/>
      <w:bookmarkEnd w:id="86"/>
      <w:bookmarkStart w:id="87" w:name="_Toc184314450"/>
      <w:bookmarkEnd w:id="87"/>
      <w:bookmarkStart w:id="88" w:name="_Toc184312123"/>
      <w:bookmarkEnd w:id="88"/>
      <w:bookmarkStart w:id="89" w:name="_Toc184308084"/>
      <w:bookmarkEnd w:id="89"/>
      <w:bookmarkStart w:id="90" w:name="_Toc184310318"/>
      <w:bookmarkEnd w:id="90"/>
      <w:bookmarkStart w:id="91" w:name="_Toc184313297"/>
      <w:bookmarkEnd w:id="91"/>
      <w:bookmarkStart w:id="92" w:name="_Toc184310285"/>
      <w:bookmarkEnd w:id="92"/>
      <w:bookmarkStart w:id="93" w:name="_Toc184314451"/>
      <w:bookmarkEnd w:id="93"/>
      <w:bookmarkStart w:id="94" w:name="_Toc184308089"/>
      <w:bookmarkEnd w:id="94"/>
      <w:bookmarkStart w:id="95" w:name="_Toc184308058"/>
      <w:bookmarkEnd w:id="95"/>
      <w:bookmarkStart w:id="96" w:name="_Toc184313289"/>
      <w:bookmarkEnd w:id="96"/>
      <w:bookmarkStart w:id="97" w:name="_Toc184314465"/>
      <w:bookmarkEnd w:id="97"/>
      <w:bookmarkStart w:id="98" w:name="_Toc184310329"/>
      <w:bookmarkEnd w:id="98"/>
      <w:bookmarkStart w:id="99" w:name="_Toc184308059"/>
      <w:bookmarkEnd w:id="99"/>
      <w:bookmarkStart w:id="100" w:name="_Toc184314426"/>
      <w:bookmarkEnd w:id="100"/>
      <w:bookmarkStart w:id="101" w:name="_Toc184308082"/>
      <w:bookmarkEnd w:id="101"/>
      <w:bookmarkStart w:id="102" w:name="_Toc184314466"/>
      <w:bookmarkEnd w:id="102"/>
      <w:bookmarkStart w:id="103" w:name="_Toc184308101"/>
      <w:bookmarkEnd w:id="103"/>
      <w:bookmarkStart w:id="104" w:name="_Toc184313242"/>
      <w:bookmarkEnd w:id="104"/>
      <w:bookmarkStart w:id="105" w:name="_Toc184313247"/>
      <w:bookmarkEnd w:id="105"/>
      <w:bookmarkStart w:id="106" w:name="_Toc184308040"/>
      <w:bookmarkEnd w:id="106"/>
      <w:bookmarkStart w:id="107" w:name="_Toc184310313"/>
      <w:bookmarkEnd w:id="107"/>
      <w:bookmarkStart w:id="108" w:name="_Toc184312083"/>
      <w:bookmarkEnd w:id="108"/>
      <w:bookmarkStart w:id="109" w:name="_Toc184314460"/>
      <w:bookmarkEnd w:id="109"/>
      <w:bookmarkStart w:id="110" w:name="_Toc184312117"/>
      <w:bookmarkEnd w:id="110"/>
      <w:bookmarkStart w:id="111" w:name="_Toc184308099"/>
      <w:bookmarkEnd w:id="111"/>
      <w:bookmarkStart w:id="112" w:name="_Toc184312098"/>
      <w:bookmarkEnd w:id="112"/>
      <w:bookmarkStart w:id="113" w:name="_Toc184310325"/>
      <w:bookmarkEnd w:id="113"/>
      <w:bookmarkStart w:id="114" w:name="_Toc184312104"/>
      <w:bookmarkEnd w:id="114"/>
      <w:bookmarkStart w:id="115" w:name="_Toc184313244"/>
      <w:bookmarkEnd w:id="115"/>
      <w:bookmarkStart w:id="116" w:name="_Toc184310336"/>
      <w:bookmarkEnd w:id="116"/>
      <w:bookmarkStart w:id="117" w:name="_Toc184314423"/>
      <w:bookmarkEnd w:id="117"/>
      <w:bookmarkStart w:id="118" w:name="_Toc184310300"/>
      <w:bookmarkEnd w:id="118"/>
      <w:bookmarkStart w:id="119" w:name="_Toc184313252"/>
      <w:bookmarkEnd w:id="119"/>
      <w:bookmarkStart w:id="120" w:name="_Toc184312126"/>
      <w:bookmarkEnd w:id="120"/>
      <w:bookmarkStart w:id="121" w:name="_Toc184313253"/>
      <w:bookmarkEnd w:id="121"/>
      <w:bookmarkStart w:id="122" w:name="_Toc184313300"/>
      <w:bookmarkEnd w:id="122"/>
      <w:bookmarkStart w:id="123" w:name="_Toc184313258"/>
      <w:bookmarkEnd w:id="123"/>
      <w:bookmarkStart w:id="124" w:name="_Toc184314411"/>
      <w:bookmarkEnd w:id="124"/>
      <w:bookmarkStart w:id="125" w:name="_Toc184313248"/>
      <w:bookmarkEnd w:id="125"/>
      <w:bookmarkStart w:id="126" w:name="_Toc184314416"/>
      <w:bookmarkEnd w:id="126"/>
      <w:bookmarkStart w:id="127" w:name="_Toc184314430"/>
      <w:bookmarkEnd w:id="127"/>
      <w:bookmarkStart w:id="128" w:name="_Toc184314435"/>
      <w:bookmarkEnd w:id="128"/>
      <w:bookmarkStart w:id="129" w:name="_Toc184308091"/>
      <w:bookmarkEnd w:id="129"/>
      <w:bookmarkStart w:id="130" w:name="_Toc184308077"/>
      <w:bookmarkEnd w:id="130"/>
      <w:bookmarkStart w:id="131" w:name="_Toc184308108"/>
      <w:bookmarkEnd w:id="131"/>
      <w:bookmarkStart w:id="132" w:name="_Toc184314463"/>
      <w:bookmarkEnd w:id="132"/>
      <w:bookmarkStart w:id="133" w:name="_Toc184313292"/>
      <w:bookmarkEnd w:id="133"/>
      <w:bookmarkStart w:id="134" w:name="_Toc184310337"/>
      <w:bookmarkEnd w:id="134"/>
      <w:bookmarkStart w:id="135" w:name="_Toc184313280"/>
      <w:bookmarkEnd w:id="135"/>
      <w:bookmarkStart w:id="136" w:name="_Toc184308039"/>
      <w:bookmarkEnd w:id="136"/>
      <w:bookmarkStart w:id="137" w:name="_Toc184313277"/>
      <w:bookmarkEnd w:id="137"/>
      <w:bookmarkStart w:id="138" w:name="_Toc184313272"/>
      <w:bookmarkEnd w:id="138"/>
      <w:bookmarkStart w:id="139" w:name="_Toc184310302"/>
      <w:bookmarkEnd w:id="139"/>
      <w:bookmarkStart w:id="140" w:name="_Toc184313271"/>
      <w:bookmarkEnd w:id="140"/>
      <w:bookmarkStart w:id="141" w:name="_Toc184313250"/>
      <w:bookmarkEnd w:id="141"/>
      <w:bookmarkStart w:id="142" w:name="_Toc184308078"/>
      <w:bookmarkEnd w:id="142"/>
      <w:bookmarkStart w:id="143" w:name="_Toc184313294"/>
      <w:bookmarkEnd w:id="143"/>
      <w:bookmarkStart w:id="144" w:name="_Toc184310319"/>
      <w:bookmarkEnd w:id="144"/>
      <w:bookmarkStart w:id="145" w:name="_Toc184312084"/>
      <w:bookmarkEnd w:id="145"/>
      <w:bookmarkStart w:id="146" w:name="_Toc184313268"/>
      <w:bookmarkEnd w:id="146"/>
      <w:bookmarkStart w:id="147" w:name="_Toc184312082"/>
      <w:bookmarkEnd w:id="147"/>
      <w:bookmarkStart w:id="148" w:name="_Toc184314482"/>
      <w:bookmarkEnd w:id="148"/>
      <w:bookmarkStart w:id="149" w:name="_Toc184312116"/>
      <w:bookmarkEnd w:id="149"/>
      <w:bookmarkStart w:id="150" w:name="_Toc184313243"/>
      <w:bookmarkEnd w:id="150"/>
      <w:bookmarkStart w:id="151" w:name="_Toc184312119"/>
      <w:bookmarkEnd w:id="151"/>
      <w:bookmarkStart w:id="152" w:name="_Toc184313295"/>
      <w:bookmarkEnd w:id="152"/>
      <w:bookmarkStart w:id="153" w:name="_Toc184312070"/>
      <w:bookmarkEnd w:id="153"/>
      <w:bookmarkStart w:id="154" w:name="_Toc184314477"/>
      <w:bookmarkEnd w:id="154"/>
      <w:bookmarkStart w:id="155" w:name="_Toc184313286"/>
      <w:bookmarkEnd w:id="155"/>
      <w:bookmarkStart w:id="156" w:name="_Toc184312072"/>
      <w:bookmarkEnd w:id="156"/>
      <w:bookmarkStart w:id="157" w:name="_Toc184314422"/>
      <w:bookmarkEnd w:id="157"/>
      <w:bookmarkStart w:id="158" w:name="_Toc184310320"/>
      <w:bookmarkEnd w:id="158"/>
      <w:bookmarkStart w:id="159" w:name="_Toc184312106"/>
      <w:bookmarkEnd w:id="159"/>
      <w:bookmarkStart w:id="160" w:name="_Toc184310339"/>
      <w:bookmarkEnd w:id="160"/>
      <w:bookmarkStart w:id="161" w:name="_Toc184313288"/>
      <w:bookmarkEnd w:id="161"/>
      <w:bookmarkStart w:id="162" w:name="_Toc184312086"/>
      <w:bookmarkEnd w:id="162"/>
      <w:bookmarkStart w:id="163" w:name="_Toc184313306"/>
      <w:bookmarkEnd w:id="163"/>
      <w:bookmarkStart w:id="164" w:name="_Toc184310298"/>
      <w:bookmarkEnd w:id="164"/>
      <w:bookmarkStart w:id="165" w:name="_Toc184308107"/>
      <w:bookmarkEnd w:id="165"/>
      <w:bookmarkStart w:id="166" w:name="_Toc184314458"/>
      <w:bookmarkEnd w:id="166"/>
      <w:bookmarkStart w:id="167" w:name="_Toc184313307"/>
      <w:bookmarkEnd w:id="167"/>
      <w:bookmarkStart w:id="168" w:name="_Toc184312135"/>
      <w:bookmarkEnd w:id="168"/>
      <w:bookmarkStart w:id="169" w:name="_Toc184310308"/>
      <w:bookmarkEnd w:id="169"/>
      <w:bookmarkStart w:id="170" w:name="_Toc184312080"/>
      <w:bookmarkEnd w:id="170"/>
      <w:bookmarkStart w:id="171" w:name="_Toc184312078"/>
      <w:bookmarkEnd w:id="171"/>
      <w:bookmarkStart w:id="172" w:name="_Toc184313255"/>
      <w:bookmarkEnd w:id="172"/>
      <w:bookmarkStart w:id="173" w:name="_Toc184314471"/>
      <w:bookmarkEnd w:id="173"/>
      <w:bookmarkStart w:id="174" w:name="_Toc184312075"/>
      <w:bookmarkEnd w:id="174"/>
      <w:bookmarkStart w:id="175" w:name="_Toc184310288"/>
      <w:bookmarkEnd w:id="175"/>
      <w:bookmarkStart w:id="176" w:name="_Toc184308085"/>
      <w:bookmarkEnd w:id="176"/>
      <w:bookmarkStart w:id="177" w:name="_Toc184310315"/>
      <w:bookmarkEnd w:id="177"/>
      <w:bookmarkStart w:id="178" w:name="_Toc184308076"/>
      <w:bookmarkEnd w:id="178"/>
      <w:bookmarkStart w:id="179" w:name="_Toc184308097"/>
      <w:bookmarkEnd w:id="179"/>
      <w:bookmarkStart w:id="180" w:name="_Toc184308051"/>
      <w:bookmarkEnd w:id="180"/>
      <w:bookmarkStart w:id="181" w:name="_Toc184308096"/>
      <w:bookmarkEnd w:id="181"/>
      <w:bookmarkStart w:id="182" w:name="_Toc184313265"/>
      <w:bookmarkEnd w:id="182"/>
      <w:bookmarkStart w:id="183" w:name="_Toc184310291"/>
      <w:bookmarkEnd w:id="183"/>
      <w:bookmarkStart w:id="184" w:name="_Toc184308071"/>
      <w:bookmarkEnd w:id="184"/>
      <w:bookmarkStart w:id="185" w:name="_Toc184312092"/>
      <w:bookmarkEnd w:id="185"/>
      <w:bookmarkStart w:id="186" w:name="_Toc184310321"/>
      <w:bookmarkEnd w:id="186"/>
      <w:bookmarkStart w:id="187" w:name="_Toc184313302"/>
      <w:bookmarkEnd w:id="187"/>
      <w:bookmarkStart w:id="188" w:name="_Toc184312111"/>
      <w:bookmarkEnd w:id="188"/>
      <w:bookmarkStart w:id="189" w:name="_Toc184313238"/>
      <w:bookmarkEnd w:id="189"/>
      <w:bookmarkStart w:id="190" w:name="_Toc184312096"/>
      <w:bookmarkEnd w:id="190"/>
      <w:bookmarkStart w:id="191" w:name="_Toc184308043"/>
      <w:bookmarkEnd w:id="191"/>
      <w:bookmarkStart w:id="192" w:name="_Toc184310312"/>
      <w:bookmarkEnd w:id="192"/>
      <w:bookmarkStart w:id="193" w:name="_Toc184312099"/>
      <w:bookmarkEnd w:id="193"/>
      <w:bookmarkStart w:id="194" w:name="_Toc184310297"/>
      <w:bookmarkEnd w:id="194"/>
      <w:bookmarkStart w:id="195" w:name="_Toc184314440"/>
      <w:bookmarkEnd w:id="195"/>
      <w:bookmarkStart w:id="196" w:name="_Toc184310287"/>
      <w:bookmarkEnd w:id="196"/>
      <w:bookmarkStart w:id="197" w:name="_Toc184310323"/>
      <w:bookmarkEnd w:id="197"/>
      <w:bookmarkStart w:id="198" w:name="_Toc184310272"/>
      <w:bookmarkEnd w:id="198"/>
      <w:bookmarkStart w:id="199" w:name="_Toc184310333"/>
      <w:bookmarkEnd w:id="199"/>
      <w:bookmarkStart w:id="200" w:name="_Toc184313296"/>
      <w:bookmarkEnd w:id="200"/>
      <w:bookmarkStart w:id="201" w:name="_Toc184314419"/>
      <w:bookmarkEnd w:id="201"/>
      <w:bookmarkStart w:id="202" w:name="_Toc184313299"/>
      <w:bookmarkEnd w:id="202"/>
      <w:bookmarkStart w:id="203" w:name="_Toc184313284"/>
      <w:bookmarkEnd w:id="203"/>
      <w:bookmarkStart w:id="204" w:name="_Toc184308060"/>
      <w:bookmarkEnd w:id="204"/>
      <w:bookmarkStart w:id="205" w:name="_Toc184310327"/>
      <w:bookmarkEnd w:id="205"/>
      <w:bookmarkStart w:id="206" w:name="_Toc184314445"/>
      <w:bookmarkEnd w:id="206"/>
      <w:bookmarkStart w:id="207" w:name="_Toc184312137"/>
      <w:bookmarkEnd w:id="207"/>
      <w:bookmarkStart w:id="208" w:name="_Toc184308094"/>
      <w:bookmarkEnd w:id="208"/>
      <w:bookmarkStart w:id="209" w:name="_Toc184313308"/>
      <w:bookmarkEnd w:id="209"/>
      <w:bookmarkStart w:id="210" w:name="_Toc184312125"/>
      <w:bookmarkEnd w:id="210"/>
      <w:bookmarkStart w:id="211" w:name="_Toc184312074"/>
      <w:bookmarkEnd w:id="211"/>
      <w:bookmarkStart w:id="212" w:name="_Toc184313287"/>
      <w:bookmarkEnd w:id="212"/>
      <w:bookmarkStart w:id="213" w:name="_Toc184310283"/>
      <w:bookmarkEnd w:id="213"/>
      <w:bookmarkStart w:id="214" w:name="_Toc184313304"/>
      <w:bookmarkEnd w:id="214"/>
      <w:bookmarkStart w:id="215" w:name="_Toc184308104"/>
      <w:bookmarkEnd w:id="215"/>
      <w:bookmarkStart w:id="216" w:name="_Toc184314443"/>
      <w:bookmarkEnd w:id="216"/>
      <w:bookmarkStart w:id="217" w:name="_Toc184310289"/>
      <w:bookmarkEnd w:id="217"/>
      <w:bookmarkStart w:id="218" w:name="_Toc184310274"/>
      <w:bookmarkEnd w:id="218"/>
      <w:bookmarkStart w:id="219" w:name="_Toc184313298"/>
      <w:bookmarkEnd w:id="219"/>
      <w:bookmarkStart w:id="220" w:name="_Toc184312136"/>
      <w:bookmarkEnd w:id="220"/>
      <w:bookmarkStart w:id="221" w:name="_Toc184310278"/>
      <w:bookmarkEnd w:id="221"/>
      <w:bookmarkStart w:id="222" w:name="_Toc184313264"/>
      <w:bookmarkEnd w:id="222"/>
      <w:bookmarkStart w:id="223" w:name="_Toc184308087"/>
      <w:bookmarkEnd w:id="223"/>
      <w:bookmarkStart w:id="224" w:name="_Toc184312130"/>
      <w:bookmarkEnd w:id="224"/>
      <w:bookmarkStart w:id="225" w:name="_Toc184314468"/>
      <w:bookmarkEnd w:id="225"/>
      <w:bookmarkStart w:id="226" w:name="_Toc184310317"/>
      <w:bookmarkEnd w:id="226"/>
      <w:bookmarkStart w:id="227" w:name="_Toc184310296"/>
      <w:bookmarkEnd w:id="227"/>
      <w:bookmarkStart w:id="228" w:name="_Toc184313257"/>
      <w:bookmarkEnd w:id="228"/>
      <w:bookmarkStart w:id="229" w:name="_Toc184314459"/>
      <w:bookmarkEnd w:id="229"/>
      <w:bookmarkStart w:id="230" w:name="_Toc184314414"/>
      <w:bookmarkEnd w:id="230"/>
      <w:bookmarkStart w:id="231" w:name="_Toc184308063"/>
      <w:bookmarkEnd w:id="231"/>
      <w:bookmarkStart w:id="232" w:name="_Toc184312127"/>
      <w:bookmarkEnd w:id="232"/>
      <w:bookmarkStart w:id="233" w:name="_Toc184314475"/>
      <w:bookmarkEnd w:id="233"/>
      <w:bookmarkStart w:id="234" w:name="_Toc184308038"/>
      <w:bookmarkEnd w:id="234"/>
      <w:bookmarkStart w:id="235" w:name="_Toc184313281"/>
      <w:bookmarkEnd w:id="235"/>
      <w:bookmarkStart w:id="236" w:name="_Toc184312107"/>
      <w:bookmarkEnd w:id="236"/>
      <w:bookmarkStart w:id="237" w:name="_Toc184312087"/>
      <w:bookmarkEnd w:id="237"/>
      <w:bookmarkStart w:id="238" w:name="_Toc184314476"/>
      <w:bookmarkEnd w:id="238"/>
      <w:bookmarkStart w:id="239" w:name="_Toc184313251"/>
      <w:bookmarkEnd w:id="239"/>
      <w:bookmarkStart w:id="240" w:name="_Toc184310331"/>
      <w:bookmarkEnd w:id="240"/>
      <w:bookmarkStart w:id="241" w:name="_Toc184308066"/>
      <w:bookmarkEnd w:id="241"/>
      <w:bookmarkStart w:id="242" w:name="_Toc184312115"/>
      <w:bookmarkEnd w:id="242"/>
      <w:bookmarkStart w:id="243" w:name="_Toc184312073"/>
      <w:bookmarkEnd w:id="243"/>
      <w:bookmarkStart w:id="244" w:name="_Toc184308056"/>
      <w:bookmarkEnd w:id="244"/>
      <w:bookmarkStart w:id="245" w:name="_Toc184312138"/>
      <w:bookmarkEnd w:id="245"/>
      <w:bookmarkStart w:id="246" w:name="_Toc184312077"/>
      <w:bookmarkEnd w:id="246"/>
      <w:bookmarkStart w:id="247" w:name="_Toc184313285"/>
      <w:bookmarkEnd w:id="247"/>
      <w:bookmarkStart w:id="248" w:name="_Toc184308073"/>
      <w:bookmarkEnd w:id="248"/>
      <w:bookmarkStart w:id="249" w:name="_Toc184312067"/>
      <w:bookmarkEnd w:id="249"/>
      <w:bookmarkStart w:id="250" w:name="_Toc184312124"/>
      <w:bookmarkEnd w:id="250"/>
      <w:bookmarkStart w:id="251" w:name="_Toc184313246"/>
      <w:bookmarkEnd w:id="251"/>
      <w:bookmarkStart w:id="252" w:name="_Toc184310342"/>
      <w:bookmarkEnd w:id="252"/>
      <w:bookmarkStart w:id="253" w:name="_Toc184310335"/>
      <w:bookmarkEnd w:id="253"/>
      <w:bookmarkStart w:id="254" w:name="_Toc184308074"/>
      <w:bookmarkEnd w:id="254"/>
      <w:bookmarkStart w:id="255" w:name="_Toc184308095"/>
      <w:bookmarkEnd w:id="255"/>
      <w:bookmarkStart w:id="256" w:name="_Toc184308102"/>
      <w:bookmarkEnd w:id="256"/>
      <w:bookmarkStart w:id="257" w:name="_Toc184310305"/>
      <w:bookmarkEnd w:id="257"/>
      <w:bookmarkStart w:id="258" w:name="_Toc184308053"/>
      <w:bookmarkEnd w:id="258"/>
      <w:bookmarkStart w:id="259" w:name="_Toc184310276"/>
      <w:bookmarkEnd w:id="259"/>
      <w:bookmarkStart w:id="260" w:name="_Toc184308061"/>
      <w:bookmarkEnd w:id="260"/>
      <w:bookmarkStart w:id="261" w:name="_Toc184308086"/>
      <w:bookmarkEnd w:id="261"/>
      <w:bookmarkStart w:id="262" w:name="_Toc184308079"/>
      <w:bookmarkEnd w:id="262"/>
      <w:bookmarkStart w:id="263" w:name="_Toc184314431"/>
      <w:bookmarkEnd w:id="263"/>
      <w:bookmarkStart w:id="264" w:name="_Toc184310314"/>
      <w:bookmarkEnd w:id="264"/>
      <w:bookmarkStart w:id="265" w:name="_Toc184313283"/>
      <w:bookmarkEnd w:id="265"/>
      <w:bookmarkStart w:id="266" w:name="_Toc184313278"/>
      <w:bookmarkEnd w:id="266"/>
      <w:bookmarkStart w:id="267" w:name="_Toc184314452"/>
      <w:bookmarkEnd w:id="267"/>
      <w:bookmarkStart w:id="268" w:name="_Toc184308054"/>
      <w:bookmarkEnd w:id="268"/>
      <w:bookmarkStart w:id="269" w:name="_Toc184314428"/>
      <w:bookmarkEnd w:id="269"/>
      <w:bookmarkStart w:id="270" w:name="_Toc184310344"/>
      <w:bookmarkEnd w:id="270"/>
      <w:bookmarkStart w:id="271" w:name="_Toc184308093"/>
      <w:bookmarkEnd w:id="271"/>
      <w:bookmarkStart w:id="272" w:name="_Toc184313274"/>
      <w:bookmarkEnd w:id="272"/>
      <w:bookmarkStart w:id="273" w:name="_Toc184310282"/>
      <w:bookmarkEnd w:id="273"/>
      <w:bookmarkStart w:id="274" w:name="_Toc184312089"/>
      <w:bookmarkEnd w:id="274"/>
      <w:bookmarkStart w:id="275" w:name="_Toc184312110"/>
      <w:bookmarkEnd w:id="275"/>
      <w:bookmarkStart w:id="276" w:name="_Toc184312112"/>
      <w:bookmarkEnd w:id="276"/>
      <w:bookmarkStart w:id="277" w:name="_Toc184314467"/>
      <w:bookmarkEnd w:id="277"/>
      <w:bookmarkStart w:id="278" w:name="_Toc184312094"/>
      <w:bookmarkEnd w:id="278"/>
      <w:bookmarkStart w:id="279" w:name="_Toc184310310"/>
      <w:bookmarkEnd w:id="279"/>
      <w:bookmarkStart w:id="280" w:name="_Toc184308064"/>
      <w:bookmarkEnd w:id="280"/>
      <w:bookmarkStart w:id="281" w:name="_Toc184313249"/>
      <w:bookmarkEnd w:id="281"/>
      <w:bookmarkStart w:id="282" w:name="_Toc184308055"/>
      <w:bookmarkEnd w:id="282"/>
      <w:bookmarkStart w:id="283" w:name="_Toc184314424"/>
      <w:bookmarkEnd w:id="283"/>
      <w:bookmarkStart w:id="284" w:name="_Toc184308068"/>
      <w:bookmarkEnd w:id="284"/>
      <w:bookmarkStart w:id="285" w:name="_Toc184310295"/>
      <w:bookmarkEnd w:id="285"/>
      <w:bookmarkStart w:id="286" w:name="_Toc184310290"/>
      <w:bookmarkEnd w:id="286"/>
      <w:bookmarkStart w:id="287" w:name="_Toc184314412"/>
      <w:bookmarkEnd w:id="287"/>
      <w:bookmarkStart w:id="288" w:name="_Toc184308046"/>
      <w:bookmarkEnd w:id="288"/>
      <w:bookmarkStart w:id="289" w:name="_Toc184312113"/>
      <w:bookmarkEnd w:id="289"/>
      <w:bookmarkStart w:id="290" w:name="_Toc184314417"/>
      <w:bookmarkEnd w:id="290"/>
      <w:bookmarkStart w:id="291" w:name="_Toc184310279"/>
      <w:bookmarkEnd w:id="291"/>
      <w:bookmarkStart w:id="292" w:name="_Toc184312109"/>
      <w:bookmarkEnd w:id="292"/>
      <w:bookmarkStart w:id="293" w:name="_Toc184314438"/>
      <w:bookmarkEnd w:id="293"/>
      <w:bookmarkStart w:id="294" w:name="_Toc184310294"/>
      <w:bookmarkEnd w:id="294"/>
      <w:bookmarkStart w:id="295" w:name="_Toc184314439"/>
      <w:bookmarkEnd w:id="295"/>
      <w:bookmarkStart w:id="296" w:name="_Toc184310277"/>
      <w:bookmarkEnd w:id="296"/>
      <w:bookmarkStart w:id="297" w:name="_Toc184308098"/>
      <w:bookmarkEnd w:id="297"/>
      <w:bookmarkStart w:id="298" w:name="_Toc184308044"/>
      <w:bookmarkEnd w:id="298"/>
      <w:bookmarkStart w:id="299" w:name="_Toc184313254"/>
      <w:bookmarkEnd w:id="299"/>
      <w:bookmarkStart w:id="300" w:name="_Toc184314444"/>
      <w:bookmarkEnd w:id="300"/>
      <w:bookmarkStart w:id="301" w:name="_Toc184310293"/>
      <w:bookmarkEnd w:id="301"/>
      <w:bookmarkStart w:id="302" w:name="_Toc184308048"/>
      <w:bookmarkEnd w:id="302"/>
      <w:bookmarkStart w:id="303" w:name="_Toc184313263"/>
      <w:bookmarkEnd w:id="303"/>
      <w:bookmarkStart w:id="304" w:name="_Toc184312133"/>
      <w:bookmarkEnd w:id="304"/>
      <w:bookmarkStart w:id="305" w:name="_Toc184314429"/>
      <w:bookmarkEnd w:id="305"/>
      <w:bookmarkStart w:id="306" w:name="_Toc184312090"/>
      <w:bookmarkEnd w:id="306"/>
      <w:bookmarkStart w:id="307" w:name="_Toc184313267"/>
      <w:bookmarkEnd w:id="307"/>
      <w:bookmarkStart w:id="308" w:name="_Toc184308069"/>
      <w:bookmarkEnd w:id="308"/>
      <w:bookmarkStart w:id="309" w:name="_Toc184312101"/>
      <w:bookmarkEnd w:id="309"/>
      <w:bookmarkStart w:id="310" w:name="_Toc184310303"/>
      <w:bookmarkEnd w:id="310"/>
      <w:bookmarkStart w:id="311" w:name="_Toc184314473"/>
      <w:bookmarkEnd w:id="311"/>
      <w:bookmarkStart w:id="312" w:name="_Toc184310309"/>
      <w:bookmarkEnd w:id="312"/>
      <w:bookmarkStart w:id="313" w:name="_Toc184314413"/>
      <w:bookmarkEnd w:id="313"/>
      <w:bookmarkStart w:id="314" w:name="_Toc184314469"/>
      <w:bookmarkEnd w:id="314"/>
      <w:bookmarkStart w:id="315" w:name="_Toc184310280"/>
      <w:bookmarkEnd w:id="315"/>
      <w:bookmarkStart w:id="316" w:name="_Toc184313266"/>
      <w:bookmarkEnd w:id="316"/>
      <w:bookmarkStart w:id="317" w:name="_Toc184310330"/>
      <w:bookmarkEnd w:id="317"/>
      <w:bookmarkStart w:id="318" w:name="_Toc184310338"/>
      <w:bookmarkEnd w:id="318"/>
      <w:bookmarkStart w:id="319" w:name="_Toc184312081"/>
      <w:bookmarkEnd w:id="319"/>
      <w:bookmarkStart w:id="320" w:name="_Toc184313256"/>
      <w:bookmarkEnd w:id="320"/>
      <w:bookmarkStart w:id="321" w:name="_Toc184314470"/>
      <w:bookmarkEnd w:id="321"/>
      <w:bookmarkStart w:id="322" w:name="_Toc184314464"/>
      <w:bookmarkEnd w:id="322"/>
      <w:bookmarkStart w:id="323" w:name="_Toc184314446"/>
      <w:bookmarkEnd w:id="323"/>
      <w:bookmarkStart w:id="324" w:name="_Toc184313239"/>
      <w:bookmarkEnd w:id="324"/>
      <w:bookmarkStart w:id="325" w:name="_Toc184313276"/>
      <w:bookmarkEnd w:id="325"/>
      <w:bookmarkStart w:id="326" w:name="_Toc184312122"/>
      <w:bookmarkEnd w:id="326"/>
      <w:bookmarkStart w:id="327" w:name="_Toc184312108"/>
      <w:bookmarkEnd w:id="327"/>
      <w:bookmarkStart w:id="328" w:name="_Toc184313245"/>
      <w:bookmarkEnd w:id="328"/>
      <w:bookmarkStart w:id="329" w:name="_Toc184313240"/>
      <w:bookmarkEnd w:id="329"/>
      <w:bookmarkStart w:id="330" w:name="_Toc184310332"/>
      <w:bookmarkEnd w:id="330"/>
      <w:bookmarkStart w:id="331" w:name="_Toc184314437"/>
      <w:bookmarkEnd w:id="331"/>
      <w:bookmarkStart w:id="332" w:name="_Toc184313290"/>
      <w:bookmarkEnd w:id="332"/>
      <w:bookmarkStart w:id="333" w:name="_Toc184310304"/>
      <w:bookmarkEnd w:id="333"/>
      <w:bookmarkStart w:id="334" w:name="_Toc184308090"/>
      <w:bookmarkEnd w:id="334"/>
      <w:bookmarkStart w:id="335" w:name="_Toc184313291"/>
      <w:bookmarkEnd w:id="335"/>
      <w:bookmarkStart w:id="336" w:name="_Toc184314456"/>
      <w:bookmarkEnd w:id="336"/>
      <w:bookmarkStart w:id="337" w:name="_Toc184313309"/>
      <w:bookmarkEnd w:id="337"/>
      <w:bookmarkStart w:id="338" w:name="_Toc184313260"/>
      <w:bookmarkEnd w:id="338"/>
      <w:bookmarkStart w:id="339" w:name="_Toc184314418"/>
      <w:bookmarkEnd w:id="339"/>
      <w:bookmarkStart w:id="340" w:name="_Toc184308088"/>
      <w:bookmarkEnd w:id="340"/>
      <w:bookmarkStart w:id="341" w:name="_Toc184313305"/>
      <w:bookmarkEnd w:id="341"/>
      <w:bookmarkStart w:id="342" w:name="_Toc184308057"/>
      <w:bookmarkEnd w:id="342"/>
      <w:bookmarkStart w:id="343" w:name="_Toc184312100"/>
      <w:bookmarkEnd w:id="343"/>
      <w:bookmarkStart w:id="344" w:name="_Toc184310307"/>
      <w:bookmarkEnd w:id="344"/>
      <w:bookmarkStart w:id="345" w:name="_Toc184313273"/>
      <w:bookmarkEnd w:id="345"/>
      <w:bookmarkStart w:id="346" w:name="_Toc184310275"/>
      <w:bookmarkEnd w:id="346"/>
      <w:bookmarkStart w:id="347" w:name="_Toc184308092"/>
      <w:bookmarkEnd w:id="347"/>
      <w:bookmarkStart w:id="348" w:name="_Toc184312088"/>
      <w:bookmarkEnd w:id="348"/>
      <w:bookmarkStart w:id="349" w:name="_Toc184310322"/>
      <w:bookmarkEnd w:id="349"/>
      <w:bookmarkStart w:id="350" w:name="_Toc184310316"/>
      <w:bookmarkEnd w:id="350"/>
      <w:bookmarkStart w:id="351" w:name="_Toc184312103"/>
      <w:bookmarkEnd w:id="351"/>
      <w:bookmarkStart w:id="352" w:name="_Toc184314472"/>
      <w:bookmarkEnd w:id="352"/>
      <w:bookmarkStart w:id="353" w:name="_Toc184308036"/>
      <w:bookmarkEnd w:id="353"/>
      <w:bookmarkStart w:id="354" w:name="_Toc184312121"/>
      <w:bookmarkEnd w:id="354"/>
      <w:bookmarkStart w:id="355" w:name="_Toc184314478"/>
      <w:bookmarkEnd w:id="355"/>
      <w:bookmarkStart w:id="356" w:name="_Toc184312118"/>
      <w:bookmarkEnd w:id="356"/>
      <w:bookmarkStart w:id="357" w:name="_Toc184314480"/>
      <w:bookmarkEnd w:id="357"/>
      <w:bookmarkStart w:id="358" w:name="_Toc184312068"/>
      <w:bookmarkEnd w:id="358"/>
      <w:bookmarkStart w:id="359" w:name="_Toc184312097"/>
      <w:bookmarkEnd w:id="359"/>
      <w:bookmarkStart w:id="360" w:name="_Toc184310328"/>
      <w:bookmarkEnd w:id="360"/>
      <w:bookmarkStart w:id="361" w:name="_Toc184314442"/>
      <w:bookmarkEnd w:id="361"/>
      <w:bookmarkStart w:id="362" w:name="_Toc184310341"/>
      <w:bookmarkEnd w:id="362"/>
      <w:bookmarkStart w:id="363" w:name="_Toc184308041"/>
      <w:bookmarkEnd w:id="363"/>
      <w:bookmarkStart w:id="364" w:name="_Toc184308047"/>
      <w:bookmarkEnd w:id="364"/>
      <w:bookmarkStart w:id="365" w:name="_Toc184314453"/>
      <w:bookmarkEnd w:id="365"/>
      <w:bookmarkStart w:id="366" w:name="_Toc184312076"/>
      <w:bookmarkEnd w:id="366"/>
      <w:bookmarkStart w:id="367" w:name="_Toc184314481"/>
      <w:bookmarkEnd w:id="367"/>
      <w:bookmarkStart w:id="368" w:name="_Toc184310292"/>
      <w:bookmarkEnd w:id="368"/>
      <w:bookmarkStart w:id="369" w:name="_Toc184312093"/>
      <w:bookmarkEnd w:id="369"/>
      <w:bookmarkStart w:id="370" w:name="_Toc184314479"/>
      <w:bookmarkEnd w:id="370"/>
      <w:bookmarkStart w:id="371" w:name="_Toc184313310"/>
      <w:bookmarkEnd w:id="371"/>
      <w:bookmarkStart w:id="372" w:name="_Toc184312132"/>
      <w:bookmarkEnd w:id="372"/>
      <w:bookmarkStart w:id="373" w:name="_Toc184314425"/>
      <w:bookmarkEnd w:id="373"/>
      <w:bookmarkStart w:id="374" w:name="_Toc184312091"/>
      <w:bookmarkEnd w:id="374"/>
      <w:bookmarkStart w:id="375" w:name="_Toc184308045"/>
      <w:bookmarkEnd w:id="375"/>
      <w:bookmarkStart w:id="376" w:name="_Toc184314448"/>
      <w:bookmarkEnd w:id="376"/>
      <w:bookmarkStart w:id="377" w:name="_Toc184313262"/>
      <w:bookmarkEnd w:id="377"/>
      <w:bookmarkStart w:id="378" w:name="_Toc184312128"/>
      <w:bookmarkEnd w:id="378"/>
      <w:bookmarkStart w:id="379" w:name="_Toc184308075"/>
      <w:bookmarkEnd w:id="379"/>
      <w:bookmarkStart w:id="380" w:name="_Toc184314461"/>
      <w:bookmarkEnd w:id="380"/>
      <w:bookmarkStart w:id="381" w:name="_Toc184310306"/>
      <w:bookmarkEnd w:id="381"/>
      <w:bookmarkStart w:id="382" w:name="_Toc184308105"/>
      <w:bookmarkEnd w:id="382"/>
      <w:bookmarkStart w:id="383" w:name="_Toc184308049"/>
      <w:bookmarkEnd w:id="383"/>
      <w:bookmarkStart w:id="384" w:name="_Toc184314433"/>
      <w:bookmarkEnd w:id="384"/>
      <w:bookmarkStart w:id="385" w:name="_Toc184312129"/>
      <w:bookmarkEnd w:id="385"/>
      <w:bookmarkStart w:id="386" w:name="_Toc184312079"/>
      <w:bookmarkEnd w:id="386"/>
      <w:bookmarkStart w:id="387" w:name="_Toc184308062"/>
      <w:bookmarkEnd w:id="387"/>
      <w:bookmarkStart w:id="388" w:name="_Toc184308065"/>
      <w:bookmarkEnd w:id="388"/>
      <w:bookmarkStart w:id="389" w:name="_Toc184312102"/>
      <w:bookmarkEnd w:id="389"/>
      <w:bookmarkStart w:id="390" w:name="_Toc184310311"/>
      <w:bookmarkEnd w:id="390"/>
      <w:bookmarkStart w:id="391" w:name="_Toc184312069"/>
      <w:bookmarkEnd w:id="391"/>
      <w:bookmarkStart w:id="392" w:name="_Toc184312071"/>
      <w:bookmarkEnd w:id="392"/>
      <w:r>
        <w:rPr>
          <w:rFonts w:hint="eastAsia" w:ascii="宋体" w:hAnsi="宋体" w:cs="宋体"/>
          <w:b/>
          <w:color w:val="000000" w:themeColor="text1"/>
          <w:sz w:val="36"/>
          <w:szCs w:val="36"/>
          <w14:textFill>
            <w14:solidFill>
              <w14:schemeClr w14:val="tx1"/>
            </w14:solidFill>
          </w14:textFill>
        </w:rPr>
        <w:t>评标办法</w:t>
      </w:r>
    </w:p>
    <w:p w14:paraId="1535EFAF">
      <w:pPr>
        <w:snapToGrid w:val="0"/>
        <w:spacing w:line="360" w:lineRule="auto"/>
        <w:jc w:val="center"/>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评标办法前附表</w:t>
      </w:r>
    </w:p>
    <w:p w14:paraId="3EFF2CFA">
      <w:pPr>
        <w:widowControl/>
        <w:numPr>
          <w:ilvl w:val="0"/>
          <w:numId w:val="8"/>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商务资信（10分）</w:t>
      </w:r>
    </w:p>
    <w:tbl>
      <w:tblPr>
        <w:tblStyle w:val="62"/>
        <w:tblW w:w="8804" w:type="dxa"/>
        <w:tblInd w:w="0" w:type="dxa"/>
        <w:tblLayout w:type="fixed"/>
        <w:tblCellMar>
          <w:top w:w="0" w:type="dxa"/>
          <w:left w:w="0" w:type="dxa"/>
          <w:bottom w:w="0" w:type="dxa"/>
          <w:right w:w="0" w:type="dxa"/>
        </w:tblCellMar>
      </w:tblPr>
      <w:tblGrid>
        <w:gridCol w:w="740"/>
        <w:gridCol w:w="500"/>
        <w:gridCol w:w="5863"/>
        <w:gridCol w:w="817"/>
        <w:gridCol w:w="884"/>
      </w:tblGrid>
      <w:tr w14:paraId="5A14CBF9">
        <w:tblPrEx>
          <w:tblCellMar>
            <w:top w:w="0" w:type="dxa"/>
            <w:left w:w="0" w:type="dxa"/>
            <w:bottom w:w="0" w:type="dxa"/>
            <w:right w:w="0" w:type="dxa"/>
          </w:tblCellMar>
        </w:tblPrEx>
        <w:trPr>
          <w:trHeight w:val="480" w:hRule="atLeast"/>
        </w:trPr>
        <w:tc>
          <w:tcPr>
            <w:tcW w:w="7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25BD2E0">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序号</w:t>
            </w:r>
          </w:p>
        </w:tc>
        <w:tc>
          <w:tcPr>
            <w:tcW w:w="6363"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14:paraId="5F08B8CF">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评分内容和标准</w:t>
            </w:r>
          </w:p>
        </w:tc>
        <w:tc>
          <w:tcPr>
            <w:tcW w:w="817"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40D15B9F">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分值区间</w:t>
            </w:r>
          </w:p>
        </w:tc>
        <w:tc>
          <w:tcPr>
            <w:tcW w:w="884"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7BA69971">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主客观分</w:t>
            </w:r>
          </w:p>
        </w:tc>
      </w:tr>
      <w:tr w14:paraId="5E45BF7A">
        <w:tblPrEx>
          <w:tblCellMar>
            <w:top w:w="0" w:type="dxa"/>
            <w:left w:w="0" w:type="dxa"/>
            <w:bottom w:w="0" w:type="dxa"/>
            <w:right w:w="0" w:type="dxa"/>
          </w:tblCellMar>
        </w:tblPrEx>
        <w:trPr>
          <w:trHeight w:val="1605" w:hRule="atLeast"/>
        </w:trPr>
        <w:tc>
          <w:tcPr>
            <w:tcW w:w="740" w:type="dxa"/>
            <w:vMerge w:val="restart"/>
            <w:tcBorders>
              <w:top w:val="nil"/>
              <w:left w:val="single" w:color="auto" w:sz="4" w:space="0"/>
              <w:right w:val="single" w:color="auto" w:sz="4" w:space="0"/>
            </w:tcBorders>
            <w:tcMar>
              <w:top w:w="15" w:type="dxa"/>
              <w:left w:w="15" w:type="dxa"/>
              <w:right w:w="15" w:type="dxa"/>
            </w:tcMar>
            <w:vAlign w:val="center"/>
          </w:tcPr>
          <w:p w14:paraId="40D75F5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商务资信</w:t>
            </w:r>
          </w:p>
        </w:tc>
        <w:tc>
          <w:tcPr>
            <w:tcW w:w="500" w:type="dxa"/>
            <w:tcBorders>
              <w:top w:val="nil"/>
              <w:left w:val="nil"/>
              <w:bottom w:val="single" w:color="auto" w:sz="4" w:space="0"/>
              <w:right w:val="single" w:color="auto" w:sz="4" w:space="0"/>
            </w:tcBorders>
            <w:tcMar>
              <w:top w:w="15" w:type="dxa"/>
              <w:left w:w="15" w:type="dxa"/>
              <w:right w:w="15" w:type="dxa"/>
            </w:tcMar>
            <w:vAlign w:val="center"/>
          </w:tcPr>
          <w:p w14:paraId="747D75F5">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5863" w:type="dxa"/>
            <w:tcBorders>
              <w:top w:val="nil"/>
              <w:left w:val="nil"/>
              <w:bottom w:val="single" w:color="auto" w:sz="4" w:space="0"/>
              <w:right w:val="single" w:color="auto" w:sz="4" w:space="0"/>
            </w:tcBorders>
            <w:tcMar>
              <w:top w:w="15" w:type="dxa"/>
              <w:left w:w="15" w:type="dxa"/>
              <w:right w:w="15" w:type="dxa"/>
            </w:tcMar>
            <w:vAlign w:val="center"/>
          </w:tcPr>
          <w:p w14:paraId="2C7AC36E">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投标人：                                                              1.具有有效的环境管理体系认证证书得1分；                                                                             2.具有有效的质量管理体系认证证书得1分；                                                                                                                                            3.具有中国环境标志产品认证证书得1分；                                                                                                                              4.具有有效的售后服务完善程度认证证书得1分；                                                                    5.具有印刷相关实用新型专利证书或发明型专利证书，每提供1个的得0.5分，最多得3分。软件及著作权专利证书不得分。</w:t>
            </w:r>
          </w:p>
          <w:p w14:paraId="6772738C">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证明材料：提供证书复印件或扫描打印件并加盖投标人公章。</w:t>
            </w:r>
          </w:p>
        </w:tc>
        <w:tc>
          <w:tcPr>
            <w:tcW w:w="817" w:type="dxa"/>
            <w:tcBorders>
              <w:top w:val="nil"/>
              <w:left w:val="nil"/>
              <w:bottom w:val="single" w:color="auto" w:sz="4" w:space="0"/>
              <w:right w:val="single" w:color="auto" w:sz="4" w:space="0"/>
            </w:tcBorders>
            <w:tcMar>
              <w:top w:w="15" w:type="dxa"/>
              <w:left w:w="15" w:type="dxa"/>
              <w:right w:w="15" w:type="dxa"/>
            </w:tcMar>
            <w:vAlign w:val="center"/>
          </w:tcPr>
          <w:p w14:paraId="6664ECD4">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0-7分</w:t>
            </w:r>
          </w:p>
        </w:tc>
        <w:tc>
          <w:tcPr>
            <w:tcW w:w="884" w:type="dxa"/>
            <w:tcBorders>
              <w:top w:val="nil"/>
              <w:left w:val="nil"/>
              <w:bottom w:val="single" w:color="auto" w:sz="4" w:space="0"/>
              <w:right w:val="single" w:color="auto" w:sz="4" w:space="0"/>
            </w:tcBorders>
            <w:tcMar>
              <w:top w:w="15" w:type="dxa"/>
              <w:left w:w="15" w:type="dxa"/>
              <w:right w:w="15" w:type="dxa"/>
            </w:tcMar>
            <w:vAlign w:val="center"/>
          </w:tcPr>
          <w:p w14:paraId="65109B40">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客观</w:t>
            </w:r>
          </w:p>
        </w:tc>
      </w:tr>
      <w:tr w14:paraId="37304307">
        <w:tblPrEx>
          <w:tblCellMar>
            <w:top w:w="0" w:type="dxa"/>
            <w:left w:w="0" w:type="dxa"/>
            <w:bottom w:w="0" w:type="dxa"/>
            <w:right w:w="0" w:type="dxa"/>
          </w:tblCellMar>
        </w:tblPrEx>
        <w:trPr>
          <w:trHeight w:val="1050" w:hRule="atLeast"/>
        </w:trPr>
        <w:tc>
          <w:tcPr>
            <w:tcW w:w="74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14:paraId="5496DB83">
            <w:pPr>
              <w:jc w:val="center"/>
              <w:rPr>
                <w:rFonts w:ascii="宋体" w:hAnsi="宋体" w:cs="宋体"/>
                <w:color w:val="000000" w:themeColor="text1"/>
                <w:sz w:val="24"/>
                <w14:textFill>
                  <w14:solidFill>
                    <w14:schemeClr w14:val="tx1"/>
                  </w14:solidFill>
                </w14:textFill>
              </w:rPr>
            </w:pPr>
          </w:p>
        </w:tc>
        <w:tc>
          <w:tcPr>
            <w:tcW w:w="500" w:type="dxa"/>
            <w:tcBorders>
              <w:top w:val="nil"/>
              <w:left w:val="nil"/>
              <w:bottom w:val="single" w:color="auto" w:sz="4" w:space="0"/>
              <w:right w:val="single" w:color="auto" w:sz="4" w:space="0"/>
            </w:tcBorders>
            <w:tcMar>
              <w:top w:w="15" w:type="dxa"/>
              <w:left w:w="15" w:type="dxa"/>
              <w:right w:w="15" w:type="dxa"/>
            </w:tcMar>
            <w:vAlign w:val="center"/>
          </w:tcPr>
          <w:p w14:paraId="27D008A3">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5863" w:type="dxa"/>
            <w:tcBorders>
              <w:top w:val="nil"/>
              <w:left w:val="nil"/>
              <w:bottom w:val="single" w:color="auto" w:sz="4" w:space="0"/>
              <w:right w:val="single" w:color="auto" w:sz="4" w:space="0"/>
            </w:tcBorders>
            <w:tcMar>
              <w:top w:w="15" w:type="dxa"/>
              <w:left w:w="15" w:type="dxa"/>
              <w:right w:w="15" w:type="dxa"/>
            </w:tcMar>
            <w:vAlign w:val="center"/>
          </w:tcPr>
          <w:p w14:paraId="1B97D039">
            <w:pPr>
              <w:snapToGrid w:val="0"/>
              <w:spacing w:line="273" w:lineRule="auto"/>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投标人近三年以来（自投标截止日起往前追溯3年）（时间以合同签订日期为准）以来成功实施的同类项目的业绩或案例证明每个案例得1分，最高得3分。</w:t>
            </w:r>
          </w:p>
          <w:p w14:paraId="13695AD9">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证明材料：同时提供合同和用户验收报告复印件或扫描打印机并加盖投标人公章，时间以合同签订时间为准。（证明材料提供不完整不得分）。</w:t>
            </w:r>
          </w:p>
        </w:tc>
        <w:tc>
          <w:tcPr>
            <w:tcW w:w="817" w:type="dxa"/>
            <w:tcBorders>
              <w:top w:val="nil"/>
              <w:left w:val="nil"/>
              <w:bottom w:val="single" w:color="auto" w:sz="4" w:space="0"/>
              <w:right w:val="single" w:color="auto" w:sz="4" w:space="0"/>
            </w:tcBorders>
            <w:tcMar>
              <w:top w:w="15" w:type="dxa"/>
              <w:left w:w="15" w:type="dxa"/>
              <w:right w:w="15" w:type="dxa"/>
            </w:tcMar>
            <w:vAlign w:val="center"/>
          </w:tcPr>
          <w:p w14:paraId="6A6554A5">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0-3分</w:t>
            </w:r>
          </w:p>
        </w:tc>
        <w:tc>
          <w:tcPr>
            <w:tcW w:w="884" w:type="dxa"/>
            <w:tcBorders>
              <w:top w:val="nil"/>
              <w:left w:val="nil"/>
              <w:bottom w:val="single" w:color="auto" w:sz="4" w:space="0"/>
              <w:right w:val="single" w:color="auto" w:sz="4" w:space="0"/>
            </w:tcBorders>
            <w:tcMar>
              <w:top w:w="15" w:type="dxa"/>
              <w:left w:w="15" w:type="dxa"/>
              <w:right w:w="15" w:type="dxa"/>
            </w:tcMar>
            <w:vAlign w:val="center"/>
          </w:tcPr>
          <w:p w14:paraId="2A78BB9B">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客观</w:t>
            </w:r>
          </w:p>
        </w:tc>
      </w:tr>
    </w:tbl>
    <w:p w14:paraId="2ECA01D0">
      <w:pPr>
        <w:widowControl/>
        <w:numPr>
          <w:ilvl w:val="0"/>
          <w:numId w:val="9"/>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技术部分（60分）</w:t>
      </w:r>
    </w:p>
    <w:tbl>
      <w:tblPr>
        <w:tblStyle w:val="62"/>
        <w:tblW w:w="88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456"/>
        <w:gridCol w:w="5923"/>
        <w:gridCol w:w="709"/>
        <w:gridCol w:w="1008"/>
      </w:tblGrid>
      <w:tr w14:paraId="7B7C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24" w:type="dxa"/>
            <w:shd w:val="clear" w:color="000000" w:fill="FFFFFF"/>
            <w:vAlign w:val="center"/>
          </w:tcPr>
          <w:p w14:paraId="4D5CFA38">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6379" w:type="dxa"/>
            <w:gridSpan w:val="2"/>
            <w:shd w:val="clear" w:color="000000" w:fill="FFFFFF"/>
            <w:vAlign w:val="center"/>
          </w:tcPr>
          <w:p w14:paraId="3E499436">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评分内容和标准</w:t>
            </w:r>
          </w:p>
        </w:tc>
        <w:tc>
          <w:tcPr>
            <w:tcW w:w="709" w:type="dxa"/>
            <w:shd w:val="clear" w:color="000000" w:fill="FFFFFF"/>
            <w:vAlign w:val="center"/>
          </w:tcPr>
          <w:p w14:paraId="387BFD35">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分值区间</w:t>
            </w:r>
          </w:p>
        </w:tc>
        <w:tc>
          <w:tcPr>
            <w:tcW w:w="1008" w:type="dxa"/>
            <w:shd w:val="clear" w:color="000000" w:fill="FFFFFF"/>
            <w:vAlign w:val="center"/>
          </w:tcPr>
          <w:p w14:paraId="2FDCE9D8">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主客观分</w:t>
            </w:r>
          </w:p>
        </w:tc>
      </w:tr>
      <w:tr w14:paraId="608C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724" w:type="dxa"/>
            <w:vMerge w:val="restart"/>
            <w:shd w:val="clear" w:color="000000" w:fill="FFFFFF"/>
            <w:vAlign w:val="center"/>
          </w:tcPr>
          <w:p w14:paraId="66979570">
            <w:pPr>
              <w:widowControl/>
              <w:adjustRightInd/>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技术分</w:t>
            </w:r>
          </w:p>
        </w:tc>
        <w:tc>
          <w:tcPr>
            <w:tcW w:w="456" w:type="dxa"/>
            <w:shd w:val="clear" w:color="000000" w:fill="FFFFFF"/>
            <w:vAlign w:val="center"/>
          </w:tcPr>
          <w:p w14:paraId="084A8305">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5923" w:type="dxa"/>
            <w:shd w:val="clear" w:color="000000" w:fill="FFFFFF"/>
            <w:vAlign w:val="center"/>
          </w:tcPr>
          <w:p w14:paraId="1C2E2E7E">
            <w:pPr>
              <w:widowControl/>
              <w:adjustRightInd/>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投标人对现有现状了解全面、存在问题的分析到位，符合实际，对本项目难点、要点等问题进行调查剖析，调查剖析到位、科学得5-7分；供应商对现有现状了解较为全面、存在问题的分析较为到位，对本项目难点、要点等问题进行调查剖析，调查剖析较为到位、科学得2-4分；供应商对现有现状了解一般、存在问题的分析一般，对本项目难点、要点等问题进行调查剖析，调查剖析一般得0-1分；方案不合理或未提供方案不得分。</w:t>
            </w:r>
          </w:p>
        </w:tc>
        <w:tc>
          <w:tcPr>
            <w:tcW w:w="709" w:type="dxa"/>
            <w:shd w:val="clear" w:color="000000" w:fill="FFFFFF"/>
            <w:vAlign w:val="center"/>
          </w:tcPr>
          <w:p w14:paraId="041362EC">
            <w:pPr>
              <w:widowControl/>
              <w:adjustRightInd/>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0-7</w:t>
            </w:r>
            <w:r>
              <w:rPr>
                <w:rFonts w:hint="eastAsia" w:ascii="宋体" w:hAnsi="宋体" w:cs="宋体"/>
                <w:color w:val="000000" w:themeColor="text1"/>
                <w:kern w:val="0"/>
                <w:sz w:val="22"/>
                <w:szCs w:val="22"/>
                <w:lang w:val="en-US" w:eastAsia="zh-CN"/>
                <w14:textFill>
                  <w14:solidFill>
                    <w14:schemeClr w14:val="tx1"/>
                  </w14:solidFill>
                </w14:textFill>
              </w:rPr>
              <w:t>分</w:t>
            </w:r>
          </w:p>
        </w:tc>
        <w:tc>
          <w:tcPr>
            <w:tcW w:w="1008" w:type="dxa"/>
            <w:shd w:val="clear" w:color="000000" w:fill="FFFFFF"/>
            <w:vAlign w:val="center"/>
          </w:tcPr>
          <w:p w14:paraId="0322B3D8">
            <w:pPr>
              <w:widowControl/>
              <w:adjustRightInd/>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主观</w:t>
            </w:r>
          </w:p>
        </w:tc>
      </w:tr>
      <w:tr w14:paraId="5FB3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724" w:type="dxa"/>
            <w:vMerge w:val="continue"/>
            <w:vAlign w:val="center"/>
          </w:tcPr>
          <w:p w14:paraId="3C76FC11">
            <w:pPr>
              <w:widowControl/>
              <w:adjustRightInd/>
              <w:jc w:val="left"/>
              <w:rPr>
                <w:rFonts w:ascii="宋体" w:hAnsi="宋体" w:cs="宋体"/>
                <w:color w:val="000000" w:themeColor="text1"/>
                <w:kern w:val="0"/>
                <w:sz w:val="24"/>
                <w14:textFill>
                  <w14:solidFill>
                    <w14:schemeClr w14:val="tx1"/>
                  </w14:solidFill>
                </w14:textFill>
              </w:rPr>
            </w:pPr>
          </w:p>
        </w:tc>
        <w:tc>
          <w:tcPr>
            <w:tcW w:w="456" w:type="dxa"/>
            <w:shd w:val="clear" w:color="000000" w:fill="FFFFFF"/>
            <w:vAlign w:val="center"/>
          </w:tcPr>
          <w:p w14:paraId="5509C3C0">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5923" w:type="dxa"/>
            <w:shd w:val="clear" w:color="000000" w:fill="FFFFFF"/>
            <w:vAlign w:val="center"/>
          </w:tcPr>
          <w:p w14:paraId="36BB3F50">
            <w:pPr>
              <w:widowControl/>
              <w:adjustRightInd/>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投标人对本项目的实施方案切合本项目采购需求，针对性、操作性强，计划安排科学合理，制定工作方案，并建立完善的考核机制得5-7分；投标人对本项目的实施方案较为切合本项目采购需求，针对性、操作性较强，计划安排较为科学合理，制定工作方案，并建立较为完善的考核机制得2-4分；投标人对本项目的实施方案与本项目采购需求切合度一般，针对性、操作性一般，计划安排一般，制定工作方案，并建立考核机制一般的得0-1分；方案有缺项或不合理或未提供方案不得分。</w:t>
            </w:r>
          </w:p>
        </w:tc>
        <w:tc>
          <w:tcPr>
            <w:tcW w:w="709" w:type="dxa"/>
            <w:shd w:val="clear" w:color="000000" w:fill="FFFFFF"/>
            <w:vAlign w:val="center"/>
          </w:tcPr>
          <w:p w14:paraId="6F9AAA84">
            <w:pPr>
              <w:widowControl/>
              <w:adjustRightInd/>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0-7分</w:t>
            </w:r>
          </w:p>
        </w:tc>
        <w:tc>
          <w:tcPr>
            <w:tcW w:w="1008" w:type="dxa"/>
            <w:shd w:val="clear" w:color="000000" w:fill="FFFFFF"/>
            <w:vAlign w:val="center"/>
          </w:tcPr>
          <w:p w14:paraId="26615685">
            <w:pPr>
              <w:widowControl/>
              <w:adjustRightInd/>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主观</w:t>
            </w:r>
          </w:p>
        </w:tc>
      </w:tr>
      <w:tr w14:paraId="26EB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trPr>
        <w:tc>
          <w:tcPr>
            <w:tcW w:w="724" w:type="dxa"/>
            <w:vMerge w:val="continue"/>
            <w:vAlign w:val="center"/>
          </w:tcPr>
          <w:p w14:paraId="3E5C4FE7">
            <w:pPr>
              <w:widowControl/>
              <w:adjustRightInd/>
              <w:jc w:val="left"/>
              <w:rPr>
                <w:rFonts w:ascii="宋体" w:hAnsi="宋体" w:cs="宋体"/>
                <w:color w:val="000000" w:themeColor="text1"/>
                <w:kern w:val="0"/>
                <w:sz w:val="24"/>
                <w14:textFill>
                  <w14:solidFill>
                    <w14:schemeClr w14:val="tx1"/>
                  </w14:solidFill>
                </w14:textFill>
              </w:rPr>
            </w:pPr>
          </w:p>
        </w:tc>
        <w:tc>
          <w:tcPr>
            <w:tcW w:w="456" w:type="dxa"/>
            <w:shd w:val="clear" w:color="000000" w:fill="FFFFFF"/>
            <w:vAlign w:val="center"/>
          </w:tcPr>
          <w:p w14:paraId="4640ABFF">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5923" w:type="dxa"/>
            <w:shd w:val="clear" w:color="000000" w:fill="FFFFFF"/>
            <w:vAlign w:val="center"/>
          </w:tcPr>
          <w:p w14:paraId="257A060F">
            <w:pPr>
              <w:widowControl/>
              <w:adjustRightInd/>
              <w:jc w:val="left"/>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综合比较各投标人印刷工艺、印刷色彩管理、质量控制手段、各项生产管理制度、消防设施、安防监控等。</w:t>
            </w:r>
          </w:p>
          <w:p w14:paraId="06AA5752">
            <w:pPr>
              <w:widowControl/>
              <w:adjustRightInd/>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印刷工艺先进，各项制度完善、科学合理的得5-7分；</w:t>
            </w:r>
          </w:p>
          <w:p w14:paraId="3E206F21">
            <w:pPr>
              <w:widowControl/>
              <w:adjustRightInd/>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印刷工艺较为先进，各项制度较为完善、科学合理的得2-4分；印刷工艺一般，各项制度不够完善、科学合理的得0-1分；</w:t>
            </w:r>
          </w:p>
        </w:tc>
        <w:tc>
          <w:tcPr>
            <w:tcW w:w="709" w:type="dxa"/>
            <w:shd w:val="clear" w:color="000000" w:fill="FFFFFF"/>
            <w:vAlign w:val="center"/>
          </w:tcPr>
          <w:p w14:paraId="1E23ABB4">
            <w:pPr>
              <w:widowControl/>
              <w:adjustRightInd/>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0-7分</w:t>
            </w:r>
          </w:p>
        </w:tc>
        <w:tc>
          <w:tcPr>
            <w:tcW w:w="1008" w:type="dxa"/>
            <w:shd w:val="clear" w:color="000000" w:fill="FFFFFF"/>
            <w:vAlign w:val="center"/>
          </w:tcPr>
          <w:p w14:paraId="79C480AE">
            <w:pPr>
              <w:widowControl/>
              <w:adjustRightInd/>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主观</w:t>
            </w:r>
          </w:p>
        </w:tc>
      </w:tr>
      <w:tr w14:paraId="3BADB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724" w:type="dxa"/>
            <w:vMerge w:val="continue"/>
            <w:vAlign w:val="center"/>
          </w:tcPr>
          <w:p w14:paraId="62C3E9B1">
            <w:pPr>
              <w:widowControl/>
              <w:adjustRightInd/>
              <w:jc w:val="left"/>
              <w:rPr>
                <w:rFonts w:ascii="宋体" w:hAnsi="宋体" w:cs="宋体"/>
                <w:color w:val="000000" w:themeColor="text1"/>
                <w:kern w:val="0"/>
                <w:sz w:val="24"/>
                <w14:textFill>
                  <w14:solidFill>
                    <w14:schemeClr w14:val="tx1"/>
                  </w14:solidFill>
                </w14:textFill>
              </w:rPr>
            </w:pPr>
          </w:p>
        </w:tc>
        <w:tc>
          <w:tcPr>
            <w:tcW w:w="456" w:type="dxa"/>
            <w:shd w:val="clear" w:color="000000" w:fill="FFFFFF"/>
            <w:vAlign w:val="center"/>
          </w:tcPr>
          <w:p w14:paraId="485D007E">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5923" w:type="dxa"/>
            <w:shd w:val="clear" w:color="000000" w:fill="FFFFFF"/>
            <w:vAlign w:val="center"/>
          </w:tcPr>
          <w:p w14:paraId="2EBD6ECF">
            <w:pPr>
              <w:widowControl/>
              <w:adjustRightInd/>
              <w:jc w:val="left"/>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根据投标人学生空白作业本产品质量在2021年-2024年连续四年经省级及以上质量技术监督部门检测合格的得3分，连续三年得2分，连续两年得1分，一年得0.5分，没有不得分</w:t>
            </w:r>
          </w:p>
          <w:p w14:paraId="3537B5F0">
            <w:pPr>
              <w:widowControl/>
              <w:adjustRightInd/>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（提供检测报告复印件加盖公章）</w:t>
            </w:r>
          </w:p>
        </w:tc>
        <w:tc>
          <w:tcPr>
            <w:tcW w:w="709" w:type="dxa"/>
            <w:shd w:val="clear" w:color="000000" w:fill="FFFFFF"/>
            <w:vAlign w:val="center"/>
          </w:tcPr>
          <w:p w14:paraId="1ACFA3CB">
            <w:pPr>
              <w:widowControl/>
              <w:adjustRightInd/>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0-3分</w:t>
            </w:r>
          </w:p>
        </w:tc>
        <w:tc>
          <w:tcPr>
            <w:tcW w:w="1008" w:type="dxa"/>
            <w:shd w:val="clear" w:color="000000" w:fill="FFFFFF"/>
            <w:vAlign w:val="center"/>
          </w:tcPr>
          <w:p w14:paraId="2B931A7F">
            <w:pPr>
              <w:widowControl/>
              <w:adjustRightInd/>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客观</w:t>
            </w:r>
          </w:p>
        </w:tc>
      </w:tr>
      <w:tr w14:paraId="3F0A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724" w:type="dxa"/>
            <w:vMerge w:val="continue"/>
            <w:vAlign w:val="center"/>
          </w:tcPr>
          <w:p w14:paraId="208A1556">
            <w:pPr>
              <w:widowControl/>
              <w:adjustRightInd/>
              <w:jc w:val="left"/>
              <w:rPr>
                <w:rFonts w:ascii="宋体" w:hAnsi="宋体" w:cs="宋体"/>
                <w:color w:val="000000" w:themeColor="text1"/>
                <w:kern w:val="0"/>
                <w:sz w:val="24"/>
                <w14:textFill>
                  <w14:solidFill>
                    <w14:schemeClr w14:val="tx1"/>
                  </w14:solidFill>
                </w14:textFill>
              </w:rPr>
            </w:pPr>
          </w:p>
        </w:tc>
        <w:tc>
          <w:tcPr>
            <w:tcW w:w="456" w:type="dxa"/>
            <w:shd w:val="clear" w:color="000000" w:fill="FFFFFF"/>
            <w:vAlign w:val="center"/>
          </w:tcPr>
          <w:p w14:paraId="3F2F4F7E">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5923" w:type="dxa"/>
            <w:shd w:val="clear" w:color="000000" w:fill="FFFFFF"/>
            <w:vAlign w:val="center"/>
          </w:tcPr>
          <w:p w14:paraId="765426B7">
            <w:pPr>
              <w:widowControl/>
              <w:adjustRightInd/>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根据投标人的针对项目配备生产设备先进性、专业能力等由评标委员会综合比较后酌情打分。生产能力较强、设备专业程度较高的得3-5分；生产技术能力和生产设备配置一般的得1.6-3分；技术能力不满足要求、设备不先进的得0-1.5分</w:t>
            </w:r>
          </w:p>
        </w:tc>
        <w:tc>
          <w:tcPr>
            <w:tcW w:w="709" w:type="dxa"/>
            <w:shd w:val="clear" w:color="000000" w:fill="FFFFFF"/>
            <w:vAlign w:val="center"/>
          </w:tcPr>
          <w:p w14:paraId="0916D82B">
            <w:pPr>
              <w:widowControl/>
              <w:adjustRightInd/>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0-5分</w:t>
            </w:r>
          </w:p>
        </w:tc>
        <w:tc>
          <w:tcPr>
            <w:tcW w:w="1008" w:type="dxa"/>
            <w:shd w:val="clear" w:color="000000" w:fill="FFFFFF"/>
            <w:vAlign w:val="center"/>
          </w:tcPr>
          <w:p w14:paraId="356F98E5">
            <w:pPr>
              <w:widowControl/>
              <w:adjustRightInd/>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主观</w:t>
            </w:r>
          </w:p>
        </w:tc>
      </w:tr>
      <w:tr w14:paraId="74117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24" w:type="dxa"/>
            <w:vMerge w:val="continue"/>
            <w:vAlign w:val="center"/>
          </w:tcPr>
          <w:p w14:paraId="4C71CB3C">
            <w:pPr>
              <w:widowControl/>
              <w:adjustRightInd/>
              <w:jc w:val="left"/>
              <w:rPr>
                <w:rFonts w:ascii="宋体" w:hAnsi="宋体" w:cs="宋体"/>
                <w:color w:val="000000" w:themeColor="text1"/>
                <w:kern w:val="0"/>
                <w:sz w:val="24"/>
                <w14:textFill>
                  <w14:solidFill>
                    <w14:schemeClr w14:val="tx1"/>
                  </w14:solidFill>
                </w14:textFill>
              </w:rPr>
            </w:pPr>
          </w:p>
        </w:tc>
        <w:tc>
          <w:tcPr>
            <w:tcW w:w="456" w:type="dxa"/>
            <w:shd w:val="clear" w:color="000000" w:fill="FFFFFF"/>
            <w:vAlign w:val="center"/>
          </w:tcPr>
          <w:p w14:paraId="24FECFF0">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p>
        </w:tc>
        <w:tc>
          <w:tcPr>
            <w:tcW w:w="5923" w:type="dxa"/>
            <w:shd w:val="clear" w:color="000000" w:fill="FFFFFF"/>
            <w:vAlign w:val="center"/>
          </w:tcPr>
          <w:p w14:paraId="6A36ADE4">
            <w:pPr>
              <w:widowControl/>
              <w:adjustRightInd/>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根据投标人环保措施：印刷行业环保节能项目（比如ＶOCS气体处理、废水处理等措施）实施状况。</w:t>
            </w:r>
          </w:p>
        </w:tc>
        <w:tc>
          <w:tcPr>
            <w:tcW w:w="709" w:type="dxa"/>
            <w:shd w:val="clear" w:color="000000" w:fill="FFFFFF"/>
            <w:vAlign w:val="center"/>
          </w:tcPr>
          <w:p w14:paraId="01C9DADA">
            <w:pPr>
              <w:widowControl/>
              <w:adjustRightInd/>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0-2分</w:t>
            </w:r>
          </w:p>
        </w:tc>
        <w:tc>
          <w:tcPr>
            <w:tcW w:w="1008" w:type="dxa"/>
            <w:shd w:val="clear" w:color="000000" w:fill="FFFFFF"/>
            <w:vAlign w:val="center"/>
          </w:tcPr>
          <w:p w14:paraId="7FC76623">
            <w:pPr>
              <w:widowControl/>
              <w:adjustRightInd/>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客观</w:t>
            </w:r>
          </w:p>
        </w:tc>
      </w:tr>
      <w:tr w14:paraId="354D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24" w:type="dxa"/>
            <w:vMerge w:val="continue"/>
            <w:vAlign w:val="center"/>
          </w:tcPr>
          <w:p w14:paraId="46B7054A">
            <w:pPr>
              <w:widowControl/>
              <w:adjustRightInd/>
              <w:jc w:val="left"/>
              <w:rPr>
                <w:rFonts w:ascii="宋体" w:hAnsi="宋体" w:cs="宋体"/>
                <w:color w:val="000000" w:themeColor="text1"/>
                <w:kern w:val="0"/>
                <w:sz w:val="24"/>
                <w14:textFill>
                  <w14:solidFill>
                    <w14:schemeClr w14:val="tx1"/>
                  </w14:solidFill>
                </w14:textFill>
              </w:rPr>
            </w:pPr>
          </w:p>
        </w:tc>
        <w:tc>
          <w:tcPr>
            <w:tcW w:w="456" w:type="dxa"/>
            <w:shd w:val="clear" w:color="000000" w:fill="FFFFFF"/>
            <w:vAlign w:val="center"/>
          </w:tcPr>
          <w:p w14:paraId="28FA75A6">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p>
        </w:tc>
        <w:tc>
          <w:tcPr>
            <w:tcW w:w="5923" w:type="dxa"/>
            <w:shd w:val="clear" w:color="000000" w:fill="FFFFFF"/>
            <w:vAlign w:val="center"/>
          </w:tcPr>
          <w:p w14:paraId="4D786961">
            <w:pPr>
              <w:widowControl/>
              <w:adjustRightInd/>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项目负责人及技术力量：综合比较各投标人项目负责人及生产服务人员的素质、技术能力及技术资格证等情况。</w:t>
            </w:r>
          </w:p>
        </w:tc>
        <w:tc>
          <w:tcPr>
            <w:tcW w:w="709" w:type="dxa"/>
            <w:shd w:val="clear" w:color="000000" w:fill="FFFFFF"/>
            <w:vAlign w:val="center"/>
          </w:tcPr>
          <w:p w14:paraId="1A01DFF3">
            <w:pPr>
              <w:widowControl/>
              <w:adjustRightInd/>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1-5分</w:t>
            </w:r>
          </w:p>
        </w:tc>
        <w:tc>
          <w:tcPr>
            <w:tcW w:w="1008" w:type="dxa"/>
            <w:shd w:val="clear" w:color="000000" w:fill="FFFFFF"/>
            <w:vAlign w:val="center"/>
          </w:tcPr>
          <w:p w14:paraId="4B0A003A">
            <w:pPr>
              <w:widowControl/>
              <w:adjustRightInd/>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主观</w:t>
            </w:r>
          </w:p>
        </w:tc>
      </w:tr>
      <w:tr w14:paraId="68E73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724" w:type="dxa"/>
            <w:vMerge w:val="continue"/>
            <w:vAlign w:val="center"/>
          </w:tcPr>
          <w:p w14:paraId="1AC676F5">
            <w:pPr>
              <w:widowControl/>
              <w:adjustRightInd/>
              <w:jc w:val="left"/>
              <w:rPr>
                <w:rFonts w:ascii="宋体" w:hAnsi="宋体" w:cs="宋体"/>
                <w:color w:val="000000" w:themeColor="text1"/>
                <w:kern w:val="0"/>
                <w:sz w:val="24"/>
                <w14:textFill>
                  <w14:solidFill>
                    <w14:schemeClr w14:val="tx1"/>
                  </w14:solidFill>
                </w14:textFill>
              </w:rPr>
            </w:pPr>
          </w:p>
        </w:tc>
        <w:tc>
          <w:tcPr>
            <w:tcW w:w="456" w:type="dxa"/>
            <w:shd w:val="clear" w:color="000000" w:fill="FFFFFF"/>
            <w:vAlign w:val="center"/>
          </w:tcPr>
          <w:p w14:paraId="69F587B9">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w:t>
            </w:r>
          </w:p>
        </w:tc>
        <w:tc>
          <w:tcPr>
            <w:tcW w:w="5923" w:type="dxa"/>
            <w:shd w:val="clear" w:color="000000" w:fill="FFFFFF"/>
            <w:vAlign w:val="center"/>
          </w:tcPr>
          <w:p w14:paraId="0A83E710">
            <w:pPr>
              <w:widowControl/>
              <w:adjustRightInd/>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1.投标人售后服务能力:综合比较各投标人的售后服务能力（包含售后服务驻点人员、车辆）和响应时间，备品备件添订数的当日送达措施综合评定1-6分。；                                                                             2.投标人售后服务网点设置情况、服务网点覆盖范围及服务能力综合评分1-4分；                                                                   </w:t>
            </w:r>
          </w:p>
        </w:tc>
        <w:tc>
          <w:tcPr>
            <w:tcW w:w="709" w:type="dxa"/>
            <w:shd w:val="clear" w:color="000000" w:fill="FFFFFF"/>
            <w:vAlign w:val="center"/>
          </w:tcPr>
          <w:p w14:paraId="5D9BB197">
            <w:pPr>
              <w:widowControl/>
              <w:adjustRightInd/>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2-10分</w:t>
            </w:r>
          </w:p>
        </w:tc>
        <w:tc>
          <w:tcPr>
            <w:tcW w:w="1008" w:type="dxa"/>
            <w:shd w:val="clear" w:color="000000" w:fill="FFFFFF"/>
            <w:vAlign w:val="center"/>
          </w:tcPr>
          <w:p w14:paraId="7BFACE28">
            <w:pPr>
              <w:widowControl/>
              <w:adjustRightInd/>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主观</w:t>
            </w:r>
          </w:p>
        </w:tc>
      </w:tr>
      <w:tr w14:paraId="19D34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24" w:type="dxa"/>
            <w:vMerge w:val="continue"/>
            <w:vAlign w:val="center"/>
          </w:tcPr>
          <w:p w14:paraId="29A5D9F6">
            <w:pPr>
              <w:widowControl/>
              <w:adjustRightInd/>
              <w:jc w:val="left"/>
              <w:rPr>
                <w:rFonts w:ascii="宋体" w:hAnsi="宋体" w:cs="宋体"/>
                <w:color w:val="000000" w:themeColor="text1"/>
                <w:kern w:val="0"/>
                <w:sz w:val="24"/>
                <w14:textFill>
                  <w14:solidFill>
                    <w14:schemeClr w14:val="tx1"/>
                  </w14:solidFill>
                </w14:textFill>
              </w:rPr>
            </w:pPr>
          </w:p>
        </w:tc>
        <w:tc>
          <w:tcPr>
            <w:tcW w:w="456" w:type="dxa"/>
            <w:shd w:val="clear" w:color="000000" w:fill="FFFFFF"/>
            <w:vAlign w:val="center"/>
          </w:tcPr>
          <w:p w14:paraId="3FD47D37">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w:t>
            </w:r>
          </w:p>
        </w:tc>
        <w:tc>
          <w:tcPr>
            <w:tcW w:w="5923" w:type="dxa"/>
            <w:shd w:val="clear" w:color="000000" w:fill="FFFFFF"/>
            <w:vAlign w:val="center"/>
          </w:tcPr>
          <w:p w14:paraId="1E71BEF8">
            <w:pPr>
              <w:widowControl/>
              <w:adjustRightInd/>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针对本次采购项目的其他特殊优惠承诺等情况，具体得分由评委酌情给分。</w:t>
            </w:r>
          </w:p>
        </w:tc>
        <w:tc>
          <w:tcPr>
            <w:tcW w:w="709" w:type="dxa"/>
            <w:shd w:val="clear" w:color="000000" w:fill="FFFFFF"/>
            <w:vAlign w:val="center"/>
          </w:tcPr>
          <w:p w14:paraId="1B307963">
            <w:pPr>
              <w:widowControl/>
              <w:adjustRightInd/>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0-2分</w:t>
            </w:r>
          </w:p>
        </w:tc>
        <w:tc>
          <w:tcPr>
            <w:tcW w:w="1008" w:type="dxa"/>
            <w:shd w:val="clear" w:color="000000" w:fill="FFFFFF"/>
            <w:vAlign w:val="center"/>
          </w:tcPr>
          <w:p w14:paraId="761C15D7">
            <w:pPr>
              <w:widowControl/>
              <w:adjustRightInd/>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主观</w:t>
            </w:r>
          </w:p>
        </w:tc>
      </w:tr>
      <w:tr w14:paraId="2C89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24" w:type="dxa"/>
            <w:vMerge w:val="continue"/>
            <w:vAlign w:val="center"/>
          </w:tcPr>
          <w:p w14:paraId="32FBB85F">
            <w:pPr>
              <w:widowControl/>
              <w:adjustRightInd/>
              <w:jc w:val="left"/>
              <w:rPr>
                <w:rFonts w:ascii="宋体" w:hAnsi="宋体" w:cs="宋体"/>
                <w:color w:val="000000" w:themeColor="text1"/>
                <w:kern w:val="0"/>
                <w:sz w:val="24"/>
                <w14:textFill>
                  <w14:solidFill>
                    <w14:schemeClr w14:val="tx1"/>
                  </w14:solidFill>
                </w14:textFill>
              </w:rPr>
            </w:pPr>
          </w:p>
        </w:tc>
        <w:tc>
          <w:tcPr>
            <w:tcW w:w="456" w:type="dxa"/>
            <w:vMerge w:val="restart"/>
            <w:shd w:val="clear" w:color="000000" w:fill="FFFFFF"/>
            <w:vAlign w:val="center"/>
          </w:tcPr>
          <w:p w14:paraId="1CE9161B">
            <w:pPr>
              <w:widowControl/>
              <w:adjustRightInd/>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w:t>
            </w:r>
          </w:p>
        </w:tc>
        <w:tc>
          <w:tcPr>
            <w:tcW w:w="5923" w:type="dxa"/>
            <w:shd w:val="clear" w:color="000000" w:fill="FFFFFF"/>
            <w:vAlign w:val="center"/>
          </w:tcPr>
          <w:p w14:paraId="4ABC246A">
            <w:pPr>
              <w:widowControl/>
              <w:adjustRightInd/>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样品的质量：结合采购人提供的设计稿附图（详见附件），①样品的封面制作清晰、整洁、美观、无偏差的得3分；样品的封面制作较为清晰、较为整洁、较为美观、基本无偏差的得1.5分；样品的封面制作不够清晰、不够整洁、不够美观、偏差明显的得0分；</w:t>
            </w:r>
          </w:p>
        </w:tc>
        <w:tc>
          <w:tcPr>
            <w:tcW w:w="709" w:type="dxa"/>
            <w:vMerge w:val="restart"/>
            <w:shd w:val="clear" w:color="000000" w:fill="FFFFFF"/>
            <w:vAlign w:val="center"/>
          </w:tcPr>
          <w:p w14:paraId="1035980F">
            <w:pPr>
              <w:widowControl/>
              <w:adjustRightInd/>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0-12分</w:t>
            </w:r>
          </w:p>
        </w:tc>
        <w:tc>
          <w:tcPr>
            <w:tcW w:w="1008" w:type="dxa"/>
            <w:vMerge w:val="restart"/>
            <w:shd w:val="clear" w:color="000000" w:fill="FFFFFF"/>
            <w:vAlign w:val="center"/>
          </w:tcPr>
          <w:p w14:paraId="0D4D2785">
            <w:pPr>
              <w:widowControl/>
              <w:adjustRightInd/>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主观</w:t>
            </w:r>
          </w:p>
        </w:tc>
      </w:tr>
      <w:tr w14:paraId="6959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24" w:type="dxa"/>
            <w:vMerge w:val="continue"/>
            <w:vAlign w:val="center"/>
          </w:tcPr>
          <w:p w14:paraId="5E9E4513">
            <w:pPr>
              <w:widowControl/>
              <w:adjustRightInd/>
              <w:jc w:val="left"/>
              <w:rPr>
                <w:rFonts w:ascii="宋体" w:hAnsi="宋体" w:cs="宋体"/>
                <w:color w:val="000000" w:themeColor="text1"/>
                <w:kern w:val="0"/>
                <w:sz w:val="24"/>
                <w14:textFill>
                  <w14:solidFill>
                    <w14:schemeClr w14:val="tx1"/>
                  </w14:solidFill>
                </w14:textFill>
              </w:rPr>
            </w:pPr>
          </w:p>
        </w:tc>
        <w:tc>
          <w:tcPr>
            <w:tcW w:w="456" w:type="dxa"/>
            <w:vMerge w:val="continue"/>
            <w:vAlign w:val="center"/>
          </w:tcPr>
          <w:p w14:paraId="1BE895B9">
            <w:pPr>
              <w:widowControl/>
              <w:adjustRightInd/>
              <w:jc w:val="left"/>
              <w:rPr>
                <w:rFonts w:ascii="宋体" w:hAnsi="宋体" w:cs="宋体"/>
                <w:color w:val="000000" w:themeColor="text1"/>
                <w:kern w:val="0"/>
                <w:sz w:val="24"/>
                <w14:textFill>
                  <w14:solidFill>
                    <w14:schemeClr w14:val="tx1"/>
                  </w14:solidFill>
                </w14:textFill>
              </w:rPr>
            </w:pPr>
          </w:p>
        </w:tc>
        <w:tc>
          <w:tcPr>
            <w:tcW w:w="5923" w:type="dxa"/>
            <w:shd w:val="clear" w:color="000000" w:fill="FFFFFF"/>
            <w:vAlign w:val="center"/>
          </w:tcPr>
          <w:p w14:paraId="33D91362">
            <w:pPr>
              <w:widowControl/>
              <w:adjustRightInd/>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②样品的装订质量是否符合采购要求：线装整齐，无缺页、褶皱得3分；基本无偏差的得1.5分；偏差明显的得0分；</w:t>
            </w:r>
          </w:p>
        </w:tc>
        <w:tc>
          <w:tcPr>
            <w:tcW w:w="709" w:type="dxa"/>
            <w:vMerge w:val="continue"/>
            <w:vAlign w:val="center"/>
          </w:tcPr>
          <w:p w14:paraId="78FBEF16">
            <w:pPr>
              <w:widowControl/>
              <w:adjustRightInd/>
              <w:jc w:val="left"/>
              <w:rPr>
                <w:rFonts w:ascii="宋体" w:hAnsi="宋体" w:cs="宋体"/>
                <w:color w:val="000000" w:themeColor="text1"/>
                <w:kern w:val="0"/>
                <w:sz w:val="22"/>
                <w:szCs w:val="22"/>
                <w14:textFill>
                  <w14:solidFill>
                    <w14:schemeClr w14:val="tx1"/>
                  </w14:solidFill>
                </w14:textFill>
              </w:rPr>
            </w:pPr>
          </w:p>
        </w:tc>
        <w:tc>
          <w:tcPr>
            <w:tcW w:w="1008" w:type="dxa"/>
            <w:vMerge w:val="continue"/>
            <w:vAlign w:val="center"/>
          </w:tcPr>
          <w:p w14:paraId="042B66FC">
            <w:pPr>
              <w:widowControl/>
              <w:adjustRightInd/>
              <w:jc w:val="left"/>
              <w:rPr>
                <w:rFonts w:ascii="宋体" w:hAnsi="宋体" w:cs="宋体"/>
                <w:color w:val="000000" w:themeColor="text1"/>
                <w:kern w:val="0"/>
                <w:sz w:val="22"/>
                <w:szCs w:val="22"/>
                <w14:textFill>
                  <w14:solidFill>
                    <w14:schemeClr w14:val="tx1"/>
                  </w14:solidFill>
                </w14:textFill>
              </w:rPr>
            </w:pPr>
          </w:p>
        </w:tc>
      </w:tr>
      <w:tr w14:paraId="04FD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24" w:type="dxa"/>
            <w:vMerge w:val="continue"/>
            <w:vAlign w:val="center"/>
          </w:tcPr>
          <w:p w14:paraId="264B0EF1">
            <w:pPr>
              <w:widowControl/>
              <w:adjustRightInd/>
              <w:jc w:val="left"/>
              <w:rPr>
                <w:rFonts w:ascii="宋体" w:hAnsi="宋体" w:cs="宋体"/>
                <w:color w:val="000000" w:themeColor="text1"/>
                <w:kern w:val="0"/>
                <w:sz w:val="24"/>
                <w14:textFill>
                  <w14:solidFill>
                    <w14:schemeClr w14:val="tx1"/>
                  </w14:solidFill>
                </w14:textFill>
              </w:rPr>
            </w:pPr>
          </w:p>
        </w:tc>
        <w:tc>
          <w:tcPr>
            <w:tcW w:w="456" w:type="dxa"/>
            <w:vMerge w:val="continue"/>
            <w:vAlign w:val="center"/>
          </w:tcPr>
          <w:p w14:paraId="16A1462B">
            <w:pPr>
              <w:widowControl/>
              <w:adjustRightInd/>
              <w:jc w:val="left"/>
              <w:rPr>
                <w:rFonts w:ascii="宋体" w:hAnsi="宋体" w:cs="宋体"/>
                <w:color w:val="000000" w:themeColor="text1"/>
                <w:kern w:val="0"/>
                <w:sz w:val="24"/>
                <w14:textFill>
                  <w14:solidFill>
                    <w14:schemeClr w14:val="tx1"/>
                  </w14:solidFill>
                </w14:textFill>
              </w:rPr>
            </w:pPr>
          </w:p>
        </w:tc>
        <w:tc>
          <w:tcPr>
            <w:tcW w:w="5923" w:type="dxa"/>
            <w:shd w:val="clear" w:color="000000" w:fill="FFFFFF"/>
            <w:vAlign w:val="center"/>
          </w:tcPr>
          <w:p w14:paraId="17E32E80">
            <w:pPr>
              <w:widowControl/>
              <w:adjustRightInd/>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③样品内芯（两面不对线、断线、破页、脏迹、色泽、偏斜、渗水），满足全部项目的得3分，有2-4项不足的得1.5分，5项及以上不满足的不得分；</w:t>
            </w:r>
          </w:p>
        </w:tc>
        <w:tc>
          <w:tcPr>
            <w:tcW w:w="709" w:type="dxa"/>
            <w:vMerge w:val="continue"/>
            <w:vAlign w:val="center"/>
          </w:tcPr>
          <w:p w14:paraId="4A2F7553">
            <w:pPr>
              <w:widowControl/>
              <w:adjustRightInd/>
              <w:jc w:val="left"/>
              <w:rPr>
                <w:rFonts w:ascii="宋体" w:hAnsi="宋体" w:cs="宋体"/>
                <w:color w:val="000000" w:themeColor="text1"/>
                <w:kern w:val="0"/>
                <w:sz w:val="22"/>
                <w:szCs w:val="22"/>
                <w14:textFill>
                  <w14:solidFill>
                    <w14:schemeClr w14:val="tx1"/>
                  </w14:solidFill>
                </w14:textFill>
              </w:rPr>
            </w:pPr>
          </w:p>
        </w:tc>
        <w:tc>
          <w:tcPr>
            <w:tcW w:w="1008" w:type="dxa"/>
            <w:vMerge w:val="continue"/>
            <w:vAlign w:val="center"/>
          </w:tcPr>
          <w:p w14:paraId="35AE642A">
            <w:pPr>
              <w:widowControl/>
              <w:adjustRightInd/>
              <w:jc w:val="left"/>
              <w:rPr>
                <w:rFonts w:ascii="宋体" w:hAnsi="宋体" w:cs="宋体"/>
                <w:color w:val="000000" w:themeColor="text1"/>
                <w:kern w:val="0"/>
                <w:sz w:val="22"/>
                <w:szCs w:val="22"/>
                <w14:textFill>
                  <w14:solidFill>
                    <w14:schemeClr w14:val="tx1"/>
                  </w14:solidFill>
                </w14:textFill>
              </w:rPr>
            </w:pPr>
          </w:p>
        </w:tc>
      </w:tr>
      <w:tr w14:paraId="320B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724" w:type="dxa"/>
            <w:vMerge w:val="continue"/>
            <w:vAlign w:val="center"/>
          </w:tcPr>
          <w:p w14:paraId="33086C59">
            <w:pPr>
              <w:widowControl/>
              <w:adjustRightInd/>
              <w:jc w:val="left"/>
              <w:rPr>
                <w:rFonts w:ascii="宋体" w:hAnsi="宋体" w:cs="宋体"/>
                <w:color w:val="000000" w:themeColor="text1"/>
                <w:kern w:val="0"/>
                <w:sz w:val="24"/>
                <w14:textFill>
                  <w14:solidFill>
                    <w14:schemeClr w14:val="tx1"/>
                  </w14:solidFill>
                </w14:textFill>
              </w:rPr>
            </w:pPr>
          </w:p>
        </w:tc>
        <w:tc>
          <w:tcPr>
            <w:tcW w:w="456" w:type="dxa"/>
            <w:vMerge w:val="continue"/>
            <w:vAlign w:val="center"/>
          </w:tcPr>
          <w:p w14:paraId="0104CEDD">
            <w:pPr>
              <w:widowControl/>
              <w:adjustRightInd/>
              <w:jc w:val="left"/>
              <w:rPr>
                <w:rFonts w:ascii="宋体" w:hAnsi="宋体" w:cs="宋体"/>
                <w:color w:val="000000" w:themeColor="text1"/>
                <w:kern w:val="0"/>
                <w:sz w:val="24"/>
                <w14:textFill>
                  <w14:solidFill>
                    <w14:schemeClr w14:val="tx1"/>
                  </w14:solidFill>
                </w14:textFill>
              </w:rPr>
            </w:pPr>
          </w:p>
        </w:tc>
        <w:tc>
          <w:tcPr>
            <w:tcW w:w="5923" w:type="dxa"/>
            <w:shd w:val="clear" w:color="000000" w:fill="FFFFFF"/>
            <w:vAlign w:val="center"/>
          </w:tcPr>
          <w:p w14:paraId="2630E84E">
            <w:pPr>
              <w:widowControl/>
              <w:adjustRightInd/>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④对样品进行现场使用测试。测试项目包括学生日常使用项目，擦涂、折叠以及撕页，沾水等破坏测试。测试结果好的得3分，测试结果一般的得1.5分，测试结果差的不得分。</w:t>
            </w:r>
          </w:p>
        </w:tc>
        <w:tc>
          <w:tcPr>
            <w:tcW w:w="709" w:type="dxa"/>
            <w:vMerge w:val="continue"/>
            <w:vAlign w:val="center"/>
          </w:tcPr>
          <w:p w14:paraId="42BF236C">
            <w:pPr>
              <w:widowControl/>
              <w:adjustRightInd/>
              <w:jc w:val="left"/>
              <w:rPr>
                <w:rFonts w:ascii="宋体" w:hAnsi="宋体" w:cs="宋体"/>
                <w:color w:val="000000" w:themeColor="text1"/>
                <w:kern w:val="0"/>
                <w:sz w:val="22"/>
                <w:szCs w:val="22"/>
                <w14:textFill>
                  <w14:solidFill>
                    <w14:schemeClr w14:val="tx1"/>
                  </w14:solidFill>
                </w14:textFill>
              </w:rPr>
            </w:pPr>
          </w:p>
        </w:tc>
        <w:tc>
          <w:tcPr>
            <w:tcW w:w="1008" w:type="dxa"/>
            <w:vMerge w:val="continue"/>
            <w:vAlign w:val="center"/>
          </w:tcPr>
          <w:p w14:paraId="1E74EC7F">
            <w:pPr>
              <w:widowControl/>
              <w:adjustRightInd/>
              <w:jc w:val="left"/>
              <w:rPr>
                <w:rFonts w:ascii="宋体" w:hAnsi="宋体" w:cs="宋体"/>
                <w:color w:val="000000" w:themeColor="text1"/>
                <w:kern w:val="0"/>
                <w:sz w:val="22"/>
                <w:szCs w:val="22"/>
                <w14:textFill>
                  <w14:solidFill>
                    <w14:schemeClr w14:val="tx1"/>
                  </w14:solidFill>
                </w14:textFill>
              </w:rPr>
            </w:pPr>
          </w:p>
        </w:tc>
      </w:tr>
      <w:tr w14:paraId="345C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24" w:type="dxa"/>
            <w:vMerge w:val="continue"/>
            <w:vAlign w:val="center"/>
          </w:tcPr>
          <w:p w14:paraId="09346291">
            <w:pPr>
              <w:widowControl/>
              <w:adjustRightInd/>
              <w:jc w:val="left"/>
              <w:rPr>
                <w:rFonts w:ascii="宋体" w:hAnsi="宋体" w:cs="宋体"/>
                <w:color w:val="000000" w:themeColor="text1"/>
                <w:kern w:val="0"/>
                <w:sz w:val="24"/>
                <w14:textFill>
                  <w14:solidFill>
                    <w14:schemeClr w14:val="tx1"/>
                  </w14:solidFill>
                </w14:textFill>
              </w:rPr>
            </w:pPr>
          </w:p>
        </w:tc>
        <w:tc>
          <w:tcPr>
            <w:tcW w:w="456" w:type="dxa"/>
            <w:vMerge w:val="continue"/>
            <w:vAlign w:val="center"/>
          </w:tcPr>
          <w:p w14:paraId="1827051D">
            <w:pPr>
              <w:widowControl/>
              <w:adjustRightInd/>
              <w:jc w:val="left"/>
              <w:rPr>
                <w:rFonts w:ascii="宋体" w:hAnsi="宋体" w:cs="宋体"/>
                <w:color w:val="000000" w:themeColor="text1"/>
                <w:kern w:val="0"/>
                <w:sz w:val="24"/>
                <w14:textFill>
                  <w14:solidFill>
                    <w14:schemeClr w14:val="tx1"/>
                  </w14:solidFill>
                </w14:textFill>
              </w:rPr>
            </w:pPr>
          </w:p>
        </w:tc>
        <w:tc>
          <w:tcPr>
            <w:tcW w:w="5923" w:type="dxa"/>
            <w:shd w:val="clear" w:color="000000" w:fill="FFFFFF"/>
            <w:vAlign w:val="center"/>
          </w:tcPr>
          <w:p w14:paraId="1401CB44">
            <w:pPr>
              <w:widowControl/>
              <w:adjustRightInd/>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投标人样品不提供则视其投</w:t>
            </w:r>
            <w:r>
              <w:rPr>
                <w:rFonts w:hint="eastAsia" w:ascii="宋体" w:hAnsi="宋体" w:cs="宋体"/>
                <w:b/>
                <w:bCs/>
                <w:color w:val="000000" w:themeColor="text1"/>
                <w:kern w:val="0"/>
                <w:sz w:val="22"/>
                <w:szCs w:val="22"/>
                <w14:textFill>
                  <w14:solidFill>
                    <w14:schemeClr w14:val="tx1"/>
                  </w14:solidFill>
                </w14:textFill>
              </w:rPr>
              <w:t>标无效，样品提供不全则样品分为0分。</w:t>
            </w:r>
          </w:p>
        </w:tc>
        <w:tc>
          <w:tcPr>
            <w:tcW w:w="709" w:type="dxa"/>
            <w:vMerge w:val="continue"/>
            <w:vAlign w:val="center"/>
          </w:tcPr>
          <w:p w14:paraId="3B2EB259">
            <w:pPr>
              <w:widowControl/>
              <w:adjustRightInd/>
              <w:jc w:val="left"/>
              <w:rPr>
                <w:rFonts w:ascii="宋体" w:hAnsi="宋体" w:cs="宋体"/>
                <w:color w:val="000000" w:themeColor="text1"/>
                <w:kern w:val="0"/>
                <w:sz w:val="22"/>
                <w:szCs w:val="22"/>
                <w14:textFill>
                  <w14:solidFill>
                    <w14:schemeClr w14:val="tx1"/>
                  </w14:solidFill>
                </w14:textFill>
              </w:rPr>
            </w:pPr>
          </w:p>
        </w:tc>
        <w:tc>
          <w:tcPr>
            <w:tcW w:w="1008" w:type="dxa"/>
            <w:vMerge w:val="continue"/>
            <w:vAlign w:val="center"/>
          </w:tcPr>
          <w:p w14:paraId="62449BED">
            <w:pPr>
              <w:widowControl/>
              <w:adjustRightInd/>
              <w:jc w:val="left"/>
              <w:rPr>
                <w:rFonts w:ascii="宋体" w:hAnsi="宋体" w:cs="宋体"/>
                <w:color w:val="000000" w:themeColor="text1"/>
                <w:kern w:val="0"/>
                <w:sz w:val="22"/>
                <w:szCs w:val="22"/>
                <w14:textFill>
                  <w14:solidFill>
                    <w14:schemeClr w14:val="tx1"/>
                  </w14:solidFill>
                </w14:textFill>
              </w:rPr>
            </w:pPr>
          </w:p>
        </w:tc>
      </w:tr>
    </w:tbl>
    <w:p w14:paraId="2F0BC2DC">
      <w:pPr>
        <w:pStyle w:val="32"/>
        <w:rPr>
          <w:rFonts w:hAnsi="宋体" w:cs="宋体"/>
          <w:color w:val="000000" w:themeColor="text1"/>
          <w14:textFill>
            <w14:solidFill>
              <w14:schemeClr w14:val="tx1"/>
            </w14:solidFill>
          </w14:textFill>
        </w:rPr>
      </w:pPr>
    </w:p>
    <w:p w14:paraId="2AA892BC">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3、价格分（30分）</w:t>
      </w:r>
    </w:p>
    <w:tbl>
      <w:tblPr>
        <w:tblStyle w:val="62"/>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3"/>
        <w:gridCol w:w="6570"/>
      </w:tblGrid>
      <w:tr w14:paraId="0F8E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03" w:type="dxa"/>
            <w:tcBorders>
              <w:top w:val="single" w:color="auto" w:sz="4" w:space="0"/>
              <w:left w:val="single" w:color="auto" w:sz="4" w:space="0"/>
              <w:bottom w:val="single" w:color="auto" w:sz="4" w:space="0"/>
              <w:right w:val="single" w:color="auto" w:sz="4" w:space="0"/>
            </w:tcBorders>
            <w:vAlign w:val="center"/>
          </w:tcPr>
          <w:p w14:paraId="70813B39">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价格权值</w:t>
            </w:r>
          </w:p>
        </w:tc>
        <w:tc>
          <w:tcPr>
            <w:tcW w:w="6570" w:type="dxa"/>
            <w:tcBorders>
              <w:top w:val="single" w:color="auto" w:sz="4" w:space="0"/>
              <w:left w:val="single" w:color="auto" w:sz="4" w:space="0"/>
              <w:bottom w:val="single" w:color="auto" w:sz="4" w:space="0"/>
              <w:right w:val="single" w:color="auto" w:sz="4" w:space="0"/>
            </w:tcBorders>
            <w:vAlign w:val="center"/>
          </w:tcPr>
          <w:p w14:paraId="5A02BD5C">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计算方法</w:t>
            </w:r>
          </w:p>
        </w:tc>
      </w:tr>
      <w:tr w14:paraId="571D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2403" w:type="dxa"/>
            <w:tcBorders>
              <w:top w:val="single" w:color="auto" w:sz="4" w:space="0"/>
              <w:left w:val="single" w:color="auto" w:sz="4" w:space="0"/>
              <w:bottom w:val="single" w:color="auto" w:sz="4" w:space="0"/>
              <w:right w:val="single" w:color="auto" w:sz="4" w:space="0"/>
            </w:tcBorders>
            <w:vAlign w:val="center"/>
          </w:tcPr>
          <w:p w14:paraId="6F5D32A3">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价格权值=0.30</w:t>
            </w:r>
          </w:p>
        </w:tc>
        <w:tc>
          <w:tcPr>
            <w:tcW w:w="6570" w:type="dxa"/>
            <w:tcBorders>
              <w:top w:val="single" w:color="auto" w:sz="4" w:space="0"/>
              <w:left w:val="single" w:color="auto" w:sz="4" w:space="0"/>
              <w:bottom w:val="single" w:color="auto" w:sz="4" w:space="0"/>
              <w:right w:val="single" w:color="auto" w:sz="4" w:space="0"/>
            </w:tcBorders>
            <w:vAlign w:val="center"/>
          </w:tcPr>
          <w:p w14:paraId="40D414CF">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有效投标报价的最低价作为评标基准价，其最低报价为满分；按［投标报价得分=（评标基准价/投标报价）*最高分值］的计算公式计算。</w:t>
            </w:r>
          </w:p>
          <w:p w14:paraId="6CF178AA">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评标过程中，不得去掉报价中的最高报价和最低报价。</w:t>
            </w:r>
          </w:p>
          <w:p w14:paraId="6C0DA8ED">
            <w:pPr>
              <w:rPr>
                <w:rFonts w:ascii="宋体" w:hAnsi="宋体" w:cs="宋体"/>
                <w:bCs/>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对于未预留份额专门面向中小企业的政府采购货物项目，以及预留份额政府采购货物项目中的非预留部分标项，对小型和微型企业的投标报价给予</w:t>
            </w:r>
            <w:r>
              <w:rPr>
                <w:rFonts w:hint="eastAsia" w:ascii="宋体" w:hAnsi="宋体" w:cs="宋体"/>
                <w:color w:val="000000" w:themeColor="text1"/>
                <w:sz w:val="24"/>
                <w:u w:val="single"/>
                <w14:textFill>
                  <w14:solidFill>
                    <w14:schemeClr w14:val="tx1"/>
                  </w14:solidFill>
                </w14:textFill>
              </w:rPr>
              <w:t>/  %</w:t>
            </w:r>
            <w:r>
              <w:rPr>
                <w:rFonts w:hint="eastAsia" w:ascii="宋体" w:hAnsi="宋体" w:cs="宋体"/>
                <w:color w:val="000000" w:themeColor="text1"/>
                <w:sz w:val="24"/>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的扣除，用扣除后的价格参加评审。</w:t>
            </w:r>
          </w:p>
        </w:tc>
      </w:tr>
    </w:tbl>
    <w:p w14:paraId="3663F65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0"/>
          <w:szCs w:val="20"/>
          <w:shd w:val="clear" w:color="auto" w:fill="FFFFFF"/>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备注：1、投标人编制投标文件（商务技术文件部分）时，建议按此目录（序号和内容）提供评标标准相应的商务技术资料。 </w:t>
      </w:r>
    </w:p>
    <w:p w14:paraId="36A17C5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2、评分条款中涉及的业绩、荣誉、人员、社保等分公司均有效。涉及社保、劳动关系证明关系的，如人员为法人代表，则无需提供相关证明</w:t>
      </w:r>
      <w:r>
        <w:rPr>
          <w:rFonts w:ascii="宋体" w:hAnsi="宋体" w:cs="宋体"/>
          <w:color w:val="000000" w:themeColor="text1"/>
          <w:sz w:val="24"/>
          <w14:textFill>
            <w14:solidFill>
              <w14:schemeClr w14:val="tx1"/>
            </w14:solidFill>
          </w14:textFill>
        </w:rPr>
        <w:t>，提供营业执照及身份证</w:t>
      </w:r>
      <w:r>
        <w:rPr>
          <w:rFonts w:hint="eastAsia" w:ascii="宋体" w:hAnsi="宋体" w:cs="宋体"/>
          <w:color w:val="000000" w:themeColor="text1"/>
          <w:sz w:val="24"/>
          <w14:textFill>
            <w14:solidFill>
              <w14:schemeClr w14:val="tx1"/>
            </w14:solidFill>
          </w14:textFill>
        </w:rPr>
        <w:t>。</w:t>
      </w:r>
    </w:p>
    <w:p w14:paraId="210FD6A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3、投标文件中如附有外文资料，必须逐一对应翻译成中文并加盖投标人公章后附在相关外文资料后面，否则外文资料不予认可。</w:t>
      </w:r>
    </w:p>
    <w:p w14:paraId="0CE0DCBD">
      <w:pPr>
        <w:snapToGrid w:val="0"/>
        <w:spacing w:line="360" w:lineRule="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一、评标方法</w:t>
      </w:r>
    </w:p>
    <w:p w14:paraId="5A6371ED">
      <w:pPr>
        <w:adjustRightInd/>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1.本项目采用综合评分法。</w:t>
      </w:r>
      <w:r>
        <w:rPr>
          <w:rFonts w:hint="eastAsia" w:ascii="宋体" w:hAnsi="宋体" w:cs="宋体"/>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14:paraId="7977CBC5">
      <w:pPr>
        <w:adjustRightInd/>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二、评标标准</w:t>
      </w:r>
    </w:p>
    <w:p w14:paraId="728A0E4E">
      <w:pPr>
        <w:spacing w:line="360" w:lineRule="auto"/>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评标标准：</w:t>
      </w:r>
      <w:r>
        <w:rPr>
          <w:rFonts w:hint="eastAsia" w:ascii="宋体" w:hAnsi="宋体" w:cs="宋体"/>
          <w:color w:val="000000" w:themeColor="text1"/>
          <w:kern w:val="0"/>
          <w:sz w:val="24"/>
          <w14:textFill>
            <w14:solidFill>
              <w14:schemeClr w14:val="tx1"/>
            </w14:solidFill>
          </w14:textFill>
        </w:rPr>
        <w:t>见评标办法前附表。</w:t>
      </w:r>
    </w:p>
    <w:p w14:paraId="7699390B">
      <w:pPr>
        <w:spacing w:line="360" w:lineRule="auto"/>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三、评标程序</w:t>
      </w:r>
    </w:p>
    <w:p w14:paraId="4FD5321F">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3A53E2DF">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比较与评价。</w:t>
      </w:r>
      <w:r>
        <w:rPr>
          <w:rFonts w:hint="eastAsia" w:ascii="宋体" w:hAnsi="宋体" w:cs="宋体"/>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14:paraId="566B9091">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3.3汇总商务技术得分。</w:t>
      </w:r>
      <w:r>
        <w:rPr>
          <w:rFonts w:hint="eastAsia" w:ascii="宋体" w:hAnsi="宋体" w:cs="宋体"/>
          <w:color w:val="000000" w:themeColor="text1"/>
          <w:kern w:val="0"/>
          <w:sz w:val="24"/>
          <w14:textFill>
            <w14:solidFill>
              <w14:schemeClr w14:val="tx1"/>
            </w14:solidFill>
          </w14:textFill>
        </w:rPr>
        <w:t>评标委员会各成员应当独立对每个投标人的商务和技术文件进行评价，并汇总商务技术得分情况。</w:t>
      </w:r>
    </w:p>
    <w:p w14:paraId="565A9782">
      <w:pPr>
        <w:spacing w:line="360" w:lineRule="auto"/>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3.4报价评审。</w:t>
      </w:r>
    </w:p>
    <w:p w14:paraId="0EDE3F93">
      <w:pPr>
        <w:pStyle w:val="128"/>
        <w:spacing w:before="0"/>
        <w:ind w:firstLine="508" w:firstLineChars="212"/>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3.4.1投标文件报价出现前后不一致的，按照下列规定修正：</w:t>
      </w:r>
    </w:p>
    <w:p w14:paraId="115192E4">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p>
    <w:p w14:paraId="63A87A68">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3.4.1.2大写金额和小写金额不一致的，以大写金额为准;</w:t>
      </w:r>
    </w:p>
    <w:p w14:paraId="7F7B53CA">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3.4.1.3单价金额小数点或者百分比有明显错位的，以开标一览表的总价为准，并修改单价;</w:t>
      </w:r>
    </w:p>
    <w:p w14:paraId="1EDBAB5D">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3.4.1.4总价金额与按单价汇总金额不一致的，以单价金额计算结果为准。</w:t>
      </w:r>
    </w:p>
    <w:p w14:paraId="4097461E">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70A727F1">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3.4.2投标文件出现不是唯一的、有选择性投标报价的，投标无效。</w:t>
      </w:r>
    </w:p>
    <w:p w14:paraId="11D43A9A">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3.4.3投标报价超过招标文件中规定的预算金额或者最高限价的，投标无效。</w:t>
      </w:r>
    </w:p>
    <w:p w14:paraId="1D08E63E">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4EC966C">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3.4.5对于未预留份额专门面向中小企业的政府采购货物项目，以及预留份额政府采购货物项目中的非预留部分标项，对小型和微型企业的投标报价给予10%-</w:t>
      </w:r>
      <w:r>
        <w:rPr>
          <w:rFonts w:ascii="宋体" w:hAnsi="宋体" w:cs="宋体"/>
          <w:color w:val="000000" w:themeColor="text1"/>
          <w:kern w:val="0"/>
          <w:szCs w:val="24"/>
          <w14:textFill>
            <w14:solidFill>
              <w14:schemeClr w14:val="tx1"/>
            </w14:solidFill>
          </w14:textFill>
        </w:rPr>
        <w:t>20</w:t>
      </w:r>
      <w:r>
        <w:rPr>
          <w:rFonts w:hint="eastAsia" w:ascii="宋体" w:hAnsi="宋体" w:cs="宋体"/>
          <w:color w:val="000000" w:themeColor="text1"/>
          <w:kern w:val="0"/>
          <w:szCs w:val="24"/>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14:textFill>
            <w14:solidFill>
              <w14:schemeClr w14:val="tx1"/>
            </w14:solidFill>
          </w14:textFill>
        </w:rPr>
        <w:t>6</w:t>
      </w:r>
      <w:r>
        <w:rPr>
          <w:rFonts w:hint="eastAsia" w:ascii="宋体" w:hAnsi="宋体" w:cs="宋体"/>
          <w:color w:val="000000" w:themeColor="text1"/>
          <w:kern w:val="0"/>
          <w:szCs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273734E9">
      <w:pPr>
        <w:spacing w:line="36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3.5排序与推荐。</w:t>
      </w:r>
      <w:r>
        <w:rPr>
          <w:rFonts w:hint="eastAsia" w:ascii="宋体" w:hAnsi="宋体" w:cs="宋体"/>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77F3A92">
      <w:pPr>
        <w:spacing w:line="360" w:lineRule="auto"/>
        <w:ind w:firstLine="480"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78CCF86">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3.6编写评标报告。</w:t>
      </w:r>
      <w:r>
        <w:rPr>
          <w:rFonts w:hint="eastAsia" w:ascii="宋体" w:hAnsi="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D6E1FA3">
      <w:pPr>
        <w:widowControl/>
        <w:shd w:val="clear" w:color="auto" w:fill="FFFFFF"/>
        <w:adjustRightInd/>
        <w:spacing w:after="225" w:line="315" w:lineRule="atLeast"/>
        <w:jc w:val="left"/>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四、评标中的其他事项</w:t>
      </w:r>
    </w:p>
    <w:p w14:paraId="1FB25BB6">
      <w:pPr>
        <w:pStyle w:val="128"/>
        <w:spacing w:before="0"/>
        <w:ind w:firstLine="472" w:firstLineChars="196"/>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4.1投标人澄清、说明或者补正。</w:t>
      </w:r>
      <w:r>
        <w:rPr>
          <w:rFonts w:hint="eastAsia" w:ascii="宋体" w:hAnsi="宋体"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E570443">
      <w:pPr>
        <w:pStyle w:val="24"/>
        <w:spacing w:line="360" w:lineRule="auto"/>
        <w:ind w:left="954" w:leftChars="226" w:hanging="479" w:firstLineChars="0"/>
        <w:rPr>
          <w:rFonts w:cs="宋体"/>
          <w:color w:val="000000" w:themeColor="text1"/>
          <w:szCs w:val="21"/>
          <w14:textFill>
            <w14:solidFill>
              <w14:schemeClr w14:val="tx1"/>
            </w14:solidFill>
          </w14:textFill>
        </w:rPr>
      </w:pPr>
      <w:r>
        <w:rPr>
          <w:rFonts w:hint="eastAsia" w:cs="宋体"/>
          <w:b/>
          <w:color w:val="000000" w:themeColor="text1"/>
          <w:kern w:val="0"/>
          <w14:textFill>
            <w14:solidFill>
              <w14:schemeClr w14:val="tx1"/>
            </w14:solidFill>
          </w14:textFill>
        </w:rPr>
        <w:t>4.2投标无效。</w:t>
      </w:r>
      <w:r>
        <w:rPr>
          <w:rFonts w:hint="eastAsia" w:cs="宋体"/>
          <w:color w:val="000000" w:themeColor="text1"/>
          <w:szCs w:val="21"/>
          <w14:textFill>
            <w14:solidFill>
              <w14:schemeClr w14:val="tx1"/>
            </w14:solidFill>
          </w14:textFill>
        </w:rPr>
        <w:t>有下列情形之一的，投标无效：</w:t>
      </w:r>
    </w:p>
    <w:p w14:paraId="0A3C9A27">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14:paraId="042E872D">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4.2.2投标文件未按照招标文件要求签署、盖章的；</w:t>
      </w:r>
    </w:p>
    <w:p w14:paraId="36D7BCA8">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3A22DF78">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4.2.4投标文件含有采购人不能接受的附加条件的；</w:t>
      </w:r>
    </w:p>
    <w:p w14:paraId="5BC9C27D">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4.2.5投标文件中承诺的投标有效期少于招标文件中载明的投标有效期的；</w:t>
      </w:r>
    </w:p>
    <w:p w14:paraId="4853E7E5">
      <w:pPr>
        <w:snapToGrid w:val="0"/>
        <w:spacing w:line="360" w:lineRule="auto"/>
        <w:ind w:firstLine="120" w:firstLineChars="5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4.2.6投标文件出现不是唯一的、有选择性投标报价的;</w:t>
      </w:r>
    </w:p>
    <w:p w14:paraId="571BFEC3">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4.2.7投标报价超过招标文件中规定的预算金额或者最高限价的;</w:t>
      </w:r>
    </w:p>
    <w:p w14:paraId="49660F11">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2C044525">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4.2.9投标人对根据修正原则修正后的报价不确认的；</w:t>
      </w:r>
    </w:p>
    <w:p w14:paraId="71A89790">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4.2.10投标人提供虚假材料投标的；</w:t>
      </w:r>
    </w:p>
    <w:p w14:paraId="740768F1">
      <w:pPr>
        <w:spacing w:line="360" w:lineRule="auto"/>
        <w:ind w:firstLine="240" w:firstLineChars="1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4.2.11投标人有恶意串通、妨碍其他投标人的竞争行为、损害采购人或者其他投标人的合法权益情形的；</w:t>
      </w:r>
    </w:p>
    <w:p w14:paraId="381F94B9">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4.2.12投标人仅提交备份投标文件，未在电子交易平台传输递交投标文件的，投标无效；</w:t>
      </w:r>
    </w:p>
    <w:p w14:paraId="5D653061">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4.2.13投标人未提供样品或提供的样品不满足采购需求实质性条件的，投标无效；</w:t>
      </w:r>
    </w:p>
    <w:p w14:paraId="71599002">
      <w:pPr>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4.2.14 投标文件不满足招标文件的实质性要求的；</w:t>
      </w:r>
    </w:p>
    <w:p w14:paraId="68AB343E">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4.2.15法律、法规、规章（适用本市的）及省级以上规范性文件（适用本市的）规定的其他无效情形。</w:t>
      </w:r>
    </w:p>
    <w:p w14:paraId="609C9BBA">
      <w:pPr>
        <w:pStyle w:val="24"/>
        <w:snapToGrid w:val="0"/>
        <w:spacing w:line="360" w:lineRule="auto"/>
        <w:ind w:firstLine="472" w:firstLineChars="196"/>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14:paraId="6D9629B4">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5.1符合专业条件的供应商或者对招标文件作实质响应的供应商不足3家的；</w:t>
      </w:r>
    </w:p>
    <w:p w14:paraId="59E10C80">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14:paraId="7099E9BA">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5.3投标人的报价均超过了采购预算，采购人不能支付的；</w:t>
      </w:r>
    </w:p>
    <w:p w14:paraId="64F67474">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14:paraId="185F3DEC">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废标后，采购代理机构应当将废标理由通知所有投标人。</w:t>
      </w:r>
    </w:p>
    <w:p w14:paraId="42339139">
      <w:pPr>
        <w:pStyle w:val="24"/>
        <w:snapToGrid w:val="0"/>
        <w:spacing w:line="360" w:lineRule="auto"/>
        <w:ind w:firstLine="590" w:firstLineChars="245"/>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6.修改招标文件，重新组织采购活动。</w:t>
      </w:r>
      <w:r>
        <w:rPr>
          <w:rFonts w:hint="eastAsia"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025DBF1">
      <w:pPr>
        <w:pStyle w:val="24"/>
        <w:snapToGrid w:val="0"/>
        <w:spacing w:line="360" w:lineRule="auto"/>
        <w:ind w:firstLine="482"/>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7.重新开展采购。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有政府采购法第七十一条、第七十二条规定的违法行为之一，影响或者可能影响中标结果的，依照下列规定处理：</w:t>
      </w:r>
    </w:p>
    <w:p w14:paraId="77B524A1">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7.1未确定中标供应商的，终止本次政府采购活动，重新开展政府采购活动。</w:t>
      </w:r>
    </w:p>
    <w:p w14:paraId="740DB9F2">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5F053A5A">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3E98562C">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7.4政府采购合同已经履行，给采购人、供应商造成损失的，由责任人承担赔偿责任。</w:t>
      </w:r>
    </w:p>
    <w:p w14:paraId="42A1F594">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504F4E74">
      <w:pP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br w:type="page"/>
      </w:r>
    </w:p>
    <w:p w14:paraId="2C50C541">
      <w:pPr>
        <w:pStyle w:val="24"/>
        <w:snapToGrid w:val="0"/>
        <w:spacing w:line="360" w:lineRule="auto"/>
        <w:ind w:firstLine="723"/>
        <w:jc w:val="center"/>
        <w:rPr>
          <w:rFonts w:cs="宋体"/>
          <w:b/>
          <w:color w:val="000000" w:themeColor="text1"/>
          <w:sz w:val="36"/>
          <w:szCs w:val="36"/>
          <w14:textFill>
            <w14:solidFill>
              <w14:schemeClr w14:val="tx1"/>
            </w14:solidFill>
          </w14:textFill>
        </w:rPr>
      </w:pPr>
      <w:r>
        <w:rPr>
          <w:rFonts w:hint="eastAsia" w:cs="宋体"/>
          <w:b/>
          <w:color w:val="000000" w:themeColor="text1"/>
          <w:sz w:val="36"/>
          <w:szCs w:val="36"/>
          <w14:textFill>
            <w14:solidFill>
              <w14:schemeClr w14:val="tx1"/>
            </w14:solidFill>
          </w14:textFill>
        </w:rPr>
        <w:t>第五部分 拟签订的合同文本</w:t>
      </w:r>
    </w:p>
    <w:p w14:paraId="30E83467">
      <w:pPr>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合同编号：</w:t>
      </w:r>
      <w:r>
        <w:rPr>
          <w:rFonts w:hint="eastAsia" w:ascii="宋体" w:hAnsi="宋体" w:cs="宋体"/>
          <w:color w:val="000000" w:themeColor="text1"/>
          <w:sz w:val="24"/>
          <w:u w:val="single"/>
          <w14:textFill>
            <w14:solidFill>
              <w14:schemeClr w14:val="tx1"/>
            </w14:solidFill>
          </w14:textFill>
        </w:rPr>
        <w:t xml:space="preserve">           </w:t>
      </w:r>
    </w:p>
    <w:p w14:paraId="138E92B1">
      <w:pPr>
        <w:spacing w:line="480" w:lineRule="auto"/>
        <w:jc w:val="center"/>
        <w:rPr>
          <w:rFonts w:ascii="宋体" w:hAnsi="宋体" w:cs="宋体"/>
          <w:b/>
          <w:color w:val="000000" w:themeColor="text1"/>
          <w:sz w:val="36"/>
          <w:szCs w:val="36"/>
          <w14:textFill>
            <w14:solidFill>
              <w14:schemeClr w14:val="tx1"/>
            </w14:solidFill>
          </w14:textFill>
        </w:rPr>
      </w:pPr>
    </w:p>
    <w:p w14:paraId="15A28D49">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政府采购合同参考范本</w:t>
      </w:r>
    </w:p>
    <w:p w14:paraId="6BF3F681">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（货物类）</w:t>
      </w:r>
    </w:p>
    <w:p w14:paraId="5EE712A8">
      <w:pPr>
        <w:pStyle w:val="699"/>
        <w:ind w:left="0" w:leftChars="0" w:firstLine="2891" w:firstLineChars="1200"/>
        <w:rPr>
          <w:rFonts w:ascii="宋体" w:hAnsi="宋体" w:cs="宋体"/>
          <w:b/>
          <w:color w:val="000000" w:themeColor="text1"/>
          <w:szCs w:val="24"/>
          <w14:textFill>
            <w14:solidFill>
              <w14:schemeClr w14:val="tx1"/>
            </w14:solidFill>
          </w14:textFill>
        </w:rPr>
      </w:pPr>
    </w:p>
    <w:p w14:paraId="0E688038">
      <w:pPr>
        <w:pStyle w:val="699"/>
        <w:numPr>
          <w:ilvl w:val="0"/>
          <w:numId w:val="10"/>
        </w:numPr>
        <w:ind w:left="0" w:leftChars="0" w:firstLine="2891" w:firstLineChars="1200"/>
        <w:rPr>
          <w:color w:val="000000" w:themeColor="text1"/>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合同书</w:t>
      </w:r>
    </w:p>
    <w:p w14:paraId="6CEA0487">
      <w:pPr>
        <w:pStyle w:val="699"/>
        <w:ind w:left="0" w:leftChars="0" w:firstLine="0" w:firstLineChars="0"/>
        <w:rPr>
          <w:rFonts w:ascii="宋体" w:hAnsi="宋体" w:cs="宋体"/>
          <w:color w:val="000000" w:themeColor="text1"/>
          <w:szCs w:val="24"/>
          <w14:textFill>
            <w14:solidFill>
              <w14:schemeClr w14:val="tx1"/>
            </w14:solidFill>
          </w14:textFill>
        </w:rPr>
      </w:pPr>
    </w:p>
    <w:p w14:paraId="37DDF7AB">
      <w:pPr>
        <w:spacing w:before="120" w:line="22" w:lineRule="atLeast"/>
        <w:rPr>
          <w:rFonts w:ascii="宋体" w:hAnsi="宋体" w:cs="宋体"/>
          <w:color w:val="000000" w:themeColor="text1"/>
          <w:sz w:val="24"/>
          <w14:textFill>
            <w14:solidFill>
              <w14:schemeClr w14:val="tx1"/>
            </w14:solidFill>
          </w14:textFill>
        </w:rPr>
      </w:pPr>
    </w:p>
    <w:p w14:paraId="0F0882CD">
      <w:pPr>
        <w:spacing w:before="120" w:line="22" w:lineRule="atLeast"/>
        <w:ind w:left="9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 xml:space="preserve">                                   </w:t>
      </w:r>
    </w:p>
    <w:p w14:paraId="72D2C5A6">
      <w:pPr>
        <w:pStyle w:val="596"/>
        <w:spacing w:before="120" w:line="22" w:lineRule="atLeast"/>
        <w:rPr>
          <w:rFonts w:ascii="宋体" w:hAnsi="宋体" w:eastAsia="宋体" w:cs="宋体"/>
          <w:color w:val="000000" w:themeColor="text1"/>
          <w:szCs w:val="24"/>
          <w14:textFill>
            <w14:solidFill>
              <w14:schemeClr w14:val="tx1"/>
            </w14:solidFill>
          </w14:textFill>
        </w:rPr>
      </w:pPr>
    </w:p>
    <w:p w14:paraId="7504B168">
      <w:pPr>
        <w:rPr>
          <w:rFonts w:ascii="宋体" w:hAnsi="宋体" w:cs="宋体"/>
          <w:color w:val="000000" w:themeColor="text1"/>
          <w:sz w:val="24"/>
          <w14:textFill>
            <w14:solidFill>
              <w14:schemeClr w14:val="tx1"/>
            </w14:solidFill>
          </w14:textFill>
        </w:rPr>
      </w:pPr>
    </w:p>
    <w:p w14:paraId="6F0281F3">
      <w:pPr>
        <w:spacing w:before="120" w:line="22" w:lineRule="atLeast"/>
        <w:ind w:left="96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w:t>
      </w:r>
      <w:r>
        <w:rPr>
          <w:rFonts w:hint="eastAsia" w:ascii="宋体" w:hAnsi="宋体" w:cs="宋体"/>
          <w:color w:val="000000" w:themeColor="text1"/>
          <w:sz w:val="24"/>
          <w:u w:val="single"/>
          <w14:textFill>
            <w14:solidFill>
              <w14:schemeClr w14:val="tx1"/>
            </w14:solidFill>
          </w14:textFill>
        </w:rPr>
        <w:t xml:space="preserve">                                       </w:t>
      </w:r>
    </w:p>
    <w:p w14:paraId="145808C6">
      <w:pPr>
        <w:spacing w:before="120" w:line="22" w:lineRule="atLeast"/>
        <w:rPr>
          <w:rFonts w:ascii="宋体" w:hAnsi="宋体" w:cs="宋体"/>
          <w:color w:val="000000" w:themeColor="text1"/>
          <w:sz w:val="24"/>
          <w14:textFill>
            <w14:solidFill>
              <w14:schemeClr w14:val="tx1"/>
            </w14:solidFill>
          </w14:textFill>
        </w:rPr>
      </w:pPr>
    </w:p>
    <w:p w14:paraId="696C623F">
      <w:pPr>
        <w:spacing w:before="120" w:line="22" w:lineRule="atLeast"/>
        <w:ind w:left="96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w:t>
      </w:r>
      <w:r>
        <w:rPr>
          <w:rFonts w:hint="eastAsia" w:ascii="宋体" w:hAnsi="宋体" w:cs="宋体"/>
          <w:color w:val="000000" w:themeColor="text1"/>
          <w:sz w:val="24"/>
          <w:u w:val="single"/>
          <w14:textFill>
            <w14:solidFill>
              <w14:schemeClr w14:val="tx1"/>
            </w14:solidFill>
          </w14:textFill>
        </w:rPr>
        <w:t xml:space="preserve">                                       </w:t>
      </w:r>
    </w:p>
    <w:p w14:paraId="0DB0933E">
      <w:pPr>
        <w:spacing w:before="120" w:line="22" w:lineRule="atLeast"/>
        <w:rPr>
          <w:rFonts w:ascii="宋体" w:hAnsi="宋体" w:cs="宋体"/>
          <w:color w:val="000000" w:themeColor="text1"/>
          <w:sz w:val="24"/>
          <w14:textFill>
            <w14:solidFill>
              <w14:schemeClr w14:val="tx1"/>
            </w14:solidFill>
          </w14:textFill>
        </w:rPr>
      </w:pPr>
    </w:p>
    <w:p w14:paraId="79A7ADCD">
      <w:pPr>
        <w:spacing w:before="120" w:line="22" w:lineRule="atLeast"/>
        <w:ind w:firstLine="960" w:firstLineChars="4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签订地：</w:t>
      </w:r>
      <w:r>
        <w:rPr>
          <w:rFonts w:hint="eastAsia" w:ascii="宋体" w:hAnsi="宋体" w:cs="宋体"/>
          <w:color w:val="000000" w:themeColor="text1"/>
          <w:sz w:val="24"/>
          <w:u w:val="single"/>
          <w14:textFill>
            <w14:solidFill>
              <w14:schemeClr w14:val="tx1"/>
            </w14:solidFill>
          </w14:textFill>
        </w:rPr>
        <w:t xml:space="preserve">                                     </w:t>
      </w:r>
    </w:p>
    <w:p w14:paraId="76A6ABA9">
      <w:pPr>
        <w:spacing w:before="120" w:line="22" w:lineRule="atLeast"/>
        <w:rPr>
          <w:rFonts w:ascii="宋体" w:hAnsi="宋体" w:cs="宋体"/>
          <w:color w:val="000000" w:themeColor="text1"/>
          <w:sz w:val="24"/>
          <w14:textFill>
            <w14:solidFill>
              <w14:schemeClr w14:val="tx1"/>
            </w14:solidFill>
          </w14:textFill>
        </w:rPr>
      </w:pPr>
    </w:p>
    <w:p w14:paraId="2B70F28C">
      <w:pPr>
        <w:spacing w:before="120" w:line="22" w:lineRule="atLeast"/>
        <w:ind w:firstLine="960" w:firstLineChars="4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133E52A3">
      <w:pPr>
        <w:widowControl/>
        <w:jc w:val="left"/>
        <w:rPr>
          <w:rFonts w:ascii="宋体" w:hAnsi="宋体" w:cs="宋体"/>
          <w:color w:val="000000" w:themeColor="text1"/>
          <w:kern w:val="0"/>
          <w:sz w:val="24"/>
          <w14:textFill>
            <w14:solidFill>
              <w14:schemeClr w14:val="tx1"/>
            </w14:solidFill>
          </w14:textFill>
        </w:rPr>
        <w:sectPr>
          <w:pgSz w:w="11907" w:h="16840"/>
          <w:pgMar w:top="1474" w:right="1814" w:bottom="1474" w:left="1814" w:header="851" w:footer="851" w:gutter="0"/>
          <w:cols w:space="720" w:num="1"/>
        </w:sectPr>
      </w:pPr>
    </w:p>
    <w:p w14:paraId="7DD12049">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年</w:t>
      </w: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月</w:t>
      </w: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（采购人）   </w:t>
      </w:r>
      <w:r>
        <w:rPr>
          <w:rFonts w:hint="eastAsia" w:ascii="宋体" w:hAnsi="宋体" w:cs="宋体"/>
          <w:color w:val="000000" w:themeColor="text1"/>
          <w:sz w:val="24"/>
          <w14:textFill>
            <w14:solidFill>
              <w14:schemeClr w14:val="tx1"/>
            </w14:solidFill>
          </w14:textFill>
        </w:rPr>
        <w:t>以</w:t>
      </w:r>
      <w:r>
        <w:rPr>
          <w:rFonts w:hint="eastAsia" w:ascii="宋体" w:hAnsi="宋体" w:cs="宋体"/>
          <w:color w:val="000000" w:themeColor="text1"/>
          <w:sz w:val="24"/>
          <w:u w:val="single"/>
          <w14:textFill>
            <w14:solidFill>
              <w14:schemeClr w14:val="tx1"/>
            </w14:solidFill>
          </w14:textFill>
        </w:rPr>
        <w:t xml:space="preserve">   （政府采购方式）  </w:t>
      </w:r>
      <w:r>
        <w:rPr>
          <w:rFonts w:hint="eastAsia" w:ascii="宋体" w:hAnsi="宋体" w:cs="宋体"/>
          <w:color w:val="000000" w:themeColor="text1"/>
          <w:sz w:val="24"/>
          <w14:textFill>
            <w14:solidFill>
              <w14:schemeClr w14:val="tx1"/>
            </w14:solidFill>
          </w14:textFill>
        </w:rPr>
        <w:t>对</w:t>
      </w:r>
      <w:r>
        <w:rPr>
          <w:rFonts w:hint="eastAsia" w:ascii="宋体" w:hAnsi="宋体" w:cs="宋体"/>
          <w:color w:val="000000" w:themeColor="text1"/>
          <w:sz w:val="24"/>
          <w:u w:val="single"/>
          <w14:textFill>
            <w14:solidFill>
              <w14:schemeClr w14:val="tx1"/>
            </w14:solidFill>
          </w14:textFill>
        </w:rPr>
        <w:t xml:space="preserve">   （项目名称、编号）   </w:t>
      </w:r>
      <w:r>
        <w:rPr>
          <w:rFonts w:hint="eastAsia" w:ascii="宋体" w:hAnsi="宋体" w:cs="宋体"/>
          <w:color w:val="000000" w:themeColor="text1"/>
          <w:sz w:val="24"/>
          <w14:textFill>
            <w14:solidFill>
              <w14:schemeClr w14:val="tx1"/>
            </w14:solidFill>
          </w14:textFill>
        </w:rPr>
        <w:t>项目进行了采购。经</w:t>
      </w:r>
      <w:r>
        <w:rPr>
          <w:rFonts w:hint="eastAsia" w:ascii="宋体" w:hAnsi="宋体" w:cs="宋体"/>
          <w:color w:val="000000" w:themeColor="text1"/>
          <w:sz w:val="24"/>
          <w:u w:val="single"/>
          <w14:textFill>
            <w14:solidFill>
              <w14:schemeClr w14:val="tx1"/>
            </w14:solidFill>
          </w14:textFill>
        </w:rPr>
        <w:t xml:space="preserve">   （相关评定主体名称）   </w:t>
      </w:r>
      <w:r>
        <w:rPr>
          <w:rFonts w:hint="eastAsia" w:ascii="宋体" w:hAnsi="宋体" w:cs="宋体"/>
          <w:color w:val="000000" w:themeColor="text1"/>
          <w:sz w:val="24"/>
          <w14:textFill>
            <w14:solidFill>
              <w14:schemeClr w14:val="tx1"/>
            </w14:solidFill>
          </w14:textFill>
        </w:rPr>
        <w:t>评定，</w:t>
      </w:r>
      <w:r>
        <w:rPr>
          <w:rFonts w:hint="eastAsia" w:ascii="宋体" w:hAnsi="宋体" w:cs="宋体"/>
          <w:color w:val="000000" w:themeColor="text1"/>
          <w:sz w:val="24"/>
          <w:u w:val="single"/>
          <w14:textFill>
            <w14:solidFill>
              <w14:schemeClr w14:val="tx1"/>
            </w14:solidFill>
          </w14:textFill>
        </w:rPr>
        <w:t xml:space="preserve">   （中标或者成交供应商名称）</w:t>
      </w:r>
      <w:r>
        <w:rPr>
          <w:rFonts w:hint="eastAsia" w:ascii="宋体" w:hAnsi="宋体" w:cs="宋体"/>
          <w:color w:val="000000" w:themeColor="text1"/>
          <w:sz w:val="24"/>
          <w14:textFill>
            <w14:solidFill>
              <w14:schemeClr w14:val="tx1"/>
            </w14:solidFill>
          </w14:textFill>
        </w:rPr>
        <w:t>为该项目中标或者成交供应商。现于中标或者成交通知书发出之日起10个工作日内，按照采购文件等确定的事项签订本合同。</w:t>
      </w:r>
    </w:p>
    <w:p w14:paraId="2C2FCFC8">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宋体" w:hAnsi="宋体" w:cs="宋体"/>
          <w:color w:val="000000" w:themeColor="text1"/>
          <w:sz w:val="24"/>
          <w:u w:val="single"/>
          <w14:textFill>
            <w14:solidFill>
              <w14:schemeClr w14:val="tx1"/>
            </w14:solidFill>
          </w14:textFill>
        </w:rPr>
        <w:t xml:space="preserve">   （采购人）   </w:t>
      </w:r>
      <w:r>
        <w:rPr>
          <w:rFonts w:hint="eastAsia" w:ascii="宋体" w:hAnsi="宋体" w:cs="宋体"/>
          <w:color w:val="000000" w:themeColor="text1"/>
          <w:sz w:val="24"/>
          <w:lang w:val="zh-CN"/>
          <w14:textFill>
            <w14:solidFill>
              <w14:schemeClr w14:val="tx1"/>
            </w14:solidFill>
          </w14:textFill>
        </w:rPr>
        <w:t>(以下简称：甲方)和</w:t>
      </w:r>
      <w:r>
        <w:rPr>
          <w:rFonts w:hint="eastAsia" w:ascii="宋体" w:hAnsi="宋体" w:cs="宋体"/>
          <w:color w:val="000000" w:themeColor="text1"/>
          <w:sz w:val="24"/>
          <w:u w:val="single"/>
          <w14:textFill>
            <w14:solidFill>
              <w14:schemeClr w14:val="tx1"/>
            </w14:solidFill>
          </w14:textFill>
        </w:rPr>
        <w:t xml:space="preserve">   （中标或者成交供应商名称）   </w:t>
      </w:r>
      <w:r>
        <w:rPr>
          <w:rFonts w:hint="eastAsia" w:ascii="宋体" w:hAnsi="宋体" w:cs="宋体"/>
          <w:color w:val="000000" w:themeColor="text1"/>
          <w:sz w:val="24"/>
          <w:lang w:val="zh-CN"/>
          <w14:textFill>
            <w14:solidFill>
              <w14:schemeClr w14:val="tx1"/>
            </w14:solidFill>
          </w14:textFill>
        </w:rPr>
        <w:t>(以下简称：乙方)协商一致，约定以下合同</w:t>
      </w:r>
      <w:r>
        <w:rPr>
          <w:rFonts w:hint="eastAsia" w:ascii="宋体" w:hAnsi="宋体" w:cs="宋体"/>
          <w:color w:val="000000" w:themeColor="text1"/>
          <w:sz w:val="24"/>
          <w14:textFill>
            <w14:solidFill>
              <w14:schemeClr w14:val="tx1"/>
            </w14:solidFill>
          </w14:textFill>
        </w:rPr>
        <w:t>条款，以兹共同遵守、全面履行。</w:t>
      </w:r>
    </w:p>
    <w:p w14:paraId="0C067745">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395" w:name="_Toc3029"/>
      <w:bookmarkStart w:id="396" w:name="_Toc24059"/>
      <w:bookmarkStart w:id="397" w:name="_Toc2232"/>
      <w:r>
        <w:rPr>
          <w:rFonts w:hint="eastAsia" w:ascii="宋体" w:hAnsi="宋体" w:cs="宋体"/>
          <w:b/>
          <w:color w:val="000000" w:themeColor="text1"/>
          <w:sz w:val="24"/>
          <w14:textFill>
            <w14:solidFill>
              <w14:schemeClr w14:val="tx1"/>
            </w14:solidFill>
          </w14:textFill>
        </w:rPr>
        <w:t>1.1 合同组成部分</w:t>
      </w:r>
      <w:bookmarkEnd w:id="395"/>
      <w:bookmarkEnd w:id="396"/>
      <w:bookmarkEnd w:id="397"/>
    </w:p>
    <w:p w14:paraId="10F734BA">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B128AE6">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 本合同及其补充合同、变更协议；</w:t>
      </w:r>
    </w:p>
    <w:p w14:paraId="1B549203">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 中标或者成交通知书；</w:t>
      </w:r>
    </w:p>
    <w:p w14:paraId="11D91742">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 投标或者响应文件（含澄清或者说明文件）；</w:t>
      </w:r>
    </w:p>
    <w:p w14:paraId="299FE499">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1.1.4 采购文件（含澄清或者修改文件）；</w:t>
      </w:r>
    </w:p>
    <w:p w14:paraId="62B92B59">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1.1.5 其他相关采购文件。</w:t>
      </w:r>
    </w:p>
    <w:p w14:paraId="3E84C87D">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398" w:name="_Toc21295"/>
      <w:bookmarkStart w:id="399" w:name="_Toc27126"/>
      <w:bookmarkStart w:id="400" w:name="_Toc24300"/>
      <w:r>
        <w:rPr>
          <w:rFonts w:hint="eastAsia" w:ascii="宋体" w:hAnsi="宋体" w:cs="宋体"/>
          <w:b/>
          <w:color w:val="000000" w:themeColor="text1"/>
          <w:sz w:val="24"/>
          <w14:textFill>
            <w14:solidFill>
              <w14:schemeClr w14:val="tx1"/>
            </w14:solidFill>
          </w14:textFill>
        </w:rPr>
        <w:t>1.2 货物</w:t>
      </w:r>
      <w:bookmarkEnd w:id="398"/>
      <w:bookmarkEnd w:id="399"/>
      <w:bookmarkEnd w:id="400"/>
    </w:p>
    <w:p w14:paraId="2353C0CC">
      <w:pPr>
        <w:spacing w:line="5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1.2.1 货物名称、品牌、规格型号、花色：</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4006D3E9">
      <w:pPr>
        <w:spacing w:line="5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1.2.2 货物数量：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662AD23F">
      <w:pPr>
        <w:spacing w:line="5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1.2.3 货物质量：</w:t>
      </w:r>
      <w:r>
        <w:rPr>
          <w:rFonts w:hint="eastAsia" w:ascii="宋体" w:hAnsi="宋体" w:cs="宋体"/>
          <w:color w:val="000000" w:themeColor="text1"/>
          <w:sz w:val="24"/>
          <w:u w:val="single"/>
          <w14:textFill>
            <w14:solidFill>
              <w14:schemeClr w14:val="tx1"/>
            </w14:solidFill>
          </w14:textFill>
        </w:rPr>
        <w:t>　　　　　　　　　                      　      ；</w:t>
      </w:r>
    </w:p>
    <w:p w14:paraId="7A8CA628">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01" w:name="_Toc21631"/>
      <w:bookmarkStart w:id="402" w:name="_Toc23292"/>
      <w:bookmarkStart w:id="403" w:name="_Toc21551"/>
      <w:r>
        <w:rPr>
          <w:rFonts w:hint="eastAsia" w:ascii="宋体" w:hAnsi="宋体" w:cs="宋体"/>
          <w:b/>
          <w:color w:val="000000" w:themeColor="text1"/>
          <w:sz w:val="24"/>
          <w14:textFill>
            <w14:solidFill>
              <w14:schemeClr w14:val="tx1"/>
            </w14:solidFill>
          </w14:textFill>
        </w:rPr>
        <w:t>1.3 价款</w:t>
      </w:r>
      <w:bookmarkEnd w:id="401"/>
      <w:bookmarkEnd w:id="402"/>
      <w:bookmarkEnd w:id="403"/>
    </w:p>
    <w:p w14:paraId="74D33D20">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本合同总价（含税）为：￥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元（大写：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元人民币）。</w:t>
      </w:r>
    </w:p>
    <w:p w14:paraId="74957182">
      <w:pPr>
        <w:spacing w:line="5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465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4BDC2D9">
            <w:pPr>
              <w:pStyle w:val="317"/>
              <w:spacing w:line="56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8EC799E">
            <w:pPr>
              <w:pStyle w:val="317"/>
              <w:spacing w:line="560" w:lineRule="exact"/>
              <w:ind w:firstLine="20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CF1F321">
            <w:pPr>
              <w:pStyle w:val="317"/>
              <w:spacing w:line="56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分项价格</w:t>
            </w:r>
          </w:p>
        </w:tc>
      </w:tr>
      <w:tr w14:paraId="4A37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9EAE540">
            <w:pPr>
              <w:pStyle w:val="317"/>
              <w:spacing w:line="560" w:lineRule="exact"/>
              <w:ind w:firstLine="200"/>
              <w:jc w:val="center"/>
              <w:rPr>
                <w:rFonts w:hAnsi="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4324E05F">
            <w:pPr>
              <w:pStyle w:val="317"/>
              <w:spacing w:line="560" w:lineRule="exact"/>
              <w:ind w:firstLine="200"/>
              <w:jc w:val="center"/>
              <w:rPr>
                <w:rFonts w:hAnsi="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3F39C7AC">
            <w:pPr>
              <w:pStyle w:val="317"/>
              <w:spacing w:line="560" w:lineRule="exact"/>
              <w:ind w:firstLine="200"/>
              <w:jc w:val="center"/>
              <w:rPr>
                <w:rFonts w:hAnsi="宋体" w:cs="宋体"/>
                <w:color w:val="000000" w:themeColor="text1"/>
                <w:sz w:val="24"/>
                <w:szCs w:val="24"/>
                <w14:textFill>
                  <w14:solidFill>
                    <w14:schemeClr w14:val="tx1"/>
                  </w14:solidFill>
                </w14:textFill>
              </w:rPr>
            </w:pPr>
          </w:p>
        </w:tc>
      </w:tr>
      <w:tr w14:paraId="27701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3B72945">
            <w:pPr>
              <w:pStyle w:val="317"/>
              <w:spacing w:line="560" w:lineRule="exact"/>
              <w:ind w:firstLine="200"/>
              <w:jc w:val="center"/>
              <w:rPr>
                <w:rFonts w:hAnsi="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5DDB2FF3">
            <w:pPr>
              <w:pStyle w:val="317"/>
              <w:spacing w:line="560" w:lineRule="exact"/>
              <w:ind w:firstLine="200"/>
              <w:jc w:val="center"/>
              <w:rPr>
                <w:rFonts w:hAnsi="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07C40E14">
            <w:pPr>
              <w:pStyle w:val="317"/>
              <w:spacing w:line="560" w:lineRule="exact"/>
              <w:ind w:firstLine="200"/>
              <w:jc w:val="center"/>
              <w:rPr>
                <w:rFonts w:hAnsi="宋体" w:cs="宋体"/>
                <w:color w:val="000000" w:themeColor="text1"/>
                <w:sz w:val="24"/>
                <w:szCs w:val="24"/>
                <w14:textFill>
                  <w14:solidFill>
                    <w14:schemeClr w14:val="tx1"/>
                  </w14:solidFill>
                </w14:textFill>
              </w:rPr>
            </w:pPr>
          </w:p>
        </w:tc>
      </w:tr>
      <w:tr w14:paraId="1CB7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5BC19AF">
            <w:pPr>
              <w:pStyle w:val="317"/>
              <w:spacing w:line="560" w:lineRule="exact"/>
              <w:ind w:firstLine="200"/>
              <w:jc w:val="center"/>
              <w:rPr>
                <w:rFonts w:hAnsi="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65BE3D83">
            <w:pPr>
              <w:pStyle w:val="317"/>
              <w:spacing w:line="560" w:lineRule="exact"/>
              <w:ind w:firstLine="200"/>
              <w:jc w:val="center"/>
              <w:rPr>
                <w:rFonts w:hAnsi="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71FAD9C6">
            <w:pPr>
              <w:pStyle w:val="317"/>
              <w:spacing w:line="560" w:lineRule="exact"/>
              <w:ind w:firstLine="200"/>
              <w:jc w:val="center"/>
              <w:rPr>
                <w:rFonts w:hAnsi="宋体" w:cs="宋体"/>
                <w:color w:val="000000" w:themeColor="text1"/>
                <w:sz w:val="24"/>
                <w:szCs w:val="24"/>
                <w14:textFill>
                  <w14:solidFill>
                    <w14:schemeClr w14:val="tx1"/>
                  </w14:solidFill>
                </w14:textFill>
              </w:rPr>
            </w:pPr>
          </w:p>
        </w:tc>
      </w:tr>
      <w:tr w14:paraId="3DD3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EAAEE11">
            <w:pPr>
              <w:pStyle w:val="317"/>
              <w:spacing w:line="560" w:lineRule="exact"/>
              <w:ind w:firstLine="200"/>
              <w:jc w:val="center"/>
              <w:rPr>
                <w:rFonts w:hAnsi="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503DAADD">
            <w:pPr>
              <w:pStyle w:val="317"/>
              <w:spacing w:line="560" w:lineRule="exact"/>
              <w:ind w:firstLine="200"/>
              <w:jc w:val="center"/>
              <w:rPr>
                <w:rFonts w:hAnsi="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E6481E6">
            <w:pPr>
              <w:pStyle w:val="317"/>
              <w:spacing w:line="560" w:lineRule="exact"/>
              <w:ind w:firstLine="200"/>
              <w:jc w:val="center"/>
              <w:rPr>
                <w:rFonts w:hAnsi="宋体" w:cs="宋体"/>
                <w:color w:val="000000" w:themeColor="text1"/>
                <w:sz w:val="24"/>
                <w:szCs w:val="24"/>
                <w14:textFill>
                  <w14:solidFill>
                    <w14:schemeClr w14:val="tx1"/>
                  </w14:solidFill>
                </w14:textFill>
              </w:rPr>
            </w:pPr>
          </w:p>
        </w:tc>
      </w:tr>
      <w:tr w14:paraId="669C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B2B9866">
            <w:pPr>
              <w:pStyle w:val="317"/>
              <w:spacing w:line="560" w:lineRule="exact"/>
              <w:ind w:firstLine="20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6BF4AE9">
            <w:pPr>
              <w:pStyle w:val="317"/>
              <w:spacing w:line="560" w:lineRule="exact"/>
              <w:ind w:firstLine="200"/>
              <w:jc w:val="center"/>
              <w:rPr>
                <w:rFonts w:hAnsi="宋体" w:cs="宋体"/>
                <w:color w:val="000000" w:themeColor="text1"/>
                <w:sz w:val="24"/>
                <w:szCs w:val="24"/>
                <w14:textFill>
                  <w14:solidFill>
                    <w14:schemeClr w14:val="tx1"/>
                  </w14:solidFill>
                </w14:textFill>
              </w:rPr>
            </w:pPr>
          </w:p>
        </w:tc>
      </w:tr>
    </w:tbl>
    <w:p w14:paraId="40AFFFB6">
      <w:pPr>
        <w:pStyle w:val="957"/>
        <w:spacing w:before="0" w:beforeAutospacing="0" w:after="0" w:afterAutospacing="0" w:line="360" w:lineRule="auto"/>
        <w:ind w:firstLine="480"/>
        <w:rPr>
          <w:b/>
          <w:color w:val="000000" w:themeColor="text1"/>
          <w14:textFill>
            <w14:solidFill>
              <w14:schemeClr w14:val="tx1"/>
            </w14:solidFill>
          </w14:textFill>
        </w:rPr>
      </w:pPr>
      <w:bookmarkStart w:id="404" w:name="_Toc1814"/>
      <w:bookmarkStart w:id="405" w:name="_Toc22618"/>
      <w:bookmarkStart w:id="406" w:name="_Toc10340"/>
      <w:r>
        <w:rPr>
          <w:rFonts w:hint="eastAsia"/>
          <w:b/>
          <w:color w:val="000000" w:themeColor="text1"/>
          <w14:textFill>
            <w14:solidFill>
              <w14:schemeClr w14:val="tx1"/>
            </w14:solidFill>
          </w14:textFill>
        </w:rPr>
        <w:t>1.4履约保证金</w:t>
      </w:r>
    </w:p>
    <w:p w14:paraId="6B2BCD5A">
      <w:pPr>
        <w:pStyle w:val="957"/>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乙方</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（是/否）需要支付履约保证金。若需要支付履约保证金的，则：</w:t>
      </w:r>
    </w:p>
    <w:p w14:paraId="49A77A0B">
      <w:pPr>
        <w:spacing w:line="560" w:lineRule="exact"/>
        <w:ind w:firstLine="480" w:firstLineChars="2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1.4.1履约保证金的比例为合同金额的</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5030C9D5">
      <w:pPr>
        <w:spacing w:line="560" w:lineRule="exact"/>
        <w:ind w:firstLine="480" w:firstLineChars="2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1.4.2履约保证金支付方式详见</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1401D134">
      <w:pPr>
        <w:pStyle w:val="2"/>
        <w:tabs>
          <w:tab w:val="left" w:pos="0"/>
          <w:tab w:val="clear" w:pos="432"/>
        </w:tabs>
        <w:spacing w:line="560" w:lineRule="exact"/>
        <w:ind w:left="0" w:firstLine="480" w:firstLineChars="200"/>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b w:val="0"/>
          <w:bCs w:val="0"/>
          <w:color w:val="000000" w:themeColor="text1"/>
          <w:kern w:val="0"/>
          <w:sz w:val="24"/>
          <w:szCs w:val="24"/>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0285006">
      <w:pPr>
        <w:spacing w:line="560" w:lineRule="exact"/>
        <w:ind w:firstLine="480"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1.4.4 甲方在项目验收结束后及时退还履约保证金。甲方在项目通过验收之日起</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u w:val="single"/>
          <w14:textFill>
            <w14:solidFill>
              <w14:schemeClr w14:val="tx1"/>
            </w14:solidFill>
          </w14:textFill>
        </w:rPr>
        <w:t xml:space="preserve">  0.05（可根据情况修改）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%计算，最高限额为本合同履约保证金的</w:t>
      </w:r>
      <w:r>
        <w:rPr>
          <w:rFonts w:hint="eastAsia" w:ascii="宋体" w:hAnsi="宋体" w:cs="宋体"/>
          <w:color w:val="000000" w:themeColor="text1"/>
          <w:kern w:val="0"/>
          <w:sz w:val="24"/>
          <w:u w:val="single"/>
          <w14:textFill>
            <w14:solidFill>
              <w14:schemeClr w14:val="tx1"/>
            </w14:solidFill>
          </w14:textFill>
        </w:rPr>
        <w:t xml:space="preserve">  20  </w:t>
      </w:r>
      <w:r>
        <w:rPr>
          <w:rFonts w:hint="eastAsia" w:ascii="宋体" w:hAnsi="宋体" w:cs="宋体"/>
          <w:color w:val="000000" w:themeColor="text1"/>
          <w:kern w:val="0"/>
          <w:sz w:val="24"/>
          <w14:textFill>
            <w14:solidFill>
              <w14:schemeClr w14:val="tx1"/>
            </w14:solidFill>
          </w14:textFill>
        </w:rPr>
        <w:t xml:space="preserve"> %。</w:t>
      </w:r>
    </w:p>
    <w:p w14:paraId="1B7CBCB7">
      <w:pPr>
        <w:spacing w:line="560" w:lineRule="exact"/>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w:t>
      </w:r>
      <w:bookmarkEnd w:id="404"/>
      <w:bookmarkEnd w:id="405"/>
      <w:bookmarkEnd w:id="406"/>
      <w:r>
        <w:rPr>
          <w:rFonts w:hint="eastAsia" w:ascii="宋体" w:hAnsi="宋体" w:cs="宋体"/>
          <w:b/>
          <w:color w:val="000000" w:themeColor="text1"/>
          <w:sz w:val="24"/>
          <w14:textFill>
            <w14:solidFill>
              <w14:schemeClr w14:val="tx1"/>
            </w14:solidFill>
          </w14:textFill>
        </w:rPr>
        <w:t>预付款</w:t>
      </w:r>
    </w:p>
    <w:p w14:paraId="62A0F7CB">
      <w:pPr>
        <w:pStyle w:val="957"/>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甲方</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（是/否）需要支付预付款。若需要支付预付款的，则：</w:t>
      </w:r>
    </w:p>
    <w:p w14:paraId="1A35C64F">
      <w:pPr>
        <w:spacing w:line="5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1.5.1预付款比例、支付方式、时间详见</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77C5FC1E">
      <w:pPr>
        <w:pStyle w:val="957"/>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1.5.2预付款的扣回方式详见</w:t>
      </w:r>
      <w:r>
        <w:rPr>
          <w:rFonts w:hint="eastAsia"/>
          <w:color w:val="000000" w:themeColor="text1"/>
          <w:u w:val="single"/>
          <w14:textFill>
            <w14:solidFill>
              <w14:schemeClr w14:val="tx1"/>
            </w14:solidFill>
          </w14:textFill>
        </w:rPr>
        <w:t xml:space="preserve">    </w:t>
      </w:r>
      <w:r>
        <w:rPr>
          <w:rFonts w:hint="eastAsia"/>
          <w:b/>
          <w:i/>
          <w:color w:val="000000" w:themeColor="text1"/>
          <w:u w:val="single"/>
          <w14:textFill>
            <w14:solidFill>
              <w14:schemeClr w14:val="tx1"/>
            </w14:solidFill>
          </w14:textFill>
        </w:rPr>
        <w:t>合同专用条款</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51C2B837">
      <w:pPr>
        <w:pStyle w:val="957"/>
        <w:spacing w:before="0" w:beforeAutospacing="0" w:after="0" w:afterAutospacing="0" w:line="360" w:lineRule="auto"/>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1.5.3预付款的担保措施详见</w:t>
      </w:r>
      <w:r>
        <w:rPr>
          <w:rFonts w:hint="eastAsia"/>
          <w:color w:val="000000" w:themeColor="text1"/>
          <w:u w:val="single"/>
          <w14:textFill>
            <w14:solidFill>
              <w14:schemeClr w14:val="tx1"/>
            </w14:solidFill>
          </w14:textFill>
        </w:rPr>
        <w:t xml:space="preserve">    </w:t>
      </w:r>
      <w:r>
        <w:rPr>
          <w:rFonts w:hint="eastAsia"/>
          <w:b/>
          <w:i/>
          <w:color w:val="000000" w:themeColor="text1"/>
          <w:u w:val="single"/>
          <w14:textFill>
            <w14:solidFill>
              <w14:schemeClr w14:val="tx1"/>
            </w14:solidFill>
          </w14:textFill>
        </w:rPr>
        <w:t>合同专用条款</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78F4F874">
      <w:pPr>
        <w:pStyle w:val="957"/>
        <w:spacing w:before="0" w:beforeAutospacing="0" w:after="0" w:afterAutospacing="0" w:line="360" w:lineRule="auto"/>
        <w:ind w:firstLine="48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1.6资金支付</w:t>
      </w:r>
    </w:p>
    <w:p w14:paraId="6D63BD9D">
      <w:pPr>
        <w:pStyle w:val="957"/>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2F5FDBA">
      <w:pPr>
        <w:spacing w:line="560" w:lineRule="exact"/>
        <w:ind w:firstLine="480"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1.6.2资金支付的方式、时间和条件详见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738C9D5E">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07" w:name="_Toc2846"/>
      <w:bookmarkStart w:id="408" w:name="_Toc19304"/>
      <w:bookmarkStart w:id="409" w:name="_Toc32071"/>
      <w:r>
        <w:rPr>
          <w:rFonts w:hint="eastAsia" w:ascii="宋体" w:hAnsi="宋体" w:cs="宋体"/>
          <w:b/>
          <w:color w:val="000000" w:themeColor="text1"/>
          <w:sz w:val="24"/>
          <w14:textFill>
            <w14:solidFill>
              <w14:schemeClr w14:val="tx1"/>
            </w14:solidFill>
          </w14:textFill>
        </w:rPr>
        <w:t>1.7货物交付期限、地点和方式</w:t>
      </w:r>
      <w:bookmarkEnd w:id="407"/>
      <w:bookmarkEnd w:id="408"/>
      <w:bookmarkEnd w:id="409"/>
    </w:p>
    <w:p w14:paraId="1C4D131F">
      <w:pPr>
        <w:spacing w:line="5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1.7.1 交付期限：详见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31275E44">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 交付地点：</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17C9C2A2">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1.7.3 交付方式：</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60A4608B">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10" w:name="_Toc27250"/>
      <w:bookmarkStart w:id="411" w:name="_Toc19554"/>
      <w:bookmarkStart w:id="412" w:name="_Toc21423"/>
      <w:r>
        <w:rPr>
          <w:rFonts w:hint="eastAsia" w:ascii="宋体" w:hAnsi="宋体" w:cs="宋体"/>
          <w:b/>
          <w:color w:val="000000" w:themeColor="text1"/>
          <w:sz w:val="24"/>
          <w14:textFill>
            <w14:solidFill>
              <w14:schemeClr w14:val="tx1"/>
            </w14:solidFill>
          </w14:textFill>
        </w:rPr>
        <w:t>1.8违约责任</w:t>
      </w:r>
      <w:bookmarkEnd w:id="410"/>
      <w:bookmarkEnd w:id="411"/>
      <w:bookmarkEnd w:id="412"/>
    </w:p>
    <w:p w14:paraId="38001C89">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000000" w:themeColor="text1"/>
          <w:sz w:val="24"/>
          <w:u w:val="single"/>
          <w14:textFill>
            <w14:solidFill>
              <w14:schemeClr w14:val="tx1"/>
            </w14:solidFill>
          </w14:textFill>
        </w:rPr>
        <w:t xml:space="preserve">  0.05</w:t>
      </w:r>
      <w:r>
        <w:rPr>
          <w:rFonts w:hint="eastAsia" w:ascii="宋体" w:hAnsi="宋体" w:cs="宋体"/>
          <w:color w:val="000000" w:themeColor="text1"/>
          <w:kern w:val="0"/>
          <w:sz w:val="24"/>
          <w:u w:val="single"/>
          <w14:textFill>
            <w14:solidFill>
              <w14:schemeClr w14:val="tx1"/>
            </w14:solidFill>
          </w14:textFill>
        </w:rPr>
        <w:t>（可根据情况修改）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%计算，最高限额为本合同总价的</w:t>
      </w:r>
      <w:r>
        <w:rPr>
          <w:rFonts w:hint="eastAsia" w:ascii="宋体" w:hAnsi="宋体" w:cs="宋体"/>
          <w:color w:val="000000" w:themeColor="text1"/>
          <w:sz w:val="24"/>
          <w:u w:val="single"/>
          <w14:textFill>
            <w14:solidFill>
              <w14:schemeClr w14:val="tx1"/>
            </w14:solidFill>
          </w14:textFill>
        </w:rPr>
        <w:t xml:space="preserve"> 20   </w:t>
      </w:r>
      <w:r>
        <w:rPr>
          <w:rFonts w:hint="eastAsia" w:ascii="宋体" w:hAnsi="宋体" w:cs="宋体"/>
          <w:color w:val="000000" w:themeColor="text1"/>
          <w:sz w:val="24"/>
          <w14:textFill>
            <w14:solidFill>
              <w14:schemeClr w14:val="tx1"/>
            </w14:solidFill>
          </w14:textFill>
        </w:rPr>
        <w:t>%；迟延交付货物的违约金计算数额达到前述最高限额之日起，甲方有权在要求乙方支付违约金的同时，书面通知乙方解除本合同；</w:t>
      </w:r>
    </w:p>
    <w:p w14:paraId="5F84F5C7">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1.8.2 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u w:val="single"/>
          <w14:textFill>
            <w14:solidFill>
              <w14:schemeClr w14:val="tx1"/>
            </w14:solidFill>
          </w14:textFill>
        </w:rPr>
        <w:t xml:space="preserve"> 0.05</w:t>
      </w:r>
      <w:r>
        <w:rPr>
          <w:rFonts w:hint="eastAsia" w:ascii="宋体" w:hAnsi="宋体" w:cs="宋体"/>
          <w:color w:val="000000" w:themeColor="text1"/>
          <w:kern w:val="0"/>
          <w:sz w:val="24"/>
          <w:u w:val="single"/>
          <w14:textFill>
            <w14:solidFill>
              <w14:schemeClr w14:val="tx1"/>
            </w14:solidFill>
          </w14:textFill>
        </w:rPr>
        <w:t>（可根据情况修改）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%计算，最高限额为本合同总价的</w:t>
      </w:r>
      <w:r>
        <w:rPr>
          <w:rFonts w:hint="eastAsia" w:ascii="宋体" w:hAnsi="宋体" w:cs="宋体"/>
          <w:color w:val="000000" w:themeColor="text1"/>
          <w:sz w:val="24"/>
          <w:u w:val="single"/>
          <w14:textFill>
            <w14:solidFill>
              <w14:schemeClr w14:val="tx1"/>
            </w14:solidFill>
          </w14:textFill>
        </w:rPr>
        <w:t xml:space="preserve">   20   </w:t>
      </w:r>
      <w:r>
        <w:rPr>
          <w:rFonts w:hint="eastAsia" w:ascii="宋体" w:hAnsi="宋体" w:cs="宋体"/>
          <w:color w:val="000000" w:themeColor="text1"/>
          <w:sz w:val="24"/>
          <w14:textFill>
            <w14:solidFill>
              <w14:schemeClr w14:val="tx1"/>
            </w14:solidFill>
          </w14:textFill>
        </w:rPr>
        <w:t>%；迟延付款的违约金计算数额达到前述最高限额之日起，乙方有权在要求甲方支付违约金的同时，书面通知甲方解除本合同；</w:t>
      </w:r>
    </w:p>
    <w:p w14:paraId="14E394C0">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B30B6C3">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CA7EAE5">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1.8.5如果出现政府采购监督管理部门在处理投诉事项期间，书面通知甲方暂停采购活动的情形，或者询问或质疑事项可能影响中标或者成交结果的，导致甲方中止履行合同的情形，均不视为甲方违约。</w:t>
      </w:r>
    </w:p>
    <w:p w14:paraId="78F4CC1C">
      <w:pPr>
        <w:spacing w:line="560" w:lineRule="exact"/>
        <w:ind w:left="-420" w:leftChars="-200" w:right="-420" w:rightChars="-200"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1.8.6违约责任</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另有约定的，从其约定。</w:t>
      </w:r>
    </w:p>
    <w:p w14:paraId="0876DE48">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13" w:name="_Toc28375"/>
      <w:bookmarkStart w:id="414" w:name="_Toc16021"/>
      <w:bookmarkStart w:id="415" w:name="_Toc15583"/>
      <w:r>
        <w:rPr>
          <w:rFonts w:hint="eastAsia" w:ascii="宋体" w:hAnsi="宋体" w:cs="宋体"/>
          <w:b/>
          <w:color w:val="000000" w:themeColor="text1"/>
          <w:sz w:val="24"/>
          <w14:textFill>
            <w14:solidFill>
              <w14:schemeClr w14:val="tx1"/>
            </w14:solidFill>
          </w14:textFill>
        </w:rPr>
        <w:t>1.9合同争议的解决</w:t>
      </w:r>
      <w:bookmarkEnd w:id="413"/>
      <w:bookmarkEnd w:id="414"/>
      <w:bookmarkEnd w:id="415"/>
    </w:p>
    <w:p w14:paraId="2D67B43A">
      <w:pPr>
        <w:spacing w:line="560" w:lineRule="exact"/>
        <w:ind w:left="-61" w:leftChars="-29" w:right="-420" w:rightChars="-20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条款规定的方式解决：</w:t>
      </w:r>
    </w:p>
    <w:p w14:paraId="12B05D15">
      <w:pPr>
        <w:spacing w:line="560" w:lineRule="exact"/>
        <w:ind w:left="-420" w:leftChars="-200" w:right="-420" w:rightChars="-200" w:firstLine="840" w:firstLineChars="3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 将争议提交</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仲裁委员会依申请仲裁时其现行有效的仲裁规则裁决；</w:t>
      </w:r>
    </w:p>
    <w:p w14:paraId="4492DCF0">
      <w:pPr>
        <w:spacing w:line="560" w:lineRule="exact"/>
        <w:ind w:left="-420" w:leftChars="-200" w:right="-420" w:rightChars="-200" w:firstLine="840" w:firstLineChars="3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 向</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人民法院起诉。</w:t>
      </w:r>
    </w:p>
    <w:p w14:paraId="20133E9B">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16" w:name="_Toc15322"/>
      <w:bookmarkStart w:id="417" w:name="_Toc7245"/>
      <w:bookmarkStart w:id="418" w:name="_Toc11173"/>
      <w:r>
        <w:rPr>
          <w:rFonts w:hint="eastAsia" w:ascii="宋体" w:hAnsi="宋体" w:cs="宋体"/>
          <w:b/>
          <w:color w:val="000000" w:themeColor="text1"/>
          <w:sz w:val="24"/>
          <w14:textFill>
            <w14:solidFill>
              <w14:schemeClr w14:val="tx1"/>
            </w14:solidFill>
          </w14:textFill>
        </w:rPr>
        <w:t>2.0 合同生效</w:t>
      </w:r>
      <w:bookmarkEnd w:id="416"/>
      <w:bookmarkEnd w:id="417"/>
      <w:bookmarkEnd w:id="418"/>
    </w:p>
    <w:p w14:paraId="04DB4A63">
      <w:pPr>
        <w:spacing w:line="560" w:lineRule="exact"/>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本合同自双方当事人盖章签字时生效。</w:t>
      </w:r>
    </w:p>
    <w:p w14:paraId="016CBB10">
      <w:pPr>
        <w:autoSpaceDE w:val="0"/>
        <w:autoSpaceDN w:val="0"/>
        <w:spacing w:line="560" w:lineRule="exact"/>
        <w:rPr>
          <w:rFonts w:ascii="宋体" w:hAnsi="宋体" w:cs="宋体"/>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甲方</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b/>
          <w:color w:val="000000" w:themeColor="text1"/>
          <w:sz w:val="24"/>
          <w:lang w:val="zh-CN"/>
          <w14:textFill>
            <w14:solidFill>
              <w14:schemeClr w14:val="tx1"/>
            </w14:solidFill>
          </w14:textFill>
        </w:rPr>
        <w:t xml:space="preserve">      乙方</w:t>
      </w:r>
      <w:r>
        <w:rPr>
          <w:rFonts w:hint="eastAsia" w:ascii="宋体" w:hAnsi="宋体" w:cs="宋体"/>
          <w:color w:val="000000" w:themeColor="text1"/>
          <w:sz w:val="24"/>
          <w:lang w:val="zh-CN"/>
          <w14:textFill>
            <w14:solidFill>
              <w14:schemeClr w14:val="tx1"/>
            </w14:solidFill>
          </w14:textFill>
        </w:rPr>
        <w:t>：</w:t>
      </w:r>
    </w:p>
    <w:p w14:paraId="3EC1E996">
      <w:pPr>
        <w:autoSpaceDE w:val="0"/>
        <w:autoSpaceDN w:val="0"/>
        <w:spacing w:line="560" w:lineRule="exac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统一社会信用代码：                       统一社会信用代码或身份证码：</w:t>
      </w:r>
    </w:p>
    <w:p w14:paraId="7694B89C">
      <w:pPr>
        <w:autoSpaceDE w:val="0"/>
        <w:autoSpaceDN w:val="0"/>
        <w:spacing w:line="560" w:lineRule="exac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住所：                                   住所：</w:t>
      </w:r>
    </w:p>
    <w:p w14:paraId="4C69C080">
      <w:pPr>
        <w:autoSpaceDE w:val="0"/>
        <w:autoSpaceDN w:val="0"/>
        <w:spacing w:line="560" w:lineRule="exac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法定代表人或                             法定代表人</w:t>
      </w:r>
    </w:p>
    <w:p w14:paraId="72ACB21D">
      <w:pPr>
        <w:autoSpaceDE w:val="0"/>
        <w:autoSpaceDN w:val="0"/>
        <w:spacing w:line="560" w:lineRule="exac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 xml:space="preserve">授权代表（签字）：                        或授权代表（签字）: </w:t>
      </w:r>
    </w:p>
    <w:p w14:paraId="7C16C003">
      <w:pPr>
        <w:autoSpaceDE w:val="0"/>
        <w:autoSpaceDN w:val="0"/>
        <w:spacing w:line="560" w:lineRule="exac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联系人：                                 联系人：</w:t>
      </w:r>
    </w:p>
    <w:p w14:paraId="76A0A518">
      <w:pPr>
        <w:autoSpaceDE w:val="0"/>
        <w:autoSpaceDN w:val="0"/>
        <w:spacing w:line="560" w:lineRule="exac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约定送达地址：                           约定送达地址：</w:t>
      </w:r>
    </w:p>
    <w:p w14:paraId="687268C5">
      <w:pPr>
        <w:autoSpaceDE w:val="0"/>
        <w:autoSpaceDN w:val="0"/>
        <w:spacing w:line="560" w:lineRule="exac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邮政编码：                               邮政编码：</w:t>
      </w:r>
    </w:p>
    <w:p w14:paraId="2E983DE0">
      <w:pPr>
        <w:autoSpaceDE w:val="0"/>
        <w:autoSpaceDN w:val="0"/>
        <w:spacing w:line="560" w:lineRule="exac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 xml:space="preserve">电话:                                    电话: </w:t>
      </w:r>
    </w:p>
    <w:p w14:paraId="03D74962">
      <w:pPr>
        <w:autoSpaceDE w:val="0"/>
        <w:autoSpaceDN w:val="0"/>
        <w:spacing w:line="560" w:lineRule="exac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传真:                                    传真:</w:t>
      </w:r>
    </w:p>
    <w:p w14:paraId="1E654FFD">
      <w:pPr>
        <w:autoSpaceDE w:val="0"/>
        <w:autoSpaceDN w:val="0"/>
        <w:spacing w:line="5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电子邮箱：                               电子邮箱：</w:t>
      </w:r>
    </w:p>
    <w:p w14:paraId="7335AF66">
      <w:pPr>
        <w:autoSpaceDE w:val="0"/>
        <w:autoSpaceDN w:val="0"/>
        <w:spacing w:line="5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开户银行：                               开户银行： </w:t>
      </w:r>
    </w:p>
    <w:p w14:paraId="204BE5BE">
      <w:pPr>
        <w:autoSpaceDE w:val="0"/>
        <w:autoSpaceDN w:val="0"/>
        <w:spacing w:line="5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开户名称：                               开户名称： </w:t>
      </w:r>
    </w:p>
    <w:p w14:paraId="6B3D818B">
      <w:pPr>
        <w:autoSpaceDE w:val="0"/>
        <w:autoSpaceDN w:val="0"/>
        <w:spacing w:line="5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开户账号：</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开户账号：</w:t>
      </w:r>
    </w:p>
    <w:p w14:paraId="23BFE2AC">
      <w:pPr>
        <w:pStyle w:val="699"/>
        <w:spacing w:line="560" w:lineRule="exact"/>
        <w:ind w:firstLine="482"/>
        <w:jc w:val="center"/>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第二部分 合同一般条款</w:t>
      </w:r>
    </w:p>
    <w:p w14:paraId="55B1A291">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19" w:name="_Toc279701240"/>
      <w:bookmarkStart w:id="420" w:name="_Ref467379101"/>
      <w:bookmarkStart w:id="421" w:name="_Ref467378463"/>
      <w:bookmarkStart w:id="422" w:name="_Ref467379195"/>
      <w:bookmarkStart w:id="423" w:name="_Ref467379205"/>
      <w:bookmarkStart w:id="424" w:name="_Toc28763"/>
      <w:bookmarkStart w:id="425" w:name="_Ref467379109"/>
      <w:bookmarkStart w:id="426" w:name="_Toc19614"/>
      <w:bookmarkStart w:id="427" w:name="_Ref467379225"/>
      <w:bookmarkStart w:id="428" w:name="_Toc16917"/>
      <w:bookmarkStart w:id="429" w:name="_Ref467379094"/>
      <w:bookmarkStart w:id="430" w:name="_Toc487900349"/>
      <w:bookmarkStart w:id="431" w:name="_Ref467379214"/>
      <w:bookmarkStart w:id="432" w:name="_Ref467378404"/>
      <w:bookmarkStart w:id="433" w:name="_Toc259093669"/>
      <w:bookmarkStart w:id="434" w:name="_Ref467378499"/>
      <w:r>
        <w:rPr>
          <w:rFonts w:hint="eastAsia" w:ascii="宋体" w:hAnsi="宋体" w:cs="宋体"/>
          <w:b/>
          <w:color w:val="000000" w:themeColor="text1"/>
          <w:sz w:val="24"/>
          <w14:textFill>
            <w14:solidFill>
              <w14:schemeClr w14:val="tx1"/>
            </w14:solidFill>
          </w14:textFill>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601D0C6F">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本合同中的下列词语应按以下内容进行解释：</w:t>
      </w:r>
    </w:p>
    <w:p w14:paraId="12F113F0">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 “合同”系指采购人和中标或成交供应商签订的载明双方当事人所达成的协议，并包括所有的附件、附录和构成合同的其他文件。</w:t>
      </w:r>
    </w:p>
    <w:p w14:paraId="5849F63E">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 “合同价”系指根据合同约定，中标或成交供应商在完全履行合同义务后，采购人应支付给中标或成交供应商的价格。</w:t>
      </w:r>
    </w:p>
    <w:p w14:paraId="0BA79842">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 “货物”系指中标或成交供应商根据合同约定应向采购人交付的一切各种形态和种类的物品，包括原材料、燃料、设备、机械、仪表、备件、计算机软件、产品等，并包括工具、手册等其他相关资料。</w:t>
      </w:r>
    </w:p>
    <w:p w14:paraId="6EA66F26">
      <w:pPr>
        <w:spacing w:line="560" w:lineRule="exact"/>
        <w:ind w:firstLine="480" w:firstLineChars="200"/>
        <w:rPr>
          <w:rFonts w:ascii="宋体" w:hAnsi="宋体" w:cs="宋体"/>
          <w:color w:val="000000" w:themeColor="text1"/>
          <w:sz w:val="24"/>
          <w14:textFill>
            <w14:solidFill>
              <w14:schemeClr w14:val="tx1"/>
            </w14:solidFill>
          </w14:textFill>
        </w:rPr>
      </w:pPr>
      <w:bookmarkStart w:id="435" w:name="_Ref467378840"/>
      <w:r>
        <w:rPr>
          <w:rFonts w:hint="eastAsia" w:ascii="宋体" w:hAnsi="宋体" w:cs="宋体"/>
          <w:color w:val="000000" w:themeColor="text1"/>
          <w:sz w:val="24"/>
          <w14:textFill>
            <w14:solidFill>
              <w14:schemeClr w14:val="tx1"/>
            </w14:solidFill>
          </w14:textFill>
        </w:rPr>
        <w:t>2.1.4 “甲方”系指与中标或成交供应商签署合同的采购人</w:t>
      </w:r>
      <w:bookmarkEnd w:id="435"/>
      <w:r>
        <w:rPr>
          <w:rFonts w:hint="eastAsia" w:ascii="宋体" w:hAnsi="宋体" w:cs="宋体"/>
          <w:color w:val="000000" w:themeColor="text1"/>
          <w:sz w:val="24"/>
          <w14:textFill>
            <w14:solidFill>
              <w14:schemeClr w14:val="tx1"/>
            </w14:solidFill>
          </w14:textFill>
        </w:rPr>
        <w:t>；采购人委托采购代理机构代表其与乙方签订合同的，采购人的授权委托书作为合同附件。</w:t>
      </w:r>
    </w:p>
    <w:p w14:paraId="65CC7BC6">
      <w:pPr>
        <w:spacing w:line="560" w:lineRule="exact"/>
        <w:ind w:firstLine="480" w:firstLineChars="200"/>
        <w:rPr>
          <w:rFonts w:ascii="宋体" w:hAnsi="宋体" w:cs="宋体"/>
          <w:color w:val="000000" w:themeColor="text1"/>
          <w:sz w:val="24"/>
          <w14:textFill>
            <w14:solidFill>
              <w14:schemeClr w14:val="tx1"/>
            </w14:solidFill>
          </w14:textFill>
        </w:rPr>
      </w:pPr>
      <w:bookmarkStart w:id="436" w:name="_Ref467379400"/>
      <w:r>
        <w:rPr>
          <w:rFonts w:hint="eastAsia" w:ascii="宋体" w:hAnsi="宋体" w:cs="宋体"/>
          <w:color w:val="000000" w:themeColor="text1"/>
          <w:sz w:val="24"/>
          <w14:textFill>
            <w14:solidFill>
              <w14:schemeClr w14:val="tx1"/>
            </w14:solidFill>
          </w14:textFill>
        </w:rPr>
        <w:t>2.1.5 “乙方”系指根据合同约定交付货物的中标或成交供应商</w:t>
      </w:r>
      <w:bookmarkEnd w:id="436"/>
      <w:r>
        <w:rPr>
          <w:rFonts w:hint="eastAsia" w:ascii="宋体" w:hAnsi="宋体" w:cs="宋体"/>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35FAEDB">
      <w:pPr>
        <w:spacing w:line="560" w:lineRule="exact"/>
        <w:ind w:firstLine="480" w:firstLineChars="200"/>
        <w:rPr>
          <w:rFonts w:ascii="宋体" w:hAnsi="宋体" w:cs="宋体"/>
          <w:color w:val="000000" w:themeColor="text1"/>
          <w:sz w:val="24"/>
          <w14:textFill>
            <w14:solidFill>
              <w14:schemeClr w14:val="tx1"/>
            </w14:solidFill>
          </w14:textFill>
        </w:rPr>
      </w:pPr>
      <w:bookmarkStart w:id="437" w:name="_Ref467379436"/>
      <w:r>
        <w:rPr>
          <w:rFonts w:hint="eastAsia" w:ascii="宋体" w:hAnsi="宋体" w:cs="宋体"/>
          <w:color w:val="000000" w:themeColor="text1"/>
          <w:sz w:val="24"/>
          <w14:textFill>
            <w14:solidFill>
              <w14:schemeClr w14:val="tx1"/>
            </w14:solidFill>
          </w14:textFill>
        </w:rPr>
        <w:t>2.1.6 “现场”系指合同约定货物将要运至或者安装的地点。</w:t>
      </w:r>
      <w:bookmarkEnd w:id="437"/>
    </w:p>
    <w:p w14:paraId="45FA3C10">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38" w:name="_Toc27635"/>
      <w:bookmarkStart w:id="439" w:name="_Toc279701241"/>
      <w:bookmarkStart w:id="440" w:name="_Toc487900350"/>
      <w:bookmarkStart w:id="441" w:name="_Toc259093670"/>
      <w:bookmarkStart w:id="442" w:name="_Toc13336"/>
      <w:bookmarkStart w:id="443" w:name="_Toc32504"/>
      <w:r>
        <w:rPr>
          <w:rFonts w:hint="eastAsia" w:ascii="宋体" w:hAnsi="宋体" w:cs="宋体"/>
          <w:b/>
          <w:color w:val="000000" w:themeColor="text1"/>
          <w:sz w:val="24"/>
          <w14:textFill>
            <w14:solidFill>
              <w14:schemeClr w14:val="tx1"/>
            </w14:solidFill>
          </w14:textFill>
        </w:rPr>
        <w:t>2.2 技术规范</w:t>
      </w:r>
      <w:bookmarkEnd w:id="438"/>
      <w:bookmarkEnd w:id="439"/>
      <w:bookmarkEnd w:id="440"/>
      <w:bookmarkEnd w:id="441"/>
      <w:bookmarkEnd w:id="442"/>
      <w:bookmarkEnd w:id="443"/>
    </w:p>
    <w:p w14:paraId="3655A64E">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5AE619C">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44" w:name="_Toc259093671"/>
      <w:bookmarkStart w:id="445" w:name="_Toc27853"/>
      <w:bookmarkStart w:id="446" w:name="_Toc487900351"/>
      <w:bookmarkStart w:id="447" w:name="_Toc279701242"/>
      <w:bookmarkStart w:id="448" w:name="_Toc9829"/>
      <w:bookmarkStart w:id="449" w:name="_Toc31634"/>
      <w:r>
        <w:rPr>
          <w:rFonts w:hint="eastAsia" w:ascii="宋体" w:hAnsi="宋体" w:cs="宋体"/>
          <w:b/>
          <w:color w:val="000000" w:themeColor="text1"/>
          <w:sz w:val="24"/>
          <w14:textFill>
            <w14:solidFill>
              <w14:schemeClr w14:val="tx1"/>
            </w14:solidFill>
          </w14:textFill>
        </w:rPr>
        <w:t>2.3 知识产权</w:t>
      </w:r>
      <w:bookmarkEnd w:id="444"/>
      <w:bookmarkEnd w:id="445"/>
      <w:bookmarkEnd w:id="446"/>
      <w:bookmarkEnd w:id="447"/>
      <w:bookmarkEnd w:id="448"/>
      <w:bookmarkEnd w:id="449"/>
    </w:p>
    <w:p w14:paraId="4FBC7C04">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6AD580D">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2.3.2具有知识产权的计算机软件等货物的知识产权归属，详见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63DC9950">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50" w:name="_Toc11932"/>
      <w:bookmarkStart w:id="451" w:name="_Toc29149"/>
      <w:bookmarkStart w:id="452" w:name="_Toc4194"/>
      <w:r>
        <w:rPr>
          <w:rFonts w:hint="eastAsia" w:ascii="宋体" w:hAnsi="宋体" w:cs="宋体"/>
          <w:b/>
          <w:color w:val="000000" w:themeColor="text1"/>
          <w:sz w:val="24"/>
          <w14:textFill>
            <w14:solidFill>
              <w14:schemeClr w14:val="tx1"/>
            </w14:solidFill>
          </w14:textFill>
        </w:rPr>
        <w:t>2.4 包装和装运</w:t>
      </w:r>
      <w:bookmarkEnd w:id="450"/>
      <w:bookmarkEnd w:id="451"/>
      <w:bookmarkEnd w:id="452"/>
    </w:p>
    <w:p w14:paraId="7292451A">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2.4.1除</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E24C267">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44695B9">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2.4.3 装运货物的要求和通知，详见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1EBE67F5">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53" w:name="_Ref467379527"/>
      <w:bookmarkStart w:id="454" w:name="_Toc487900354"/>
      <w:bookmarkStart w:id="455" w:name="_Ref467378541"/>
      <w:bookmarkStart w:id="456" w:name="_Ref467379536"/>
      <w:bookmarkStart w:id="457" w:name="_Ref467378591"/>
      <w:bookmarkStart w:id="458" w:name="_Toc279701245"/>
      <w:bookmarkStart w:id="459" w:name="_Toc259093674"/>
      <w:bookmarkStart w:id="460" w:name="_Ref467379542"/>
      <w:bookmarkStart w:id="461" w:name="_Toc19074"/>
      <w:bookmarkStart w:id="462" w:name="_Toc26182"/>
      <w:bookmarkStart w:id="463" w:name="_Toc30272"/>
      <w:r>
        <w:rPr>
          <w:rFonts w:hint="eastAsia" w:ascii="宋体" w:hAnsi="宋体" w:cs="宋体"/>
          <w:b/>
          <w:color w:val="000000" w:themeColor="text1"/>
          <w:sz w:val="24"/>
          <w14:textFill>
            <w14:solidFill>
              <w14:schemeClr w14:val="tx1"/>
            </w14:solidFill>
          </w14:textFill>
        </w:rPr>
        <w:t>2.</w:t>
      </w:r>
      <w:bookmarkEnd w:id="453"/>
      <w:bookmarkEnd w:id="454"/>
      <w:bookmarkEnd w:id="455"/>
      <w:bookmarkEnd w:id="456"/>
      <w:bookmarkEnd w:id="457"/>
      <w:bookmarkEnd w:id="458"/>
      <w:bookmarkEnd w:id="459"/>
      <w:bookmarkEnd w:id="460"/>
      <w:r>
        <w:rPr>
          <w:rFonts w:hint="eastAsia" w:ascii="宋体" w:hAnsi="宋体" w:cs="宋体"/>
          <w:b/>
          <w:color w:val="000000" w:themeColor="text1"/>
          <w:sz w:val="24"/>
          <w14:textFill>
            <w14:solidFill>
              <w14:schemeClr w14:val="tx1"/>
            </w14:solidFill>
          </w14:textFill>
        </w:rPr>
        <w:t>5 履约检查和问题反馈</w:t>
      </w:r>
      <w:bookmarkEnd w:id="461"/>
      <w:bookmarkEnd w:id="462"/>
      <w:bookmarkEnd w:id="463"/>
    </w:p>
    <w:p w14:paraId="43C64DE6">
      <w:pPr>
        <w:spacing w:line="560" w:lineRule="exact"/>
        <w:ind w:firstLine="480" w:firstLineChars="200"/>
        <w:rPr>
          <w:rFonts w:ascii="宋体" w:hAnsi="宋体" w:cs="宋体"/>
          <w:color w:val="000000" w:themeColor="text1"/>
          <w:sz w:val="24"/>
          <w14:textFill>
            <w14:solidFill>
              <w14:schemeClr w14:val="tx1"/>
            </w14:solidFill>
          </w14:textFill>
        </w:rPr>
      </w:pPr>
      <w:bookmarkStart w:id="464" w:name="_Ref467379657"/>
      <w:r>
        <w:rPr>
          <w:rFonts w:hint="eastAsia" w:ascii="宋体" w:hAnsi="宋体" w:cs="宋体"/>
          <w:color w:val="000000" w:themeColor="text1"/>
          <w:sz w:val="24"/>
          <w14:textFill>
            <w14:solidFill>
              <w14:schemeClr w14:val="tx1"/>
            </w14:solidFill>
          </w14:textFill>
        </w:rPr>
        <w:t>2.5.1</w:t>
      </w:r>
      <w:bookmarkEnd w:id="464"/>
      <w:bookmarkStart w:id="465" w:name="_Toc186431854"/>
      <w:bookmarkStart w:id="466" w:name="_Ref467379807"/>
      <w:bookmarkStart w:id="467" w:name="_Toc259093676"/>
      <w:bookmarkStart w:id="468" w:name="_Toc279701247"/>
      <w:bookmarkStart w:id="469" w:name="_Toc487900357"/>
      <w:bookmarkStart w:id="470" w:name="_Ref467379793"/>
      <w:r>
        <w:rPr>
          <w:rFonts w:hint="eastAsia" w:ascii="宋体" w:hAnsi="宋体" w:cs="宋体"/>
          <w:color w:val="000000" w:themeColor="text1"/>
          <w:sz w:val="24"/>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14:paraId="6CD90A91">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cs="宋体"/>
          <w:color w:val="000000" w:themeColor="text1"/>
          <w:sz w:val="24"/>
          <w14:textFill>
            <w14:solidFill>
              <w14:schemeClr w14:val="tx1"/>
            </w14:solidFill>
          </w14:textFill>
        </w:rPr>
        <w:t>。</w:t>
      </w:r>
    </w:p>
    <w:bookmarkEnd w:id="466"/>
    <w:bookmarkEnd w:id="467"/>
    <w:bookmarkEnd w:id="468"/>
    <w:bookmarkEnd w:id="469"/>
    <w:bookmarkEnd w:id="470"/>
    <w:bookmarkEnd w:id="471"/>
    <w:p w14:paraId="06452943">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72" w:name="_Toc487900358"/>
      <w:bookmarkStart w:id="473" w:name="_Ref467379852"/>
      <w:bookmarkStart w:id="474" w:name="_Toc259093677"/>
      <w:bookmarkStart w:id="475" w:name="_Ref467379923"/>
      <w:bookmarkStart w:id="476" w:name="_Ref467379863"/>
      <w:bookmarkStart w:id="477" w:name="_Toc279701248"/>
      <w:bookmarkStart w:id="478" w:name="_Toc774"/>
      <w:bookmarkStart w:id="479" w:name="_Toc3225"/>
      <w:bookmarkStart w:id="480" w:name="_Toc16110"/>
      <w:r>
        <w:rPr>
          <w:rFonts w:hint="eastAsia" w:ascii="宋体" w:hAnsi="宋体" w:cs="宋体"/>
          <w:b/>
          <w:color w:val="000000" w:themeColor="text1"/>
          <w:sz w:val="24"/>
          <w14:textFill>
            <w14:solidFill>
              <w14:schemeClr w14:val="tx1"/>
            </w14:solidFill>
          </w14:textFill>
        </w:rPr>
        <w:t>2.6 技术资料</w:t>
      </w:r>
      <w:bookmarkEnd w:id="472"/>
      <w:bookmarkEnd w:id="473"/>
      <w:bookmarkEnd w:id="474"/>
      <w:bookmarkEnd w:id="475"/>
      <w:bookmarkEnd w:id="476"/>
      <w:bookmarkEnd w:id="477"/>
      <w:r>
        <w:rPr>
          <w:rFonts w:hint="eastAsia" w:ascii="宋体" w:hAnsi="宋体" w:cs="宋体"/>
          <w:b/>
          <w:color w:val="000000" w:themeColor="text1"/>
          <w:sz w:val="24"/>
          <w14:textFill>
            <w14:solidFill>
              <w14:schemeClr w14:val="tx1"/>
            </w14:solidFill>
          </w14:textFill>
        </w:rPr>
        <w:t>和保密义务</w:t>
      </w:r>
      <w:bookmarkEnd w:id="478"/>
      <w:bookmarkEnd w:id="479"/>
      <w:bookmarkEnd w:id="480"/>
    </w:p>
    <w:p w14:paraId="3A55A2B9">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2.6.1 乙方有权依据合同约定和项目需要，向甲方了解有关情况，调阅有关资料等，甲方应予积极配合；</w:t>
      </w:r>
    </w:p>
    <w:p w14:paraId="6E23415B">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2.6.2 乙方有义务妥善保管和保护由甲方提供的前款信息和资料等；</w:t>
      </w:r>
    </w:p>
    <w:p w14:paraId="75703C99">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6E156CD">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81" w:name="_Toc7860"/>
      <w:r>
        <w:rPr>
          <w:rFonts w:hint="eastAsia" w:ascii="宋体" w:hAnsi="宋体" w:cs="宋体"/>
          <w:b/>
          <w:color w:val="000000" w:themeColor="text1"/>
          <w:sz w:val="24"/>
          <w14:textFill>
            <w14:solidFill>
              <w14:schemeClr w14:val="tx1"/>
            </w14:solidFill>
          </w14:textFill>
        </w:rPr>
        <w:t>2.7 质量保证</w:t>
      </w:r>
      <w:bookmarkEnd w:id="481"/>
    </w:p>
    <w:p w14:paraId="3A29BDAE">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2.7.1 乙方应建立和完善履行合同的内部质量保证体系，并提供相关内部规章制度给甲方，以便甲方进行监督检查；</w:t>
      </w:r>
    </w:p>
    <w:p w14:paraId="6FFEBCE0">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2.7.2 乙方应保证履行合同的人员数量和素质、软件和硬件设备的配置、场地、环境和设施等满足全面履行合同的要求，并应接受甲方的监督检查。</w:t>
      </w:r>
    </w:p>
    <w:p w14:paraId="6E6C3832">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82" w:name="_Toc17244"/>
      <w:bookmarkStart w:id="483" w:name="_Toc259093681"/>
      <w:bookmarkStart w:id="484" w:name="_Toc279701252"/>
      <w:bookmarkStart w:id="485" w:name="_Toc487900362"/>
      <w:r>
        <w:rPr>
          <w:rFonts w:hint="eastAsia" w:ascii="宋体" w:hAnsi="宋体" w:cs="宋体"/>
          <w:b/>
          <w:color w:val="000000" w:themeColor="text1"/>
          <w:sz w:val="24"/>
          <w14:textFill>
            <w14:solidFill>
              <w14:schemeClr w14:val="tx1"/>
            </w14:solidFill>
          </w14:textFill>
        </w:rPr>
        <w:t>2.8 货物的风险负担</w:t>
      </w:r>
      <w:bookmarkEnd w:id="482"/>
    </w:p>
    <w:p w14:paraId="1795E1D8">
      <w:pPr>
        <w:spacing w:line="560" w:lineRule="exact"/>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货物或者在途货物或者交付给第一承运人后的货物毁损、灭失的风险负担详见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7018C25D">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86" w:name="_Toc14055"/>
      <w:r>
        <w:rPr>
          <w:rFonts w:hint="eastAsia" w:ascii="宋体" w:hAnsi="宋体" w:cs="宋体"/>
          <w:b/>
          <w:color w:val="000000" w:themeColor="text1"/>
          <w:sz w:val="24"/>
          <w14:textFill>
            <w14:solidFill>
              <w14:schemeClr w14:val="tx1"/>
            </w14:solidFill>
          </w14:textFill>
        </w:rPr>
        <w:t>2.9 延迟交货</w:t>
      </w:r>
      <w:bookmarkEnd w:id="483"/>
      <w:bookmarkEnd w:id="484"/>
      <w:bookmarkEnd w:id="485"/>
      <w:bookmarkEnd w:id="486"/>
    </w:p>
    <w:p w14:paraId="13D3D767">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6687C791">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87" w:name="_Toc7502"/>
      <w:bookmarkStart w:id="488" w:name="_Toc487900364"/>
      <w:bookmarkStart w:id="489" w:name="_Toc259093683"/>
      <w:bookmarkStart w:id="490" w:name="_Ref467378121"/>
      <w:bookmarkStart w:id="491" w:name="_Toc279701254"/>
      <w:r>
        <w:rPr>
          <w:rFonts w:hint="eastAsia" w:ascii="宋体" w:hAnsi="宋体" w:cs="宋体"/>
          <w:b/>
          <w:color w:val="000000" w:themeColor="text1"/>
          <w:sz w:val="24"/>
          <w14:textFill>
            <w14:solidFill>
              <w14:schemeClr w14:val="tx1"/>
            </w14:solidFill>
          </w14:textFill>
        </w:rPr>
        <w:t>2.10 合同变更</w:t>
      </w:r>
      <w:bookmarkEnd w:id="487"/>
    </w:p>
    <w:p w14:paraId="64280B22">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492" w:name="_Toc279701259"/>
      <w:bookmarkStart w:id="493" w:name="_Toc259093688"/>
      <w:bookmarkStart w:id="494" w:name="_Toc487900369"/>
    </w:p>
    <w:p w14:paraId="688A22ED">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95" w:name="_Toc15237"/>
      <w:bookmarkStart w:id="496" w:name="_Toc22955"/>
      <w:bookmarkStart w:id="497" w:name="_Toc10366"/>
      <w:r>
        <w:rPr>
          <w:rFonts w:hint="eastAsia" w:ascii="宋体" w:hAnsi="宋体" w:cs="宋体"/>
          <w:b/>
          <w:color w:val="000000" w:themeColor="text1"/>
          <w:sz w:val="24"/>
          <w14:textFill>
            <w14:solidFill>
              <w14:schemeClr w14:val="tx1"/>
            </w14:solidFill>
          </w14:textFill>
        </w:rPr>
        <w:t>2.11 合同转让</w:t>
      </w:r>
      <w:bookmarkEnd w:id="492"/>
      <w:bookmarkEnd w:id="493"/>
      <w:bookmarkEnd w:id="494"/>
      <w:r>
        <w:rPr>
          <w:rFonts w:hint="eastAsia" w:ascii="宋体" w:hAnsi="宋体" w:cs="宋体"/>
          <w:b/>
          <w:color w:val="000000" w:themeColor="text1"/>
          <w:sz w:val="24"/>
          <w14:textFill>
            <w14:solidFill>
              <w14:schemeClr w14:val="tx1"/>
            </w14:solidFill>
          </w14:textFill>
        </w:rPr>
        <w:t>和分包</w:t>
      </w:r>
      <w:bookmarkEnd w:id="495"/>
      <w:bookmarkEnd w:id="496"/>
      <w:bookmarkEnd w:id="497"/>
    </w:p>
    <w:p w14:paraId="5EA313BF">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38E2D7A">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2.11.2乙方采取分包方式履行合同的，甲方可直接向分包供应商支付款项。</w:t>
      </w:r>
    </w:p>
    <w:p w14:paraId="6F54637F">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98" w:name="_Toc14066"/>
      <w:bookmarkStart w:id="499" w:name="_Toc16508"/>
      <w:bookmarkStart w:id="500" w:name="_Toc13566"/>
      <w:r>
        <w:rPr>
          <w:rFonts w:hint="eastAsia" w:ascii="宋体" w:hAnsi="宋体" w:cs="宋体"/>
          <w:b/>
          <w:color w:val="000000" w:themeColor="text1"/>
          <w:sz w:val="24"/>
          <w14:textFill>
            <w14:solidFill>
              <w14:schemeClr w14:val="tx1"/>
            </w14:solidFill>
          </w14:textFill>
        </w:rPr>
        <w:t>2.12 不可抗力</w:t>
      </w:r>
      <w:bookmarkEnd w:id="498"/>
      <w:bookmarkEnd w:id="499"/>
      <w:bookmarkEnd w:id="500"/>
    </w:p>
    <w:p w14:paraId="5D0313C8">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2.12.1如果任何一方遭遇法律规定的不可抗力，致使合同履行受阻时，履行合同的期限应予延长，延长的期限应相当于不可抗力所影响的时间；</w:t>
      </w:r>
    </w:p>
    <w:p w14:paraId="007F7A2E">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2.12.2 因不可抗力致使不能实现合同目的的，当事人可以解除合同；</w:t>
      </w:r>
    </w:p>
    <w:p w14:paraId="0FC944C5">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2.12.3 因不可抗力致使合同有变更必要的，双方当事人应在</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约定时间内以书面形式变更合同；</w:t>
      </w:r>
    </w:p>
    <w:p w14:paraId="383D1D98">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2.12.4受不可抗力影响的一方在不可抗力发生后，应在</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约定时间内以书面形式通知对方当事人，并在</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约定时间内，将有关部门出具的证明文件送达对方当事人。</w:t>
      </w:r>
    </w:p>
    <w:p w14:paraId="3F7BA816">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501" w:name="_Toc487900365"/>
      <w:bookmarkStart w:id="502" w:name="_Toc279701255"/>
      <w:bookmarkStart w:id="503" w:name="_Toc259093684"/>
      <w:bookmarkStart w:id="504" w:name="_Toc6969"/>
      <w:bookmarkStart w:id="505" w:name="_Toc689"/>
      <w:bookmarkStart w:id="506" w:name="_Toc30676"/>
      <w:r>
        <w:rPr>
          <w:rFonts w:hint="eastAsia" w:ascii="宋体" w:hAnsi="宋体" w:cs="宋体"/>
          <w:b/>
          <w:color w:val="000000" w:themeColor="text1"/>
          <w:sz w:val="24"/>
          <w14:textFill>
            <w14:solidFill>
              <w14:schemeClr w14:val="tx1"/>
            </w14:solidFill>
          </w14:textFill>
        </w:rPr>
        <w:t>2.13 税费</w:t>
      </w:r>
      <w:bookmarkEnd w:id="501"/>
      <w:bookmarkEnd w:id="502"/>
      <w:bookmarkEnd w:id="503"/>
      <w:bookmarkEnd w:id="504"/>
      <w:bookmarkEnd w:id="505"/>
      <w:bookmarkEnd w:id="506"/>
    </w:p>
    <w:p w14:paraId="097D95C5">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与合同有关的一切税费，均按照中华人民共和国法律的相关规定。</w:t>
      </w:r>
    </w:p>
    <w:p w14:paraId="0768FE29">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507" w:name="_Toc7102"/>
      <w:bookmarkStart w:id="508" w:name="_Toc16959"/>
      <w:bookmarkStart w:id="509" w:name="_Toc279701258"/>
      <w:bookmarkStart w:id="510" w:name="_Toc259093687"/>
      <w:bookmarkStart w:id="511" w:name="_Toc8298"/>
      <w:bookmarkStart w:id="512" w:name="_Toc487900368"/>
      <w:r>
        <w:rPr>
          <w:rFonts w:hint="eastAsia" w:ascii="宋体" w:hAnsi="宋体" w:cs="宋体"/>
          <w:b/>
          <w:color w:val="000000" w:themeColor="text1"/>
          <w:sz w:val="24"/>
          <w14:textFill>
            <w14:solidFill>
              <w14:schemeClr w14:val="tx1"/>
            </w14:solidFill>
          </w14:textFill>
        </w:rPr>
        <w:t>2.14乙方破产</w:t>
      </w:r>
      <w:bookmarkEnd w:id="507"/>
      <w:bookmarkEnd w:id="508"/>
      <w:bookmarkEnd w:id="509"/>
      <w:bookmarkEnd w:id="510"/>
      <w:bookmarkEnd w:id="511"/>
      <w:bookmarkEnd w:id="512"/>
    </w:p>
    <w:p w14:paraId="41BE7FAF">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11A54AF">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513" w:name="_Toc15387"/>
      <w:bookmarkStart w:id="514" w:name="_Toc6134"/>
      <w:bookmarkStart w:id="515" w:name="_Toc29333"/>
      <w:r>
        <w:rPr>
          <w:rFonts w:hint="eastAsia" w:ascii="宋体" w:hAnsi="宋体" w:cs="宋体"/>
          <w:b/>
          <w:color w:val="000000" w:themeColor="text1"/>
          <w:sz w:val="24"/>
          <w14:textFill>
            <w14:solidFill>
              <w14:schemeClr w14:val="tx1"/>
            </w14:solidFill>
          </w14:textFill>
        </w:rPr>
        <w:t>2.15 合同中止、终止</w:t>
      </w:r>
      <w:bookmarkEnd w:id="513"/>
      <w:bookmarkEnd w:id="514"/>
      <w:bookmarkEnd w:id="515"/>
    </w:p>
    <w:p w14:paraId="32DC40DF">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2.15.1 双方当事人不得擅自中止或者终止合同；</w:t>
      </w:r>
    </w:p>
    <w:p w14:paraId="2B2AEB9E">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14:paraId="688193A0">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516" w:name="_Toc14563"/>
      <w:bookmarkStart w:id="517" w:name="_Toc1125"/>
      <w:bookmarkStart w:id="518" w:name="_Toc6596"/>
      <w:r>
        <w:rPr>
          <w:rFonts w:hint="eastAsia" w:ascii="宋体" w:hAnsi="宋体" w:cs="宋体"/>
          <w:b/>
          <w:color w:val="000000" w:themeColor="text1"/>
          <w:sz w:val="24"/>
          <w14:textFill>
            <w14:solidFill>
              <w14:schemeClr w14:val="tx1"/>
            </w14:solidFill>
          </w14:textFill>
        </w:rPr>
        <w:t>2.16检验和验收</w:t>
      </w:r>
      <w:bookmarkEnd w:id="516"/>
      <w:bookmarkEnd w:id="517"/>
      <w:bookmarkEnd w:id="518"/>
    </w:p>
    <w:p w14:paraId="263F8FF8">
      <w:pPr>
        <w:tabs>
          <w:tab w:val="left" w:pos="360"/>
          <w:tab w:val="left" w:pos="540"/>
          <w:tab w:val="left" w:pos="1080"/>
        </w:tabs>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2.16.1货物交付前，乙方应对货物的质量、数量等方面进行详细、全面的检验，并向甲方出具证明货物符合合同约定的文件；货物交付时，甲方在</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约定时间内组织验收，并可依法邀请相关方参加，验收应出具验收书。</w:t>
      </w:r>
    </w:p>
    <w:p w14:paraId="19C1AD03">
      <w:pPr>
        <w:tabs>
          <w:tab w:val="left" w:pos="360"/>
          <w:tab w:val="left" w:pos="540"/>
          <w:tab w:val="left" w:pos="1080"/>
        </w:tabs>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112C70B">
      <w:pPr>
        <w:tabs>
          <w:tab w:val="left" w:pos="360"/>
          <w:tab w:val="left" w:pos="540"/>
          <w:tab w:val="left" w:pos="1080"/>
        </w:tabs>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2.16.3 检验和验收标准、程序等具体内容以及前述验收书的效力详见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i/>
          <w:color w:val="000000" w:themeColor="text1"/>
          <w:sz w:val="24"/>
          <w14:textFill>
            <w14:solidFill>
              <w14:schemeClr w14:val="tx1"/>
            </w14:solidFill>
          </w14:textFill>
        </w:rPr>
        <w:t>。</w:t>
      </w:r>
    </w:p>
    <w:bookmarkEnd w:id="488"/>
    <w:bookmarkEnd w:id="489"/>
    <w:bookmarkEnd w:id="490"/>
    <w:bookmarkEnd w:id="491"/>
    <w:p w14:paraId="7CEA9901">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519" w:name="_Toc259093690"/>
      <w:bookmarkStart w:id="520" w:name="_Toc279701261"/>
      <w:bookmarkStart w:id="521" w:name="_Toc487900371"/>
      <w:bookmarkStart w:id="522" w:name="_Toc19604"/>
      <w:bookmarkStart w:id="523" w:name="_Toc11284"/>
      <w:bookmarkStart w:id="524" w:name="_Toc25182"/>
      <w:r>
        <w:rPr>
          <w:rFonts w:hint="eastAsia" w:ascii="宋体" w:hAnsi="宋体" w:cs="宋体"/>
          <w:b/>
          <w:color w:val="000000" w:themeColor="text1"/>
          <w:sz w:val="24"/>
          <w14:textFill>
            <w14:solidFill>
              <w14:schemeClr w14:val="tx1"/>
            </w14:solidFill>
          </w14:textFill>
        </w:rPr>
        <w:t>2.17 通知</w:t>
      </w:r>
      <w:bookmarkEnd w:id="519"/>
      <w:bookmarkEnd w:id="520"/>
      <w:bookmarkEnd w:id="521"/>
      <w:r>
        <w:rPr>
          <w:rFonts w:hint="eastAsia" w:ascii="宋体" w:hAnsi="宋体" w:cs="宋体"/>
          <w:b/>
          <w:color w:val="000000" w:themeColor="text1"/>
          <w:sz w:val="24"/>
          <w14:textFill>
            <w14:solidFill>
              <w14:schemeClr w14:val="tx1"/>
            </w14:solidFill>
          </w14:textFill>
        </w:rPr>
        <w:t>和送达</w:t>
      </w:r>
      <w:bookmarkEnd w:id="522"/>
      <w:bookmarkEnd w:id="523"/>
      <w:bookmarkEnd w:id="524"/>
    </w:p>
    <w:p w14:paraId="2BFA0DBB">
      <w:pPr>
        <w:spacing w:line="560" w:lineRule="exact"/>
        <w:ind w:firstLine="480" w:firstLineChars="200"/>
        <w:rPr>
          <w:rFonts w:ascii="宋体" w:hAnsi="宋体" w:cs="宋体"/>
          <w:color w:val="000000" w:themeColor="text1"/>
          <w:sz w:val="24"/>
          <w14:textFill>
            <w14:solidFill>
              <w14:schemeClr w14:val="tx1"/>
            </w14:solidFill>
          </w14:textFill>
        </w:rPr>
      </w:pPr>
      <w:bookmarkStart w:id="525" w:name="_Toc3135"/>
      <w:bookmarkStart w:id="526" w:name="_Toc6698"/>
      <w:bookmarkStart w:id="527" w:name="_Toc279701262"/>
      <w:bookmarkStart w:id="528" w:name="_Toc487900372"/>
      <w:bookmarkStart w:id="529" w:name="_Toc259093691"/>
      <w:r>
        <w:rPr>
          <w:rFonts w:hint="eastAsia" w:ascii="宋体" w:hAnsi="宋体" w:cs="宋体"/>
          <w:color w:val="000000" w:themeColor="text1"/>
          <w:sz w:val="24"/>
          <w14:textFill>
            <w14:solidFill>
              <w14:schemeClr w14:val="tx1"/>
            </w14:solidFill>
          </w14:textFill>
        </w:rPr>
        <w:t xml:space="preserve">2.17.1任何一方因履行合同而以合同第一部分尾部所列明的传真或电子邮件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发出的所有通知、文件、材料，均视为已向对方当事人送达；任何一方变更上述送达方式或者地址的，应于</w:t>
      </w:r>
      <w:r>
        <w:rPr>
          <w:rFonts w:hint="eastAsia" w:ascii="宋体" w:hAnsi="宋体" w:cs="宋体"/>
          <w:color w:val="000000" w:themeColor="text1"/>
          <w:sz w:val="24"/>
          <w:u w:val="single"/>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bookmarkEnd w:id="525"/>
      <w:bookmarkEnd w:id="526"/>
    </w:p>
    <w:p w14:paraId="76ABD649">
      <w:pPr>
        <w:spacing w:line="560" w:lineRule="exact"/>
        <w:ind w:firstLine="480" w:firstLineChars="200"/>
        <w:rPr>
          <w:rFonts w:ascii="宋体" w:hAnsi="宋体" w:cs="宋体"/>
          <w:color w:val="000000" w:themeColor="text1"/>
          <w:sz w:val="24"/>
          <w14:textFill>
            <w14:solidFill>
              <w14:schemeClr w14:val="tx1"/>
            </w14:solidFill>
          </w14:textFill>
        </w:rPr>
      </w:pPr>
      <w:bookmarkStart w:id="530" w:name="_Toc23128"/>
      <w:bookmarkStart w:id="531" w:name="_Toc23294"/>
      <w:r>
        <w:rPr>
          <w:rFonts w:hint="eastAsia" w:ascii="宋体" w:hAnsi="宋体" w:cs="宋体"/>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1A7341C4">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532" w:name="_Toc4355"/>
      <w:bookmarkStart w:id="533" w:name="_Toc30599"/>
      <w:bookmarkStart w:id="534" w:name="_Toc18540"/>
      <w:r>
        <w:rPr>
          <w:rFonts w:hint="eastAsia" w:ascii="宋体" w:hAnsi="宋体" w:cs="宋体"/>
          <w:b/>
          <w:color w:val="000000" w:themeColor="text1"/>
          <w:sz w:val="24"/>
          <w14:textFill>
            <w14:solidFill>
              <w14:schemeClr w14:val="tx1"/>
            </w14:solidFill>
          </w14:textFill>
        </w:rPr>
        <w:t>2.18 计量单位</w:t>
      </w:r>
      <w:bookmarkEnd w:id="527"/>
      <w:bookmarkEnd w:id="528"/>
      <w:bookmarkEnd w:id="529"/>
      <w:bookmarkEnd w:id="532"/>
      <w:bookmarkEnd w:id="533"/>
      <w:bookmarkEnd w:id="534"/>
    </w:p>
    <w:p w14:paraId="4B073F9F">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除技术规范中另有规定外,合同的计量单位均使用国家法定计量单位。</w:t>
      </w:r>
    </w:p>
    <w:p w14:paraId="4B9DD49B">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535" w:name="_Toc10330"/>
      <w:bookmarkStart w:id="536" w:name="_Toc487900373"/>
      <w:bookmarkStart w:id="537" w:name="_Toc259093692"/>
      <w:bookmarkStart w:id="538" w:name="_Toc279701263"/>
      <w:bookmarkStart w:id="539" w:name="_Toc18567"/>
      <w:bookmarkStart w:id="540" w:name="_Toc12773"/>
      <w:r>
        <w:rPr>
          <w:rFonts w:hint="eastAsia" w:ascii="宋体" w:hAnsi="宋体" w:cs="宋体"/>
          <w:b/>
          <w:color w:val="000000" w:themeColor="text1"/>
          <w:sz w:val="24"/>
          <w14:textFill>
            <w14:solidFill>
              <w14:schemeClr w14:val="tx1"/>
            </w14:solidFill>
          </w14:textFill>
        </w:rPr>
        <w:t>2.19 合同使用的文字和适用的法律</w:t>
      </w:r>
      <w:bookmarkEnd w:id="535"/>
      <w:bookmarkEnd w:id="536"/>
      <w:bookmarkEnd w:id="537"/>
      <w:bookmarkEnd w:id="538"/>
      <w:bookmarkEnd w:id="539"/>
      <w:bookmarkEnd w:id="540"/>
    </w:p>
    <w:p w14:paraId="5ACE57EE">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2.19.1 合同使用汉语书就、变更和解释；</w:t>
      </w:r>
    </w:p>
    <w:p w14:paraId="009BF4E2">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2.19.2 合同适用中华人民共和国法律。</w:t>
      </w:r>
    </w:p>
    <w:p w14:paraId="57C66FE2">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541" w:name="_Toc6885"/>
      <w:bookmarkStart w:id="542" w:name="_Toc14001"/>
      <w:bookmarkStart w:id="543" w:name="_Toc19890"/>
      <w:r>
        <w:rPr>
          <w:rFonts w:hint="eastAsia" w:ascii="宋体" w:hAnsi="宋体" w:cs="宋体"/>
          <w:b/>
          <w:color w:val="000000" w:themeColor="text1"/>
          <w:sz w:val="24"/>
          <w14:textFill>
            <w14:solidFill>
              <w14:schemeClr w14:val="tx1"/>
            </w14:solidFill>
          </w14:textFill>
        </w:rPr>
        <w:t>2.20 合同份数</w:t>
      </w:r>
      <w:bookmarkEnd w:id="541"/>
      <w:bookmarkEnd w:id="542"/>
      <w:bookmarkEnd w:id="543"/>
    </w:p>
    <w:p w14:paraId="1ABDDFBF">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合同份数按</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规定，每份均具有同等法律效力。</w:t>
      </w:r>
    </w:p>
    <w:p w14:paraId="3A154CC6">
      <w:pPr>
        <w:adjustRightInd/>
        <w:spacing w:line="360" w:lineRule="auto"/>
        <w:jc w:val="center"/>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第三部分  合同专用条款</w:t>
      </w:r>
    </w:p>
    <w:p w14:paraId="523AC55C">
      <w:pPr>
        <w:spacing w:line="560" w:lineRule="exact"/>
        <w:ind w:left="-420" w:leftChars="-200" w:right="-420" w:righ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6"/>
        <w:gridCol w:w="7559"/>
      </w:tblGrid>
      <w:tr w14:paraId="171E9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6" w:type="dxa"/>
            <w:tcBorders>
              <w:left w:val="single" w:color="auto" w:sz="4" w:space="0"/>
            </w:tcBorders>
            <w:vAlign w:val="center"/>
          </w:tcPr>
          <w:p w14:paraId="4012A154">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条款号</w:t>
            </w:r>
          </w:p>
        </w:tc>
        <w:tc>
          <w:tcPr>
            <w:tcW w:w="7559" w:type="dxa"/>
            <w:vAlign w:val="center"/>
          </w:tcPr>
          <w:p w14:paraId="40B4F668">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约定内容</w:t>
            </w:r>
          </w:p>
        </w:tc>
      </w:tr>
      <w:tr w14:paraId="15D4B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7E8A244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1.4.2</w:t>
            </w:r>
          </w:p>
        </w:tc>
        <w:tc>
          <w:tcPr>
            <w:tcW w:w="7559" w:type="dxa"/>
            <w:vAlign w:val="center"/>
          </w:tcPr>
          <w:p w14:paraId="3DEC156A">
            <w:pPr>
              <w:spacing w:line="360" w:lineRule="auto"/>
              <w:rPr>
                <w:rFonts w:ascii="宋体" w:hAnsi="宋体" w:cs="宋体"/>
                <w:color w:val="000000" w:themeColor="text1"/>
                <w:sz w:val="24"/>
                <w14:textFill>
                  <w14:solidFill>
                    <w14:schemeClr w14:val="tx1"/>
                  </w14:solidFill>
                </w14:textFill>
              </w:rPr>
            </w:pPr>
          </w:p>
        </w:tc>
      </w:tr>
      <w:tr w14:paraId="6F96D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7BAA585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1.5.1</w:t>
            </w:r>
          </w:p>
        </w:tc>
        <w:tc>
          <w:tcPr>
            <w:tcW w:w="7559" w:type="dxa"/>
            <w:vAlign w:val="center"/>
          </w:tcPr>
          <w:p w14:paraId="0F11EB86">
            <w:pPr>
              <w:spacing w:line="360" w:lineRule="auto"/>
              <w:rPr>
                <w:rFonts w:ascii="宋体" w:hAnsi="宋体" w:cs="宋体"/>
                <w:color w:val="000000" w:themeColor="text1"/>
                <w:sz w:val="24"/>
                <w14:textFill>
                  <w14:solidFill>
                    <w14:schemeClr w14:val="tx1"/>
                  </w14:solidFill>
                </w14:textFill>
              </w:rPr>
            </w:pPr>
          </w:p>
        </w:tc>
      </w:tr>
      <w:tr w14:paraId="1FAE6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20BD041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1.5.2 </w:t>
            </w:r>
          </w:p>
        </w:tc>
        <w:tc>
          <w:tcPr>
            <w:tcW w:w="7559" w:type="dxa"/>
            <w:vAlign w:val="center"/>
          </w:tcPr>
          <w:p w14:paraId="59F42EE2">
            <w:pPr>
              <w:spacing w:line="360" w:lineRule="auto"/>
              <w:rPr>
                <w:rFonts w:ascii="宋体" w:hAnsi="宋体" w:cs="宋体"/>
                <w:color w:val="000000" w:themeColor="text1"/>
                <w:sz w:val="24"/>
                <w14:textFill>
                  <w14:solidFill>
                    <w14:schemeClr w14:val="tx1"/>
                  </w14:solidFill>
                </w14:textFill>
              </w:rPr>
            </w:pPr>
          </w:p>
        </w:tc>
      </w:tr>
      <w:tr w14:paraId="0CBEB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506E411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1.5.3</w:t>
            </w:r>
          </w:p>
        </w:tc>
        <w:tc>
          <w:tcPr>
            <w:tcW w:w="7559" w:type="dxa"/>
            <w:vAlign w:val="center"/>
          </w:tcPr>
          <w:p w14:paraId="04B7DC14">
            <w:pPr>
              <w:spacing w:line="360" w:lineRule="auto"/>
              <w:rPr>
                <w:rFonts w:ascii="宋体" w:hAnsi="宋体" w:cs="宋体"/>
                <w:color w:val="000000" w:themeColor="text1"/>
                <w:sz w:val="24"/>
                <w14:textFill>
                  <w14:solidFill>
                    <w14:schemeClr w14:val="tx1"/>
                  </w14:solidFill>
                </w14:textFill>
              </w:rPr>
            </w:pPr>
          </w:p>
        </w:tc>
      </w:tr>
      <w:tr w14:paraId="78D90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3FF943F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w:t>
            </w:r>
          </w:p>
        </w:tc>
        <w:tc>
          <w:tcPr>
            <w:tcW w:w="7559" w:type="dxa"/>
            <w:vAlign w:val="center"/>
          </w:tcPr>
          <w:p w14:paraId="5A8D8011">
            <w:pPr>
              <w:spacing w:line="360" w:lineRule="auto"/>
              <w:rPr>
                <w:rFonts w:ascii="宋体" w:hAnsi="宋体" w:cs="宋体"/>
                <w:color w:val="000000" w:themeColor="text1"/>
                <w:sz w:val="24"/>
                <w14:textFill>
                  <w14:solidFill>
                    <w14:schemeClr w14:val="tx1"/>
                  </w14:solidFill>
                </w14:textFill>
              </w:rPr>
            </w:pPr>
          </w:p>
        </w:tc>
      </w:tr>
      <w:tr w14:paraId="5610E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6DEDB33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w:t>
            </w:r>
          </w:p>
        </w:tc>
        <w:tc>
          <w:tcPr>
            <w:tcW w:w="7559" w:type="dxa"/>
            <w:vAlign w:val="center"/>
          </w:tcPr>
          <w:p w14:paraId="491FFB76">
            <w:pPr>
              <w:spacing w:line="360" w:lineRule="auto"/>
              <w:rPr>
                <w:rFonts w:ascii="宋体" w:hAnsi="宋体" w:cs="宋体"/>
                <w:color w:val="000000" w:themeColor="text1"/>
                <w:sz w:val="24"/>
                <w14:textFill>
                  <w14:solidFill>
                    <w14:schemeClr w14:val="tx1"/>
                  </w14:solidFill>
                </w14:textFill>
              </w:rPr>
            </w:pPr>
          </w:p>
        </w:tc>
      </w:tr>
      <w:tr w14:paraId="7B8F4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4A4E7AA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w:t>
            </w:r>
          </w:p>
        </w:tc>
        <w:tc>
          <w:tcPr>
            <w:tcW w:w="7559" w:type="dxa"/>
            <w:vAlign w:val="center"/>
          </w:tcPr>
          <w:p w14:paraId="1291B91C">
            <w:pPr>
              <w:spacing w:line="360" w:lineRule="auto"/>
              <w:rPr>
                <w:rFonts w:ascii="宋体" w:hAnsi="宋体" w:cs="宋体"/>
                <w:color w:val="000000" w:themeColor="text1"/>
                <w:sz w:val="24"/>
                <w14:textFill>
                  <w14:solidFill>
                    <w14:schemeClr w14:val="tx1"/>
                  </w14:solidFill>
                </w14:textFill>
              </w:rPr>
            </w:pPr>
          </w:p>
        </w:tc>
      </w:tr>
      <w:tr w14:paraId="69B9B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39FD79A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1.7.3</w:t>
            </w:r>
          </w:p>
        </w:tc>
        <w:tc>
          <w:tcPr>
            <w:tcW w:w="7559" w:type="dxa"/>
            <w:vAlign w:val="center"/>
          </w:tcPr>
          <w:p w14:paraId="04AF8702">
            <w:pPr>
              <w:spacing w:line="360" w:lineRule="auto"/>
              <w:rPr>
                <w:rFonts w:ascii="宋体" w:hAnsi="宋体" w:cs="宋体"/>
                <w:color w:val="000000" w:themeColor="text1"/>
                <w:sz w:val="24"/>
                <w14:textFill>
                  <w14:solidFill>
                    <w14:schemeClr w14:val="tx1"/>
                  </w14:solidFill>
                </w14:textFill>
              </w:rPr>
            </w:pPr>
          </w:p>
        </w:tc>
      </w:tr>
      <w:tr w14:paraId="0FC93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50A1409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1.8.6</w:t>
            </w:r>
          </w:p>
        </w:tc>
        <w:tc>
          <w:tcPr>
            <w:tcW w:w="7559" w:type="dxa"/>
            <w:vAlign w:val="center"/>
          </w:tcPr>
          <w:p w14:paraId="2FD2EDC4">
            <w:pPr>
              <w:spacing w:line="360" w:lineRule="auto"/>
              <w:rPr>
                <w:rFonts w:ascii="宋体" w:hAnsi="宋体" w:cs="宋体"/>
                <w:color w:val="000000" w:themeColor="text1"/>
                <w:sz w:val="24"/>
                <w14:textFill>
                  <w14:solidFill>
                    <w14:schemeClr w14:val="tx1"/>
                  </w14:solidFill>
                </w14:textFill>
              </w:rPr>
            </w:pPr>
          </w:p>
        </w:tc>
      </w:tr>
      <w:tr w14:paraId="101A3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00744D6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w:t>
            </w:r>
          </w:p>
        </w:tc>
        <w:tc>
          <w:tcPr>
            <w:tcW w:w="7559" w:type="dxa"/>
            <w:vAlign w:val="center"/>
          </w:tcPr>
          <w:p w14:paraId="6D58C985">
            <w:pPr>
              <w:spacing w:line="360" w:lineRule="auto"/>
              <w:rPr>
                <w:rFonts w:ascii="宋体" w:hAnsi="宋体" w:cs="宋体"/>
                <w:color w:val="000000" w:themeColor="text1"/>
                <w:sz w:val="24"/>
                <w14:textFill>
                  <w14:solidFill>
                    <w14:schemeClr w14:val="tx1"/>
                  </w14:solidFill>
                </w14:textFill>
              </w:rPr>
            </w:pPr>
          </w:p>
        </w:tc>
      </w:tr>
      <w:tr w14:paraId="325EB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1683B6F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w:t>
            </w:r>
          </w:p>
        </w:tc>
        <w:tc>
          <w:tcPr>
            <w:tcW w:w="7559" w:type="dxa"/>
            <w:vAlign w:val="center"/>
          </w:tcPr>
          <w:p w14:paraId="14E540F2">
            <w:pPr>
              <w:spacing w:line="360" w:lineRule="auto"/>
              <w:ind w:left="-420" w:leftChars="-200" w:right="-420" w:rightChars="-200" w:firstLine="480" w:firstLineChars="200"/>
              <w:rPr>
                <w:rFonts w:ascii="宋体" w:hAnsi="宋体" w:cs="宋体"/>
                <w:color w:val="000000" w:themeColor="text1"/>
                <w:sz w:val="24"/>
                <w14:textFill>
                  <w14:solidFill>
                    <w14:schemeClr w14:val="tx1"/>
                  </w14:solidFill>
                </w14:textFill>
              </w:rPr>
            </w:pPr>
          </w:p>
        </w:tc>
      </w:tr>
      <w:tr w14:paraId="32CEA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01E6226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2.4.1</w:t>
            </w:r>
          </w:p>
        </w:tc>
        <w:tc>
          <w:tcPr>
            <w:tcW w:w="7559" w:type="dxa"/>
            <w:vAlign w:val="center"/>
          </w:tcPr>
          <w:p w14:paraId="1471E033">
            <w:pPr>
              <w:spacing w:line="360" w:lineRule="auto"/>
              <w:ind w:left="-420" w:leftChars="-200" w:right="-420" w:rightChars="-200" w:firstLine="480" w:firstLineChars="200"/>
              <w:rPr>
                <w:rFonts w:ascii="宋体" w:hAnsi="宋体" w:cs="宋体"/>
                <w:color w:val="000000" w:themeColor="text1"/>
                <w:sz w:val="24"/>
                <w14:textFill>
                  <w14:solidFill>
                    <w14:schemeClr w14:val="tx1"/>
                  </w14:solidFill>
                </w14:textFill>
              </w:rPr>
            </w:pPr>
          </w:p>
        </w:tc>
      </w:tr>
      <w:tr w14:paraId="04136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5657AC8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2.4.3</w:t>
            </w:r>
          </w:p>
        </w:tc>
        <w:tc>
          <w:tcPr>
            <w:tcW w:w="7559" w:type="dxa"/>
            <w:vAlign w:val="center"/>
          </w:tcPr>
          <w:p w14:paraId="32C18205">
            <w:pPr>
              <w:spacing w:line="360" w:lineRule="auto"/>
              <w:rPr>
                <w:rFonts w:ascii="宋体" w:hAnsi="宋体" w:cs="宋体"/>
                <w:color w:val="000000" w:themeColor="text1"/>
                <w:sz w:val="24"/>
                <w14:textFill>
                  <w14:solidFill>
                    <w14:schemeClr w14:val="tx1"/>
                  </w14:solidFill>
                </w14:textFill>
              </w:rPr>
            </w:pPr>
          </w:p>
        </w:tc>
      </w:tr>
      <w:tr w14:paraId="2CB5E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tcPr>
          <w:p w14:paraId="5F99E54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2.8 </w:t>
            </w:r>
          </w:p>
        </w:tc>
        <w:tc>
          <w:tcPr>
            <w:tcW w:w="7559" w:type="dxa"/>
          </w:tcPr>
          <w:p w14:paraId="7A3C2F7E">
            <w:pPr>
              <w:spacing w:line="360" w:lineRule="auto"/>
              <w:rPr>
                <w:rFonts w:ascii="宋体" w:hAnsi="宋体" w:cs="宋体"/>
                <w:color w:val="000000" w:themeColor="text1"/>
                <w:sz w:val="24"/>
                <w14:textFill>
                  <w14:solidFill>
                    <w14:schemeClr w14:val="tx1"/>
                  </w14:solidFill>
                </w14:textFill>
              </w:rPr>
            </w:pPr>
          </w:p>
        </w:tc>
      </w:tr>
      <w:tr w14:paraId="1472B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11EF853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2.12.3</w:t>
            </w:r>
          </w:p>
        </w:tc>
        <w:tc>
          <w:tcPr>
            <w:tcW w:w="7559" w:type="dxa"/>
            <w:vAlign w:val="center"/>
          </w:tcPr>
          <w:p w14:paraId="2CB53E84">
            <w:pPr>
              <w:spacing w:line="360" w:lineRule="auto"/>
              <w:rPr>
                <w:rFonts w:ascii="宋体" w:hAnsi="宋体" w:cs="宋体"/>
                <w:color w:val="000000" w:themeColor="text1"/>
                <w:sz w:val="24"/>
                <w14:textFill>
                  <w14:solidFill>
                    <w14:schemeClr w14:val="tx1"/>
                  </w14:solidFill>
                </w14:textFill>
              </w:rPr>
            </w:pPr>
          </w:p>
        </w:tc>
      </w:tr>
      <w:tr w14:paraId="2C042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3CAFE4D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2.12.4</w:t>
            </w:r>
          </w:p>
        </w:tc>
        <w:tc>
          <w:tcPr>
            <w:tcW w:w="7559" w:type="dxa"/>
            <w:vAlign w:val="center"/>
          </w:tcPr>
          <w:p w14:paraId="086ED1B6">
            <w:pPr>
              <w:spacing w:line="360" w:lineRule="auto"/>
              <w:rPr>
                <w:rFonts w:ascii="宋体" w:hAnsi="宋体" w:cs="宋体"/>
                <w:color w:val="000000" w:themeColor="text1"/>
                <w:sz w:val="24"/>
                <w14:textFill>
                  <w14:solidFill>
                    <w14:schemeClr w14:val="tx1"/>
                  </w14:solidFill>
                </w14:textFill>
              </w:rPr>
            </w:pPr>
          </w:p>
        </w:tc>
      </w:tr>
      <w:tr w14:paraId="684FB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36C1A83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2.16.1</w:t>
            </w:r>
          </w:p>
        </w:tc>
        <w:tc>
          <w:tcPr>
            <w:tcW w:w="7559" w:type="dxa"/>
            <w:vAlign w:val="center"/>
          </w:tcPr>
          <w:p w14:paraId="5746D9CC">
            <w:pPr>
              <w:spacing w:line="360" w:lineRule="auto"/>
              <w:rPr>
                <w:rFonts w:ascii="宋体" w:hAnsi="宋体" w:cs="宋体"/>
                <w:color w:val="000000" w:themeColor="text1"/>
                <w:sz w:val="24"/>
                <w14:textFill>
                  <w14:solidFill>
                    <w14:schemeClr w14:val="tx1"/>
                  </w14:solidFill>
                </w14:textFill>
              </w:rPr>
            </w:pPr>
          </w:p>
        </w:tc>
      </w:tr>
      <w:tr w14:paraId="7BA34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6" w:type="dxa"/>
            <w:tcBorders>
              <w:left w:val="single" w:color="auto" w:sz="4" w:space="0"/>
            </w:tcBorders>
            <w:vAlign w:val="center"/>
          </w:tcPr>
          <w:p w14:paraId="2E63C14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2.16.3</w:t>
            </w:r>
          </w:p>
        </w:tc>
        <w:tc>
          <w:tcPr>
            <w:tcW w:w="7559" w:type="dxa"/>
            <w:vAlign w:val="center"/>
          </w:tcPr>
          <w:p w14:paraId="08672B8E">
            <w:pPr>
              <w:spacing w:line="360" w:lineRule="auto"/>
              <w:rPr>
                <w:rFonts w:ascii="宋体" w:hAnsi="宋体" w:cs="宋体"/>
                <w:color w:val="000000" w:themeColor="text1"/>
                <w:sz w:val="24"/>
                <w14:textFill>
                  <w14:solidFill>
                    <w14:schemeClr w14:val="tx1"/>
                  </w14:solidFill>
                </w14:textFill>
              </w:rPr>
            </w:pPr>
          </w:p>
        </w:tc>
      </w:tr>
      <w:tr w14:paraId="4C408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Borders>
              <w:left w:val="single" w:color="auto" w:sz="4" w:space="0"/>
            </w:tcBorders>
            <w:vAlign w:val="center"/>
          </w:tcPr>
          <w:p w14:paraId="6B24FF9F">
            <w:pPr>
              <w:spacing w:line="360" w:lineRule="auto"/>
              <w:ind w:left="-420" w:leftChars="-200" w:right="-420" w:rightChars="-200" w:firstLine="480"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2.20 </w:t>
            </w:r>
          </w:p>
        </w:tc>
        <w:tc>
          <w:tcPr>
            <w:tcW w:w="7559" w:type="dxa"/>
            <w:vAlign w:val="center"/>
          </w:tcPr>
          <w:p w14:paraId="47C63027">
            <w:pPr>
              <w:spacing w:line="360" w:lineRule="auto"/>
              <w:rPr>
                <w:rFonts w:ascii="宋体" w:hAnsi="宋体" w:cs="宋体"/>
                <w:color w:val="000000" w:themeColor="text1"/>
                <w:sz w:val="24"/>
                <w14:textFill>
                  <w14:solidFill>
                    <w14:schemeClr w14:val="tx1"/>
                  </w14:solidFill>
                </w14:textFill>
              </w:rPr>
            </w:pPr>
          </w:p>
        </w:tc>
      </w:tr>
      <w:tr w14:paraId="64242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Borders>
              <w:left w:val="single" w:color="auto" w:sz="4" w:space="0"/>
            </w:tcBorders>
            <w:vAlign w:val="center"/>
          </w:tcPr>
          <w:p w14:paraId="24C9D90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w:t>
            </w:r>
          </w:p>
        </w:tc>
        <w:tc>
          <w:tcPr>
            <w:tcW w:w="7559" w:type="dxa"/>
            <w:vAlign w:val="center"/>
          </w:tcPr>
          <w:p w14:paraId="6ADBF10E">
            <w:pPr>
              <w:spacing w:line="360" w:lineRule="auto"/>
              <w:ind w:left="-420" w:leftChars="-200" w:right="-420" w:rightChars="-200" w:firstLine="480" w:firstLineChars="200"/>
              <w:rPr>
                <w:rFonts w:ascii="宋体" w:hAnsi="宋体" w:cs="宋体"/>
                <w:color w:val="000000" w:themeColor="text1"/>
                <w:sz w:val="24"/>
                <w14:textFill>
                  <w14:solidFill>
                    <w14:schemeClr w14:val="tx1"/>
                  </w14:solidFill>
                </w14:textFill>
              </w:rPr>
            </w:pPr>
          </w:p>
        </w:tc>
      </w:tr>
      <w:tr w14:paraId="65041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vAlign w:val="center"/>
          </w:tcPr>
          <w:p w14:paraId="2DCBA8B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w:t>
            </w:r>
          </w:p>
        </w:tc>
        <w:tc>
          <w:tcPr>
            <w:tcW w:w="7559" w:type="dxa"/>
            <w:vAlign w:val="center"/>
          </w:tcPr>
          <w:p w14:paraId="13B83D41">
            <w:pPr>
              <w:spacing w:line="360" w:lineRule="auto"/>
              <w:ind w:left="-420" w:leftChars="-200" w:right="-420" w:rightChars="-200" w:firstLine="480" w:firstLineChars="200"/>
              <w:rPr>
                <w:rFonts w:ascii="宋体" w:hAnsi="宋体" w:cs="宋体"/>
                <w:color w:val="000000" w:themeColor="text1"/>
                <w:sz w:val="24"/>
                <w14:textFill>
                  <w14:solidFill>
                    <w14:schemeClr w14:val="tx1"/>
                  </w14:solidFill>
                </w14:textFill>
              </w:rPr>
            </w:pPr>
          </w:p>
        </w:tc>
      </w:tr>
      <w:tr w14:paraId="643CE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vAlign w:val="center"/>
          </w:tcPr>
          <w:p w14:paraId="0957BB0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2.11.3</w:t>
            </w:r>
          </w:p>
        </w:tc>
        <w:tc>
          <w:tcPr>
            <w:tcW w:w="7559" w:type="dxa"/>
            <w:vAlign w:val="center"/>
          </w:tcPr>
          <w:p w14:paraId="1E96706A">
            <w:pPr>
              <w:spacing w:line="360" w:lineRule="auto"/>
              <w:rPr>
                <w:rFonts w:ascii="宋体" w:hAnsi="宋体" w:cs="宋体"/>
                <w:color w:val="000000" w:themeColor="text1"/>
                <w:sz w:val="24"/>
                <w14:textFill>
                  <w14:solidFill>
                    <w14:schemeClr w14:val="tx1"/>
                  </w14:solidFill>
                </w14:textFill>
              </w:rPr>
            </w:pPr>
          </w:p>
        </w:tc>
      </w:tr>
      <w:tr w14:paraId="57045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Pr>
          <w:p w14:paraId="7A14EC5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2.11.4 </w:t>
            </w:r>
          </w:p>
        </w:tc>
        <w:tc>
          <w:tcPr>
            <w:tcW w:w="7559" w:type="dxa"/>
          </w:tcPr>
          <w:p w14:paraId="4387406D">
            <w:pPr>
              <w:spacing w:line="360" w:lineRule="auto"/>
              <w:rPr>
                <w:rFonts w:ascii="宋体" w:hAnsi="宋体" w:cs="宋体"/>
                <w:color w:val="000000" w:themeColor="text1"/>
                <w:sz w:val="24"/>
                <w14:textFill>
                  <w14:solidFill>
                    <w14:schemeClr w14:val="tx1"/>
                  </w14:solidFill>
                </w14:textFill>
              </w:rPr>
            </w:pPr>
          </w:p>
        </w:tc>
      </w:tr>
      <w:tr w14:paraId="71E87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vAlign w:val="center"/>
          </w:tcPr>
          <w:p w14:paraId="0A5354C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2.15.1</w:t>
            </w:r>
          </w:p>
        </w:tc>
        <w:tc>
          <w:tcPr>
            <w:tcW w:w="7559" w:type="dxa"/>
            <w:vAlign w:val="center"/>
          </w:tcPr>
          <w:p w14:paraId="5842EF11">
            <w:pPr>
              <w:spacing w:line="360" w:lineRule="auto"/>
              <w:rPr>
                <w:rFonts w:ascii="宋体" w:hAnsi="宋体" w:cs="宋体"/>
                <w:color w:val="000000" w:themeColor="text1"/>
                <w:sz w:val="24"/>
                <w14:textFill>
                  <w14:solidFill>
                    <w14:schemeClr w14:val="tx1"/>
                  </w14:solidFill>
                </w14:textFill>
              </w:rPr>
            </w:pPr>
          </w:p>
        </w:tc>
      </w:tr>
      <w:tr w14:paraId="7AF86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vAlign w:val="center"/>
          </w:tcPr>
          <w:p w14:paraId="50B20E8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2.15.3</w:t>
            </w:r>
          </w:p>
        </w:tc>
        <w:tc>
          <w:tcPr>
            <w:tcW w:w="7559" w:type="dxa"/>
            <w:vAlign w:val="center"/>
          </w:tcPr>
          <w:p w14:paraId="03A3E6DC">
            <w:pPr>
              <w:spacing w:line="360" w:lineRule="auto"/>
              <w:rPr>
                <w:rFonts w:ascii="宋体" w:hAnsi="宋体" w:cs="宋体"/>
                <w:color w:val="000000" w:themeColor="text1"/>
                <w:sz w:val="24"/>
                <w14:textFill>
                  <w14:solidFill>
                    <w14:schemeClr w14:val="tx1"/>
                  </w14:solidFill>
                </w14:textFill>
              </w:rPr>
            </w:pPr>
          </w:p>
        </w:tc>
      </w:tr>
      <w:tr w14:paraId="649A2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Pr>
          <w:p w14:paraId="0FCA3BF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2.19</w:t>
            </w:r>
          </w:p>
        </w:tc>
        <w:tc>
          <w:tcPr>
            <w:tcW w:w="7559" w:type="dxa"/>
          </w:tcPr>
          <w:p w14:paraId="33E072B4">
            <w:pPr>
              <w:spacing w:line="360" w:lineRule="auto"/>
              <w:rPr>
                <w:rFonts w:ascii="宋体" w:hAnsi="宋体" w:cs="宋体"/>
                <w:color w:val="000000" w:themeColor="text1"/>
                <w:sz w:val="24"/>
                <w14:textFill>
                  <w14:solidFill>
                    <w14:schemeClr w14:val="tx1"/>
                  </w14:solidFill>
                </w14:textFill>
              </w:rPr>
            </w:pPr>
          </w:p>
        </w:tc>
      </w:tr>
    </w:tbl>
    <w:p w14:paraId="50B2E3AB">
      <w:pPr>
        <w:rPr>
          <w:rFonts w:ascii="宋体" w:hAnsi="宋体" w:cs="宋体"/>
          <w:color w:val="000000" w:themeColor="text1"/>
          <w:sz w:val="24"/>
          <w14:textFill>
            <w14:solidFill>
              <w14:schemeClr w14:val="tx1"/>
            </w14:solidFill>
          </w14:textFill>
        </w:rPr>
      </w:pPr>
    </w:p>
    <w:p w14:paraId="7D69315B">
      <w:pPr>
        <w:rPr>
          <w:color w:val="000000" w:themeColor="text1"/>
          <w14:textFill>
            <w14:solidFill>
              <w14:schemeClr w14:val="tx1"/>
            </w14:solidFill>
          </w14:textFill>
        </w:rPr>
      </w:pPr>
    </w:p>
    <w:p w14:paraId="1A01B2F1">
      <w:pPr>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br w:type="page"/>
      </w:r>
    </w:p>
    <w:p w14:paraId="03508BC4">
      <w:pPr>
        <w:spacing w:line="360" w:lineRule="auto"/>
        <w:ind w:left="720" w:firstLine="723" w:firstLineChars="200"/>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第六部分</w:t>
      </w:r>
      <w:bookmarkEnd w:id="393"/>
      <w:r>
        <w:rPr>
          <w:rFonts w:hint="eastAsia" w:ascii="宋体" w:hAnsi="宋体" w:cs="宋体"/>
          <w:b/>
          <w:color w:val="000000" w:themeColor="text1"/>
          <w:sz w:val="36"/>
          <w:szCs w:val="20"/>
          <w14:textFill>
            <w14:solidFill>
              <w14:schemeClr w14:val="tx1"/>
            </w14:solidFill>
          </w14:textFill>
        </w:rPr>
        <w:t xml:space="preserve"> </w:t>
      </w:r>
      <w:bookmarkEnd w:id="394"/>
      <w:r>
        <w:rPr>
          <w:rFonts w:hint="eastAsia" w:ascii="宋体" w:hAnsi="宋体" w:cs="宋体"/>
          <w:b/>
          <w:color w:val="000000" w:themeColor="text1"/>
          <w:sz w:val="36"/>
          <w:szCs w:val="20"/>
          <w14:textFill>
            <w14:solidFill>
              <w14:schemeClr w14:val="tx1"/>
            </w14:solidFill>
          </w14:textFill>
        </w:rPr>
        <w:t>应提交的有关格式范例</w:t>
      </w:r>
    </w:p>
    <w:p w14:paraId="373765C8">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59A40FD6">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资格文件部分</w:t>
      </w:r>
    </w:p>
    <w:p w14:paraId="2D3AD401">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1CDBD7B5">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6BC5841E">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（1）符合参加政府采购活动应当具备的一般条件的承诺函……………（页码）</w:t>
      </w:r>
    </w:p>
    <w:p w14:paraId="51887111">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（2）联合协议</w:t>
      </w:r>
      <w:r>
        <w:rPr>
          <w:rFonts w:hint="eastAsia" w:ascii="宋体" w:hAnsi="宋体" w:cs="宋体"/>
          <w:color w:val="000000" w:themeColor="text1"/>
          <w:sz w:val="24"/>
          <w14:textFill>
            <w14:solidFill>
              <w14:schemeClr w14:val="tx1"/>
            </w14:solidFill>
          </w14:textFill>
        </w:rPr>
        <w:t>………………………………………………………………（页码）</w:t>
      </w:r>
    </w:p>
    <w:p w14:paraId="21A7EE86">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）落实政府采购政策需满足的资格要求………………………………（页码）</w:t>
      </w:r>
    </w:p>
    <w:p w14:paraId="7E9B3340">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）本项目的特定资格要求………………………………………………（页码）</w:t>
      </w:r>
    </w:p>
    <w:p w14:paraId="09B87408">
      <w:pPr>
        <w:snapToGrid w:val="0"/>
        <w:spacing w:line="360" w:lineRule="auto"/>
        <w:ind w:firstLine="480" w:firstLineChars="200"/>
        <w:rPr>
          <w:rFonts w:ascii="宋体" w:hAnsi="宋体" w:cs="宋体"/>
          <w:color w:val="000000" w:themeColor="text1"/>
          <w:sz w:val="24"/>
          <w14:textFill>
            <w14:solidFill>
              <w14:schemeClr w14:val="tx1"/>
            </w14:solidFill>
          </w14:textFill>
        </w:rPr>
      </w:pPr>
    </w:p>
    <w:p w14:paraId="33FC04CF">
      <w:pPr>
        <w:spacing w:line="360" w:lineRule="auto"/>
        <w:ind w:firstLine="480" w:firstLineChars="200"/>
        <w:rPr>
          <w:rFonts w:ascii="宋体" w:hAnsi="宋体" w:cs="宋体"/>
          <w:color w:val="000000" w:themeColor="text1"/>
          <w:sz w:val="24"/>
          <w14:textFill>
            <w14:solidFill>
              <w14:schemeClr w14:val="tx1"/>
            </w14:solidFill>
          </w14:textFill>
        </w:rPr>
      </w:pPr>
    </w:p>
    <w:p w14:paraId="0D7FA888">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2B0E3A62">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一、 符合参加政府采购活动应当具备的一般条件的承诺函</w:t>
      </w:r>
    </w:p>
    <w:p w14:paraId="799D1873">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14:paraId="350A776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我方参与（项目名称）【招标编号：（采购编号）】政府采购活动，郑重承诺：</w:t>
      </w:r>
    </w:p>
    <w:p w14:paraId="4B71ECE2">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14:paraId="0A1287BA">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33C33CF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14:paraId="53EAE99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6900015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76FE6E4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0C3058C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14:paraId="37E5FBD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1518932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（三）不存在以下情况：</w:t>
      </w:r>
    </w:p>
    <w:p w14:paraId="03FEEFD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14:paraId="4B8CC98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7089C0CD">
      <w:pPr>
        <w:snapToGrid w:val="0"/>
        <w:spacing w:line="360" w:lineRule="auto"/>
        <w:ind w:firstLine="5520" w:firstLineChars="2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投标人名称(电子签名)：</w:t>
      </w:r>
    </w:p>
    <w:p w14:paraId="2CB18A03">
      <w:pPr>
        <w:snapToGrid w:val="0"/>
        <w:spacing w:line="360" w:lineRule="auto"/>
        <w:rPr>
          <w:rFonts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14:paraId="3B59FC9F">
      <w:pPr>
        <w:snapToGrid w:val="0"/>
        <w:spacing w:line="360" w:lineRule="auto"/>
        <w:ind w:right="480" w:firstLine="559" w:firstLineChars="233"/>
        <w:jc w:val="left"/>
        <w:rPr>
          <w:rFonts w:cs="仿宋_GB2312" w:asciiTheme="minorEastAsia" w:hAnsiTheme="minorEastAsia" w:eastAsiaTheme="minorEastAsia"/>
          <w:b/>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注：根据《</w:t>
      </w:r>
      <w:r>
        <w:rPr>
          <w:rFonts w:cs="仿宋_GB2312" w:asciiTheme="minorEastAsia" w:hAnsiTheme="minorEastAsia" w:eastAsiaTheme="minorEastAsia"/>
          <w:color w:val="000000" w:themeColor="text1"/>
          <w:sz w:val="24"/>
          <w14:textFill>
            <w14:solidFill>
              <w14:schemeClr w14:val="tx1"/>
            </w14:solidFill>
          </w14:textFill>
        </w:rPr>
        <w:t>关于规范政府采购供应商资格设定及资格审查的通知</w:t>
      </w:r>
      <w:r>
        <w:rPr>
          <w:rFonts w:hint="eastAsia" w:cs="仿宋_GB2312" w:asciiTheme="minorEastAsia" w:hAnsiTheme="minorEastAsia" w:eastAsiaTheme="minorEastAsia"/>
          <w:color w:val="000000" w:themeColor="text1"/>
          <w:sz w:val="24"/>
          <w14:textFill>
            <w14:solidFill>
              <w14:schemeClr w14:val="tx1"/>
            </w14:solidFill>
          </w14:textFill>
        </w:rPr>
        <w:t>》（</w:t>
      </w:r>
      <w:r>
        <w:rPr>
          <w:rFonts w:cs="仿宋_GB2312" w:asciiTheme="minorEastAsia" w:hAnsiTheme="minorEastAsia" w:eastAsiaTheme="minorEastAsia"/>
          <w:color w:val="000000" w:themeColor="text1"/>
          <w:sz w:val="24"/>
          <w14:textFill>
            <w14:solidFill>
              <w14:schemeClr w14:val="tx1"/>
            </w14:solidFill>
          </w14:textFill>
        </w:rPr>
        <w:t>浙财采监[2013]24号</w:t>
      </w:r>
      <w:r>
        <w:rPr>
          <w:rFonts w:hint="eastAsia" w:cs="仿宋_GB2312" w:asciiTheme="minorEastAsia" w:hAnsiTheme="minorEastAsia" w:eastAsiaTheme="minorEastAsia"/>
          <w:color w:val="000000" w:themeColor="text1"/>
          <w:sz w:val="24"/>
          <w14:textFill>
            <w14:solidFill>
              <w14:schemeClr w14:val="tx1"/>
            </w14:solidFill>
          </w14:textFill>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000000" w:themeColor="text1"/>
          <w:sz w:val="24"/>
          <w:u w:val="single"/>
          <w14:textFill>
            <w14:solidFill>
              <w14:schemeClr w14:val="tx1"/>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AA9C9E9">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p>
    <w:p w14:paraId="00E6465C">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p>
    <w:p w14:paraId="1EE0763C">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二、联合协议（如果有）</w:t>
      </w:r>
    </w:p>
    <w:p w14:paraId="396899BB">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[以联合体形式投标的，提供联合协议（附件5）；本项目不接受联合体投标或者投标人不以联合体形式投标的，则不需要提供]</w:t>
      </w:r>
    </w:p>
    <w:p w14:paraId="686F3075">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29297A2">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626D6BC">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三、落实政府采购政策需满足的资格要求</w:t>
      </w:r>
    </w:p>
    <w:p w14:paraId="5C4C01F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（根据招标公告落实政府采购政策需满足的资格要求选择提供相应的材料；未要求的，无需提供）</w:t>
      </w:r>
    </w:p>
    <w:p w14:paraId="7AC85108">
      <w:pPr>
        <w:snapToGrid w:val="0"/>
        <w:spacing w:before="50" w:after="50"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.专门面向中小企业，货物全部由符合政策要求的中小企业（或小微企业）制造的，提供相应的中小企业声明函（附件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 xml:space="preserve">）。 </w:t>
      </w:r>
    </w:p>
    <w:p w14:paraId="52EDE746">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要求以联合体形式参加的，提供联合协议（附件</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r>
        <w:rPr>
          <w:rFonts w:hint="eastAsia" w:ascii="宋体" w:hAnsi="宋体" w:cs="宋体"/>
          <w:b/>
          <w:color w:val="000000" w:themeColor="text1"/>
          <w:sz w:val="24"/>
          <w14:textFill>
            <w14:solidFill>
              <w14:schemeClr w14:val="tx1"/>
            </w14:solidFill>
          </w14:textFill>
        </w:rPr>
        <w:t xml:space="preserve">    </w:t>
      </w:r>
    </w:p>
    <w:p w14:paraId="49F5BD27">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要求合同分包的，提供分包意向协议（附件6）和中小企业声明函（附件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14:paraId="18045514">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p>
    <w:p w14:paraId="20BCCF19">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p>
    <w:p w14:paraId="5751C5D5">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四、本项目的特定资格要求</w:t>
      </w:r>
    </w:p>
    <w:p w14:paraId="588B47A0">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（根据招标公告本项目的特定资格要求提供相应的材料；未要求的，无需提供）</w:t>
      </w:r>
    </w:p>
    <w:p w14:paraId="2004C294">
      <w:pPr>
        <w:rPr>
          <w:rFonts w:ascii="宋体" w:hAnsi="宋体" w:cs="宋体"/>
          <w:color w:val="000000" w:themeColor="text1"/>
          <w14:textFill>
            <w14:solidFill>
              <w14:schemeClr w14:val="tx1"/>
            </w14:solidFill>
          </w14:textFill>
        </w:rPr>
      </w:pPr>
    </w:p>
    <w:p w14:paraId="7A24C68B">
      <w:pP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br w:type="page"/>
      </w:r>
    </w:p>
    <w:p w14:paraId="0505DA03">
      <w:pPr>
        <w:widowControl/>
        <w:adjustRightInd/>
        <w:jc w:val="cente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商务技术文件部分</w:t>
      </w:r>
    </w:p>
    <w:p w14:paraId="05BE8D6E">
      <w:pPr>
        <w:spacing w:line="360" w:lineRule="auto"/>
        <w:jc w:val="center"/>
        <w:outlineLvl w:val="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目录</w:t>
      </w:r>
    </w:p>
    <w:p w14:paraId="50911579">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（1）投标函</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（2）授权委托书或法定代表人（单位负责人、自然人本人）身份证明</w:t>
      </w:r>
      <w:r>
        <w:rPr>
          <w:rFonts w:hint="eastAsia" w:ascii="宋体" w:hAnsi="宋体" w:cs="宋体"/>
          <w:color w:val="000000" w:themeColor="text1"/>
          <w14:textFill>
            <w14:solidFill>
              <w14:schemeClr w14:val="tx1"/>
            </w14:solidFill>
          </w14:textFill>
        </w:rPr>
        <w:t>………（页码）</w:t>
      </w:r>
    </w:p>
    <w:p w14:paraId="51C2A463">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color w:val="000000" w:themeColor="text1"/>
          <w14:textFill>
            <w14:solidFill>
              <w14:schemeClr w14:val="tx1"/>
            </w14:solidFill>
          </w14:textFill>
        </w:rPr>
        <w:t>…………………………………………………………………………（页码）</w:t>
      </w:r>
    </w:p>
    <w:p w14:paraId="2A735DC1">
      <w:pPr>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r>
        <w:rPr>
          <w:rFonts w:hint="eastAsia" w:ascii="宋体" w:hAnsi="宋体" w:cs="宋体"/>
          <w:color w:val="000000" w:themeColor="text1"/>
          <w14:textFill>
            <w14:solidFill>
              <w14:schemeClr w14:val="tx1"/>
            </w14:solidFill>
          </w14:textFill>
        </w:rPr>
        <w:t>………………………………………………………………………（页码）</w:t>
      </w:r>
    </w:p>
    <w:p w14:paraId="3526ECE6">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r>
        <w:rPr>
          <w:rFonts w:hint="eastAsia" w:ascii="宋体" w:hAnsi="宋体" w:cs="宋体"/>
          <w:color w:val="000000" w:themeColor="text1"/>
          <w14:textFill>
            <w14:solidFill>
              <w14:schemeClr w14:val="tx1"/>
            </w14:solidFill>
          </w14:textFill>
        </w:rPr>
        <w:t>………………………………………………………………………（页码）</w:t>
      </w:r>
    </w:p>
    <w:p w14:paraId="17B3CD61">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14:textFill>
            <w14:solidFill>
              <w14:schemeClr w14:val="tx1"/>
            </w14:solidFill>
          </w14:textFill>
        </w:rPr>
        <w:t>…………………………………………………（页码）</w:t>
      </w:r>
    </w:p>
    <w:p w14:paraId="34369C1E">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7849DE78">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225DE18C">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1B540D2A">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46892781">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622B8B7E">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14:paraId="569E50CA">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14:paraId="5B2978F7">
      <w:pPr>
        <w:rPr>
          <w:rFonts w:ascii="宋体" w:hAnsi="宋体" w:cs="宋体"/>
          <w:color w:val="000000" w:themeColor="text1"/>
          <w14:textFill>
            <w14:solidFill>
              <w14:schemeClr w14:val="tx1"/>
            </w14:solidFill>
          </w14:textFill>
        </w:rPr>
      </w:pPr>
    </w:p>
    <w:p w14:paraId="7B77CFCB">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14:paraId="745846D8">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7730C5F6">
      <w:pPr>
        <w:snapToGrid w:val="0"/>
        <w:spacing w:line="360" w:lineRule="auto"/>
        <w:jc w:val="center"/>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一、投标</w:t>
      </w:r>
      <w:r>
        <w:rPr>
          <w:rFonts w:hint="eastAsia" w:ascii="宋体" w:hAnsi="宋体" w:cs="宋体"/>
          <w:b/>
          <w:color w:val="000000" w:themeColor="text1"/>
          <w:sz w:val="32"/>
          <w:szCs w:val="32"/>
          <w14:textFill>
            <w14:solidFill>
              <w14:schemeClr w14:val="tx1"/>
            </w14:solidFill>
          </w14:textFill>
        </w:rPr>
        <w:t>函</w:t>
      </w:r>
    </w:p>
    <w:p w14:paraId="3A53DAF2">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14:paraId="0214F4B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我方参加你方组织的（项目名称）【招标编号：（采购编号）】招标的有关活动，并对此项目进行投标。为此：</w:t>
      </w:r>
    </w:p>
    <w:p w14:paraId="491A6CC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1、我方承诺投标有效期从提交投标文件的截止之日起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本投标文件在投标有效期满之前均具有约束力。</w:t>
      </w:r>
    </w:p>
    <w:p w14:paraId="4775466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2、我方的投标文件包括以下内容：</w:t>
      </w:r>
    </w:p>
    <w:p w14:paraId="30C5F96A">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14:paraId="4F31A3F2">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2.1.1承诺函；</w:t>
      </w:r>
    </w:p>
    <w:p w14:paraId="544DCD9D">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w:t>
      </w:r>
      <w:r>
        <w:rPr>
          <w:rFonts w:hint="eastAsia" w:ascii="宋体" w:hAnsi="宋体" w:cs="宋体"/>
          <w:snapToGrid w:val="0"/>
          <w:color w:val="000000" w:themeColor="text1"/>
          <w:kern w:val="28"/>
          <w:sz w:val="24"/>
          <w:szCs w:val="20"/>
          <w14:textFill>
            <w14:solidFill>
              <w14:schemeClr w14:val="tx1"/>
            </w14:solidFill>
          </w14:textFill>
        </w:rPr>
        <w:t>联合协议（如果有)；</w:t>
      </w:r>
    </w:p>
    <w:p w14:paraId="69347BF5">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54649806">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1044F0AE">
      <w:pPr>
        <w:snapToGrid w:val="0"/>
        <w:spacing w:line="360" w:lineRule="auto"/>
        <w:ind w:left="21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14:paraId="0F749E10">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2.2.1投标函；</w:t>
      </w:r>
      <w:r>
        <w:rPr>
          <w:rFonts w:hint="eastAsia" w:ascii="宋体" w:hAnsi="宋体" w:cs="宋体"/>
          <w:color w:val="000000" w:themeColor="text1"/>
          <w:sz w:val="24"/>
          <w:lang w:val="zh-CN"/>
          <w14:textFill>
            <w14:solidFill>
              <w14:schemeClr w14:val="tx1"/>
            </w14:solidFill>
          </w14:textFill>
        </w:rPr>
        <w:t xml:space="preserve"> </w:t>
      </w:r>
    </w:p>
    <w:p w14:paraId="07831E48">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14:paraId="5E2B40CB">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6DD0886E">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3A53B9E5">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14:paraId="51E3B37B">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14:paraId="2A2CDD0D">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14:paraId="0D1C529D">
      <w:pPr>
        <w:snapToGrid w:val="0"/>
        <w:spacing w:line="360" w:lineRule="auto"/>
        <w:ind w:left="420" w:leftChars="2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14:paraId="34283B2C">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14:paraId="58CCC471">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2.3.1开标一览表（报价表）；</w:t>
      </w:r>
    </w:p>
    <w:p w14:paraId="340FA7AD">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2.3.2中小企业声明函（如果有）。</w:t>
      </w:r>
    </w:p>
    <w:p w14:paraId="406C0D4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3、我方承诺除商务技术偏离表列出的偏离外，我方响应招标文件的全部要求。</w:t>
      </w:r>
    </w:p>
    <w:p w14:paraId="34A2C18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4、如我方中标，我方承诺：</w:t>
      </w:r>
    </w:p>
    <w:p w14:paraId="03C79A8D">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4.1在收到中标通知书后，在中标通知书规定的期限内与你方签订合同； </w:t>
      </w:r>
    </w:p>
    <w:p w14:paraId="15A0F9AD">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4.2在签订合同时不向你方提出附加条件； </w:t>
      </w:r>
    </w:p>
    <w:p w14:paraId="45341E81">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4.3按照招标文件要求提交履约保证金； </w:t>
      </w:r>
    </w:p>
    <w:p w14:paraId="439B3B14">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4.4在合同约定的期限内完成合同规定的全部义务。 </w:t>
      </w:r>
    </w:p>
    <w:p w14:paraId="5CABCDBA">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5、其他补充说明: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0EAB3CC3">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投标人名称（电子签名）：                          </w:t>
      </w:r>
    </w:p>
    <w:p w14:paraId="0E2BE868">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799C11C4">
      <w:pPr>
        <w:snapToGrid w:val="0"/>
        <w:spacing w:line="360" w:lineRule="auto"/>
        <w:ind w:left="420" w:leftChars="200" w:firstLine="4200" w:firstLineChars="1750"/>
        <w:rPr>
          <w:rFonts w:ascii="宋体" w:hAnsi="宋体" w:cs="宋体"/>
          <w:color w:val="000000" w:themeColor="text1"/>
          <w:kern w:val="0"/>
          <w:sz w:val="24"/>
          <w:u w:val="single"/>
          <w14:textFill>
            <w14:solidFill>
              <w14:schemeClr w14:val="tx1"/>
            </w14:solidFill>
          </w14:textFill>
        </w:rPr>
      </w:pPr>
    </w:p>
    <w:p w14:paraId="2A38840A">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3CB32AFD">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14:paraId="0CECDA12">
      <w:pPr>
        <w:spacing w:line="360" w:lineRule="auto"/>
        <w:ind w:right="420"/>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二、授权委托书或法定代表人（单位负责人、自然人本人）身份证明</w:t>
      </w:r>
    </w:p>
    <w:p w14:paraId="2BEDB34F">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注：▲供应商委派不在本单位缴纳社保的人员作为授权代表（代理人）的，应当在投标（响应）文件中，说明具体原因、授权代表缴纳社保的单位，并附列该授权代表缴纳社保清单。</w:t>
      </w:r>
    </w:p>
    <w:p w14:paraId="4FC74DD0">
      <w:pPr>
        <w:snapToGrid w:val="0"/>
        <w:spacing w:line="360" w:lineRule="auto"/>
        <w:ind w:firstLine="2872" w:firstLineChars="894"/>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授权委托书（适用于非联合体投标）</w:t>
      </w:r>
      <w:r>
        <w:rPr>
          <w:rFonts w:hint="eastAsia" w:ascii="宋体" w:hAnsi="宋体" w:cs="宋体"/>
          <w:color w:val="000000" w:themeColor="text1"/>
          <w14:textFill>
            <w14:solidFill>
              <w14:schemeClr w14:val="tx1"/>
            </w14:solidFill>
          </w14:textFill>
        </w:rPr>
        <w:t xml:space="preserve">                               </w:t>
      </w:r>
    </w:p>
    <w:p w14:paraId="0197AA64">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1518C76F">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4B7B7EB4">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38BDBE26">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60961948">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w:t>
      </w:r>
    </w:p>
    <w:p w14:paraId="09AEF805">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5B5D0BC9">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授权委托书（适用于联合体投标）</w:t>
      </w:r>
    </w:p>
    <w:p w14:paraId="22666A4A">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65B31543">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03BF58C0">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0C7D27A8">
      <w:pPr>
        <w:snapToGrid w:val="0"/>
        <w:spacing w:line="360" w:lineRule="auto"/>
        <w:rPr>
          <w:rFonts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39B0CA88">
      <w:pPr>
        <w:rPr>
          <w:rFonts w:ascii="宋体" w:hAnsi="宋体" w:cs="宋体"/>
          <w:color w:val="000000" w:themeColor="text1"/>
          <w14:textFill>
            <w14:solidFill>
              <w14:schemeClr w14:val="tx1"/>
            </w14:solidFill>
          </w14:textFill>
        </w:rPr>
      </w:pPr>
    </w:p>
    <w:p w14:paraId="2FD7F1B7">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7E66908F">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374384AF">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1BFFF581">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0BB1BB2B">
      <w:pPr>
        <w:autoSpaceDE w:val="0"/>
        <w:autoSpaceDN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cs="宋体"/>
          <w:b/>
          <w:color w:val="000000" w:themeColor="text1"/>
          <w:sz w:val="30"/>
          <w:szCs w:val="30"/>
          <w14:textFill>
            <w14:solidFill>
              <w14:schemeClr w14:val="tx1"/>
            </w14:solidFill>
          </w14:textFill>
        </w:rPr>
        <w:t>的身份证明（适用于法定代表人、单位负责人或者自然人本人代表投标人参加投标）</w:t>
      </w:r>
    </w:p>
    <w:p w14:paraId="07CE3D92">
      <w:pPr>
        <w:pStyle w:val="146"/>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C7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A9E8FC0">
            <w:pPr>
              <w:pStyle w:val="146"/>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14:paraId="534A4A15">
            <w:pPr>
              <w:pStyle w:val="146"/>
              <w:adjustRightInd w:val="0"/>
              <w:spacing w:line="360" w:lineRule="auto"/>
              <w:rPr>
                <w:rFonts w:hAnsi="宋体" w:cs="宋体"/>
                <w:bCs/>
                <w:color w:val="000000" w:themeColor="text1"/>
                <w:sz w:val="24"/>
                <w14:textFill>
                  <w14:solidFill>
                    <w14:schemeClr w14:val="tx1"/>
                  </w14:solidFill>
                </w14:textFill>
              </w:rPr>
            </w:pPr>
          </w:p>
        </w:tc>
      </w:tr>
    </w:tbl>
    <w:p w14:paraId="47EB13DD">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2F00F12A">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                              </w:t>
      </w:r>
    </w:p>
    <w:p w14:paraId="0FD835B6">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4B4138A7">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1EAE6E78">
      <w:pPr>
        <w:snapToGrid w:val="0"/>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三、分包意向协议（如果有）</w:t>
      </w:r>
    </w:p>
    <w:p w14:paraId="067B021F">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bookmarkStart w:id="544" w:name="_Hlk101169080"/>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中标后以分包方式履行合同的，提供分包意向协议(附件6</w:t>
      </w: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bookmarkEnd w:id="544"/>
    <w:p w14:paraId="1F3E5BA5">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四、符合性审查资料</w:t>
      </w:r>
    </w:p>
    <w:p w14:paraId="32532CBA">
      <w:pPr>
        <w:jc w:val="center"/>
        <w:rPr>
          <w:rFonts w:ascii="宋体" w:hAnsi="宋体" w:cs="宋体"/>
          <w:b/>
          <w:color w:val="000000" w:themeColor="text1"/>
          <w:kern w:val="0"/>
          <w:sz w:val="32"/>
          <w:szCs w:val="32"/>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A88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C13C9D4">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991" w:type="dxa"/>
            <w:vAlign w:val="center"/>
          </w:tcPr>
          <w:p w14:paraId="60FCDF2C">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2551" w:type="dxa"/>
            <w:vAlign w:val="center"/>
          </w:tcPr>
          <w:p w14:paraId="2372C23C">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1418" w:type="dxa"/>
            <w:vAlign w:val="center"/>
          </w:tcPr>
          <w:p w14:paraId="6F9D9AB2">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投标文件中的</w:t>
            </w:r>
          </w:p>
          <w:p w14:paraId="0291E5FD">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14:paraId="19C9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602C4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991" w:type="dxa"/>
          </w:tcPr>
          <w:p w14:paraId="5765BB5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投标文件按照招标文件要求签署、盖章。</w:t>
            </w:r>
          </w:p>
        </w:tc>
        <w:tc>
          <w:tcPr>
            <w:tcW w:w="2551" w:type="dxa"/>
            <w:vAlign w:val="center"/>
          </w:tcPr>
          <w:p w14:paraId="3745E708">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需要使用电子签名或者签字盖章的投标文件的组成部分</w:t>
            </w:r>
          </w:p>
        </w:tc>
        <w:tc>
          <w:tcPr>
            <w:tcW w:w="1418" w:type="dxa"/>
          </w:tcPr>
          <w:p w14:paraId="77AF6B10">
            <w:pPr>
              <w:rPr>
                <w:rFonts w:ascii="宋体" w:hAnsi="宋体" w:cs="宋体"/>
                <w:color w:val="000000" w:themeColor="text1"/>
                <w:sz w:val="24"/>
                <w14:textFill>
                  <w14:solidFill>
                    <w14:schemeClr w14:val="tx1"/>
                  </w14:solidFill>
                </w14:textFill>
              </w:rPr>
            </w:pPr>
          </w:p>
          <w:p w14:paraId="1DA30EE1">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w:t>
            </w:r>
          </w:p>
          <w:p w14:paraId="190E1134">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4C46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E8770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991" w:type="dxa"/>
          </w:tcPr>
          <w:p w14:paraId="48FE003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14:paraId="2606A9C9">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tc>
        <w:tc>
          <w:tcPr>
            <w:tcW w:w="1418" w:type="dxa"/>
          </w:tcPr>
          <w:p w14:paraId="4A01093C">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073A5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8C82C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4991" w:type="dxa"/>
          </w:tcPr>
          <w:p w14:paraId="0AA5D53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投标文件满足招标文件的其它实质性要求。</w:t>
            </w:r>
          </w:p>
        </w:tc>
        <w:tc>
          <w:tcPr>
            <w:tcW w:w="2551" w:type="dxa"/>
            <w:vAlign w:val="center"/>
          </w:tcPr>
          <w:p w14:paraId="3C242956">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招标文件其它实质性要求相应的材料（“▲” 系指实质性要求条款，招标文件无其它实质性要求的，无需提供）</w:t>
            </w:r>
          </w:p>
        </w:tc>
        <w:tc>
          <w:tcPr>
            <w:tcW w:w="1418" w:type="dxa"/>
          </w:tcPr>
          <w:p w14:paraId="4E5DFB51">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bl>
    <w:p w14:paraId="1367C3B5">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0C54CB25">
      <w:pPr>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五、评标标准相应的商务技术资料</w:t>
      </w:r>
    </w:p>
    <w:p w14:paraId="3E64CC60">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（按招标文件第四部分评标办法前附表中“投标文件中评标标准相应的商务技术资料目录”提供资料。）</w:t>
      </w:r>
    </w:p>
    <w:p w14:paraId="3CE86BCE">
      <w:pPr>
        <w:ind w:firstLine="2891" w:firstLineChars="90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470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750310">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949B454">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7BE9297B">
            <w:pPr>
              <w:spacing w:line="360" w:lineRule="auto"/>
              <w:jc w:val="center"/>
              <w:rPr>
                <w:rFonts w:ascii="宋体" w:hAnsi="宋体" w:cs="宋体"/>
                <w:b/>
                <w:color w:val="000000" w:themeColor="text1"/>
                <w:sz w:val="24"/>
                <w14:textFill>
                  <w14:solidFill>
                    <w14:schemeClr w14:val="tx1"/>
                  </w14:solidFill>
                </w14:textFill>
              </w:rPr>
            </w:pPr>
          </w:p>
          <w:p w14:paraId="31C3F56F">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5960D77">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93BC6E8">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3D3BFFD">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r>
      <w:tr w14:paraId="7DBC4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0A9EC4">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5E8DAFE2">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129C96BC">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67DEF63">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79DE3693">
            <w:pPr>
              <w:spacing w:line="360" w:lineRule="auto"/>
              <w:jc w:val="center"/>
              <w:rPr>
                <w:rFonts w:ascii="宋体" w:hAnsi="宋体" w:cs="宋体"/>
                <w:color w:val="000000" w:themeColor="text1"/>
                <w:sz w:val="24"/>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0CBDADC8">
            <w:pPr>
              <w:spacing w:line="360" w:lineRule="auto"/>
              <w:jc w:val="center"/>
              <w:rPr>
                <w:rFonts w:ascii="宋体" w:hAnsi="宋体" w:cs="宋体"/>
                <w:color w:val="000000" w:themeColor="text1"/>
                <w:sz w:val="24"/>
                <w14:textFill>
                  <w14:solidFill>
                    <w14:schemeClr w14:val="tx1"/>
                  </w14:solidFill>
                </w14:textFill>
              </w:rPr>
            </w:pPr>
          </w:p>
        </w:tc>
      </w:tr>
      <w:tr w14:paraId="60EDC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04F784">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3FB3CCB3">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3BBCE38">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69FF1FA">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4C14F3FD">
            <w:pPr>
              <w:spacing w:line="360" w:lineRule="auto"/>
              <w:jc w:val="center"/>
              <w:rPr>
                <w:rFonts w:ascii="宋体" w:hAnsi="宋体" w:cs="宋体"/>
                <w:color w:val="000000" w:themeColor="text1"/>
                <w:sz w:val="24"/>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7FFD0B0E">
            <w:pPr>
              <w:spacing w:line="360" w:lineRule="auto"/>
              <w:jc w:val="center"/>
              <w:rPr>
                <w:rFonts w:ascii="宋体" w:hAnsi="宋体" w:cs="宋体"/>
                <w:color w:val="000000" w:themeColor="text1"/>
                <w:sz w:val="24"/>
                <w14:textFill>
                  <w14:solidFill>
                    <w14:schemeClr w14:val="tx1"/>
                  </w14:solidFill>
                </w14:textFill>
              </w:rPr>
            </w:pPr>
          </w:p>
        </w:tc>
      </w:tr>
      <w:tr w14:paraId="483D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24C46A">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1663BC61">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1B6B3C12">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C598F5D">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55044B2">
            <w:pPr>
              <w:spacing w:line="360" w:lineRule="auto"/>
              <w:jc w:val="center"/>
              <w:rPr>
                <w:rFonts w:ascii="宋体" w:hAnsi="宋体" w:cs="宋体"/>
                <w:color w:val="000000" w:themeColor="text1"/>
                <w:sz w:val="24"/>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4FFA147D">
            <w:pPr>
              <w:spacing w:line="360" w:lineRule="auto"/>
              <w:jc w:val="center"/>
              <w:rPr>
                <w:rFonts w:ascii="宋体" w:hAnsi="宋体" w:cs="宋体"/>
                <w:color w:val="000000" w:themeColor="text1"/>
                <w:sz w:val="24"/>
                <w14:textFill>
                  <w14:solidFill>
                    <w14:schemeClr w14:val="tx1"/>
                  </w14:solidFill>
                </w14:textFill>
              </w:rPr>
            </w:pPr>
          </w:p>
        </w:tc>
      </w:tr>
    </w:tbl>
    <w:p w14:paraId="64538CA1">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53FCA28A">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916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226851">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683" w:type="dxa"/>
          </w:tcPr>
          <w:p w14:paraId="701C8E00">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招标文件章节及具体内容</w:t>
            </w:r>
          </w:p>
        </w:tc>
        <w:tc>
          <w:tcPr>
            <w:tcW w:w="3546" w:type="dxa"/>
          </w:tcPr>
          <w:p w14:paraId="5B10EE06">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投标文件章节及具体内容</w:t>
            </w:r>
          </w:p>
        </w:tc>
        <w:tc>
          <w:tcPr>
            <w:tcW w:w="1276" w:type="dxa"/>
          </w:tcPr>
          <w:p w14:paraId="4F8F69AE">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14:paraId="307AC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2D41CC">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683" w:type="dxa"/>
          </w:tcPr>
          <w:p w14:paraId="4E6C9406">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210B7140">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13F66732">
            <w:pPr>
              <w:jc w:val="center"/>
              <w:rPr>
                <w:rFonts w:ascii="宋体" w:hAnsi="宋体" w:cs="宋体"/>
                <w:b/>
                <w:color w:val="000000" w:themeColor="text1"/>
                <w:kern w:val="0"/>
                <w:sz w:val="32"/>
                <w:szCs w:val="32"/>
                <w14:textFill>
                  <w14:solidFill>
                    <w14:schemeClr w14:val="tx1"/>
                  </w14:solidFill>
                </w14:textFill>
              </w:rPr>
            </w:pPr>
          </w:p>
        </w:tc>
      </w:tr>
      <w:tr w14:paraId="2C79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30AEE9">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683" w:type="dxa"/>
          </w:tcPr>
          <w:p w14:paraId="456170F9">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3D5E47CD">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50180B03">
            <w:pPr>
              <w:jc w:val="center"/>
              <w:rPr>
                <w:rFonts w:ascii="宋体" w:hAnsi="宋体" w:cs="宋体"/>
                <w:b/>
                <w:color w:val="000000" w:themeColor="text1"/>
                <w:kern w:val="0"/>
                <w:sz w:val="32"/>
                <w:szCs w:val="32"/>
                <w14:textFill>
                  <w14:solidFill>
                    <w14:schemeClr w14:val="tx1"/>
                  </w14:solidFill>
                </w14:textFill>
              </w:rPr>
            </w:pPr>
          </w:p>
        </w:tc>
      </w:tr>
      <w:tr w14:paraId="440C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CD65F6">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683" w:type="dxa"/>
          </w:tcPr>
          <w:p w14:paraId="7986AFB6">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46EA00CF">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4C058DEE">
            <w:pPr>
              <w:jc w:val="center"/>
              <w:rPr>
                <w:rFonts w:ascii="宋体" w:hAnsi="宋体" w:cs="宋体"/>
                <w:b/>
                <w:color w:val="000000" w:themeColor="text1"/>
                <w:kern w:val="0"/>
                <w:sz w:val="32"/>
                <w:szCs w:val="32"/>
                <w14:textFill>
                  <w14:solidFill>
                    <w14:schemeClr w14:val="tx1"/>
                  </w14:solidFill>
                </w14:textFill>
              </w:rPr>
            </w:pPr>
          </w:p>
        </w:tc>
      </w:tr>
    </w:tbl>
    <w:p w14:paraId="7E6369C1">
      <w:pPr>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投标人保证：除商务技术偏离表列出的偏离外，投标人响应招标文件的全部要求</w:t>
      </w:r>
    </w:p>
    <w:p w14:paraId="2DE9528B">
      <w:pPr>
        <w:jc w:val="center"/>
        <w:rPr>
          <w:rFonts w:ascii="宋体" w:hAnsi="宋体" w:cs="宋体"/>
          <w:b/>
          <w:color w:val="000000" w:themeColor="text1"/>
          <w:kern w:val="0"/>
          <w:sz w:val="32"/>
          <w:szCs w:val="32"/>
          <w14:textFill>
            <w14:solidFill>
              <w14:schemeClr w14:val="tx1"/>
            </w14:solidFill>
          </w14:textFill>
        </w:rPr>
      </w:pPr>
    </w:p>
    <w:p w14:paraId="507F15F4">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0716444F">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14:paraId="1CCC0BA7">
      <w:pPr>
        <w:ind w:firstLine="1911" w:firstLineChars="595"/>
        <w:rPr>
          <w:rFonts w:ascii="宋体" w:hAnsi="宋体" w:cs="宋体"/>
          <w:b/>
          <w:color w:val="000000" w:themeColor="text1"/>
          <w:kern w:val="0"/>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八</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p>
    <w:p w14:paraId="4CA39079">
      <w:pPr>
        <w:snapToGrid w:val="0"/>
        <w:spacing w:line="360" w:lineRule="auto"/>
        <w:rPr>
          <w:rFonts w:ascii="宋体" w:hAnsi="宋体" w:cs="宋体"/>
          <w:color w:val="000000" w:themeColor="text1"/>
          <w:sz w:val="24"/>
          <w14:textFill>
            <w14:solidFill>
              <w14:schemeClr w14:val="tx1"/>
            </w14:solidFill>
          </w14:textFill>
        </w:rPr>
      </w:pPr>
    </w:p>
    <w:p w14:paraId="6D429539">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2709FF33">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2E212BA6">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0DC1AF55">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4B344D8C">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66704125">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14:paraId="25312113">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14:paraId="41E95A6C">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14:paraId="3A3C1579">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六、严格遵守《</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政府采购法》《</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招标投标</w:t>
      </w:r>
    </w:p>
    <w:p w14:paraId="1326AF1A">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法》</w:t>
      </w:r>
      <w:r>
        <w:rPr>
          <w:rFonts w:hint="eastAsia" w:ascii="宋体" w:hAnsi="宋体" w:cs="宋体"/>
          <w:color w:val="000000" w:themeColor="text1"/>
          <w:sz w:val="24"/>
          <w:lang w:val="zh-CN"/>
          <w14:textFill>
            <w14:solidFill>
              <w14:schemeClr w14:val="tx1"/>
            </w14:solidFill>
          </w14:textFill>
        </w:rPr>
        <w:t>《中华人民共和国民法典》</w:t>
      </w:r>
      <w:r>
        <w:rPr>
          <w:rFonts w:hint="eastAsia" w:ascii="宋体" w:hAnsi="宋体" w:cs="宋体"/>
          <w:color w:val="000000" w:themeColor="text1"/>
          <w:kern w:val="0"/>
          <w:sz w:val="24"/>
          <w:lang w:val="zh-CN"/>
          <w14:textFill>
            <w14:solidFill>
              <w14:schemeClr w14:val="tx1"/>
            </w14:solidFill>
          </w14:textFill>
        </w:rPr>
        <w:t xml:space="preserve">等法律法规，诚实守信，合法经营，坚决抵制各种违法违纪行为。 </w:t>
      </w:r>
    </w:p>
    <w:p w14:paraId="73D79C31">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492F917C">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电子签名</w:t>
      </w:r>
      <w:r>
        <w:rPr>
          <w:rFonts w:hint="eastAsia" w:ascii="宋体" w:hAnsi="宋体" w:cs="宋体"/>
          <w:color w:val="000000" w:themeColor="text1"/>
          <w:kern w:val="0"/>
          <w:sz w:val="24"/>
          <w:lang w:val="zh-CN"/>
          <w14:textFill>
            <w14:solidFill>
              <w14:schemeClr w14:val="tx1"/>
            </w14:solidFill>
          </w14:textFill>
        </w:rPr>
        <w:t xml:space="preserve">）：                                                                                                                                                                                                               </w:t>
      </w:r>
    </w:p>
    <w:p w14:paraId="1951717A">
      <w:pPr>
        <w:spacing w:line="360" w:lineRule="auto"/>
        <w:ind w:left="4620" w:leftChars="2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14:paraId="04DC2F37">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098BC053">
      <w:pP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br w:type="page"/>
      </w:r>
    </w:p>
    <w:p w14:paraId="53592D20">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报价文件部分</w:t>
      </w:r>
    </w:p>
    <w:p w14:paraId="48AF626D">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5431996B">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6081F31B">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（1）开标一览表（报价表）………………………………………………………（页码）</w:t>
      </w:r>
    </w:p>
    <w:p w14:paraId="519052CC">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（2）中小企业声明函………………………………………………………………（页码）</w:t>
      </w:r>
    </w:p>
    <w:p w14:paraId="02A9D708">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B372515">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E607DA8">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1EA58AFB">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F644870">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FD48B5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CAC2FA8">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44601C10">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4C50298B">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5E2A6B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54CAB30">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F7E8A84">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AED83F8">
      <w:pPr>
        <w:pStyle w:val="690"/>
        <w:keepNext w:val="0"/>
        <w:pageBreakBefore w:val="0"/>
        <w:tabs>
          <w:tab w:val="clear" w:pos="720"/>
        </w:tabs>
        <w:snapToGrid w:val="0"/>
        <w:spacing w:before="120" w:after="120"/>
        <w:jc w:val="both"/>
        <w:outlineLvl w:val="9"/>
        <w:rPr>
          <w:rFonts w:ascii="宋体" w:hAnsi="宋体" w:eastAsia="宋体" w:cs="宋体"/>
          <w:color w:val="000000" w:themeColor="text1"/>
          <w:kern w:val="2"/>
          <w:sz w:val="32"/>
          <w:szCs w:val="32"/>
          <w14:textFill>
            <w14:solidFill>
              <w14:schemeClr w14:val="tx1"/>
            </w14:solidFill>
          </w14:textFill>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6B05EDFE">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一、开标一览表（报价表）</w:t>
      </w:r>
    </w:p>
    <w:p w14:paraId="1F8F3100">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7155AEA7">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kern w:val="0"/>
          <w:sz w:val="24"/>
          <w:lang w:val="zh-CN"/>
          <w14:textFill>
            <w14:solidFill>
              <w14:schemeClr w14:val="tx1"/>
            </w14:solidFill>
          </w14:textFill>
        </w:rPr>
        <w:t>【招标编号：</w:t>
      </w:r>
      <w:r>
        <w:rPr>
          <w:rFonts w:hint="eastAsia" w:ascii="宋体" w:hAnsi="宋体" w:cs="宋体"/>
          <w:color w:val="000000" w:themeColor="text1"/>
          <w:sz w:val="24"/>
          <w14:textFill>
            <w14:solidFill>
              <w14:schemeClr w14:val="tx1"/>
            </w14:solidFill>
          </w14:textFill>
        </w:rPr>
        <w:t>（采购编号）】的实施</w:t>
      </w:r>
      <w:r>
        <w:rPr>
          <w:rFonts w:hint="eastAsia" w:ascii="宋体" w:hAnsi="宋体" w:cs="宋体"/>
          <w:color w:val="000000" w:themeColor="text1"/>
          <w:kern w:val="0"/>
          <w:sz w:val="24"/>
          <w:lang w:val="zh-CN"/>
          <w14:textFill>
            <w14:solidFill>
              <w14:schemeClr w14:val="tx1"/>
            </w14:solidFill>
          </w14:textFill>
        </w:rPr>
        <w:t>。</w:t>
      </w:r>
    </w:p>
    <w:p w14:paraId="1760003F">
      <w:pPr>
        <w:spacing w:line="360" w:lineRule="auto"/>
        <w:jc w:val="center"/>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EE0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9B289D1">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417" w:type="dxa"/>
            <w:vAlign w:val="center"/>
          </w:tcPr>
          <w:p w14:paraId="374F398E">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843" w:type="dxa"/>
          </w:tcPr>
          <w:p w14:paraId="3FD53D20">
            <w:pPr>
              <w:spacing w:line="360" w:lineRule="auto"/>
              <w:jc w:val="center"/>
              <w:rPr>
                <w:rFonts w:ascii="宋体" w:hAnsi="宋体" w:cs="宋体"/>
                <w:b/>
                <w:color w:val="000000" w:themeColor="text1"/>
                <w:sz w:val="24"/>
                <w14:textFill>
                  <w14:solidFill>
                    <w14:schemeClr w14:val="tx1"/>
                  </w14:solidFill>
                </w14:textFill>
              </w:rPr>
            </w:pPr>
          </w:p>
          <w:p w14:paraId="7E0A7CA3">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品牌（如果有）</w:t>
            </w:r>
          </w:p>
        </w:tc>
        <w:tc>
          <w:tcPr>
            <w:tcW w:w="3118" w:type="dxa"/>
            <w:vAlign w:val="center"/>
          </w:tcPr>
          <w:p w14:paraId="67F242B7">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规格型号</w:t>
            </w:r>
          </w:p>
        </w:tc>
        <w:tc>
          <w:tcPr>
            <w:tcW w:w="993" w:type="dxa"/>
            <w:vAlign w:val="center"/>
          </w:tcPr>
          <w:p w14:paraId="1129AE8E">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1559" w:type="dxa"/>
            <w:vAlign w:val="center"/>
          </w:tcPr>
          <w:p w14:paraId="39E0DDAC">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单价</w:t>
            </w:r>
          </w:p>
        </w:tc>
        <w:tc>
          <w:tcPr>
            <w:tcW w:w="1984" w:type="dxa"/>
            <w:vAlign w:val="center"/>
          </w:tcPr>
          <w:p w14:paraId="6E184C0C">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合计</w:t>
            </w:r>
          </w:p>
        </w:tc>
        <w:tc>
          <w:tcPr>
            <w:tcW w:w="3119" w:type="dxa"/>
            <w:vAlign w:val="center"/>
          </w:tcPr>
          <w:p w14:paraId="74863502">
            <w:pPr>
              <w:spacing w:line="360" w:lineRule="auto"/>
              <w:jc w:val="center"/>
              <w:rPr>
                <w:rFonts w:ascii="宋体" w:hAnsi="宋体" w:cs="宋体"/>
                <w:b/>
                <w:color w:val="000000" w:themeColor="text1"/>
                <w:sz w:val="24"/>
                <w14:textFill>
                  <w14:solidFill>
                    <w14:schemeClr w14:val="tx1"/>
                  </w14:solidFill>
                </w14:textFill>
              </w:rPr>
            </w:pPr>
          </w:p>
          <w:p w14:paraId="61C73048">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14:paraId="7C658446">
            <w:pPr>
              <w:spacing w:line="360" w:lineRule="auto"/>
              <w:jc w:val="center"/>
              <w:rPr>
                <w:rFonts w:ascii="宋体" w:hAnsi="宋体" w:cs="宋体"/>
                <w:b/>
                <w:color w:val="000000" w:themeColor="text1"/>
                <w:sz w:val="24"/>
                <w14:textFill>
                  <w14:solidFill>
                    <w14:schemeClr w14:val="tx1"/>
                  </w14:solidFill>
                </w14:textFill>
              </w:rPr>
            </w:pPr>
          </w:p>
        </w:tc>
      </w:tr>
      <w:tr w14:paraId="4416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49A6DDB">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417" w:type="dxa"/>
            <w:vAlign w:val="center"/>
          </w:tcPr>
          <w:p w14:paraId="74CFC772">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1843" w:type="dxa"/>
            <w:vAlign w:val="center"/>
          </w:tcPr>
          <w:p w14:paraId="5AD2AAC1">
            <w:pPr>
              <w:snapToGrid w:val="0"/>
              <w:spacing w:line="360" w:lineRule="auto"/>
              <w:jc w:val="center"/>
              <w:rPr>
                <w:rFonts w:ascii="宋体" w:hAnsi="宋体" w:cs="宋体"/>
                <w:color w:val="000000" w:themeColor="text1"/>
                <w:sz w:val="24"/>
                <w14:textFill>
                  <w14:solidFill>
                    <w14:schemeClr w14:val="tx1"/>
                  </w14:solidFill>
                </w14:textFill>
              </w:rPr>
            </w:pPr>
          </w:p>
        </w:tc>
        <w:tc>
          <w:tcPr>
            <w:tcW w:w="3118" w:type="dxa"/>
            <w:vAlign w:val="center"/>
          </w:tcPr>
          <w:p w14:paraId="2FF26BF3">
            <w:pPr>
              <w:snapToGrid w:val="0"/>
              <w:spacing w:line="360" w:lineRule="auto"/>
              <w:jc w:val="center"/>
              <w:rPr>
                <w:rFonts w:ascii="宋体" w:hAnsi="宋体" w:cs="宋体"/>
                <w:color w:val="000000" w:themeColor="text1"/>
                <w:sz w:val="24"/>
                <w14:textFill>
                  <w14:solidFill>
                    <w14:schemeClr w14:val="tx1"/>
                  </w14:solidFill>
                </w14:textFill>
              </w:rPr>
            </w:pPr>
          </w:p>
        </w:tc>
        <w:tc>
          <w:tcPr>
            <w:tcW w:w="993" w:type="dxa"/>
            <w:vAlign w:val="center"/>
          </w:tcPr>
          <w:p w14:paraId="6473B1BE">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14:paraId="15D6A9E0">
            <w:pPr>
              <w:spacing w:line="360" w:lineRule="auto"/>
              <w:jc w:val="center"/>
              <w:rPr>
                <w:rFonts w:ascii="宋体" w:hAnsi="宋体" w:cs="宋体"/>
                <w:color w:val="000000" w:themeColor="text1"/>
                <w:sz w:val="24"/>
                <w14:textFill>
                  <w14:solidFill>
                    <w14:schemeClr w14:val="tx1"/>
                  </w14:solidFill>
                </w14:textFill>
              </w:rPr>
            </w:pPr>
          </w:p>
        </w:tc>
        <w:tc>
          <w:tcPr>
            <w:tcW w:w="1984" w:type="dxa"/>
            <w:vAlign w:val="center"/>
          </w:tcPr>
          <w:p w14:paraId="118655FE">
            <w:pPr>
              <w:spacing w:line="360" w:lineRule="auto"/>
              <w:jc w:val="center"/>
              <w:rPr>
                <w:rFonts w:ascii="宋体" w:hAnsi="宋体" w:cs="宋体"/>
                <w:color w:val="000000" w:themeColor="text1"/>
                <w:sz w:val="24"/>
                <w14:textFill>
                  <w14:solidFill>
                    <w14:schemeClr w14:val="tx1"/>
                  </w14:solidFill>
                </w14:textFill>
              </w:rPr>
            </w:pPr>
          </w:p>
        </w:tc>
        <w:tc>
          <w:tcPr>
            <w:tcW w:w="3119" w:type="dxa"/>
            <w:vAlign w:val="center"/>
          </w:tcPr>
          <w:p w14:paraId="32C6100B">
            <w:pPr>
              <w:spacing w:line="360" w:lineRule="auto"/>
              <w:jc w:val="center"/>
              <w:rPr>
                <w:rFonts w:ascii="宋体" w:hAnsi="宋体" w:cs="宋体"/>
                <w:color w:val="000000" w:themeColor="text1"/>
                <w:sz w:val="24"/>
                <w14:textFill>
                  <w14:solidFill>
                    <w14:schemeClr w14:val="tx1"/>
                  </w14:solidFill>
                </w14:textFill>
              </w:rPr>
            </w:pPr>
          </w:p>
        </w:tc>
      </w:tr>
      <w:tr w14:paraId="6537B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11F5810">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417" w:type="dxa"/>
            <w:vAlign w:val="center"/>
          </w:tcPr>
          <w:p w14:paraId="09F8B6DF">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1843" w:type="dxa"/>
            <w:vAlign w:val="center"/>
          </w:tcPr>
          <w:p w14:paraId="29DDB39F">
            <w:pPr>
              <w:snapToGrid w:val="0"/>
              <w:spacing w:line="360" w:lineRule="auto"/>
              <w:jc w:val="center"/>
              <w:rPr>
                <w:rFonts w:ascii="宋体" w:hAnsi="宋体" w:cs="宋体"/>
                <w:color w:val="000000" w:themeColor="text1"/>
                <w:sz w:val="24"/>
                <w14:textFill>
                  <w14:solidFill>
                    <w14:schemeClr w14:val="tx1"/>
                  </w14:solidFill>
                </w14:textFill>
              </w:rPr>
            </w:pPr>
          </w:p>
        </w:tc>
        <w:tc>
          <w:tcPr>
            <w:tcW w:w="3118" w:type="dxa"/>
            <w:vAlign w:val="center"/>
          </w:tcPr>
          <w:p w14:paraId="4C29B834">
            <w:pPr>
              <w:snapToGrid w:val="0"/>
              <w:spacing w:line="360" w:lineRule="auto"/>
              <w:jc w:val="center"/>
              <w:rPr>
                <w:rFonts w:ascii="宋体" w:hAnsi="宋体" w:cs="宋体"/>
                <w:color w:val="000000" w:themeColor="text1"/>
                <w:sz w:val="24"/>
                <w14:textFill>
                  <w14:solidFill>
                    <w14:schemeClr w14:val="tx1"/>
                  </w14:solidFill>
                </w14:textFill>
              </w:rPr>
            </w:pPr>
          </w:p>
        </w:tc>
        <w:tc>
          <w:tcPr>
            <w:tcW w:w="993" w:type="dxa"/>
            <w:vAlign w:val="center"/>
          </w:tcPr>
          <w:p w14:paraId="00E9D3A7">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14:paraId="2BBE7075">
            <w:pPr>
              <w:spacing w:line="360" w:lineRule="auto"/>
              <w:jc w:val="center"/>
              <w:rPr>
                <w:rFonts w:ascii="宋体" w:hAnsi="宋体" w:cs="宋体"/>
                <w:color w:val="000000" w:themeColor="text1"/>
                <w:sz w:val="24"/>
                <w14:textFill>
                  <w14:solidFill>
                    <w14:schemeClr w14:val="tx1"/>
                  </w14:solidFill>
                </w14:textFill>
              </w:rPr>
            </w:pPr>
          </w:p>
        </w:tc>
        <w:tc>
          <w:tcPr>
            <w:tcW w:w="1984" w:type="dxa"/>
            <w:vAlign w:val="center"/>
          </w:tcPr>
          <w:p w14:paraId="7E90CFB8">
            <w:pPr>
              <w:spacing w:line="360" w:lineRule="auto"/>
              <w:jc w:val="center"/>
              <w:rPr>
                <w:rFonts w:ascii="宋体" w:hAnsi="宋体" w:cs="宋体"/>
                <w:color w:val="000000" w:themeColor="text1"/>
                <w:sz w:val="24"/>
                <w14:textFill>
                  <w14:solidFill>
                    <w14:schemeClr w14:val="tx1"/>
                  </w14:solidFill>
                </w14:textFill>
              </w:rPr>
            </w:pPr>
          </w:p>
        </w:tc>
        <w:tc>
          <w:tcPr>
            <w:tcW w:w="3119" w:type="dxa"/>
            <w:vAlign w:val="center"/>
          </w:tcPr>
          <w:p w14:paraId="3925AE81">
            <w:pPr>
              <w:spacing w:line="360" w:lineRule="auto"/>
              <w:jc w:val="center"/>
              <w:rPr>
                <w:rFonts w:ascii="宋体" w:hAnsi="宋体" w:cs="宋体"/>
                <w:color w:val="000000" w:themeColor="text1"/>
                <w:sz w:val="24"/>
                <w14:textFill>
                  <w14:solidFill>
                    <w14:schemeClr w14:val="tx1"/>
                  </w14:solidFill>
                </w14:textFill>
              </w:rPr>
            </w:pPr>
          </w:p>
        </w:tc>
      </w:tr>
      <w:tr w14:paraId="69530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A1EBCBE">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417" w:type="dxa"/>
            <w:vAlign w:val="center"/>
          </w:tcPr>
          <w:p w14:paraId="1B203D16">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Align w:val="center"/>
          </w:tcPr>
          <w:p w14:paraId="59908FE7">
            <w:pPr>
              <w:snapToGrid w:val="0"/>
              <w:spacing w:line="360" w:lineRule="auto"/>
              <w:jc w:val="center"/>
              <w:rPr>
                <w:rFonts w:ascii="宋体" w:hAnsi="宋体" w:cs="宋体"/>
                <w:color w:val="000000" w:themeColor="text1"/>
                <w:sz w:val="24"/>
                <w14:textFill>
                  <w14:solidFill>
                    <w14:schemeClr w14:val="tx1"/>
                  </w14:solidFill>
                </w14:textFill>
              </w:rPr>
            </w:pPr>
          </w:p>
        </w:tc>
        <w:tc>
          <w:tcPr>
            <w:tcW w:w="3118" w:type="dxa"/>
            <w:vAlign w:val="center"/>
          </w:tcPr>
          <w:p w14:paraId="62F095BC">
            <w:pPr>
              <w:snapToGrid w:val="0"/>
              <w:spacing w:line="360" w:lineRule="auto"/>
              <w:jc w:val="center"/>
              <w:rPr>
                <w:rFonts w:ascii="宋体" w:hAnsi="宋体" w:cs="宋体"/>
                <w:color w:val="000000" w:themeColor="text1"/>
                <w:sz w:val="24"/>
                <w14:textFill>
                  <w14:solidFill>
                    <w14:schemeClr w14:val="tx1"/>
                  </w14:solidFill>
                </w14:textFill>
              </w:rPr>
            </w:pPr>
          </w:p>
        </w:tc>
        <w:tc>
          <w:tcPr>
            <w:tcW w:w="993" w:type="dxa"/>
            <w:vAlign w:val="center"/>
          </w:tcPr>
          <w:p w14:paraId="7D80B08C">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14:paraId="76048263">
            <w:pPr>
              <w:spacing w:line="360" w:lineRule="auto"/>
              <w:jc w:val="center"/>
              <w:rPr>
                <w:rFonts w:ascii="宋体" w:hAnsi="宋体" w:cs="宋体"/>
                <w:color w:val="000000" w:themeColor="text1"/>
                <w:sz w:val="24"/>
                <w14:textFill>
                  <w14:solidFill>
                    <w14:schemeClr w14:val="tx1"/>
                  </w14:solidFill>
                </w14:textFill>
              </w:rPr>
            </w:pPr>
          </w:p>
        </w:tc>
        <w:tc>
          <w:tcPr>
            <w:tcW w:w="1984" w:type="dxa"/>
            <w:vAlign w:val="center"/>
          </w:tcPr>
          <w:p w14:paraId="6C810145">
            <w:pPr>
              <w:spacing w:line="360" w:lineRule="auto"/>
              <w:jc w:val="center"/>
              <w:rPr>
                <w:rFonts w:ascii="宋体" w:hAnsi="宋体" w:cs="宋体"/>
                <w:color w:val="000000" w:themeColor="text1"/>
                <w:sz w:val="24"/>
                <w14:textFill>
                  <w14:solidFill>
                    <w14:schemeClr w14:val="tx1"/>
                  </w14:solidFill>
                </w14:textFill>
              </w:rPr>
            </w:pPr>
          </w:p>
        </w:tc>
        <w:tc>
          <w:tcPr>
            <w:tcW w:w="3119" w:type="dxa"/>
            <w:vAlign w:val="center"/>
          </w:tcPr>
          <w:p w14:paraId="722C5462">
            <w:pPr>
              <w:spacing w:line="360" w:lineRule="auto"/>
              <w:jc w:val="center"/>
              <w:rPr>
                <w:rFonts w:ascii="宋体" w:hAnsi="宋体" w:cs="宋体"/>
                <w:color w:val="000000" w:themeColor="text1"/>
                <w:sz w:val="24"/>
                <w14:textFill>
                  <w14:solidFill>
                    <w14:schemeClr w14:val="tx1"/>
                  </w14:solidFill>
                </w14:textFill>
              </w:rPr>
            </w:pPr>
          </w:p>
        </w:tc>
      </w:tr>
      <w:tr w14:paraId="0849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2A693E2">
            <w:pPr>
              <w:spacing w:line="360" w:lineRule="auto"/>
              <w:jc w:val="center"/>
              <w:rPr>
                <w:rFonts w:ascii="宋体" w:hAnsi="宋体" w:cs="宋体"/>
                <w:color w:val="000000" w:themeColor="text1"/>
                <w:sz w:val="24"/>
                <w14:textFill>
                  <w14:solidFill>
                    <w14:schemeClr w14:val="tx1"/>
                  </w14:solidFill>
                </w14:textFill>
              </w:rPr>
            </w:pPr>
          </w:p>
        </w:tc>
        <w:tc>
          <w:tcPr>
            <w:tcW w:w="1417" w:type="dxa"/>
            <w:vAlign w:val="center"/>
          </w:tcPr>
          <w:p w14:paraId="2C2DB7AC">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Align w:val="center"/>
          </w:tcPr>
          <w:p w14:paraId="55F79642">
            <w:pPr>
              <w:snapToGrid w:val="0"/>
              <w:spacing w:line="360" w:lineRule="auto"/>
              <w:jc w:val="center"/>
              <w:rPr>
                <w:rFonts w:ascii="宋体" w:hAnsi="宋体" w:cs="宋体"/>
                <w:color w:val="000000" w:themeColor="text1"/>
                <w:sz w:val="24"/>
                <w14:textFill>
                  <w14:solidFill>
                    <w14:schemeClr w14:val="tx1"/>
                  </w14:solidFill>
                </w14:textFill>
              </w:rPr>
            </w:pPr>
          </w:p>
        </w:tc>
        <w:tc>
          <w:tcPr>
            <w:tcW w:w="3118" w:type="dxa"/>
            <w:vAlign w:val="center"/>
          </w:tcPr>
          <w:p w14:paraId="20D1590C">
            <w:pPr>
              <w:snapToGrid w:val="0"/>
              <w:spacing w:line="360" w:lineRule="auto"/>
              <w:jc w:val="center"/>
              <w:rPr>
                <w:rFonts w:ascii="宋体" w:hAnsi="宋体" w:cs="宋体"/>
                <w:color w:val="000000" w:themeColor="text1"/>
                <w:sz w:val="24"/>
                <w14:textFill>
                  <w14:solidFill>
                    <w14:schemeClr w14:val="tx1"/>
                  </w14:solidFill>
                </w14:textFill>
              </w:rPr>
            </w:pPr>
          </w:p>
        </w:tc>
        <w:tc>
          <w:tcPr>
            <w:tcW w:w="993" w:type="dxa"/>
            <w:vAlign w:val="center"/>
          </w:tcPr>
          <w:p w14:paraId="3ED8963B">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14:paraId="7FBFFEA6">
            <w:pPr>
              <w:spacing w:line="360" w:lineRule="auto"/>
              <w:jc w:val="center"/>
              <w:rPr>
                <w:rFonts w:ascii="宋体" w:hAnsi="宋体" w:cs="宋体"/>
                <w:color w:val="000000" w:themeColor="text1"/>
                <w:sz w:val="24"/>
                <w14:textFill>
                  <w14:solidFill>
                    <w14:schemeClr w14:val="tx1"/>
                  </w14:solidFill>
                </w14:textFill>
              </w:rPr>
            </w:pPr>
          </w:p>
        </w:tc>
        <w:tc>
          <w:tcPr>
            <w:tcW w:w="1984" w:type="dxa"/>
            <w:vAlign w:val="center"/>
          </w:tcPr>
          <w:p w14:paraId="02C52042">
            <w:pPr>
              <w:spacing w:line="360" w:lineRule="auto"/>
              <w:jc w:val="center"/>
              <w:rPr>
                <w:rFonts w:ascii="宋体" w:hAnsi="宋体" w:cs="宋体"/>
                <w:color w:val="000000" w:themeColor="text1"/>
                <w:sz w:val="24"/>
                <w14:textFill>
                  <w14:solidFill>
                    <w14:schemeClr w14:val="tx1"/>
                  </w14:solidFill>
                </w14:textFill>
              </w:rPr>
            </w:pPr>
          </w:p>
        </w:tc>
        <w:tc>
          <w:tcPr>
            <w:tcW w:w="3119" w:type="dxa"/>
            <w:vAlign w:val="center"/>
          </w:tcPr>
          <w:p w14:paraId="17A59D59">
            <w:pPr>
              <w:spacing w:line="360" w:lineRule="auto"/>
              <w:jc w:val="center"/>
              <w:rPr>
                <w:rFonts w:ascii="宋体" w:hAnsi="宋体" w:cs="宋体"/>
                <w:color w:val="000000" w:themeColor="text1"/>
                <w:sz w:val="24"/>
                <w14:textFill>
                  <w14:solidFill>
                    <w14:schemeClr w14:val="tx1"/>
                  </w14:solidFill>
                </w14:textFill>
              </w:rPr>
            </w:pPr>
          </w:p>
        </w:tc>
      </w:tr>
      <w:tr w14:paraId="01F61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BD75522">
            <w:pPr>
              <w:spacing w:line="360" w:lineRule="auto"/>
              <w:jc w:val="center"/>
              <w:rPr>
                <w:rFonts w:ascii="宋体" w:hAnsi="宋体" w:cs="宋体"/>
                <w:color w:val="000000" w:themeColor="text1"/>
                <w:sz w:val="24"/>
                <w14:textFill>
                  <w14:solidFill>
                    <w14:schemeClr w14:val="tx1"/>
                  </w14:solidFill>
                </w14:textFill>
              </w:rPr>
            </w:pPr>
          </w:p>
        </w:tc>
        <w:tc>
          <w:tcPr>
            <w:tcW w:w="1417" w:type="dxa"/>
            <w:vAlign w:val="center"/>
          </w:tcPr>
          <w:p w14:paraId="027C50DA">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Align w:val="center"/>
          </w:tcPr>
          <w:p w14:paraId="1B3BBE1A">
            <w:pPr>
              <w:snapToGrid w:val="0"/>
              <w:spacing w:line="360" w:lineRule="auto"/>
              <w:jc w:val="center"/>
              <w:rPr>
                <w:rFonts w:ascii="宋体" w:hAnsi="宋体" w:cs="宋体"/>
                <w:color w:val="000000" w:themeColor="text1"/>
                <w:sz w:val="24"/>
                <w14:textFill>
                  <w14:solidFill>
                    <w14:schemeClr w14:val="tx1"/>
                  </w14:solidFill>
                </w14:textFill>
              </w:rPr>
            </w:pPr>
          </w:p>
        </w:tc>
        <w:tc>
          <w:tcPr>
            <w:tcW w:w="3118" w:type="dxa"/>
            <w:vAlign w:val="center"/>
          </w:tcPr>
          <w:p w14:paraId="29057D01">
            <w:pPr>
              <w:snapToGrid w:val="0"/>
              <w:spacing w:line="360" w:lineRule="auto"/>
              <w:jc w:val="center"/>
              <w:rPr>
                <w:rFonts w:ascii="宋体" w:hAnsi="宋体" w:cs="宋体"/>
                <w:color w:val="000000" w:themeColor="text1"/>
                <w:sz w:val="24"/>
                <w14:textFill>
                  <w14:solidFill>
                    <w14:schemeClr w14:val="tx1"/>
                  </w14:solidFill>
                </w14:textFill>
              </w:rPr>
            </w:pPr>
          </w:p>
        </w:tc>
        <w:tc>
          <w:tcPr>
            <w:tcW w:w="993" w:type="dxa"/>
            <w:vAlign w:val="center"/>
          </w:tcPr>
          <w:p w14:paraId="7CFAFFC0">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14:paraId="71D5EEA0">
            <w:pPr>
              <w:spacing w:line="360" w:lineRule="auto"/>
              <w:jc w:val="center"/>
              <w:rPr>
                <w:rFonts w:ascii="宋体" w:hAnsi="宋体" w:cs="宋体"/>
                <w:color w:val="000000" w:themeColor="text1"/>
                <w:sz w:val="24"/>
                <w14:textFill>
                  <w14:solidFill>
                    <w14:schemeClr w14:val="tx1"/>
                  </w14:solidFill>
                </w14:textFill>
              </w:rPr>
            </w:pPr>
          </w:p>
        </w:tc>
        <w:tc>
          <w:tcPr>
            <w:tcW w:w="1984" w:type="dxa"/>
            <w:vAlign w:val="center"/>
          </w:tcPr>
          <w:p w14:paraId="2899C8DD">
            <w:pPr>
              <w:spacing w:line="360" w:lineRule="auto"/>
              <w:jc w:val="center"/>
              <w:rPr>
                <w:rFonts w:ascii="宋体" w:hAnsi="宋体" w:cs="宋体"/>
                <w:color w:val="000000" w:themeColor="text1"/>
                <w:sz w:val="24"/>
                <w14:textFill>
                  <w14:solidFill>
                    <w14:schemeClr w14:val="tx1"/>
                  </w14:solidFill>
                </w14:textFill>
              </w:rPr>
            </w:pPr>
          </w:p>
        </w:tc>
        <w:tc>
          <w:tcPr>
            <w:tcW w:w="3119" w:type="dxa"/>
            <w:vAlign w:val="center"/>
          </w:tcPr>
          <w:p w14:paraId="3B73F038">
            <w:pPr>
              <w:spacing w:line="360" w:lineRule="auto"/>
              <w:jc w:val="center"/>
              <w:rPr>
                <w:rFonts w:ascii="宋体" w:hAnsi="宋体" w:cs="宋体"/>
                <w:color w:val="000000" w:themeColor="text1"/>
                <w:sz w:val="24"/>
                <w14:textFill>
                  <w14:solidFill>
                    <w14:schemeClr w14:val="tx1"/>
                  </w14:solidFill>
                </w14:textFill>
              </w:rPr>
            </w:pPr>
          </w:p>
        </w:tc>
      </w:tr>
      <w:tr w14:paraId="2CD5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E787D67">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投标报价（小写）</w:t>
            </w:r>
          </w:p>
        </w:tc>
        <w:tc>
          <w:tcPr>
            <w:tcW w:w="7655" w:type="dxa"/>
            <w:gridSpan w:val="4"/>
            <w:vAlign w:val="center"/>
          </w:tcPr>
          <w:p w14:paraId="3CF21091">
            <w:pPr>
              <w:spacing w:line="360" w:lineRule="auto"/>
              <w:jc w:val="center"/>
              <w:rPr>
                <w:rFonts w:ascii="宋体" w:hAnsi="宋体" w:cs="宋体"/>
                <w:color w:val="000000" w:themeColor="text1"/>
                <w:sz w:val="24"/>
                <w14:textFill>
                  <w14:solidFill>
                    <w14:schemeClr w14:val="tx1"/>
                  </w14:solidFill>
                </w14:textFill>
              </w:rPr>
            </w:pPr>
          </w:p>
        </w:tc>
      </w:tr>
      <w:tr w14:paraId="746F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B123777">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投标报价（大写）</w:t>
            </w:r>
          </w:p>
        </w:tc>
        <w:tc>
          <w:tcPr>
            <w:tcW w:w="7655" w:type="dxa"/>
            <w:gridSpan w:val="4"/>
            <w:vAlign w:val="center"/>
          </w:tcPr>
          <w:p w14:paraId="61952701">
            <w:pPr>
              <w:spacing w:line="360" w:lineRule="auto"/>
              <w:jc w:val="center"/>
              <w:rPr>
                <w:rFonts w:ascii="宋体" w:hAnsi="宋体" w:cs="宋体"/>
                <w:color w:val="000000" w:themeColor="text1"/>
                <w:sz w:val="24"/>
                <w14:textFill>
                  <w14:solidFill>
                    <w14:schemeClr w14:val="tx1"/>
                  </w14:solidFill>
                </w14:textFill>
              </w:rPr>
            </w:pPr>
          </w:p>
        </w:tc>
      </w:tr>
    </w:tbl>
    <w:p w14:paraId="55366AC6">
      <w:pPr>
        <w:snapToGrid w:val="0"/>
        <w:spacing w:line="360" w:lineRule="auto"/>
        <w:ind w:left="480"/>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注：</w:t>
      </w:r>
    </w:p>
    <w:p w14:paraId="1F878CBB">
      <w:pPr>
        <w:spacing w:line="360" w:lineRule="auto"/>
        <w:ind w:left="-2" w:leftChars="-1"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1、投标人需按本表格式填写</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投标文件含有采购人不能接受的附加条件，投标无效</w:t>
      </w:r>
      <w:r>
        <w:rPr>
          <w:rFonts w:hint="eastAsia" w:ascii="宋体" w:hAnsi="宋体" w:cs="宋体"/>
          <w:color w:val="000000" w:themeColor="text1"/>
          <w:kern w:val="0"/>
          <w:sz w:val="24"/>
          <w:lang w:val="zh-CN"/>
          <w14:textFill>
            <w14:solidFill>
              <w14:schemeClr w14:val="tx1"/>
            </w14:solidFill>
          </w14:textFill>
        </w:rPr>
        <w:t>。</w:t>
      </w:r>
    </w:p>
    <w:p w14:paraId="244E0C55">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2、有关本项目实施所涉及的一切费用均计入报价。有关本项目实施所涉及的一切费用均计入报价。</w:t>
      </w:r>
      <w:r>
        <w:rPr>
          <w:rFonts w:hint="eastAsia" w:ascii="宋体" w:hAnsi="宋体" w:cs="宋体"/>
          <w:b/>
          <w:color w:val="000000" w:themeColor="text1"/>
          <w:kern w:val="0"/>
          <w:sz w:val="24"/>
          <w:lang w:val="zh-CN"/>
          <w14:textFill>
            <w14:solidFill>
              <w14:schemeClr w14:val="tx1"/>
            </w14:solidFill>
          </w14:textFill>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000000" w:themeColor="text1"/>
          <w:kern w:val="0"/>
          <w:sz w:val="24"/>
          <w14:textFill>
            <w14:solidFill>
              <w14:schemeClr w14:val="tx1"/>
            </w14:solidFill>
          </w14:textFill>
        </w:rPr>
        <w:t>视为</w:t>
      </w: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6CED233F">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3、特别提示：采购代理机构将对项目名称和项目编号，中标供应商名称、地址和中标金额，主要中标标的名称、品牌（如果有）、规格型号、数量、单价等予以公示。</w:t>
      </w:r>
    </w:p>
    <w:p w14:paraId="62FCF68C">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ascii="宋体" w:hAnsi="宋体" w:cs="宋体"/>
          <w:color w:val="000000" w:themeColor="text1"/>
          <w:kern w:val="0"/>
          <w:sz w:val="24"/>
          <w:szCs w:val="22"/>
          <w:lang w:val="zh-CN"/>
          <w14:textFill>
            <w14:solidFill>
              <w14:schemeClr w14:val="tx1"/>
            </w14:solidFill>
          </w14:textFill>
        </w:rPr>
        <w:t>4</w:t>
      </w:r>
      <w:r>
        <w:rPr>
          <w:rFonts w:hint="eastAsia" w:ascii="宋体" w:hAnsi="宋体" w:cs="宋体"/>
          <w:color w:val="000000" w:themeColor="text1"/>
          <w:kern w:val="0"/>
          <w:sz w:val="24"/>
          <w:szCs w:val="22"/>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A67E49E">
      <w:pPr>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5、特别说明：▲供应商报价低于项目预算50%的，应当在报价文件中详细阐述不影响产品质量或者诚信履约的具体原因，未做阐述说明的，投标无效。</w:t>
      </w:r>
    </w:p>
    <w:p w14:paraId="4E8540B2">
      <w:pPr>
        <w:rPr>
          <w:rFonts w:ascii="宋体" w:hAnsi="宋体" w:cs="宋体"/>
          <w:color w:val="000000" w:themeColor="text1"/>
          <w:sz w:val="32"/>
          <w:szCs w:val="32"/>
          <w14:textFill>
            <w14:solidFill>
              <w14:schemeClr w14:val="tx1"/>
            </w14:solidFill>
          </w14:textFill>
        </w:rPr>
      </w:pPr>
      <w:r>
        <w:rPr>
          <w:rFonts w:ascii="宋体" w:hAnsi="宋体" w:cs="宋体"/>
          <w:color w:val="000000" w:themeColor="text1"/>
          <w:sz w:val="32"/>
          <w:szCs w:val="32"/>
          <w14:textFill>
            <w14:solidFill>
              <w14:schemeClr w14:val="tx1"/>
            </w14:solidFill>
          </w14:textFill>
        </w:rPr>
        <w:br w:type="page"/>
      </w:r>
    </w:p>
    <w:p w14:paraId="39927A21">
      <w:pPr>
        <w:pStyle w:val="690"/>
        <w:keepNext w:val="0"/>
        <w:pageBreakBefore w:val="0"/>
        <w:tabs>
          <w:tab w:val="clear" w:pos="720"/>
        </w:tabs>
        <w:snapToGrid w:val="0"/>
        <w:spacing w:before="120" w:after="120"/>
        <w:ind w:firstLine="643"/>
        <w:jc w:val="both"/>
        <w:outlineLvl w:val="9"/>
        <w:rPr>
          <w:rFonts w:ascii="宋体" w:hAnsi="宋体" w:eastAsia="宋体" w:cs="宋体"/>
          <w:color w:val="000000" w:themeColor="text1"/>
          <w:kern w:val="2"/>
          <w:sz w:val="32"/>
          <w:szCs w:val="32"/>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1147D714">
      <w:pPr>
        <w:pStyle w:val="690"/>
        <w:keepNext w:val="0"/>
        <w:pageBreakBefore w:val="0"/>
        <w:tabs>
          <w:tab w:val="clear" w:pos="720"/>
        </w:tabs>
        <w:snapToGrid w:val="0"/>
        <w:spacing w:before="120" w:after="120"/>
        <w:outlineLvl w:val="9"/>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二、</w:t>
      </w:r>
      <w:r>
        <w:rPr>
          <w:rFonts w:hint="eastAsia" w:ascii="宋体" w:hAnsi="宋体" w:eastAsia="宋体" w:cs="宋体"/>
          <w:color w:val="000000" w:themeColor="text1"/>
          <w:sz w:val="32"/>
          <w:szCs w:val="32"/>
          <w14:textFill>
            <w14:solidFill>
              <w14:schemeClr w14:val="tx1"/>
            </w14:solidFill>
          </w14:textFill>
        </w:rPr>
        <w:t>中小企业声明函</w:t>
      </w:r>
      <w:bookmarkStart w:id="545" w:name="_Hlk101259491"/>
      <w:r>
        <w:rPr>
          <w:rFonts w:hint="eastAsia" w:ascii="宋体" w:hAnsi="宋体" w:eastAsia="宋体" w:cs="宋体"/>
          <w:color w:val="000000" w:themeColor="text1"/>
          <w:sz w:val="32"/>
          <w:szCs w:val="32"/>
          <w14:textFill>
            <w14:solidFill>
              <w14:schemeClr w14:val="tx1"/>
            </w14:solidFill>
          </w14:textFill>
        </w:rPr>
        <w:t>（如果有）</w:t>
      </w:r>
      <w:bookmarkEnd w:id="545"/>
    </w:p>
    <w:p w14:paraId="460DA9BF">
      <w:pPr>
        <w:widowControl/>
        <w:spacing w:line="360" w:lineRule="auto"/>
        <w:ind w:firstLine="120" w:firstLineChars="5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14:textFill>
            <w14:solidFill>
              <w14:schemeClr w14:val="tx1"/>
            </w14:solidFill>
          </w14:textFill>
        </w:rPr>
        <w:t>7</w:t>
      </w:r>
      <w:r>
        <w:rPr>
          <w:rFonts w:hint="eastAsia" w:ascii="宋体" w:hAnsi="宋体" w:cs="宋体"/>
          <w:b/>
          <w:color w:val="000000" w:themeColor="text1"/>
          <w:sz w:val="24"/>
          <w14:textFill>
            <w14:solidFill>
              <w14:schemeClr w14:val="tx1"/>
            </w14:solidFill>
          </w14:textFill>
        </w:rPr>
        <w:t>）。]</w:t>
      </w:r>
    </w:p>
    <w:p w14:paraId="4F07E638">
      <w:pPr>
        <w:pStyle w:val="690"/>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14:textFill>
            <w14:solidFill>
              <w14:schemeClr w14:val="tx1"/>
            </w14:solidFill>
          </w14:textFill>
        </w:rPr>
      </w:pPr>
    </w:p>
    <w:p w14:paraId="06BED8BF">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67B914EF">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6EC5601C">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3A0535F2">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3E77E1F5">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6EA1B47E">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3D32D1AB">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081831E7">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6036D2F3">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32477D6">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35FE30F8">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323CDF54">
      <w:pPr>
        <w:pStyle w:val="3"/>
        <w:keepNext w:val="0"/>
        <w:keepLines w:val="0"/>
        <w:pageBreakBefore/>
        <w:widowControl/>
        <w:spacing w:before="100" w:beforeAutospacing="1" w:after="100" w:afterAutospacing="1" w:line="360" w:lineRule="auto"/>
        <w:ind w:left="0" w:firstLine="0"/>
        <w:jc w:val="center"/>
        <w:rPr>
          <w:rFonts w:ascii="宋体" w:hAnsi="宋体" w:cs="宋体"/>
          <w:color w:val="000000" w:themeColor="text1"/>
          <w:sz w:val="32"/>
          <w:szCs w:val="32"/>
          <w14:textFill>
            <w14:solidFill>
              <w14:schemeClr w14:val="tx1"/>
            </w14:solidFill>
          </w14:textFill>
        </w:rPr>
      </w:pPr>
      <w:bookmarkStart w:id="546" w:name="_Toc465665161"/>
      <w:r>
        <w:rPr>
          <w:rFonts w:hint="eastAsia" w:ascii="宋体" w:hAnsi="宋体" w:cs="宋体"/>
          <w:color w:val="000000" w:themeColor="text1"/>
          <w:sz w:val="32"/>
          <w:szCs w:val="32"/>
          <w14:textFill>
            <w14:solidFill>
              <w14:schemeClr w14:val="tx1"/>
            </w14:solidFill>
          </w14:textFill>
        </w:rPr>
        <w:t>附件</w:t>
      </w:r>
      <w:bookmarkEnd w:id="546"/>
    </w:p>
    <w:p w14:paraId="4FA93009">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14:paraId="1AB95F55">
      <w:pPr>
        <w:spacing w:line="360" w:lineRule="auto"/>
        <w:jc w:val="center"/>
        <w:rPr>
          <w:rFonts w:ascii="宋体" w:hAnsi="宋体" w:cs="宋体"/>
          <w:b/>
          <w:color w:val="000000" w:themeColor="text1"/>
          <w:spacing w:val="6"/>
          <w:sz w:val="32"/>
          <w:szCs w:val="32"/>
          <w14:textFill>
            <w14:solidFill>
              <w14:schemeClr w14:val="tx1"/>
            </w14:solidFill>
          </w14:textFill>
        </w:rPr>
      </w:pPr>
      <w:bookmarkStart w:id="547" w:name="OLE_LINK14"/>
      <w:bookmarkStart w:id="548" w:name="OLE_LINK13"/>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547"/>
    <w:bookmarkEnd w:id="548"/>
    <w:p w14:paraId="66BD4954">
      <w:pPr>
        <w:spacing w:line="360" w:lineRule="auto"/>
        <w:rPr>
          <w:rFonts w:ascii="宋体" w:hAnsi="宋体" w:cs="宋体"/>
          <w:b/>
          <w:color w:val="000000" w:themeColor="text1"/>
          <w:spacing w:val="6"/>
          <w:sz w:val="30"/>
          <w:szCs w:val="30"/>
          <w14:textFill>
            <w14:solidFill>
              <w14:schemeClr w14:val="tx1"/>
            </w14:solidFill>
          </w14:textFill>
        </w:rPr>
      </w:pPr>
    </w:p>
    <w:p w14:paraId="118A6DD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u w:val="single"/>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_单位的_</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5AD0582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2A03B6D0">
      <w:pPr>
        <w:spacing w:line="360" w:lineRule="auto"/>
        <w:ind w:firstLine="480" w:firstLineChars="200"/>
        <w:rPr>
          <w:rFonts w:ascii="宋体" w:hAnsi="宋体" w:cs="宋体"/>
          <w:color w:val="000000" w:themeColor="text1"/>
          <w:sz w:val="24"/>
          <w14:textFill>
            <w14:solidFill>
              <w14:schemeClr w14:val="tx1"/>
            </w14:solidFill>
          </w14:textFill>
        </w:rPr>
      </w:pPr>
    </w:p>
    <w:p w14:paraId="752491AE">
      <w:pPr>
        <w:spacing w:line="360" w:lineRule="auto"/>
        <w:ind w:firstLine="480" w:firstLineChars="200"/>
        <w:rPr>
          <w:rFonts w:ascii="宋体" w:hAnsi="宋体" w:cs="宋体"/>
          <w:color w:val="000000" w:themeColor="text1"/>
          <w:sz w:val="24"/>
          <w14:textFill>
            <w14:solidFill>
              <w14:schemeClr w14:val="tx1"/>
            </w14:solidFill>
          </w14:textFill>
        </w:rPr>
      </w:pPr>
    </w:p>
    <w:p w14:paraId="56BE5AA2">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投标人名称（电子签名）</w:t>
      </w:r>
      <w:r>
        <w:rPr>
          <w:rFonts w:hint="eastAsia" w:ascii="宋体" w:hAnsi="宋体" w:cs="宋体"/>
          <w:color w:val="000000" w:themeColor="text1"/>
          <w:sz w:val="24"/>
          <w14:textFill>
            <w14:solidFill>
              <w14:schemeClr w14:val="tx1"/>
            </w14:solidFill>
          </w14:textFill>
        </w:rPr>
        <w:t>：</w:t>
      </w:r>
    </w:p>
    <w:p w14:paraId="108831FD">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14:paraId="1072074C">
      <w:pPr>
        <w:spacing w:line="360" w:lineRule="auto"/>
        <w:ind w:firstLine="480" w:firstLineChars="200"/>
        <w:rPr>
          <w:rFonts w:ascii="宋体" w:hAnsi="宋体" w:cs="宋体"/>
          <w:color w:val="000000" w:themeColor="text1"/>
          <w:sz w:val="24"/>
          <w14:textFill>
            <w14:solidFill>
              <w14:schemeClr w14:val="tx1"/>
            </w14:solidFill>
          </w14:textFill>
        </w:rPr>
      </w:pPr>
    </w:p>
    <w:p w14:paraId="68A1797F">
      <w:pPr>
        <w:spacing w:line="360" w:lineRule="auto"/>
        <w:ind w:firstLine="420" w:firstLineChars="200"/>
        <w:rPr>
          <w:rFonts w:ascii="宋体" w:hAnsi="宋体" w:cs="宋体"/>
          <w:color w:val="000000" w:themeColor="text1"/>
          <w14:textFill>
            <w14:solidFill>
              <w14:schemeClr w14:val="tx1"/>
            </w14:solidFill>
          </w14:textFill>
        </w:rPr>
      </w:pPr>
    </w:p>
    <w:p w14:paraId="6BF47C3B">
      <w:pPr>
        <w:spacing w:line="360" w:lineRule="auto"/>
        <w:ind w:firstLine="420" w:firstLineChars="200"/>
        <w:rPr>
          <w:rFonts w:ascii="宋体" w:hAnsi="宋体" w:cs="宋体"/>
          <w:color w:val="000000" w:themeColor="text1"/>
          <w14:textFill>
            <w14:solidFill>
              <w14:schemeClr w14:val="tx1"/>
            </w14:solidFill>
          </w14:textFill>
        </w:rPr>
      </w:pPr>
    </w:p>
    <w:p w14:paraId="260D42AD">
      <w:pPr>
        <w:spacing w:line="360" w:lineRule="auto"/>
        <w:ind w:firstLine="420" w:firstLineChars="200"/>
        <w:rPr>
          <w:rFonts w:ascii="宋体" w:hAnsi="宋体" w:cs="宋体"/>
          <w:color w:val="000000" w:themeColor="text1"/>
          <w14:textFill>
            <w14:solidFill>
              <w14:schemeClr w14:val="tx1"/>
            </w14:solidFill>
          </w14:textFill>
        </w:rPr>
      </w:pPr>
    </w:p>
    <w:p w14:paraId="53B59B5C">
      <w:pPr>
        <w:spacing w:line="360" w:lineRule="auto"/>
        <w:ind w:firstLine="420" w:firstLineChars="200"/>
        <w:rPr>
          <w:rFonts w:ascii="宋体" w:hAnsi="宋体" w:cs="宋体"/>
          <w:color w:val="000000" w:themeColor="text1"/>
          <w14:textFill>
            <w14:solidFill>
              <w14:schemeClr w14:val="tx1"/>
            </w14:solidFill>
          </w14:textFill>
        </w:rPr>
      </w:pPr>
    </w:p>
    <w:p w14:paraId="36F73C7E">
      <w:pPr>
        <w:spacing w:line="360" w:lineRule="auto"/>
        <w:rPr>
          <w:rFonts w:ascii="宋体" w:hAnsi="宋体" w:cs="宋体"/>
          <w:b/>
          <w:color w:val="000000" w:themeColor="text1"/>
          <w:sz w:val="24"/>
          <w14:textFill>
            <w14:solidFill>
              <w14:schemeClr w14:val="tx1"/>
            </w14:solidFill>
          </w14:textFill>
        </w:rPr>
      </w:pPr>
    </w:p>
    <w:p w14:paraId="37BB5231">
      <w:pP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br w:type="page"/>
      </w:r>
    </w:p>
    <w:p w14:paraId="057D067B">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附件2：质疑函范本及制作说明</w:t>
      </w:r>
    </w:p>
    <w:p w14:paraId="7D72CC66">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质疑函范本</w:t>
      </w:r>
    </w:p>
    <w:p w14:paraId="1123842E">
      <w:pPr>
        <w:snapToGrid w:val="0"/>
        <w:spacing w:before="240" w:beforeLines="100"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一、质疑供应商基本信息</w:t>
      </w:r>
    </w:p>
    <w:p w14:paraId="023C4380">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质疑供应商：</w:t>
      </w:r>
      <w:r>
        <w:rPr>
          <w:rFonts w:hint="eastAsia" w:ascii="宋体" w:hAnsi="宋体" w:cs="宋体"/>
          <w:color w:val="000000" w:themeColor="text1"/>
          <w:sz w:val="24"/>
          <w:u w:val="dotted"/>
          <w14:textFill>
            <w14:solidFill>
              <w14:schemeClr w14:val="tx1"/>
            </w14:solidFill>
          </w14:textFill>
        </w:rPr>
        <w:t xml:space="preserve">                                        </w:t>
      </w:r>
    </w:p>
    <w:p w14:paraId="1FAD4B2E">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6A23354F">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6AC85071">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14:paraId="7C78E0A6">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3D339318">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3EEE6DAE">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14:paraId="30600637">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r>
        <w:rPr>
          <w:rFonts w:hint="eastAsia" w:ascii="宋体" w:hAnsi="宋体" w:cs="宋体"/>
          <w:color w:val="000000" w:themeColor="text1"/>
          <w:sz w:val="24"/>
          <w:u w:val="dotted"/>
          <w14:textFill>
            <w14:solidFill>
              <w14:schemeClr w14:val="tx1"/>
            </w14:solidFill>
          </w14:textFill>
        </w:rPr>
        <w:t xml:space="preserve">                                      </w:t>
      </w:r>
    </w:p>
    <w:p w14:paraId="4F2AAC33">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16505C10">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p>
    <w:p w14:paraId="43FFE599">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r>
        <w:rPr>
          <w:rFonts w:hint="eastAsia" w:ascii="宋体" w:hAnsi="宋体" w:cs="宋体"/>
          <w:color w:val="000000" w:themeColor="text1"/>
          <w:sz w:val="24"/>
          <w:u w:val="dotted"/>
          <w14:textFill>
            <w14:solidFill>
              <w14:schemeClr w14:val="tx1"/>
            </w14:solidFill>
          </w14:textFill>
        </w:rPr>
        <w:t xml:space="preserve">                                           </w:t>
      </w:r>
    </w:p>
    <w:p w14:paraId="17297A50">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14:paraId="3E9E812E">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r>
        <w:rPr>
          <w:rFonts w:hint="eastAsia" w:ascii="宋体" w:hAnsi="宋体" w:cs="宋体"/>
          <w:color w:val="000000" w:themeColor="text1"/>
          <w:sz w:val="24"/>
          <w:u w:val="dotted"/>
          <w14:textFill>
            <w14:solidFill>
              <w14:schemeClr w14:val="tx1"/>
            </w14:solidFill>
          </w14:textFill>
        </w:rPr>
        <w:t xml:space="preserve">                                         </w:t>
      </w:r>
    </w:p>
    <w:p w14:paraId="7BDFB11D">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5E3AD475">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782A7329">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6963A9CD">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03F520A4">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14:paraId="5E0C24F3">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3E78F4B4">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14:paraId="08D536DC">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14:paraId="3AF6AC1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5F2C26C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7FD89FB4">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质疑函制作说明：</w:t>
      </w:r>
    </w:p>
    <w:p w14:paraId="29C530EA">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1.供应商提出质疑时，应提交质疑函和必要的证明材料。</w:t>
      </w:r>
    </w:p>
    <w:p w14:paraId="75E04C5F">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4D09E350">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3.质疑供应商若对项目的某一分包进行质疑，质疑函中应列明具体分包号。</w:t>
      </w:r>
    </w:p>
    <w:p w14:paraId="31CD72DA">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4.质疑函的质疑事项应具体、明确，并有必要的事实依据和法律依据。</w:t>
      </w:r>
    </w:p>
    <w:p w14:paraId="18FD3D12">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5.质疑函的质疑请求应与质疑事项相关。</w:t>
      </w:r>
    </w:p>
    <w:p w14:paraId="7CF43359">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2DE6FAFD">
      <w:pP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br w:type="page"/>
      </w:r>
    </w:p>
    <w:p w14:paraId="2E6556E5">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附件3：投诉书范本及制作说明</w:t>
      </w:r>
    </w:p>
    <w:p w14:paraId="7CBE2D7B">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14:paraId="4EA8854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14:paraId="0A0B3F9D">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r>
        <w:rPr>
          <w:rFonts w:hint="eastAsia" w:ascii="宋体" w:hAnsi="宋体" w:cs="宋体"/>
          <w:color w:val="000000" w:themeColor="text1"/>
          <w:sz w:val="24"/>
          <w:u w:val="dotted"/>
          <w14:textFill>
            <w14:solidFill>
              <w14:schemeClr w14:val="tx1"/>
            </w14:solidFill>
          </w14:textFill>
        </w:rPr>
        <w:t xml:space="preserve">                                               </w:t>
      </w:r>
    </w:p>
    <w:p w14:paraId="7602D315">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60315324">
      <w:pPr>
        <w:tabs>
          <w:tab w:val="left" w:pos="651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5E3A2FF1">
      <w:pPr>
        <w:tabs>
          <w:tab w:val="left" w:pos="6510"/>
        </w:tabs>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6229D9E5">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6A2AEF3F">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p>
    <w:p w14:paraId="7B5C4708">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3AAB2C14">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2A10E446">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1206F20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14:paraId="45147DE7">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7DB964E2">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相关供应商：</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416DBE21">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2BE5AE1A">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3DBBB11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14:paraId="1E1CB3ED">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采购项目名称：</w:t>
      </w:r>
      <w:r>
        <w:rPr>
          <w:rFonts w:hint="eastAsia" w:ascii="宋体" w:hAnsi="宋体" w:cs="宋体"/>
          <w:color w:val="000000" w:themeColor="text1"/>
          <w:sz w:val="24"/>
          <w:u w:val="dotted"/>
          <w14:textFill>
            <w14:solidFill>
              <w14:schemeClr w14:val="tx1"/>
            </w14:solidFill>
          </w14:textFill>
        </w:rPr>
        <w:t xml:space="preserve">                                        </w:t>
      </w:r>
    </w:p>
    <w:p w14:paraId="14B93F6D">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56159C3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216222DD">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r>
        <w:rPr>
          <w:rFonts w:hint="eastAsia" w:ascii="宋体" w:hAnsi="宋体" w:cs="宋体"/>
          <w:color w:val="000000" w:themeColor="text1"/>
          <w:sz w:val="24"/>
          <w:u w:val="dotted"/>
          <w14:textFill>
            <w14:solidFill>
              <w14:schemeClr w14:val="tx1"/>
            </w14:solidFill>
          </w14:textFill>
        </w:rPr>
        <w:t xml:space="preserve">                                         </w:t>
      </w:r>
    </w:p>
    <w:p w14:paraId="3D56C7BF">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5FA75800">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采购结果公告: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7AE38A8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三、质疑基本情况</w:t>
      </w:r>
    </w:p>
    <w:p w14:paraId="7DC19ED0">
      <w:pPr>
        <w:spacing w:line="360" w:lineRule="auto"/>
        <w:ind w:firstLine="480" w:firstLineChars="200"/>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提出质疑，质疑事项为：</w:t>
      </w:r>
      <w:r>
        <w:rPr>
          <w:rFonts w:hint="eastAsia" w:ascii="宋体" w:hAnsi="宋体" w:cs="宋体"/>
          <w:color w:val="000000" w:themeColor="text1"/>
          <w:sz w:val="24"/>
          <w:u w:val="dotted"/>
          <w14:textFill>
            <w14:solidFill>
              <w14:schemeClr w14:val="tx1"/>
            </w14:solidFill>
          </w14:textFill>
        </w:rPr>
        <w:t xml:space="preserve">                                </w:t>
      </w:r>
    </w:p>
    <w:p w14:paraId="1BDA64BA">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3C9C979F">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采购人/代理机构</w:t>
      </w:r>
      <w:r>
        <w:rPr>
          <w:rFonts w:hint="eastAsia" w:ascii="宋体" w:hAnsi="宋体" w:cs="宋体"/>
          <w:color w:val="000000" w:themeColor="text1"/>
          <w:sz w:val="24"/>
          <w14:textFill>
            <w14:solidFill>
              <w14:schemeClr w14:val="tx1"/>
            </w14:solidFill>
          </w14:textFill>
        </w:rPr>
        <w:t>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日,就质疑事项作出了答复/没有在法定期限内作出答复。</w:t>
      </w:r>
    </w:p>
    <w:p w14:paraId="0E3CD57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14:paraId="322F1109">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r>
        <w:rPr>
          <w:rFonts w:hint="eastAsia" w:ascii="宋体" w:hAnsi="宋体" w:cs="宋体"/>
          <w:color w:val="000000" w:themeColor="text1"/>
          <w:sz w:val="24"/>
          <w:u w:val="dotted"/>
          <w14:textFill>
            <w14:solidFill>
              <w14:schemeClr w14:val="tx1"/>
            </w14:solidFill>
          </w14:textFill>
        </w:rPr>
        <w:t xml:space="preserve">                                       </w:t>
      </w:r>
    </w:p>
    <w:p w14:paraId="577025A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41A473C8">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1BB52820">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75DB0E4B">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2811498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p>
    <w:p w14:paraId="1608AC17">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3844E53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14:paraId="477C0A6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1B7904FC">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328991B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55B4A8D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5B5EA244">
      <w:pPr>
        <w:spacing w:line="360" w:lineRule="auto"/>
        <w:rPr>
          <w:rFonts w:ascii="宋体" w:hAnsi="宋体" w:cs="宋体"/>
          <w:b/>
          <w:color w:val="000000" w:themeColor="text1"/>
          <w:sz w:val="24"/>
          <w14:textFill>
            <w14:solidFill>
              <w14:schemeClr w14:val="tx1"/>
            </w14:solidFill>
          </w14:textFill>
        </w:rPr>
      </w:pPr>
    </w:p>
    <w:p w14:paraId="5F6D5021">
      <w:pPr>
        <w:spacing w:line="360" w:lineRule="auto"/>
        <w:rPr>
          <w:rFonts w:ascii="宋体" w:hAnsi="宋体" w:cs="宋体"/>
          <w:b/>
          <w:color w:val="000000" w:themeColor="text1"/>
          <w:sz w:val="24"/>
          <w14:textFill>
            <w14:solidFill>
              <w14:schemeClr w14:val="tx1"/>
            </w14:solidFill>
          </w14:textFill>
        </w:rPr>
      </w:pPr>
    </w:p>
    <w:p w14:paraId="0D2778B8">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14:paraId="54887C7B">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58156A96">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14B0A242">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3.投诉人若对项目的某一分包进行投诉，投诉书应列明具体分包号。</w:t>
      </w:r>
    </w:p>
    <w:p w14:paraId="1A6CE782">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4.投诉书应简要列明质疑事项，质疑函、质疑答复等作为附件材料提供。</w:t>
      </w:r>
    </w:p>
    <w:p w14:paraId="1859C83D">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5.投诉书的投诉事项应具体、明确，并有必要的事实依据和法律依据。</w:t>
      </w:r>
    </w:p>
    <w:p w14:paraId="6167DD94">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6.投诉书的投诉请求应与投诉事项相关。</w:t>
      </w:r>
    </w:p>
    <w:p w14:paraId="39A212CD">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5BF407A3">
      <w:pP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br w:type="page"/>
      </w:r>
    </w:p>
    <w:p w14:paraId="12260742">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附件4：</w:t>
      </w:r>
      <w:r>
        <w:rPr>
          <w:rFonts w:hint="eastAsia" w:ascii="宋体" w:hAnsi="宋体" w:cs="宋体"/>
          <w:b/>
          <w:bCs/>
          <w:color w:val="000000" w:themeColor="text1"/>
          <w:sz w:val="32"/>
          <w:szCs w:val="32"/>
          <w14:textFill>
            <w14:solidFill>
              <w14:schemeClr w14:val="tx1"/>
            </w14:solidFill>
          </w14:textFill>
        </w:rPr>
        <w:t>业务专用章使用说明函</w:t>
      </w:r>
    </w:p>
    <w:p w14:paraId="051CCF77">
      <w:pPr>
        <w:spacing w:line="360" w:lineRule="auto"/>
        <w:rPr>
          <w:rFonts w:ascii="宋体" w:hAnsi="宋体" w:cs="宋体"/>
          <w:color w:val="000000" w:themeColor="text1"/>
          <w:sz w:val="24"/>
          <w:u w:val="single"/>
          <w14:textFill>
            <w14:solidFill>
              <w14:schemeClr w14:val="tx1"/>
            </w14:solidFill>
          </w14:textFill>
        </w:rPr>
      </w:pPr>
    </w:p>
    <w:p w14:paraId="4E24E75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p>
    <w:p w14:paraId="1D4C334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你方组织的（项目名称）【招标编号：（采购编号）】</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73AE1AA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14:paraId="602CE5F9">
      <w:pPr>
        <w:spacing w:line="360" w:lineRule="auto"/>
        <w:ind w:firstLine="494"/>
        <w:rPr>
          <w:rFonts w:ascii="宋体" w:hAnsi="宋体" w:cs="宋体"/>
          <w:color w:val="000000" w:themeColor="text1"/>
          <w:sz w:val="24"/>
          <w14:textFill>
            <w14:solidFill>
              <w14:schemeClr w14:val="tx1"/>
            </w14:solidFill>
          </w14:textFill>
        </w:rPr>
      </w:pPr>
    </w:p>
    <w:p w14:paraId="5280A173">
      <w:pPr>
        <w:spacing w:line="360" w:lineRule="auto"/>
        <w:ind w:firstLine="494"/>
        <w:rPr>
          <w:rFonts w:ascii="宋体" w:hAnsi="宋体" w:cs="宋体"/>
          <w:color w:val="000000" w:themeColor="text1"/>
          <w:sz w:val="24"/>
          <w14:textFill>
            <w14:solidFill>
              <w14:schemeClr w14:val="tx1"/>
            </w14:solidFill>
          </w14:textFill>
        </w:rPr>
      </w:pPr>
    </w:p>
    <w:p w14:paraId="1FA5E376">
      <w:pPr>
        <w:spacing w:line="360" w:lineRule="auto"/>
        <w:ind w:firstLine="494"/>
        <w:rPr>
          <w:rFonts w:ascii="宋体" w:hAnsi="宋体" w:cs="宋体"/>
          <w:color w:val="000000" w:themeColor="text1"/>
          <w:sz w:val="24"/>
          <w14:textFill>
            <w14:solidFill>
              <w14:schemeClr w14:val="tx1"/>
            </w14:solidFill>
          </w14:textFill>
        </w:rPr>
      </w:pPr>
    </w:p>
    <w:p w14:paraId="78FE40DC">
      <w:pPr>
        <w:spacing w:line="360" w:lineRule="auto"/>
        <w:ind w:right="480" w:firstLine="4080" w:firstLineChars="1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投标单位（法定名称章）：</w:t>
      </w:r>
    </w:p>
    <w:p w14:paraId="1ADBCB8C">
      <w:pPr>
        <w:ind w:right="1440" w:firstLine="49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17514340">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14:paraId="15BF594E">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14:paraId="62D4324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AF520E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FC857F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763F78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CA355A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9D1BD4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E46EDC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49D0DAE">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0AFD05B8">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附件</w:t>
      </w:r>
      <w:r>
        <w:rPr>
          <w:rFonts w:ascii="宋体" w:hAnsi="宋体" w:cs="宋体"/>
          <w:b/>
          <w:color w:val="000000" w:themeColor="text1"/>
          <w:kern w:val="0"/>
          <w:sz w:val="32"/>
          <w:szCs w:val="32"/>
          <w14:textFill>
            <w14:solidFill>
              <w14:schemeClr w14:val="tx1"/>
            </w14:solidFill>
          </w14:textFill>
        </w:rPr>
        <w:t>5</w:t>
      </w:r>
      <w:r>
        <w:rPr>
          <w:rFonts w:hint="eastAsia" w:ascii="宋体" w:hAnsi="宋体" w:cs="宋体"/>
          <w:b/>
          <w:color w:val="000000" w:themeColor="text1"/>
          <w:kern w:val="0"/>
          <w:sz w:val="32"/>
          <w:szCs w:val="32"/>
          <w14:textFill>
            <w14:solidFill>
              <w14:schemeClr w14:val="tx1"/>
            </w14:solidFill>
          </w14:textFill>
        </w:rPr>
        <w:t>：联合协议</w:t>
      </w:r>
    </w:p>
    <w:p w14:paraId="41BD5906">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1BA5B964">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 xml:space="preserve">投标。 </w:t>
      </w:r>
    </w:p>
    <w:p w14:paraId="0C4F3198">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14:paraId="607330A8">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77A76A26">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三、本次联合投标中，分工如下：</w:t>
      </w:r>
    </w:p>
    <w:p w14:paraId="0366A29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bookmarkStart w:id="549" w:name="_Hlk101134295"/>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79614F26">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13EAF393">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bookmarkEnd w:id="549"/>
    <w:p w14:paraId="344D5825">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14:paraId="2FE9D634">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X,</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提供的全部货物由小微企业制造，其合同份额占到合同总金额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420E9933">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14:paraId="54EA7341">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五、如果中标，</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14:paraId="49AE6A50">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六、有关本次联合投标的其他事宜：</w:t>
      </w:r>
    </w:p>
    <w:p w14:paraId="182E993D">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3CCB10C4">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2B06CF2E">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36037A4F">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14FDEA17">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0ACBDE95">
      <w:pPr>
        <w:snapToGrid w:val="0"/>
        <w:spacing w:line="360" w:lineRule="auto"/>
        <w:ind w:right="96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4B18CE57">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1FF11035">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4FA9EC44">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390660B4">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附件</w:t>
      </w:r>
      <w:r>
        <w:rPr>
          <w:rFonts w:ascii="宋体" w:hAnsi="宋体" w:cs="宋体"/>
          <w:b/>
          <w:color w:val="000000" w:themeColor="text1"/>
          <w:kern w:val="0"/>
          <w:sz w:val="32"/>
          <w:szCs w:val="32"/>
          <w14:textFill>
            <w14:solidFill>
              <w14:schemeClr w14:val="tx1"/>
            </w14:solidFill>
          </w14:textFill>
        </w:rPr>
        <w:t>6</w:t>
      </w:r>
      <w:r>
        <w:rPr>
          <w:rFonts w:hint="eastAsia" w:ascii="宋体" w:hAnsi="宋体" w:cs="宋体"/>
          <w:b/>
          <w:color w:val="000000" w:themeColor="text1"/>
          <w:kern w:val="0"/>
          <w:sz w:val="32"/>
          <w:szCs w:val="32"/>
          <w14:textFill>
            <w14:solidFill>
              <w14:schemeClr w14:val="tx1"/>
            </w14:solidFill>
          </w14:textFill>
        </w:rPr>
        <w:t>：分包意向协议</w:t>
      </w:r>
    </w:p>
    <w:p w14:paraId="6F34CA03">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14:paraId="40057CA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14:paraId="56443BEF">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14:paraId="5BBE8E06">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将</w:t>
      </w:r>
      <w:r>
        <w:rPr>
          <w:rFonts w:hint="eastAsia" w:ascii="宋体" w:hAnsi="宋体" w:cs="宋体"/>
          <w:color w:val="000000" w:themeColor="text1"/>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14:paraId="780AECC4">
      <w:pPr>
        <w:pStyle w:val="2"/>
        <w:ind w:left="664" w:leftChars="316" w:firstLine="229" w:firstLineChars="95"/>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p w14:paraId="64DC6463">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二、分包供应商中小企业合同份额</w:t>
      </w:r>
    </w:p>
    <w:p w14:paraId="10B0B3F2">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……）提供的货物全部由小微企业制造，</w:t>
      </w:r>
      <w:r>
        <w:rPr>
          <w:rFonts w:hint="eastAsia" w:ascii="宋体" w:hAnsi="宋体" w:cs="宋体"/>
          <w:color w:val="000000" w:themeColor="text1"/>
          <w:kern w:val="0"/>
          <w:sz w:val="24"/>
          <w14:textFill>
            <w14:solidFill>
              <w14:schemeClr w14:val="tx1"/>
            </w14:solidFill>
          </w14:textFill>
        </w:rPr>
        <w:t>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3667A763">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550" w:name="_Hlk101133173"/>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550"/>
    </w:p>
    <w:p w14:paraId="3BDCB35F">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14:paraId="2CD3543B">
      <w:pPr>
        <w:snapToGrid w:val="0"/>
        <w:spacing w:line="360" w:lineRule="auto"/>
        <w:ind w:firstLine="576"/>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48294EB6">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14:paraId="0FBB89BB">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108D6AE1">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14:paraId="15ABBBC5">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63B3B673">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14:paraId="188A2BDC">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7C1A67B3">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14:paraId="35D5C541">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422D3094">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w:t>
      </w:r>
    </w:p>
    <w:p w14:paraId="64340D61">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分包供应商名称(电子签名/公章)：</w:t>
      </w:r>
    </w:p>
    <w:p w14:paraId="05F90345">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3DEB0848">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3AB9ABB5">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7ED8FB9F">
      <w:pPr>
        <w:rPr>
          <w:rFonts w:ascii="宋体" w:hAnsi="宋体" w:cs="宋体"/>
          <w:b/>
          <w:color w:val="000000" w:themeColor="text1"/>
          <w:kern w:val="0"/>
          <w:sz w:val="44"/>
          <w:szCs w:val="44"/>
          <w14:textFill>
            <w14:solidFill>
              <w14:schemeClr w14:val="tx1"/>
            </w14:solidFill>
          </w14:textFill>
        </w:rPr>
      </w:pPr>
      <w:r>
        <w:rPr>
          <w:rFonts w:hint="eastAsia" w:ascii="宋体" w:hAnsi="宋体" w:cs="宋体"/>
          <w:b/>
          <w:color w:val="000000" w:themeColor="text1"/>
          <w:kern w:val="0"/>
          <w:sz w:val="44"/>
          <w:szCs w:val="44"/>
          <w14:textFill>
            <w14:solidFill>
              <w14:schemeClr w14:val="tx1"/>
            </w14:solidFill>
          </w14:textFill>
        </w:rPr>
        <w:br w:type="page"/>
      </w:r>
    </w:p>
    <w:p w14:paraId="5A48BDE9">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附件7：中小企业声明函</w:t>
      </w:r>
    </w:p>
    <w:p w14:paraId="286CA728">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中小企业声明函（货物）</w:t>
      </w:r>
    </w:p>
    <w:p w14:paraId="414A87B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 xml:space="preserve">（采购人） </w:t>
      </w:r>
      <w:r>
        <w:rPr>
          <w:rFonts w:hint="eastAsia" w:ascii="宋体" w:hAnsi="宋体" w:cs="宋体"/>
          <w:color w:val="000000" w:themeColor="text1"/>
          <w:sz w:val="24"/>
          <w14:textFill>
            <w14:solidFill>
              <w14:schemeClr w14:val="tx1"/>
            </w14:solidFill>
          </w14:textFill>
        </w:rPr>
        <w:t xml:space="preserve">的 </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1C8E15A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 xml:space="preserve"> ，属于 </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行业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6341570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 xml:space="preserve"> ，属于 </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行业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52195C6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41F12B8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7470E2F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14:paraId="46B6C1D9">
      <w:pPr>
        <w:snapToGrid w:val="0"/>
        <w:spacing w:line="360" w:lineRule="auto"/>
        <w:ind w:firstLine="5160" w:firstLineChars="215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投标人名称(电子签名)：</w:t>
      </w:r>
    </w:p>
    <w:p w14:paraId="128D6AA4">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14:paraId="03C50143">
      <w:pPr>
        <w:spacing w:line="360" w:lineRule="auto"/>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从业人员、营业收入、资产总额填报上一年度数据。</w:t>
      </w:r>
    </w:p>
    <w:p w14:paraId="53E6FB3A">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14:paraId="282471FE">
      <w:pPr>
        <w:spacing w:line="360" w:lineRule="auto"/>
        <w:ind w:right="420"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p>
    <w:p w14:paraId="46CA6342">
      <w:pPr>
        <w:spacing w:line="360" w:lineRule="auto"/>
        <w:ind w:right="420"/>
        <w:rPr>
          <w:color w:val="000000" w:themeColor="text1"/>
          <w14:textFill>
            <w14:solidFill>
              <w14:schemeClr w14:val="tx1"/>
            </w14:solidFill>
          </w14:textFill>
        </w:rPr>
      </w:pPr>
    </w:p>
    <w:p w14:paraId="3E4E562D">
      <w:pPr>
        <w:spacing w:line="360" w:lineRule="auto"/>
        <w:ind w:right="420" w:firstLine="480" w:firstLineChars="200"/>
        <w:rPr>
          <w:rFonts w:ascii="宋体" w:hAnsi="宋体" w:cs="宋体"/>
          <w:b/>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253DD64">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69D5BF82">
      <w:pPr>
        <w:pStyle w:val="2"/>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附件</w:t>
      </w:r>
      <w:r>
        <w:rPr>
          <w:rFonts w:hint="eastAsia" w:asciiTheme="minorEastAsia" w:hAnsiTheme="minorEastAsia" w:eastAsiaTheme="minorEastAsia" w:cstheme="minorEastAsia"/>
          <w:color w:val="000000" w:themeColor="text1"/>
          <w:lang w:val="en-US"/>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t>样品（演示）授权委托书</w:t>
      </w:r>
    </w:p>
    <w:p w14:paraId="00AD067C">
      <w:pPr>
        <w:jc w:val="center"/>
        <w:rPr>
          <w:color w:val="000000" w:themeColor="text1"/>
          <w:sz w:val="40"/>
          <w14:textFill>
            <w14:solidFill>
              <w14:schemeClr w14:val="tx1"/>
            </w14:solidFill>
          </w14:textFill>
        </w:rPr>
      </w:pPr>
      <w:r>
        <w:rPr>
          <w:rFonts w:hint="eastAsia"/>
          <w:color w:val="000000" w:themeColor="text1"/>
          <w:sz w:val="40"/>
          <w14:textFill>
            <w14:solidFill>
              <w14:schemeClr w14:val="tx1"/>
            </w14:solidFill>
          </w14:textFill>
        </w:rPr>
        <w:t>样品（演示）授权委托书</w:t>
      </w:r>
    </w:p>
    <w:p w14:paraId="124A6E56">
      <w:pPr>
        <w:jc w:val="center"/>
        <w:rPr>
          <w:color w:val="000000" w:themeColor="text1"/>
          <w:sz w:val="40"/>
          <w14:textFill>
            <w14:solidFill>
              <w14:schemeClr w14:val="tx1"/>
            </w14:solidFill>
          </w14:textFill>
        </w:rPr>
      </w:pPr>
    </w:p>
    <w:p w14:paraId="094305BF">
      <w:pPr>
        <w:snapToGrid w:val="0"/>
        <w:spacing w:line="360" w:lineRule="auto"/>
        <w:rPr>
          <w:rFonts w:cs="仿宋"/>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XXX（单位名称或采购机构名称）</w:t>
      </w:r>
      <w:r>
        <w:rPr>
          <w:rFonts w:hint="eastAsia" w:cs="仿宋"/>
          <w:color w:val="000000" w:themeColor="text1"/>
          <w:lang w:val="zh-CN"/>
          <w14:textFill>
            <w14:solidFill>
              <w14:schemeClr w14:val="tx1"/>
            </w14:solidFill>
          </w14:textFill>
        </w:rPr>
        <w:t>：</w:t>
      </w:r>
    </w:p>
    <w:p w14:paraId="74F1C934">
      <w:pPr>
        <w:snapToGrid w:val="0"/>
        <w:spacing w:line="360" w:lineRule="auto"/>
        <w:ind w:left="254" w:leftChars="121" w:firstLine="420" w:firstLineChars="200"/>
        <w:rPr>
          <w:rFonts w:cs="仿宋"/>
          <w:color w:val="000000" w:themeColor="text1"/>
          <w:u w:val="single"/>
          <w:lang w:val="zh-CN"/>
          <w14:textFill>
            <w14:solidFill>
              <w14:schemeClr w14:val="tx1"/>
            </w14:solidFill>
          </w14:textFill>
        </w:rPr>
      </w:pPr>
      <w:r>
        <w:rPr>
          <w:rFonts w:hint="eastAsia" w:cs="仿宋"/>
          <w:color w:val="000000" w:themeColor="text1"/>
          <w:lang w:val="zh-CN"/>
          <w14:textFill>
            <w14:solidFill>
              <w14:schemeClr w14:val="tx1"/>
            </w14:solidFill>
          </w14:textFill>
        </w:rPr>
        <w:t>兹委派</w:t>
      </w:r>
      <w:r>
        <w:rPr>
          <w:rFonts w:hint="eastAsia" w:cs="仿宋"/>
          <w:color w:val="000000" w:themeColor="text1"/>
          <w:u w:val="single"/>
          <w:lang w:val="zh-CN"/>
          <w14:textFill>
            <w14:solidFill>
              <w14:schemeClr w14:val="tx1"/>
            </w14:solidFill>
          </w14:textFill>
        </w:rPr>
        <w:t xml:space="preserve">                </w:t>
      </w:r>
      <w:r>
        <w:rPr>
          <w:rFonts w:hint="eastAsia" w:cs="仿宋"/>
          <w:color w:val="000000" w:themeColor="text1"/>
          <w:lang w:val="zh-CN"/>
          <w14:textFill>
            <w14:solidFill>
              <w14:schemeClr w14:val="tx1"/>
            </w14:solidFill>
          </w14:textFill>
        </w:rPr>
        <w:t>先生/女士，身份证号：</w:t>
      </w:r>
      <w:r>
        <w:rPr>
          <w:rFonts w:hint="eastAsia" w:cs="仿宋"/>
          <w:color w:val="000000" w:themeColor="text1"/>
          <w:u w:val="single"/>
          <w:lang w:val="zh-CN"/>
          <w14:textFill>
            <w14:solidFill>
              <w14:schemeClr w14:val="tx1"/>
            </w14:solidFill>
          </w14:textFill>
        </w:rPr>
        <w:t xml:space="preserve"> </w:t>
      </w:r>
      <w:r>
        <w:rPr>
          <w:rFonts w:cs="仿宋"/>
          <w:color w:val="000000" w:themeColor="text1"/>
          <w:u w:val="single"/>
          <w:lang w:val="zh-CN"/>
          <w14:textFill>
            <w14:solidFill>
              <w14:schemeClr w14:val="tx1"/>
            </w14:solidFill>
          </w14:textFill>
        </w:rPr>
        <w:t xml:space="preserve">                  </w:t>
      </w:r>
    </w:p>
    <w:p w14:paraId="7D4C40D7">
      <w:pPr>
        <w:snapToGrid w:val="0"/>
        <w:spacing w:line="360" w:lineRule="auto"/>
        <w:ind w:left="254" w:leftChars="121" w:firstLine="420" w:firstLineChars="200"/>
        <w:rPr>
          <w:rFonts w:cs="仿宋"/>
          <w:color w:val="000000" w:themeColor="text1"/>
          <w14:textFill>
            <w14:solidFill>
              <w14:schemeClr w14:val="tx1"/>
            </w14:solidFill>
          </w14:textFill>
        </w:rPr>
      </w:pPr>
      <w:r>
        <w:rPr>
          <w:rFonts w:hint="eastAsia" w:cs="仿宋"/>
          <w:color w:val="000000" w:themeColor="text1"/>
          <w:lang w:val="zh-CN"/>
          <w14:textFill>
            <w14:solidFill>
              <w14:schemeClr w14:val="tx1"/>
            </w14:solidFill>
          </w14:textFill>
        </w:rPr>
        <w:t>手机：</w:t>
      </w:r>
      <w:r>
        <w:rPr>
          <w:rFonts w:hint="eastAsia" w:cs="仿宋"/>
          <w:color w:val="000000" w:themeColor="text1"/>
          <w:u w:val="single"/>
          <w:lang w:val="zh-CN"/>
          <w14:textFill>
            <w14:solidFill>
              <w14:schemeClr w14:val="tx1"/>
            </w14:solidFill>
          </w14:textFill>
        </w:rPr>
        <w:t xml:space="preserve">      </w:t>
      </w:r>
      <w:r>
        <w:rPr>
          <w:rFonts w:cs="仿宋"/>
          <w:color w:val="000000" w:themeColor="text1"/>
          <w:u w:val="single"/>
          <w:lang w:val="zh-CN"/>
          <w14:textFill>
            <w14:solidFill>
              <w14:schemeClr w14:val="tx1"/>
            </w14:solidFill>
          </w14:textFill>
        </w:rPr>
        <w:t xml:space="preserve">     </w:t>
      </w:r>
      <w:r>
        <w:rPr>
          <w:rFonts w:hint="eastAsia" w:cs="仿宋"/>
          <w:color w:val="000000" w:themeColor="text1"/>
          <w:u w:val="single"/>
          <w:lang w:val="zh-CN"/>
          <w14:textFill>
            <w14:solidFill>
              <w14:schemeClr w14:val="tx1"/>
            </w14:solidFill>
          </w14:textFill>
        </w:rPr>
        <w:t xml:space="preserve">  </w:t>
      </w:r>
      <w:r>
        <w:rPr>
          <w:rFonts w:hint="eastAsia" w:cs="仿宋"/>
          <w:color w:val="000000" w:themeColor="text1"/>
          <w:lang w:val="zh-CN"/>
          <w14:textFill>
            <w14:solidFill>
              <w14:schemeClr w14:val="tx1"/>
            </w14:solidFill>
          </w14:textFill>
        </w:rPr>
        <w:t>，代表我公司前来递交</w:t>
      </w:r>
      <w:r>
        <w:rPr>
          <w:rFonts w:cs="仿宋"/>
          <w:color w:val="000000" w:themeColor="text1"/>
          <w:u w:val="single"/>
          <w:lang w:val="zh-CN"/>
          <w14:textFill>
            <w14:solidFill>
              <w14:schemeClr w14:val="tx1"/>
            </w14:solidFill>
          </w14:textFill>
        </w:rPr>
        <w:t xml:space="preserve">                           </w:t>
      </w:r>
      <w:r>
        <w:rPr>
          <w:rFonts w:hint="eastAsia" w:cs="仿宋"/>
          <w:color w:val="000000" w:themeColor="text1"/>
          <w:u w:val="single"/>
          <w:lang w:val="zh-CN"/>
          <w14:textFill>
            <w14:solidFill>
              <w14:schemeClr w14:val="tx1"/>
            </w14:solidFill>
          </w14:textFill>
        </w:rPr>
        <w:t>采购项目</w:t>
      </w:r>
      <w:r>
        <w:rPr>
          <w:rFonts w:hint="eastAsia" w:cs="仿宋"/>
          <w:color w:val="000000" w:themeColor="text1"/>
          <w:lang w:val="zh-CN"/>
          <w14:textFill>
            <w14:solidFill>
              <w14:schemeClr w14:val="tx1"/>
            </w14:solidFill>
          </w14:textFill>
        </w:rPr>
        <w:t>【项目编号：</w:t>
      </w:r>
      <w:r>
        <w:rPr>
          <w:rFonts w:cs="仿宋"/>
          <w:color w:val="000000" w:themeColor="text1"/>
          <w:lang w:val="zh-CN"/>
          <w14:textFill>
            <w14:solidFill>
              <w14:schemeClr w14:val="tx1"/>
            </w14:solidFill>
          </w14:textFill>
        </w:rPr>
        <w:t xml:space="preserve">              </w:t>
      </w:r>
      <w:r>
        <w:rPr>
          <w:rFonts w:hint="eastAsia" w:cs="仿宋"/>
          <w:color w:val="000000" w:themeColor="text1"/>
          <w:lang w:val="zh-CN"/>
          <w14:textFill>
            <w14:solidFill>
              <w14:schemeClr w14:val="tx1"/>
            </w14:solidFill>
          </w14:textFill>
        </w:rPr>
        <w:t xml:space="preserve">】（标项号： </w:t>
      </w:r>
      <w:r>
        <w:rPr>
          <w:rFonts w:cs="仿宋"/>
          <w:color w:val="000000" w:themeColor="text1"/>
          <w:lang w:val="zh-CN"/>
          <w14:textFill>
            <w14:solidFill>
              <w14:schemeClr w14:val="tx1"/>
            </w14:solidFill>
          </w14:textFill>
        </w:rPr>
        <w:t xml:space="preserve"> </w:t>
      </w:r>
      <w:r>
        <w:rPr>
          <w:rFonts w:hint="eastAsia" w:cs="仿宋"/>
          <w:color w:val="000000" w:themeColor="text1"/>
          <w:lang w:val="zh-CN"/>
          <w14:textFill>
            <w14:solidFill>
              <w14:schemeClr w14:val="tx1"/>
            </w14:solidFill>
          </w14:textFill>
        </w:rPr>
        <w:t>）投标样品或参加演示，并全权负责标后取回样品等其他处理事宜。</w:t>
      </w:r>
    </w:p>
    <w:p w14:paraId="2C26C254">
      <w:pPr>
        <w:snapToGrid w:val="0"/>
        <w:spacing w:line="360" w:lineRule="auto"/>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 xml:space="preserve">  </w:t>
      </w:r>
    </w:p>
    <w:p w14:paraId="020ECDE0">
      <w:pPr>
        <w:snapToGrid w:val="0"/>
        <w:spacing w:line="360" w:lineRule="auto"/>
        <w:rPr>
          <w:rFonts w:cs="仿宋"/>
          <w:color w:val="000000" w:themeColor="text1"/>
          <w14:textFill>
            <w14:solidFill>
              <w14:schemeClr w14:val="tx1"/>
            </w14:solidFill>
          </w14:textFill>
        </w:rPr>
      </w:pPr>
      <w:r>
        <w:rPr>
          <w:rFonts w:hint="eastAsia" w:cs="仿宋"/>
          <w:color w:val="000000" w:themeColor="text1"/>
          <w:lang w:val="zh-CN"/>
          <w14:textFill>
            <w14:solidFill>
              <w14:schemeClr w14:val="tx1"/>
            </w14:solidFill>
          </w14:textFill>
        </w:rPr>
        <w:t xml:space="preserve">    特此告知。</w:t>
      </w:r>
    </w:p>
    <w:p w14:paraId="52BEBC32">
      <w:pPr>
        <w:snapToGrid w:val="0"/>
        <w:spacing w:line="360" w:lineRule="auto"/>
        <w:rPr>
          <w:rFonts w:cs="仿宋"/>
          <w:color w:val="000000" w:themeColor="text1"/>
          <w14:textFill>
            <w14:solidFill>
              <w14:schemeClr w14:val="tx1"/>
            </w14:solidFill>
          </w14:textFill>
        </w:rPr>
      </w:pPr>
      <w:r>
        <w:rPr>
          <w:rFonts w:hint="eastAsia" w:cs="仿宋"/>
          <w:color w:val="000000" w:themeColor="text1"/>
          <w:lang w:val="zh-CN"/>
          <w14:textFill>
            <w14:solidFill>
              <w14:schemeClr w14:val="tx1"/>
            </w14:solidFill>
          </w14:textFill>
        </w:rPr>
        <w:t xml:space="preserve">                                                  投标人名称(公章)：</w:t>
      </w:r>
    </w:p>
    <w:p w14:paraId="29D24F25">
      <w:pPr>
        <w:snapToGrid w:val="0"/>
        <w:spacing w:line="360" w:lineRule="auto"/>
        <w:rPr>
          <w:rFonts w:cs="仿宋"/>
          <w:color w:val="000000" w:themeColor="text1"/>
          <w14:textFill>
            <w14:solidFill>
              <w14:schemeClr w14:val="tx1"/>
            </w14:solidFill>
          </w14:textFill>
        </w:rPr>
      </w:pPr>
      <w:r>
        <w:rPr>
          <w:rFonts w:hint="eastAsia" w:cs="仿宋"/>
          <w:color w:val="000000" w:themeColor="text1"/>
          <w:lang w:val="zh-CN"/>
          <w14:textFill>
            <w14:solidFill>
              <w14:schemeClr w14:val="tx1"/>
            </w14:solidFill>
          </w14:textFill>
        </w:rPr>
        <w:t xml:space="preserve">                                                  </w:t>
      </w:r>
    </w:p>
    <w:p w14:paraId="54E89263">
      <w:pPr>
        <w:snapToGrid w:val="0"/>
        <w:spacing w:line="360" w:lineRule="auto"/>
        <w:ind w:right="240"/>
        <w:jc w:val="right"/>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签发日期：  年  月   日</w:t>
      </w:r>
    </w:p>
    <w:p w14:paraId="00DECCFB">
      <w:pPr>
        <w:snapToGrid w:val="0"/>
        <w:spacing w:line="360" w:lineRule="auto"/>
        <w:ind w:right="240"/>
        <w:jc w:val="right"/>
        <w:rPr>
          <w:rFonts w:cs="仿宋"/>
          <w:color w:val="000000" w:themeColor="text1"/>
          <w:lang w:val="zh-CN"/>
          <w14:textFill>
            <w14:solidFill>
              <w14:schemeClr w14:val="tx1"/>
            </w14:solidFill>
          </w14:textFill>
        </w:rPr>
      </w:pPr>
    </w:p>
    <w:p w14:paraId="6C444076">
      <w:pPr>
        <w:snapToGrid w:val="0"/>
        <w:spacing w:line="360" w:lineRule="auto"/>
        <w:ind w:right="1920"/>
        <w:rPr>
          <w:rFonts w:cs="仿宋"/>
          <w:color w:val="000000" w:themeColor="text1"/>
          <w:lang w:val="zh-CN"/>
          <w14:textFill>
            <w14:solidFill>
              <w14:schemeClr w14:val="tx1"/>
            </w14:solidFill>
          </w14:textFill>
        </w:rPr>
      </w:pPr>
    </w:p>
    <w:p w14:paraId="6DDBD860">
      <w:pPr>
        <w:snapToGrid w:val="0"/>
        <w:spacing w:line="360" w:lineRule="auto"/>
        <w:ind w:right="240"/>
        <w:jc w:val="right"/>
        <w:rPr>
          <w:rFonts w:cs="仿宋"/>
          <w:color w:val="000000" w:themeColor="text1"/>
          <w:lang w:val="zh-CN"/>
          <w14:textFill>
            <w14:solidFill>
              <w14:schemeClr w14:val="tx1"/>
            </w14:solidFill>
          </w14:textFill>
        </w:rPr>
      </w:pPr>
    </w:p>
    <w:p w14:paraId="50E8C7EF">
      <w:pPr>
        <w:snapToGrid w:val="0"/>
        <w:spacing w:line="360" w:lineRule="auto"/>
        <w:ind w:right="240"/>
        <w:rPr>
          <w:rFonts w:cs="仿宋"/>
          <w:color w:val="000000" w:themeColor="text1"/>
          <w:lang w:val="zh-CN"/>
          <w14:textFill>
            <w14:solidFill>
              <w14:schemeClr w14:val="tx1"/>
            </w14:solidFill>
          </w14:textFill>
        </w:rPr>
      </w:pPr>
      <w:r>
        <w:rPr>
          <w:rFonts w:hint="eastAsia" w:cs="仿宋"/>
          <w:color w:val="000000" w:themeColor="text1"/>
          <w14:textFill>
            <w14:solidFill>
              <w14:schemeClr w14:val="tx1"/>
            </w14:solidFill>
          </w14:textFill>
        </w:rPr>
        <w:t>受委托人</w:t>
      </w:r>
      <w:r>
        <w:rPr>
          <w:rFonts w:hint="eastAsia" w:cs="仿宋"/>
          <w:color w:val="000000" w:themeColor="text1"/>
          <w:lang w:val="zh-CN"/>
          <w14:textFill>
            <w14:solidFill>
              <w14:schemeClr w14:val="tx1"/>
            </w14:solidFill>
          </w14:textFill>
        </w:rPr>
        <w:t>身份证复印件：</w:t>
      </w:r>
    </w:p>
    <w:p w14:paraId="18FBA639">
      <w:pPr>
        <w:snapToGrid w:val="0"/>
        <w:spacing w:line="360" w:lineRule="auto"/>
        <w:ind w:right="240"/>
        <w:rPr>
          <w:rFonts w:cs="仿宋"/>
          <w:color w:val="000000" w:themeColor="text1"/>
          <w:lang w:val="zh-CN"/>
          <w14:textFill>
            <w14:solidFill>
              <w14:schemeClr w14:val="tx1"/>
            </w14:solidFill>
          </w14:textFill>
        </w:rPr>
      </w:pPr>
    </w:p>
    <w:p w14:paraId="745C9CDB">
      <w:pPr>
        <w:snapToGrid w:val="0"/>
        <w:spacing w:line="360" w:lineRule="auto"/>
        <w:ind w:right="240"/>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说明：本委托书在有样品或演示时由受委托人携带至指定地点。</w:t>
      </w:r>
    </w:p>
    <w:p w14:paraId="3EB9E46D">
      <w:pPr>
        <w:spacing w:line="360" w:lineRule="auto"/>
        <w:rPr>
          <w:rFonts w:cs="仿宋_GB2312"/>
          <w:b/>
          <w:color w:val="000000" w:themeColor="text1"/>
          <w14:textFill>
            <w14:solidFill>
              <w14:schemeClr w14:val="tx1"/>
            </w14:solidFill>
          </w14:textFill>
        </w:rPr>
      </w:pPr>
      <w:r>
        <w:rPr>
          <w:rFonts w:cs="仿宋_GB2312"/>
          <w:b/>
          <w:color w:val="000000" w:themeColor="text1"/>
          <w14:textFill>
            <w14:solidFill>
              <w14:schemeClr w14:val="tx1"/>
            </w14:solidFill>
          </w14:textFill>
        </w:rPr>
        <w:t>同时有样品和演示的</w:t>
      </w:r>
      <w:r>
        <w:rPr>
          <w:rFonts w:hint="eastAsia" w:cs="仿宋_GB2312"/>
          <w:b/>
          <w:color w:val="000000" w:themeColor="text1"/>
          <w14:textFill>
            <w14:solidFill>
              <w14:schemeClr w14:val="tx1"/>
            </w14:solidFill>
          </w14:textFill>
        </w:rPr>
        <w:t>，</w:t>
      </w:r>
      <w:r>
        <w:rPr>
          <w:rFonts w:cs="仿宋_GB2312"/>
          <w:b/>
          <w:color w:val="000000" w:themeColor="text1"/>
          <w14:textFill>
            <w14:solidFill>
              <w14:schemeClr w14:val="tx1"/>
            </w14:solidFill>
          </w14:textFill>
        </w:rPr>
        <w:t>可委托不同人员</w:t>
      </w:r>
      <w:r>
        <w:rPr>
          <w:rFonts w:hint="eastAsia" w:cs="仿宋_GB2312"/>
          <w:b/>
          <w:color w:val="000000" w:themeColor="text1"/>
          <w14:textFill>
            <w14:solidFill>
              <w14:schemeClr w14:val="tx1"/>
            </w14:solidFill>
          </w14:textFill>
        </w:rPr>
        <w:t>。</w:t>
      </w:r>
    </w:p>
    <w:p w14:paraId="3E79AB5A">
      <w:pPr>
        <w:spacing w:line="360" w:lineRule="auto"/>
        <w:rPr>
          <w:rFonts w:ascii="宋体" w:hAnsi="宋体" w:cs="宋体"/>
          <w:b/>
          <w:color w:val="000000" w:themeColor="text1"/>
          <w:sz w:val="32"/>
          <w:szCs w:val="32"/>
          <w14:textFill>
            <w14:solidFill>
              <w14:schemeClr w14:val="tx1"/>
            </w14:solidFill>
          </w14:textFill>
        </w:rPr>
      </w:pPr>
    </w:p>
    <w:p w14:paraId="3BE0C3AD">
      <w:pPr>
        <w:spacing w:line="360" w:lineRule="auto"/>
        <w:rPr>
          <w:rFonts w:ascii="宋体" w:hAnsi="宋体" w:cs="宋体"/>
          <w:b/>
          <w:color w:val="000000" w:themeColor="text1"/>
          <w:sz w:val="32"/>
          <w:szCs w:val="32"/>
          <w14:textFill>
            <w14:solidFill>
              <w14:schemeClr w14:val="tx1"/>
            </w14:solidFill>
          </w14:textFill>
        </w:rPr>
      </w:pPr>
    </w:p>
    <w:p w14:paraId="28418D29">
      <w:pPr>
        <w:spacing w:line="360" w:lineRule="auto"/>
        <w:jc w:val="center"/>
        <w:rPr>
          <w:rFonts w:ascii="宋体" w:hAnsi="宋体" w:cs="宋体"/>
          <w:b/>
          <w:color w:val="000000" w:themeColor="text1"/>
          <w:sz w:val="32"/>
          <w:szCs w:val="32"/>
          <w14:textFill>
            <w14:solidFill>
              <w14:schemeClr w14:val="tx1"/>
            </w14:solidFill>
          </w14:textFill>
        </w:rPr>
      </w:pPr>
    </w:p>
    <w:p w14:paraId="0619ECD0">
      <w:pPr>
        <w:spacing w:line="360" w:lineRule="auto"/>
        <w:rPr>
          <w:rFonts w:ascii="宋体" w:hAnsi="宋体" w:cs="宋体"/>
          <w:bCs/>
          <w:color w:val="000000" w:themeColor="text1"/>
          <w:sz w:val="24"/>
          <w14:textFill>
            <w14:solidFill>
              <w14:schemeClr w14:val="tx1"/>
            </w14:solidFill>
          </w14:textFill>
        </w:rPr>
      </w:pPr>
    </w:p>
    <w:sectPr>
      <w:headerReference r:id="rId14" w:type="first"/>
      <w:footerReference r:id="rId17" w:type="first"/>
      <w:headerReference r:id="rId13" w:type="default"/>
      <w:footerReference r:id="rId15" w:type="default"/>
      <w:footerReference r:id="rId1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42B8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DD443">
    <w:pPr>
      <w:pStyle w:val="39"/>
      <w:framePr w:wrap="around" w:vAnchor="text" w:hAnchor="margin" w:xAlign="right" w:y="1"/>
      <w:rPr>
        <w:rStyle w:val="72"/>
      </w:rPr>
    </w:pPr>
    <w:r>
      <w:fldChar w:fldCharType="begin"/>
    </w:r>
    <w:r>
      <w:rPr>
        <w:rStyle w:val="72"/>
      </w:rPr>
      <w:instrText xml:space="preserve">PAGE  </w:instrText>
    </w:r>
    <w:r>
      <w:fldChar w:fldCharType="end"/>
    </w:r>
  </w:p>
  <w:p w14:paraId="05D15902">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E1B0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4FA5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5401E2C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6181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22A4AF6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B9BC0">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6951E">
    <w:pPr>
      <w:pStyle w:val="39"/>
      <w:framePr w:wrap="around" w:vAnchor="text" w:hAnchor="margin" w:xAlign="right" w:y="1"/>
      <w:rPr>
        <w:rStyle w:val="72"/>
      </w:rPr>
    </w:pPr>
    <w:r>
      <w:fldChar w:fldCharType="begin"/>
    </w:r>
    <w:r>
      <w:rPr>
        <w:rStyle w:val="72"/>
      </w:rPr>
      <w:instrText xml:space="preserve">PAGE  </w:instrText>
    </w:r>
    <w:r>
      <w:fldChar w:fldCharType="end"/>
    </w:r>
  </w:p>
  <w:p w14:paraId="52F54070">
    <w:pPr>
      <w:pStyle w:val="3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19808">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bookmarkStart w:id="551" w:name="_Toc131845147"/>
    <w:bookmarkStart w:id="552" w:name="_Toc91899912"/>
    <w:bookmarkStart w:id="553" w:name="_Toc164085800"/>
    <w:bookmarkStart w:id="554" w:name="_Toc36110187"/>
    <w:r>
      <w:rPr>
        <w:rFonts w:hint="eastAsia" w:ascii="仿宋_GB2312" w:eastAsia="仿宋_GB2312"/>
        <w:kern w:val="0"/>
        <w:szCs w:val="21"/>
      </w:rPr>
      <w:t xml:space="preserve"> 页</w:t>
    </w:r>
    <w:bookmarkEnd w:id="551"/>
    <w:bookmarkEnd w:id="552"/>
    <w:bookmarkEnd w:id="553"/>
    <w:bookmarkEnd w:id="55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69E8F">
    <w:pPr>
      <w:pStyle w:val="40"/>
      <w:pBdr>
        <w:bottom w:val="single" w:color="auto" w:sz="6" w:space="4"/>
      </w:pBdr>
      <w:jc w:val="right"/>
    </w:pPr>
    <w:r>
      <w:t></w:t>
    </w:r>
    <w:r>
      <w:rPr>
        <w:rFonts w:hint="eastAsia"/>
      </w:rPr>
      <w:t xml:space="preserve">             </w:t>
    </w:r>
    <w:r>
      <w:t>杭州市政府采购公开招标文件</w:t>
    </w:r>
  </w:p>
  <w:p w14:paraId="4090E508">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B285C">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D6D70">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DBCF3">
    <w:pPr>
      <w:pStyle w:val="40"/>
      <w:jc w:val="right"/>
      <w:rPr>
        <w:rFonts w:ascii="仿宋_GB2312" w:eastAsia="仿宋_GB2312"/>
        <w:b/>
        <w:i/>
        <w:u w:val="single"/>
      </w:rPr>
    </w:pPr>
    <w:r>
      <w:rPr>
        <w:rFonts w:hint="eastAsia"/>
      </w:rPr>
      <w:t xml:space="preserve">                                  </w:t>
    </w:r>
    <w:r>
      <w:t>杭州市政府采购公开招标文件</w:t>
    </w:r>
  </w:p>
  <w:p w14:paraId="32EF0DC8">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0FCB2">
    <w:pPr>
      <w:pStyle w:val="40"/>
      <w:jc w:val="right"/>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68636">
    <w:pPr>
      <w:pStyle w:val="40"/>
      <w:jc w:val="right"/>
      <w:rPr>
        <w:rFonts w:ascii="仿宋_GB2312" w:eastAsia="仿宋_GB2312"/>
        <w:b/>
        <w:i/>
        <w:iCs/>
        <w:u w:val="single"/>
      </w:rPr>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76A05">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7498BB"/>
    <w:multiLevelType w:val="singleLevel"/>
    <w:tmpl w:val="D57498BB"/>
    <w:lvl w:ilvl="0" w:tentative="0">
      <w:start w:val="2"/>
      <w:numFmt w:val="decimal"/>
      <w:suff w:val="space"/>
      <w:lvlText w:val="%1."/>
      <w:lvlJc w:val="left"/>
    </w:lvl>
  </w:abstractNum>
  <w:abstractNum w:abstractNumId="2">
    <w:nsid w:val="EFBE0E82"/>
    <w:multiLevelType w:val="singleLevel"/>
    <w:tmpl w:val="EFBE0E82"/>
    <w:lvl w:ilvl="0" w:tentative="0">
      <w:start w:val="16"/>
      <w:numFmt w:val="decimal"/>
      <w:suff w:val="space"/>
      <w:lvlText w:val="%1."/>
      <w:lvlJc w:val="left"/>
    </w:lvl>
  </w:abstractNum>
  <w:abstractNum w:abstractNumId="3">
    <w:nsid w:val="F79E0EA8"/>
    <w:multiLevelType w:val="singleLevel"/>
    <w:tmpl w:val="F79E0EA8"/>
    <w:lvl w:ilvl="0" w:tentative="0">
      <w:start w:val="13"/>
      <w:numFmt w:val="decimal"/>
      <w:suff w:val="space"/>
      <w:lvlText w:val="%1."/>
      <w:lvlJc w:val="left"/>
    </w:lvl>
  </w:abstractNum>
  <w:abstractNum w:abstractNumId="4">
    <w:nsid w:val="FEBA56D7"/>
    <w:multiLevelType w:val="singleLevel"/>
    <w:tmpl w:val="FEBA56D7"/>
    <w:lvl w:ilvl="0" w:tentative="0">
      <w:start w:val="1"/>
      <w:numFmt w:val="chineseCounting"/>
      <w:suff w:val="space"/>
      <w:lvlText w:val="第%1部分"/>
      <w:lvlJc w:val="left"/>
      <w:rPr>
        <w:rFonts w:hint="eastAsia"/>
      </w:rPr>
    </w:lvl>
  </w:abstractNum>
  <w:abstractNum w:abstractNumId="5">
    <w:nsid w:val="269B238A"/>
    <w:multiLevelType w:val="singleLevel"/>
    <w:tmpl w:val="269B238A"/>
    <w:lvl w:ilvl="0" w:tentative="0">
      <w:start w:val="2"/>
      <w:numFmt w:val="decimal"/>
      <w:suff w:val="nothing"/>
      <w:lvlText w:val="%1、"/>
      <w:lvlJc w:val="left"/>
    </w:lvl>
  </w:abstractNum>
  <w:abstractNum w:abstractNumId="6">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47E828B"/>
    <w:multiLevelType w:val="singleLevel"/>
    <w:tmpl w:val="447E828B"/>
    <w:lvl w:ilvl="0" w:tentative="0">
      <w:start w:val="1"/>
      <w:numFmt w:val="decimal"/>
      <w:suff w:val="nothing"/>
      <w:lvlText w:val="%1、"/>
      <w:lvlJc w:val="left"/>
    </w:lvl>
  </w:abstractNum>
  <w:abstractNum w:abstractNumId="8">
    <w:nsid w:val="57FF7EC6"/>
    <w:multiLevelType w:val="singleLevel"/>
    <w:tmpl w:val="57FF7EC6"/>
    <w:lvl w:ilvl="0" w:tentative="0">
      <w:start w:val="15"/>
      <w:numFmt w:val="decimal"/>
      <w:suff w:val="space"/>
      <w:lvlText w:val="%1."/>
      <w:lvlJc w:val="left"/>
    </w:lvl>
  </w:abstractNum>
  <w:abstractNum w:abstractNumId="9">
    <w:nsid w:val="5FD7E001"/>
    <w:multiLevelType w:val="singleLevel"/>
    <w:tmpl w:val="5FD7E001"/>
    <w:lvl w:ilvl="0" w:tentative="0">
      <w:start w:val="27"/>
      <w:numFmt w:val="decimal"/>
      <w:suff w:val="space"/>
      <w:lvlText w:val="%1."/>
      <w:lvlJc w:val="left"/>
      <w:rPr>
        <w:rFonts w:hint="default" w:asciiTheme="minorEastAsia" w:hAnsiTheme="minorEastAsia" w:eastAsiaTheme="minorEastAsia" w:cstheme="minorEastAsia"/>
        <w:sz w:val="24"/>
        <w:szCs w:val="24"/>
      </w:rPr>
    </w:lvl>
  </w:abstractNum>
  <w:num w:numId="1">
    <w:abstractNumId w:val="1"/>
  </w:num>
  <w:num w:numId="2">
    <w:abstractNumId w:val="3"/>
  </w:num>
  <w:num w:numId="3">
    <w:abstractNumId w:val="8"/>
  </w:num>
  <w:num w:numId="4">
    <w:abstractNumId w:val="2"/>
  </w:num>
  <w:num w:numId="5">
    <w:abstractNumId w:val="0"/>
  </w:num>
  <w:num w:numId="6">
    <w:abstractNumId w:val="9"/>
  </w:num>
  <w:num w:numId="7">
    <w:abstractNumId w:val="6"/>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52B"/>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022"/>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08E"/>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EBA"/>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0C88"/>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CD3"/>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B74E41"/>
    <w:rsid w:val="03DD35E4"/>
    <w:rsid w:val="04076900"/>
    <w:rsid w:val="041A5A3B"/>
    <w:rsid w:val="042311BA"/>
    <w:rsid w:val="042B157A"/>
    <w:rsid w:val="04824B9E"/>
    <w:rsid w:val="048F763B"/>
    <w:rsid w:val="049F330E"/>
    <w:rsid w:val="04AA775C"/>
    <w:rsid w:val="04AF1889"/>
    <w:rsid w:val="04F66F48"/>
    <w:rsid w:val="05251E14"/>
    <w:rsid w:val="05A16594"/>
    <w:rsid w:val="05A33A8F"/>
    <w:rsid w:val="05A7762D"/>
    <w:rsid w:val="060E5941"/>
    <w:rsid w:val="06110FAF"/>
    <w:rsid w:val="06493CA7"/>
    <w:rsid w:val="065A6178"/>
    <w:rsid w:val="066F1CF3"/>
    <w:rsid w:val="06930BB8"/>
    <w:rsid w:val="06A9235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C6AD8"/>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6B6959"/>
    <w:rsid w:val="139B1A0A"/>
    <w:rsid w:val="139D25C7"/>
    <w:rsid w:val="13BF3CE4"/>
    <w:rsid w:val="141008D8"/>
    <w:rsid w:val="14125FE6"/>
    <w:rsid w:val="1415556D"/>
    <w:rsid w:val="146D271E"/>
    <w:rsid w:val="14982588"/>
    <w:rsid w:val="149A5AD9"/>
    <w:rsid w:val="14A7619D"/>
    <w:rsid w:val="150536C3"/>
    <w:rsid w:val="150C1963"/>
    <w:rsid w:val="151447A0"/>
    <w:rsid w:val="154A6454"/>
    <w:rsid w:val="15762120"/>
    <w:rsid w:val="16A8729C"/>
    <w:rsid w:val="16B33777"/>
    <w:rsid w:val="16BC70A7"/>
    <w:rsid w:val="16C6339E"/>
    <w:rsid w:val="16D9376D"/>
    <w:rsid w:val="172F2D79"/>
    <w:rsid w:val="17557BEF"/>
    <w:rsid w:val="17D349C1"/>
    <w:rsid w:val="18244F26"/>
    <w:rsid w:val="1830729E"/>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5D622D"/>
    <w:rsid w:val="208921B3"/>
    <w:rsid w:val="208C266E"/>
    <w:rsid w:val="208D5628"/>
    <w:rsid w:val="20973DEB"/>
    <w:rsid w:val="20B26522"/>
    <w:rsid w:val="20B44310"/>
    <w:rsid w:val="211116EB"/>
    <w:rsid w:val="216133FC"/>
    <w:rsid w:val="21D56769"/>
    <w:rsid w:val="21E52EF3"/>
    <w:rsid w:val="21FB5D7B"/>
    <w:rsid w:val="22015E94"/>
    <w:rsid w:val="220B1C3D"/>
    <w:rsid w:val="221D1D20"/>
    <w:rsid w:val="22334A87"/>
    <w:rsid w:val="227A4A01"/>
    <w:rsid w:val="22BE6801"/>
    <w:rsid w:val="233500BF"/>
    <w:rsid w:val="23377FF7"/>
    <w:rsid w:val="236B425F"/>
    <w:rsid w:val="23836192"/>
    <w:rsid w:val="23901F29"/>
    <w:rsid w:val="239C0061"/>
    <w:rsid w:val="23B908A4"/>
    <w:rsid w:val="23BA7198"/>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310D09"/>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67BCF"/>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BF92F32"/>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BD40A5"/>
    <w:rsid w:val="2FD25781"/>
    <w:rsid w:val="2FDC745C"/>
    <w:rsid w:val="2FFD7934"/>
    <w:rsid w:val="30733ACD"/>
    <w:rsid w:val="308C3862"/>
    <w:rsid w:val="309379D8"/>
    <w:rsid w:val="30A270F7"/>
    <w:rsid w:val="30DF1478"/>
    <w:rsid w:val="30EC586F"/>
    <w:rsid w:val="310E70FE"/>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653C5C"/>
    <w:rsid w:val="358D5588"/>
    <w:rsid w:val="359327BC"/>
    <w:rsid w:val="363A3B40"/>
    <w:rsid w:val="365302AE"/>
    <w:rsid w:val="36607A0A"/>
    <w:rsid w:val="366E227C"/>
    <w:rsid w:val="366F2E0D"/>
    <w:rsid w:val="367B6A5C"/>
    <w:rsid w:val="36A74ADA"/>
    <w:rsid w:val="36AD60D5"/>
    <w:rsid w:val="36B224F9"/>
    <w:rsid w:val="36EC0CC9"/>
    <w:rsid w:val="373F410B"/>
    <w:rsid w:val="376D4844"/>
    <w:rsid w:val="37EE7094"/>
    <w:rsid w:val="37FD3DDA"/>
    <w:rsid w:val="38296C89"/>
    <w:rsid w:val="383002EB"/>
    <w:rsid w:val="38586797"/>
    <w:rsid w:val="385D15DF"/>
    <w:rsid w:val="38BC0149"/>
    <w:rsid w:val="38D87D1C"/>
    <w:rsid w:val="39636459"/>
    <w:rsid w:val="396B7F6C"/>
    <w:rsid w:val="39B417A9"/>
    <w:rsid w:val="39EF48D5"/>
    <w:rsid w:val="39FC5695"/>
    <w:rsid w:val="3A006D8E"/>
    <w:rsid w:val="3A136626"/>
    <w:rsid w:val="3A1E0383"/>
    <w:rsid w:val="3A3651E5"/>
    <w:rsid w:val="3A744481"/>
    <w:rsid w:val="3A8C7BEF"/>
    <w:rsid w:val="3A906246"/>
    <w:rsid w:val="3B2349B7"/>
    <w:rsid w:val="3B616CFF"/>
    <w:rsid w:val="3B6259F6"/>
    <w:rsid w:val="3B976654"/>
    <w:rsid w:val="3BC01EFC"/>
    <w:rsid w:val="3BCA786A"/>
    <w:rsid w:val="3BD31E2F"/>
    <w:rsid w:val="3BF15831"/>
    <w:rsid w:val="3C0331F7"/>
    <w:rsid w:val="3C105946"/>
    <w:rsid w:val="3C471448"/>
    <w:rsid w:val="3C5F759A"/>
    <w:rsid w:val="3C6C525A"/>
    <w:rsid w:val="3CCE23CB"/>
    <w:rsid w:val="3CD17D17"/>
    <w:rsid w:val="3D3C7F39"/>
    <w:rsid w:val="3D440F09"/>
    <w:rsid w:val="3D4504A0"/>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F65D3"/>
    <w:rsid w:val="4019356B"/>
    <w:rsid w:val="40592157"/>
    <w:rsid w:val="406E1CAE"/>
    <w:rsid w:val="40A0133A"/>
    <w:rsid w:val="40C31A53"/>
    <w:rsid w:val="40FE01E6"/>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6D6532"/>
    <w:rsid w:val="4CB6685F"/>
    <w:rsid w:val="4CC367FE"/>
    <w:rsid w:val="4D077F3C"/>
    <w:rsid w:val="4D123355"/>
    <w:rsid w:val="4D24529F"/>
    <w:rsid w:val="4D2A3B31"/>
    <w:rsid w:val="4D312C52"/>
    <w:rsid w:val="4D651AB1"/>
    <w:rsid w:val="4D905305"/>
    <w:rsid w:val="4D964A72"/>
    <w:rsid w:val="4D9C1254"/>
    <w:rsid w:val="4E793892"/>
    <w:rsid w:val="4E800872"/>
    <w:rsid w:val="4EC569ED"/>
    <w:rsid w:val="4ED50EA1"/>
    <w:rsid w:val="4EEC050C"/>
    <w:rsid w:val="4F104EC3"/>
    <w:rsid w:val="4F47354A"/>
    <w:rsid w:val="4F911C54"/>
    <w:rsid w:val="4FBF1507"/>
    <w:rsid w:val="4FE625E0"/>
    <w:rsid w:val="5021480F"/>
    <w:rsid w:val="50962ECB"/>
    <w:rsid w:val="50A42E38"/>
    <w:rsid w:val="50A4577F"/>
    <w:rsid w:val="50B02188"/>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794678"/>
    <w:rsid w:val="5397158E"/>
    <w:rsid w:val="53A72B6C"/>
    <w:rsid w:val="54013861"/>
    <w:rsid w:val="54487265"/>
    <w:rsid w:val="544D6070"/>
    <w:rsid w:val="54544735"/>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B338B"/>
    <w:rsid w:val="565F5B54"/>
    <w:rsid w:val="566B6D1E"/>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E71988"/>
    <w:rsid w:val="5B2E1A1D"/>
    <w:rsid w:val="5B843A1C"/>
    <w:rsid w:val="5B873E3F"/>
    <w:rsid w:val="5C02690E"/>
    <w:rsid w:val="5C196DA7"/>
    <w:rsid w:val="5C2A048C"/>
    <w:rsid w:val="5C327B4C"/>
    <w:rsid w:val="5C80234E"/>
    <w:rsid w:val="5C8A680C"/>
    <w:rsid w:val="5D0C4701"/>
    <w:rsid w:val="5D0F0395"/>
    <w:rsid w:val="5D1DE5DA"/>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482646"/>
    <w:rsid w:val="5F6277C6"/>
    <w:rsid w:val="5F6D0B1D"/>
    <w:rsid w:val="5F7B12E5"/>
    <w:rsid w:val="5F8D0B82"/>
    <w:rsid w:val="5FA40637"/>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C64CD9"/>
    <w:rsid w:val="61D01217"/>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C1CF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2A7D94"/>
    <w:rsid w:val="6F8331F1"/>
    <w:rsid w:val="6FAE1A09"/>
    <w:rsid w:val="6FD75BF8"/>
    <w:rsid w:val="70713D1E"/>
    <w:rsid w:val="707723D0"/>
    <w:rsid w:val="70F5661B"/>
    <w:rsid w:val="71360107"/>
    <w:rsid w:val="713B688E"/>
    <w:rsid w:val="719F449E"/>
    <w:rsid w:val="71D43752"/>
    <w:rsid w:val="71F1796A"/>
    <w:rsid w:val="71F7F5A0"/>
    <w:rsid w:val="72154626"/>
    <w:rsid w:val="72262B5D"/>
    <w:rsid w:val="72283FF7"/>
    <w:rsid w:val="722E7212"/>
    <w:rsid w:val="723A0474"/>
    <w:rsid w:val="725923E4"/>
    <w:rsid w:val="72864BF7"/>
    <w:rsid w:val="729023FC"/>
    <w:rsid w:val="72FD2525"/>
    <w:rsid w:val="73C0646E"/>
    <w:rsid w:val="742222F5"/>
    <w:rsid w:val="74476126"/>
    <w:rsid w:val="74706664"/>
    <w:rsid w:val="747F3682"/>
    <w:rsid w:val="749C4185"/>
    <w:rsid w:val="74C257AA"/>
    <w:rsid w:val="75067759"/>
    <w:rsid w:val="751002ED"/>
    <w:rsid w:val="752E6DCD"/>
    <w:rsid w:val="7551380D"/>
    <w:rsid w:val="75600BE5"/>
    <w:rsid w:val="7564475C"/>
    <w:rsid w:val="7583797F"/>
    <w:rsid w:val="75D20F1D"/>
    <w:rsid w:val="75DA2C18"/>
    <w:rsid w:val="75F54412"/>
    <w:rsid w:val="761D08E0"/>
    <w:rsid w:val="765D347C"/>
    <w:rsid w:val="76826699"/>
    <w:rsid w:val="76873BC1"/>
    <w:rsid w:val="76C87133"/>
    <w:rsid w:val="76CD08D5"/>
    <w:rsid w:val="76DB4B92"/>
    <w:rsid w:val="76FF5330"/>
    <w:rsid w:val="77052AA4"/>
    <w:rsid w:val="77136511"/>
    <w:rsid w:val="77167A87"/>
    <w:rsid w:val="77340A39"/>
    <w:rsid w:val="77351FD0"/>
    <w:rsid w:val="77472422"/>
    <w:rsid w:val="777F31F2"/>
    <w:rsid w:val="77BF3265"/>
    <w:rsid w:val="77D1700D"/>
    <w:rsid w:val="77EA74CC"/>
    <w:rsid w:val="77EC04CC"/>
    <w:rsid w:val="78775729"/>
    <w:rsid w:val="78A42DB0"/>
    <w:rsid w:val="78A656AB"/>
    <w:rsid w:val="78B2245C"/>
    <w:rsid w:val="78E172CC"/>
    <w:rsid w:val="78EA1D1F"/>
    <w:rsid w:val="7904172F"/>
    <w:rsid w:val="790F7E27"/>
    <w:rsid w:val="792A231A"/>
    <w:rsid w:val="79316829"/>
    <w:rsid w:val="79635B60"/>
    <w:rsid w:val="797E66A9"/>
    <w:rsid w:val="798518A4"/>
    <w:rsid w:val="79A97383"/>
    <w:rsid w:val="79E27E8B"/>
    <w:rsid w:val="79F850CE"/>
    <w:rsid w:val="79FD443C"/>
    <w:rsid w:val="79FFDFAF"/>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6732F0"/>
    <w:rsid w:val="7C7C10F6"/>
    <w:rsid w:val="7C853BEA"/>
    <w:rsid w:val="7C881368"/>
    <w:rsid w:val="7CE27788"/>
    <w:rsid w:val="7D0C32F1"/>
    <w:rsid w:val="7D0F408D"/>
    <w:rsid w:val="7D491C6C"/>
    <w:rsid w:val="7D5429C0"/>
    <w:rsid w:val="7D6E6D43"/>
    <w:rsid w:val="7DB57A34"/>
    <w:rsid w:val="7DE60973"/>
    <w:rsid w:val="7DEF0916"/>
    <w:rsid w:val="7E1E5218"/>
    <w:rsid w:val="7E75F580"/>
    <w:rsid w:val="7E9A4E1F"/>
    <w:rsid w:val="7EA7723A"/>
    <w:rsid w:val="7EBE8AB3"/>
    <w:rsid w:val="7EF56FBB"/>
    <w:rsid w:val="7F0768EB"/>
    <w:rsid w:val="7F143BEC"/>
    <w:rsid w:val="7F6F5EBE"/>
    <w:rsid w:val="7F715AF2"/>
    <w:rsid w:val="7F886E69"/>
    <w:rsid w:val="7F9DEFDD"/>
    <w:rsid w:val="7FDF7E14"/>
    <w:rsid w:val="7FFF15E6"/>
    <w:rsid w:val="9C2DC1F0"/>
    <w:rsid w:val="9EFF1932"/>
    <w:rsid w:val="BB7FA927"/>
    <w:rsid w:val="BE17C5AF"/>
    <w:rsid w:val="CBAF19EA"/>
    <w:rsid w:val="CD7FFC07"/>
    <w:rsid w:val="DBE228F9"/>
    <w:rsid w:val="DDBBFFF0"/>
    <w:rsid w:val="DEFB09E1"/>
    <w:rsid w:val="DFDB6642"/>
    <w:rsid w:val="DFF7C2A0"/>
    <w:rsid w:val="EFFFB235"/>
    <w:rsid w:val="F5FFD31F"/>
    <w:rsid w:val="F63D9962"/>
    <w:rsid w:val="F7FF2692"/>
    <w:rsid w:val="FA7FF16F"/>
    <w:rsid w:val="FAFF2305"/>
    <w:rsid w:val="FBDC34C1"/>
    <w:rsid w:val="FCFFC6AD"/>
    <w:rsid w:val="FE7FD5FC"/>
    <w:rsid w:val="FF1FA7A0"/>
    <w:rsid w:val="FFB704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1757</Words>
  <Characters>2030</Characters>
  <Lines>87</Lines>
  <Paragraphs>93</Paragraphs>
  <TotalTime>126</TotalTime>
  <ScaleCrop>false</ScaleCrop>
  <LinksUpToDate>false</LinksUpToDate>
  <CharactersWithSpaces>2197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2021-08-04T16:22:00Z</dcterms:created>
  <dc:creator>玥</dc:creator>
  <cp:lastModifiedBy>杭州萧诚工程管理有限公司</cp:lastModifiedBy>
  <cp:lastPrinted>2024-10-21T09:29:00Z</cp:lastPrinted>
  <dcterms:modified xsi:type="dcterms:W3CDTF">2024-12-30T06:15:01Z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86E1CE6FB8DE4266BCDF20737966F33D_13</vt:lpwstr>
  </property>
  <property fmtid="{D5CDD505-2E9C-101B-9397-08002B2CF9AE}" pid="5" name="KSOTemplateDocerSaveRecord">
    <vt:lpwstr>eyJoZGlkIjoiOTM4MTYyZGIzOTU4YWZlNjdkODQ1ZDE5ZGY2NGMyY2YiLCJ1c2VySWQiOiIyOTUxNjUxMTgifQ==</vt:lpwstr>
  </property>
</Properties>
</file>