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A0AD9">
      <w:pPr>
        <w:spacing w:line="360" w:lineRule="auto"/>
        <w:jc w:val="center"/>
        <w:outlineLvl w:val="0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第三部分   采购需求</w:t>
      </w:r>
    </w:p>
    <w:p w14:paraId="1A679116">
      <w:pPr>
        <w:snapToGrid w:val="0"/>
        <w:rPr>
          <w:rStyle w:val="10"/>
        </w:rPr>
      </w:pPr>
      <w:r>
        <w:rPr>
          <w:rStyle w:val="10"/>
          <w:rFonts w:hint="eastAsia"/>
        </w:rPr>
        <w:t>属于实质性要求条款的，请用符号“▲”标明，否则属于非实质性要求。</w:t>
      </w:r>
    </w:p>
    <w:p w14:paraId="723E6DE7">
      <w:pPr>
        <w:snapToGrid w:val="0"/>
        <w:rPr>
          <w:rStyle w:val="10"/>
        </w:rPr>
      </w:pPr>
      <w:r>
        <w:rPr>
          <w:rStyle w:val="10"/>
          <w:rFonts w:hint="eastAsia"/>
        </w:rPr>
        <w:t>“★”系产品采购项目中单一产品或核心产品。</w:t>
      </w:r>
    </w:p>
    <w:p w14:paraId="03B54B7F">
      <w:pPr>
        <w:pStyle w:val="2"/>
        <w:rPr>
          <w:rFonts w:hint="eastAsia"/>
        </w:rPr>
      </w:pPr>
    </w:p>
    <w:p w14:paraId="7FE73A15">
      <w:pPr>
        <w:pStyle w:val="2"/>
        <w:numPr>
          <w:ilvl w:val="0"/>
          <w:numId w:val="1"/>
        </w:numPr>
        <w:jc w:val="center"/>
        <w:rPr>
          <w:rFonts w:hint="eastAsia" w:ascii="仿宋" w:eastAsia="仿宋" w:cs="仿宋"/>
        </w:rPr>
      </w:pPr>
      <w:r>
        <w:t>招标一览表</w:t>
      </w:r>
    </w:p>
    <w:p w14:paraId="5711324F">
      <w:pPr>
        <w:pStyle w:val="3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标项一：</w:t>
      </w:r>
    </w:p>
    <w:tbl>
      <w:tblPr>
        <w:tblStyle w:val="7"/>
        <w:tblW w:w="931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400"/>
        <w:gridCol w:w="1400"/>
        <w:gridCol w:w="3007"/>
        <w:gridCol w:w="985"/>
        <w:gridCol w:w="868"/>
        <w:gridCol w:w="832"/>
      </w:tblGrid>
      <w:tr w14:paraId="3FBBC0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A9F3D"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B882B4"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采购单位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06F34"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46E5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具体服务要求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F8B27"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D36E36"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70DE3">
            <w:pPr>
              <w:spacing w:line="4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</w:tr>
      <w:tr w14:paraId="554E1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D3B7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32681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萧山区发展和改革局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43E24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萧山区发改局数字看板综合服务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项目</w:t>
            </w:r>
          </w:p>
        </w:tc>
        <w:tc>
          <w:tcPr>
            <w:tcW w:w="3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BF715B">
            <w:pPr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投资项目咨询服务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驻场</w:t>
            </w:r>
            <w:r>
              <w:rPr>
                <w:rFonts w:hint="eastAsia" w:ascii="仿宋" w:hAnsi="仿宋" w:eastAsia="仿宋" w:cs="仿宋"/>
                <w:color w:val="000000"/>
              </w:rPr>
              <w:t>服务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业务管理服务等</w:t>
            </w:r>
            <w:r>
              <w:rPr>
                <w:rFonts w:hint="eastAsia" w:ascii="仿宋" w:hAnsi="仿宋" w:eastAsia="仿宋" w:cs="仿宋"/>
                <w:color w:val="000000"/>
              </w:rPr>
              <w:t>。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2B570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5DC5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6264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 w14:paraId="360BD368">
      <w:pPr>
        <w:rPr>
          <w:lang w:val="zh-CN"/>
        </w:rPr>
      </w:pPr>
    </w:p>
    <w:p w14:paraId="21D011D4"/>
    <w:p w14:paraId="50FB56BB">
      <w:pPr>
        <w:rPr>
          <w:lang w:val="zh-CN"/>
        </w:rPr>
      </w:pPr>
    </w:p>
    <w:p w14:paraId="0B8E55B6">
      <w:pPr>
        <w:pStyle w:val="2"/>
        <w:ind w:left="0" w:firstLine="0"/>
        <w:rPr>
          <w:rFonts w:hint="eastAsia" w:ascii="仿宋" w:eastAsia="仿宋" w:cs="仿宋"/>
          <w:sz w:val="22"/>
          <w:szCs w:val="22"/>
        </w:rPr>
      </w:pPr>
      <w:r>
        <w:rPr>
          <w:rFonts w:hint="eastAsia" w:ascii="仿宋" w:eastAsia="仿宋" w:cs="仿宋"/>
          <w:sz w:val="22"/>
          <w:szCs w:val="22"/>
        </w:rPr>
        <w:t>注：▲投标人需在投标（开标）一览表中明确投标报价（总价）及以上各分项小计报价，各分项小计报价不得超过上表各最高限价。严格执行预算限价，项目如涉及办公用房装修、通用办公设备家具的不得超限额标准。（萧财国资【2019】389号）</w:t>
      </w:r>
    </w:p>
    <w:p w14:paraId="42D3ED19">
      <w:pPr>
        <w:rPr>
          <w:rFonts w:hint="eastAsia" w:ascii="仿宋" w:hAnsi="仿宋" w:eastAsia="仿宋" w:cs="仿宋"/>
          <w:b/>
          <w:sz w:val="22"/>
          <w:szCs w:val="22"/>
        </w:rPr>
      </w:pPr>
    </w:p>
    <w:p w14:paraId="2AE9D48F">
      <w:pPr>
        <w:pStyle w:val="2"/>
        <w:numPr>
          <w:ilvl w:val="0"/>
          <w:numId w:val="1"/>
        </w:numPr>
        <w:jc w:val="center"/>
        <w:rPr>
          <w:rFonts w:ascii="仿宋" w:eastAsia="仿宋" w:cs="仿宋"/>
          <w:color w:val="000000"/>
        </w:rPr>
      </w:pPr>
      <w:r>
        <w:rPr>
          <w:rFonts w:hint="eastAsia" w:ascii="仿宋" w:eastAsia="仿宋" w:cs="仿宋"/>
          <w:color w:val="000000"/>
        </w:rPr>
        <w:t>采购需求</w:t>
      </w:r>
    </w:p>
    <w:p w14:paraId="4952793D">
      <w:pPr>
        <w:rPr>
          <w:color w:val="000000"/>
        </w:rPr>
      </w:pPr>
    </w:p>
    <w:p w14:paraId="330C23DF">
      <w:pPr>
        <w:numPr>
          <w:ilvl w:val="0"/>
          <w:numId w:val="2"/>
        </w:numPr>
        <w:tabs>
          <w:tab w:val="left" w:pos="0"/>
        </w:tabs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咨询服务</w:t>
      </w:r>
    </w:p>
    <w:p w14:paraId="3AF79E0D">
      <w:pPr>
        <w:tabs>
          <w:tab w:val="left" w:pos="0"/>
        </w:tabs>
        <w:spacing w:line="360" w:lineRule="auto"/>
        <w:ind w:firstLine="480"/>
        <w:rPr>
          <w:rFonts w:hint="default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以萧山区投资项目为管理和服务对象，借鉴先进的投资项目全生命周期管理模式，以实现萧山区投资项目全生命周期管理提高项目管理效率为目标，借助数字化技术和数字看板直观展现的形式，结合萧山区管理项目实际需要，项目承包方提供对投资项目全生命周期管理的咨询服务，包括全区投资项目调研摸底、制定投资项目全生命周期管理体系规范、制定项目预警处置流程规范等内容，为全区投资项目管理一盘棋提供智力支撑。</w:t>
      </w:r>
    </w:p>
    <w:p w14:paraId="32839A90">
      <w:pPr>
        <w:numPr>
          <w:ilvl w:val="0"/>
          <w:numId w:val="2"/>
        </w:numPr>
        <w:tabs>
          <w:tab w:val="left" w:pos="0"/>
        </w:tabs>
        <w:spacing w:line="360" w:lineRule="auto"/>
        <w:ind w:firstLine="48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驻场服务</w:t>
      </w:r>
    </w:p>
    <w:p w14:paraId="26529F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</w:rPr>
        <w:t>项目承包方派出人员驻场萧山区发改局工作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三</w:t>
      </w:r>
      <w:r>
        <w:rPr>
          <w:rFonts w:hint="eastAsia" w:ascii="宋体" w:hAnsi="宋体" w:cs="宋体"/>
          <w:color w:val="000000"/>
          <w:kern w:val="0"/>
          <w:sz w:val="24"/>
        </w:rPr>
        <w:t>年，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明确驻场人员工作职责，</w:t>
      </w:r>
      <w:r>
        <w:rPr>
          <w:rFonts w:hint="eastAsia" w:ascii="宋体" w:hAnsi="宋体" w:cs="宋体"/>
          <w:color w:val="000000"/>
          <w:kern w:val="0"/>
          <w:sz w:val="24"/>
        </w:rPr>
        <w:t>全面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协助</w:t>
      </w:r>
      <w:r>
        <w:rPr>
          <w:rFonts w:hint="eastAsia" w:ascii="宋体" w:hAnsi="宋体" w:cs="宋体"/>
          <w:color w:val="000000"/>
          <w:kern w:val="0"/>
          <w:sz w:val="24"/>
        </w:rPr>
        <w:t>发改局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项目调研、数据对接、</w:t>
      </w:r>
      <w:r>
        <w:rPr>
          <w:rFonts w:hint="eastAsia" w:ascii="宋体" w:hAnsi="宋体" w:cs="宋体"/>
          <w:color w:val="000000"/>
          <w:kern w:val="0"/>
          <w:sz w:val="24"/>
        </w:rPr>
        <w:t>数据治理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</w:rPr>
        <w:t>项目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问题</w:t>
      </w:r>
      <w:r>
        <w:rPr>
          <w:rFonts w:hint="eastAsia" w:ascii="宋体" w:hAnsi="宋体" w:cs="宋体"/>
          <w:color w:val="000000"/>
          <w:kern w:val="0"/>
          <w:sz w:val="24"/>
        </w:rPr>
        <w:t>答疑、重点事项讨论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color w:val="000000"/>
          <w:kern w:val="0"/>
          <w:sz w:val="24"/>
        </w:rPr>
        <w:t>，在工作过程中，派出人员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遵循萧山区发改局工作安排和要求，同时要</w:t>
      </w:r>
      <w:r>
        <w:rPr>
          <w:rFonts w:hint="eastAsia" w:ascii="宋体" w:hAnsi="宋体" w:cs="宋体"/>
          <w:color w:val="000000"/>
          <w:kern w:val="0"/>
          <w:sz w:val="24"/>
        </w:rPr>
        <w:t>与承包方后台研究团队保持紧密互动，形成前后台联动式工作模式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及时响应萧山区发改局需求。</w:t>
      </w:r>
    </w:p>
    <w:p w14:paraId="747DA95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22" w:firstLineChars="200"/>
        <w:textAlignment w:val="auto"/>
        <w:rPr>
          <w:rFonts w:hint="eastAsia"/>
          <w:color w:val="000000"/>
        </w:rPr>
      </w:pPr>
      <w:r>
        <w:rPr>
          <w:rFonts w:hint="eastAsia" w:ascii="宋体" w:hAnsi="宋体" w:cs="宋体"/>
          <w:b/>
          <w:color w:val="000000"/>
        </w:rPr>
        <w:t>▲</w:t>
      </w:r>
      <w:r>
        <w:rPr>
          <w:rFonts w:hint="eastAsia" w:ascii="宋体" w:hAnsi="宋体" w:cs="宋体"/>
          <w:b/>
          <w:color w:val="000000"/>
          <w:lang w:val="en-US" w:eastAsia="zh-CN"/>
        </w:rPr>
        <w:t>第一年常驻服务人员8人，其中技术2人，之后常驻服务人员3人，其中技术人员1人。</w:t>
      </w:r>
    </w:p>
    <w:p w14:paraId="357CE5CF">
      <w:pPr>
        <w:numPr>
          <w:ilvl w:val="0"/>
          <w:numId w:val="2"/>
        </w:numPr>
        <w:tabs>
          <w:tab w:val="left" w:pos="0"/>
        </w:tabs>
        <w:spacing w:line="360" w:lineRule="auto"/>
        <w:ind w:left="0" w:leftChars="0" w:firstLine="480" w:firstLineChars="0"/>
        <w:rPr>
          <w:rFonts w:hint="default" w:hAnsi="宋体" w:cs="宋体"/>
          <w:bCs/>
          <w:snapToGrid/>
          <w:color w:val="000000"/>
          <w:kern w:val="2"/>
          <w:sz w:val="24"/>
          <w:szCs w:val="24"/>
          <w:lang w:eastAsia="zh-CN"/>
        </w:rPr>
      </w:pPr>
      <w:r>
        <w:rPr>
          <w:rFonts w:hint="eastAsia" w:hAnsi="宋体" w:cs="宋体"/>
          <w:bCs/>
          <w:snapToGrid/>
          <w:color w:val="000000"/>
          <w:kern w:val="2"/>
          <w:sz w:val="24"/>
          <w:szCs w:val="24"/>
          <w:lang w:val="en-US" w:eastAsia="zh-CN"/>
        </w:rPr>
        <w:t>项目</w:t>
      </w:r>
      <w:r>
        <w:rPr>
          <w:rFonts w:hint="default" w:hAnsi="宋体" w:cs="宋体"/>
          <w:bCs/>
          <w:snapToGrid/>
          <w:color w:val="000000"/>
          <w:kern w:val="2"/>
          <w:sz w:val="24"/>
          <w:szCs w:val="24"/>
          <w:lang w:eastAsia="zh-CN"/>
        </w:rPr>
        <w:t>分析服务</w:t>
      </w:r>
    </w:p>
    <w:p w14:paraId="1840053D">
      <w:pPr>
        <w:numPr>
          <w:ilvl w:val="0"/>
          <w:numId w:val="0"/>
        </w:numPr>
        <w:tabs>
          <w:tab w:val="left" w:pos="0"/>
        </w:tabs>
        <w:spacing w:line="360" w:lineRule="auto"/>
        <w:ind w:left="0" w:leftChars="0" w:firstLine="0" w:firstLineChars="0"/>
        <w:rPr>
          <w:rFonts w:hint="default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hAnsi="宋体" w:cs="宋体"/>
          <w:bCs/>
          <w:snapToGrid/>
          <w:color w:val="000000"/>
          <w:kern w:val="2"/>
          <w:sz w:val="24"/>
          <w:szCs w:val="24"/>
          <w:lang w:eastAsia="zh-CN"/>
        </w:rPr>
        <w:t xml:space="preserve">   </w:t>
      </w:r>
      <w:r>
        <w:rPr>
          <w:rFonts w:hint="eastAsia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围绕投资项目全生命周期积累的项目数据、进度数据、投资数据等多类数据指标，以辅助政府决策为目标，设计符合投资项目管理领域的多类分析指标，开展对投资项目进行多维度的分析，包括但不限于项目阶段分析、环节分析、领域分析等。对项目</w:t>
      </w:r>
      <w:r>
        <w:rPr>
          <w:rFonts w:hint="default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初始数据</w:t>
      </w:r>
      <w:r>
        <w:rPr>
          <w:rFonts w:hint="eastAsia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按项目属地分配</w:t>
      </w:r>
      <w:r>
        <w:rPr>
          <w:rFonts w:hint="default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，开展镇街</w:t>
      </w:r>
      <w:r>
        <w:rPr>
          <w:rFonts w:hint="eastAsia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、平台、部门、国企等</w:t>
      </w:r>
      <w:r>
        <w:rPr>
          <w:rFonts w:hint="default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责任主体画像，出具</w:t>
      </w:r>
      <w:r>
        <w:rPr>
          <w:rFonts w:hint="eastAsia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责任主体</w:t>
      </w:r>
      <w:r>
        <w:rPr>
          <w:rFonts w:hint="default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体检报告，</w:t>
      </w:r>
      <w:r>
        <w:rPr>
          <w:rFonts w:hint="eastAsia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全区</w:t>
      </w:r>
      <w:r>
        <w:rPr>
          <w:rFonts w:hint="default" w:hAnsi="宋体" w:eastAsia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项目分析报告</w:t>
      </w:r>
      <w:r>
        <w:rPr>
          <w:rFonts w:hint="default" w:hAnsi="宋体" w:cs="宋体"/>
          <w:bCs/>
          <w:snapToGrid/>
          <w:color w:val="FF0000"/>
          <w:kern w:val="2"/>
          <w:sz w:val="24"/>
          <w:szCs w:val="24"/>
          <w:lang w:eastAsia="zh-CN"/>
        </w:rPr>
        <w:t>等</w:t>
      </w:r>
      <w:r>
        <w:rPr>
          <w:rFonts w:hint="eastAsia" w:hAnsi="宋体" w:cs="宋体"/>
          <w:bCs/>
          <w:snapToGrid/>
          <w:color w:val="FF0000"/>
          <w:kern w:val="2"/>
          <w:sz w:val="24"/>
          <w:szCs w:val="24"/>
          <w:lang w:val="en-US" w:eastAsia="zh-CN"/>
        </w:rPr>
        <w:t>。</w:t>
      </w:r>
    </w:p>
    <w:p w14:paraId="2CF08C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（4）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系统授权使用</w:t>
      </w:r>
    </w:p>
    <w:p w14:paraId="2D33C7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项目承包方提供投资项目全生命周期管理类系统，系统应包括项目管理、分析评价、预警处置、体检报告、责任机制等功能，实现对萧山区投资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项目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的数据、监测预警模型、问题协调处置能够在系统运行、展现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和应用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。系统应支持PC端和移动端，其中移动端要支持和浙政钉对接。系统主要功能要求如下：</w:t>
      </w:r>
    </w:p>
    <w:p w14:paraId="52560A46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项目管理：汇聚存储萧山区投资项目全生命周期信息，支持对项目的查询、查看、导出等日常管理功能。</w:t>
      </w:r>
    </w:p>
    <w:p w14:paraId="7FE20F1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80" w:firstLineChars="200"/>
        <w:textAlignment w:val="auto"/>
        <w:rPr>
          <w:rFonts w:hint="default" w:eastAsia="宋体"/>
          <w:color w:val="FF0000"/>
          <w:sz w:val="24"/>
          <w:szCs w:val="32"/>
          <w:lang w:val="en-US" w:eastAsia="zh-CN"/>
        </w:rPr>
      </w:pPr>
      <w:r>
        <w:rPr>
          <w:rFonts w:hint="eastAsia" w:eastAsia="宋体"/>
          <w:color w:val="FF0000"/>
          <w:sz w:val="24"/>
          <w:szCs w:val="32"/>
          <w:lang w:val="en-US" w:eastAsia="zh-CN"/>
        </w:rPr>
        <w:t>分析评价：支持按投资项目类型进行多维度的分析评价，包括但不限于项目数分析、阶段分析、属地分析、经济分析、进展分析、领域分析等并图表化展现，支持灵活的项目查询方式，支持数据下钻便于了解数据详情。</w:t>
      </w:r>
    </w:p>
    <w:p w14:paraId="56E0F86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03"/>
        <w:textAlignment w:val="auto"/>
        <w:rPr>
          <w:rFonts w:hint="eastAsia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预警处置：对预警项目信息进行汇聚并按投资项目类型分类展示预警项目清单，支持按项目属地对预警信息进行统计并支持数据下钻，支持对预警项目处置。</w:t>
      </w:r>
    </w:p>
    <w:p w14:paraId="250F5AE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03"/>
        <w:textAlignment w:val="auto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体检报告：以全区各镇街、平台、国企及项目相关部门等责任主体为评价对象，构建项目分析指标，形成项目责任主体的体检报告。支持对项目责任主体查询。</w:t>
      </w:r>
    </w:p>
    <w:p w14:paraId="545F0DC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03"/>
        <w:textAlignment w:val="auto"/>
        <w:rPr>
          <w:rFonts w:hint="eastAsia" w:ascii="仿宋" w:hAnsi="仿宋" w:eastAsia="仿宋" w:cs="仿宋"/>
          <w:color w:val="000000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责任机制：系统直观统计各项目责任人（包括责任领导、环节责任领导、联系人、代办员）关联的项目数、预警项目数、红灯项目数、区黄灯项目数及能够展现处置进展的统计指标，方便用户直观了解自己关联的项目及预警项目和处置情况。支持按项目名称、项目责任人、投资额进行搜索。</w:t>
      </w:r>
    </w:p>
    <w:p w14:paraId="153EC7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2、商务需求：</w:t>
      </w:r>
    </w:p>
    <w:p w14:paraId="3A1E9A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（1）服务期限：3年</w:t>
      </w:r>
    </w:p>
    <w:p w14:paraId="75F01A1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FF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（2）支付方式：合同签订后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第一年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支付合同价的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55%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，第二年支付合同价的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20%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，第三年服务周期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结束后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支付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尾款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，服务周期结束</w:t>
      </w:r>
      <w:r>
        <w:rPr>
          <w:rFonts w:hint="default" w:ascii="宋体" w:hAnsi="宋体" w:eastAsia="宋体" w:cs="宋体"/>
          <w:color w:val="FF0000"/>
          <w:kern w:val="0"/>
          <w:sz w:val="24"/>
          <w:lang w:eastAsia="zh-CN"/>
        </w:rPr>
        <w:t>后将系统免费提供给甲方使用</w:t>
      </w:r>
      <w:r>
        <w:rPr>
          <w:rFonts w:hint="eastAsia" w:ascii="宋体" w:hAnsi="宋体" w:eastAsia="宋体" w:cs="宋体"/>
          <w:color w:val="FF0000"/>
          <w:kern w:val="0"/>
          <w:sz w:val="24"/>
          <w:lang w:val="en-US" w:eastAsia="zh-CN"/>
        </w:rPr>
        <w:t>。</w:t>
      </w:r>
    </w:p>
    <w:p w14:paraId="3378E8DC">
      <w:pPr>
        <w:tabs>
          <w:tab w:val="left" w:pos="0"/>
        </w:tabs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</w:t>
      </w:r>
    </w:p>
    <w:p w14:paraId="251BFDD0">
      <w:pPr>
        <w:tabs>
          <w:tab w:val="left" w:pos="0"/>
        </w:tabs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1、如有附图，仅作参考。</w:t>
      </w:r>
    </w:p>
    <w:p w14:paraId="3595F892">
      <w:pPr>
        <w:tabs>
          <w:tab w:val="left" w:pos="0"/>
        </w:tabs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2、打▲内容为实质性要求，不允许有负偏离，否则将以涉及无效投标条款作无效投标。</w:t>
      </w:r>
    </w:p>
    <w:p w14:paraId="7DC716FA">
      <w:pPr>
        <w:tabs>
          <w:tab w:val="left" w:pos="0"/>
        </w:tabs>
        <w:spacing w:line="360" w:lineRule="auto"/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3、中标人所提供的货物、服务须与投标承诺一致，不得以次充好、偷工减料，若在项目验收中发现有上述情况，将向有关部门举报，根据相关规定进行处理。</w:t>
      </w:r>
    </w:p>
    <w:p w14:paraId="7E982C8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A86A6"/>
    <w:multiLevelType w:val="singleLevel"/>
    <w:tmpl w:val="186A86A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2BF5020E"/>
    <w:multiLevelType w:val="multilevel"/>
    <w:tmpl w:val="2BF5020E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1A9A29"/>
    <w:multiLevelType w:val="singleLevel"/>
    <w:tmpl w:val="6C1A9A2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WUxODc3YmJmZjU3MGRkMTdmNTllZjUwYmQyOTEifQ=="/>
  </w:docVars>
  <w:rsids>
    <w:rsidRoot w:val="00000000"/>
    <w:rsid w:val="0E2C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280" w:after="290" w:line="376" w:lineRule="auto"/>
      <w:ind w:left="864" w:hanging="864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character" w:styleId="9">
    <w:name w:val="page number"/>
    <w:basedOn w:val="8"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customStyle="1" w:styleId="10">
    <w:name w:val="不明显强调1"/>
    <w:qFormat/>
    <w:uiPriority w:val="19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2024-10-17T10:50:08Z</dcterms:created>
  <dc:creator>36345</dc:creator>
  <cp:lastModifiedBy>无奈啊无奈</cp:lastModifiedBy>
  <dcterms:modified xsi:type="dcterms:W3CDTF">2024-10-17T10:50:37Z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4D71725182574AC48AD1D13775290AE9_12</vt:lpwstr>
  </property>
</Properties>
</file>