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4D0FE">
      <w:pPr>
        <w:keepNext w:val="0"/>
        <w:keepLines w:val="0"/>
        <w:pageBreakBefore w:val="0"/>
        <w:widowControl w:val="0"/>
        <w:kinsoku/>
        <w:wordWrap/>
        <w:overflowPunct/>
        <w:topLinePunct w:val="0"/>
        <w:autoSpaceDE/>
        <w:autoSpaceDN/>
        <w:bidi w:val="0"/>
        <w:adjustRightInd w:val="0"/>
        <w:snapToGrid w:val="0"/>
        <w:spacing w:line="680" w:lineRule="exact"/>
        <w:ind w:left="0" w:leftChars="0"/>
        <w:jc w:val="both"/>
        <w:textAlignment w:val="auto"/>
        <w:rPr>
          <w:rFonts w:hint="eastAsia" w:ascii="黑体" w:hAnsi="黑体" w:eastAsia="黑体" w:cs="黑体"/>
          <w:color w:val="auto"/>
          <w:kern w:val="0"/>
          <w:sz w:val="52"/>
          <w:szCs w:val="52"/>
          <w:highlight w:val="none"/>
          <w:lang w:eastAsia="zh-CN"/>
        </w:rPr>
      </w:pPr>
    </w:p>
    <w:p w14:paraId="0FC4DC02">
      <w:pPr>
        <w:pStyle w:val="29"/>
        <w:keepNext w:val="0"/>
        <w:keepLines w:val="0"/>
        <w:pageBreakBefore w:val="0"/>
        <w:widowControl w:val="0"/>
        <w:kinsoku/>
        <w:wordWrap/>
        <w:overflowPunct/>
        <w:topLinePunct w:val="0"/>
        <w:autoSpaceDE/>
        <w:autoSpaceDN/>
        <w:bidi w:val="0"/>
        <w:spacing w:after="0"/>
        <w:ind w:left="0" w:leftChars="0"/>
        <w:textAlignment w:val="auto"/>
        <w:rPr>
          <w:rFonts w:hint="eastAsia"/>
          <w:color w:val="auto"/>
          <w:highlight w:val="none"/>
          <w:lang w:eastAsia="zh-CN"/>
        </w:rPr>
      </w:pPr>
    </w:p>
    <w:p w14:paraId="2F0A03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黑体"/>
          <w:color w:val="auto"/>
          <w:kern w:val="0"/>
          <w:sz w:val="40"/>
          <w:szCs w:val="40"/>
          <w:highlight w:val="none"/>
          <w:lang w:val="en-US" w:eastAsia="zh-CN"/>
        </w:rPr>
      </w:pPr>
      <w:r>
        <w:rPr>
          <w:rFonts w:hint="default" w:ascii="黑体" w:hAnsi="黑体" w:eastAsia="黑体" w:cs="黑体"/>
          <w:color w:val="auto"/>
          <w:kern w:val="0"/>
          <w:sz w:val="40"/>
          <w:szCs w:val="40"/>
          <w:highlight w:val="none"/>
          <w:lang w:val="en-US" w:eastAsia="zh-CN"/>
        </w:rPr>
        <w:t>开化县钱江源共富农品精深加工项目</w:t>
      </w:r>
    </w:p>
    <w:p w14:paraId="161426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黑体"/>
          <w:color w:val="auto"/>
          <w:kern w:val="0"/>
          <w:sz w:val="40"/>
          <w:szCs w:val="40"/>
          <w:highlight w:val="none"/>
          <w:lang w:val="en-US" w:eastAsia="zh-CN"/>
        </w:rPr>
      </w:pPr>
      <w:r>
        <w:rPr>
          <w:rFonts w:hint="default" w:ascii="黑体" w:hAnsi="黑体" w:eastAsia="黑体" w:cs="黑体"/>
          <w:color w:val="auto"/>
          <w:kern w:val="0"/>
          <w:sz w:val="40"/>
          <w:szCs w:val="40"/>
          <w:highlight w:val="none"/>
          <w:lang w:val="en-US" w:eastAsia="zh-CN"/>
        </w:rPr>
        <w:t>——物联网数据系统和桐村畈基地水肥一体机</w:t>
      </w:r>
    </w:p>
    <w:p w14:paraId="1F5D29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kern w:val="0"/>
          <w:sz w:val="40"/>
          <w:szCs w:val="40"/>
          <w:highlight w:val="none"/>
          <w:lang w:val="en-US"/>
        </w:rPr>
      </w:pPr>
      <w:r>
        <w:rPr>
          <w:rFonts w:hint="default" w:ascii="黑体" w:hAnsi="黑体" w:eastAsia="黑体" w:cs="黑体"/>
          <w:color w:val="auto"/>
          <w:kern w:val="0"/>
          <w:sz w:val="40"/>
          <w:szCs w:val="40"/>
          <w:highlight w:val="none"/>
          <w:lang w:val="en-US" w:eastAsia="zh-CN"/>
        </w:rPr>
        <w:t xml:space="preserve">（非政府采购） </w:t>
      </w:r>
    </w:p>
    <w:p w14:paraId="32414D70">
      <w:pPr>
        <w:pStyle w:val="3"/>
        <w:numPr>
          <w:ilvl w:val="1"/>
          <w:numId w:val="0"/>
        </w:numPr>
        <w:ind w:leftChars="0"/>
        <w:rPr>
          <w:color w:val="auto"/>
          <w:highlight w:val="none"/>
        </w:rPr>
      </w:pPr>
    </w:p>
    <w:p w14:paraId="0BBD6B82">
      <w:pPr>
        <w:adjustRightInd w:val="0"/>
        <w:snapToGrid w:val="0"/>
        <w:jc w:val="center"/>
        <w:rPr>
          <w:rFonts w:ascii="宋体" w:cs="Times New Roman"/>
          <w:b/>
          <w:bCs/>
          <w:color w:val="auto"/>
          <w:sz w:val="108"/>
          <w:szCs w:val="108"/>
          <w:highlight w:val="none"/>
        </w:rPr>
      </w:pPr>
    </w:p>
    <w:p w14:paraId="5718F991">
      <w:pPr>
        <w:pStyle w:val="29"/>
        <w:rPr>
          <w:color w:val="auto"/>
          <w:highlight w:val="none"/>
        </w:rPr>
      </w:pPr>
    </w:p>
    <w:p w14:paraId="2DBEA0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0E3F7C2">
      <w:pPr>
        <w:pStyle w:val="52"/>
        <w:keepNext w:val="0"/>
        <w:keepLines w:val="0"/>
        <w:pageBreakBefore w:val="0"/>
        <w:widowControl w:val="0"/>
        <w:kinsoku/>
        <w:wordWrap/>
        <w:overflowPunct/>
        <w:topLinePunct w:val="0"/>
        <w:autoSpaceDE/>
        <w:autoSpaceDN/>
        <w:bidi w:val="0"/>
        <w:snapToGrid w:val="0"/>
        <w:spacing w:line="240" w:lineRule="auto"/>
        <w:ind w:firstLine="0"/>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val="en-US" w:eastAsia="zh-CN"/>
        </w:rPr>
        <w:t>ZJTJKH2024-08-02</w:t>
      </w:r>
      <w:r>
        <w:rPr>
          <w:rFonts w:hint="eastAsia" w:ascii="黑体" w:hAnsi="黑体" w:eastAsia="黑体" w:cs="黑体"/>
          <w:color w:val="auto"/>
          <w:sz w:val="30"/>
          <w:szCs w:val="30"/>
          <w:highlight w:val="none"/>
        </w:rPr>
        <w:t>）</w:t>
      </w:r>
    </w:p>
    <w:p w14:paraId="79AC87E7">
      <w:pPr>
        <w:pStyle w:val="52"/>
        <w:snapToGrid w:val="0"/>
        <w:spacing w:line="440" w:lineRule="exact"/>
        <w:ind w:firstLine="0"/>
        <w:jc w:val="center"/>
        <w:rPr>
          <w:rFonts w:ascii="仿宋" w:hAnsi="仿宋" w:eastAsia="仿宋" w:cs="Times New Roman"/>
          <w:color w:val="auto"/>
          <w:sz w:val="28"/>
          <w:szCs w:val="28"/>
          <w:highlight w:val="none"/>
        </w:rPr>
      </w:pPr>
    </w:p>
    <w:p w14:paraId="1DE1A3DD">
      <w:pPr>
        <w:pStyle w:val="52"/>
        <w:snapToGrid w:val="0"/>
        <w:spacing w:line="440" w:lineRule="exact"/>
        <w:ind w:firstLine="0"/>
        <w:jc w:val="center"/>
        <w:rPr>
          <w:rFonts w:ascii="仿宋" w:hAnsi="仿宋" w:eastAsia="仿宋" w:cs="Times New Roman"/>
          <w:color w:val="auto"/>
          <w:sz w:val="28"/>
          <w:szCs w:val="28"/>
          <w:highlight w:val="none"/>
        </w:rPr>
      </w:pPr>
    </w:p>
    <w:p w14:paraId="7310D671">
      <w:pPr>
        <w:pStyle w:val="52"/>
        <w:snapToGrid w:val="0"/>
        <w:spacing w:line="440" w:lineRule="exact"/>
        <w:ind w:firstLine="0"/>
        <w:jc w:val="center"/>
        <w:rPr>
          <w:rFonts w:ascii="仿宋" w:hAnsi="仿宋" w:eastAsia="仿宋" w:cs="Times New Roman"/>
          <w:color w:val="auto"/>
          <w:sz w:val="28"/>
          <w:szCs w:val="28"/>
          <w:highlight w:val="none"/>
        </w:rPr>
      </w:pPr>
    </w:p>
    <w:p w14:paraId="6FB789EA">
      <w:pPr>
        <w:pStyle w:val="52"/>
        <w:snapToGrid w:val="0"/>
        <w:spacing w:line="440" w:lineRule="exact"/>
        <w:ind w:firstLine="0"/>
        <w:jc w:val="center"/>
        <w:rPr>
          <w:rFonts w:ascii="仿宋" w:hAnsi="仿宋" w:eastAsia="仿宋" w:cs="Times New Roman"/>
          <w:color w:val="auto"/>
          <w:sz w:val="28"/>
          <w:szCs w:val="28"/>
          <w:highlight w:val="none"/>
        </w:rPr>
      </w:pPr>
    </w:p>
    <w:p w14:paraId="05BCAD85">
      <w:pPr>
        <w:pStyle w:val="52"/>
        <w:snapToGrid w:val="0"/>
        <w:spacing w:line="440" w:lineRule="exact"/>
        <w:ind w:firstLine="0"/>
        <w:jc w:val="center"/>
        <w:rPr>
          <w:rFonts w:ascii="仿宋" w:hAnsi="仿宋" w:eastAsia="仿宋" w:cs="Times New Roman"/>
          <w:color w:val="auto"/>
          <w:sz w:val="28"/>
          <w:szCs w:val="28"/>
          <w:highlight w:val="none"/>
        </w:rPr>
      </w:pPr>
    </w:p>
    <w:p w14:paraId="77C28F0A">
      <w:pPr>
        <w:pStyle w:val="52"/>
        <w:snapToGrid w:val="0"/>
        <w:spacing w:line="440" w:lineRule="exact"/>
        <w:ind w:firstLine="0"/>
        <w:jc w:val="center"/>
        <w:rPr>
          <w:rFonts w:ascii="仿宋" w:hAnsi="仿宋" w:eastAsia="仿宋" w:cs="Times New Roman"/>
          <w:color w:val="auto"/>
          <w:sz w:val="28"/>
          <w:szCs w:val="28"/>
          <w:highlight w:val="none"/>
        </w:rPr>
      </w:pPr>
    </w:p>
    <w:p w14:paraId="3FB6FF61">
      <w:pPr>
        <w:pStyle w:val="52"/>
        <w:snapToGrid w:val="0"/>
        <w:spacing w:line="440" w:lineRule="exact"/>
        <w:ind w:firstLine="0"/>
        <w:jc w:val="center"/>
        <w:rPr>
          <w:rFonts w:ascii="仿宋" w:hAnsi="仿宋" w:eastAsia="仿宋" w:cs="Times New Roman"/>
          <w:color w:val="auto"/>
          <w:sz w:val="28"/>
          <w:szCs w:val="28"/>
          <w:highlight w:val="none"/>
        </w:rPr>
      </w:pPr>
    </w:p>
    <w:p w14:paraId="4C4251A7">
      <w:pPr>
        <w:pStyle w:val="52"/>
        <w:snapToGrid w:val="0"/>
        <w:spacing w:line="440" w:lineRule="exact"/>
        <w:ind w:firstLine="0"/>
        <w:jc w:val="center"/>
        <w:rPr>
          <w:rFonts w:ascii="仿宋" w:hAnsi="仿宋" w:eastAsia="仿宋" w:cs="Times New Roman"/>
          <w:color w:val="auto"/>
          <w:sz w:val="28"/>
          <w:szCs w:val="28"/>
          <w:highlight w:val="none"/>
        </w:rPr>
      </w:pPr>
    </w:p>
    <w:p w14:paraId="20455464">
      <w:pPr>
        <w:pStyle w:val="52"/>
        <w:snapToGrid w:val="0"/>
        <w:spacing w:line="440" w:lineRule="exact"/>
        <w:ind w:firstLine="0"/>
        <w:jc w:val="both"/>
        <w:rPr>
          <w:rFonts w:ascii="仿宋" w:hAnsi="仿宋" w:eastAsia="仿宋" w:cs="Times New Roman"/>
          <w:color w:val="auto"/>
          <w:sz w:val="28"/>
          <w:szCs w:val="28"/>
          <w:highlight w:val="none"/>
        </w:rPr>
      </w:pPr>
    </w:p>
    <w:p w14:paraId="6443D8CD">
      <w:pPr>
        <w:pStyle w:val="52"/>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rPr>
          <w:rFonts w:ascii="仿宋" w:hAnsi="仿宋" w:eastAsia="仿宋" w:cs="Times New Roman"/>
          <w:color w:val="auto"/>
          <w:sz w:val="28"/>
          <w:szCs w:val="28"/>
          <w:highlight w:val="none"/>
        </w:rPr>
      </w:pPr>
    </w:p>
    <w:p w14:paraId="279EB3FC">
      <w:pPr>
        <w:pStyle w:val="52"/>
        <w:snapToGrid w:val="0"/>
        <w:spacing w:line="440" w:lineRule="exact"/>
        <w:ind w:firstLine="0"/>
        <w:jc w:val="center"/>
        <w:rPr>
          <w:rFonts w:ascii="仿宋" w:hAnsi="仿宋" w:eastAsia="仿宋" w:cs="Times New Roman"/>
          <w:color w:val="auto"/>
          <w:sz w:val="28"/>
          <w:szCs w:val="28"/>
          <w:highlight w:val="none"/>
        </w:rPr>
      </w:pPr>
    </w:p>
    <w:p w14:paraId="0A83CDE1">
      <w:pPr>
        <w:pStyle w:val="52"/>
        <w:keepNext w:val="0"/>
        <w:keepLines w:val="0"/>
        <w:pageBreakBefore w:val="0"/>
        <w:widowControl w:val="0"/>
        <w:kinsoku/>
        <w:wordWrap/>
        <w:overflowPunct/>
        <w:topLinePunct w:val="0"/>
        <w:autoSpaceDE/>
        <w:autoSpaceDN/>
        <w:bidi w:val="0"/>
        <w:adjustRightInd/>
        <w:snapToGrid w:val="0"/>
        <w:spacing w:line="100" w:lineRule="exact"/>
        <w:ind w:firstLine="0"/>
        <w:jc w:val="center"/>
        <w:textAlignment w:val="auto"/>
        <w:rPr>
          <w:rFonts w:ascii="仿宋" w:hAnsi="仿宋" w:eastAsia="仿宋" w:cs="Times New Roman"/>
          <w:color w:val="auto"/>
          <w:sz w:val="28"/>
          <w:szCs w:val="28"/>
          <w:highlight w:val="none"/>
        </w:rPr>
      </w:pPr>
    </w:p>
    <w:p w14:paraId="2B731AAE">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黑体" w:hAnsi="新宋体" w:eastAsia="黑体" w:cs="Times New Roman"/>
          <w:color w:val="auto"/>
          <w:sz w:val="32"/>
          <w:szCs w:val="32"/>
          <w:highlight w:val="none"/>
          <w:lang w:eastAsia="zh-CN"/>
        </w:rPr>
      </w:pPr>
      <w:r>
        <w:rPr>
          <w:rFonts w:hint="eastAsia" w:ascii="黑体" w:hAnsi="新宋体" w:eastAsia="黑体" w:cs="黑体"/>
          <w:color w:val="auto"/>
          <w:sz w:val="32"/>
          <w:szCs w:val="32"/>
          <w:highlight w:val="none"/>
          <w:lang w:val="en-US" w:eastAsia="zh-CN"/>
        </w:rPr>
        <w:t xml:space="preserve"> </w:t>
      </w:r>
      <w:r>
        <w:rPr>
          <w:rFonts w:hint="eastAsia" w:ascii="黑体" w:hAnsi="新宋体" w:eastAsia="黑体" w:cs="黑体"/>
          <w:color w:val="auto"/>
          <w:sz w:val="32"/>
          <w:szCs w:val="32"/>
          <w:highlight w:val="none"/>
        </w:rPr>
        <w:t>采</w:t>
      </w:r>
      <w:r>
        <w:rPr>
          <w:rFonts w:ascii="黑体" w:hAnsi="新宋体" w:eastAsia="黑体" w:cs="黑体"/>
          <w:color w:val="auto"/>
          <w:sz w:val="32"/>
          <w:szCs w:val="32"/>
          <w:highlight w:val="none"/>
        </w:rPr>
        <w:t xml:space="preserve">   </w:t>
      </w:r>
      <w:r>
        <w:rPr>
          <w:rFonts w:hint="eastAsia" w:ascii="黑体" w:hAnsi="新宋体" w:eastAsia="黑体" w:cs="黑体"/>
          <w:color w:val="auto"/>
          <w:sz w:val="32"/>
          <w:szCs w:val="32"/>
          <w:highlight w:val="none"/>
        </w:rPr>
        <w:t>购</w:t>
      </w:r>
      <w:r>
        <w:rPr>
          <w:rFonts w:ascii="黑体" w:hAnsi="新宋体" w:eastAsia="黑体" w:cs="黑体"/>
          <w:color w:val="auto"/>
          <w:sz w:val="32"/>
          <w:szCs w:val="32"/>
          <w:highlight w:val="none"/>
        </w:rPr>
        <w:t xml:space="preserve">   </w:t>
      </w:r>
      <w:r>
        <w:rPr>
          <w:rFonts w:hint="eastAsia" w:ascii="黑体" w:hAnsi="新宋体" w:eastAsia="黑体" w:cs="黑体"/>
          <w:color w:val="auto"/>
          <w:sz w:val="32"/>
          <w:szCs w:val="32"/>
          <w:highlight w:val="none"/>
        </w:rPr>
        <w:t>人：</w:t>
      </w:r>
      <w:r>
        <w:rPr>
          <w:rFonts w:hint="eastAsia" w:ascii="黑体" w:hAnsi="宋体" w:eastAsia="黑体" w:cs="黑体"/>
          <w:color w:val="auto"/>
          <w:sz w:val="32"/>
          <w:szCs w:val="32"/>
          <w:highlight w:val="none"/>
          <w:lang w:eastAsia="zh-CN"/>
        </w:rPr>
        <w:t>浙江桐花农业开发有限公司</w:t>
      </w:r>
    </w:p>
    <w:p w14:paraId="4839FE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cs="Times New Roman"/>
          <w:color w:val="auto"/>
          <w:sz w:val="32"/>
          <w:szCs w:val="32"/>
          <w:highlight w:val="none"/>
          <w:lang w:eastAsia="zh-CN"/>
        </w:rPr>
      </w:pPr>
      <w:r>
        <w:rPr>
          <w:rFonts w:hint="eastAsia" w:ascii="黑体" w:hAnsi="新宋体" w:eastAsia="黑体" w:cs="黑体"/>
          <w:color w:val="auto"/>
          <w:sz w:val="32"/>
          <w:szCs w:val="32"/>
          <w:highlight w:val="none"/>
          <w:lang w:eastAsia="zh-CN"/>
        </w:rPr>
        <w:t xml:space="preserve"> </w:t>
      </w:r>
      <w:r>
        <w:rPr>
          <w:rFonts w:hint="eastAsia" w:ascii="黑体" w:hAnsi="新宋体" w:eastAsia="黑体" w:cs="黑体"/>
          <w:color w:val="auto"/>
          <w:sz w:val="32"/>
          <w:szCs w:val="32"/>
          <w:highlight w:val="none"/>
        </w:rPr>
        <w:t>采购代理机构：</w:t>
      </w:r>
      <w:r>
        <w:rPr>
          <w:rFonts w:hint="eastAsia" w:ascii="黑体" w:hAnsi="宋体" w:eastAsia="黑体" w:cs="黑体"/>
          <w:color w:val="auto"/>
          <w:spacing w:val="17"/>
          <w:sz w:val="32"/>
          <w:szCs w:val="32"/>
          <w:highlight w:val="none"/>
          <w:lang w:eastAsia="zh-CN"/>
        </w:rPr>
        <w:t>浙江天健工程造价咨询有限公司</w:t>
      </w:r>
    </w:p>
    <w:p w14:paraId="7C29CD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s="Times New Roman"/>
          <w:color w:val="auto"/>
          <w:sz w:val="32"/>
          <w:szCs w:val="32"/>
          <w:highlight w:val="none"/>
        </w:rPr>
      </w:pPr>
      <w:r>
        <w:rPr>
          <w:rFonts w:hint="eastAsia" w:ascii="黑体" w:hAnsi="宋体" w:eastAsia="黑体" w:cs="黑体"/>
          <w:color w:val="auto"/>
          <w:sz w:val="32"/>
          <w:szCs w:val="32"/>
          <w:highlight w:val="none"/>
        </w:rPr>
        <w:t>二</w:t>
      </w:r>
      <w:r>
        <w:rPr>
          <w:rFonts w:hint="eastAsia" w:ascii="黑体" w:hAnsi="黑体" w:eastAsia="黑体" w:cs="黑体"/>
          <w:color w:val="auto"/>
          <w:sz w:val="32"/>
          <w:szCs w:val="32"/>
          <w:highlight w:val="none"/>
        </w:rPr>
        <w:t>○</w:t>
      </w:r>
      <w:r>
        <w:rPr>
          <w:rFonts w:hint="eastAsia" w:ascii="黑体" w:hAnsi="宋体" w:eastAsia="黑体" w:cs="黑体"/>
          <w:color w:val="auto"/>
          <w:sz w:val="32"/>
          <w:szCs w:val="32"/>
          <w:highlight w:val="none"/>
          <w:lang w:eastAsia="zh-CN"/>
        </w:rPr>
        <w:t>二</w:t>
      </w:r>
      <w:r>
        <w:rPr>
          <w:rFonts w:hint="eastAsia" w:ascii="黑体" w:hAnsi="宋体" w:eastAsia="黑体" w:cs="黑体"/>
          <w:color w:val="auto"/>
          <w:sz w:val="32"/>
          <w:szCs w:val="32"/>
          <w:highlight w:val="none"/>
          <w:lang w:val="en-US" w:eastAsia="zh-CN"/>
        </w:rPr>
        <w:t>四</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val="en-US" w:eastAsia="zh-CN"/>
        </w:rPr>
        <w:t>八</w:t>
      </w:r>
      <w:r>
        <w:rPr>
          <w:rFonts w:hint="eastAsia" w:ascii="黑体" w:hAnsi="宋体" w:eastAsia="黑体" w:cs="黑体"/>
          <w:color w:val="auto"/>
          <w:sz w:val="32"/>
          <w:szCs w:val="32"/>
          <w:highlight w:val="none"/>
        </w:rPr>
        <w:t>月</w:t>
      </w:r>
    </w:p>
    <w:p w14:paraId="659C61DC">
      <w:pPr>
        <w:pStyle w:val="52"/>
        <w:keepNext w:val="0"/>
        <w:keepLines w:val="0"/>
        <w:pageBreakBefore w:val="0"/>
        <w:widowControl w:val="0"/>
        <w:kinsoku/>
        <w:wordWrap/>
        <w:overflowPunct/>
        <w:topLinePunct w:val="0"/>
        <w:autoSpaceDE/>
        <w:autoSpaceDN/>
        <w:bidi w:val="0"/>
        <w:adjustRightInd/>
        <w:snapToGrid w:val="0"/>
        <w:spacing w:line="240" w:lineRule="exact"/>
        <w:ind w:firstLine="0"/>
        <w:jc w:val="center"/>
        <w:textAlignment w:val="auto"/>
        <w:rPr>
          <w:rFonts w:hint="eastAsia" w:ascii="黑体" w:hAnsi="黑体" w:eastAsia="黑体" w:cs="黑体"/>
          <w:color w:val="auto"/>
          <w:sz w:val="44"/>
          <w:szCs w:val="44"/>
          <w:highlight w:val="none"/>
        </w:rPr>
      </w:pPr>
    </w:p>
    <w:p w14:paraId="5077F441">
      <w:pPr>
        <w:pStyle w:val="52"/>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rPr>
          <w:rFonts w:hint="eastAsia" w:ascii="黑体" w:hAnsi="黑体" w:eastAsia="黑体" w:cs="黑体"/>
          <w:color w:val="auto"/>
          <w:sz w:val="44"/>
          <w:szCs w:val="44"/>
          <w:highlight w:val="none"/>
        </w:rPr>
        <w:sectPr>
          <w:headerReference r:id="rId3" w:type="default"/>
          <w:pgSz w:w="11906" w:h="16838"/>
          <w:pgMar w:top="1361" w:right="1304" w:bottom="1191" w:left="1304" w:header="794" w:footer="851" w:gutter="0"/>
          <w:pgBorders>
            <w:top w:val="none" w:sz="0" w:space="0"/>
            <w:left w:val="none" w:sz="0" w:space="0"/>
            <w:bottom w:val="none" w:sz="0" w:space="0"/>
            <w:right w:val="none" w:sz="0" w:space="0"/>
          </w:pgBorders>
          <w:pgNumType w:fmt="decimal" w:start="0"/>
          <w:cols w:space="720" w:num="1"/>
          <w:docGrid w:linePitch="312" w:charSpace="0"/>
        </w:sectPr>
      </w:pPr>
    </w:p>
    <w:p w14:paraId="1C0A791E">
      <w:pPr>
        <w:pStyle w:val="52"/>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5C336610">
      <w:pPr>
        <w:pStyle w:val="52"/>
        <w:snapToGrid w:val="0"/>
        <w:spacing w:line="440" w:lineRule="exact"/>
        <w:ind w:firstLine="0"/>
        <w:rPr>
          <w:rFonts w:ascii="仿宋" w:hAnsi="仿宋" w:eastAsia="仿宋" w:cs="Times New Roman"/>
          <w:color w:val="auto"/>
          <w:sz w:val="32"/>
          <w:szCs w:val="32"/>
          <w:highlight w:val="none"/>
        </w:rPr>
      </w:pPr>
    </w:p>
    <w:p w14:paraId="6D90BBE8">
      <w:pPr>
        <w:pStyle w:val="21"/>
        <w:tabs>
          <w:tab w:val="right" w:leader="dot" w:pos="8735"/>
        </w:tabs>
        <w:spacing w:line="6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TOC \o "1-3" \h \z \u </w:instrText>
      </w:r>
      <w:r>
        <w:rPr>
          <w:rFonts w:hint="eastAsia" w:asciiTheme="minorEastAsia" w:hAnsiTheme="minorEastAsia" w:eastAsiaTheme="minorEastAsia" w:cstheme="minorEastAsia"/>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第一章 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fldChar w:fldCharType="end"/>
      </w:r>
    </w:p>
    <w:p w14:paraId="12EE586D">
      <w:pPr>
        <w:pStyle w:val="21"/>
        <w:tabs>
          <w:tab w:val="right" w:leader="dot" w:pos="8735"/>
        </w:tabs>
        <w:spacing w:line="600" w:lineRule="exac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 xml:space="preserve">第二章 </w:t>
      </w:r>
      <w:r>
        <w:rPr>
          <w:rStyle w:val="37"/>
          <w:rFonts w:hint="eastAsia" w:asciiTheme="minorEastAsia" w:hAnsiTheme="minorEastAsia" w:eastAsiaTheme="minorEastAsia" w:cstheme="minorEastAsia"/>
          <w:color w:val="auto"/>
          <w:highlight w:val="none"/>
          <w:lang w:eastAsia="zh-CN"/>
        </w:rPr>
        <w:t>响应方</w:t>
      </w:r>
      <w:r>
        <w:rPr>
          <w:rStyle w:val="37"/>
          <w:rFonts w:hint="eastAsia" w:asciiTheme="minorEastAsia" w:hAnsiTheme="minorEastAsia" w:eastAsiaTheme="minorEastAsia" w:cstheme="minorEastAsia"/>
          <w:color w:val="auto"/>
          <w:highlight w:val="none"/>
        </w:rPr>
        <w:t>须知及前附表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fldChar w:fldCharType="end"/>
      </w:r>
    </w:p>
    <w:p w14:paraId="340AECAC">
      <w:pPr>
        <w:pStyle w:val="24"/>
        <w:tabs>
          <w:tab w:val="right" w:leader="dot" w:pos="8735"/>
        </w:tabs>
        <w:spacing w:line="600" w:lineRule="exac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"_Toc479236971" </w:instrText>
      </w:r>
      <w:r>
        <w:rPr>
          <w:color w:val="auto"/>
          <w:highlight w:val="none"/>
        </w:rPr>
        <w:fldChar w:fldCharType="separate"/>
      </w:r>
      <w:r>
        <w:rPr>
          <w:rStyle w:val="37"/>
          <w:rFonts w:hint="eastAsia" w:asciiTheme="minorEastAsia" w:hAnsiTheme="minorEastAsia" w:eastAsiaTheme="minorEastAsia" w:cstheme="minorEastAsia"/>
          <w:color w:val="auto"/>
          <w:kern w:val="0"/>
          <w:highlight w:val="none"/>
        </w:rPr>
        <w:t>A、</w:t>
      </w:r>
      <w:r>
        <w:rPr>
          <w:rStyle w:val="37"/>
          <w:rFonts w:hint="eastAsia" w:asciiTheme="minorEastAsia" w:hAnsiTheme="minorEastAsia" w:eastAsiaTheme="minorEastAsia" w:cstheme="minorEastAsia"/>
          <w:color w:val="auto"/>
          <w:kern w:val="0"/>
          <w:highlight w:val="none"/>
          <w:lang w:eastAsia="zh-CN"/>
        </w:rPr>
        <w:t>响应方</w:t>
      </w:r>
      <w:r>
        <w:rPr>
          <w:rStyle w:val="37"/>
          <w:rFonts w:hint="eastAsia" w:asciiTheme="minorEastAsia" w:hAnsiTheme="minorEastAsia" w:eastAsiaTheme="minorEastAsia" w:cstheme="minorEastAsia"/>
          <w:color w:val="auto"/>
          <w:kern w:val="0"/>
          <w:highlight w:val="none"/>
        </w:rPr>
        <w:t>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fldChar w:fldCharType="end"/>
      </w:r>
    </w:p>
    <w:p w14:paraId="677F407B">
      <w:pPr>
        <w:pStyle w:val="24"/>
        <w:tabs>
          <w:tab w:val="right" w:leader="dot" w:pos="8735"/>
        </w:tabs>
        <w:spacing w:line="600" w:lineRule="exac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Style w:val="37"/>
          <w:rFonts w:hint="eastAsia" w:asciiTheme="minorEastAsia" w:hAnsiTheme="minorEastAsia" w:eastAsiaTheme="minorEastAsia" w:cstheme="minorEastAsia"/>
          <w:color w:val="auto"/>
          <w:kern w:val="0"/>
          <w:highlight w:val="none"/>
        </w:rPr>
        <w:t>B、</w:t>
      </w:r>
      <w:r>
        <w:rPr>
          <w:rStyle w:val="37"/>
          <w:rFonts w:hint="eastAsia" w:asciiTheme="minorEastAsia" w:hAnsiTheme="minorEastAsia" w:eastAsiaTheme="minorEastAsia" w:cstheme="minorEastAsia"/>
          <w:color w:val="auto"/>
          <w:kern w:val="0"/>
          <w:highlight w:val="none"/>
          <w:lang w:eastAsia="zh-CN"/>
        </w:rPr>
        <w:t>响应方</w:t>
      </w:r>
      <w:r>
        <w:rPr>
          <w:rStyle w:val="37"/>
          <w:rFonts w:hint="eastAsia" w:asciiTheme="minorEastAsia" w:hAnsiTheme="minorEastAsia" w:eastAsiaTheme="minorEastAsia" w:cstheme="minorEastAsia"/>
          <w:color w:val="auto"/>
          <w:kern w:val="0"/>
          <w:highlight w:val="none"/>
        </w:rPr>
        <w:t>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fldChar w:fldCharType="end"/>
      </w:r>
    </w:p>
    <w:p w14:paraId="6F55CAF4">
      <w:pPr>
        <w:pStyle w:val="21"/>
        <w:tabs>
          <w:tab w:val="right" w:leader="dot" w:pos="8735"/>
        </w:tabs>
        <w:spacing w:line="600" w:lineRule="exact"/>
        <w:rPr>
          <w:rFonts w:hint="eastAsia" w:asciiTheme="minorEastAsia" w:hAnsiTheme="minorEastAsia" w:eastAsiaTheme="minorEastAsia" w:cstheme="minorEastAsia"/>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 xml:space="preserve">第三章 </w:t>
      </w:r>
      <w:r>
        <w:rPr>
          <w:rStyle w:val="37"/>
          <w:rFonts w:hint="eastAsia" w:asciiTheme="minorEastAsia" w:hAnsiTheme="minorEastAsia" w:eastAsiaTheme="minorEastAsia" w:cstheme="minorEastAsia"/>
          <w:color w:val="auto"/>
          <w:highlight w:val="none"/>
          <w:lang w:eastAsia="zh-CN"/>
        </w:rPr>
        <w:t>合同主要条款</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7</w:t>
      </w:r>
    </w:p>
    <w:p w14:paraId="1D1823B0">
      <w:pPr>
        <w:pStyle w:val="21"/>
        <w:tabs>
          <w:tab w:val="right" w:leader="dot" w:pos="8735"/>
        </w:tabs>
        <w:spacing w:line="600" w:lineRule="exact"/>
        <w:rPr>
          <w:rFonts w:hint="default" w:asciiTheme="minorEastAsia" w:hAnsiTheme="minorEastAsia" w:eastAsiaTheme="minorEastAsia" w:cstheme="minorEastAsia"/>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Style w:val="37"/>
          <w:rFonts w:hint="eastAsia" w:asciiTheme="minorEastAsia" w:hAnsiTheme="minorEastAsia" w:eastAsiaTheme="minorEastAsia" w:cstheme="minorEastAsia"/>
          <w:color w:val="auto"/>
          <w:highlight w:val="none"/>
        </w:rPr>
        <w:t xml:space="preserve">第四章 </w:t>
      </w:r>
      <w:r>
        <w:rPr>
          <w:rStyle w:val="37"/>
          <w:rFonts w:hint="eastAsia" w:asciiTheme="minorEastAsia" w:hAnsiTheme="minorEastAsia" w:eastAsiaTheme="minorEastAsia" w:cstheme="minorEastAsia"/>
          <w:color w:val="auto"/>
          <w:highlight w:val="none"/>
          <w:lang w:eastAsia="zh-CN"/>
        </w:rPr>
        <w:t>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21</w:t>
      </w:r>
    </w:p>
    <w:p w14:paraId="60085DB7">
      <w:pPr>
        <w:pStyle w:val="21"/>
        <w:tabs>
          <w:tab w:val="right" w:leader="dot" w:pos="8735"/>
        </w:tabs>
        <w:spacing w:line="600" w:lineRule="exact"/>
        <w:rPr>
          <w:rFonts w:hint="default" w:asciiTheme="minorEastAsia" w:hAnsiTheme="minorEastAsia" w:eastAsiaTheme="minorEastAsia" w:cstheme="minorEastAsia"/>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Style w:val="37"/>
          <w:rFonts w:hint="eastAsia" w:asciiTheme="minorEastAsia" w:hAnsiTheme="minorEastAsia" w:eastAsiaTheme="minorEastAsia" w:cstheme="minorEastAsia"/>
          <w:color w:val="auto"/>
          <w:kern w:val="0"/>
          <w:highlight w:val="none"/>
        </w:rPr>
        <w:t>第五章 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24</w:t>
      </w:r>
    </w:p>
    <w:p w14:paraId="67781FA8">
      <w:pPr>
        <w:jc w:val="center"/>
        <w:rPr>
          <w:rFonts w:ascii="黑体" w:hAnsi="宋体" w:eastAsia="黑体" w:cs="Times New Roman"/>
          <w:color w:val="auto"/>
          <w:sz w:val="32"/>
          <w:szCs w:val="32"/>
          <w:highlight w:val="none"/>
        </w:rPr>
      </w:pPr>
    </w:p>
    <w:p w14:paraId="2DFABAF7">
      <w:pPr>
        <w:jc w:val="center"/>
        <w:rPr>
          <w:rFonts w:ascii="黑体" w:hAnsi="宋体" w:eastAsia="黑体" w:cs="Times New Roman"/>
          <w:color w:val="auto"/>
          <w:sz w:val="32"/>
          <w:szCs w:val="32"/>
          <w:highlight w:val="none"/>
        </w:rPr>
      </w:pPr>
    </w:p>
    <w:p w14:paraId="4262D010">
      <w:pPr>
        <w:jc w:val="center"/>
        <w:rPr>
          <w:rFonts w:ascii="黑体" w:hAnsi="宋体" w:eastAsia="黑体" w:cs="Times New Roman"/>
          <w:color w:val="auto"/>
          <w:sz w:val="32"/>
          <w:szCs w:val="32"/>
          <w:highlight w:val="none"/>
        </w:rPr>
      </w:pPr>
    </w:p>
    <w:p w14:paraId="1E76930A">
      <w:pPr>
        <w:jc w:val="center"/>
        <w:rPr>
          <w:rFonts w:ascii="黑体" w:hAnsi="宋体" w:eastAsia="黑体" w:cs="Times New Roman"/>
          <w:color w:val="auto"/>
          <w:sz w:val="32"/>
          <w:szCs w:val="32"/>
          <w:highlight w:val="none"/>
        </w:rPr>
      </w:pPr>
    </w:p>
    <w:p w14:paraId="75096C45">
      <w:pPr>
        <w:jc w:val="center"/>
        <w:rPr>
          <w:rFonts w:ascii="黑体" w:hAnsi="宋体" w:eastAsia="黑体" w:cs="Times New Roman"/>
          <w:color w:val="auto"/>
          <w:sz w:val="32"/>
          <w:szCs w:val="32"/>
          <w:highlight w:val="none"/>
        </w:rPr>
      </w:pPr>
    </w:p>
    <w:p w14:paraId="17FB9723">
      <w:pPr>
        <w:jc w:val="center"/>
        <w:rPr>
          <w:rFonts w:ascii="黑体" w:hAnsi="宋体" w:eastAsia="黑体" w:cs="Times New Roman"/>
          <w:color w:val="auto"/>
          <w:sz w:val="32"/>
          <w:szCs w:val="32"/>
          <w:highlight w:val="none"/>
        </w:rPr>
      </w:pPr>
    </w:p>
    <w:p w14:paraId="6122FA29">
      <w:pPr>
        <w:jc w:val="center"/>
        <w:rPr>
          <w:rFonts w:ascii="黑体" w:hAnsi="宋体" w:eastAsia="黑体" w:cs="Times New Roman"/>
          <w:color w:val="auto"/>
          <w:sz w:val="32"/>
          <w:szCs w:val="32"/>
          <w:highlight w:val="none"/>
        </w:rPr>
      </w:pPr>
    </w:p>
    <w:p w14:paraId="66093EE9">
      <w:pPr>
        <w:jc w:val="center"/>
        <w:rPr>
          <w:rFonts w:ascii="黑体" w:hAnsi="宋体" w:eastAsia="黑体" w:cs="Times New Roman"/>
          <w:color w:val="auto"/>
          <w:sz w:val="32"/>
          <w:szCs w:val="32"/>
          <w:highlight w:val="none"/>
        </w:rPr>
      </w:pPr>
    </w:p>
    <w:p w14:paraId="78240EDC">
      <w:pPr>
        <w:jc w:val="center"/>
        <w:rPr>
          <w:rFonts w:ascii="黑体" w:hAnsi="宋体" w:eastAsia="黑体" w:cs="Times New Roman"/>
          <w:color w:val="auto"/>
          <w:sz w:val="32"/>
          <w:szCs w:val="32"/>
          <w:highlight w:val="none"/>
        </w:rPr>
      </w:pPr>
    </w:p>
    <w:p w14:paraId="6AF9AD40">
      <w:pPr>
        <w:jc w:val="center"/>
        <w:rPr>
          <w:rFonts w:ascii="黑体" w:hAnsi="宋体" w:eastAsia="黑体" w:cs="Times New Roman"/>
          <w:color w:val="auto"/>
          <w:sz w:val="32"/>
          <w:szCs w:val="32"/>
          <w:highlight w:val="none"/>
        </w:rPr>
      </w:pPr>
    </w:p>
    <w:p w14:paraId="0256779B">
      <w:pPr>
        <w:jc w:val="center"/>
        <w:rPr>
          <w:rFonts w:ascii="黑体" w:hAnsi="宋体" w:eastAsia="黑体" w:cs="Times New Roman"/>
          <w:color w:val="auto"/>
          <w:sz w:val="32"/>
          <w:szCs w:val="32"/>
          <w:highlight w:val="none"/>
        </w:rPr>
      </w:pPr>
    </w:p>
    <w:p w14:paraId="5E24F9F8">
      <w:pPr>
        <w:jc w:val="center"/>
        <w:rPr>
          <w:rFonts w:ascii="黑体" w:hAnsi="宋体" w:eastAsia="黑体" w:cs="Times New Roman"/>
          <w:color w:val="auto"/>
          <w:sz w:val="32"/>
          <w:szCs w:val="32"/>
          <w:highlight w:val="none"/>
        </w:rPr>
      </w:pPr>
    </w:p>
    <w:p w14:paraId="52FD4375">
      <w:pPr>
        <w:jc w:val="center"/>
        <w:rPr>
          <w:rFonts w:ascii="黑体" w:hAnsi="宋体" w:eastAsia="黑体" w:cs="Times New Roman"/>
          <w:color w:val="auto"/>
          <w:sz w:val="32"/>
          <w:szCs w:val="32"/>
          <w:highlight w:val="none"/>
        </w:rPr>
      </w:pPr>
    </w:p>
    <w:p w14:paraId="6AF40E99">
      <w:pPr>
        <w:widowControl/>
        <w:jc w:val="center"/>
        <w:outlineLvl w:val="0"/>
        <w:rPr>
          <w:rFonts w:hint="eastAsia" w:ascii="黑体" w:hAnsi="黑体" w:eastAsia="黑体"/>
          <w:color w:val="auto"/>
          <w:sz w:val="36"/>
          <w:szCs w:val="36"/>
          <w:highlight w:val="none"/>
          <w:shd w:val="clear" w:color="auto" w:fill="FFFFFF"/>
        </w:rPr>
      </w:pPr>
      <w:bookmarkStart w:id="0" w:name="_Toc504642661"/>
      <w:bookmarkStart w:id="1" w:name="_Toc333842542"/>
      <w:bookmarkStart w:id="2" w:name="_Toc358384686"/>
      <w:bookmarkStart w:id="3" w:name="_Toc433917258"/>
      <w:bookmarkStart w:id="4" w:name="_Toc479236970"/>
      <w:bookmarkStart w:id="5" w:name="_Toc326937528"/>
      <w:bookmarkStart w:id="6" w:name="_Toc393201705"/>
    </w:p>
    <w:p w14:paraId="1D70AF4A">
      <w:pPr>
        <w:widowControl/>
        <w:jc w:val="center"/>
        <w:outlineLvl w:val="0"/>
        <w:rPr>
          <w:rFonts w:hint="eastAsia" w:ascii="黑体" w:hAnsi="黑体" w:eastAsia="黑体"/>
          <w:color w:val="auto"/>
          <w:sz w:val="36"/>
          <w:szCs w:val="36"/>
          <w:highlight w:val="none"/>
          <w:shd w:val="clear" w:color="auto" w:fill="FFFFFF"/>
        </w:rPr>
      </w:pPr>
    </w:p>
    <w:p w14:paraId="1C13CA88">
      <w:pPr>
        <w:widowControl/>
        <w:jc w:val="center"/>
        <w:outlineLvl w:val="0"/>
        <w:rPr>
          <w:rFonts w:hint="eastAsia" w:ascii="黑体" w:hAnsi="黑体" w:eastAsia="黑体"/>
          <w:color w:val="auto"/>
          <w:sz w:val="36"/>
          <w:szCs w:val="36"/>
          <w:highlight w:val="none"/>
          <w:shd w:val="clear" w:color="auto" w:fill="FFFFFF"/>
        </w:rPr>
      </w:pPr>
    </w:p>
    <w:p w14:paraId="39AAE0AA">
      <w:pPr>
        <w:widowControl/>
        <w:jc w:val="center"/>
        <w:outlineLvl w:val="0"/>
        <w:rPr>
          <w:rFonts w:hint="eastAsia" w:ascii="黑体" w:hAnsi="黑体" w:eastAsia="黑体"/>
          <w:color w:val="auto"/>
          <w:sz w:val="36"/>
          <w:szCs w:val="36"/>
          <w:highlight w:val="none"/>
          <w:shd w:val="clear" w:color="auto" w:fill="FFFFFF"/>
        </w:rPr>
      </w:pPr>
    </w:p>
    <w:p w14:paraId="7165FFCC">
      <w:pPr>
        <w:widowControl/>
        <w:jc w:val="center"/>
        <w:outlineLvl w:val="0"/>
        <w:rPr>
          <w:rFonts w:hint="eastAsia" w:ascii="黑体" w:hAnsi="黑体" w:eastAsia="黑体"/>
          <w:color w:val="auto"/>
          <w:sz w:val="36"/>
          <w:szCs w:val="36"/>
          <w:highlight w:val="none"/>
          <w:shd w:val="clear" w:color="auto" w:fill="FFFFFF"/>
        </w:rPr>
      </w:pPr>
    </w:p>
    <w:p w14:paraId="711DCF80">
      <w:pPr>
        <w:widowControl/>
        <w:jc w:val="center"/>
        <w:outlineLvl w:val="0"/>
        <w:rPr>
          <w:rFonts w:hint="eastAsia" w:ascii="黑体" w:hAnsi="黑体" w:eastAsia="黑体"/>
          <w:color w:val="auto"/>
          <w:sz w:val="36"/>
          <w:szCs w:val="36"/>
          <w:highlight w:val="none"/>
          <w:shd w:val="clear" w:color="auto" w:fill="FFFFFF"/>
        </w:rPr>
      </w:pPr>
    </w:p>
    <w:p w14:paraId="2E0C3CEA">
      <w:pPr>
        <w:widowControl/>
        <w:jc w:val="center"/>
        <w:outlineLvl w:val="0"/>
        <w:rPr>
          <w:rFonts w:hint="eastAsia" w:ascii="黑体" w:hAnsi="黑体" w:eastAsia="黑体"/>
          <w:color w:val="auto"/>
          <w:sz w:val="36"/>
          <w:szCs w:val="36"/>
          <w:highlight w:val="none"/>
          <w:shd w:val="clear" w:color="auto" w:fill="FFFFFF"/>
        </w:rPr>
      </w:pPr>
    </w:p>
    <w:p w14:paraId="19FA5EA8">
      <w:pPr>
        <w:widowControl/>
        <w:jc w:val="center"/>
        <w:outlineLvl w:val="0"/>
        <w:rPr>
          <w:rFonts w:ascii="黑体" w:hAnsi="黑体" w:eastAsia="黑体"/>
          <w:color w:val="auto"/>
          <w:sz w:val="36"/>
          <w:szCs w:val="36"/>
          <w:highlight w:val="none"/>
          <w:shd w:val="clear" w:color="auto" w:fill="FFFFFF"/>
        </w:rPr>
      </w:pPr>
      <w:r>
        <w:rPr>
          <w:rFonts w:hint="eastAsia" w:ascii="黑体" w:hAnsi="黑体" w:eastAsia="黑体"/>
          <w:color w:val="auto"/>
          <w:sz w:val="36"/>
          <w:szCs w:val="36"/>
          <w:highlight w:val="none"/>
          <w:shd w:val="clear" w:color="auto" w:fill="FFFFFF"/>
        </w:rPr>
        <w:t>第一章  竞争性磋商</w:t>
      </w:r>
      <w:bookmarkEnd w:id="0"/>
      <w:r>
        <w:rPr>
          <w:rFonts w:hint="eastAsia" w:ascii="黑体" w:hAnsi="黑体" w:eastAsia="黑体"/>
          <w:color w:val="auto"/>
          <w:sz w:val="36"/>
          <w:szCs w:val="36"/>
          <w:highlight w:val="none"/>
          <w:shd w:val="clear" w:color="auto" w:fill="FFFFFF"/>
        </w:rPr>
        <w:t>公告</w:t>
      </w:r>
    </w:p>
    <w:p w14:paraId="01ED269F">
      <w:pPr>
        <w:pStyle w:val="25"/>
        <w:spacing w:beforeAutospacing="0" w:afterAutospacing="0" w:line="330" w:lineRule="exact"/>
        <w:ind w:firstLine="480" w:firstLineChars="200"/>
        <w:rPr>
          <w:rFonts w:ascii="仿宋" w:hAnsi="仿宋" w:eastAsia="仿宋"/>
          <w:color w:val="auto"/>
          <w:sz w:val="24"/>
          <w:szCs w:val="24"/>
          <w:highlight w:val="none"/>
        </w:rPr>
      </w:pPr>
    </w:p>
    <w:p w14:paraId="5D9BDD8C">
      <w:pPr>
        <w:pStyle w:val="25"/>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jc w:val="both"/>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根据《中华人民共和国政府采购法》、《政府采购竞争性磋商采购方式管理暂行办法》等有关规定，经</w:t>
      </w:r>
      <w:r>
        <w:rPr>
          <w:rFonts w:hint="eastAsia" w:asciiTheme="minorEastAsia" w:hAnsiTheme="minorEastAsia" w:eastAsiaTheme="minorEastAsia" w:cstheme="minorEastAsia"/>
          <w:color w:val="auto"/>
          <w:sz w:val="21"/>
          <w:szCs w:val="21"/>
          <w:highlight w:val="none"/>
          <w:lang w:eastAsia="zh-CN"/>
        </w:rPr>
        <w:t>相关</w:t>
      </w:r>
      <w:r>
        <w:rPr>
          <w:rFonts w:hint="eastAsia" w:asciiTheme="minorEastAsia" w:hAnsiTheme="minorEastAsia" w:eastAsiaTheme="minorEastAsia" w:cstheme="minorEastAsia"/>
          <w:color w:val="auto"/>
          <w:sz w:val="21"/>
          <w:szCs w:val="21"/>
          <w:highlight w:val="none"/>
        </w:rPr>
        <w:t>部门批准，</w:t>
      </w:r>
      <w:r>
        <w:rPr>
          <w:rFonts w:hint="eastAsia" w:asciiTheme="minorEastAsia" w:hAnsiTheme="minorEastAsia" w:eastAsiaTheme="minorEastAsia" w:cstheme="minorEastAsia"/>
          <w:color w:val="auto"/>
          <w:sz w:val="21"/>
          <w:szCs w:val="21"/>
          <w:highlight w:val="none"/>
          <w:lang w:eastAsia="zh-CN"/>
        </w:rPr>
        <w:t>浙江天健工程造价咨询有限公司</w:t>
      </w:r>
      <w:r>
        <w:rPr>
          <w:rFonts w:hint="eastAsia" w:asciiTheme="minorEastAsia" w:hAnsiTheme="minorEastAsia" w:eastAsiaTheme="minorEastAsia" w:cstheme="minorEastAsia"/>
          <w:color w:val="auto"/>
          <w:sz w:val="21"/>
          <w:szCs w:val="21"/>
          <w:highlight w:val="none"/>
        </w:rPr>
        <w:t>受采购单位---</w:t>
      </w:r>
      <w:r>
        <w:rPr>
          <w:rFonts w:hint="eastAsia" w:asciiTheme="minorEastAsia" w:hAnsiTheme="minorEastAsia" w:eastAsiaTheme="minorEastAsia" w:cstheme="minorEastAsia"/>
          <w:color w:val="auto"/>
          <w:sz w:val="21"/>
          <w:szCs w:val="21"/>
          <w:highlight w:val="none"/>
          <w:lang w:eastAsia="zh-CN"/>
        </w:rPr>
        <w:t>浙江桐花农业开发有限公司</w:t>
      </w:r>
      <w:r>
        <w:rPr>
          <w:rFonts w:hint="eastAsia" w:asciiTheme="minorEastAsia" w:hAnsiTheme="minorEastAsia" w:eastAsiaTheme="minorEastAsia" w:cstheme="minorEastAsia"/>
          <w:color w:val="auto"/>
          <w:sz w:val="21"/>
          <w:szCs w:val="21"/>
          <w:highlight w:val="none"/>
        </w:rPr>
        <w:t>委托，就</w:t>
      </w:r>
      <w:r>
        <w:rPr>
          <w:rFonts w:hint="eastAsia" w:asciiTheme="minorEastAsia" w:hAnsiTheme="minorEastAsia" w:eastAsiaTheme="minorEastAsia" w:cstheme="minorEastAsia"/>
          <w:color w:val="auto"/>
          <w:sz w:val="21"/>
          <w:szCs w:val="21"/>
          <w:highlight w:val="none"/>
          <w:lang w:eastAsia="zh-CN"/>
        </w:rPr>
        <w:t>开化县小农机助力乡村振兴项目</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shd w:val="clear" w:color="auto" w:fill="FFFFFF"/>
        </w:rPr>
        <w:t>竞争性磋商</w:t>
      </w:r>
      <w:r>
        <w:rPr>
          <w:rFonts w:hint="eastAsia" w:asciiTheme="minorEastAsia" w:hAnsiTheme="minorEastAsia" w:eastAsiaTheme="minorEastAsia" w:cstheme="minorEastAsia"/>
          <w:color w:val="auto"/>
          <w:sz w:val="21"/>
          <w:szCs w:val="21"/>
          <w:highlight w:val="none"/>
        </w:rPr>
        <w:t>，欢迎合格的供应商前来响应，</w:t>
      </w:r>
      <w:r>
        <w:rPr>
          <w:rFonts w:hint="eastAsia" w:asciiTheme="minorEastAsia" w:hAnsiTheme="minorEastAsia" w:eastAsiaTheme="minorEastAsia" w:cstheme="minorEastAsia"/>
          <w:bCs/>
          <w:color w:val="auto"/>
          <w:sz w:val="21"/>
          <w:szCs w:val="21"/>
          <w:highlight w:val="none"/>
        </w:rPr>
        <w:t>公告</w:t>
      </w:r>
      <w:r>
        <w:rPr>
          <w:rFonts w:hint="eastAsia" w:asciiTheme="minorEastAsia" w:hAnsiTheme="minorEastAsia" w:eastAsiaTheme="minorEastAsia" w:cstheme="minorEastAsia"/>
          <w:color w:val="auto"/>
          <w:sz w:val="21"/>
          <w:szCs w:val="21"/>
          <w:highlight w:val="none"/>
        </w:rPr>
        <w:t>如下：</w:t>
      </w:r>
    </w:p>
    <w:p w14:paraId="65C7A8D1">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b/>
          <w:bCs/>
          <w:color w:val="auto"/>
          <w:highlight w:val="none"/>
          <w:shd w:val="clear" w:color="auto" w:fill="FFFFFF"/>
        </w:rPr>
        <w:t>1、采购类型、方式</w:t>
      </w:r>
      <w:r>
        <w:rPr>
          <w:rFonts w:hint="eastAsia" w:asciiTheme="minorEastAsia" w:hAnsiTheme="minorEastAsia" w:eastAsiaTheme="minorEastAsia" w:cstheme="minorEastAsia"/>
          <w:bCs/>
          <w:color w:val="auto"/>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rPr>
        <w:t>分散采购</w:t>
      </w:r>
      <w:r>
        <w:rPr>
          <w:rFonts w:hint="eastAsia" w:asciiTheme="minorEastAsia" w:hAnsiTheme="minorEastAsia" w:eastAsiaTheme="minorEastAsia" w:cstheme="minorEastAsia"/>
          <w:color w:val="auto"/>
          <w:highlight w:val="none"/>
          <w:shd w:val="clear" w:color="auto" w:fill="FFFFFF"/>
        </w:rPr>
        <w:t>，竞争性磋商</w:t>
      </w:r>
    </w:p>
    <w:p w14:paraId="496B81D8">
      <w:pPr>
        <w:keepNext w:val="0"/>
        <w:keepLines w:val="0"/>
        <w:pageBreakBefore w:val="0"/>
        <w:kinsoku/>
        <w:wordWrap/>
        <w:overflowPunct/>
        <w:topLinePunct w:val="0"/>
        <w:autoSpaceDE/>
        <w:autoSpaceDN/>
        <w:bidi w:val="0"/>
        <w:adjustRightInd/>
        <w:snapToGrid/>
        <w:spacing w:line="380" w:lineRule="exact"/>
        <w:ind w:firstLine="397" w:firstLineChars="192"/>
        <w:textAlignment w:val="auto"/>
        <w:rPr>
          <w:rFonts w:hint="eastAsia" w:asciiTheme="minorEastAsia" w:hAnsiTheme="minorEastAsia" w:eastAsiaTheme="minorEastAsia" w:cstheme="minorEastAsia"/>
          <w:color w:val="auto"/>
          <w:spacing w:val="-2"/>
          <w:highlight w:val="none"/>
          <w:shd w:val="clear" w:color="auto" w:fill="FFFFFF"/>
          <w:lang w:eastAsia="zh-CN"/>
        </w:rPr>
      </w:pPr>
      <w:r>
        <w:rPr>
          <w:rFonts w:hint="eastAsia" w:asciiTheme="minorEastAsia" w:hAnsiTheme="minorEastAsia" w:eastAsiaTheme="minorEastAsia" w:cstheme="minorEastAsia"/>
          <w:b/>
          <w:color w:val="auto"/>
          <w:spacing w:val="-2"/>
          <w:highlight w:val="none"/>
          <w:shd w:val="clear" w:color="auto" w:fill="FFFFFF"/>
        </w:rPr>
        <w:t>2、采购项目名称</w:t>
      </w:r>
      <w:r>
        <w:rPr>
          <w:rFonts w:hint="eastAsia" w:asciiTheme="minorEastAsia" w:hAnsiTheme="minorEastAsia" w:eastAsiaTheme="minorEastAsia" w:cstheme="minorEastAsia"/>
          <w:b/>
          <w:color w:val="auto"/>
          <w:spacing w:val="-2"/>
          <w:highlight w:val="none"/>
          <w:shd w:val="clear" w:color="auto" w:fill="FFFFFF"/>
          <w:lang w:eastAsia="zh-CN"/>
        </w:rPr>
        <w:t>：</w:t>
      </w:r>
      <w:r>
        <w:rPr>
          <w:rFonts w:hint="eastAsia" w:asciiTheme="minorEastAsia" w:hAnsiTheme="minorEastAsia" w:eastAsiaTheme="minorEastAsia" w:cstheme="minorEastAsia"/>
          <w:b w:val="0"/>
          <w:bCs/>
          <w:color w:val="auto"/>
          <w:spacing w:val="-2"/>
          <w:highlight w:val="none"/>
          <w:shd w:val="clear" w:color="auto" w:fill="FFFFFF"/>
          <w:lang w:eastAsia="zh-CN"/>
        </w:rPr>
        <w:t>开化县钱江源共富农品精深加工项目——物联网数据系统和桐村畈基地水肥一体机（非政府采购）</w:t>
      </w:r>
    </w:p>
    <w:p w14:paraId="5B4808BA">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b/>
          <w:color w:val="auto"/>
          <w:highlight w:val="none"/>
          <w:shd w:val="clear" w:color="auto" w:fill="FFFFFF"/>
        </w:rPr>
        <w:t>3、采购项目编号：</w:t>
      </w:r>
      <w:r>
        <w:rPr>
          <w:rFonts w:hint="eastAsia" w:asciiTheme="minorEastAsia" w:hAnsiTheme="minorEastAsia" w:eastAsiaTheme="minorEastAsia" w:cstheme="minorEastAsia"/>
          <w:b w:val="0"/>
          <w:bCs/>
          <w:color w:val="auto"/>
          <w:highlight w:val="none"/>
          <w:shd w:val="clear" w:color="auto" w:fill="FFFFFF"/>
          <w:lang w:eastAsia="zh-CN"/>
        </w:rPr>
        <w:t>ZJTJKH2024-08-02</w:t>
      </w:r>
    </w:p>
    <w:p w14:paraId="2E61D67B">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4、采购内容</w:t>
      </w:r>
      <w:r>
        <w:rPr>
          <w:rFonts w:hint="eastAsia" w:asciiTheme="minorEastAsia" w:hAnsiTheme="minorEastAsia" w:eastAsiaTheme="minorEastAsia" w:cstheme="minorEastAsia"/>
          <w:color w:val="auto"/>
          <w:highlight w:val="none"/>
          <w:shd w:val="clear" w:color="auto" w:fill="FFFFFF"/>
        </w:rPr>
        <w:t>：</w:t>
      </w:r>
    </w:p>
    <w:tbl>
      <w:tblPr>
        <w:tblStyle w:val="3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62"/>
        <w:gridCol w:w="2632"/>
        <w:gridCol w:w="604"/>
        <w:gridCol w:w="788"/>
        <w:gridCol w:w="2072"/>
        <w:gridCol w:w="2693"/>
      </w:tblGrid>
      <w:tr w14:paraId="4DD8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1" w:hRule="atLeast"/>
        </w:trPr>
        <w:tc>
          <w:tcPr>
            <w:tcW w:w="562" w:type="dxa"/>
            <w:vAlign w:val="center"/>
          </w:tcPr>
          <w:p w14:paraId="138857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序号</w:t>
            </w:r>
          </w:p>
        </w:tc>
        <w:tc>
          <w:tcPr>
            <w:tcW w:w="2632" w:type="dxa"/>
            <w:vAlign w:val="center"/>
          </w:tcPr>
          <w:p w14:paraId="19FDCD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采购内容</w:t>
            </w:r>
          </w:p>
        </w:tc>
        <w:tc>
          <w:tcPr>
            <w:tcW w:w="604" w:type="dxa"/>
            <w:vAlign w:val="center"/>
          </w:tcPr>
          <w:p w14:paraId="264F1F8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数量</w:t>
            </w:r>
          </w:p>
        </w:tc>
        <w:tc>
          <w:tcPr>
            <w:tcW w:w="788" w:type="dxa"/>
            <w:vAlign w:val="center"/>
          </w:tcPr>
          <w:p w14:paraId="20BBE3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单位</w:t>
            </w:r>
          </w:p>
        </w:tc>
        <w:tc>
          <w:tcPr>
            <w:tcW w:w="2072" w:type="dxa"/>
            <w:vAlign w:val="center"/>
          </w:tcPr>
          <w:p w14:paraId="6B5F41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采购预算</w:t>
            </w:r>
            <w:r>
              <w:rPr>
                <w:rFonts w:hint="eastAsia" w:ascii="宋体" w:hAnsi="宋体" w:cs="宋体"/>
                <w:color w:val="auto"/>
                <w:kern w:val="0"/>
                <w:highlight w:val="none"/>
                <w:lang w:val="en-US" w:eastAsia="zh-CN"/>
              </w:rPr>
              <w:t>/最高限价</w:t>
            </w:r>
          </w:p>
        </w:tc>
        <w:tc>
          <w:tcPr>
            <w:tcW w:w="2693" w:type="dxa"/>
            <w:vAlign w:val="center"/>
          </w:tcPr>
          <w:p w14:paraId="37AAAC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简要技术要求、用途</w:t>
            </w:r>
          </w:p>
        </w:tc>
      </w:tr>
      <w:tr w14:paraId="3370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562" w:type="dxa"/>
            <w:vAlign w:val="center"/>
          </w:tcPr>
          <w:p w14:paraId="797EEC9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default" w:ascii="宋体" w:hAnsi="宋体" w:cs="宋体"/>
                <w:color w:val="auto"/>
                <w:kern w:val="0"/>
                <w:highlight w:val="none"/>
              </w:rPr>
              <w:t>1</w:t>
            </w:r>
          </w:p>
        </w:tc>
        <w:tc>
          <w:tcPr>
            <w:tcW w:w="2632" w:type="dxa"/>
            <w:vAlign w:val="center"/>
          </w:tcPr>
          <w:p w14:paraId="59DC35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开化县钱江源共富农品精深加工项目——物联网数据系统和桐村畈基地水肥一体机（非政府采购）</w:t>
            </w:r>
          </w:p>
        </w:tc>
        <w:tc>
          <w:tcPr>
            <w:tcW w:w="604" w:type="dxa"/>
            <w:vAlign w:val="center"/>
          </w:tcPr>
          <w:p w14:paraId="74536D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w:t>
            </w:r>
          </w:p>
        </w:tc>
        <w:tc>
          <w:tcPr>
            <w:tcW w:w="788" w:type="dxa"/>
            <w:vAlign w:val="center"/>
          </w:tcPr>
          <w:p w14:paraId="4F3568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项</w:t>
            </w:r>
          </w:p>
        </w:tc>
        <w:tc>
          <w:tcPr>
            <w:tcW w:w="2072" w:type="dxa"/>
            <w:vAlign w:val="center"/>
          </w:tcPr>
          <w:p w14:paraId="5C219E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197.0327万元</w:t>
            </w:r>
          </w:p>
        </w:tc>
        <w:tc>
          <w:tcPr>
            <w:tcW w:w="2693" w:type="dxa"/>
            <w:vAlign w:val="center"/>
          </w:tcPr>
          <w:p w14:paraId="5D5F45E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cs="宋体"/>
                <w:color w:val="auto"/>
                <w:kern w:val="0"/>
                <w:highlight w:val="none"/>
              </w:rPr>
            </w:pPr>
            <w:r>
              <w:rPr>
                <w:rFonts w:hint="eastAsia" w:ascii="宋体" w:hAnsi="宋体" w:cs="宋体"/>
                <w:color w:val="auto"/>
                <w:kern w:val="0"/>
                <w:highlight w:val="none"/>
              </w:rPr>
              <w:t>详见采购文件</w:t>
            </w:r>
          </w:p>
          <w:p w14:paraId="175F1B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第</w:t>
            </w:r>
            <w:r>
              <w:rPr>
                <w:rFonts w:hint="eastAsia" w:ascii="宋体" w:hAnsi="宋体" w:cs="宋体"/>
                <w:color w:val="auto"/>
                <w:kern w:val="0"/>
                <w:highlight w:val="none"/>
                <w:lang w:eastAsia="zh-CN"/>
              </w:rPr>
              <w:t>四</w:t>
            </w:r>
            <w:r>
              <w:rPr>
                <w:rFonts w:hint="eastAsia" w:ascii="宋体" w:hAnsi="宋体" w:cs="宋体"/>
                <w:color w:val="auto"/>
                <w:kern w:val="0"/>
                <w:highlight w:val="none"/>
              </w:rPr>
              <w:t>章</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采购需求</w:t>
            </w:r>
            <w:r>
              <w:rPr>
                <w:rFonts w:hint="eastAsia" w:ascii="宋体" w:hAnsi="宋体" w:cs="宋体"/>
                <w:color w:val="auto"/>
                <w:kern w:val="0"/>
                <w:highlight w:val="none"/>
                <w:lang w:eastAsia="zh-CN"/>
              </w:rPr>
              <w:t>》</w:t>
            </w:r>
          </w:p>
        </w:tc>
      </w:tr>
    </w:tbl>
    <w:p w14:paraId="30572844">
      <w:pPr>
        <w:keepNext w:val="0"/>
        <w:keepLines w:val="0"/>
        <w:pageBreakBefore w:val="0"/>
        <w:kinsoku/>
        <w:wordWrap/>
        <w:overflowPunct/>
        <w:topLinePunct w:val="0"/>
        <w:autoSpaceDE/>
        <w:autoSpaceDN/>
        <w:bidi w:val="0"/>
        <w:adjustRightInd/>
        <w:snapToGrid/>
        <w:spacing w:line="380" w:lineRule="exact"/>
        <w:ind w:firstLine="405" w:firstLineChars="192"/>
        <w:textAlignment w:val="auto"/>
        <w:rPr>
          <w:rFonts w:hint="default"/>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计划工期：</w:t>
      </w:r>
      <w:r>
        <w:rPr>
          <w:rFonts w:hint="eastAsia" w:hAnsi="宋体" w:cs="宋体"/>
          <w:color w:val="auto"/>
          <w:highlight w:val="none"/>
          <w:lang w:val="en-US" w:eastAsia="zh-CN"/>
        </w:rPr>
        <w:t>自</w:t>
      </w:r>
      <w:r>
        <w:rPr>
          <w:rFonts w:hint="eastAsia" w:hAnsi="宋体" w:cs="宋体"/>
          <w:color w:val="auto"/>
          <w:highlight w:val="none"/>
          <w:u w:val="none"/>
          <w:lang w:val="en-US" w:eastAsia="zh-CN"/>
        </w:rPr>
        <w:t>合同签订当日起，</w:t>
      </w:r>
      <w:r>
        <w:rPr>
          <w:rFonts w:hint="eastAsia" w:hAnsi="宋体" w:cs="宋体"/>
          <w:b/>
          <w:bCs/>
          <w:color w:val="auto"/>
          <w:highlight w:val="none"/>
          <w:u w:val="single"/>
          <w:lang w:val="en-US" w:eastAsia="zh-CN"/>
        </w:rPr>
        <w:t>30</w:t>
      </w:r>
      <w:r>
        <w:rPr>
          <w:rFonts w:hint="eastAsia" w:hAnsi="宋体" w:cs="宋体"/>
          <w:color w:val="auto"/>
          <w:highlight w:val="none"/>
          <w:u w:val="none"/>
          <w:lang w:val="en-US" w:eastAsia="zh-CN"/>
        </w:rPr>
        <w:t>个日历天内完成</w:t>
      </w:r>
      <w:r>
        <w:rPr>
          <w:rFonts w:hint="eastAsia" w:hAnsi="宋体" w:cs="宋体"/>
          <w:b w:val="0"/>
          <w:bCs/>
          <w:color w:val="auto"/>
          <w:kern w:val="21"/>
          <w:sz w:val="21"/>
          <w:szCs w:val="21"/>
          <w:highlight w:val="none"/>
          <w:u w:val="none"/>
          <w:lang w:val="en-US" w:eastAsia="zh-CN"/>
        </w:rPr>
        <w:t>供货、</w:t>
      </w:r>
      <w:r>
        <w:rPr>
          <w:rFonts w:hint="eastAsia" w:ascii="宋体" w:hAnsi="宋体" w:cs="宋体"/>
          <w:b w:val="0"/>
          <w:bCs/>
          <w:color w:val="auto"/>
          <w:kern w:val="21"/>
          <w:sz w:val="21"/>
          <w:szCs w:val="21"/>
          <w:highlight w:val="none"/>
          <w:lang w:eastAsia="zh-CN"/>
        </w:rPr>
        <w:t>安装、</w:t>
      </w:r>
      <w:r>
        <w:rPr>
          <w:rFonts w:hint="eastAsia" w:ascii="宋体" w:hAnsi="宋体" w:eastAsia="宋体" w:cs="宋体"/>
          <w:color w:val="auto"/>
          <w:sz w:val="21"/>
          <w:szCs w:val="21"/>
          <w:highlight w:val="none"/>
          <w:lang w:eastAsia="zh-CN"/>
        </w:rPr>
        <w:t>调试、验收合格并交付使用</w:t>
      </w:r>
      <w:r>
        <w:rPr>
          <w:rFonts w:hint="eastAsia" w:ascii="宋体" w:hAnsi="宋体" w:cs="宋体"/>
          <w:b w:val="0"/>
          <w:bCs/>
          <w:color w:val="auto"/>
          <w:kern w:val="21"/>
          <w:sz w:val="21"/>
          <w:szCs w:val="21"/>
          <w:highlight w:val="none"/>
          <w:lang w:eastAsia="zh-CN"/>
        </w:rPr>
        <w:t>。</w:t>
      </w:r>
    </w:p>
    <w:p w14:paraId="69E601A2">
      <w:pPr>
        <w:pStyle w:val="15"/>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3617148A">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5.1符合《中华人民共和国政府采购法》第二十二条</w:t>
      </w:r>
      <w:r>
        <w:rPr>
          <w:rFonts w:hint="eastAsia" w:asciiTheme="minorEastAsia" w:hAnsiTheme="minorEastAsia" w:eastAsiaTheme="minorEastAsia" w:cstheme="minorEastAsia"/>
          <w:color w:val="auto"/>
          <w:kern w:val="0"/>
          <w:highlight w:val="none"/>
          <w:shd w:val="clear" w:color="auto" w:fill="FFFFFF"/>
          <w:lang w:eastAsia="zh-CN"/>
        </w:rPr>
        <w:t>规定。</w:t>
      </w:r>
    </w:p>
    <w:p w14:paraId="4C4DF2B4">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5.2必须为未被列入信用中国网站(www.creditchina.gov.cn)、中国政府采购网(www.ccgp.gov.cn)渠道信用记录失信被执行人、重大税收违法案件当事人名单、政府采购严重违法失信行为记录名单的响应方。</w:t>
      </w:r>
    </w:p>
    <w:p w14:paraId="7B6CDE0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eastAsia="宋体" w:asciiTheme="minorEastAsia" w:hAnsi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rPr>
        <w:t>5.</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宋体" w:hAnsi="宋体" w:cs="宋体"/>
          <w:color w:val="auto"/>
          <w:highlight w:val="none"/>
        </w:rPr>
        <w:t>落实政府采购政策需满足的资格要求：</w:t>
      </w:r>
      <w:r>
        <w:rPr>
          <w:rFonts w:hint="eastAsia" w:ascii="宋体" w:hAnsi="宋体" w:cs="宋体"/>
          <w:color w:val="auto"/>
          <w:highlight w:val="none"/>
          <w:u w:val="single"/>
        </w:rPr>
        <w:t xml:space="preserve">  本项目专门面向中小企业  </w:t>
      </w:r>
      <w:r>
        <w:rPr>
          <w:rFonts w:hint="eastAsia" w:ascii="宋体" w:hAnsi="宋体" w:cs="宋体"/>
          <w:color w:val="auto"/>
          <w:highlight w:val="none"/>
          <w:u w:val="none"/>
          <w:lang w:eastAsia="zh-CN"/>
        </w:rPr>
        <w:t>；</w:t>
      </w:r>
    </w:p>
    <w:p w14:paraId="5B472326">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5.4</w:t>
      </w:r>
      <w:r>
        <w:rPr>
          <w:rFonts w:hint="eastAsia" w:ascii="宋体" w:hAnsi="宋体" w:cs="宋体"/>
          <w:color w:val="auto"/>
          <w:highlight w:val="none"/>
        </w:rPr>
        <w:t>本项目的特定资格要求：</w:t>
      </w:r>
      <w:r>
        <w:rPr>
          <w:rFonts w:hint="eastAsia" w:ascii="宋体" w:hAnsi="宋体" w:cs="宋体"/>
          <w:color w:val="auto"/>
          <w:highlight w:val="none"/>
          <w:u w:val="single"/>
        </w:rPr>
        <w:t xml:space="preserve">  无</w:t>
      </w:r>
      <w:r>
        <w:rPr>
          <w:rFonts w:hint="eastAsia" w:ascii="宋体" w:hAnsi="宋体" w:cs="宋体"/>
          <w:color w:val="auto"/>
          <w:highlight w:val="none"/>
          <w:u w:val="single"/>
          <w:lang w:val="en-US" w:eastAsia="zh-CN"/>
        </w:rPr>
        <w:t xml:space="preserve">  </w:t>
      </w:r>
      <w:r>
        <w:rPr>
          <w:rFonts w:hint="eastAsia" w:asciiTheme="minorEastAsia" w:hAnsiTheme="minorEastAsia" w:eastAsiaTheme="minorEastAsia" w:cstheme="minorEastAsia"/>
          <w:color w:val="auto"/>
          <w:kern w:val="0"/>
          <w:highlight w:val="none"/>
          <w:shd w:val="clear" w:color="auto" w:fill="FFFFFF"/>
        </w:rPr>
        <w:t>。</w:t>
      </w:r>
    </w:p>
    <w:p w14:paraId="7356CE09">
      <w:pPr>
        <w:pStyle w:val="25"/>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textAlignment w:val="auto"/>
        <w:rPr>
          <w:rFonts w:hint="default" w:asciiTheme="minorEastAsia" w:hAnsiTheme="minorEastAsia" w:eastAsiaTheme="minorEastAsia" w:cstheme="minorEastAsia"/>
          <w:b/>
          <w:bCs/>
          <w:color w:val="auto"/>
          <w:sz w:val="21"/>
          <w:szCs w:val="21"/>
          <w:highlight w:val="none"/>
          <w:shd w:val="clear" w:color="auto" w:fill="FFFFFF"/>
          <w:lang w:val="en-US"/>
        </w:rPr>
      </w:pPr>
      <w:r>
        <w:rPr>
          <w:rFonts w:hint="eastAsia" w:ascii="宋体" w:hAnsi="宋体" w:cs="宋体"/>
          <w:color w:val="auto"/>
          <w:sz w:val="21"/>
          <w:szCs w:val="21"/>
          <w:highlight w:val="none"/>
          <w:lang w:val="en-US" w:eastAsia="zh-CN"/>
        </w:rPr>
        <w:t>5.5</w:t>
      </w:r>
      <w:r>
        <w:rPr>
          <w:rFonts w:hint="eastAsia" w:ascii="宋体" w:hAnsi="宋体" w:cs="宋体"/>
          <w:color w:val="auto"/>
          <w:sz w:val="21"/>
          <w:szCs w:val="21"/>
          <w:highlight w:val="none"/>
          <w:lang w:eastAsia="zh-CN"/>
        </w:rPr>
        <w:t>本项目不接受联合体投标。</w:t>
      </w:r>
      <w:r>
        <w:rPr>
          <w:rFonts w:hint="eastAsia" w:ascii="宋体" w:hAnsi="宋体" w:cs="宋体"/>
          <w:color w:val="auto"/>
          <w:sz w:val="21"/>
          <w:szCs w:val="21"/>
          <w:highlight w:val="none"/>
          <w:lang w:val="en-US" w:eastAsia="zh-CN"/>
        </w:rPr>
        <w:t xml:space="preserve"> </w:t>
      </w:r>
    </w:p>
    <w:p w14:paraId="4B7945E7">
      <w:pPr>
        <w:pStyle w:val="25"/>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22" w:firstLineChars="200"/>
        <w:textAlignment w:val="auto"/>
        <w:rPr>
          <w:rFonts w:hint="default" w:ascii="宋体" w:hAnsi="宋体" w:eastAsia="宋体"/>
          <w:b/>
          <w:color w:val="auto"/>
          <w:sz w:val="21"/>
          <w:highlight w:val="none"/>
        </w:rPr>
      </w:pPr>
      <w:r>
        <w:rPr>
          <w:rFonts w:hint="eastAsia" w:ascii="宋体" w:hAnsi="宋体" w:eastAsia="宋体"/>
          <w:b/>
          <w:color w:val="auto"/>
          <w:sz w:val="21"/>
          <w:highlight w:val="none"/>
        </w:rPr>
        <w:t>6、获取磋商文件方式：</w:t>
      </w:r>
    </w:p>
    <w:p w14:paraId="1FB9EC7E">
      <w:pPr>
        <w:pStyle w:val="25"/>
        <w:keepNext w:val="0"/>
        <w:keepLines w:val="0"/>
        <w:pageBreakBefore w:val="0"/>
        <w:kinsoku/>
        <w:wordWrap/>
        <w:overflowPunct/>
        <w:topLinePunct w:val="0"/>
        <w:autoSpaceDE/>
        <w:autoSpaceDN/>
        <w:bidi w:val="0"/>
        <w:adjustRightInd/>
        <w:snapToGrid/>
        <w:spacing w:beforeAutospacing="0" w:afterAutospacing="0" w:line="380" w:lineRule="exact"/>
        <w:ind w:firstLine="420" w:firstLineChars="200"/>
        <w:jc w:val="both"/>
        <w:textAlignment w:val="auto"/>
        <w:rPr>
          <w:rFonts w:hint="eastAsia" w:eastAsia="宋体" w:asciiTheme="minorEastAsia" w:hAnsi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rPr>
        <w:t>本项目不报名</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shd w:val="clear" w:color="auto" w:fill="FFFFFF"/>
          <w:lang w:val="en-US" w:eastAsia="zh-CN"/>
        </w:rPr>
        <w:t>竞争性</w:t>
      </w:r>
      <w:r>
        <w:rPr>
          <w:rFonts w:hint="eastAsia" w:asciiTheme="minorEastAsia" w:hAnsiTheme="minorEastAsia" w:eastAsiaTheme="minorEastAsia" w:cstheme="minorEastAsia"/>
          <w:color w:val="auto"/>
          <w:sz w:val="21"/>
          <w:szCs w:val="21"/>
          <w:highlight w:val="none"/>
          <w:shd w:val="clear" w:color="auto" w:fill="FFFFFF"/>
        </w:rPr>
        <w:t>磋商采购文件在浙江政府采购网（</w:t>
      </w:r>
      <w:r>
        <w:rPr>
          <w:rFonts w:hint="eastAsia" w:asciiTheme="minorEastAsia" w:hAnsiTheme="minorEastAsia" w:eastAsiaTheme="minorEastAsia" w:cstheme="minorEastAsia"/>
          <w:color w:val="auto"/>
          <w:sz w:val="21"/>
          <w:szCs w:val="21"/>
          <w:highlight w:val="none"/>
          <w:shd w:val="clear" w:color="auto" w:fill="FFFFFF"/>
          <w:lang w:eastAsia="zh-CN"/>
        </w:rPr>
        <w:t>http://zfcg.czt.zj.gov.cn/</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shd w:val="clear" w:color="auto" w:fill="FFFFFF"/>
          <w:lang w:eastAsia="zh-CN"/>
        </w:rPr>
        <w:t>。</w:t>
      </w:r>
    </w:p>
    <w:p w14:paraId="6097EFD2">
      <w:pPr>
        <w:pStyle w:val="25"/>
        <w:keepNext w:val="0"/>
        <w:keepLines w:val="0"/>
        <w:pageBreakBefore w:val="0"/>
        <w:kinsoku/>
        <w:wordWrap/>
        <w:overflowPunct/>
        <w:topLinePunct w:val="0"/>
        <w:autoSpaceDE/>
        <w:autoSpaceDN/>
        <w:bidi w:val="0"/>
        <w:adjustRightInd/>
        <w:snapToGrid/>
        <w:spacing w:beforeAutospacing="0" w:afterAutospacing="0" w:line="380" w:lineRule="exact"/>
        <w:ind w:firstLine="422" w:firstLineChars="200"/>
        <w:textAlignment w:val="auto"/>
        <w:rPr>
          <w:rFonts w:hint="default" w:ascii="宋体"/>
          <w:b/>
          <w:color w:val="auto"/>
          <w:sz w:val="21"/>
          <w:highlight w:val="none"/>
        </w:rPr>
      </w:pPr>
      <w:r>
        <w:rPr>
          <w:rFonts w:hint="default" w:ascii="宋体" w:hAnsi="宋体"/>
          <w:b/>
          <w:color w:val="auto"/>
          <w:sz w:val="21"/>
          <w:highlight w:val="none"/>
        </w:rPr>
        <w:t>7、投标材料的递交：</w:t>
      </w:r>
    </w:p>
    <w:p w14:paraId="0B23A81E">
      <w:pPr>
        <w:pStyle w:val="25"/>
        <w:keepNext w:val="0"/>
        <w:keepLines w:val="0"/>
        <w:pageBreakBefore w:val="0"/>
        <w:shd w:val="clear" w:color="auto" w:fill="FFFFFF"/>
        <w:tabs>
          <w:tab w:val="left" w:pos="6930"/>
        </w:tabs>
        <w:kinsoku/>
        <w:wordWrap/>
        <w:overflowPunct/>
        <w:topLinePunct w:val="0"/>
        <w:autoSpaceDE/>
        <w:autoSpaceDN/>
        <w:bidi w:val="0"/>
        <w:adjustRightInd/>
        <w:snapToGrid/>
        <w:spacing w:beforeAutospacing="0" w:afterAutospacing="0" w:line="380" w:lineRule="exact"/>
        <w:ind w:firstLine="422" w:firstLineChars="200"/>
        <w:textAlignment w:val="auto"/>
        <w:rPr>
          <w:rFonts w:hint="default" w:ascii="宋体" w:hAnsi="宋体" w:eastAsia="宋体"/>
          <w:b/>
          <w:color w:val="auto"/>
          <w:sz w:val="21"/>
          <w:highlight w:val="none"/>
        </w:rPr>
      </w:pPr>
      <w:r>
        <w:rPr>
          <w:rFonts w:hint="eastAsia" w:ascii="宋体" w:hAnsi="宋体" w:eastAsia="宋体"/>
          <w:b/>
          <w:color w:val="auto"/>
          <w:sz w:val="21"/>
          <w:highlight w:val="none"/>
        </w:rPr>
        <w:t>7.</w:t>
      </w:r>
      <w:r>
        <w:rPr>
          <w:rFonts w:hint="eastAsia" w:ascii="宋体" w:hAnsi="宋体"/>
          <w:b/>
          <w:color w:val="auto"/>
          <w:sz w:val="21"/>
          <w:highlight w:val="none"/>
          <w:lang w:val="en-US" w:eastAsia="zh-CN"/>
        </w:rPr>
        <w:t>1</w:t>
      </w:r>
      <w:r>
        <w:rPr>
          <w:rFonts w:hint="eastAsia" w:ascii="宋体" w:hAnsi="宋体" w:eastAsia="宋体"/>
          <w:b/>
          <w:color w:val="auto"/>
          <w:sz w:val="21"/>
          <w:highlight w:val="none"/>
        </w:rPr>
        <w:t>现场递交</w:t>
      </w:r>
    </w:p>
    <w:p w14:paraId="7EBC9DCE">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宋体" w:hAnsi="宋体" w:cs="宋体"/>
          <w:b/>
          <w:bCs/>
          <w:color w:val="auto"/>
          <w:highlight w:val="none"/>
        </w:rPr>
      </w:pPr>
      <w:r>
        <w:rPr>
          <w:rFonts w:hint="eastAsia" w:ascii="宋体" w:hAnsi="宋体" w:cs="宋体"/>
          <w:b/>
          <w:bCs/>
          <w:color w:val="auto"/>
          <w:highlight w:val="none"/>
        </w:rPr>
        <w:t>7.</w:t>
      </w:r>
      <w:r>
        <w:rPr>
          <w:rFonts w:hint="eastAsia" w:ascii="宋体" w:hAnsi="宋体" w:cs="宋体"/>
          <w:b/>
          <w:bCs/>
          <w:color w:val="auto"/>
          <w:highlight w:val="none"/>
          <w:lang w:val="en-US" w:eastAsia="zh-CN"/>
        </w:rPr>
        <w:t>1</w:t>
      </w:r>
      <w:r>
        <w:rPr>
          <w:rFonts w:hint="eastAsia" w:ascii="宋体" w:hAnsi="宋体" w:cs="宋体"/>
          <w:b/>
          <w:bCs/>
          <w:color w:val="auto"/>
          <w:highlight w:val="none"/>
        </w:rPr>
        <w:t>.1</w:t>
      </w:r>
      <w:r>
        <w:rPr>
          <w:rFonts w:hint="eastAsia" w:ascii="宋体" w:hAnsi="宋体" w:cs="宋体"/>
          <w:b/>
          <w:bCs/>
          <w:color w:val="auto"/>
          <w:sz w:val="21"/>
          <w:highlight w:val="none"/>
        </w:rPr>
        <w:t>响应人应委托1名响应代表携带本人身份证（委托代理人还须持法定代表人授权委托书）递交响应文件。</w:t>
      </w:r>
    </w:p>
    <w:p w14:paraId="491A6A88">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接收文件地点：开化县公共资源交易中心开标区(开化县凤凰南路2号5楼)</w:t>
      </w:r>
    </w:p>
    <w:p w14:paraId="6F807A0D">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宋体" w:hAnsi="宋体" w:cs="宋体"/>
          <w:b/>
          <w:bCs/>
          <w:color w:val="auto"/>
          <w:highlight w:val="none"/>
        </w:rPr>
      </w:pPr>
      <w:r>
        <w:rPr>
          <w:rFonts w:hint="eastAsia" w:ascii="宋体" w:hAnsi="宋体" w:cs="宋体"/>
          <w:b/>
          <w:bCs/>
          <w:color w:val="auto"/>
          <w:highlight w:val="none"/>
        </w:rPr>
        <w:t>响应截止时间：</w:t>
      </w:r>
      <w:r>
        <w:rPr>
          <w:rFonts w:hint="eastAsia" w:ascii="宋体" w:hAnsi="宋体" w:cs="宋体"/>
          <w:b/>
          <w:bCs/>
          <w:color w:val="auto"/>
          <w:highlight w:val="none"/>
          <w:u w:val="single"/>
        </w:rPr>
        <w:t>202</w:t>
      </w:r>
      <w:r>
        <w:rPr>
          <w:rFonts w:hint="eastAsia" w:ascii="宋体" w:hAnsi="宋体" w:cs="宋体"/>
          <w:b/>
          <w:bCs/>
          <w:color w:val="auto"/>
          <w:highlight w:val="none"/>
          <w:u w:val="single"/>
          <w:lang w:val="en-US" w:eastAsia="zh-CN"/>
        </w:rPr>
        <w:t>4</w:t>
      </w:r>
      <w:r>
        <w:rPr>
          <w:rFonts w:hint="eastAsia" w:ascii="宋体" w:hAnsi="宋体" w:cs="宋体"/>
          <w:b/>
          <w:bCs/>
          <w:color w:val="auto"/>
          <w:highlight w:val="none"/>
        </w:rPr>
        <w:t>年</w:t>
      </w:r>
      <w:r>
        <w:rPr>
          <w:rFonts w:hint="eastAsia" w:ascii="宋体" w:hAnsi="宋体" w:cs="宋体"/>
          <w:b/>
          <w:bCs/>
          <w:color w:val="auto"/>
          <w:highlight w:val="none"/>
          <w:u w:val="single"/>
          <w:lang w:val="en-US" w:eastAsia="zh-CN"/>
        </w:rPr>
        <w:t xml:space="preserve"> 08 </w:t>
      </w:r>
      <w:r>
        <w:rPr>
          <w:rFonts w:hint="eastAsia" w:ascii="宋体" w:hAnsi="宋体" w:cs="宋体"/>
          <w:b/>
          <w:bCs/>
          <w:color w:val="auto"/>
          <w:highlight w:val="none"/>
        </w:rPr>
        <w:t>月</w:t>
      </w:r>
      <w:r>
        <w:rPr>
          <w:rFonts w:hint="eastAsia" w:ascii="宋体" w:hAnsi="宋体" w:cs="宋体"/>
          <w:b/>
          <w:bCs/>
          <w:color w:val="auto"/>
          <w:highlight w:val="none"/>
          <w:u w:val="single"/>
          <w:lang w:val="en-US" w:eastAsia="zh-CN"/>
        </w:rPr>
        <w:t xml:space="preserve"> 26 </w:t>
      </w:r>
      <w:r>
        <w:rPr>
          <w:rFonts w:hint="eastAsia" w:ascii="宋体" w:hAnsi="宋体" w:cs="宋体"/>
          <w:b/>
          <w:bCs/>
          <w:color w:val="auto"/>
          <w:highlight w:val="none"/>
        </w:rPr>
        <w:t>日</w:t>
      </w:r>
      <w:r>
        <w:rPr>
          <w:rFonts w:hint="eastAsia" w:ascii="宋体" w:hAnsi="宋体" w:cs="宋体"/>
          <w:b/>
          <w:bCs/>
          <w:color w:val="auto"/>
          <w:highlight w:val="none"/>
          <w:u w:val="single"/>
          <w:lang w:val="en-US" w:eastAsia="zh-CN"/>
        </w:rPr>
        <w:t xml:space="preserve"> 18:30 </w:t>
      </w:r>
      <w:r>
        <w:rPr>
          <w:rFonts w:hint="eastAsia" w:ascii="宋体" w:hAnsi="宋体" w:cs="宋体"/>
          <w:b/>
          <w:bCs/>
          <w:color w:val="auto"/>
          <w:highlight w:val="none"/>
        </w:rPr>
        <w:t>时整</w:t>
      </w:r>
    </w:p>
    <w:p w14:paraId="384E377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1</w:t>
      </w:r>
      <w:r>
        <w:rPr>
          <w:rFonts w:hint="eastAsia" w:ascii="宋体" w:hAnsi="宋体" w:cs="宋体"/>
          <w:color w:val="auto"/>
          <w:highlight w:val="none"/>
        </w:rPr>
        <w:t>.3请各响应人在递交完响应文件后，立即离场</w:t>
      </w:r>
      <w:r>
        <w:rPr>
          <w:rFonts w:hint="eastAsia" w:ascii="宋体" w:hAnsi="宋体" w:cs="宋体"/>
          <w:color w:val="auto"/>
          <w:highlight w:val="none"/>
          <w:lang w:eastAsia="zh-CN"/>
        </w:rPr>
        <w:t>，并按规定在指定地点，保持手机畅通，接到代理机构通知后，逐一磋商</w:t>
      </w:r>
      <w:r>
        <w:rPr>
          <w:rFonts w:hint="eastAsia" w:ascii="宋体" w:hAnsi="宋体" w:cs="宋体"/>
          <w:color w:val="auto"/>
          <w:highlight w:val="none"/>
        </w:rPr>
        <w:t>。响应人应服从开化县公共资源交易中心和代理机构现场管理，其他有关事项由代理机构现场统筹协调处理。</w:t>
      </w:r>
    </w:p>
    <w:p w14:paraId="4FCED9D2">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1</w:t>
      </w:r>
      <w:r>
        <w:rPr>
          <w:rFonts w:hint="eastAsia" w:ascii="宋体" w:hAnsi="宋体" w:cs="宋体"/>
          <w:color w:val="auto"/>
          <w:highlight w:val="none"/>
        </w:rPr>
        <w:t>.4为避免人群聚集，请响应人务必做好风险评估，建议提前1小时以上到达现场。</w:t>
      </w:r>
    </w:p>
    <w:p w14:paraId="56FFB1E0">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2</w:t>
      </w:r>
      <w:r>
        <w:rPr>
          <w:rFonts w:hint="eastAsia" w:ascii="宋体" w:hAnsi="宋体" w:cs="宋体"/>
          <w:color w:val="auto"/>
          <w:highlight w:val="none"/>
        </w:rPr>
        <w:t xml:space="preserve"> 逾期送达的或者未送达指定地点的响应文件，采购人不予受理。</w:t>
      </w:r>
    </w:p>
    <w:p w14:paraId="6F5DF77D">
      <w:pPr>
        <w:pStyle w:val="25"/>
        <w:keepNext w:val="0"/>
        <w:keepLines w:val="0"/>
        <w:pageBreakBefore w:val="0"/>
        <w:widowControl w:val="0"/>
        <w:tabs>
          <w:tab w:val="left" w:pos="6930"/>
        </w:tabs>
        <w:kinsoku/>
        <w:wordWrap/>
        <w:overflowPunct/>
        <w:topLinePunct w:val="0"/>
        <w:autoSpaceDE/>
        <w:autoSpaceDN/>
        <w:bidi w:val="0"/>
        <w:adjustRightInd/>
        <w:snapToGrid/>
        <w:spacing w:beforeAutospacing="0" w:afterAutospacing="0" w:line="380" w:lineRule="exact"/>
        <w:ind w:firstLine="422" w:firstLineChars="200"/>
        <w:jc w:val="both"/>
        <w:textAlignment w:val="auto"/>
        <w:rPr>
          <w:rFonts w:hint="default" w:ascii="宋体" w:hAnsi="宋体"/>
          <w:b/>
          <w:color w:val="auto"/>
          <w:sz w:val="21"/>
          <w:highlight w:val="none"/>
        </w:rPr>
      </w:pPr>
    </w:p>
    <w:p w14:paraId="50BC0D20">
      <w:pPr>
        <w:pStyle w:val="25"/>
        <w:keepNext w:val="0"/>
        <w:keepLines w:val="0"/>
        <w:pageBreakBefore w:val="0"/>
        <w:widowControl w:val="0"/>
        <w:tabs>
          <w:tab w:val="left" w:pos="6930"/>
        </w:tabs>
        <w:kinsoku/>
        <w:wordWrap/>
        <w:overflowPunct/>
        <w:topLinePunct w:val="0"/>
        <w:autoSpaceDE/>
        <w:autoSpaceDN/>
        <w:bidi w:val="0"/>
        <w:adjustRightInd/>
        <w:snapToGrid/>
        <w:spacing w:beforeAutospacing="0" w:afterAutospacing="0" w:line="380" w:lineRule="exact"/>
        <w:ind w:firstLine="422" w:firstLineChars="200"/>
        <w:jc w:val="both"/>
        <w:textAlignment w:val="auto"/>
        <w:rPr>
          <w:rFonts w:hint="default" w:ascii="宋体" w:hAnsi="宋体"/>
          <w:b/>
          <w:color w:val="auto"/>
          <w:sz w:val="21"/>
          <w:highlight w:val="none"/>
        </w:rPr>
      </w:pPr>
      <w:r>
        <w:rPr>
          <w:rFonts w:hint="default" w:ascii="宋体" w:hAnsi="宋体"/>
          <w:b/>
          <w:color w:val="auto"/>
          <w:sz w:val="21"/>
          <w:highlight w:val="none"/>
        </w:rPr>
        <w:t>7.</w:t>
      </w:r>
      <w:r>
        <w:rPr>
          <w:rFonts w:hint="eastAsia" w:ascii="宋体" w:hAnsi="宋体"/>
          <w:b/>
          <w:color w:val="auto"/>
          <w:sz w:val="21"/>
          <w:highlight w:val="none"/>
          <w:lang w:val="en-US" w:eastAsia="zh-CN"/>
        </w:rPr>
        <w:t>3</w:t>
      </w:r>
      <w:r>
        <w:rPr>
          <w:rFonts w:hint="default" w:ascii="宋体" w:hAnsi="宋体"/>
          <w:b/>
          <w:color w:val="auto"/>
          <w:sz w:val="21"/>
          <w:highlight w:val="none"/>
        </w:rPr>
        <w:t>相关原件</w:t>
      </w:r>
    </w:p>
    <w:p w14:paraId="4C85B664">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default" w:ascii="宋体" w:hAnsi="宋体"/>
          <w:b/>
          <w:color w:val="auto"/>
          <w:sz w:val="21"/>
          <w:highlight w:val="none"/>
        </w:rPr>
      </w:pPr>
      <w:r>
        <w:rPr>
          <w:rFonts w:hint="default" w:ascii="宋体" w:hAnsi="宋体"/>
          <w:b/>
          <w:color w:val="auto"/>
          <w:sz w:val="21"/>
          <w:highlight w:val="none"/>
        </w:rPr>
        <w:t>7.</w:t>
      </w:r>
      <w:r>
        <w:rPr>
          <w:rFonts w:hint="eastAsia" w:ascii="宋体" w:hAnsi="宋体"/>
          <w:b/>
          <w:color w:val="auto"/>
          <w:sz w:val="21"/>
          <w:highlight w:val="none"/>
          <w:lang w:val="en-US" w:eastAsia="zh-CN"/>
        </w:rPr>
        <w:t>3</w:t>
      </w:r>
      <w:r>
        <w:rPr>
          <w:rFonts w:hint="default" w:ascii="宋体" w:hAnsi="宋体"/>
          <w:b/>
          <w:color w:val="auto"/>
          <w:sz w:val="21"/>
          <w:highlight w:val="none"/>
        </w:rPr>
        <w:t>.1评标有关的原件无需携带至开标现场备查，响应文件中涉及的资质证书等证明材料须为扫描件，响应文件正本一律使用彩色打印</w:t>
      </w:r>
      <w:r>
        <w:rPr>
          <w:rFonts w:hint="eastAsia" w:ascii="宋体" w:hAnsi="宋体"/>
          <w:b/>
          <w:color w:val="auto"/>
          <w:sz w:val="21"/>
          <w:highlight w:val="none"/>
          <w:lang w:eastAsia="zh-CN"/>
        </w:rPr>
        <w:t>，</w:t>
      </w:r>
      <w:r>
        <w:rPr>
          <w:rFonts w:hint="eastAsia" w:ascii="宋体" w:hAnsi="宋体" w:cs="宋体"/>
          <w:b/>
          <w:bCs/>
          <w:color w:val="auto"/>
          <w:highlight w:val="none"/>
        </w:rPr>
        <w:t>副本可以为正本复印件</w:t>
      </w:r>
      <w:r>
        <w:rPr>
          <w:rFonts w:hint="default" w:ascii="宋体" w:hAnsi="宋体"/>
          <w:b/>
          <w:color w:val="auto"/>
          <w:sz w:val="21"/>
          <w:highlight w:val="none"/>
        </w:rPr>
        <w:t>。</w:t>
      </w:r>
    </w:p>
    <w:p w14:paraId="3EAE3AEF">
      <w:pPr>
        <w:pStyle w:val="25"/>
        <w:keepNext w:val="0"/>
        <w:keepLines w:val="0"/>
        <w:pageBreakBefore w:val="0"/>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lang w:val="en-US" w:eastAsia="zh-CN"/>
        </w:rPr>
        <w:t>8</w:t>
      </w:r>
      <w:r>
        <w:rPr>
          <w:rFonts w:hint="eastAsia" w:asciiTheme="minorEastAsia" w:hAnsiTheme="minorEastAsia" w:eastAsiaTheme="minorEastAsia" w:cstheme="minorEastAsia"/>
          <w:b/>
          <w:bCs/>
          <w:color w:val="auto"/>
          <w:sz w:val="21"/>
          <w:szCs w:val="21"/>
          <w:highlight w:val="none"/>
          <w:shd w:val="clear" w:color="auto" w:fill="FFFFFF"/>
        </w:rPr>
        <w:t>、磋商时间、地点：</w:t>
      </w:r>
    </w:p>
    <w:p w14:paraId="58ED3A6C">
      <w:pPr>
        <w:pStyle w:val="25"/>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0" w:firstLineChars="200"/>
        <w:textAlignment w:val="auto"/>
        <w:rPr>
          <w:rFonts w:asciiTheme="minorEastAsia" w:hAnsiTheme="minorEastAsia" w:eastAsiaTheme="minorEastAsia" w:cstheme="minorEastAsia"/>
          <w:b w:val="0"/>
          <w:bCs/>
          <w:color w:val="auto"/>
          <w:sz w:val="21"/>
          <w:szCs w:val="21"/>
          <w:highlight w:val="none"/>
          <w:shd w:val="clear" w:color="auto" w:fill="FFFFFF"/>
        </w:rPr>
      </w:pPr>
      <w:r>
        <w:rPr>
          <w:rFonts w:hint="eastAsia" w:asciiTheme="minorEastAsia" w:hAnsiTheme="minorEastAsia" w:eastAsiaTheme="minorEastAsia" w:cstheme="minorEastAsia"/>
          <w:bCs/>
          <w:color w:val="auto"/>
          <w:sz w:val="21"/>
          <w:szCs w:val="21"/>
          <w:highlight w:val="none"/>
          <w:shd w:val="clear" w:color="auto" w:fill="FFFFFF"/>
          <w:lang w:val="en-US" w:eastAsia="zh-CN"/>
        </w:rPr>
        <w:t>8</w:t>
      </w:r>
      <w:r>
        <w:rPr>
          <w:rFonts w:hint="eastAsia" w:asciiTheme="minorEastAsia" w:hAnsiTheme="minorEastAsia" w:eastAsiaTheme="minorEastAsia" w:cstheme="minorEastAsia"/>
          <w:bCs/>
          <w:color w:val="auto"/>
          <w:sz w:val="21"/>
          <w:szCs w:val="21"/>
          <w:highlight w:val="none"/>
          <w:shd w:val="clear" w:color="auto" w:fill="FFFFFF"/>
        </w:rPr>
        <w:t>.1磋</w:t>
      </w:r>
      <w:r>
        <w:rPr>
          <w:rFonts w:hint="eastAsia" w:asciiTheme="minorEastAsia" w:hAnsiTheme="minorEastAsia" w:eastAsiaTheme="minorEastAsia" w:cstheme="minorEastAsia"/>
          <w:b w:val="0"/>
          <w:bCs/>
          <w:color w:val="auto"/>
          <w:sz w:val="21"/>
          <w:szCs w:val="21"/>
          <w:highlight w:val="none"/>
          <w:shd w:val="clear" w:color="auto" w:fill="FFFFFF"/>
        </w:rPr>
        <w:t>商时间：</w:t>
      </w:r>
      <w:r>
        <w:rPr>
          <w:rFonts w:hint="eastAsia" w:ascii="宋体" w:hAnsi="宋体" w:cs="宋体"/>
          <w:b w:val="0"/>
          <w:bCs w:val="0"/>
          <w:color w:val="auto"/>
          <w:sz w:val="21"/>
          <w:szCs w:val="21"/>
          <w:highlight w:val="none"/>
          <w:u w:val="single"/>
        </w:rPr>
        <w:t>202</w:t>
      </w:r>
      <w:r>
        <w:rPr>
          <w:rFonts w:hint="eastAsia" w:ascii="宋体" w:hAnsi="宋体" w:cs="宋体"/>
          <w:b w:val="0"/>
          <w:bCs w:val="0"/>
          <w:color w:val="auto"/>
          <w:sz w:val="21"/>
          <w:szCs w:val="21"/>
          <w:highlight w:val="none"/>
          <w:u w:val="single"/>
          <w:lang w:val="en-US" w:eastAsia="zh-CN"/>
        </w:rPr>
        <w:t>4</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u w:val="single"/>
          <w:lang w:val="en-US" w:eastAsia="zh-CN"/>
        </w:rPr>
        <w:t xml:space="preserve"> 08 </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u w:val="single"/>
          <w:lang w:val="en-US" w:eastAsia="zh-CN"/>
        </w:rPr>
        <w:t xml:space="preserve"> 26 </w:t>
      </w:r>
      <w:r>
        <w:rPr>
          <w:rFonts w:hint="eastAsia" w:ascii="宋体" w:hAnsi="宋体" w:cs="宋体"/>
          <w:b w:val="0"/>
          <w:bCs w:val="0"/>
          <w:color w:val="auto"/>
          <w:sz w:val="21"/>
          <w:szCs w:val="21"/>
          <w:highlight w:val="none"/>
        </w:rPr>
        <w:t>日</w:t>
      </w:r>
      <w:r>
        <w:rPr>
          <w:rFonts w:hint="eastAsia" w:ascii="宋体" w:hAnsi="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u w:val="single"/>
          <w:lang w:val="en-US" w:eastAsia="zh-CN"/>
        </w:rPr>
        <w:t xml:space="preserve"> 18:30 </w:t>
      </w:r>
      <w:r>
        <w:rPr>
          <w:rFonts w:hint="eastAsia" w:ascii="宋体" w:hAnsi="宋体" w:cs="宋体"/>
          <w:b w:val="0"/>
          <w:bCs w:val="0"/>
          <w:color w:val="auto"/>
          <w:sz w:val="21"/>
          <w:szCs w:val="21"/>
          <w:highlight w:val="none"/>
        </w:rPr>
        <w:t>时整</w:t>
      </w:r>
    </w:p>
    <w:p w14:paraId="01E11BC9">
      <w:pPr>
        <w:pStyle w:val="25"/>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b w:val="0"/>
          <w:bCs/>
          <w:color w:val="auto"/>
          <w:sz w:val="21"/>
          <w:szCs w:val="21"/>
          <w:highlight w:val="none"/>
          <w:shd w:val="clear" w:color="auto" w:fill="FFFFFF"/>
          <w:lang w:val="en-US" w:eastAsia="zh-CN"/>
        </w:rPr>
        <w:t>8</w:t>
      </w:r>
      <w:r>
        <w:rPr>
          <w:rFonts w:hint="eastAsia" w:asciiTheme="minorEastAsia" w:hAnsiTheme="minorEastAsia" w:eastAsiaTheme="minorEastAsia" w:cstheme="minorEastAsia"/>
          <w:b w:val="0"/>
          <w:bCs/>
          <w:color w:val="auto"/>
          <w:sz w:val="21"/>
          <w:szCs w:val="21"/>
          <w:highlight w:val="none"/>
          <w:shd w:val="clear" w:color="auto" w:fill="FFFFFF"/>
        </w:rPr>
        <w:t>.2磋商地点：</w:t>
      </w:r>
      <w:r>
        <w:rPr>
          <w:rFonts w:hint="eastAsia" w:ascii="宋体" w:hAnsi="宋体" w:cs="宋体"/>
          <w:color w:val="auto"/>
          <w:sz w:val="21"/>
          <w:szCs w:val="21"/>
          <w:highlight w:val="none"/>
          <w:lang w:eastAsia="zh-CN"/>
        </w:rPr>
        <w:t>开化县公共资源交易中心开标区(开化县凤凰南路2号5楼)</w:t>
      </w:r>
    </w:p>
    <w:p w14:paraId="27DF1378">
      <w:pPr>
        <w:pStyle w:val="25"/>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2" w:firstLineChars="200"/>
        <w:textAlignment w:val="auto"/>
        <w:rPr>
          <w:rFonts w:hint="default" w:ascii="宋体" w:hAnsi="宋体"/>
          <w:b/>
          <w:color w:val="auto"/>
          <w:sz w:val="21"/>
          <w:highlight w:val="none"/>
        </w:rPr>
      </w:pPr>
      <w:r>
        <w:rPr>
          <w:rFonts w:hint="default" w:ascii="宋体" w:hAnsi="宋体"/>
          <w:b/>
          <w:color w:val="auto"/>
          <w:sz w:val="21"/>
          <w:highlight w:val="none"/>
        </w:rPr>
        <w:t>9.询标</w:t>
      </w:r>
    </w:p>
    <w:p w14:paraId="1FB2D4DA">
      <w:pPr>
        <w:pStyle w:val="25"/>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0" w:firstLineChars="200"/>
        <w:textAlignment w:val="auto"/>
        <w:rPr>
          <w:rFonts w:hint="default" w:ascii="宋体" w:hAnsi="宋体"/>
          <w:color w:val="auto"/>
          <w:sz w:val="21"/>
          <w:highlight w:val="none"/>
        </w:rPr>
      </w:pPr>
      <w:r>
        <w:rPr>
          <w:rFonts w:hint="default" w:ascii="宋体" w:hAnsi="宋体"/>
          <w:color w:val="auto"/>
          <w:sz w:val="21"/>
          <w:highlight w:val="none"/>
        </w:rPr>
        <w:t>9.1评标时评标委员会认为需要响应人作出必要澄清、说明的，将以电话、电子邮件的方式进行询标。响应人的答复函需经法定代表人或委托代理人签字后通过电子邮件发至指定邮箱（</w:t>
      </w:r>
      <w:r>
        <w:rPr>
          <w:rFonts w:hint="eastAsia" w:ascii="宋体" w:hAnsi="宋体"/>
          <w:color w:val="auto"/>
          <w:sz w:val="21"/>
          <w:highlight w:val="none"/>
          <w:lang w:val="en-US" w:eastAsia="zh-CN"/>
        </w:rPr>
        <w:t>50768802</w:t>
      </w:r>
      <w:r>
        <w:rPr>
          <w:rFonts w:hint="default" w:ascii="宋体" w:hAnsi="宋体"/>
          <w:color w:val="auto"/>
          <w:sz w:val="21"/>
          <w:highlight w:val="none"/>
        </w:rPr>
        <w:t>@qq.</w:t>
      </w:r>
    </w:p>
    <w:p w14:paraId="6664C0BD">
      <w:pPr>
        <w:pStyle w:val="25"/>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Theme="minorEastAsia" w:hAnsiTheme="minorEastAsia" w:eastAsiaTheme="minorEastAsia" w:cstheme="minorEastAsia"/>
          <w:b/>
          <w:color w:val="auto"/>
          <w:sz w:val="21"/>
          <w:szCs w:val="21"/>
          <w:highlight w:val="none"/>
          <w:shd w:val="clear" w:color="auto" w:fill="FFFFFF"/>
          <w:lang w:val="en-US" w:eastAsia="zh-CN"/>
        </w:rPr>
      </w:pPr>
      <w:r>
        <w:rPr>
          <w:rFonts w:hint="default" w:ascii="宋体" w:hAnsi="宋体"/>
          <w:color w:val="auto"/>
          <w:sz w:val="21"/>
          <w:highlight w:val="none"/>
        </w:rPr>
        <w:t>com）。每次询标答复时间不得超过</w:t>
      </w:r>
      <w:r>
        <w:rPr>
          <w:rFonts w:hint="eastAsia" w:ascii="宋体" w:hAnsi="宋体"/>
          <w:color w:val="auto"/>
          <w:sz w:val="21"/>
          <w:highlight w:val="none"/>
          <w:lang w:val="en-US" w:eastAsia="zh-CN"/>
        </w:rPr>
        <w:t>30</w:t>
      </w:r>
      <w:r>
        <w:rPr>
          <w:rFonts w:hint="default" w:ascii="宋体" w:hAnsi="宋体"/>
          <w:color w:val="auto"/>
          <w:sz w:val="21"/>
          <w:highlight w:val="none"/>
        </w:rPr>
        <w:t>分钟，以询标邮件实际发出时间为准，逾时做自动放弃处理。</w:t>
      </w:r>
    </w:p>
    <w:p w14:paraId="1771DFC1">
      <w:pPr>
        <w:pStyle w:val="25"/>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color w:val="auto"/>
          <w:sz w:val="21"/>
          <w:szCs w:val="21"/>
          <w:highlight w:val="none"/>
          <w:shd w:val="clear" w:color="auto" w:fill="FFFFFF"/>
          <w:lang w:val="en-US" w:eastAsia="zh-CN"/>
        </w:rPr>
        <w:t>10</w:t>
      </w:r>
      <w:r>
        <w:rPr>
          <w:rFonts w:hint="eastAsia" w:asciiTheme="minorEastAsia" w:hAnsiTheme="minorEastAsia" w:eastAsiaTheme="minorEastAsia" w:cstheme="minorEastAsia"/>
          <w:b/>
          <w:bCs/>
          <w:color w:val="auto"/>
          <w:sz w:val="21"/>
          <w:szCs w:val="21"/>
          <w:highlight w:val="none"/>
          <w:shd w:val="clear" w:color="auto" w:fill="FFFFFF"/>
        </w:rPr>
        <w:t>、质疑和投诉联系人：</w:t>
      </w:r>
    </w:p>
    <w:p w14:paraId="556F959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color w:val="auto"/>
          <w:kern w:val="0"/>
          <w:highlight w:val="none"/>
          <w:lang w:val="en-US"/>
        </w:rPr>
      </w:pPr>
      <w:r>
        <w:rPr>
          <w:rFonts w:hint="eastAsia" w:ascii="宋体" w:hAnsi="宋体" w:cs="宋体"/>
          <w:color w:val="auto"/>
          <w:kern w:val="0"/>
          <w:highlight w:val="none"/>
          <w:lang w:val="en-US" w:eastAsia="zh-CN"/>
        </w:rPr>
        <w:t>10</w:t>
      </w:r>
      <w:r>
        <w:rPr>
          <w:rFonts w:hint="default" w:ascii="宋体" w:hAnsi="宋体" w:cs="宋体"/>
          <w:color w:val="auto"/>
          <w:kern w:val="0"/>
          <w:highlight w:val="none"/>
          <w:lang w:val="en-US"/>
        </w:rPr>
        <w:t>.1</w:t>
      </w:r>
      <w:r>
        <w:rPr>
          <w:rFonts w:hint="eastAsia" w:ascii="宋体" w:hAnsi="宋体" w:cs="宋体"/>
          <w:color w:val="auto"/>
          <w:kern w:val="0"/>
          <w:highlight w:val="none"/>
          <w:lang w:val="en-US"/>
        </w:rPr>
        <w:t>供应商如认为采购文件、采购过程和</w:t>
      </w:r>
      <w:r>
        <w:rPr>
          <w:rFonts w:hint="eastAsia" w:ascii="宋体" w:hAnsi="宋体" w:cs="宋体"/>
          <w:color w:val="auto"/>
          <w:kern w:val="0"/>
          <w:highlight w:val="none"/>
          <w:lang w:val="en-US" w:eastAsia="zh-CN"/>
        </w:rPr>
        <w:t>成交</w:t>
      </w:r>
      <w:r>
        <w:rPr>
          <w:rFonts w:hint="eastAsia" w:ascii="宋体" w:hAnsi="宋体" w:cs="宋体"/>
          <w:color w:val="auto"/>
          <w:kern w:val="0"/>
          <w:highlight w:val="none"/>
          <w:lang w:val="en-US"/>
        </w:rPr>
        <w:t>结果使自身的合法权益受到损害的，可以在知道或者应知其权益受到损害之日起七个工作日内，以书面形式向采购人或采购代理机构提出质疑；供应商对采购人、采购代理机构的质疑答复不满意或者采购人、采购代理机构未在规定时间内作出答复的，可以在答复期满后十五个工作日内向</w:t>
      </w:r>
      <w:r>
        <w:rPr>
          <w:rFonts w:hint="eastAsia" w:ascii="宋体" w:hAnsi="宋体" w:cs="宋体"/>
          <w:color w:val="auto"/>
          <w:kern w:val="0"/>
          <w:highlight w:val="none"/>
          <w:lang w:val="en-US" w:eastAsia="zh-CN"/>
        </w:rPr>
        <w:t>同级监督管理部门投诉</w:t>
      </w:r>
      <w:r>
        <w:rPr>
          <w:rFonts w:hint="eastAsia" w:ascii="宋体" w:hAnsi="宋体" w:cs="宋体"/>
          <w:color w:val="auto"/>
          <w:kern w:val="0"/>
          <w:highlight w:val="none"/>
          <w:lang w:val="en-US"/>
        </w:rPr>
        <w:t>。</w:t>
      </w:r>
    </w:p>
    <w:p w14:paraId="05E2A70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lang w:val="en-US"/>
        </w:rPr>
        <w:t>.2公告期限：本项目公告期限为自发布之日起3个工作日。</w:t>
      </w:r>
    </w:p>
    <w:p w14:paraId="4455479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rPr>
        <w:t>采购单位</w:t>
      </w:r>
      <w:r>
        <w:rPr>
          <w:rFonts w:hint="eastAsia" w:ascii="宋体" w:hAnsi="宋体" w:eastAsia="宋体" w:cs="宋体"/>
          <w:color w:val="auto"/>
          <w:kern w:val="0"/>
          <w:highlight w:val="none"/>
          <w:lang w:val="en-US" w:eastAsia="zh-CN"/>
        </w:rPr>
        <w:t>：</w:t>
      </w:r>
      <w:r>
        <w:rPr>
          <w:rFonts w:hint="eastAsia" w:ascii="宋体" w:hAnsi="宋体" w:cs="宋体"/>
          <w:color w:val="auto"/>
          <w:kern w:val="0"/>
          <w:highlight w:val="none"/>
          <w:lang w:val="en-US" w:eastAsia="zh-CN"/>
        </w:rPr>
        <w:t>童先生</w:t>
      </w:r>
      <w:r>
        <w:rPr>
          <w:rFonts w:hint="eastAsia" w:ascii="宋体" w:hAnsi="宋体" w:eastAsia="宋体" w:cs="宋体"/>
          <w:color w:val="auto"/>
          <w:kern w:val="0"/>
          <w:highlight w:val="none"/>
          <w:lang w:val="en-US" w:eastAsia="zh-CN"/>
        </w:rPr>
        <w:t xml:space="preserve">    </w:t>
      </w:r>
      <w:r>
        <w:rPr>
          <w:rFonts w:hint="eastAsia" w:ascii="宋体" w:hAnsi="宋体" w:cs="宋体"/>
          <w:color w:val="auto"/>
          <w:kern w:val="0"/>
          <w:highlight w:val="none"/>
          <w:lang w:val="en-US" w:eastAsia="zh-CN"/>
        </w:rPr>
        <w:t xml:space="preserve"> </w:t>
      </w:r>
      <w:r>
        <w:rPr>
          <w:rFonts w:hint="eastAsia" w:ascii="宋体" w:hAnsi="宋体" w:eastAsia="宋体" w:cs="宋体"/>
          <w:color w:val="auto"/>
          <w:kern w:val="0"/>
          <w:highlight w:val="none"/>
          <w:lang w:val="en-US" w:eastAsia="zh-CN"/>
        </w:rPr>
        <w:t xml:space="preserve"> </w:t>
      </w:r>
      <w:r>
        <w:rPr>
          <w:rFonts w:hint="eastAsia" w:ascii="宋体" w:hAnsi="宋体" w:cs="宋体"/>
          <w:color w:val="auto"/>
          <w:kern w:val="0"/>
          <w:highlight w:val="none"/>
          <w:lang w:val="en-US" w:eastAsia="zh-CN"/>
        </w:rPr>
        <w:t xml:space="preserve">  </w:t>
      </w:r>
      <w:r>
        <w:rPr>
          <w:rFonts w:hint="eastAsia" w:ascii="宋体" w:hAnsi="宋体" w:eastAsia="宋体" w:cs="宋体"/>
          <w:color w:val="auto"/>
          <w:kern w:val="0"/>
          <w:highlight w:val="none"/>
          <w:lang w:val="en-US" w:eastAsia="zh-CN"/>
        </w:rPr>
        <w:t xml:space="preserve"> 电话：</w:t>
      </w:r>
      <w:r>
        <w:rPr>
          <w:rFonts w:hint="eastAsia" w:ascii="宋体" w:hAnsi="宋体" w:cs="宋体"/>
          <w:color w:val="auto"/>
          <w:kern w:val="0"/>
          <w:highlight w:val="none"/>
          <w:lang w:val="en-US" w:eastAsia="zh-CN"/>
        </w:rPr>
        <w:t>13567025489</w:t>
      </w:r>
    </w:p>
    <w:p w14:paraId="695D62C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color w:val="auto"/>
          <w:kern w:val="0"/>
          <w:highlight w:val="none"/>
          <w:lang w:val="en-US" w:eastAsia="zh-CN"/>
        </w:rPr>
      </w:pPr>
      <w:r>
        <w:rPr>
          <w:rFonts w:hint="eastAsia" w:ascii="宋体" w:hAnsi="宋体" w:eastAsia="宋体" w:cs="宋体"/>
          <w:color w:val="auto"/>
          <w:kern w:val="0"/>
          <w:highlight w:val="none"/>
          <w:lang w:val="en-US"/>
        </w:rPr>
        <w:t>代理机构：</w:t>
      </w:r>
      <w:r>
        <w:rPr>
          <w:rFonts w:hint="eastAsia" w:ascii="宋体" w:hAnsi="宋体" w:cs="宋体"/>
          <w:color w:val="auto"/>
          <w:kern w:val="0"/>
          <w:highlight w:val="none"/>
          <w:lang w:val="en-US" w:eastAsia="zh-CN"/>
        </w:rPr>
        <w:t>吴晓芬</w:t>
      </w:r>
      <w:r>
        <w:rPr>
          <w:rFonts w:hint="eastAsia" w:ascii="宋体" w:hAnsi="宋体" w:eastAsia="宋体" w:cs="宋体"/>
          <w:color w:val="auto"/>
          <w:kern w:val="0"/>
          <w:highlight w:val="none"/>
          <w:lang w:val="en-US"/>
        </w:rPr>
        <w:t xml:space="preserve">         电话：</w:t>
      </w:r>
      <w:r>
        <w:rPr>
          <w:rFonts w:hint="eastAsia" w:ascii="宋体" w:hAnsi="宋体" w:cs="宋体"/>
          <w:color w:val="auto"/>
          <w:kern w:val="0"/>
          <w:highlight w:val="none"/>
          <w:lang w:val="en-US" w:eastAsia="zh-CN"/>
        </w:rPr>
        <w:t>0570-6010879</w:t>
      </w:r>
    </w:p>
    <w:p w14:paraId="2019C1A6">
      <w:pPr>
        <w:keepNext w:val="0"/>
        <w:keepLines w:val="0"/>
        <w:pageBreakBefore w:val="0"/>
        <w:widowControl/>
        <w:shd w:val="clear" w:color="000000" w:fill="FFFFFF"/>
        <w:kinsoku/>
        <w:wordWrap/>
        <w:overflowPunct/>
        <w:topLinePunct w:val="0"/>
        <w:autoSpaceDE/>
        <w:autoSpaceDN/>
        <w:bidi w:val="0"/>
        <w:adjustRightInd/>
        <w:snapToGrid/>
        <w:spacing w:line="380" w:lineRule="exact"/>
        <w:ind w:firstLine="420"/>
        <w:jc w:val="left"/>
        <w:textAlignment w:val="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11</w:t>
      </w:r>
      <w:r>
        <w:rPr>
          <w:rFonts w:hint="eastAsia" w:asciiTheme="minorEastAsia" w:hAnsiTheme="minorEastAsia" w:eastAsiaTheme="minorEastAsia" w:cstheme="minorEastAsia"/>
          <w:b/>
          <w:bCs/>
          <w:color w:val="auto"/>
          <w:kern w:val="0"/>
          <w:highlight w:val="none"/>
          <w:shd w:val="clear" w:color="auto" w:fill="FFFFFF"/>
        </w:rPr>
        <w:t>、注意事项：</w:t>
      </w:r>
    </w:p>
    <w:p w14:paraId="59A472BA">
      <w:pPr>
        <w:keepNext w:val="0"/>
        <w:keepLines w:val="0"/>
        <w:pageBreakBefore w:val="0"/>
        <w:widowControl/>
        <w:shd w:val="clear" w:color="000000" w:fill="FFFFFF"/>
        <w:kinsoku/>
        <w:wordWrap/>
        <w:overflowPunct/>
        <w:topLinePunct w:val="0"/>
        <w:autoSpaceDE/>
        <w:autoSpaceDN/>
        <w:bidi w:val="0"/>
        <w:adjustRightInd/>
        <w:snapToGrid/>
        <w:spacing w:line="380" w:lineRule="exact"/>
        <w:ind w:firstLine="420"/>
        <w:jc w:val="left"/>
        <w:textAlignment w:val="auto"/>
        <w:rPr>
          <w:rFonts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11</w:t>
      </w:r>
      <w:r>
        <w:rPr>
          <w:rFonts w:hint="eastAsia" w:asciiTheme="minorEastAsia" w:hAnsiTheme="minorEastAsia" w:eastAsiaTheme="minorEastAsia" w:cstheme="minorEastAsia"/>
          <w:b w:val="0"/>
          <w:bCs w:val="0"/>
          <w:color w:val="auto"/>
          <w:kern w:val="0"/>
          <w:sz w:val="21"/>
          <w:szCs w:val="21"/>
          <w:highlight w:val="none"/>
        </w:rPr>
        <w:t>.1根据《政府采购促进中小企业发展管理办法》（财库〔2020〕46号)的规定，现对小型和微型企业制造的产品的价格给予</w:t>
      </w:r>
      <w:r>
        <w:rPr>
          <w:rFonts w:hint="eastAsia" w:asciiTheme="minorEastAsia" w:hAnsiTheme="minorEastAsia" w:eastAsiaTheme="minorEastAsia" w:cstheme="minorEastAsia"/>
          <w:b w:val="0"/>
          <w:bCs w:val="0"/>
          <w:color w:val="auto"/>
          <w:kern w:val="0"/>
          <w:sz w:val="21"/>
          <w:szCs w:val="21"/>
          <w:highlight w:val="none"/>
          <w:lang w:val="en-US" w:eastAsia="zh-CN"/>
        </w:rPr>
        <w:t>10</w:t>
      </w:r>
      <w:r>
        <w:rPr>
          <w:rFonts w:hint="eastAsia" w:asciiTheme="minorEastAsia" w:hAnsiTheme="minorEastAsia" w:eastAsiaTheme="minorEastAsia" w:cstheme="minorEastAsia"/>
          <w:b w:val="0"/>
          <w:bCs w:val="0"/>
          <w:color w:val="auto"/>
          <w:kern w:val="0"/>
          <w:sz w:val="21"/>
          <w:szCs w:val="21"/>
          <w:highlight w:val="none"/>
        </w:rPr>
        <w:t>%的扣除，用扣除后的价格参与评审。小型、微型企业提供中型企业制造的货物的，视同中型企业。</w:t>
      </w:r>
    </w:p>
    <w:p w14:paraId="3D9BF911">
      <w:pPr>
        <w:pStyle w:val="3"/>
        <w:keepNext w:val="0"/>
        <w:keepLines w:val="0"/>
        <w:pageBreakBefore w:val="0"/>
        <w:numPr>
          <w:ilvl w:val="1"/>
          <w:numId w:val="0"/>
        </w:numPr>
        <w:kinsoku/>
        <w:wordWrap/>
        <w:overflowPunct/>
        <w:topLinePunct w:val="0"/>
        <w:autoSpaceDE/>
        <w:autoSpaceDN/>
        <w:bidi w:val="0"/>
        <w:adjustRightInd/>
        <w:snapToGrid/>
        <w:spacing w:before="0" w:after="0" w:line="380" w:lineRule="exact"/>
        <w:ind w:firstLine="420" w:firstLineChars="200"/>
        <w:textAlignment w:val="auto"/>
        <w:rPr>
          <w:rFonts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rPr>
        <w:t>11</w:t>
      </w:r>
      <w:r>
        <w:rPr>
          <w:rFonts w:hint="eastAsia" w:asciiTheme="minorEastAsia" w:hAnsiTheme="minorEastAsia" w:eastAsiaTheme="minorEastAsia" w:cstheme="minorEastAsia"/>
          <w:b w:val="0"/>
          <w:bCs w:val="0"/>
          <w:color w:val="auto"/>
          <w:kern w:val="0"/>
          <w:sz w:val="21"/>
          <w:szCs w:val="21"/>
          <w:highlight w:val="none"/>
        </w:rPr>
        <w:t>.2根据</w:t>
      </w:r>
      <w:bookmarkStart w:id="7" w:name="sendNo"/>
      <w:r>
        <w:rPr>
          <w:rFonts w:hint="eastAsia" w:asciiTheme="minorEastAsia" w:hAnsiTheme="minorEastAsia" w:eastAsiaTheme="minorEastAsia" w:cstheme="minorEastAsia"/>
          <w:b w:val="0"/>
          <w:bCs w:val="0"/>
          <w:color w:val="auto"/>
          <w:kern w:val="0"/>
          <w:sz w:val="21"/>
          <w:szCs w:val="21"/>
          <w:highlight w:val="none"/>
        </w:rPr>
        <w:t>财库〔</w:t>
      </w:r>
      <w:bookmarkEnd w:id="7"/>
      <w:r>
        <w:rPr>
          <w:rFonts w:hint="eastAsia" w:asciiTheme="minorEastAsia" w:hAnsiTheme="minorEastAsia" w:eastAsiaTheme="minorEastAsia" w:cstheme="minorEastAsia"/>
          <w:b w:val="0"/>
          <w:bCs w:val="0"/>
          <w:color w:val="auto"/>
          <w:kern w:val="0"/>
          <w:sz w:val="21"/>
          <w:szCs w:val="21"/>
          <w:highlight w:val="none"/>
        </w:rPr>
        <w:t>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残疾人福利性企业属于小型、微型企业的，不重复享受政策。</w:t>
      </w:r>
    </w:p>
    <w:p w14:paraId="6DEBB99D">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0" w:firstLineChars="200"/>
        <w:jc w:val="both"/>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11</w:t>
      </w:r>
      <w:r>
        <w:rPr>
          <w:rFonts w:hint="eastAsia" w:asciiTheme="minorEastAsia" w:hAnsiTheme="minorEastAsia" w:eastAsiaTheme="minorEastAsia" w:cstheme="minorEastAsia"/>
          <w:b w:val="0"/>
          <w:bCs w:val="0"/>
          <w:color w:val="auto"/>
          <w:sz w:val="21"/>
          <w:szCs w:val="21"/>
          <w:highlight w:val="none"/>
        </w:rPr>
        <w:t>.3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2A90E5A2">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12</w:t>
      </w:r>
      <w:r>
        <w:rPr>
          <w:rFonts w:hint="eastAsia" w:asciiTheme="minorEastAsia" w:hAnsiTheme="minorEastAsia" w:eastAsiaTheme="minorEastAsia" w:cstheme="minorEastAsia"/>
          <w:b/>
          <w:color w:val="auto"/>
          <w:sz w:val="21"/>
          <w:szCs w:val="21"/>
          <w:highlight w:val="none"/>
        </w:rPr>
        <w:t>、采购单位联系方式：</w:t>
      </w:r>
    </w:p>
    <w:p w14:paraId="061AC3C3">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单位名称：</w:t>
      </w:r>
      <w:r>
        <w:rPr>
          <w:rFonts w:hint="eastAsia" w:asciiTheme="minorEastAsia" w:hAnsiTheme="minorEastAsia" w:eastAsiaTheme="minorEastAsia" w:cstheme="minorEastAsia"/>
          <w:color w:val="auto"/>
          <w:sz w:val="21"/>
          <w:szCs w:val="21"/>
          <w:highlight w:val="none"/>
          <w:lang w:eastAsia="zh-CN"/>
        </w:rPr>
        <w:t>浙江桐花农业开发有限公司</w:t>
      </w:r>
    </w:p>
    <w:p w14:paraId="577C376C">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单位地址：开化县桐村镇裴源村裴口竹木产业园1号</w:t>
      </w:r>
    </w:p>
    <w:p w14:paraId="13E382D4">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 系 人：</w:t>
      </w:r>
      <w:r>
        <w:rPr>
          <w:rFonts w:hint="eastAsia" w:asciiTheme="minorEastAsia" w:hAnsiTheme="minorEastAsia" w:eastAsiaTheme="minorEastAsia" w:cstheme="minorEastAsia"/>
          <w:color w:val="auto"/>
          <w:sz w:val="21"/>
          <w:szCs w:val="21"/>
          <w:highlight w:val="none"/>
          <w:lang w:eastAsia="zh-CN"/>
        </w:rPr>
        <w:t>童先生</w:t>
      </w:r>
    </w:p>
    <w:p w14:paraId="0E47FAA5">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0"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13567025489</w:t>
      </w:r>
    </w:p>
    <w:p w14:paraId="11F495F4">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2" w:firstLineChars="200"/>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13</w:t>
      </w:r>
      <w:r>
        <w:rPr>
          <w:rFonts w:hint="eastAsia" w:asciiTheme="minorEastAsia" w:hAnsiTheme="minorEastAsia" w:eastAsiaTheme="minorEastAsia" w:cstheme="minorEastAsia"/>
          <w:b/>
          <w:color w:val="auto"/>
          <w:sz w:val="21"/>
          <w:szCs w:val="21"/>
          <w:highlight w:val="none"/>
        </w:rPr>
        <w:t>、代理机构联系方式：</w:t>
      </w:r>
    </w:p>
    <w:p w14:paraId="3B49A01A">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olor w:val="auto"/>
          <w:highlight w:val="none"/>
          <w:lang w:eastAsia="zh-CN"/>
        </w:rPr>
      </w:pPr>
      <w:r>
        <w:rPr>
          <w:rFonts w:hint="eastAsia" w:ascii="宋体" w:hAnsi="宋体"/>
          <w:color w:val="auto"/>
          <w:highlight w:val="none"/>
        </w:rPr>
        <w:t>代理机构：</w:t>
      </w:r>
      <w:r>
        <w:rPr>
          <w:rFonts w:hint="eastAsia" w:ascii="宋体" w:hAnsi="宋体"/>
          <w:color w:val="auto"/>
          <w:highlight w:val="none"/>
          <w:lang w:eastAsia="zh-CN"/>
        </w:rPr>
        <w:t>浙江天健工程造价咨询有限公司</w:t>
      </w:r>
    </w:p>
    <w:p w14:paraId="56283468">
      <w:pPr>
        <w:keepNext w:val="0"/>
        <w:keepLines w:val="0"/>
        <w:pageBreakBefore w:val="0"/>
        <w:widowControl/>
        <w:kinsoku/>
        <w:wordWrap/>
        <w:overflowPunct/>
        <w:topLinePunct w:val="0"/>
        <w:autoSpaceDE/>
        <w:autoSpaceDN/>
        <w:bidi w:val="0"/>
        <w:adjustRightInd/>
        <w:snapToGrid/>
        <w:spacing w:line="380" w:lineRule="exact"/>
        <w:ind w:firstLine="420"/>
        <w:jc w:val="left"/>
        <w:textAlignment w:val="auto"/>
        <w:rPr>
          <w:rFonts w:hint="eastAsia" w:ascii="宋体" w:hAnsi="宋体" w:eastAsia="宋体" w:cs="宋体"/>
          <w:color w:val="auto"/>
          <w:kern w:val="1"/>
          <w:highlight w:val="none"/>
          <w:lang w:eastAsia="zh-CN"/>
        </w:rPr>
      </w:pPr>
      <w:r>
        <w:rPr>
          <w:rFonts w:hint="eastAsia" w:ascii="宋体" w:hAnsi="宋体" w:cs="宋体"/>
          <w:color w:val="auto"/>
          <w:kern w:val="1"/>
          <w:highlight w:val="none"/>
        </w:rPr>
        <w:t>地</w:t>
      </w:r>
      <w:r>
        <w:rPr>
          <w:rFonts w:hint="eastAsia" w:ascii="宋体" w:hAnsi="宋体" w:cs="宋体"/>
          <w:color w:val="auto"/>
          <w:kern w:val="1"/>
          <w:highlight w:val="none"/>
          <w:lang w:val="en-US" w:eastAsia="zh-CN"/>
        </w:rPr>
        <w:t xml:space="preserve">    </w:t>
      </w:r>
      <w:r>
        <w:rPr>
          <w:rFonts w:hint="eastAsia" w:ascii="宋体" w:hAnsi="宋体" w:cs="宋体"/>
          <w:color w:val="auto"/>
          <w:kern w:val="1"/>
          <w:highlight w:val="none"/>
        </w:rPr>
        <w:t>址：</w:t>
      </w:r>
      <w:r>
        <w:rPr>
          <w:rFonts w:hint="eastAsia" w:ascii="宋体" w:hAnsi="宋体" w:cs="宋体"/>
          <w:color w:val="auto"/>
          <w:kern w:val="1"/>
          <w:highlight w:val="none"/>
          <w:lang w:eastAsia="zh-CN"/>
        </w:rPr>
        <w:t>开化县临湖路东方广场A座406、407室</w:t>
      </w:r>
    </w:p>
    <w:p w14:paraId="13453146">
      <w:pPr>
        <w:keepNext w:val="0"/>
        <w:keepLines w:val="0"/>
        <w:pageBreakBefore w:val="0"/>
        <w:widowControl/>
        <w:kinsoku/>
        <w:wordWrap/>
        <w:overflowPunct/>
        <w:topLinePunct w:val="0"/>
        <w:autoSpaceDE/>
        <w:autoSpaceDN/>
        <w:bidi w:val="0"/>
        <w:adjustRightInd/>
        <w:snapToGrid/>
        <w:spacing w:line="380" w:lineRule="exact"/>
        <w:ind w:firstLine="420"/>
        <w:jc w:val="left"/>
        <w:textAlignment w:val="auto"/>
        <w:rPr>
          <w:rFonts w:hint="default" w:ascii="宋体" w:hAnsi="宋体"/>
          <w:color w:val="auto"/>
          <w:highlight w:val="none"/>
          <w:lang w:val="en-US"/>
        </w:rPr>
      </w:pPr>
      <w:r>
        <w:rPr>
          <w:rFonts w:hint="eastAsia" w:ascii="宋体" w:hAnsi="宋体"/>
          <w:color w:val="auto"/>
          <w:highlight w:val="none"/>
        </w:rPr>
        <w:t>联</w:t>
      </w:r>
      <w:r>
        <w:rPr>
          <w:rFonts w:hint="default" w:ascii="宋体" w:hAnsi="宋体"/>
          <w:color w:val="auto"/>
          <w:highlight w:val="none"/>
          <w:lang w:val="en-US"/>
        </w:rPr>
        <w:t xml:space="preserve"> </w:t>
      </w:r>
      <w:r>
        <w:rPr>
          <w:rFonts w:hint="eastAsia" w:ascii="宋体" w:hAnsi="宋体"/>
          <w:color w:val="auto"/>
          <w:highlight w:val="none"/>
        </w:rPr>
        <w:t>系</w:t>
      </w:r>
      <w:r>
        <w:rPr>
          <w:rFonts w:hint="default" w:ascii="宋体" w:hAnsi="宋体"/>
          <w:color w:val="auto"/>
          <w:highlight w:val="none"/>
          <w:lang w:val="en-US"/>
        </w:rPr>
        <w:t xml:space="preserve"> </w:t>
      </w:r>
      <w:r>
        <w:rPr>
          <w:rFonts w:hint="eastAsia" w:ascii="宋体" w:hAnsi="宋体"/>
          <w:color w:val="auto"/>
          <w:highlight w:val="none"/>
        </w:rPr>
        <w:t>人：</w:t>
      </w:r>
      <w:r>
        <w:rPr>
          <w:rFonts w:hint="eastAsia" w:ascii="宋体" w:hAnsi="宋体"/>
          <w:color w:val="auto"/>
          <w:highlight w:val="none"/>
          <w:lang w:eastAsia="zh-CN"/>
        </w:rPr>
        <w:t>吴晓芬</w:t>
      </w:r>
      <w:r>
        <w:rPr>
          <w:rFonts w:ascii="宋体" w:hAnsi="宋体"/>
          <w:color w:val="auto"/>
          <w:highlight w:val="none"/>
        </w:rPr>
        <w:t xml:space="preserve">  </w:t>
      </w:r>
      <w:r>
        <w:rPr>
          <w:rFonts w:hint="default" w:ascii="宋体" w:hAnsi="宋体"/>
          <w:color w:val="auto"/>
          <w:highlight w:val="none"/>
          <w:lang w:val="en-US"/>
        </w:rPr>
        <w:t xml:space="preserve"> </w:t>
      </w:r>
    </w:p>
    <w:p w14:paraId="7F2A0709">
      <w:pPr>
        <w:keepNext w:val="0"/>
        <w:keepLines w:val="0"/>
        <w:pageBreakBefore w:val="0"/>
        <w:widowControl/>
        <w:kinsoku/>
        <w:wordWrap/>
        <w:overflowPunct/>
        <w:topLinePunct w:val="0"/>
        <w:autoSpaceDE/>
        <w:autoSpaceDN/>
        <w:bidi w:val="0"/>
        <w:adjustRightInd/>
        <w:snapToGrid/>
        <w:spacing w:line="380" w:lineRule="exact"/>
        <w:ind w:firstLine="420"/>
        <w:jc w:val="left"/>
        <w:textAlignment w:val="auto"/>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lang w:eastAsia="zh-CN"/>
        </w:rPr>
        <w:t>0570-6010879</w:t>
      </w:r>
      <w:r>
        <w:rPr>
          <w:rFonts w:ascii="宋体" w:hAnsi="宋体"/>
          <w:color w:val="auto"/>
          <w:highlight w:val="none"/>
        </w:rPr>
        <w:t xml:space="preserve"> </w:t>
      </w:r>
      <w:r>
        <w:rPr>
          <w:rFonts w:hint="default" w:ascii="宋体" w:hAnsi="宋体"/>
          <w:color w:val="auto"/>
          <w:highlight w:val="none"/>
          <w:lang w:val="en-US"/>
        </w:rPr>
        <w:t xml:space="preserve"> </w:t>
      </w:r>
      <w:r>
        <w:rPr>
          <w:rFonts w:ascii="宋体" w:hAnsi="宋体"/>
          <w:color w:val="auto"/>
          <w:highlight w:val="none"/>
        </w:rPr>
        <w:t xml:space="preserve"> </w:t>
      </w:r>
    </w:p>
    <w:p w14:paraId="7F30A962">
      <w:pPr>
        <w:keepNext w:val="0"/>
        <w:keepLines w:val="0"/>
        <w:pageBreakBefore w:val="0"/>
        <w:widowControl/>
        <w:kinsoku/>
        <w:wordWrap/>
        <w:overflowPunct/>
        <w:topLinePunct w:val="0"/>
        <w:autoSpaceDE/>
        <w:autoSpaceDN/>
        <w:bidi w:val="0"/>
        <w:adjustRightInd/>
        <w:snapToGrid/>
        <w:spacing w:line="380" w:lineRule="exact"/>
        <w:ind w:firstLine="420"/>
        <w:jc w:val="left"/>
        <w:textAlignment w:val="auto"/>
        <w:rPr>
          <w:rFonts w:ascii="宋体"/>
          <w:color w:val="auto"/>
          <w:highlight w:val="none"/>
        </w:rPr>
      </w:pPr>
      <w:r>
        <w:rPr>
          <w:rFonts w:hint="eastAsia" w:ascii="宋体" w:hAnsi="宋体"/>
          <w:color w:val="auto"/>
          <w:highlight w:val="none"/>
          <w:lang w:val="en-US" w:eastAsia="zh-CN"/>
        </w:rPr>
        <w:tab/>
      </w:r>
      <w:r>
        <w:rPr>
          <w:rFonts w:ascii="宋体" w:hAnsi="宋体"/>
          <w:color w:val="auto"/>
          <w:highlight w:val="none"/>
        </w:rPr>
        <w:t xml:space="preserve">              </w:t>
      </w:r>
    </w:p>
    <w:p w14:paraId="2213DE92">
      <w:pPr>
        <w:spacing w:line="440" w:lineRule="exact"/>
        <w:ind w:firstLine="420" w:firstLineChars="200"/>
        <w:rPr>
          <w:rFonts w:hint="eastAsia" w:ascii="宋体" w:hAnsi="宋体" w:cs="宋体"/>
          <w:b/>
          <w:bCs/>
          <w:color w:val="auto"/>
          <w:sz w:val="28"/>
          <w:szCs w:val="28"/>
          <w:highlight w:val="none"/>
          <w:lang w:eastAsia="zh-CN"/>
        </w:rPr>
      </w:pPr>
      <w:r>
        <w:rPr>
          <w:rFonts w:hint="eastAsia" w:ascii="宋体" w:hAnsi="宋体" w:cs="宋体"/>
          <w:bCs/>
          <w:color w:val="auto"/>
          <w:sz w:val="21"/>
          <w:szCs w:val="21"/>
          <w:highlight w:val="none"/>
          <w:lang w:eastAsia="zh-CN"/>
        </w:rPr>
        <w:t>本招标文件的《采购需求》、《评审办法》解释权归采购人，其余部分归采购代理机构。</w:t>
      </w:r>
    </w:p>
    <w:p w14:paraId="33E84925">
      <w:pPr>
        <w:pStyle w:val="25"/>
        <w:keepNext w:val="0"/>
        <w:keepLines w:val="0"/>
        <w:pageBreakBefore w:val="0"/>
        <w:widowControl/>
        <w:kinsoku/>
        <w:wordWrap/>
        <w:overflowPunct/>
        <w:topLinePunct w:val="0"/>
        <w:autoSpaceDE/>
        <w:autoSpaceDN/>
        <w:bidi w:val="0"/>
        <w:adjustRightInd/>
        <w:snapToGrid/>
        <w:spacing w:beforeAutospacing="0" w:afterAutospacing="0" w:line="380" w:lineRule="exact"/>
        <w:ind w:firstLine="420" w:firstLineChars="200"/>
        <w:jc w:val="right"/>
        <w:textAlignment w:val="auto"/>
        <w:rPr>
          <w:rFonts w:asciiTheme="minorEastAsia" w:hAnsiTheme="minorEastAsia" w:eastAsiaTheme="minorEastAsia" w:cstheme="minorEastAsia"/>
          <w:color w:val="auto"/>
          <w:sz w:val="21"/>
          <w:szCs w:val="21"/>
          <w:highlight w:val="none"/>
          <w:shd w:val="clear" w:color="auto" w:fill="FFFFFF"/>
        </w:rPr>
      </w:pPr>
    </w:p>
    <w:p w14:paraId="43028BF2">
      <w:pPr>
        <w:pStyle w:val="25"/>
        <w:pageBreakBefore w:val="0"/>
        <w:kinsoku/>
        <w:wordWrap/>
        <w:overflowPunct/>
        <w:topLinePunct w:val="0"/>
        <w:autoSpaceDE/>
        <w:autoSpaceDN/>
        <w:bidi w:val="0"/>
        <w:adjustRightInd/>
        <w:spacing w:beforeAutospacing="0" w:afterAutospacing="0" w:line="400" w:lineRule="exact"/>
        <w:ind w:left="133"/>
        <w:jc w:val="right"/>
        <w:textAlignment w:val="auto"/>
        <w:rPr>
          <w:rFonts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shd w:val="clear" w:color="auto" w:fill="FFFFFF"/>
          <w:lang w:eastAsia="zh-CN"/>
        </w:rPr>
        <w:t>浙江桐花农业开发有限公司</w:t>
      </w:r>
    </w:p>
    <w:p w14:paraId="49CB9F24">
      <w:pPr>
        <w:pStyle w:val="25"/>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jc w:val="right"/>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eastAsia="zh-CN"/>
        </w:rPr>
        <w:t>浙江天健工程造价咨询有限公司</w:t>
      </w:r>
    </w:p>
    <w:p w14:paraId="38E299F7">
      <w:pPr>
        <w:pStyle w:val="25"/>
        <w:keepNext w:val="0"/>
        <w:keepLines w:val="0"/>
        <w:pageBreakBefore w:val="0"/>
        <w:widowControl/>
        <w:kinsoku/>
        <w:wordWrap/>
        <w:overflowPunct/>
        <w:topLinePunct w:val="0"/>
        <w:autoSpaceDE/>
        <w:autoSpaceDN/>
        <w:bidi w:val="0"/>
        <w:adjustRightInd/>
        <w:snapToGrid/>
        <w:spacing w:beforeAutospacing="0" w:afterAutospacing="0" w:line="400" w:lineRule="exact"/>
        <w:ind w:left="0" w:right="0"/>
        <w:jc w:val="right"/>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stheme="minorEastAsia"/>
          <w:b w:val="0"/>
          <w:bCs w:val="0"/>
          <w:color w:val="auto"/>
          <w:sz w:val="21"/>
          <w:szCs w:val="21"/>
          <w:highlight w:val="none"/>
          <w:shd w:val="clear" w:color="auto" w:fill="FFFFFF"/>
        </w:rPr>
        <w:t>二○二</w:t>
      </w: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四</w:t>
      </w:r>
      <w:r>
        <w:rPr>
          <w:rFonts w:hint="eastAsia" w:asciiTheme="minorEastAsia" w:hAnsiTheme="minorEastAsia" w:eastAsiaTheme="minorEastAsia" w:cstheme="minorEastAsia"/>
          <w:color w:val="auto"/>
          <w:sz w:val="21"/>
          <w:szCs w:val="21"/>
          <w:highlight w:val="none"/>
          <w:shd w:val="clear" w:color="auto" w:fill="FFFFFF"/>
        </w:rPr>
        <w:t>年</w:t>
      </w:r>
      <w:r>
        <w:rPr>
          <w:rFonts w:hint="eastAsia" w:asciiTheme="minorEastAsia" w:hAnsiTheme="minorEastAsia" w:eastAsiaTheme="minorEastAsia" w:cstheme="minorEastAsia"/>
          <w:color w:val="auto"/>
          <w:sz w:val="21"/>
          <w:szCs w:val="21"/>
          <w:highlight w:val="none"/>
          <w:shd w:val="clear" w:color="auto" w:fill="FFFFFF"/>
          <w:lang w:val="en-US" w:eastAsia="zh-CN"/>
        </w:rPr>
        <w:t>八</w:t>
      </w:r>
      <w:r>
        <w:rPr>
          <w:rFonts w:hint="eastAsia" w:asciiTheme="minorEastAsia" w:hAnsiTheme="minorEastAsia" w:eastAsiaTheme="minorEastAsia" w:cstheme="minorEastAsia"/>
          <w:color w:val="auto"/>
          <w:sz w:val="21"/>
          <w:szCs w:val="21"/>
          <w:highlight w:val="none"/>
          <w:shd w:val="clear" w:color="auto" w:fill="FFFFFF"/>
        </w:rPr>
        <w:t>月</w:t>
      </w:r>
    </w:p>
    <w:p w14:paraId="203A9EBC">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br w:type="page"/>
      </w:r>
      <w:r>
        <w:rPr>
          <w:rFonts w:hint="eastAsia" w:ascii="黑体" w:hAnsi="黑体" w:eastAsia="黑体" w:cs="黑体"/>
          <w:color w:val="auto"/>
          <w:sz w:val="36"/>
          <w:szCs w:val="36"/>
          <w:highlight w:val="none"/>
        </w:rPr>
        <w:t xml:space="preserve">第二章  </w:t>
      </w:r>
      <w:r>
        <w:rPr>
          <w:rFonts w:hint="eastAsia" w:ascii="黑体" w:hAnsi="黑体" w:eastAsia="黑体" w:cs="黑体"/>
          <w:color w:val="auto"/>
          <w:sz w:val="36"/>
          <w:szCs w:val="36"/>
          <w:highlight w:val="none"/>
          <w:lang w:eastAsia="zh-CN"/>
        </w:rPr>
        <w:t>响应方</w:t>
      </w:r>
      <w:r>
        <w:rPr>
          <w:rFonts w:hint="eastAsia" w:ascii="黑体" w:hAnsi="黑体" w:eastAsia="黑体" w:cs="黑体"/>
          <w:color w:val="auto"/>
          <w:sz w:val="36"/>
          <w:szCs w:val="36"/>
          <w:highlight w:val="none"/>
        </w:rPr>
        <w:t>须知及前附表</w:t>
      </w:r>
      <w:bookmarkEnd w:id="1"/>
      <w:bookmarkEnd w:id="2"/>
      <w:bookmarkEnd w:id="3"/>
      <w:bookmarkEnd w:id="4"/>
      <w:bookmarkEnd w:id="5"/>
      <w:bookmarkEnd w:id="6"/>
    </w:p>
    <w:p w14:paraId="2E51B02C">
      <w:pPr>
        <w:widowControl/>
        <w:outlineLvl w:val="1"/>
        <w:rPr>
          <w:rFonts w:ascii="宋体" w:hAnsi="宋体" w:cs="宋体"/>
          <w:bCs/>
          <w:color w:val="auto"/>
          <w:kern w:val="0"/>
          <w:highlight w:val="none"/>
          <w:shd w:val="clear" w:color="auto" w:fill="FFFFFF"/>
        </w:rPr>
      </w:pPr>
      <w:bookmarkStart w:id="8" w:name="_Toc504642663"/>
      <w:bookmarkStart w:id="9" w:name="_Toc358384687"/>
      <w:bookmarkStart w:id="10" w:name="_Toc326937529"/>
      <w:bookmarkStart w:id="11" w:name="_Toc472691759"/>
      <w:bookmarkStart w:id="12" w:name="_Toc433917259"/>
      <w:bookmarkStart w:id="13" w:name="_Toc333842543"/>
      <w:bookmarkStart w:id="14" w:name="_Toc393201706"/>
      <w:bookmarkStart w:id="15" w:name="_Toc479236971"/>
    </w:p>
    <w:p w14:paraId="22EF9E58">
      <w:pPr>
        <w:widowControl/>
        <w:outlineLvl w:val="1"/>
        <w:rPr>
          <w:rFonts w:ascii="宋体" w:hAnsi="宋体" w:cs="宋体"/>
          <w:b/>
          <w:color w:val="auto"/>
          <w:kern w:val="0"/>
          <w:sz w:val="24"/>
          <w:szCs w:val="24"/>
          <w:highlight w:val="none"/>
          <w:shd w:val="clear" w:color="auto" w:fill="FFFFFF"/>
        </w:rPr>
      </w:pPr>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响应方</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8"/>
    </w:p>
    <w:tbl>
      <w:tblPr>
        <w:tblStyle w:val="32"/>
        <w:tblW w:w="960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7420"/>
      </w:tblGrid>
      <w:tr w14:paraId="276EA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15" w:hRule="atLeast"/>
        </w:trPr>
        <w:tc>
          <w:tcPr>
            <w:tcW w:w="705" w:type="dxa"/>
            <w:shd w:val="clear" w:color="000000" w:fill="auto"/>
            <w:vAlign w:val="center"/>
          </w:tcPr>
          <w:p w14:paraId="4B600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80" w:type="dxa"/>
            <w:shd w:val="clear" w:color="000000" w:fill="auto"/>
            <w:vAlign w:val="center"/>
          </w:tcPr>
          <w:p w14:paraId="518E8B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420" w:type="dxa"/>
            <w:shd w:val="clear" w:color="000000" w:fill="auto"/>
            <w:vAlign w:val="center"/>
          </w:tcPr>
          <w:p w14:paraId="4AEE3F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42E3E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277" w:hRule="atLeast"/>
        </w:trPr>
        <w:tc>
          <w:tcPr>
            <w:tcW w:w="705" w:type="dxa"/>
            <w:shd w:val="clear" w:color="000000" w:fill="auto"/>
            <w:vAlign w:val="center"/>
          </w:tcPr>
          <w:p w14:paraId="440CB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80" w:type="dxa"/>
            <w:shd w:val="clear" w:color="000000" w:fill="auto"/>
            <w:vAlign w:val="center"/>
          </w:tcPr>
          <w:p w14:paraId="3F8F9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采购项目概况</w:t>
            </w:r>
          </w:p>
        </w:tc>
        <w:tc>
          <w:tcPr>
            <w:tcW w:w="7420" w:type="dxa"/>
            <w:shd w:val="clear" w:color="000000" w:fill="auto"/>
            <w:vAlign w:val="center"/>
          </w:tcPr>
          <w:p w14:paraId="087D5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宋体"/>
                <w:color w:val="auto"/>
                <w:highlight w:val="none"/>
                <w:lang w:eastAsia="zh-CN"/>
              </w:rPr>
            </w:pPr>
            <w:r>
              <w:rPr>
                <w:rFonts w:hint="eastAsia"/>
                <w:color w:val="auto"/>
                <w:highlight w:val="none"/>
              </w:rPr>
              <w:t>采购单位：</w:t>
            </w:r>
            <w:r>
              <w:rPr>
                <w:rFonts w:hint="eastAsia"/>
                <w:color w:val="auto"/>
                <w:highlight w:val="none"/>
                <w:lang w:eastAsia="zh-CN"/>
              </w:rPr>
              <w:t>浙江桐花农业开发有限公司</w:t>
            </w:r>
          </w:p>
          <w:p w14:paraId="37D1F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采购内容</w:t>
            </w:r>
            <w:r>
              <w:rPr>
                <w:rFonts w:hint="eastAsia"/>
                <w:color w:val="auto"/>
                <w:highlight w:val="none"/>
                <w:lang w:eastAsia="zh-CN"/>
              </w:rPr>
              <w:t>开化县钱江源共富农品精深加工项目——物联网数据系统和桐村畈基地水肥一体机（非政府采购）</w:t>
            </w:r>
            <w:r>
              <w:rPr>
                <w:rFonts w:hint="eastAsia"/>
                <w:color w:val="auto"/>
                <w:highlight w:val="none"/>
              </w:rPr>
              <w:t>（详见采购文件第四章《采购需求》）</w:t>
            </w:r>
          </w:p>
          <w:p w14:paraId="11866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highlight w:val="none"/>
                <w:lang w:val="en-US" w:eastAsia="zh-CN"/>
              </w:rPr>
            </w:pPr>
            <w:r>
              <w:rPr>
                <w:rFonts w:hint="eastAsia"/>
                <w:color w:val="auto"/>
                <w:highlight w:val="none"/>
              </w:rPr>
              <w:t>项目编号：</w:t>
            </w:r>
            <w:r>
              <w:rPr>
                <w:rFonts w:hint="eastAsia" w:ascii="宋体" w:hAnsi="宋体" w:cs="宋体"/>
                <w:color w:val="auto"/>
                <w:highlight w:val="none"/>
                <w:lang w:eastAsia="zh-CN"/>
              </w:rPr>
              <w:t>ZJTJKH2024-08-02</w:t>
            </w:r>
          </w:p>
          <w:p w14:paraId="30D40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lang w:val="en-US"/>
              </w:rPr>
            </w:pPr>
            <w:r>
              <w:rPr>
                <w:rFonts w:hint="eastAsia"/>
                <w:color w:val="auto"/>
                <w:highlight w:val="none"/>
              </w:rPr>
              <w:t>预算金额</w:t>
            </w:r>
            <w:r>
              <w:rPr>
                <w:rFonts w:hint="eastAsia"/>
                <w:color w:val="auto"/>
                <w:highlight w:val="none"/>
                <w:lang w:val="en-US" w:eastAsia="zh-CN"/>
              </w:rPr>
              <w:t>/最高限价</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val="en-US" w:eastAsia="zh-CN"/>
              </w:rPr>
              <w:t>197.0327万元</w:t>
            </w:r>
          </w:p>
          <w:p w14:paraId="21432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highlight w:val="none"/>
                <w:lang w:val="en-US" w:eastAsia="zh-CN"/>
              </w:rPr>
            </w:pPr>
            <w:r>
              <w:rPr>
                <w:rFonts w:hint="eastAsia"/>
                <w:color w:val="auto"/>
                <w:highlight w:val="none"/>
                <w:lang w:val="en-US" w:eastAsia="zh-CN"/>
              </w:rPr>
              <w:t>计划工期</w:t>
            </w: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自</w:t>
            </w:r>
            <w:r>
              <w:rPr>
                <w:rFonts w:hint="eastAsia" w:hAnsi="宋体" w:cs="宋体"/>
                <w:color w:val="auto"/>
                <w:highlight w:val="none"/>
                <w:u w:val="none"/>
                <w:lang w:val="en-US" w:eastAsia="zh-CN"/>
              </w:rPr>
              <w:t>合同签订当日起，</w:t>
            </w:r>
            <w:r>
              <w:rPr>
                <w:rFonts w:hint="eastAsia" w:hAnsi="宋体" w:cs="宋体"/>
                <w:b/>
                <w:bCs/>
                <w:color w:val="auto"/>
                <w:highlight w:val="none"/>
                <w:u w:val="single"/>
                <w:lang w:val="en-US" w:eastAsia="zh-CN"/>
              </w:rPr>
              <w:t>30</w:t>
            </w:r>
            <w:r>
              <w:rPr>
                <w:rFonts w:hint="eastAsia" w:hAnsi="宋体" w:cs="宋体"/>
                <w:color w:val="auto"/>
                <w:highlight w:val="none"/>
                <w:u w:val="none"/>
                <w:lang w:val="en-US" w:eastAsia="zh-CN"/>
              </w:rPr>
              <w:t>个日历天内完成</w:t>
            </w:r>
            <w:r>
              <w:rPr>
                <w:rFonts w:hint="eastAsia" w:hAnsi="宋体" w:cs="宋体"/>
                <w:b w:val="0"/>
                <w:bCs/>
                <w:color w:val="auto"/>
                <w:kern w:val="21"/>
                <w:sz w:val="21"/>
                <w:szCs w:val="21"/>
                <w:highlight w:val="none"/>
                <w:u w:val="none"/>
                <w:lang w:val="en-US" w:eastAsia="zh-CN"/>
              </w:rPr>
              <w:t>供货、</w:t>
            </w:r>
            <w:r>
              <w:rPr>
                <w:rFonts w:hint="eastAsia" w:ascii="宋体" w:hAnsi="宋体" w:cs="宋体"/>
                <w:b w:val="0"/>
                <w:bCs/>
                <w:color w:val="auto"/>
                <w:kern w:val="21"/>
                <w:sz w:val="21"/>
                <w:szCs w:val="21"/>
                <w:highlight w:val="none"/>
                <w:lang w:eastAsia="zh-CN"/>
              </w:rPr>
              <w:t>安装、</w:t>
            </w:r>
            <w:r>
              <w:rPr>
                <w:rFonts w:hint="eastAsia" w:ascii="宋体" w:hAnsi="宋体" w:eastAsia="宋体" w:cs="宋体"/>
                <w:color w:val="auto"/>
                <w:sz w:val="21"/>
                <w:szCs w:val="21"/>
                <w:highlight w:val="none"/>
                <w:lang w:eastAsia="zh-CN"/>
              </w:rPr>
              <w:t>调试、验收合格并交付使用</w:t>
            </w:r>
            <w:r>
              <w:rPr>
                <w:rFonts w:hint="eastAsia" w:ascii="宋体" w:hAnsi="宋体" w:cs="宋体"/>
                <w:b w:val="0"/>
                <w:bCs/>
                <w:color w:val="auto"/>
                <w:kern w:val="21"/>
                <w:sz w:val="21"/>
                <w:szCs w:val="21"/>
                <w:highlight w:val="none"/>
                <w:lang w:eastAsia="zh-CN"/>
              </w:rPr>
              <w:t>。</w:t>
            </w:r>
          </w:p>
        </w:tc>
      </w:tr>
      <w:tr w14:paraId="632E9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35" w:hRule="atLeast"/>
        </w:trPr>
        <w:tc>
          <w:tcPr>
            <w:tcW w:w="705" w:type="dxa"/>
            <w:shd w:val="clear" w:color="auto" w:fill="auto"/>
            <w:vAlign w:val="center"/>
          </w:tcPr>
          <w:p w14:paraId="342BA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p>
        </w:tc>
        <w:tc>
          <w:tcPr>
            <w:tcW w:w="1480" w:type="dxa"/>
            <w:shd w:val="clear" w:color="000000" w:fill="auto"/>
            <w:vAlign w:val="center"/>
          </w:tcPr>
          <w:p w14:paraId="5F3D9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踏勘现场</w:t>
            </w:r>
          </w:p>
        </w:tc>
        <w:tc>
          <w:tcPr>
            <w:tcW w:w="7420" w:type="dxa"/>
            <w:shd w:val="clear" w:color="000000" w:fill="auto"/>
            <w:vAlign w:val="center"/>
          </w:tcPr>
          <w:p w14:paraId="5A5A3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供应商自行组织，费用自理。</w:t>
            </w:r>
          </w:p>
        </w:tc>
      </w:tr>
      <w:tr w14:paraId="72F0F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601" w:hRule="atLeast"/>
        </w:trPr>
        <w:tc>
          <w:tcPr>
            <w:tcW w:w="705" w:type="dxa"/>
            <w:shd w:val="clear" w:color="000000" w:fill="auto"/>
            <w:vAlign w:val="center"/>
          </w:tcPr>
          <w:p w14:paraId="370DD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w:t>
            </w:r>
          </w:p>
        </w:tc>
        <w:tc>
          <w:tcPr>
            <w:tcW w:w="1480" w:type="dxa"/>
            <w:shd w:val="clear" w:color="000000" w:fill="auto"/>
            <w:vAlign w:val="center"/>
          </w:tcPr>
          <w:p w14:paraId="7085860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420" w:type="dxa"/>
            <w:shd w:val="clear" w:color="000000" w:fill="auto"/>
            <w:vAlign w:val="center"/>
          </w:tcPr>
          <w:p w14:paraId="3C2DD25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宋体"/>
                <w:color w:val="auto"/>
                <w:kern w:val="2"/>
                <w:sz w:val="21"/>
                <w:highlight w:val="none"/>
              </w:rPr>
            </w:pPr>
            <w:r>
              <w:rPr>
                <w:rFonts w:hint="eastAsia" w:hAnsi="宋体" w:cs="宋体"/>
                <w:color w:val="auto"/>
                <w:kern w:val="2"/>
                <w:sz w:val="21"/>
                <w:highlight w:val="none"/>
              </w:rPr>
              <w:t>根据《关于在政府采购活动中查询及使用信用记录有关问题的通知》财库[2016]125号的规定：</w:t>
            </w:r>
          </w:p>
          <w:p w14:paraId="0F1F09C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宋体"/>
                <w:color w:val="auto"/>
                <w:kern w:val="2"/>
                <w:sz w:val="21"/>
                <w:highlight w:val="none"/>
              </w:rPr>
            </w:pPr>
            <w:r>
              <w:rPr>
                <w:rFonts w:hint="eastAsia" w:hAnsi="宋体" w:cs="宋体"/>
                <w:color w:val="auto"/>
                <w:kern w:val="2"/>
                <w:sz w:val="21"/>
                <w:highlight w:val="none"/>
              </w:rPr>
              <w:t>1）采购人或采购代理机构在</w:t>
            </w:r>
            <w:r>
              <w:rPr>
                <w:rFonts w:hint="eastAsia" w:hAnsi="宋体" w:cs="宋体"/>
                <w:color w:val="auto"/>
                <w:kern w:val="2"/>
                <w:sz w:val="21"/>
                <w:highlight w:val="none"/>
                <w:lang w:eastAsia="zh-CN"/>
              </w:rPr>
              <w:t>磋商</w:t>
            </w:r>
            <w:r>
              <w:rPr>
                <w:rFonts w:hint="eastAsia" w:hAnsi="宋体" w:cs="宋体"/>
                <w:color w:val="auto"/>
                <w:kern w:val="2"/>
                <w:sz w:val="21"/>
                <w:highlight w:val="none"/>
              </w:rPr>
              <w:t>当日将对本项目</w:t>
            </w:r>
            <w:r>
              <w:rPr>
                <w:rFonts w:hint="eastAsia" w:hAnsi="宋体" w:cs="宋体"/>
                <w:color w:val="auto"/>
                <w:kern w:val="2"/>
                <w:sz w:val="21"/>
                <w:highlight w:val="none"/>
                <w:lang w:eastAsia="zh-CN"/>
              </w:rPr>
              <w:t>响应方</w:t>
            </w:r>
            <w:r>
              <w:rPr>
                <w:rFonts w:hint="eastAsia" w:hAnsi="宋体" w:cs="宋体"/>
                <w:color w:val="auto"/>
                <w:kern w:val="2"/>
                <w:sz w:val="21"/>
                <w:highlight w:val="none"/>
              </w:rPr>
              <w:t>的信用记录进行查询。查询渠道为信用中国网站（www.creditchina.gov.cn）和中国政府采购网（www.ccgp.gov.cn）。</w:t>
            </w:r>
          </w:p>
          <w:p w14:paraId="60E8DFC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宋体"/>
                <w:color w:val="auto"/>
                <w:kern w:val="2"/>
                <w:sz w:val="21"/>
                <w:highlight w:val="none"/>
              </w:rPr>
            </w:pPr>
            <w:r>
              <w:rPr>
                <w:rFonts w:hint="eastAsia" w:hAnsi="宋体" w:cs="宋体"/>
                <w:color w:val="auto"/>
                <w:kern w:val="2"/>
                <w:sz w:val="21"/>
                <w:highlight w:val="none"/>
              </w:rPr>
              <w:t>2）信用信息查询的截止时点：提交投标文件（响应文件）截止时间前3年内；</w:t>
            </w:r>
          </w:p>
          <w:p w14:paraId="4318E86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hAnsi="宋体" w:cs="宋体"/>
                <w:color w:val="auto"/>
                <w:kern w:val="2"/>
                <w:sz w:val="21"/>
                <w:highlight w:val="none"/>
              </w:rPr>
            </w:pPr>
            <w:r>
              <w:rPr>
                <w:rFonts w:hint="eastAsia" w:hAnsi="宋体" w:cs="宋体"/>
                <w:color w:val="auto"/>
                <w:kern w:val="2"/>
                <w:sz w:val="21"/>
                <w:highlight w:val="none"/>
              </w:rPr>
              <w:t>3）查询记录和证据的留存：信用信息查询记录和证据以网页截图等方式留存。</w:t>
            </w:r>
          </w:p>
          <w:p w14:paraId="199C189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sz w:val="21"/>
                <w:highlight w:val="none"/>
              </w:rPr>
            </w:pPr>
            <w:r>
              <w:rPr>
                <w:rFonts w:hint="eastAsia" w:hAnsi="宋体" w:cs="宋体"/>
                <w:color w:val="auto"/>
                <w:kern w:val="2"/>
                <w:sz w:val="21"/>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6BD68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212" w:hRule="atLeast"/>
        </w:trPr>
        <w:tc>
          <w:tcPr>
            <w:tcW w:w="705" w:type="dxa"/>
            <w:shd w:val="clear" w:color="000000" w:fill="auto"/>
            <w:vAlign w:val="center"/>
          </w:tcPr>
          <w:p w14:paraId="7F7A6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80" w:type="dxa"/>
            <w:shd w:val="clear" w:color="000000" w:fill="auto"/>
            <w:vAlign w:val="center"/>
          </w:tcPr>
          <w:p w14:paraId="6868FAF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政府采购</w:t>
            </w:r>
            <w:r>
              <w:rPr>
                <w:rFonts w:hint="eastAsia" w:ascii="宋体" w:hAnsi="宋体" w:eastAsia="宋体" w:cs="宋体"/>
                <w:color w:val="auto"/>
                <w:kern w:val="2"/>
                <w:sz w:val="21"/>
                <w:highlight w:val="none"/>
                <w:lang w:eastAsia="zh-CN"/>
              </w:rPr>
              <w:t>节能环保</w:t>
            </w:r>
            <w:r>
              <w:rPr>
                <w:rFonts w:hint="eastAsia" w:ascii="宋体" w:hAnsi="宋体" w:eastAsia="宋体" w:cs="宋体"/>
                <w:color w:val="auto"/>
                <w:kern w:val="2"/>
                <w:sz w:val="21"/>
                <w:highlight w:val="none"/>
              </w:rPr>
              <w:t>产品</w:t>
            </w:r>
          </w:p>
        </w:tc>
        <w:tc>
          <w:tcPr>
            <w:tcW w:w="7420" w:type="dxa"/>
            <w:shd w:val="clear" w:color="000000" w:fill="auto"/>
            <w:vAlign w:val="center"/>
          </w:tcPr>
          <w:p w14:paraId="26495F4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投标产品若属于</w:t>
            </w:r>
            <w:r>
              <w:rPr>
                <w:rFonts w:hint="eastAsia" w:ascii="宋体" w:hAnsi="宋体" w:eastAsia="宋体" w:cs="宋体"/>
                <w:color w:val="auto"/>
                <w:kern w:val="2"/>
                <w:sz w:val="21"/>
                <w:highlight w:val="none"/>
                <w:lang w:eastAsia="zh-CN"/>
              </w:rPr>
              <w:t>节能（环保）</w:t>
            </w:r>
            <w:r>
              <w:rPr>
                <w:rFonts w:hint="eastAsia" w:ascii="宋体" w:hAnsi="宋体" w:eastAsia="宋体" w:cs="宋体"/>
                <w:color w:val="auto"/>
                <w:kern w:val="2"/>
                <w:sz w:val="21"/>
                <w:highlight w:val="none"/>
              </w:rPr>
              <w:t>产品的，请提供财政部、生态环境部发布有效期内《环境标志产品政府采购品目清单》</w:t>
            </w:r>
            <w:r>
              <w:rPr>
                <w:rFonts w:hint="eastAsia" w:ascii="宋体" w:hAnsi="宋体" w:eastAsia="宋体" w:cs="宋体"/>
                <w:color w:val="auto"/>
                <w:kern w:val="2"/>
                <w:sz w:val="21"/>
                <w:highlight w:val="none"/>
                <w:lang w:val="en-US" w:eastAsia="zh-CN"/>
              </w:rPr>
              <w:t>或</w:t>
            </w:r>
            <w:r>
              <w:rPr>
                <w:rFonts w:hint="eastAsia" w:ascii="宋体" w:hAnsi="宋体" w:eastAsia="宋体" w:cs="宋体"/>
                <w:color w:val="auto"/>
                <w:kern w:val="2"/>
                <w:sz w:val="21"/>
                <w:highlight w:val="none"/>
              </w:rPr>
              <w:t>财政部、发展改革委联合发布有效期内《节能产品政府采购品目清单》中的产品。</w:t>
            </w:r>
          </w:p>
          <w:p w14:paraId="19142E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w:t>
            </w:r>
            <w:r>
              <w:rPr>
                <w:rFonts w:hint="eastAsia" w:hAnsi="宋体" w:cs="宋体"/>
                <w:color w:val="auto"/>
                <w:kern w:val="2"/>
                <w:sz w:val="21"/>
                <w:highlight w:val="none"/>
                <w:lang w:eastAsia="zh-CN"/>
              </w:rPr>
              <w:t>采购需求</w:t>
            </w:r>
            <w:r>
              <w:rPr>
                <w:rFonts w:hint="eastAsia" w:ascii="宋体" w:hAnsi="宋体" w:eastAsia="宋体" w:cs="宋体"/>
                <w:color w:val="auto"/>
                <w:kern w:val="2"/>
                <w:sz w:val="21"/>
                <w:highlight w:val="none"/>
              </w:rPr>
              <w:t>》中要求提供的产品属于《节能产品政府采购品目清单》中政府强制采购产品的，投标人须提供该清单内产品，否则其投标将作为无效标处理。</w:t>
            </w:r>
          </w:p>
        </w:tc>
      </w:tr>
      <w:tr w14:paraId="072A0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56" w:hRule="atLeast"/>
        </w:trPr>
        <w:tc>
          <w:tcPr>
            <w:tcW w:w="705" w:type="dxa"/>
            <w:shd w:val="clear" w:color="000000" w:fill="auto"/>
            <w:vAlign w:val="center"/>
          </w:tcPr>
          <w:p w14:paraId="3DFE0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80" w:type="dxa"/>
            <w:shd w:val="clear" w:color="000000" w:fill="auto"/>
            <w:vAlign w:val="center"/>
          </w:tcPr>
          <w:p w14:paraId="4F56C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420" w:type="dxa"/>
            <w:shd w:val="clear" w:color="000000" w:fill="auto"/>
            <w:vAlign w:val="center"/>
          </w:tcPr>
          <w:p w14:paraId="691B9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highlight w:val="none"/>
                <w:shd w:val="clear" w:color="auto" w:fill="FFFFFF"/>
                <w:lang w:eastAsia="zh-CN"/>
              </w:rPr>
            </w:pPr>
            <w:r>
              <w:rPr>
                <w:rFonts w:hint="eastAsia" w:asciiTheme="minorEastAsia" w:hAnsiTheme="minorEastAsia" w:eastAsiaTheme="minorEastAsia" w:cstheme="minorEastAsia"/>
                <w:color w:val="auto"/>
                <w:sz w:val="21"/>
                <w:highlight w:val="none"/>
                <w:shd w:val="clear" w:color="auto" w:fill="FFFFFF"/>
              </w:rPr>
              <w:t>响应文件提交截止日起90日内</w:t>
            </w:r>
            <w:r>
              <w:rPr>
                <w:rFonts w:hint="eastAsia" w:asciiTheme="minorEastAsia" w:hAnsiTheme="minorEastAsia" w:eastAsiaTheme="minorEastAsia" w:cstheme="minorEastAsia"/>
                <w:color w:val="auto"/>
                <w:sz w:val="21"/>
                <w:highlight w:val="none"/>
                <w:shd w:val="clear" w:color="auto" w:fill="FFFFFF"/>
                <w:lang w:eastAsia="zh-CN"/>
              </w:rPr>
              <w:t>。</w:t>
            </w:r>
          </w:p>
        </w:tc>
      </w:tr>
      <w:tr w14:paraId="1ABCD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43" w:hRule="atLeast"/>
        </w:trPr>
        <w:tc>
          <w:tcPr>
            <w:tcW w:w="705" w:type="dxa"/>
            <w:shd w:val="clear" w:color="000000" w:fill="auto"/>
            <w:vAlign w:val="center"/>
          </w:tcPr>
          <w:p w14:paraId="35806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6</w:t>
            </w:r>
          </w:p>
        </w:tc>
        <w:tc>
          <w:tcPr>
            <w:tcW w:w="1480" w:type="dxa"/>
            <w:shd w:val="clear" w:color="000000" w:fill="auto"/>
            <w:vAlign w:val="center"/>
          </w:tcPr>
          <w:p w14:paraId="54281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响应文件递交</w:t>
            </w:r>
          </w:p>
        </w:tc>
        <w:tc>
          <w:tcPr>
            <w:tcW w:w="7420" w:type="dxa"/>
            <w:shd w:val="clear" w:color="000000" w:fill="auto"/>
            <w:vAlign w:val="center"/>
          </w:tcPr>
          <w:p w14:paraId="39C41E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olor w:val="auto"/>
                <w:spacing w:val="-6"/>
                <w:sz w:val="21"/>
                <w:highlight w:val="none"/>
                <w:lang w:val="en-US" w:eastAsia="zh-CN"/>
              </w:rPr>
            </w:pPr>
            <w:r>
              <w:rPr>
                <w:rFonts w:hint="eastAsia" w:ascii="宋体" w:hAnsi="宋体"/>
                <w:color w:val="auto"/>
                <w:spacing w:val="-6"/>
                <w:sz w:val="21"/>
                <w:highlight w:val="none"/>
                <w:lang w:eastAsia="zh-CN"/>
              </w:rPr>
              <w:t>响应文件递交</w:t>
            </w:r>
            <w:r>
              <w:rPr>
                <w:rFonts w:hint="default" w:ascii="宋体" w:hAnsi="宋体"/>
                <w:color w:val="auto"/>
                <w:spacing w:val="-6"/>
                <w:sz w:val="21"/>
                <w:highlight w:val="none"/>
              </w:rPr>
              <w:t>地址：</w:t>
            </w:r>
            <w:r>
              <w:rPr>
                <w:rFonts w:hint="eastAsia" w:ascii="宋体" w:hAnsi="宋体"/>
                <w:color w:val="auto"/>
                <w:spacing w:val="-6"/>
                <w:sz w:val="21"/>
                <w:highlight w:val="none"/>
                <w:lang w:eastAsia="zh-CN"/>
              </w:rPr>
              <w:t>开化县公共资源交易中心开标区(开化县凤凰南路2号5楼)</w:t>
            </w:r>
          </w:p>
          <w:p w14:paraId="7A0DD8E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接收人：</w:t>
            </w:r>
            <w:r>
              <w:rPr>
                <w:rFonts w:hint="eastAsia" w:ascii="宋体" w:hAnsi="宋体"/>
                <w:color w:val="auto"/>
                <w:sz w:val="21"/>
                <w:highlight w:val="none"/>
                <w:lang w:eastAsia="zh-CN"/>
              </w:rPr>
              <w:t>浙江天健工程造价咨询有限公司</w:t>
            </w:r>
            <w:r>
              <w:rPr>
                <w:rFonts w:hint="default" w:ascii="宋体" w:hAnsi="宋体"/>
                <w:color w:val="auto"/>
                <w:sz w:val="21"/>
                <w:highlight w:val="none"/>
              </w:rPr>
              <w:t xml:space="preserve">  </w:t>
            </w:r>
          </w:p>
          <w:p w14:paraId="5188AA9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rPr>
              <w:t>递交截止时间：</w:t>
            </w:r>
            <w:r>
              <w:rPr>
                <w:rFonts w:hint="eastAsia" w:ascii="宋体" w:hAnsi="宋体" w:cs="宋体"/>
                <w:b w:val="0"/>
                <w:bCs w:val="0"/>
                <w:color w:val="auto"/>
                <w:sz w:val="21"/>
                <w:szCs w:val="21"/>
                <w:highlight w:val="none"/>
                <w:u w:val="single"/>
              </w:rPr>
              <w:t>202</w:t>
            </w:r>
            <w:r>
              <w:rPr>
                <w:rFonts w:hint="eastAsia" w:ascii="宋体" w:hAnsi="宋体" w:cs="宋体"/>
                <w:b w:val="0"/>
                <w:bCs w:val="0"/>
                <w:color w:val="auto"/>
                <w:sz w:val="21"/>
                <w:szCs w:val="21"/>
                <w:highlight w:val="none"/>
                <w:u w:val="single"/>
                <w:lang w:val="en-US" w:eastAsia="zh-CN"/>
              </w:rPr>
              <w:t>4</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u w:val="single"/>
                <w:lang w:val="en-US" w:eastAsia="zh-CN"/>
              </w:rPr>
              <w:t xml:space="preserve"> 08 </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u w:val="single"/>
                <w:lang w:val="en-US" w:eastAsia="zh-CN"/>
              </w:rPr>
              <w:t xml:space="preserve"> 26 </w:t>
            </w:r>
            <w:r>
              <w:rPr>
                <w:rFonts w:hint="eastAsia" w:ascii="宋体" w:hAnsi="宋体" w:cs="宋体"/>
                <w:b w:val="0"/>
                <w:bCs w:val="0"/>
                <w:color w:val="auto"/>
                <w:sz w:val="21"/>
                <w:szCs w:val="21"/>
                <w:highlight w:val="none"/>
              </w:rPr>
              <w:t>日</w:t>
            </w:r>
            <w:r>
              <w:rPr>
                <w:rFonts w:hint="eastAsia" w:ascii="宋体" w:hAnsi="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u w:val="single"/>
                <w:lang w:val="en-US" w:eastAsia="zh-CN"/>
              </w:rPr>
              <w:t xml:space="preserve"> 18:30 </w:t>
            </w:r>
            <w:r>
              <w:rPr>
                <w:rFonts w:hint="eastAsia" w:ascii="宋体" w:hAnsi="宋体" w:cs="宋体"/>
                <w:b w:val="0"/>
                <w:bCs w:val="0"/>
                <w:color w:val="auto"/>
                <w:sz w:val="21"/>
                <w:szCs w:val="21"/>
                <w:highlight w:val="none"/>
              </w:rPr>
              <w:t>时整</w:t>
            </w:r>
          </w:p>
        </w:tc>
      </w:tr>
      <w:tr w14:paraId="0232E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8" w:hRule="atLeast"/>
        </w:trPr>
        <w:tc>
          <w:tcPr>
            <w:tcW w:w="705" w:type="dxa"/>
            <w:shd w:val="clear" w:color="000000" w:fill="auto"/>
            <w:vAlign w:val="center"/>
          </w:tcPr>
          <w:p w14:paraId="79459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7</w:t>
            </w:r>
          </w:p>
        </w:tc>
        <w:tc>
          <w:tcPr>
            <w:tcW w:w="1480" w:type="dxa"/>
            <w:shd w:val="clear" w:color="000000" w:fill="auto"/>
            <w:vAlign w:val="center"/>
          </w:tcPr>
          <w:p w14:paraId="60D0D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420" w:type="dxa"/>
            <w:shd w:val="clear" w:color="000000" w:fill="auto"/>
            <w:vAlign w:val="center"/>
          </w:tcPr>
          <w:p w14:paraId="140C4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联系电话：</w:t>
            </w:r>
            <w:r>
              <w:rPr>
                <w:rFonts w:hint="eastAsia" w:asciiTheme="minorEastAsia" w:hAnsiTheme="minorEastAsia" w:eastAsiaTheme="minorEastAsia" w:cstheme="minorEastAsia"/>
                <w:color w:val="auto"/>
                <w:highlight w:val="none"/>
                <w:shd w:val="clear" w:color="auto" w:fill="FFFFFF"/>
                <w:lang w:eastAsia="zh-CN"/>
              </w:rPr>
              <w:t>0570-6010879</w:t>
            </w:r>
            <w:r>
              <w:rPr>
                <w:rFonts w:hint="eastAsia" w:asciiTheme="minorEastAsia" w:hAnsiTheme="minorEastAsia" w:eastAsiaTheme="minorEastAsia" w:cstheme="minorEastAsia"/>
                <w:color w:val="auto"/>
                <w:highlight w:val="none"/>
                <w:shd w:val="clear" w:color="auto" w:fill="FFFFFF"/>
              </w:rPr>
              <w:t xml:space="preserve">    电子邮箱：</w:t>
            </w:r>
            <w:r>
              <w:rPr>
                <w:rFonts w:hint="eastAsia" w:asciiTheme="minorEastAsia" w:hAnsiTheme="minorEastAsia" w:eastAsiaTheme="minorEastAsia" w:cstheme="minorEastAsia"/>
                <w:color w:val="auto"/>
                <w:highlight w:val="none"/>
                <w:shd w:val="clear" w:color="auto" w:fill="FFFFFF"/>
                <w:lang w:val="en-US" w:eastAsia="zh-CN"/>
              </w:rPr>
              <w:t>50768802</w:t>
            </w:r>
            <w:r>
              <w:rPr>
                <w:rFonts w:hint="eastAsia" w:asciiTheme="minorEastAsia" w:hAnsiTheme="minorEastAsia" w:eastAsiaTheme="minorEastAsia" w:cstheme="minorEastAsia"/>
                <w:color w:val="auto"/>
                <w:highlight w:val="none"/>
                <w:shd w:val="clear" w:color="auto" w:fill="FFFFFF"/>
              </w:rPr>
              <w:t>@qq.com</w:t>
            </w:r>
          </w:p>
        </w:tc>
      </w:tr>
      <w:tr w14:paraId="7B79D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trPr>
        <w:tc>
          <w:tcPr>
            <w:tcW w:w="705" w:type="dxa"/>
            <w:shd w:val="clear" w:color="000000" w:fill="auto"/>
            <w:vAlign w:val="center"/>
          </w:tcPr>
          <w:p w14:paraId="07C08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highlight w:val="none"/>
                <w:shd w:val="clear" w:color="auto" w:fill="FFFFFF"/>
                <w:lang w:val="en-US" w:eastAsia="zh-CN"/>
              </w:rPr>
            </w:pPr>
          </w:p>
          <w:p w14:paraId="3E911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highlight w:val="none"/>
                <w:shd w:val="clear" w:color="auto" w:fill="FFFFFF"/>
                <w:lang w:val="en-US" w:eastAsia="zh-CN"/>
              </w:rPr>
            </w:pPr>
          </w:p>
          <w:p w14:paraId="5B123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8</w:t>
            </w:r>
          </w:p>
        </w:tc>
        <w:tc>
          <w:tcPr>
            <w:tcW w:w="1480" w:type="dxa"/>
            <w:shd w:val="clear" w:color="000000" w:fill="auto"/>
            <w:vAlign w:val="center"/>
          </w:tcPr>
          <w:p w14:paraId="691C7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highlight w:val="none"/>
                <w:shd w:val="clear" w:color="auto" w:fill="FFFFFF"/>
              </w:rPr>
            </w:pPr>
          </w:p>
          <w:p w14:paraId="2CECF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highlight w:val="none"/>
                <w:shd w:val="clear" w:color="auto" w:fill="FFFFFF"/>
              </w:rPr>
            </w:pPr>
          </w:p>
          <w:p w14:paraId="41A93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响应材料</w:t>
            </w:r>
          </w:p>
        </w:tc>
        <w:tc>
          <w:tcPr>
            <w:tcW w:w="7420" w:type="dxa"/>
            <w:tcBorders>
              <w:bottom w:val="single" w:color="auto" w:sz="4" w:space="0"/>
            </w:tcBorders>
            <w:shd w:val="clear" w:color="000000" w:fill="auto"/>
            <w:vAlign w:val="center"/>
          </w:tcPr>
          <w:p w14:paraId="639E3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highlight w:val="none"/>
                <w:shd w:val="clear" w:color="auto" w:fill="FFFFFF"/>
              </w:rPr>
            </w:pPr>
            <w:r>
              <w:rPr>
                <w:rFonts w:hint="eastAsia" w:ascii="宋体" w:hAnsi="宋体" w:cs="宋体"/>
                <w:bCs/>
                <w:color w:val="auto"/>
                <w:highlight w:val="none"/>
                <w:shd w:val="clear" w:color="auto" w:fill="FFFFFF"/>
              </w:rPr>
              <w:sym w:font="Wingdings" w:char="F081"/>
            </w:r>
            <w:r>
              <w:rPr>
                <w:rFonts w:hint="eastAsia" w:ascii="宋体" w:hAnsi="宋体" w:cs="宋体"/>
                <w:bCs/>
                <w:color w:val="auto"/>
                <w:highlight w:val="none"/>
                <w:shd w:val="clear" w:color="auto" w:fill="FFFFFF"/>
              </w:rPr>
              <w:t>响</w:t>
            </w:r>
            <w:r>
              <w:rPr>
                <w:rFonts w:hint="eastAsia" w:asciiTheme="minorEastAsia" w:hAnsiTheme="minorEastAsia" w:eastAsiaTheme="minorEastAsia" w:cstheme="minorEastAsia"/>
                <w:color w:val="auto"/>
                <w:highlight w:val="none"/>
                <w:shd w:val="clear" w:color="auto" w:fill="FFFFFF"/>
              </w:rPr>
              <w:t>应文件：均须标注正本、副本字样，其中报价文件正本1份、副本4份；技术商务文件正本1份、副本4份；资格证明文件正本1份、副本4份；供应商必须严格按照提供的响应文件格式完整地填写以及提供所需的有关材料，并按规定分册装订。</w:t>
            </w:r>
          </w:p>
          <w:p w14:paraId="25646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eastAsia="zh-CN"/>
              </w:rPr>
              <w:t>②</w:t>
            </w:r>
            <w:r>
              <w:rPr>
                <w:rFonts w:hint="default" w:ascii="宋体" w:hAnsi="宋体"/>
                <w:b/>
                <w:color w:val="auto"/>
                <w:sz w:val="21"/>
                <w:highlight w:val="none"/>
              </w:rPr>
              <w:t>响应文件中涉及的资质证书等证明材料须为扫描件，响应文件正本一律使用彩色打印</w:t>
            </w:r>
            <w:r>
              <w:rPr>
                <w:rFonts w:hint="eastAsia" w:ascii="宋体" w:hAnsi="宋体"/>
                <w:b/>
                <w:color w:val="auto"/>
                <w:sz w:val="21"/>
                <w:highlight w:val="none"/>
                <w:lang w:eastAsia="zh-CN"/>
              </w:rPr>
              <w:t>，</w:t>
            </w:r>
            <w:r>
              <w:rPr>
                <w:rFonts w:hint="eastAsia" w:ascii="宋体" w:hAnsi="宋体" w:cs="宋体"/>
                <w:b/>
                <w:bCs/>
                <w:color w:val="auto"/>
                <w:highlight w:val="none"/>
              </w:rPr>
              <w:t>副本可以为正本复印件</w:t>
            </w:r>
            <w:r>
              <w:rPr>
                <w:rFonts w:hint="default" w:ascii="宋体" w:hAnsi="宋体"/>
                <w:b/>
                <w:color w:val="auto"/>
                <w:sz w:val="21"/>
                <w:highlight w:val="none"/>
              </w:rPr>
              <w:t>。</w:t>
            </w:r>
          </w:p>
        </w:tc>
      </w:tr>
      <w:tr w14:paraId="5EEBA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69" w:hRule="atLeast"/>
        </w:trPr>
        <w:tc>
          <w:tcPr>
            <w:tcW w:w="705" w:type="dxa"/>
            <w:shd w:val="clear" w:color="000000" w:fill="auto"/>
            <w:vAlign w:val="center"/>
          </w:tcPr>
          <w:p w14:paraId="0D481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9</w:t>
            </w:r>
          </w:p>
        </w:tc>
        <w:tc>
          <w:tcPr>
            <w:tcW w:w="1480" w:type="dxa"/>
            <w:shd w:val="clear" w:color="000000" w:fill="auto"/>
            <w:vAlign w:val="center"/>
          </w:tcPr>
          <w:p w14:paraId="2E7B5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420" w:type="dxa"/>
            <w:shd w:val="clear" w:color="000000" w:fill="auto"/>
            <w:vAlign w:val="center"/>
          </w:tcPr>
          <w:p w14:paraId="55B7D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bCs/>
                <w:color w:val="auto"/>
                <w:highlight w:val="none"/>
                <w:shd w:val="clear" w:color="auto" w:fill="FFFFFF"/>
                <w:lang w:val="en-US" w:eastAsia="zh-CN"/>
              </w:rPr>
            </w:pPr>
            <w:r>
              <w:rPr>
                <w:rFonts w:hint="eastAsia" w:ascii="宋体" w:hAnsi="宋体" w:cs="宋体"/>
                <w:b w:val="0"/>
                <w:bCs w:val="0"/>
                <w:color w:val="auto"/>
                <w:sz w:val="21"/>
                <w:szCs w:val="21"/>
                <w:highlight w:val="none"/>
                <w:u w:val="single"/>
              </w:rPr>
              <w:t>202</w:t>
            </w:r>
            <w:r>
              <w:rPr>
                <w:rFonts w:hint="eastAsia" w:ascii="宋体" w:hAnsi="宋体" w:cs="宋体"/>
                <w:b w:val="0"/>
                <w:bCs w:val="0"/>
                <w:color w:val="auto"/>
                <w:sz w:val="21"/>
                <w:szCs w:val="21"/>
                <w:highlight w:val="none"/>
                <w:u w:val="single"/>
                <w:lang w:val="en-US" w:eastAsia="zh-CN"/>
              </w:rPr>
              <w:t>4</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u w:val="single"/>
                <w:lang w:val="en-US" w:eastAsia="zh-CN"/>
              </w:rPr>
              <w:t xml:space="preserve"> 08 </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u w:val="single"/>
                <w:lang w:val="en-US" w:eastAsia="zh-CN"/>
              </w:rPr>
              <w:t xml:space="preserve"> 26 </w:t>
            </w:r>
            <w:r>
              <w:rPr>
                <w:rFonts w:hint="eastAsia" w:ascii="宋体" w:hAnsi="宋体" w:cs="宋体"/>
                <w:b w:val="0"/>
                <w:bCs w:val="0"/>
                <w:color w:val="auto"/>
                <w:sz w:val="21"/>
                <w:szCs w:val="21"/>
                <w:highlight w:val="none"/>
              </w:rPr>
              <w:t>日</w:t>
            </w:r>
            <w:r>
              <w:rPr>
                <w:rFonts w:hint="eastAsia" w:ascii="宋体" w:hAnsi="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u w:val="single"/>
                <w:lang w:val="en-US" w:eastAsia="zh-CN"/>
              </w:rPr>
              <w:t xml:space="preserve"> 18:30 </w:t>
            </w:r>
            <w:r>
              <w:rPr>
                <w:rFonts w:hint="eastAsia" w:ascii="宋体" w:hAnsi="宋体" w:cs="宋体"/>
                <w:b w:val="0"/>
                <w:bCs w:val="0"/>
                <w:color w:val="auto"/>
                <w:sz w:val="21"/>
                <w:szCs w:val="21"/>
                <w:highlight w:val="none"/>
              </w:rPr>
              <w:t>时整</w:t>
            </w:r>
          </w:p>
        </w:tc>
      </w:tr>
      <w:tr w14:paraId="77C1B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56" w:hRule="atLeast"/>
        </w:trPr>
        <w:tc>
          <w:tcPr>
            <w:tcW w:w="705" w:type="dxa"/>
            <w:shd w:val="clear" w:color="000000" w:fill="auto"/>
            <w:vAlign w:val="center"/>
          </w:tcPr>
          <w:p w14:paraId="58E25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0</w:t>
            </w:r>
          </w:p>
        </w:tc>
        <w:tc>
          <w:tcPr>
            <w:tcW w:w="1480" w:type="dxa"/>
            <w:shd w:val="clear" w:color="000000" w:fill="auto"/>
            <w:vAlign w:val="center"/>
          </w:tcPr>
          <w:p w14:paraId="02D918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4E5B8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w:t>
            </w:r>
            <w:r>
              <w:rPr>
                <w:rStyle w:val="56"/>
                <w:rFonts w:hint="eastAsia" w:asciiTheme="minorEastAsia" w:hAnsiTheme="minorEastAsia" w:eastAsiaTheme="minorEastAsia" w:cstheme="minorEastAsia"/>
                <w:color w:val="auto"/>
                <w:sz w:val="21"/>
                <w:szCs w:val="21"/>
                <w:highlight w:val="none"/>
                <w:shd w:val="clear" w:color="auto" w:fill="FFFFFF"/>
              </w:rPr>
              <w:t>地点</w:t>
            </w:r>
          </w:p>
        </w:tc>
        <w:tc>
          <w:tcPr>
            <w:tcW w:w="7420" w:type="dxa"/>
            <w:shd w:val="clear" w:color="000000" w:fill="auto"/>
            <w:vAlign w:val="center"/>
          </w:tcPr>
          <w:p w14:paraId="49D2A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u w:val="single"/>
              </w:rPr>
              <w:t>202</w:t>
            </w:r>
            <w:r>
              <w:rPr>
                <w:rFonts w:hint="eastAsia" w:ascii="宋体" w:hAnsi="宋体" w:cs="宋体"/>
                <w:b w:val="0"/>
                <w:bCs w:val="0"/>
                <w:color w:val="auto"/>
                <w:sz w:val="21"/>
                <w:szCs w:val="21"/>
                <w:highlight w:val="none"/>
                <w:u w:val="single"/>
                <w:lang w:val="en-US" w:eastAsia="zh-CN"/>
              </w:rPr>
              <w:t>4</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u w:val="single"/>
                <w:lang w:val="en-US" w:eastAsia="zh-CN"/>
              </w:rPr>
              <w:t xml:space="preserve"> 08 </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u w:val="single"/>
                <w:lang w:val="en-US" w:eastAsia="zh-CN"/>
              </w:rPr>
              <w:t xml:space="preserve"> 26 </w:t>
            </w:r>
            <w:r>
              <w:rPr>
                <w:rFonts w:hint="eastAsia" w:ascii="宋体" w:hAnsi="宋体" w:cs="宋体"/>
                <w:b w:val="0"/>
                <w:bCs w:val="0"/>
                <w:color w:val="auto"/>
                <w:sz w:val="21"/>
                <w:szCs w:val="21"/>
                <w:highlight w:val="none"/>
              </w:rPr>
              <w:t>日</w:t>
            </w:r>
            <w:r>
              <w:rPr>
                <w:rFonts w:hint="eastAsia" w:ascii="宋体" w:hAnsi="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u w:val="single"/>
                <w:lang w:val="en-US" w:eastAsia="zh-CN"/>
              </w:rPr>
              <w:t xml:space="preserve"> 18:30 </w:t>
            </w:r>
            <w:r>
              <w:rPr>
                <w:rFonts w:hint="eastAsia" w:ascii="宋体" w:hAnsi="宋体" w:cs="宋体"/>
                <w:b w:val="0"/>
                <w:bCs w:val="0"/>
                <w:color w:val="auto"/>
                <w:sz w:val="21"/>
                <w:szCs w:val="21"/>
                <w:highlight w:val="none"/>
              </w:rPr>
              <w:t>时整</w:t>
            </w:r>
          </w:p>
          <w:p w14:paraId="7CEE9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highlight w:val="none"/>
                <w:shd w:val="clear" w:color="auto" w:fill="FFFFFF"/>
                <w:lang w:eastAsia="zh-CN"/>
              </w:rPr>
            </w:pPr>
            <w:r>
              <w:rPr>
                <w:rStyle w:val="55"/>
                <w:rFonts w:hint="eastAsia" w:asciiTheme="minorEastAsia" w:hAnsiTheme="minorEastAsia" w:eastAsiaTheme="minorEastAsia" w:cstheme="minorEastAsia"/>
                <w:color w:val="auto"/>
                <w:highlight w:val="none"/>
                <w:shd w:val="clear" w:color="auto" w:fill="FFFFFF"/>
              </w:rPr>
              <w:t>磋商地点：</w:t>
            </w:r>
            <w:r>
              <w:rPr>
                <w:rFonts w:hint="eastAsia" w:ascii="宋体" w:hAnsi="宋体" w:eastAsiaTheme="minorEastAsia"/>
                <w:color w:val="auto"/>
                <w:spacing w:val="-6"/>
                <w:sz w:val="21"/>
                <w:highlight w:val="none"/>
                <w:lang w:eastAsia="zh-CN"/>
              </w:rPr>
              <w:t>开化县公共资源交易中心开标区(开化县凤凰南路2号5楼)</w:t>
            </w:r>
          </w:p>
        </w:tc>
      </w:tr>
      <w:tr w14:paraId="2884E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trPr>
        <w:tc>
          <w:tcPr>
            <w:tcW w:w="705" w:type="dxa"/>
            <w:shd w:val="clear" w:color="000000" w:fill="auto"/>
            <w:vAlign w:val="center"/>
          </w:tcPr>
          <w:p w14:paraId="247E5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1</w:t>
            </w:r>
          </w:p>
        </w:tc>
        <w:tc>
          <w:tcPr>
            <w:tcW w:w="1480" w:type="dxa"/>
            <w:shd w:val="clear" w:color="000000" w:fill="auto"/>
            <w:vAlign w:val="center"/>
          </w:tcPr>
          <w:p w14:paraId="3F742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供应商出席</w:t>
            </w:r>
          </w:p>
          <w:p w14:paraId="2D2CC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磋商会议</w:t>
            </w:r>
          </w:p>
        </w:tc>
        <w:tc>
          <w:tcPr>
            <w:tcW w:w="7420" w:type="dxa"/>
            <w:shd w:val="clear" w:color="000000" w:fill="auto"/>
            <w:vAlign w:val="center"/>
          </w:tcPr>
          <w:p w14:paraId="3566B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b/>
                <w:bCs/>
                <w:color w:val="auto"/>
                <w:highlight w:val="none"/>
                <w:shd w:val="clear" w:color="auto" w:fill="FFFFFF"/>
              </w:rPr>
            </w:pPr>
            <w:r>
              <w:rPr>
                <w:rFonts w:hint="default" w:asciiTheme="minorEastAsia" w:hAnsiTheme="minorEastAsia" w:eastAsiaTheme="minorEastAsia" w:cstheme="minorEastAsia"/>
                <w:b/>
                <w:bCs/>
                <w:color w:val="auto"/>
                <w:highlight w:val="none"/>
                <w:shd w:val="clear" w:color="auto" w:fill="FFFFFF"/>
              </w:rPr>
              <w:t>本项目实行现场开标，请各供应商准时出席。</w:t>
            </w:r>
          </w:p>
        </w:tc>
      </w:tr>
      <w:tr w14:paraId="4684B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5" w:hRule="atLeast"/>
        </w:trPr>
        <w:tc>
          <w:tcPr>
            <w:tcW w:w="705" w:type="dxa"/>
            <w:shd w:val="clear" w:color="000000" w:fill="auto"/>
            <w:vAlign w:val="center"/>
          </w:tcPr>
          <w:p w14:paraId="6686E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2</w:t>
            </w:r>
          </w:p>
        </w:tc>
        <w:tc>
          <w:tcPr>
            <w:tcW w:w="1480" w:type="dxa"/>
            <w:shd w:val="clear" w:color="000000" w:fill="auto"/>
            <w:vAlign w:val="center"/>
          </w:tcPr>
          <w:p w14:paraId="76E60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028254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420" w:type="dxa"/>
            <w:shd w:val="clear" w:color="000000" w:fill="auto"/>
            <w:vAlign w:val="center"/>
          </w:tcPr>
          <w:p w14:paraId="2B2D3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highlight w:val="none"/>
                <w:shd w:val="clear" w:color="auto" w:fill="FFFFFF"/>
              </w:rPr>
            </w:pPr>
            <w:r>
              <w:rPr>
                <w:rFonts w:hint="eastAsia" w:ascii="宋体" w:hAnsi="宋体"/>
                <w:color w:val="auto"/>
                <w:spacing w:val="-8"/>
                <w:highlight w:val="none"/>
              </w:rPr>
              <w:t>在中标供应商确定之日起</w:t>
            </w:r>
            <w:r>
              <w:rPr>
                <w:rFonts w:hint="default" w:ascii="宋体" w:hAnsi="宋体"/>
                <w:color w:val="auto"/>
                <w:spacing w:val="-8"/>
                <w:highlight w:val="none"/>
              </w:rPr>
              <w:t>2</w:t>
            </w:r>
            <w:r>
              <w:rPr>
                <w:rFonts w:hint="eastAsia" w:ascii="宋体" w:hAnsi="宋体"/>
                <w:color w:val="auto"/>
                <w:spacing w:val="-8"/>
                <w:highlight w:val="none"/>
              </w:rPr>
              <w:t>个工作日内发布</w:t>
            </w:r>
            <w:r>
              <w:rPr>
                <w:rFonts w:hint="eastAsia" w:ascii="宋体" w:hAnsi="宋体"/>
                <w:color w:val="auto"/>
                <w:spacing w:val="-8"/>
                <w:highlight w:val="none"/>
                <w:lang w:eastAsia="zh-CN"/>
              </w:rPr>
              <w:t>成交</w:t>
            </w:r>
            <w:r>
              <w:rPr>
                <w:rFonts w:hint="eastAsia" w:ascii="宋体" w:hAnsi="宋体"/>
                <w:color w:val="auto"/>
                <w:spacing w:val="-8"/>
                <w:highlight w:val="none"/>
              </w:rPr>
              <w:t>公告及《</w:t>
            </w:r>
            <w:r>
              <w:rPr>
                <w:rFonts w:hint="eastAsia" w:ascii="宋体" w:hAnsi="宋体"/>
                <w:color w:val="auto"/>
                <w:spacing w:val="-8"/>
                <w:highlight w:val="none"/>
                <w:lang w:eastAsia="zh-CN"/>
              </w:rPr>
              <w:t>成交</w:t>
            </w:r>
            <w:r>
              <w:rPr>
                <w:rFonts w:hint="eastAsia" w:ascii="宋体" w:hAnsi="宋体"/>
                <w:color w:val="auto"/>
                <w:spacing w:val="-8"/>
                <w:highlight w:val="none"/>
              </w:rPr>
              <w:t>通知书》，</w:t>
            </w:r>
            <w:r>
              <w:rPr>
                <w:rFonts w:hint="eastAsia" w:ascii="宋体" w:hAnsi="宋体"/>
                <w:color w:val="auto"/>
                <w:spacing w:val="-8"/>
                <w:highlight w:val="none"/>
                <w:lang w:eastAsia="zh-CN"/>
              </w:rPr>
              <w:t>成交公告</w:t>
            </w:r>
            <w:r>
              <w:rPr>
                <w:rFonts w:hint="eastAsia" w:ascii="宋体" w:hAnsi="宋体"/>
                <w:color w:val="auto"/>
                <w:spacing w:val="-8"/>
                <w:highlight w:val="none"/>
              </w:rPr>
              <w:t>发布网址</w:t>
            </w:r>
            <w:r>
              <w:rPr>
                <w:rFonts w:hint="default" w:ascii="宋体" w:hAnsi="宋体"/>
                <w:color w:val="auto"/>
                <w:spacing w:val="-8"/>
                <w:highlight w:val="none"/>
              </w:rPr>
              <w:t>:</w:t>
            </w:r>
            <w:r>
              <w:rPr>
                <w:rFonts w:hint="eastAsia" w:ascii="宋体" w:hAnsi="宋体"/>
                <w:color w:val="auto"/>
                <w:spacing w:val="-8"/>
                <w:highlight w:val="none"/>
              </w:rPr>
              <w:t>浙江省政府采购网</w:t>
            </w:r>
            <w:r>
              <w:rPr>
                <w:rFonts w:hint="default" w:ascii="宋体" w:hAnsi="宋体"/>
                <w:color w:val="auto"/>
                <w:spacing w:val="-8"/>
                <w:highlight w:val="none"/>
              </w:rPr>
              <w:t>(</w:t>
            </w:r>
            <w:r>
              <w:rPr>
                <w:rFonts w:hint="eastAsia" w:ascii="宋体" w:hAnsi="宋体"/>
                <w:color w:val="auto"/>
                <w:spacing w:val="-8"/>
                <w:highlight w:val="none"/>
                <w:lang w:eastAsia="zh-CN"/>
              </w:rPr>
              <w:t>http://zfcg.czt.zj.gov.cn/</w:t>
            </w:r>
            <w:r>
              <w:rPr>
                <w:rFonts w:hint="default" w:ascii="宋体" w:hAnsi="宋体"/>
                <w:color w:val="auto"/>
                <w:spacing w:val="-8"/>
                <w:highlight w:val="none"/>
              </w:rPr>
              <w:t>)</w:t>
            </w:r>
            <w:r>
              <w:rPr>
                <w:rFonts w:hint="eastAsia" w:ascii="宋体" w:hAnsi="宋体"/>
                <w:color w:val="auto"/>
                <w:spacing w:val="-8"/>
                <w:highlight w:val="none"/>
              </w:rPr>
              <w:t>。</w:t>
            </w:r>
          </w:p>
        </w:tc>
      </w:tr>
      <w:tr w14:paraId="3C667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4251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80" w:type="dxa"/>
            <w:shd w:val="clear" w:color="000000" w:fill="auto"/>
            <w:vAlign w:val="center"/>
          </w:tcPr>
          <w:p w14:paraId="48097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420" w:type="dxa"/>
            <w:shd w:val="clear" w:color="000000" w:fill="auto"/>
            <w:vAlign w:val="center"/>
          </w:tcPr>
          <w:p w14:paraId="7F79E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w:t>
            </w:r>
          </w:p>
        </w:tc>
      </w:tr>
      <w:tr w14:paraId="44156D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42" w:hRule="atLeast"/>
        </w:trPr>
        <w:tc>
          <w:tcPr>
            <w:tcW w:w="705" w:type="dxa"/>
            <w:shd w:val="clear" w:color="000000" w:fill="auto"/>
            <w:vAlign w:val="center"/>
          </w:tcPr>
          <w:p w14:paraId="208F8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default" w:asciiTheme="minorEastAsia" w:hAnsiTheme="minorEastAsia" w:eastAsiaTheme="minorEastAsia" w:cstheme="minorEastAsia"/>
                <w:color w:val="auto"/>
                <w:highlight w:val="none"/>
                <w:shd w:val="clear" w:color="auto" w:fill="FFFFFF"/>
                <w:lang w:val="en-US"/>
              </w:rPr>
              <w:t>1</w:t>
            </w:r>
            <w:r>
              <w:rPr>
                <w:rFonts w:hint="eastAsia" w:asciiTheme="minorEastAsia" w:hAnsiTheme="minorEastAsia" w:eastAsiaTheme="minorEastAsia" w:cstheme="minorEastAsia"/>
                <w:color w:val="auto"/>
                <w:highlight w:val="none"/>
                <w:shd w:val="clear" w:color="auto" w:fill="FFFFFF"/>
                <w:lang w:val="en-US" w:eastAsia="zh-CN"/>
              </w:rPr>
              <w:t>4</w:t>
            </w:r>
          </w:p>
        </w:tc>
        <w:tc>
          <w:tcPr>
            <w:tcW w:w="1480" w:type="dxa"/>
            <w:shd w:val="clear" w:color="000000" w:fill="auto"/>
            <w:vAlign w:val="center"/>
          </w:tcPr>
          <w:p w14:paraId="6EC755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eastAsia="zh-CN"/>
              </w:rPr>
              <w:t>履约保证金</w:t>
            </w:r>
          </w:p>
        </w:tc>
        <w:tc>
          <w:tcPr>
            <w:tcW w:w="7420" w:type="dxa"/>
            <w:shd w:val="clear" w:color="000000" w:fill="auto"/>
            <w:vAlign w:val="center"/>
          </w:tcPr>
          <w:p w14:paraId="51330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sym w:font="Wingdings" w:char="00A8"/>
            </w:r>
            <w:r>
              <w:rPr>
                <w:rFonts w:hint="eastAsia" w:asciiTheme="minorEastAsia" w:hAnsiTheme="minorEastAsia" w:eastAsiaTheme="minorEastAsia" w:cstheme="minorEastAsia"/>
                <w:color w:val="auto"/>
                <w:highlight w:val="none"/>
                <w:shd w:val="clear" w:color="auto" w:fill="FFFFFF"/>
                <w:lang w:val="en-US" w:eastAsia="zh-CN"/>
              </w:rPr>
              <w:t>本项目不收取履约保证金。</w:t>
            </w:r>
          </w:p>
          <w:p w14:paraId="4F755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sym w:font="Wingdings 2" w:char="0052"/>
            </w:r>
            <w:r>
              <w:rPr>
                <w:rFonts w:hint="eastAsia" w:asciiTheme="minorEastAsia" w:hAnsiTheme="minorEastAsia" w:eastAsiaTheme="minorEastAsia" w:cstheme="minorEastAsia"/>
                <w:color w:val="auto"/>
                <w:highlight w:val="none"/>
                <w:shd w:val="clear" w:color="auto" w:fill="FFFFFF"/>
                <w:lang w:val="en-US" w:eastAsia="zh-CN"/>
              </w:rPr>
              <w:t>中标人在签订采购合同后5个工作日内，通过电汇、转账、银行或保险公司出具履约保函向采购人交纳中标金额</w:t>
            </w:r>
            <w:r>
              <w:rPr>
                <w:rFonts w:hint="eastAsia" w:asciiTheme="minorEastAsia" w:hAnsiTheme="minorEastAsia" w:eastAsiaTheme="minorEastAsia" w:cstheme="minorEastAsia"/>
                <w:b/>
                <w:bCs/>
                <w:color w:val="auto"/>
                <w:highlight w:val="none"/>
                <w:u w:val="single"/>
                <w:shd w:val="clear" w:color="auto" w:fill="FFFFFF"/>
                <w:lang w:val="en-US" w:eastAsia="zh-CN"/>
              </w:rPr>
              <w:t xml:space="preserve"> 1 </w:t>
            </w:r>
            <w:r>
              <w:rPr>
                <w:rFonts w:hint="eastAsia" w:asciiTheme="minorEastAsia" w:hAnsiTheme="minorEastAsia" w:eastAsiaTheme="minorEastAsia" w:cstheme="minorEastAsia"/>
                <w:color w:val="auto"/>
                <w:highlight w:val="none"/>
                <w:shd w:val="clear" w:color="auto" w:fill="FFFFFF"/>
                <w:lang w:val="en-US" w:eastAsia="zh-CN"/>
              </w:rPr>
              <w:t xml:space="preserve"> %的履约保证金。履约保证金在采购合同履行完毕后一个月内无息退还。</w:t>
            </w:r>
          </w:p>
        </w:tc>
      </w:tr>
      <w:tr w14:paraId="678C1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AF914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lang w:val="en-US" w:eastAsia="zh-CN"/>
              </w:rPr>
              <w:t>15</w:t>
            </w:r>
          </w:p>
        </w:tc>
        <w:tc>
          <w:tcPr>
            <w:tcW w:w="1480" w:type="dxa"/>
            <w:shd w:val="clear" w:color="000000" w:fill="auto"/>
            <w:vAlign w:val="center"/>
          </w:tcPr>
          <w:p w14:paraId="0131F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rPr>
              <w:t>合同价格条款</w:t>
            </w:r>
          </w:p>
        </w:tc>
        <w:tc>
          <w:tcPr>
            <w:tcW w:w="7420" w:type="dxa"/>
            <w:shd w:val="clear" w:color="000000" w:fill="auto"/>
            <w:vAlign w:val="center"/>
          </w:tcPr>
          <w:p w14:paraId="4CDD7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0"/>
                <w:highlight w:val="none"/>
                <w:lang w:eastAsia="zh-CN"/>
              </w:rPr>
              <w:t>本合同为</w:t>
            </w:r>
            <w:r>
              <w:rPr>
                <w:rFonts w:hint="eastAsia" w:asciiTheme="minorEastAsia" w:hAnsiTheme="minorEastAsia" w:eastAsiaTheme="minorEastAsia" w:cstheme="minorEastAsia"/>
                <w:color w:val="auto"/>
                <w:kern w:val="0"/>
                <w:highlight w:val="none"/>
              </w:rPr>
              <w:t>固定</w:t>
            </w:r>
            <w:r>
              <w:rPr>
                <w:rFonts w:hint="eastAsia" w:asciiTheme="minorEastAsia" w:hAnsiTheme="minorEastAsia" w:eastAsiaTheme="minorEastAsia" w:cstheme="minorEastAsia"/>
                <w:color w:val="auto"/>
                <w:kern w:val="0"/>
                <w:highlight w:val="none"/>
                <w:lang w:eastAsia="zh-CN"/>
              </w:rPr>
              <w:t>总</w:t>
            </w:r>
            <w:r>
              <w:rPr>
                <w:rFonts w:hint="eastAsia" w:asciiTheme="minorEastAsia" w:hAnsiTheme="minorEastAsia" w:eastAsiaTheme="minorEastAsia" w:cstheme="minorEastAsia"/>
                <w:color w:val="auto"/>
                <w:kern w:val="0"/>
                <w:highlight w:val="none"/>
              </w:rPr>
              <w:t>价合同，以成交价为基准，政策性变化</w:t>
            </w:r>
            <w:r>
              <w:rPr>
                <w:rFonts w:hint="eastAsia" w:asciiTheme="minorEastAsia" w:hAnsiTheme="minorEastAsia" w:eastAsiaTheme="minorEastAsia" w:cstheme="minorEastAsia"/>
                <w:color w:val="auto"/>
                <w:kern w:val="0"/>
                <w:highlight w:val="none"/>
                <w:lang w:eastAsia="zh-CN"/>
              </w:rPr>
              <w:t>等</w:t>
            </w:r>
            <w:r>
              <w:rPr>
                <w:rFonts w:hint="eastAsia" w:asciiTheme="minorEastAsia" w:hAnsiTheme="minorEastAsia" w:eastAsiaTheme="minorEastAsia" w:cstheme="minorEastAsia"/>
                <w:color w:val="auto"/>
                <w:kern w:val="0"/>
                <w:highlight w:val="none"/>
              </w:rPr>
              <w:t>均不允许调整</w:t>
            </w:r>
            <w:r>
              <w:rPr>
                <w:rFonts w:hint="eastAsia" w:asciiTheme="minorEastAsia" w:hAnsiTheme="minorEastAsia" w:eastAsiaTheme="minorEastAsia" w:cstheme="minorEastAsia"/>
                <w:color w:val="auto"/>
                <w:kern w:val="0"/>
                <w:highlight w:val="none"/>
                <w:lang w:eastAsia="zh-CN"/>
              </w:rPr>
              <w:t>。</w:t>
            </w:r>
          </w:p>
        </w:tc>
      </w:tr>
      <w:tr w14:paraId="25BEB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121" w:hRule="atLeast"/>
        </w:trPr>
        <w:tc>
          <w:tcPr>
            <w:tcW w:w="705" w:type="dxa"/>
            <w:shd w:val="clear" w:color="000000" w:fill="auto"/>
            <w:vAlign w:val="center"/>
          </w:tcPr>
          <w:p w14:paraId="07201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16</w:t>
            </w:r>
          </w:p>
        </w:tc>
        <w:tc>
          <w:tcPr>
            <w:tcW w:w="1480" w:type="dxa"/>
            <w:shd w:val="clear" w:color="000000" w:fill="auto"/>
            <w:vAlign w:val="center"/>
          </w:tcPr>
          <w:p w14:paraId="7CA95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420" w:type="dxa"/>
            <w:shd w:val="clear" w:color="000000" w:fill="auto"/>
            <w:vAlign w:val="center"/>
          </w:tcPr>
          <w:p w14:paraId="2A888B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rPr>
              <w:t>1、本次磋商采用综合评分法。</w:t>
            </w:r>
            <w:r>
              <w:rPr>
                <w:rStyle w:val="59"/>
                <w:rFonts w:hint="eastAsia" w:asciiTheme="minorEastAsia" w:hAnsiTheme="minorEastAsia" w:eastAsiaTheme="minorEastAsia" w:cstheme="minorEastAsia"/>
                <w:color w:val="auto"/>
                <w:highlight w:val="none"/>
                <w:shd w:val="clear" w:color="auto" w:fill="FFFFFF"/>
              </w:rPr>
              <w:t>满分为100分，其中报价分值</w:t>
            </w:r>
            <w:r>
              <w:rPr>
                <w:rStyle w:val="59"/>
                <w:rFonts w:hint="eastAsia" w:asciiTheme="minorEastAsia" w:hAnsiTheme="minorEastAsia" w:eastAsiaTheme="minorEastAsia" w:cstheme="minorEastAsia"/>
                <w:color w:val="auto"/>
                <w:highlight w:val="none"/>
                <w:shd w:val="clear" w:color="auto" w:fill="FFFFFF"/>
                <w:lang w:val="en-US" w:eastAsia="zh-CN"/>
              </w:rPr>
              <w:t>30</w:t>
            </w:r>
            <w:r>
              <w:rPr>
                <w:rStyle w:val="59"/>
                <w:rFonts w:hint="eastAsia" w:asciiTheme="minorEastAsia" w:hAnsiTheme="minorEastAsia" w:eastAsiaTheme="minorEastAsia" w:cstheme="minorEastAsia"/>
                <w:color w:val="auto"/>
                <w:highlight w:val="none"/>
                <w:shd w:val="clear" w:color="auto" w:fill="FFFFFF"/>
              </w:rPr>
              <w:t>分</w:t>
            </w:r>
            <w:r>
              <w:rPr>
                <w:rStyle w:val="59"/>
                <w:rFonts w:hint="eastAsia" w:asciiTheme="minorEastAsia" w:hAnsiTheme="minorEastAsia" w:eastAsiaTheme="minorEastAsia" w:cstheme="minorEastAsia"/>
                <w:color w:val="auto"/>
                <w:highlight w:val="none"/>
                <w:shd w:val="clear" w:color="auto" w:fill="FFFFFF"/>
                <w:lang w:eastAsia="zh-CN"/>
              </w:rPr>
              <w:t>、资信及技术</w:t>
            </w:r>
            <w:r>
              <w:rPr>
                <w:rFonts w:hint="eastAsia" w:asciiTheme="minorEastAsia" w:hAnsiTheme="minorEastAsia" w:eastAsiaTheme="minorEastAsia" w:cstheme="minorEastAsia"/>
                <w:color w:val="auto"/>
                <w:highlight w:val="none"/>
                <w:shd w:val="clear" w:color="auto" w:fill="FFFFFF"/>
              </w:rPr>
              <w:t>等分值</w:t>
            </w:r>
            <w:r>
              <w:rPr>
                <w:rFonts w:hint="eastAsia" w:asciiTheme="minorEastAsia" w:hAnsiTheme="minorEastAsia" w:eastAsiaTheme="minorEastAsia" w:cstheme="minorEastAsia"/>
                <w:color w:val="auto"/>
                <w:highlight w:val="none"/>
                <w:shd w:val="clear" w:color="auto" w:fill="FFFFFF"/>
                <w:lang w:val="en-US" w:eastAsia="zh-CN"/>
              </w:rPr>
              <w:t>70</w:t>
            </w:r>
            <w:r>
              <w:rPr>
                <w:rFonts w:hint="eastAsia" w:asciiTheme="minorEastAsia" w:hAnsiTheme="minorEastAsia" w:eastAsiaTheme="minorEastAsia" w:cstheme="minorEastAsia"/>
                <w:color w:val="auto"/>
                <w:highlight w:val="none"/>
                <w:shd w:val="clear" w:color="auto" w:fill="FFFFFF"/>
              </w:rPr>
              <w:t>分。</w:t>
            </w:r>
            <w:r>
              <w:rPr>
                <w:rFonts w:hint="eastAsia" w:ascii="宋体" w:hAnsi="宋体" w:cs="宋体"/>
                <w:color w:val="auto"/>
                <w:highlight w:val="none"/>
              </w:rPr>
              <w:t>评标委员会根据响应文件对各响应人的</w:t>
            </w:r>
            <w:r>
              <w:rPr>
                <w:rFonts w:hint="eastAsia" w:ascii="宋体" w:hAnsi="宋体" w:cs="宋体"/>
                <w:color w:val="auto"/>
                <w:highlight w:val="none"/>
                <w:lang w:eastAsia="zh-CN"/>
              </w:rPr>
              <w:t>资信、技术商</w:t>
            </w:r>
            <w:r>
              <w:rPr>
                <w:rFonts w:hint="eastAsia" w:ascii="宋体" w:hAnsi="宋体" w:cs="宋体"/>
                <w:color w:val="auto"/>
                <w:highlight w:val="none"/>
              </w:rPr>
              <w:t>务等进行量化打分。</w:t>
            </w:r>
          </w:p>
          <w:p w14:paraId="198AC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Style w:val="59"/>
                <w:rFonts w:hint="default" w:asciiTheme="minorEastAsia" w:hAnsiTheme="minorEastAsia" w:eastAsiaTheme="minorEastAsia" w:cstheme="minorEastAsia"/>
                <w:color w:val="auto"/>
                <w:highlight w:val="none"/>
                <w:shd w:val="clear" w:color="auto" w:fill="FFFFFF"/>
              </w:rPr>
            </w:pPr>
            <w:r>
              <w:rPr>
                <w:rStyle w:val="59"/>
                <w:rFonts w:hint="eastAsia" w:asciiTheme="minorEastAsia" w:hAnsiTheme="minorEastAsia" w:eastAsiaTheme="minorEastAsia" w:cstheme="minorEastAsia"/>
                <w:color w:val="auto"/>
                <w:highlight w:val="none"/>
                <w:shd w:val="clear" w:color="auto" w:fill="FFFFFF"/>
              </w:rPr>
              <w:t>2、供应商应根据本采购项目的具体应用情况，在报价中充分考虑项目实施中可能发生的一切费用。</w:t>
            </w:r>
          </w:p>
          <w:p w14:paraId="4517F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Style w:val="59"/>
                <w:rFonts w:hint="eastAsia" w:asciiTheme="minorEastAsia" w:hAnsiTheme="minorEastAsia" w:eastAsiaTheme="minorEastAsia" w:cstheme="minorEastAsia"/>
                <w:color w:val="auto"/>
                <w:highlight w:val="none"/>
                <w:shd w:val="clear" w:color="auto" w:fill="FFFFFF"/>
                <w:lang w:val="en-US" w:eastAsia="zh-CN"/>
              </w:rPr>
            </w:pPr>
            <w:r>
              <w:rPr>
                <w:rStyle w:val="59"/>
                <w:rFonts w:hint="eastAsia" w:asciiTheme="minorEastAsia" w:hAnsiTheme="minorEastAsia" w:eastAsiaTheme="minorEastAsia" w:cstheme="minorEastAsia"/>
                <w:color w:val="auto"/>
                <w:highlight w:val="none"/>
                <w:shd w:val="clear" w:color="auto" w:fill="FFFFFF"/>
                <w:lang w:val="en-US" w:eastAsia="zh-CN"/>
              </w:rPr>
              <w:t>3、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33FBA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Style w:val="59"/>
                <w:rFonts w:hint="eastAsia" w:asciiTheme="minorEastAsia" w:hAnsiTheme="minorEastAsia" w:eastAsiaTheme="minorEastAsia" w:cstheme="minorEastAsia"/>
                <w:color w:val="auto"/>
                <w:highlight w:val="none"/>
                <w:lang w:eastAsia="zh-CN"/>
              </w:rPr>
            </w:pPr>
            <w:r>
              <w:rPr>
                <w:rStyle w:val="59"/>
                <w:rFonts w:hint="eastAsia" w:asciiTheme="minorEastAsia" w:hAnsiTheme="minorEastAsia" w:eastAsiaTheme="minorEastAsia" w:cstheme="minorEastAsia"/>
                <w:color w:val="auto"/>
                <w:highlight w:val="none"/>
                <w:shd w:val="clear" w:color="auto" w:fill="FFFFFF"/>
                <w:lang w:val="en-US" w:eastAsia="zh-CN"/>
              </w:rPr>
              <w:t>4</w:t>
            </w:r>
            <w:r>
              <w:rPr>
                <w:rStyle w:val="59"/>
                <w:rFonts w:hint="eastAsia" w:asciiTheme="minorEastAsia" w:hAnsiTheme="minorEastAsia" w:eastAsiaTheme="minorEastAsia" w:cstheme="minorEastAsia"/>
                <w:color w:val="auto"/>
                <w:highlight w:val="none"/>
                <w:shd w:val="clear" w:color="auto" w:fill="FFFFFF"/>
              </w:rPr>
              <w:t>、</w:t>
            </w:r>
            <w:r>
              <w:rPr>
                <w:rStyle w:val="59"/>
                <w:rFonts w:hint="eastAsia" w:asciiTheme="minorEastAsia" w:hAnsiTheme="minorEastAsia" w:eastAsiaTheme="minorEastAsia" w:cstheme="minorEastAsia"/>
                <w:color w:val="auto"/>
                <w:highlight w:val="none"/>
              </w:rPr>
              <w:t>带▲为必须满足的实质性内容</w:t>
            </w:r>
            <w:r>
              <w:rPr>
                <w:rStyle w:val="59"/>
                <w:rFonts w:hint="eastAsia" w:asciiTheme="minorEastAsia" w:hAnsiTheme="minorEastAsia" w:eastAsiaTheme="minorEastAsia" w:cstheme="minorEastAsia"/>
                <w:color w:val="auto"/>
                <w:highlight w:val="none"/>
                <w:lang w:eastAsia="zh-CN"/>
              </w:rPr>
              <w:t>。</w:t>
            </w:r>
          </w:p>
          <w:p w14:paraId="7899A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5</w:t>
            </w:r>
            <w:r>
              <w:rPr>
                <w:rFonts w:hint="eastAsia" w:asciiTheme="minorEastAsia" w:hAnsiTheme="minorEastAsia" w:eastAsiaTheme="minorEastAsia" w:cstheme="minorEastAsia"/>
                <w:color w:val="auto"/>
                <w:highlight w:val="none"/>
                <w:shd w:val="clear" w:color="auto" w:fill="FFFFFF"/>
              </w:rPr>
              <w:t>、本采购文件未尽事项按法律法规及行业主管部门文件执行。</w:t>
            </w:r>
          </w:p>
        </w:tc>
      </w:tr>
    </w:tbl>
    <w:p w14:paraId="6ACC2A8B">
      <w:pPr>
        <w:widowControl/>
        <w:spacing w:line="360" w:lineRule="auto"/>
        <w:jc w:val="center"/>
        <w:outlineLvl w:val="1"/>
        <w:rPr>
          <w:rFonts w:hint="default" w:ascii="Arial" w:hAnsi="Arial" w:eastAsia="黑体"/>
          <w:b/>
          <w:bCs/>
          <w:color w:val="auto"/>
          <w:sz w:val="32"/>
          <w:szCs w:val="32"/>
          <w:highlight w:val="none"/>
          <w:lang w:val="en-US" w:eastAsia="zh-CN"/>
        </w:rPr>
      </w:pPr>
      <w:bookmarkStart w:id="16" w:name="_Toc433917260"/>
      <w:bookmarkStart w:id="17" w:name="_Toc393201707"/>
      <w:bookmarkStart w:id="18" w:name="_Toc358384688"/>
      <w:bookmarkStart w:id="19" w:name="_Toc326937530"/>
      <w:bookmarkStart w:id="20" w:name="_Toc504642664"/>
      <w:bookmarkStart w:id="21" w:name="_Toc333842544"/>
    </w:p>
    <w:p w14:paraId="0ACDE8B1">
      <w:pPr>
        <w:widowControl/>
        <w:spacing w:line="400" w:lineRule="exact"/>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响应方</w:t>
      </w:r>
      <w:r>
        <w:rPr>
          <w:rFonts w:ascii="宋体" w:hAnsi="宋体" w:cs="宋体"/>
          <w:b/>
          <w:bCs/>
          <w:color w:val="auto"/>
          <w:kern w:val="0"/>
          <w:sz w:val="28"/>
          <w:szCs w:val="28"/>
          <w:highlight w:val="none"/>
          <w:shd w:val="clear" w:color="auto" w:fill="FFFFFF"/>
        </w:rPr>
        <w:t>须知</w:t>
      </w:r>
      <w:bookmarkEnd w:id="16"/>
      <w:bookmarkEnd w:id="17"/>
      <w:bookmarkEnd w:id="18"/>
      <w:bookmarkEnd w:id="19"/>
      <w:bookmarkEnd w:id="20"/>
      <w:bookmarkEnd w:id="21"/>
    </w:p>
    <w:p w14:paraId="7B3B6E65">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2"/>
        <w:rPr>
          <w:rFonts w:ascii="宋体" w:hAnsi="宋体" w:cs="宋体"/>
          <w:b/>
          <w:bCs/>
          <w:color w:val="auto"/>
          <w:kern w:val="0"/>
          <w:sz w:val="28"/>
          <w:szCs w:val="28"/>
          <w:highlight w:val="none"/>
        </w:rPr>
      </w:pPr>
      <w:bookmarkStart w:id="22" w:name="_Toc333842545"/>
      <w:bookmarkStart w:id="23" w:name="_Toc393201708"/>
      <w:bookmarkStart w:id="24" w:name="_Toc358384689"/>
      <w:bookmarkStart w:id="25" w:name="_Toc326937531"/>
      <w:bookmarkStart w:id="26" w:name="_Toc504642665"/>
      <w:bookmarkStart w:id="27" w:name="_Toc433917261"/>
      <w:r>
        <w:rPr>
          <w:rFonts w:hint="eastAsia" w:ascii="宋体" w:hAnsi="宋体" w:cs="宋体"/>
          <w:b/>
          <w:bCs/>
          <w:color w:val="auto"/>
          <w:kern w:val="0"/>
          <w:sz w:val="28"/>
          <w:szCs w:val="28"/>
          <w:highlight w:val="none"/>
        </w:rPr>
        <w:t>一、总</w:t>
      </w:r>
      <w:r>
        <w:rPr>
          <w:rFonts w:hint="eastAsia" w:ascii="宋体" w:hAnsi="宋体" w:cs="宋体"/>
          <w:b/>
          <w:bCs/>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rPr>
        <w:t>则</w:t>
      </w:r>
      <w:bookmarkEnd w:id="22"/>
      <w:bookmarkEnd w:id="23"/>
      <w:bookmarkEnd w:id="24"/>
      <w:bookmarkEnd w:id="25"/>
      <w:bookmarkEnd w:id="26"/>
      <w:bookmarkEnd w:id="27"/>
    </w:p>
    <w:p w14:paraId="2CBA05A5">
      <w:pPr>
        <w:keepNext w:val="0"/>
        <w:keepLines w:val="0"/>
        <w:pageBreakBefore w:val="0"/>
        <w:widowControl/>
        <w:kinsoku/>
        <w:wordWrap/>
        <w:overflowPunct/>
        <w:topLinePunct w:val="0"/>
        <w:bidi w:val="0"/>
        <w:adjustRightInd/>
        <w:snapToGrid/>
        <w:spacing w:line="400" w:lineRule="exact"/>
        <w:ind w:firstLine="422" w:firstLineChars="200"/>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项目概况</w:t>
      </w:r>
    </w:p>
    <w:p w14:paraId="56FE9D15">
      <w:pPr>
        <w:keepNext w:val="0"/>
        <w:keepLines w:val="0"/>
        <w:pageBreakBefore w:val="0"/>
        <w:widowControl/>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1.1采购单位：</w:t>
      </w:r>
      <w:r>
        <w:rPr>
          <w:rFonts w:hint="eastAsia" w:asciiTheme="minorEastAsia" w:hAnsiTheme="minorEastAsia" w:eastAsiaTheme="minorEastAsia" w:cstheme="minorEastAsia"/>
          <w:bCs/>
          <w:color w:val="auto"/>
          <w:kern w:val="0"/>
          <w:highlight w:val="none"/>
          <w:shd w:val="clear" w:color="auto" w:fill="FFFFFF"/>
          <w:lang w:eastAsia="zh-CN"/>
        </w:rPr>
        <w:t>浙江桐花农业开发有限公司</w:t>
      </w:r>
    </w:p>
    <w:p w14:paraId="35B4383A">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kern w:val="0"/>
          <w:highlight w:val="none"/>
          <w:shd w:val="clear" w:color="auto" w:fill="FFFFFF"/>
          <w:lang w:eastAsia="zh-CN"/>
        </w:rPr>
      </w:pPr>
      <w:r>
        <w:rPr>
          <w:rFonts w:hint="eastAsia" w:asciiTheme="minorEastAsia" w:hAnsiTheme="minorEastAsia" w:eastAsiaTheme="minorEastAsia" w:cstheme="minorEastAsia"/>
          <w:bCs/>
          <w:color w:val="auto"/>
          <w:kern w:val="0"/>
          <w:highlight w:val="none"/>
          <w:shd w:val="clear" w:color="auto" w:fill="FFFFFF"/>
        </w:rPr>
        <w:t>1.2采购内容</w:t>
      </w:r>
      <w:r>
        <w:rPr>
          <w:rFonts w:hint="eastAsia" w:asciiTheme="minorEastAsia" w:hAnsiTheme="minorEastAsia" w:eastAsiaTheme="minorEastAsia" w:cstheme="minorEastAsia"/>
          <w:bCs/>
          <w:color w:val="auto"/>
          <w:kern w:val="0"/>
          <w:highlight w:val="none"/>
          <w:shd w:val="clear" w:color="auto" w:fill="FFFFFF"/>
          <w:lang w:eastAsia="zh-CN"/>
        </w:rPr>
        <w:t>：开化县钱江源共富农品精深加工项目——物联网数据系统和桐村畈基地水肥一体机（非政府采购）</w:t>
      </w:r>
      <w:r>
        <w:rPr>
          <w:rFonts w:hint="eastAsia" w:asciiTheme="minorEastAsia" w:hAnsiTheme="minorEastAsia" w:eastAsiaTheme="minorEastAsia" w:cstheme="minorEastAsia"/>
          <w:bCs/>
          <w:color w:val="auto"/>
          <w:kern w:val="0"/>
          <w:highlight w:val="none"/>
          <w:shd w:val="clear" w:color="auto" w:fill="FFFFFF"/>
          <w:lang w:val="en-US" w:eastAsia="zh-CN"/>
        </w:rPr>
        <w:t>，</w:t>
      </w:r>
      <w:r>
        <w:rPr>
          <w:rFonts w:hint="eastAsia" w:asciiTheme="minorEastAsia" w:hAnsiTheme="minorEastAsia" w:eastAsiaTheme="minorEastAsia" w:cstheme="minorEastAsia"/>
          <w:bCs/>
          <w:color w:val="auto"/>
          <w:highlight w:val="none"/>
          <w:shd w:val="clear" w:color="auto" w:fill="FFFFFF"/>
        </w:rPr>
        <w:t>详见《</w:t>
      </w:r>
      <w:r>
        <w:rPr>
          <w:rFonts w:hint="eastAsia" w:asciiTheme="minorEastAsia" w:hAnsiTheme="minorEastAsia" w:eastAsiaTheme="minorEastAsia" w:cstheme="minorEastAsia"/>
          <w:bCs/>
          <w:color w:val="auto"/>
          <w:highlight w:val="none"/>
          <w:shd w:val="clear" w:color="auto" w:fill="FFFFFF"/>
          <w:lang w:eastAsia="zh-CN"/>
        </w:rPr>
        <w:t>采购需求</w:t>
      </w:r>
      <w:r>
        <w:rPr>
          <w:rFonts w:hint="eastAsia" w:asciiTheme="minorEastAsia" w:hAnsiTheme="minorEastAsia" w:eastAsiaTheme="minorEastAsia" w:cstheme="minorEastAsia"/>
          <w:bCs/>
          <w:color w:val="auto"/>
          <w:highlight w:val="none"/>
          <w:shd w:val="clear" w:color="auto" w:fill="FFFFFF"/>
        </w:rPr>
        <w:t>》</w:t>
      </w:r>
      <w:r>
        <w:rPr>
          <w:rFonts w:hint="eastAsia" w:asciiTheme="minorEastAsia" w:hAnsiTheme="minorEastAsia" w:eastAsiaTheme="minorEastAsia" w:cstheme="minorEastAsia"/>
          <w:bCs/>
          <w:color w:val="auto"/>
          <w:highlight w:val="none"/>
          <w:shd w:val="clear" w:color="auto" w:fill="FFFFFF"/>
          <w:lang w:eastAsia="zh-CN"/>
        </w:rPr>
        <w:t>。</w:t>
      </w:r>
    </w:p>
    <w:p w14:paraId="298BEE8A">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kern w:val="0"/>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rPr>
        <w:t>1.3采购编号：</w:t>
      </w:r>
      <w:r>
        <w:rPr>
          <w:rFonts w:hint="eastAsia" w:asciiTheme="minorEastAsia" w:hAnsiTheme="minorEastAsia" w:eastAsiaTheme="minorEastAsia" w:cstheme="minorEastAsia"/>
          <w:bCs/>
          <w:color w:val="auto"/>
          <w:kern w:val="0"/>
          <w:highlight w:val="none"/>
          <w:shd w:val="clear" w:color="auto" w:fill="FFFFFF"/>
          <w:lang w:eastAsia="zh-CN"/>
        </w:rPr>
        <w:t>ZJTJKH2024-08-02</w:t>
      </w:r>
    </w:p>
    <w:p w14:paraId="6A358B67">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0"/>
          <w:highlight w:val="none"/>
          <w:u w:val="none"/>
          <w:lang w:val="en-US" w:eastAsia="zh-CN"/>
        </w:rPr>
      </w:pPr>
      <w:r>
        <w:rPr>
          <w:rFonts w:hint="eastAsia" w:asciiTheme="minorEastAsia" w:hAnsiTheme="minorEastAsia" w:eastAsiaTheme="minorEastAsia" w:cstheme="minorEastAsia"/>
          <w:bCs/>
          <w:color w:val="auto"/>
          <w:kern w:val="0"/>
          <w:highlight w:val="none"/>
          <w:shd w:val="clear" w:color="auto" w:fill="FFFFFF"/>
        </w:rPr>
        <w:t>1.4预算金额</w:t>
      </w:r>
      <w:r>
        <w:rPr>
          <w:rFonts w:hint="eastAsia" w:asciiTheme="minorEastAsia" w:hAnsiTheme="minorEastAsia" w:eastAsiaTheme="minorEastAsia" w:cstheme="minorEastAsia"/>
          <w:bCs/>
          <w:color w:val="auto"/>
          <w:kern w:val="0"/>
          <w:highlight w:val="none"/>
          <w:shd w:val="clear" w:color="auto" w:fill="FFFFFF"/>
          <w:lang w:val="en-US" w:eastAsia="zh-CN"/>
        </w:rPr>
        <w:t>/最高限价</w:t>
      </w:r>
      <w:r>
        <w:rPr>
          <w:rFonts w:hint="eastAsia" w:asciiTheme="minorEastAsia" w:hAnsiTheme="minorEastAsia" w:eastAsiaTheme="minorEastAsia" w:cstheme="minorEastAsia"/>
          <w:bCs/>
          <w:color w:val="auto"/>
          <w:kern w:val="0"/>
          <w:highlight w:val="none"/>
          <w:shd w:val="clear" w:color="auto" w:fill="FFFFFF"/>
        </w:rPr>
        <w:t>：</w:t>
      </w:r>
      <w:r>
        <w:rPr>
          <w:rFonts w:hint="eastAsia" w:ascii="宋体" w:hAnsi="宋体" w:cs="宋体"/>
          <w:color w:val="auto"/>
          <w:kern w:val="0"/>
          <w:highlight w:val="none"/>
          <w:u w:val="single"/>
          <w:lang w:val="en-US" w:eastAsia="zh-CN"/>
        </w:rPr>
        <w:t>197.0327万元</w:t>
      </w:r>
    </w:p>
    <w:p w14:paraId="0E690B67">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kern w:val="0"/>
          <w:sz w:val="21"/>
          <w:szCs w:val="21"/>
          <w:highlight w:val="none"/>
          <w:shd w:val="clear" w:color="auto" w:fill="FFFFFF"/>
          <w:lang w:val="en-US" w:eastAsia="zh-CN"/>
        </w:rPr>
      </w:pPr>
      <w:r>
        <w:rPr>
          <w:rFonts w:hint="eastAsia" w:asciiTheme="minorEastAsia" w:hAnsiTheme="minorEastAsia" w:eastAsiaTheme="minorEastAsia" w:cstheme="minorEastAsia"/>
          <w:bCs/>
          <w:color w:val="auto"/>
          <w:kern w:val="0"/>
          <w:highlight w:val="none"/>
          <w:shd w:val="clear" w:color="auto" w:fill="FFFFFF"/>
          <w:lang w:val="en-US" w:eastAsia="zh-CN"/>
        </w:rPr>
        <w:t>1.5计划工期</w:t>
      </w:r>
      <w:r>
        <w:rPr>
          <w:rFonts w:hint="eastAsia" w:ascii="宋体" w:hAnsi="宋体" w:eastAsia="宋体" w:cs="宋体"/>
          <w:bCs/>
          <w:color w:val="auto"/>
          <w:kern w:val="0"/>
          <w:highlight w:val="none"/>
          <w:shd w:val="clear" w:color="auto" w:fill="FFFFFF"/>
          <w:lang w:eastAsia="zh-CN"/>
        </w:rPr>
        <w:t>：</w:t>
      </w:r>
      <w:r>
        <w:rPr>
          <w:rFonts w:hint="eastAsia" w:hAnsi="宋体" w:cs="宋体"/>
          <w:color w:val="auto"/>
          <w:highlight w:val="none"/>
          <w:lang w:val="en-US" w:eastAsia="zh-CN"/>
        </w:rPr>
        <w:t>自</w:t>
      </w:r>
      <w:r>
        <w:rPr>
          <w:rFonts w:hint="eastAsia" w:hAnsi="宋体" w:cs="宋体"/>
          <w:color w:val="auto"/>
          <w:highlight w:val="none"/>
          <w:u w:val="none"/>
          <w:lang w:val="en-US" w:eastAsia="zh-CN"/>
        </w:rPr>
        <w:t>合同签订当日起，</w:t>
      </w:r>
      <w:r>
        <w:rPr>
          <w:rFonts w:hint="eastAsia" w:hAnsi="宋体" w:cs="宋体"/>
          <w:b/>
          <w:bCs/>
          <w:color w:val="auto"/>
          <w:highlight w:val="none"/>
          <w:u w:val="single"/>
          <w:lang w:val="en-US" w:eastAsia="zh-CN"/>
        </w:rPr>
        <w:t>30</w:t>
      </w:r>
      <w:r>
        <w:rPr>
          <w:rFonts w:hint="eastAsia" w:hAnsi="宋体" w:cs="宋体"/>
          <w:color w:val="auto"/>
          <w:highlight w:val="none"/>
          <w:u w:val="none"/>
          <w:lang w:val="en-US" w:eastAsia="zh-CN"/>
        </w:rPr>
        <w:t>个日历天内完成</w:t>
      </w:r>
      <w:r>
        <w:rPr>
          <w:rFonts w:hint="eastAsia" w:hAnsi="宋体" w:cs="宋体"/>
          <w:b w:val="0"/>
          <w:bCs/>
          <w:color w:val="auto"/>
          <w:kern w:val="21"/>
          <w:sz w:val="21"/>
          <w:szCs w:val="21"/>
          <w:highlight w:val="none"/>
          <w:u w:val="none"/>
          <w:lang w:val="en-US" w:eastAsia="zh-CN"/>
        </w:rPr>
        <w:t>供货、</w:t>
      </w:r>
      <w:r>
        <w:rPr>
          <w:rFonts w:hint="eastAsia" w:ascii="宋体" w:hAnsi="宋体" w:cs="宋体"/>
          <w:b w:val="0"/>
          <w:bCs/>
          <w:color w:val="auto"/>
          <w:kern w:val="21"/>
          <w:sz w:val="21"/>
          <w:szCs w:val="21"/>
          <w:highlight w:val="none"/>
          <w:lang w:eastAsia="zh-CN"/>
        </w:rPr>
        <w:t>安装、</w:t>
      </w:r>
      <w:r>
        <w:rPr>
          <w:rFonts w:hint="eastAsia" w:ascii="宋体" w:hAnsi="宋体" w:eastAsia="宋体" w:cs="宋体"/>
          <w:color w:val="auto"/>
          <w:sz w:val="21"/>
          <w:szCs w:val="21"/>
          <w:highlight w:val="none"/>
          <w:lang w:eastAsia="zh-CN"/>
        </w:rPr>
        <w:t>调试、验收合格并交付使用</w:t>
      </w:r>
      <w:r>
        <w:rPr>
          <w:rFonts w:hint="eastAsia" w:ascii="宋体" w:hAnsi="宋体" w:cs="宋体"/>
          <w:b w:val="0"/>
          <w:bCs/>
          <w:color w:val="auto"/>
          <w:kern w:val="21"/>
          <w:sz w:val="21"/>
          <w:szCs w:val="21"/>
          <w:highlight w:val="none"/>
          <w:lang w:eastAsia="zh-CN"/>
        </w:rPr>
        <w:t>。</w:t>
      </w:r>
    </w:p>
    <w:p w14:paraId="561F5FF0">
      <w:pPr>
        <w:keepNext w:val="0"/>
        <w:keepLines w:val="0"/>
        <w:pageBreakBefore w:val="0"/>
        <w:widowControl/>
        <w:kinsoku/>
        <w:wordWrap/>
        <w:overflowPunct/>
        <w:topLinePunct w:val="0"/>
        <w:bidi w:val="0"/>
        <w:adjustRightInd/>
        <w:snapToGrid/>
        <w:spacing w:line="400" w:lineRule="exact"/>
        <w:ind w:firstLine="422" w:firstLineChars="200"/>
        <w:textAlignment w:val="auto"/>
        <w:rPr>
          <w:rFonts w:hint="eastAsia" w:ascii="宋体" w:hAnsi="宋体" w:eastAsia="宋体" w:cs="宋体"/>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2、</w:t>
      </w:r>
      <w:r>
        <w:rPr>
          <w:rFonts w:hint="eastAsia" w:ascii="宋体" w:hAnsi="宋体" w:eastAsia="宋体" w:cs="宋体"/>
          <w:b/>
          <w:color w:val="auto"/>
          <w:sz w:val="21"/>
          <w:szCs w:val="21"/>
          <w:highlight w:val="none"/>
          <w:shd w:val="clear" w:color="auto" w:fill="FFFFFF"/>
        </w:rPr>
        <w:t>合格的供应商应同时具备的资格要求</w:t>
      </w:r>
    </w:p>
    <w:p w14:paraId="3518957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val="0"/>
          <w:bCs w:val="0"/>
          <w:color w:val="auto"/>
          <w:kern w:val="0"/>
          <w:highlight w:val="none"/>
          <w:shd w:val="clear" w:color="auto" w:fill="FFFFFF"/>
        </w:rPr>
      </w:pPr>
      <w:r>
        <w:rPr>
          <w:rFonts w:hint="eastAsia" w:asciiTheme="minorEastAsia" w:hAnsiTheme="minorEastAsia" w:eastAsiaTheme="minorEastAsia" w:cstheme="minorEastAsia"/>
          <w:b w:val="0"/>
          <w:bCs w:val="0"/>
          <w:color w:val="auto"/>
          <w:kern w:val="0"/>
          <w:highlight w:val="none"/>
          <w:shd w:val="clear" w:color="auto" w:fill="FFFFFF"/>
        </w:rPr>
        <w:t>2.1满足《中华人民共和国政府采购法》第二十二条规定；</w:t>
      </w:r>
    </w:p>
    <w:p w14:paraId="14B398E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val="0"/>
          <w:bCs w:val="0"/>
          <w:color w:val="auto"/>
          <w:kern w:val="0"/>
          <w:highlight w:val="none"/>
          <w:shd w:val="clear" w:color="auto" w:fill="FFFFFF"/>
        </w:rPr>
      </w:pPr>
      <w:r>
        <w:rPr>
          <w:rFonts w:hint="eastAsia" w:asciiTheme="minorEastAsia" w:hAnsiTheme="minorEastAsia" w:eastAsiaTheme="minorEastAsia" w:cstheme="minorEastAsia"/>
          <w:b w:val="0"/>
          <w:bCs w:val="0"/>
          <w:color w:val="auto"/>
          <w:highlight w:val="none"/>
        </w:rPr>
        <w:t>2.2必须为未被列入信用中国网站(www.creditchina.gov.cn)、中国政府采购网(www.ccgp.gov.cn)渠道信用记录失信被执行人、重大税收违法案件当事人名单、政府采购严重违法失信行为记录名单的响应方。</w:t>
      </w:r>
    </w:p>
    <w:p w14:paraId="69A3898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b w:val="0"/>
          <w:bCs w:val="0"/>
          <w:color w:val="auto"/>
          <w:highlight w:val="none"/>
        </w:rPr>
      </w:pPr>
      <w:r>
        <w:rPr>
          <w:rFonts w:hint="eastAsia" w:ascii="宋体" w:hAnsi="宋体" w:cs="宋体"/>
          <w:b w:val="0"/>
          <w:bCs w:val="0"/>
          <w:color w:val="auto"/>
          <w:highlight w:val="none"/>
        </w:rPr>
        <w:t>2.3落实政府采购政策需满足的资格要求：</w:t>
      </w:r>
      <w:r>
        <w:rPr>
          <w:rFonts w:hint="eastAsia" w:ascii="宋体" w:hAnsi="宋体" w:cs="宋体"/>
          <w:b w:val="0"/>
          <w:bCs w:val="0"/>
          <w:color w:val="auto"/>
          <w:highlight w:val="none"/>
          <w:u w:val="single"/>
        </w:rPr>
        <w:t xml:space="preserve">  </w:t>
      </w:r>
      <w:r>
        <w:rPr>
          <w:rFonts w:hint="eastAsia" w:cs="宋体"/>
          <w:color w:val="auto"/>
          <w:sz w:val="21"/>
          <w:szCs w:val="21"/>
          <w:highlight w:val="none"/>
          <w:u w:val="single"/>
          <w:lang w:val="en-US" w:eastAsia="zh-CN"/>
        </w:rPr>
        <w:t>本项目专门面向中小企业</w:t>
      </w:r>
      <w:r>
        <w:rPr>
          <w:rFonts w:hint="eastAsia" w:ascii="宋体" w:hAnsi="宋体" w:cs="宋体"/>
          <w:b w:val="0"/>
          <w:bCs w:val="0"/>
          <w:color w:val="auto"/>
          <w:highlight w:val="none"/>
          <w:u w:val="single"/>
        </w:rPr>
        <w:t xml:space="preserve">  </w:t>
      </w:r>
      <w:r>
        <w:rPr>
          <w:rFonts w:hint="eastAsia" w:ascii="宋体" w:hAnsi="宋体" w:cs="宋体"/>
          <w:b w:val="0"/>
          <w:bCs w:val="0"/>
          <w:color w:val="auto"/>
          <w:highlight w:val="none"/>
        </w:rPr>
        <w:t>；</w:t>
      </w:r>
    </w:p>
    <w:p w14:paraId="5610883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b w:val="0"/>
          <w:bCs w:val="0"/>
          <w:color w:val="auto"/>
          <w:kern w:val="0"/>
          <w:highlight w:val="none"/>
          <w:shd w:val="clear" w:color="auto" w:fill="FFFFFF"/>
        </w:rPr>
      </w:pPr>
      <w:r>
        <w:rPr>
          <w:rFonts w:hint="eastAsia" w:ascii="宋体" w:hAnsi="宋体" w:cs="宋体"/>
          <w:b w:val="0"/>
          <w:bCs w:val="0"/>
          <w:color w:val="auto"/>
          <w:highlight w:val="none"/>
        </w:rPr>
        <w:t>2.4本项目的特定资格要求：</w:t>
      </w:r>
      <w:r>
        <w:rPr>
          <w:rFonts w:hint="eastAsia" w:ascii="宋体" w:hAnsi="宋体" w:cs="宋体"/>
          <w:b w:val="0"/>
          <w:bCs w:val="0"/>
          <w:color w:val="auto"/>
          <w:highlight w:val="none"/>
          <w:u w:val="single"/>
        </w:rPr>
        <w:t xml:space="preserve">  无  </w:t>
      </w:r>
      <w:r>
        <w:rPr>
          <w:rFonts w:hint="eastAsia" w:ascii="宋体" w:hAnsi="宋体" w:cs="宋体"/>
          <w:b w:val="0"/>
          <w:bCs w:val="0"/>
          <w:color w:val="auto"/>
          <w:highlight w:val="none"/>
        </w:rPr>
        <w:t>。</w:t>
      </w:r>
    </w:p>
    <w:p w14:paraId="523E16C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2.5本项目不接受联合体投标。</w:t>
      </w:r>
    </w:p>
    <w:p w14:paraId="1429DA1A">
      <w:pPr>
        <w:keepNext w:val="0"/>
        <w:keepLines w:val="0"/>
        <w:pageBreakBefore w:val="0"/>
        <w:widowControl/>
        <w:kinsoku/>
        <w:wordWrap/>
        <w:overflowPunct/>
        <w:topLinePunct w:val="0"/>
        <w:bidi w:val="0"/>
        <w:adjustRightInd/>
        <w:snapToGrid/>
        <w:spacing w:line="400" w:lineRule="exact"/>
        <w:ind w:firstLine="422" w:firstLineChars="200"/>
        <w:textAlignment w:val="auto"/>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758FFB35">
      <w:pPr>
        <w:keepNext w:val="0"/>
        <w:keepLines w:val="0"/>
        <w:pageBreakBefore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无论磋商过程和结果如何，响应方应自行承担所有与磋商有关的全部费用，采购代理机构和采购人均无义务和责任承担这些费用。</w:t>
      </w:r>
    </w:p>
    <w:p w14:paraId="2231A690">
      <w:pPr>
        <w:pStyle w:val="29"/>
        <w:keepNext w:val="0"/>
        <w:keepLines w:val="0"/>
        <w:pageBreakBefore w:val="0"/>
        <w:widowControl w:val="0"/>
        <w:kinsoku/>
        <w:wordWrap/>
        <w:overflowPunct/>
        <w:topLinePunct w:val="0"/>
        <w:bidi w:val="0"/>
        <w:adjustRightInd w:val="0"/>
        <w:snapToGrid w:val="0"/>
        <w:spacing w:after="0" w:afterLines="0" w:line="360" w:lineRule="auto"/>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2"/>
          <w:szCs w:val="22"/>
          <w:highlight w:val="none"/>
        </w:rPr>
        <w:t>招标代理费由</w:t>
      </w:r>
      <w:r>
        <w:rPr>
          <w:rFonts w:hint="eastAsia" w:asciiTheme="minorEastAsia" w:hAnsiTheme="minorEastAsia" w:eastAsiaTheme="minorEastAsia" w:cstheme="minorEastAsia"/>
          <w:b/>
          <w:color w:val="auto"/>
          <w:sz w:val="22"/>
          <w:szCs w:val="22"/>
          <w:highlight w:val="none"/>
          <w:lang w:eastAsia="zh-CN"/>
        </w:rPr>
        <w:t>中标单位承担</w:t>
      </w:r>
      <w:r>
        <w:rPr>
          <w:rFonts w:hint="eastAsia" w:asciiTheme="minorEastAsia" w:hAnsiTheme="minorEastAsia" w:eastAsiaTheme="minorEastAsia" w:cstheme="minorEastAsia"/>
          <w:b/>
          <w:color w:val="auto"/>
          <w:highlight w:val="none"/>
        </w:rPr>
        <w:t>，</w:t>
      </w:r>
      <w:r>
        <w:rPr>
          <w:rFonts w:hint="eastAsia" w:ascii="宋体" w:hAnsi="宋体"/>
          <w:b/>
          <w:bCs/>
          <w:color w:val="auto"/>
          <w:sz w:val="22"/>
          <w:szCs w:val="22"/>
          <w:highlight w:val="none"/>
          <w:u w:val="single"/>
          <w:lang w:val="en-US" w:eastAsia="zh-CN"/>
        </w:rPr>
        <w:t>按国家计委计价格【2002】1980号《招标代理服务收费管理暂行办法》和国家发改委下发的《关于降低部分建设项目收费标准规范收费行为等有关问题的通知》【2011】534号所规定的货物招标收费标准的收取；</w:t>
      </w:r>
    </w:p>
    <w:p w14:paraId="5A0272F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招标代理费的收取标准：（累进式计算方法）</w:t>
      </w:r>
    </w:p>
    <w:tbl>
      <w:tblPr>
        <w:tblStyle w:val="3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42"/>
        <w:gridCol w:w="2683"/>
        <w:gridCol w:w="2334"/>
      </w:tblGrid>
      <w:tr w14:paraId="57EE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3842" w:type="dxa"/>
            <w:tcBorders>
              <w:tl2br w:val="single" w:color="auto" w:sz="4" w:space="0"/>
            </w:tcBorders>
            <w:tcMar>
              <w:top w:w="30" w:type="dxa"/>
              <w:left w:w="150" w:type="dxa"/>
              <w:bottom w:w="30" w:type="dxa"/>
              <w:right w:w="150" w:type="dxa"/>
            </w:tcMar>
            <w:vAlign w:val="center"/>
          </w:tcPr>
          <w:p w14:paraId="0DBAE4D5">
            <w:pPr>
              <w:keepNext w:val="0"/>
              <w:keepLines w:val="0"/>
              <w:suppressLineNumbers w:val="0"/>
              <w:autoSpaceDE w:val="0"/>
              <w:autoSpaceDN w:val="0"/>
              <w:spacing w:before="0" w:beforeAutospacing="0" w:after="0" w:afterAutospacing="0" w:line="400" w:lineRule="exact"/>
              <w:ind w:left="0" w:right="0" w:firstLine="420" w:firstLineChars="200"/>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 xml:space="preserve">           服费务类率型</w:t>
            </w:r>
          </w:p>
          <w:p w14:paraId="087D331B">
            <w:pPr>
              <w:keepNext w:val="0"/>
              <w:keepLines w:val="0"/>
              <w:suppressLineNumbers w:val="0"/>
              <w:autoSpaceDE w:val="0"/>
              <w:autoSpaceDN w:val="0"/>
              <w:spacing w:before="0" w:beforeAutospacing="0" w:after="0" w:afterAutospacing="0" w:line="400" w:lineRule="exact"/>
              <w:ind w:left="0" w:right="0"/>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中标金额（万元）</w:t>
            </w:r>
          </w:p>
        </w:tc>
        <w:tc>
          <w:tcPr>
            <w:tcW w:w="2683" w:type="dxa"/>
            <w:tcMar>
              <w:top w:w="30" w:type="dxa"/>
              <w:left w:w="150" w:type="dxa"/>
              <w:bottom w:w="30" w:type="dxa"/>
              <w:right w:w="150" w:type="dxa"/>
            </w:tcMar>
            <w:vAlign w:val="center"/>
          </w:tcPr>
          <w:p w14:paraId="733F2567">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货物招标</w:t>
            </w:r>
          </w:p>
        </w:tc>
        <w:tc>
          <w:tcPr>
            <w:tcW w:w="2334" w:type="dxa"/>
            <w:tcMar>
              <w:top w:w="30" w:type="dxa"/>
              <w:left w:w="150" w:type="dxa"/>
              <w:bottom w:w="30" w:type="dxa"/>
              <w:right w:w="150" w:type="dxa"/>
            </w:tcMar>
            <w:vAlign w:val="center"/>
          </w:tcPr>
          <w:p w14:paraId="6E1E5573">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服务招标</w:t>
            </w:r>
          </w:p>
        </w:tc>
      </w:tr>
      <w:tr w14:paraId="3780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42" w:type="dxa"/>
            <w:tcMar>
              <w:top w:w="30" w:type="dxa"/>
              <w:left w:w="150" w:type="dxa"/>
              <w:bottom w:w="30" w:type="dxa"/>
              <w:right w:w="150" w:type="dxa"/>
            </w:tcMar>
            <w:vAlign w:val="center"/>
          </w:tcPr>
          <w:p w14:paraId="3EEBB8F8">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100以下</w:t>
            </w:r>
          </w:p>
        </w:tc>
        <w:tc>
          <w:tcPr>
            <w:tcW w:w="2683" w:type="dxa"/>
            <w:tcMar>
              <w:top w:w="30" w:type="dxa"/>
              <w:left w:w="150" w:type="dxa"/>
              <w:bottom w:w="30" w:type="dxa"/>
              <w:right w:w="150" w:type="dxa"/>
            </w:tcMar>
            <w:vAlign w:val="center"/>
          </w:tcPr>
          <w:p w14:paraId="5626129A">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1.5%</w:t>
            </w:r>
          </w:p>
        </w:tc>
        <w:tc>
          <w:tcPr>
            <w:tcW w:w="2334" w:type="dxa"/>
            <w:tcMar>
              <w:top w:w="30" w:type="dxa"/>
              <w:left w:w="150" w:type="dxa"/>
              <w:bottom w:w="30" w:type="dxa"/>
              <w:right w:w="150" w:type="dxa"/>
            </w:tcMar>
            <w:vAlign w:val="center"/>
          </w:tcPr>
          <w:p w14:paraId="6DE384FD">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1.5%</w:t>
            </w:r>
          </w:p>
        </w:tc>
      </w:tr>
      <w:tr w14:paraId="2EBC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42" w:type="dxa"/>
            <w:tcMar>
              <w:top w:w="30" w:type="dxa"/>
              <w:left w:w="150" w:type="dxa"/>
              <w:bottom w:w="30" w:type="dxa"/>
              <w:right w:w="150" w:type="dxa"/>
            </w:tcMar>
            <w:vAlign w:val="center"/>
          </w:tcPr>
          <w:p w14:paraId="01A2F5D8">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100-500</w:t>
            </w:r>
          </w:p>
        </w:tc>
        <w:tc>
          <w:tcPr>
            <w:tcW w:w="2683" w:type="dxa"/>
            <w:tcMar>
              <w:top w:w="30" w:type="dxa"/>
              <w:left w:w="150" w:type="dxa"/>
              <w:bottom w:w="30" w:type="dxa"/>
              <w:right w:w="150" w:type="dxa"/>
            </w:tcMar>
            <w:vAlign w:val="center"/>
          </w:tcPr>
          <w:p w14:paraId="306B293A">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1.1%</w:t>
            </w:r>
          </w:p>
        </w:tc>
        <w:tc>
          <w:tcPr>
            <w:tcW w:w="2334" w:type="dxa"/>
            <w:tcMar>
              <w:top w:w="30" w:type="dxa"/>
              <w:left w:w="150" w:type="dxa"/>
              <w:bottom w:w="30" w:type="dxa"/>
              <w:right w:w="150" w:type="dxa"/>
            </w:tcMar>
            <w:vAlign w:val="center"/>
          </w:tcPr>
          <w:p w14:paraId="2FCF64AC">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0.8%</w:t>
            </w:r>
          </w:p>
        </w:tc>
      </w:tr>
      <w:tr w14:paraId="77EE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42" w:type="dxa"/>
            <w:tcMar>
              <w:top w:w="30" w:type="dxa"/>
              <w:left w:w="150" w:type="dxa"/>
              <w:bottom w:w="30" w:type="dxa"/>
              <w:right w:w="150" w:type="dxa"/>
            </w:tcMar>
            <w:vAlign w:val="center"/>
          </w:tcPr>
          <w:p w14:paraId="60E51BD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highlight w:val="none"/>
                <w:lang w:val="en-US" w:eastAsia="zh-CN"/>
              </w:rPr>
              <w:t>500-1000</w:t>
            </w:r>
          </w:p>
        </w:tc>
        <w:tc>
          <w:tcPr>
            <w:tcW w:w="2683" w:type="dxa"/>
            <w:tcMar>
              <w:top w:w="30" w:type="dxa"/>
              <w:left w:w="150" w:type="dxa"/>
              <w:bottom w:w="30" w:type="dxa"/>
              <w:right w:w="150" w:type="dxa"/>
            </w:tcMar>
            <w:vAlign w:val="center"/>
          </w:tcPr>
          <w:p w14:paraId="3981315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highlight w:val="none"/>
                <w:lang w:val="en-US" w:eastAsia="zh-CN"/>
              </w:rPr>
              <w:t>0.8</w:t>
            </w:r>
            <w:r>
              <w:rPr>
                <w:rFonts w:hint="eastAsia" w:ascii="宋体" w:hAnsi="宋体" w:eastAsia="宋体" w:cs="宋体"/>
                <w:color w:val="auto"/>
                <w:highlight w:val="none"/>
                <w:lang w:val="zh-CN"/>
              </w:rPr>
              <w:t>%</w:t>
            </w:r>
          </w:p>
        </w:tc>
        <w:tc>
          <w:tcPr>
            <w:tcW w:w="2334" w:type="dxa"/>
            <w:tcMar>
              <w:top w:w="30" w:type="dxa"/>
              <w:left w:w="150" w:type="dxa"/>
              <w:bottom w:w="30" w:type="dxa"/>
              <w:right w:w="150" w:type="dxa"/>
            </w:tcMar>
            <w:vAlign w:val="center"/>
          </w:tcPr>
          <w:p w14:paraId="7D0A920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highlight w:val="none"/>
                <w:lang w:val="en-US" w:eastAsia="zh-CN"/>
              </w:rPr>
              <w:t>0.45</w:t>
            </w:r>
            <w:r>
              <w:rPr>
                <w:rFonts w:hint="eastAsia" w:ascii="宋体" w:hAnsi="宋体" w:eastAsia="宋体" w:cs="宋体"/>
                <w:color w:val="auto"/>
                <w:highlight w:val="none"/>
                <w:lang w:val="zh-CN"/>
              </w:rPr>
              <w:t>%</w:t>
            </w:r>
          </w:p>
        </w:tc>
      </w:tr>
      <w:tr w14:paraId="63F8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42" w:type="dxa"/>
            <w:tcMar>
              <w:top w:w="30" w:type="dxa"/>
              <w:left w:w="150" w:type="dxa"/>
              <w:bottom w:w="30" w:type="dxa"/>
              <w:right w:w="150" w:type="dxa"/>
            </w:tcMar>
            <w:vAlign w:val="center"/>
          </w:tcPr>
          <w:p w14:paraId="0C0A109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highlight w:val="none"/>
                <w:lang w:val="en-US" w:eastAsia="zh-CN"/>
              </w:rPr>
              <w:t>1000～5000</w:t>
            </w:r>
          </w:p>
        </w:tc>
        <w:tc>
          <w:tcPr>
            <w:tcW w:w="2683" w:type="dxa"/>
            <w:tcMar>
              <w:top w:w="30" w:type="dxa"/>
              <w:left w:w="150" w:type="dxa"/>
              <w:bottom w:w="30" w:type="dxa"/>
              <w:right w:w="150" w:type="dxa"/>
            </w:tcMar>
            <w:vAlign w:val="center"/>
          </w:tcPr>
          <w:p w14:paraId="519448A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highlight w:val="none"/>
                <w:lang w:val="en-US" w:eastAsia="zh-CN"/>
              </w:rPr>
              <w:t>0.5%</w:t>
            </w:r>
          </w:p>
        </w:tc>
        <w:tc>
          <w:tcPr>
            <w:tcW w:w="2334" w:type="dxa"/>
            <w:tcMar>
              <w:top w:w="30" w:type="dxa"/>
              <w:left w:w="150" w:type="dxa"/>
              <w:bottom w:w="30" w:type="dxa"/>
              <w:right w:w="150" w:type="dxa"/>
            </w:tcMar>
            <w:vAlign w:val="center"/>
          </w:tcPr>
          <w:p w14:paraId="6DA8C6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highlight w:val="none"/>
                <w:lang w:val="en-US" w:eastAsia="zh-CN"/>
              </w:rPr>
              <w:t>0.25%</w:t>
            </w:r>
          </w:p>
        </w:tc>
      </w:tr>
    </w:tbl>
    <w:p w14:paraId="622337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收款账户信息如下：</w:t>
      </w:r>
    </w:p>
    <w:p w14:paraId="2C82128A">
      <w:pPr>
        <w:keepLines w:val="0"/>
        <w:pageBreakBefore w:val="0"/>
        <w:kinsoku/>
        <w:overflowPunct/>
        <w:topLinePunct w:val="0"/>
        <w:bidi w:val="0"/>
        <w:spacing w:line="440" w:lineRule="exact"/>
        <w:ind w:firstLine="411" w:firstLineChars="196"/>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开户名称：浙江天健工程造价咨询有限公司开化分公司</w:t>
      </w:r>
    </w:p>
    <w:p w14:paraId="3148D159">
      <w:pPr>
        <w:keepLines w:val="0"/>
        <w:pageBreakBefore w:val="0"/>
        <w:kinsoku/>
        <w:overflowPunct/>
        <w:topLinePunct w:val="0"/>
        <w:bidi w:val="0"/>
        <w:spacing w:line="440" w:lineRule="exact"/>
        <w:ind w:firstLine="411" w:firstLineChars="196"/>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开户银行：浙江开化农村商业银行股份有限公司龙顶支行</w:t>
      </w:r>
    </w:p>
    <w:p w14:paraId="61BC5BFF">
      <w:pPr>
        <w:keepLines w:val="0"/>
        <w:pageBreakBefore w:val="0"/>
        <w:kinsoku/>
        <w:overflowPunct/>
        <w:topLinePunct w:val="0"/>
        <w:bidi w:val="0"/>
        <w:spacing w:line="440" w:lineRule="exact"/>
        <w:ind w:firstLine="411" w:firstLineChars="196"/>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帐   号：201000358857092</w:t>
      </w:r>
    </w:p>
    <w:p w14:paraId="103B0D80">
      <w:pPr>
        <w:keepLines w:val="0"/>
        <w:pageBreakBefore w:val="0"/>
        <w:kinsoku/>
        <w:overflowPunct/>
        <w:topLinePunct w:val="0"/>
        <w:bidi w:val="0"/>
        <w:spacing w:line="440" w:lineRule="exact"/>
        <w:ind w:firstLine="411" w:firstLineChars="196"/>
        <w:rPr>
          <w:rFonts w:hint="default"/>
          <w:color w:val="auto"/>
          <w:highlight w:val="none"/>
          <w:lang w:val="en-US" w:eastAsia="zh-CN"/>
        </w:rPr>
      </w:pPr>
      <w:r>
        <w:rPr>
          <w:rFonts w:hint="eastAsia" w:ascii="宋体" w:hAnsi="宋体" w:cs="宋体"/>
          <w:color w:val="auto"/>
          <w:sz w:val="21"/>
          <w:szCs w:val="21"/>
          <w:highlight w:val="none"/>
          <w:lang w:eastAsia="zh-CN"/>
        </w:rPr>
        <w:t>税    号：91330824MA29</w:t>
      </w:r>
      <w:r>
        <w:rPr>
          <w:rFonts w:hint="eastAsia" w:ascii="宋体" w:hAnsi="宋体" w:cs="宋体"/>
          <w:color w:val="auto"/>
          <w:sz w:val="21"/>
          <w:szCs w:val="21"/>
          <w:highlight w:val="none"/>
          <w:lang w:val="en-US" w:eastAsia="zh-CN"/>
        </w:rPr>
        <w:t>UQ7Q0U</w:t>
      </w:r>
    </w:p>
    <w:p w14:paraId="44D4C351">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▲4、磋商委托</w:t>
      </w:r>
    </w:p>
    <w:p w14:paraId="38C18DCD">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lang w:val="en-US" w:eastAsia="zh-CN"/>
        </w:rPr>
      </w:pPr>
      <w:r>
        <w:rPr>
          <w:rFonts w:hint="eastAsia" w:asciiTheme="minorEastAsia" w:hAnsiTheme="minorEastAsia" w:eastAsiaTheme="minorEastAsia" w:cstheme="minorEastAsia"/>
          <w:b/>
          <w:bCs/>
          <w:color w:val="auto"/>
          <w:highlight w:val="none"/>
          <w:shd w:val="clear" w:color="auto" w:fill="FFFFFF"/>
        </w:rPr>
        <w:t>本项目实行现场开标，请各供应商准时出席。</w:t>
      </w:r>
      <w:r>
        <w:rPr>
          <w:rFonts w:hint="eastAsia" w:asciiTheme="minorEastAsia" w:hAnsiTheme="minorEastAsia" w:eastAsiaTheme="minorEastAsia" w:cstheme="minorEastAsia"/>
          <w:color w:val="auto"/>
          <w:highlight w:val="none"/>
          <w:shd w:val="clear" w:color="auto" w:fill="FFFFFF"/>
          <w:lang w:val="en-US" w:eastAsia="zh-CN"/>
        </w:rPr>
        <w:t xml:space="preserve"> </w:t>
      </w:r>
      <w:r>
        <w:rPr>
          <w:rFonts w:hint="eastAsia" w:asciiTheme="minorEastAsia" w:hAnsiTheme="minorEastAsia" w:eastAsiaTheme="minorEastAsia" w:cstheme="minorEastAsia"/>
          <w:b/>
          <w:bCs/>
          <w:color w:val="auto"/>
          <w:highlight w:val="none"/>
          <w:shd w:val="clear" w:color="auto" w:fill="FFFFFF"/>
        </w:rPr>
        <w:t>请各</w:t>
      </w:r>
      <w:r>
        <w:rPr>
          <w:rFonts w:hint="eastAsia" w:asciiTheme="minorEastAsia" w:hAnsiTheme="minorEastAsia" w:eastAsiaTheme="minorEastAsia" w:cstheme="minorEastAsia"/>
          <w:b/>
          <w:bCs/>
          <w:color w:val="auto"/>
          <w:highlight w:val="none"/>
          <w:shd w:val="clear" w:color="auto" w:fill="FFFFFF"/>
          <w:lang w:val="en-US" w:eastAsia="zh-CN"/>
        </w:rPr>
        <w:t>供应商</w:t>
      </w:r>
      <w:r>
        <w:rPr>
          <w:rFonts w:hint="eastAsia" w:asciiTheme="minorEastAsia" w:hAnsiTheme="minorEastAsia" w:eastAsiaTheme="minorEastAsia" w:cstheme="minorEastAsia"/>
          <w:b/>
          <w:bCs/>
          <w:color w:val="auto"/>
          <w:highlight w:val="none"/>
          <w:shd w:val="clear" w:color="auto" w:fill="FFFFFF"/>
        </w:rPr>
        <w:t>在递交完响应文件后，</w:t>
      </w:r>
      <w:r>
        <w:rPr>
          <w:rFonts w:hint="eastAsia" w:asciiTheme="minorEastAsia" w:hAnsiTheme="minorEastAsia" w:eastAsiaTheme="minorEastAsia" w:cstheme="minorEastAsia"/>
          <w:b/>
          <w:bCs/>
          <w:color w:val="auto"/>
          <w:highlight w:val="none"/>
          <w:shd w:val="clear" w:color="auto" w:fill="FFFFFF"/>
          <w:lang w:eastAsia="zh-CN"/>
        </w:rPr>
        <w:t>并按规定在指定地点，保持手机畅通，接到代理机构通知后，逐一磋商</w:t>
      </w:r>
      <w:r>
        <w:rPr>
          <w:rFonts w:hint="eastAsia" w:asciiTheme="minorEastAsia" w:hAnsiTheme="minorEastAsia" w:eastAsiaTheme="minorEastAsia" w:cstheme="minorEastAsia"/>
          <w:b/>
          <w:bCs/>
          <w:color w:val="auto"/>
          <w:highlight w:val="none"/>
          <w:shd w:val="clear" w:color="auto" w:fill="FFFFFF"/>
        </w:rPr>
        <w:t>。</w:t>
      </w:r>
    </w:p>
    <w:p w14:paraId="2AB022DA">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5、特别说明：</w:t>
      </w:r>
    </w:p>
    <w:p w14:paraId="44626A7F">
      <w:pPr>
        <w:keepNext w:val="0"/>
        <w:keepLines w:val="0"/>
        <w:pageBreakBefore w:val="0"/>
        <w:kinsoku/>
        <w:wordWrap/>
        <w:overflowPunct/>
        <w:topLinePunct w:val="0"/>
        <w:autoSpaceDE/>
        <w:autoSpaceDN/>
        <w:bidi w:val="0"/>
        <w:adjustRightInd/>
        <w:snapToGrid/>
        <w:spacing w:line="400" w:lineRule="exact"/>
        <w:ind w:firstLine="211" w:firstLineChars="100"/>
        <w:textAlignment w:val="auto"/>
        <w:rPr>
          <w:rFonts w:asciiTheme="minorEastAsia" w:hAnsiTheme="minorEastAsia" w:eastAsiaTheme="minorEastAsia" w:cstheme="minorEastAsia"/>
          <w:b/>
          <w:bCs/>
          <w:color w:val="auto"/>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bCs/>
          <w:color w:val="auto"/>
          <w:highlight w:val="none"/>
          <w:shd w:val="clear" w:color="auto" w:fill="FFFFFF"/>
        </w:rPr>
        <w:t>5.1供应商所使用的资格、信誉、荣誉、业绩与企业认证必须为本法人所拥有</w:t>
      </w:r>
      <w:r>
        <w:rPr>
          <w:rFonts w:hint="eastAsia" w:asciiTheme="minorEastAsia" w:hAnsiTheme="minorEastAsia" w:eastAsiaTheme="minorEastAsia" w:cstheme="minorEastAsia"/>
          <w:b/>
          <w:bCs/>
          <w:color w:val="auto"/>
          <w:highlight w:val="none"/>
        </w:rPr>
        <w:t>(且在有效期内)</w:t>
      </w:r>
      <w:r>
        <w:rPr>
          <w:rFonts w:hint="eastAsia" w:asciiTheme="minorEastAsia" w:hAnsiTheme="minorEastAsia" w:eastAsiaTheme="minorEastAsia" w:cstheme="minorEastAsia"/>
          <w:b/>
          <w:bCs/>
          <w:color w:val="auto"/>
          <w:highlight w:val="none"/>
          <w:shd w:val="clear" w:color="auto" w:fill="FFFFFF"/>
        </w:rPr>
        <w:t>。</w:t>
      </w:r>
    </w:p>
    <w:p w14:paraId="25847667">
      <w:pPr>
        <w:autoSpaceDE w:val="0"/>
        <w:autoSpaceDN w:val="0"/>
        <w:spacing w:line="400" w:lineRule="exact"/>
        <w:ind w:firstLine="422" w:firstLineChars="200"/>
        <w:rPr>
          <w:rFonts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rPr>
        <w:t>5.2</w:t>
      </w:r>
      <w:r>
        <w:rPr>
          <w:rFonts w:hint="eastAsia" w:asciiTheme="minorEastAsia" w:hAnsiTheme="minorEastAsia" w:eastAsiaTheme="minorEastAsia" w:cstheme="minorEastAsia"/>
          <w:b/>
          <w:bCs/>
          <w:color w:val="auto"/>
          <w:kern w:val="0"/>
          <w:highlight w:val="none"/>
          <w:lang w:val="zh-CN"/>
        </w:rPr>
        <w:t>磋商文件中如有描述歧义或前后不一致的地方，</w:t>
      </w:r>
      <w:r>
        <w:rPr>
          <w:rFonts w:asciiTheme="minorEastAsia" w:hAnsiTheme="minorEastAsia" w:eastAsiaTheme="minorEastAsia" w:cstheme="minorEastAsia"/>
          <w:b/>
          <w:bCs/>
          <w:color w:val="auto"/>
          <w:kern w:val="0"/>
          <w:highlight w:val="none"/>
        </w:rPr>
        <w:t>评审</w:t>
      </w:r>
      <w:r>
        <w:rPr>
          <w:rFonts w:hint="eastAsia" w:asciiTheme="minorEastAsia" w:hAnsiTheme="minorEastAsia" w:eastAsiaTheme="minorEastAsia" w:cstheme="minorEastAsia"/>
          <w:b/>
          <w:bCs/>
          <w:color w:val="auto"/>
          <w:kern w:val="0"/>
          <w:highlight w:val="none"/>
          <w:lang w:val="zh-CN"/>
        </w:rPr>
        <w:t>委员会有权按公平、合理的原则进行评判，但对同一条款的评判适用于每个</w:t>
      </w:r>
      <w:r>
        <w:rPr>
          <w:rFonts w:hint="eastAsia" w:asciiTheme="minorEastAsia" w:hAnsiTheme="minorEastAsia" w:eastAsiaTheme="minorEastAsia" w:cstheme="minorEastAsia"/>
          <w:b/>
          <w:bCs/>
          <w:color w:val="auto"/>
          <w:kern w:val="0"/>
          <w:highlight w:val="none"/>
          <w:lang w:eastAsia="zh-CN"/>
        </w:rPr>
        <w:t>响应方</w:t>
      </w:r>
      <w:r>
        <w:rPr>
          <w:rFonts w:hint="eastAsia" w:asciiTheme="minorEastAsia" w:hAnsiTheme="minorEastAsia" w:eastAsiaTheme="minorEastAsia" w:cstheme="minorEastAsia"/>
          <w:b/>
          <w:bCs/>
          <w:color w:val="auto"/>
          <w:kern w:val="0"/>
          <w:highlight w:val="none"/>
          <w:lang w:val="zh-CN"/>
        </w:rPr>
        <w:t>。</w:t>
      </w:r>
    </w:p>
    <w:p w14:paraId="33F4F7BF">
      <w:pPr>
        <w:spacing w:line="400" w:lineRule="exact"/>
        <w:ind w:firstLine="422" w:firstLineChars="200"/>
        <w:rPr>
          <w:rFonts w:hint="default" w:asciiTheme="minorEastAsia" w:hAnsiTheme="minorEastAsia" w:eastAsiaTheme="minorEastAsia" w:cstheme="minorEastAsia"/>
          <w:b/>
          <w:bCs/>
          <w:color w:val="auto"/>
          <w:highlight w:val="none"/>
          <w:lang w:val="en-US"/>
        </w:rPr>
      </w:pPr>
      <w:r>
        <w:rPr>
          <w:rFonts w:hint="eastAsia" w:asciiTheme="minorEastAsia" w:hAnsiTheme="minorEastAsia" w:eastAsiaTheme="minorEastAsia" w:cstheme="minorEastAsia"/>
          <w:b/>
          <w:bCs/>
          <w:color w:val="auto"/>
          <w:highlight w:val="none"/>
          <w:shd w:val="clear" w:color="auto" w:fill="FFFFFF"/>
        </w:rPr>
        <w:t>5.3</w:t>
      </w:r>
      <w:r>
        <w:rPr>
          <w:rFonts w:hint="eastAsia" w:asciiTheme="minorEastAsia" w:hAnsiTheme="minorEastAsia" w:eastAsiaTheme="minorEastAsia" w:cstheme="minorEastAsia"/>
          <w:b/>
          <w:bCs/>
          <w:color w:val="auto"/>
          <w:highlight w:val="none"/>
        </w:rPr>
        <w:t>关于中小企业参与政府采购活动的规定</w:t>
      </w:r>
    </w:p>
    <w:p w14:paraId="2E0B8B48">
      <w:pPr>
        <w:spacing w:line="380" w:lineRule="exact"/>
        <w:ind w:firstLine="422" w:firstLineChars="200"/>
        <w:rPr>
          <w:rFonts w:ascii="宋体" w:hAnsi="宋体"/>
          <w:b/>
          <w:color w:val="auto"/>
          <w:kern w:val="0"/>
          <w:highlight w:val="none"/>
          <w:u w:val="single"/>
          <w:lang w:val="zh-CN"/>
        </w:rPr>
      </w:pPr>
      <w:r>
        <w:rPr>
          <w:rFonts w:hint="eastAsia" w:ascii="宋体" w:hAnsi="宋体"/>
          <w:b/>
          <w:color w:val="auto"/>
          <w:kern w:val="0"/>
          <w:highlight w:val="none"/>
          <w:u w:val="single"/>
          <w:lang w:val="zh-CN"/>
        </w:rPr>
        <w:t>（</w:t>
      </w:r>
      <w:r>
        <w:rPr>
          <w:rFonts w:hint="eastAsia" w:ascii="宋体" w:hAnsi="宋体"/>
          <w:b/>
          <w:color w:val="auto"/>
          <w:kern w:val="0"/>
          <w:highlight w:val="none"/>
          <w:u w:val="single"/>
        </w:rPr>
        <w:t>1</w:t>
      </w:r>
      <w:r>
        <w:rPr>
          <w:rFonts w:hint="eastAsia" w:ascii="宋体" w:hAnsi="宋体"/>
          <w:b/>
          <w:color w:val="auto"/>
          <w:kern w:val="0"/>
          <w:highlight w:val="none"/>
          <w:u w:val="single"/>
          <w:lang w:val="zh-CN"/>
        </w:rPr>
        <w:t>）根据《政府采购促进中小企业发展暂行办法》（财库〔2020〕46号）的规定，现对小型和微型企业制造的货物、承担的工程或者服务，其价格给予</w:t>
      </w:r>
      <w:r>
        <w:rPr>
          <w:rFonts w:hint="eastAsia" w:ascii="宋体" w:hAnsi="宋体"/>
          <w:b/>
          <w:color w:val="auto"/>
          <w:kern w:val="0"/>
          <w:highlight w:val="none"/>
          <w:u w:val="single"/>
          <w:lang w:val="en-US" w:eastAsia="zh-CN"/>
        </w:rPr>
        <w:t>10</w:t>
      </w:r>
      <w:r>
        <w:rPr>
          <w:rFonts w:hint="eastAsia" w:ascii="宋体" w:hAnsi="宋体"/>
          <w:b/>
          <w:color w:val="auto"/>
          <w:kern w:val="0"/>
          <w:highlight w:val="none"/>
          <w:u w:val="single"/>
          <w:lang w:val="zh-CN"/>
        </w:rPr>
        <w:t>%扣除，用扣除后的价格参与评审。</w:t>
      </w:r>
    </w:p>
    <w:p w14:paraId="0851F211">
      <w:pPr>
        <w:spacing w:line="380" w:lineRule="exact"/>
        <w:ind w:firstLine="422" w:firstLineChars="200"/>
        <w:rPr>
          <w:rFonts w:ascii="宋体"/>
          <w:b/>
          <w:color w:val="auto"/>
          <w:kern w:val="0"/>
          <w:highlight w:val="none"/>
          <w:u w:val="single"/>
          <w:lang w:val="zh-CN"/>
        </w:rPr>
      </w:pPr>
      <w:r>
        <w:rPr>
          <w:rFonts w:hint="eastAsia" w:ascii="宋体" w:hAnsi="宋体"/>
          <w:b/>
          <w:color w:val="auto"/>
          <w:kern w:val="0"/>
          <w:highlight w:val="none"/>
          <w:u w:val="single"/>
          <w:lang w:val="zh-CN"/>
        </w:rPr>
        <w:t>（2）根据《中小企业划型标准规定》（工信部联企业[2011]300号）、《政府采购促进中小企业发展暂行办法》（财库</w:t>
      </w:r>
      <w:r>
        <w:rPr>
          <w:rFonts w:ascii="宋体" w:hAnsi="宋体"/>
          <w:b/>
          <w:color w:val="auto"/>
          <w:kern w:val="0"/>
          <w:highlight w:val="none"/>
          <w:u w:val="single"/>
          <w:lang w:val="zh-CN"/>
        </w:rPr>
        <w:t>[2011]181</w:t>
      </w:r>
      <w:r>
        <w:rPr>
          <w:rFonts w:hint="eastAsia" w:ascii="宋体" w:hAnsi="宋体"/>
          <w:b/>
          <w:color w:val="auto"/>
          <w:kern w:val="0"/>
          <w:highlight w:val="none"/>
          <w:u w:val="single"/>
          <w:lang w:val="zh-CN"/>
        </w:rPr>
        <w:t>号）的有关规定，《政府采购促进中小企业发展暂行办法》所称中小企业（含中型、小型、微型企业，下同）应当同时符合以下条件：</w:t>
      </w:r>
    </w:p>
    <w:p w14:paraId="4CECC48C">
      <w:pPr>
        <w:spacing w:line="380" w:lineRule="exact"/>
        <w:ind w:firstLine="422" w:firstLineChars="200"/>
        <w:rPr>
          <w:rFonts w:ascii="宋体"/>
          <w:b/>
          <w:color w:val="auto"/>
          <w:kern w:val="0"/>
          <w:highlight w:val="none"/>
          <w:u w:val="single"/>
          <w:lang w:val="zh-CN"/>
        </w:rPr>
      </w:pPr>
      <w:r>
        <w:rPr>
          <w:rFonts w:ascii="宋体" w:hAnsi="宋体"/>
          <w:b/>
          <w:color w:val="auto"/>
          <w:kern w:val="0"/>
          <w:highlight w:val="none"/>
          <w:u w:val="single"/>
          <w:lang w:val="zh-CN"/>
        </w:rPr>
        <w:t>1</w:t>
      </w:r>
      <w:r>
        <w:rPr>
          <w:rFonts w:hint="eastAsia" w:ascii="宋体" w:hAnsi="宋体"/>
          <w:b/>
          <w:color w:val="auto"/>
          <w:kern w:val="0"/>
          <w:highlight w:val="none"/>
          <w:u w:val="single"/>
          <w:lang w:val="zh-CN"/>
        </w:rPr>
        <w:t>、符合中小企业划分标准；</w:t>
      </w:r>
    </w:p>
    <w:p w14:paraId="6F256C73">
      <w:pPr>
        <w:spacing w:line="380" w:lineRule="exact"/>
        <w:ind w:firstLine="422" w:firstLineChars="200"/>
        <w:rPr>
          <w:rFonts w:ascii="宋体"/>
          <w:b/>
          <w:color w:val="auto"/>
          <w:kern w:val="0"/>
          <w:highlight w:val="none"/>
          <w:u w:val="single"/>
          <w:lang w:val="zh-CN"/>
        </w:rPr>
      </w:pPr>
      <w:r>
        <w:rPr>
          <w:rFonts w:ascii="宋体" w:hAnsi="宋体"/>
          <w:b/>
          <w:color w:val="auto"/>
          <w:kern w:val="0"/>
          <w:highlight w:val="none"/>
          <w:u w:val="single"/>
          <w:lang w:val="zh-CN"/>
        </w:rPr>
        <w:t>2</w:t>
      </w:r>
      <w:r>
        <w:rPr>
          <w:rFonts w:hint="eastAsia" w:ascii="宋体" w:hAnsi="宋体"/>
          <w:b/>
          <w:color w:val="auto"/>
          <w:kern w:val="0"/>
          <w:highlight w:val="none"/>
          <w:u w:val="single"/>
          <w:lang w:val="zh-CN"/>
        </w:rPr>
        <w:t>、提供本企业制造的货物、承担的工程或者服务。本项所称货物不包括使用大型企业注册商标的货物。</w:t>
      </w:r>
    </w:p>
    <w:p w14:paraId="0DB6F8F5">
      <w:pPr>
        <w:spacing w:line="380" w:lineRule="exact"/>
        <w:ind w:firstLine="422" w:firstLineChars="200"/>
        <w:rPr>
          <w:rFonts w:ascii="宋体" w:hAnsi="宋体"/>
          <w:b/>
          <w:color w:val="auto"/>
          <w:kern w:val="0"/>
          <w:highlight w:val="none"/>
          <w:u w:val="single"/>
          <w:lang w:val="zh-CN"/>
        </w:rPr>
      </w:pPr>
      <w:r>
        <w:rPr>
          <w:rFonts w:hint="eastAsia" w:ascii="宋体" w:hAnsi="宋体"/>
          <w:b/>
          <w:color w:val="auto"/>
          <w:kern w:val="0"/>
          <w:highlight w:val="none"/>
          <w:u w:val="single"/>
        </w:rPr>
        <w:t>3、</w:t>
      </w:r>
      <w:r>
        <w:rPr>
          <w:rFonts w:hint="eastAsia" w:ascii="宋体" w:hAnsi="宋体"/>
          <w:b/>
          <w:color w:val="auto"/>
          <w:kern w:val="0"/>
          <w:highlight w:val="none"/>
          <w:u w:val="single"/>
          <w:lang w:val="zh-CN"/>
        </w:rPr>
        <w:t>本办法所称中小企业划分标准，是指国务院有关部门根据企业从业人员、营业收入、资产总额等指标制定的中小企业划型标准。</w:t>
      </w:r>
    </w:p>
    <w:p w14:paraId="25F734F5">
      <w:pPr>
        <w:widowControl/>
        <w:spacing w:line="380" w:lineRule="exact"/>
        <w:ind w:firstLine="422" w:firstLineChars="200"/>
        <w:rPr>
          <w:rFonts w:ascii="宋体" w:hAnsi="宋体"/>
          <w:b/>
          <w:color w:val="auto"/>
          <w:kern w:val="0"/>
          <w:highlight w:val="none"/>
          <w:u w:val="single"/>
          <w:lang w:val="zh-CN"/>
        </w:rPr>
      </w:pPr>
      <w:r>
        <w:rPr>
          <w:rFonts w:hint="eastAsia" w:ascii="宋体" w:hAnsi="宋体"/>
          <w:b/>
          <w:color w:val="auto"/>
          <w:kern w:val="0"/>
          <w:highlight w:val="none"/>
          <w:u w:val="single"/>
          <w:lang w:val="zh-CN"/>
        </w:rPr>
        <w:t>小型、微型企业提供中型企业制造的货物的，视同为中型企业。</w:t>
      </w:r>
    </w:p>
    <w:p w14:paraId="4E463148">
      <w:pPr>
        <w:widowControl/>
        <w:spacing w:line="380" w:lineRule="exact"/>
        <w:ind w:firstLine="422" w:firstLineChars="200"/>
        <w:rPr>
          <w:rFonts w:ascii="宋体" w:hAnsi="宋体"/>
          <w:b/>
          <w:color w:val="auto"/>
          <w:kern w:val="0"/>
          <w:highlight w:val="none"/>
          <w:u w:val="single"/>
          <w:lang w:val="zh-CN"/>
        </w:rPr>
      </w:pPr>
      <w:r>
        <w:rPr>
          <w:rFonts w:hint="eastAsia" w:ascii="宋体" w:hAnsi="宋体"/>
          <w:b/>
          <w:color w:val="auto"/>
          <w:kern w:val="0"/>
          <w:highlight w:val="none"/>
          <w:u w:val="single"/>
          <w:lang w:val="zh-CN"/>
        </w:rPr>
        <w:t>（3）小型、微型企业参加</w:t>
      </w:r>
      <w:r>
        <w:rPr>
          <w:rFonts w:hint="eastAsia" w:ascii="宋体" w:hAnsi="宋体"/>
          <w:b/>
          <w:color w:val="auto"/>
          <w:kern w:val="0"/>
          <w:highlight w:val="none"/>
          <w:u w:val="single"/>
        </w:rPr>
        <w:t>磋商</w:t>
      </w:r>
      <w:r>
        <w:rPr>
          <w:rFonts w:hint="eastAsia" w:ascii="宋体" w:hAnsi="宋体"/>
          <w:b/>
          <w:color w:val="auto"/>
          <w:kern w:val="0"/>
          <w:highlight w:val="none"/>
          <w:u w:val="single"/>
          <w:lang w:val="zh-CN"/>
        </w:rPr>
        <w:t>时，应提供应提供以下材料：</w:t>
      </w:r>
    </w:p>
    <w:p w14:paraId="7F11083E">
      <w:pPr>
        <w:widowControl/>
        <w:spacing w:line="380" w:lineRule="exact"/>
        <w:ind w:firstLine="422" w:firstLineChars="200"/>
        <w:rPr>
          <w:rFonts w:ascii="宋体" w:hAnsi="宋体"/>
          <w:b/>
          <w:color w:val="auto"/>
          <w:kern w:val="0"/>
          <w:highlight w:val="none"/>
          <w:u w:val="single"/>
          <w:lang w:val="zh-CN"/>
        </w:rPr>
      </w:pPr>
      <w:r>
        <w:rPr>
          <w:rFonts w:hint="eastAsia" w:ascii="宋体" w:hAnsi="宋体"/>
          <w:b/>
          <w:color w:val="auto"/>
          <w:kern w:val="0"/>
          <w:highlight w:val="none"/>
          <w:u w:val="single"/>
          <w:lang w:val="zh-CN"/>
        </w:rPr>
        <w:sym w:font="Wingdings" w:char="F081"/>
      </w:r>
      <w:r>
        <w:rPr>
          <w:rFonts w:hint="eastAsia" w:ascii="宋体" w:hAnsi="宋体"/>
          <w:b/>
          <w:color w:val="auto"/>
          <w:kern w:val="0"/>
          <w:highlight w:val="none"/>
          <w:u w:val="single"/>
          <w:lang w:val="zh-CN"/>
        </w:rPr>
        <w:t>《中小企业声明函》；</w:t>
      </w:r>
    </w:p>
    <w:p w14:paraId="5BB36AA1">
      <w:pPr>
        <w:widowControl/>
        <w:spacing w:line="380" w:lineRule="exact"/>
        <w:ind w:firstLine="422" w:firstLineChars="200"/>
        <w:rPr>
          <w:rFonts w:ascii="宋体" w:hAnsi="宋体"/>
          <w:b/>
          <w:color w:val="auto"/>
          <w:kern w:val="0"/>
          <w:highlight w:val="none"/>
          <w:u w:val="single"/>
          <w:lang w:val="zh-CN"/>
        </w:rPr>
      </w:pPr>
      <w:r>
        <w:rPr>
          <w:rFonts w:hint="eastAsia" w:ascii="宋体" w:hAnsi="宋体"/>
          <w:b/>
          <w:color w:val="auto"/>
          <w:kern w:val="0"/>
          <w:highlight w:val="none"/>
          <w:u w:val="single"/>
          <w:lang w:val="zh-CN"/>
        </w:rPr>
        <w:sym w:font="Wingdings" w:char="F082"/>
      </w:r>
      <w:r>
        <w:rPr>
          <w:rFonts w:hint="eastAsia" w:ascii="宋体" w:hAnsi="宋体"/>
          <w:b/>
          <w:color w:val="auto"/>
          <w:kern w:val="0"/>
          <w:highlight w:val="none"/>
          <w:u w:val="single"/>
          <w:lang w:val="zh-CN"/>
        </w:rPr>
        <w:t>本单位(若有)</w:t>
      </w:r>
      <w:r>
        <w:rPr>
          <w:rFonts w:hint="eastAsia" w:ascii="宋体" w:hAnsi="宋体"/>
          <w:b/>
          <w:color w:val="auto"/>
          <w:kern w:val="0"/>
          <w:highlight w:val="none"/>
          <w:u w:val="single"/>
          <w:lang w:val="en-US" w:eastAsia="zh-CN"/>
        </w:rPr>
        <w:t xml:space="preserve"> </w:t>
      </w:r>
      <w:r>
        <w:rPr>
          <w:rFonts w:hint="eastAsia" w:ascii="宋体" w:hAnsi="宋体"/>
          <w:b/>
          <w:color w:val="auto"/>
          <w:kern w:val="0"/>
          <w:highlight w:val="none"/>
          <w:u w:val="single"/>
          <w:lang w:val="zh-CN"/>
        </w:rPr>
        <w:t>的国家企业信用信息公示系统——小微企业名录页面查询结果或当地中小企业主管部门开具的相关证明材料复印件（若有，网页查询时间或主管部门开具证明时间为投标截止前三周内）。</w:t>
      </w:r>
    </w:p>
    <w:p w14:paraId="45AB9F68">
      <w:pPr>
        <w:widowControl/>
        <w:spacing w:line="380" w:lineRule="exact"/>
        <w:ind w:firstLine="422" w:firstLineChars="200"/>
        <w:rPr>
          <w:rFonts w:ascii="宋体" w:hAnsi="宋体" w:cs="宋体"/>
          <w:b/>
          <w:bCs/>
          <w:color w:val="auto"/>
          <w:highlight w:val="none"/>
          <w:u w:val="single"/>
        </w:rPr>
      </w:pPr>
      <w:r>
        <w:rPr>
          <w:rFonts w:hint="eastAsia" w:ascii="宋体" w:hAnsi="宋体"/>
          <w:b/>
          <w:color w:val="auto"/>
          <w:kern w:val="0"/>
          <w:highlight w:val="none"/>
          <w:u w:val="single"/>
          <w:lang w:val="zh-CN"/>
        </w:rPr>
        <w:t>（</w:t>
      </w:r>
      <w:r>
        <w:rPr>
          <w:rFonts w:hint="eastAsia" w:ascii="宋体" w:hAnsi="宋体"/>
          <w:b/>
          <w:color w:val="auto"/>
          <w:kern w:val="0"/>
          <w:highlight w:val="none"/>
          <w:u w:val="single"/>
        </w:rPr>
        <w:t>4</w:t>
      </w:r>
      <w:r>
        <w:rPr>
          <w:rFonts w:hint="eastAsia" w:ascii="宋体" w:hAnsi="宋体"/>
          <w:b/>
          <w:color w:val="auto"/>
          <w:kern w:val="0"/>
          <w:highlight w:val="none"/>
          <w:u w:val="single"/>
          <w:lang w:val="zh-CN"/>
        </w:rPr>
        <w:t>）根据财库〔2017〕141号的相关规定，在政府采购活动中，残疾人福利性单位视同小型、微型企业，享受评审中价格扣除政策（</w:t>
      </w:r>
      <w:r>
        <w:rPr>
          <w:rFonts w:hint="eastAsia" w:ascii="宋体" w:hAnsi="宋体"/>
          <w:b/>
          <w:color w:val="auto"/>
          <w:kern w:val="0"/>
          <w:highlight w:val="none"/>
          <w:u w:val="single"/>
        </w:rPr>
        <w:t>扣除</w:t>
      </w:r>
      <w:r>
        <w:rPr>
          <w:rFonts w:hint="eastAsia" w:ascii="宋体" w:hAnsi="宋体"/>
          <w:b/>
          <w:color w:val="auto"/>
          <w:kern w:val="0"/>
          <w:highlight w:val="none"/>
          <w:u w:val="single"/>
          <w:lang w:val="en-US" w:eastAsia="zh-CN"/>
        </w:rPr>
        <w:t>10</w:t>
      </w:r>
      <w:r>
        <w:rPr>
          <w:rFonts w:hint="eastAsia" w:ascii="宋体" w:hAnsi="宋体"/>
          <w:b/>
          <w:color w:val="auto"/>
          <w:kern w:val="0"/>
          <w:highlight w:val="none"/>
          <w:u w:val="single"/>
        </w:rPr>
        <w:t>%</w:t>
      </w:r>
      <w:r>
        <w:rPr>
          <w:rFonts w:hint="eastAsia" w:ascii="宋体" w:hAnsi="宋体"/>
          <w:b/>
          <w:color w:val="auto"/>
          <w:kern w:val="0"/>
          <w:highlight w:val="none"/>
          <w:u w:val="single"/>
          <w:lang w:val="zh-CN"/>
        </w:rPr>
        <w:t>）。属于享受政府采购支持政策的残疾人福利性单位，应满足财库〔2017〕141号文件第一条的规定，并在响应文件中提供《残疾人福利性单位声明函》。</w:t>
      </w:r>
      <w:r>
        <w:rPr>
          <w:rFonts w:hint="eastAsia" w:ascii="宋体" w:hAnsi="宋体" w:cs="宋体"/>
          <w:b/>
          <w:bCs/>
          <w:color w:val="auto"/>
          <w:highlight w:val="none"/>
          <w:u w:val="single"/>
        </w:rPr>
        <w:t>残疾人福利性企业属于小型、微型企业的，不重复享受政策。</w:t>
      </w:r>
    </w:p>
    <w:p w14:paraId="608F8EDD">
      <w:pPr>
        <w:widowControl/>
        <w:spacing w:line="380" w:lineRule="exact"/>
        <w:ind w:firstLine="422" w:firstLineChars="200"/>
        <w:rPr>
          <w:rFonts w:ascii="宋体" w:hAnsi="宋体"/>
          <w:b/>
          <w:color w:val="auto"/>
          <w:kern w:val="0"/>
          <w:highlight w:val="none"/>
          <w:u w:val="single"/>
        </w:rPr>
      </w:pPr>
      <w:r>
        <w:rPr>
          <w:rFonts w:hint="eastAsia" w:ascii="宋体" w:hAnsi="宋体"/>
          <w:b/>
          <w:color w:val="auto"/>
          <w:kern w:val="0"/>
          <w:highlight w:val="none"/>
          <w:u w:val="single"/>
          <w:lang w:val="zh-CN"/>
        </w:rPr>
        <w:t>（</w:t>
      </w:r>
      <w:r>
        <w:rPr>
          <w:rFonts w:hint="eastAsia" w:ascii="宋体" w:hAnsi="宋体"/>
          <w:b/>
          <w:color w:val="auto"/>
          <w:kern w:val="0"/>
          <w:highlight w:val="none"/>
          <w:u w:val="single"/>
        </w:rPr>
        <w:t>5</w:t>
      </w:r>
      <w:r>
        <w:rPr>
          <w:rFonts w:hint="eastAsia" w:ascii="宋体" w:hAnsi="宋体"/>
          <w:b/>
          <w:color w:val="auto"/>
          <w:kern w:val="0"/>
          <w:highlight w:val="none"/>
          <w:u w:val="single"/>
          <w:lang w:val="zh-CN"/>
        </w:rPr>
        <w:t>）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3536575">
      <w:pPr>
        <w:spacing w:line="400" w:lineRule="exact"/>
        <w:ind w:firstLine="420" w:firstLineChars="200"/>
        <w:rPr>
          <w:rFonts w:asciiTheme="minorEastAsia" w:hAnsiTheme="minorEastAsia" w:eastAsiaTheme="minorEastAsia" w:cstheme="minorEastAsia"/>
          <w:bCs/>
          <w:color w:val="auto"/>
          <w:highlight w:val="none"/>
          <w:shd w:val="clear" w:color="auto" w:fill="FFFFFF"/>
        </w:rPr>
      </w:pPr>
      <w:r>
        <w:rPr>
          <w:rFonts w:hint="eastAsia" w:asciiTheme="minorEastAsia" w:hAnsiTheme="minorEastAsia" w:eastAsiaTheme="minorEastAsia" w:cstheme="minorEastAsia"/>
          <w:bCs/>
          <w:color w:val="auto"/>
          <w:highlight w:val="none"/>
          <w:shd w:val="clear" w:color="auto" w:fill="FFFFFF"/>
        </w:rPr>
        <w:t>6、解释权 </w:t>
      </w:r>
    </w:p>
    <w:p w14:paraId="4729B76E">
      <w:pPr>
        <w:widowControl/>
        <w:spacing w:line="380" w:lineRule="exact"/>
        <w:ind w:firstLine="420" w:firstLineChars="200"/>
        <w:rPr>
          <w:rFonts w:ascii="宋体" w:hAnsi="宋体"/>
          <w:bCs/>
          <w:color w:val="auto"/>
          <w:kern w:val="0"/>
          <w:highlight w:val="none"/>
          <w:lang w:val="zh-CN"/>
        </w:rPr>
      </w:pPr>
      <w:r>
        <w:rPr>
          <w:rFonts w:hint="eastAsia" w:ascii="宋体" w:hAnsi="宋体"/>
          <w:bCs/>
          <w:color w:val="auto"/>
          <w:kern w:val="0"/>
          <w:highlight w:val="none"/>
          <w:lang w:val="zh-CN"/>
        </w:rPr>
        <w:t>本磋商文件的《采购需求》、</w:t>
      </w:r>
      <w:r>
        <w:rPr>
          <w:rFonts w:hint="eastAsia" w:ascii="宋体" w:hAnsi="宋体" w:cs="宋体"/>
          <w:bCs/>
          <w:color w:val="auto"/>
          <w:highlight w:val="none"/>
        </w:rPr>
        <w:t>《评审办法》</w:t>
      </w:r>
      <w:r>
        <w:rPr>
          <w:rFonts w:hint="eastAsia" w:ascii="宋体" w:hAnsi="宋体"/>
          <w:bCs/>
          <w:color w:val="auto"/>
          <w:kern w:val="0"/>
          <w:highlight w:val="none"/>
          <w:lang w:val="zh-CN"/>
        </w:rPr>
        <w:t>解释权归采购单位，其余部分归采购代理机构。</w:t>
      </w:r>
      <w:bookmarkStart w:id="28" w:name="_Toc326937532"/>
      <w:bookmarkStart w:id="29" w:name="_Toc333842546"/>
      <w:bookmarkStart w:id="30" w:name="_Toc358384690"/>
    </w:p>
    <w:p w14:paraId="7ED6CCF3">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bookmarkStart w:id="31" w:name="_Toc504642666"/>
      <w:bookmarkStart w:id="32" w:name="_Toc433917262"/>
      <w:bookmarkStart w:id="33" w:name="_Toc393201709"/>
    </w:p>
    <w:p w14:paraId="22673A71">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二、磋商文件</w:t>
      </w:r>
      <w:bookmarkEnd w:id="28"/>
      <w:bookmarkEnd w:id="29"/>
      <w:bookmarkEnd w:id="30"/>
      <w:bookmarkEnd w:id="31"/>
      <w:bookmarkEnd w:id="32"/>
      <w:bookmarkEnd w:id="33"/>
    </w:p>
    <w:p w14:paraId="2DCDAABA">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7、磋商文件构成</w:t>
      </w:r>
    </w:p>
    <w:p w14:paraId="0AD30D80">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7.1 磋商文件包括 </w:t>
      </w:r>
    </w:p>
    <w:p w14:paraId="2530E69D">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第一章  竞争性磋商公告</w:t>
      </w:r>
    </w:p>
    <w:p w14:paraId="4FDD27C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 xml:space="preserve">第二章  </w:t>
      </w:r>
      <w:r>
        <w:rPr>
          <w:rFonts w:hint="eastAsia" w:asciiTheme="minorEastAsia" w:hAnsiTheme="minorEastAsia" w:eastAsiaTheme="minorEastAsia" w:cstheme="minorEastAsia"/>
          <w:bCs/>
          <w:color w:val="auto"/>
          <w:kern w:val="0"/>
          <w:highlight w:val="none"/>
          <w:shd w:val="clear" w:color="auto" w:fill="FFFFFF"/>
          <w:lang w:eastAsia="zh-CN"/>
        </w:rPr>
        <w:t>响应方</w:t>
      </w:r>
      <w:r>
        <w:rPr>
          <w:rFonts w:hint="eastAsia" w:asciiTheme="minorEastAsia" w:hAnsiTheme="minorEastAsia" w:eastAsiaTheme="minorEastAsia" w:cstheme="minorEastAsia"/>
          <w:bCs/>
          <w:color w:val="auto"/>
          <w:kern w:val="0"/>
          <w:highlight w:val="none"/>
          <w:shd w:val="clear" w:color="auto" w:fill="FFFFFF"/>
        </w:rPr>
        <w:t>须知及前附表</w:t>
      </w:r>
    </w:p>
    <w:p w14:paraId="1DA41BA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第三章  合同主要条款</w:t>
      </w:r>
    </w:p>
    <w:p w14:paraId="2758DF45">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 xml:space="preserve">第四章  </w:t>
      </w:r>
      <w:r>
        <w:rPr>
          <w:rFonts w:hint="eastAsia" w:asciiTheme="minorEastAsia" w:hAnsiTheme="minorEastAsia" w:eastAsiaTheme="minorEastAsia" w:cstheme="minorEastAsia"/>
          <w:color w:val="auto"/>
          <w:kern w:val="0"/>
          <w:highlight w:val="none"/>
          <w:shd w:val="clear" w:color="auto" w:fill="FFFFFF"/>
          <w:lang w:eastAsia="zh-CN"/>
        </w:rPr>
        <w:t>采购需求</w:t>
      </w:r>
    </w:p>
    <w:p w14:paraId="2CDE2715">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第五章  响应文件格式</w:t>
      </w:r>
    </w:p>
    <w:p w14:paraId="6B363908">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7.2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6D0C2F4A">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8、磋商文件的修改、澄清</w:t>
      </w:r>
    </w:p>
    <w:p w14:paraId="760D8647">
      <w:pPr>
        <w:keepNext w:val="0"/>
        <w:keepLines w:val="0"/>
        <w:pageBreakBefore w:val="0"/>
        <w:widowControl w:val="0"/>
        <w:tabs>
          <w:tab w:val="left" w:pos="527"/>
        </w:tabs>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b/>
          <w:bCs/>
          <w:color w:val="auto"/>
          <w:highlight w:val="yellow"/>
        </w:rPr>
      </w:pPr>
      <w:bookmarkStart w:id="34" w:name="_Toc333842547"/>
      <w:bookmarkStart w:id="35" w:name="_Toc358384691"/>
      <w:bookmarkStart w:id="36" w:name="_Toc326937533"/>
      <w:bookmarkStart w:id="37" w:name="_Toc393201710"/>
      <w:r>
        <w:rPr>
          <w:rFonts w:hint="eastAsia" w:asciiTheme="minorEastAsia" w:hAnsiTheme="minorEastAsia" w:eastAsiaTheme="minorEastAsia" w:cstheme="minorEastAsia"/>
          <w:color w:val="auto"/>
          <w:highlight w:val="none"/>
          <w:shd w:val="clear" w:color="auto" w:fill="FFFFFF"/>
        </w:rPr>
        <w:t>8.1</w:t>
      </w:r>
      <w:r>
        <w:rPr>
          <w:rFonts w:hint="eastAsia" w:asciiTheme="minorEastAsia" w:hAnsiTheme="minorEastAsia" w:eastAsiaTheme="minorEastAsia" w:cstheme="minorEastAsia"/>
          <w:color w:val="auto"/>
          <w:kern w:val="0"/>
          <w:highlight w:val="none"/>
          <w:shd w:val="clear" w:color="auto" w:fill="FFFFFF"/>
        </w:rPr>
        <w:t>提交首次响应文件截止之日前，采购单位、采购代理机构或者磋商小组可以对已发出的磋商文件进行必要的澄清或者修改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shd w:val="clear" w:color="auto" w:fill="FFFFFF"/>
        </w:rPr>
        <w:t>澄清或者修改的内容作为磋商文件的组成部分。澄清或者修改的内容可能影响响应文件编制的，采购单位、采购代理机构应当在递交首次响应文件截止时间至少5日前；不足5日的，采购单位、采购代理机构应当顺延提交首次响应文件截止时间。</w:t>
      </w:r>
    </w:p>
    <w:p w14:paraId="21FEC1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8.2不论采购单位向供应商发送的资料文件，还是供应商提出的问题，均采用信息发布网上公告形式，任何口头提问及答复一律无效。</w:t>
      </w:r>
    </w:p>
    <w:p w14:paraId="42484EE1">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bookmarkStart w:id="38" w:name="_Toc433917263"/>
      <w:bookmarkStart w:id="39" w:name="_Toc504642667"/>
      <w:r>
        <w:rPr>
          <w:rFonts w:hint="eastAsia" w:ascii="宋体" w:hAnsi="宋体" w:cs="宋体"/>
          <w:b/>
          <w:bCs/>
          <w:color w:val="auto"/>
          <w:kern w:val="0"/>
          <w:sz w:val="28"/>
          <w:szCs w:val="28"/>
          <w:highlight w:val="none"/>
        </w:rPr>
        <w:t>三、响应文件的编制</w:t>
      </w:r>
      <w:bookmarkEnd w:id="34"/>
      <w:bookmarkEnd w:id="35"/>
      <w:bookmarkEnd w:id="36"/>
      <w:bookmarkEnd w:id="37"/>
      <w:bookmarkEnd w:id="38"/>
      <w:bookmarkEnd w:id="39"/>
    </w:p>
    <w:p w14:paraId="10961F4D">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9、响应文件的构成</w:t>
      </w:r>
    </w:p>
    <w:p w14:paraId="475D1FB2">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响应文件由资格证明文件、技术商务文件、报价文件</w:t>
      </w:r>
      <w:r>
        <w:rPr>
          <w:rFonts w:hint="eastAsia" w:asciiTheme="minorEastAsia" w:hAnsiTheme="minorEastAsia" w:eastAsiaTheme="minorEastAsia" w:cstheme="minorEastAsia"/>
          <w:color w:val="auto"/>
          <w:kern w:val="0"/>
          <w:highlight w:val="none"/>
          <w:lang w:eastAsia="zh-CN"/>
        </w:rPr>
        <w:t>三部分</w:t>
      </w:r>
      <w:r>
        <w:rPr>
          <w:rFonts w:hint="eastAsia" w:asciiTheme="minorEastAsia" w:hAnsiTheme="minorEastAsia" w:eastAsiaTheme="minorEastAsia" w:cstheme="minorEastAsia"/>
          <w:color w:val="auto"/>
          <w:kern w:val="0"/>
          <w:highlight w:val="none"/>
        </w:rPr>
        <w:t>组成</w:t>
      </w:r>
      <w:r>
        <w:rPr>
          <w:rFonts w:hint="eastAsia" w:asciiTheme="minorEastAsia" w:hAnsiTheme="minorEastAsia" w:eastAsiaTheme="minorEastAsia" w:cstheme="minorEastAsia"/>
          <w:color w:val="auto"/>
          <w:kern w:val="0"/>
          <w:highlight w:val="none"/>
          <w:shd w:val="clear" w:color="auto" w:fill="FFFFFF"/>
        </w:rPr>
        <w:t xml:space="preserve">。 </w:t>
      </w:r>
    </w:p>
    <w:p w14:paraId="10D40503">
      <w:pPr>
        <w:widowControl/>
        <w:spacing w:line="400" w:lineRule="exact"/>
        <w:ind w:firstLine="210" w:firstLineChars="1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rPr>
        <w:t>9.1资格证明文件</w:t>
      </w:r>
    </w:p>
    <w:p w14:paraId="09BC0028">
      <w:pPr>
        <w:widowControl/>
        <w:spacing w:line="400" w:lineRule="exact"/>
        <w:ind w:firstLine="413" w:firstLineChars="197"/>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9.1.1包括但不限于以下内容（封装形式：一正四副，封装成一袋）：</w:t>
      </w:r>
    </w:p>
    <w:p w14:paraId="65474A11">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（1）磋商响应函（格式附后）；</w:t>
      </w:r>
    </w:p>
    <w:p w14:paraId="68664F60">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（2）符合参加政府采购活动应当具备的一般条件的承诺函；</w:t>
      </w:r>
    </w:p>
    <w:p w14:paraId="3C41B447">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（3）中小企业声明函（格式附后）；</w:t>
      </w:r>
    </w:p>
    <w:p w14:paraId="2098E787">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（4）残疾人福利性单位声明函（格式附后）；</w:t>
      </w:r>
    </w:p>
    <w:p w14:paraId="47CC9EBC">
      <w:pPr>
        <w:spacing w:line="440" w:lineRule="exact"/>
        <w:ind w:firstLine="420" w:firstLineChars="200"/>
        <w:rPr>
          <w:rFonts w:ascii="宋体" w:hAnsi="宋体" w:cs="宋体"/>
          <w:color w:val="auto"/>
          <w:highlight w:val="none"/>
        </w:rPr>
      </w:pPr>
      <w:r>
        <w:rPr>
          <w:rFonts w:hint="eastAsia" w:ascii="宋体" w:hAnsi="宋体" w:cs="宋体"/>
          <w:color w:val="auto"/>
          <w:sz w:val="21"/>
          <w:szCs w:val="21"/>
          <w:highlight w:val="none"/>
          <w:lang w:eastAsia="zh-CN"/>
        </w:rPr>
        <w:t>（5）省级以上监狱管理局、戒毒管理局（含新疆生产建设兵团）出具的属于监狱企业的证明文件；</w:t>
      </w:r>
    </w:p>
    <w:p w14:paraId="7176E1CC">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）法人或者其他组织的营业执照等证明文件</w:t>
      </w:r>
      <w:r>
        <w:rPr>
          <w:rFonts w:hint="eastAsia" w:ascii="宋体" w:hAnsi="宋体" w:cs="宋体"/>
          <w:color w:val="auto"/>
          <w:highlight w:val="none"/>
          <w:lang w:eastAsia="zh-CN"/>
        </w:rPr>
        <w:t>扫描</w:t>
      </w:r>
      <w:r>
        <w:rPr>
          <w:rFonts w:hint="eastAsia" w:ascii="宋体" w:hAnsi="宋体" w:cs="宋体"/>
          <w:color w:val="auto"/>
          <w:highlight w:val="none"/>
        </w:rPr>
        <w:t>件；</w:t>
      </w:r>
    </w:p>
    <w:p w14:paraId="42182AEC">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）法定代表人身份证明及身份证（正、反面）</w:t>
      </w:r>
      <w:r>
        <w:rPr>
          <w:rFonts w:hint="eastAsia" w:ascii="宋体" w:hAnsi="宋体" w:cs="宋体"/>
          <w:color w:val="auto"/>
          <w:highlight w:val="none"/>
          <w:lang w:eastAsia="zh-CN"/>
        </w:rPr>
        <w:t>扫描</w:t>
      </w:r>
      <w:r>
        <w:rPr>
          <w:rFonts w:hint="eastAsia" w:ascii="宋体" w:hAnsi="宋体" w:cs="宋体"/>
          <w:color w:val="auto"/>
          <w:highlight w:val="none"/>
        </w:rPr>
        <w:t>件；</w:t>
      </w:r>
    </w:p>
    <w:p w14:paraId="62BFAED6">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49837EE1">
      <w:pPr>
        <w:widowControl/>
        <w:spacing w:line="400" w:lineRule="exact"/>
        <w:ind w:firstLine="420" w:firstLineChars="200"/>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）磋商前三年内，在经营活动中没有重大违法记录的承诺书；</w:t>
      </w:r>
    </w:p>
    <w:p w14:paraId="6C5AD7DD">
      <w:pPr>
        <w:widowControl/>
        <w:spacing w:line="400" w:lineRule="exact"/>
        <w:ind w:firstLine="411" w:firstLineChars="196"/>
        <w:jc w:val="lef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响应人</w:t>
      </w:r>
      <w:r>
        <w:rPr>
          <w:rFonts w:hint="eastAsia" w:ascii="宋体" w:hAnsi="宋体"/>
          <w:color w:val="auto"/>
          <w:highlight w:val="none"/>
        </w:rPr>
        <w:t>需要说明的其他文件和说明（格式自拟）。</w:t>
      </w:r>
    </w:p>
    <w:p w14:paraId="3B6EFF9A">
      <w:pPr>
        <w:widowControl/>
        <w:spacing w:line="400" w:lineRule="exact"/>
        <w:ind w:firstLine="413" w:firstLineChars="196"/>
        <w:jc w:val="left"/>
        <w:rPr>
          <w:rFonts w:asciiTheme="minorEastAsia" w:hAnsiTheme="minorEastAsia" w:eastAsiaTheme="minorEastAsia" w:cstheme="minorEastAsia"/>
          <w:b/>
          <w:bCs/>
          <w:color w:val="auto"/>
          <w:kern w:val="0"/>
          <w:highlight w:val="none"/>
          <w:shd w:val="clear" w:color="auto" w:fill="FFFFFF"/>
        </w:rPr>
      </w:pPr>
      <w:bookmarkStart w:id="278" w:name="_GoBack"/>
      <w:bookmarkEnd w:id="278"/>
      <w:r>
        <w:rPr>
          <w:rFonts w:hint="eastAsia" w:asciiTheme="minorEastAsia" w:hAnsiTheme="minorEastAsia" w:eastAsiaTheme="minorEastAsia" w:cstheme="minorEastAsia"/>
          <w:b/>
          <w:bCs/>
          <w:color w:val="auto"/>
          <w:kern w:val="0"/>
          <w:highlight w:val="none"/>
          <w:shd w:val="clear" w:color="auto" w:fill="FFFFFF"/>
        </w:rPr>
        <w:t>9.2技术商务文件</w:t>
      </w:r>
    </w:p>
    <w:p w14:paraId="0599951E">
      <w:pPr>
        <w:widowControl/>
        <w:spacing w:line="400" w:lineRule="exact"/>
        <w:ind w:firstLine="411" w:firstLineChars="196"/>
        <w:jc w:val="left"/>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包括但不限于以下内容（</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bCs/>
          <w:color w:val="auto"/>
          <w:kern w:val="0"/>
          <w:highlight w:val="none"/>
          <w:shd w:val="clear" w:color="auto" w:fill="FFFFFF"/>
        </w:rPr>
        <w:t>封装形式：一正四副，封装成一袋）：</w:t>
      </w:r>
    </w:p>
    <w:p w14:paraId="355CD410">
      <w:pPr>
        <w:widowControl/>
        <w:spacing w:beforeLines="0" w:afterLines="0" w:line="380" w:lineRule="exact"/>
        <w:ind w:firstLine="210" w:firstLineChars="100"/>
        <w:rPr>
          <w:rFonts w:hint="default" w:ascii="宋体" w:hAnsi="宋体" w:eastAsia="宋体"/>
          <w:color w:val="auto"/>
          <w:kern w:val="0"/>
          <w:sz w:val="21"/>
          <w:highlight w:val="none"/>
        </w:rPr>
      </w:pPr>
      <w:r>
        <w:rPr>
          <w:rFonts w:hint="default" w:ascii="宋体" w:hAnsi="宋体" w:eastAsia="宋体"/>
          <w:color w:val="auto"/>
          <w:kern w:val="0"/>
          <w:sz w:val="21"/>
          <w:highlight w:val="none"/>
        </w:rPr>
        <w:t>▲（1）</w:t>
      </w:r>
      <w:r>
        <w:rPr>
          <w:rFonts w:hint="eastAsia" w:ascii="宋体" w:hAnsi="宋体" w:eastAsia="宋体" w:cs="宋体"/>
          <w:color w:val="auto"/>
          <w:sz w:val="21"/>
          <w:szCs w:val="21"/>
          <w:highlight w:val="none"/>
          <w:lang w:val="en-US" w:eastAsia="zh-CN"/>
        </w:rPr>
        <w:t>主要技术要求响应情况</w:t>
      </w:r>
      <w:r>
        <w:rPr>
          <w:rFonts w:hint="default" w:ascii="宋体" w:hAnsi="宋体" w:eastAsia="宋体"/>
          <w:color w:val="auto"/>
          <w:kern w:val="0"/>
          <w:sz w:val="21"/>
          <w:highlight w:val="none"/>
        </w:rPr>
        <w:t>；</w:t>
      </w:r>
    </w:p>
    <w:p w14:paraId="396FE908">
      <w:pPr>
        <w:widowControl/>
        <w:spacing w:beforeLines="0" w:afterLines="0" w:line="380" w:lineRule="exact"/>
        <w:ind w:firstLine="420" w:firstLineChars="200"/>
        <w:rPr>
          <w:rFonts w:hint="default" w:ascii="宋体" w:hAnsi="宋体" w:eastAsia="宋体"/>
          <w:color w:val="auto"/>
          <w:kern w:val="0"/>
          <w:sz w:val="21"/>
          <w:highlight w:val="none"/>
        </w:rPr>
      </w:pPr>
      <w:r>
        <w:rPr>
          <w:rFonts w:hint="default" w:ascii="宋体" w:hAnsi="宋体" w:eastAsia="宋体"/>
          <w:color w:val="auto"/>
          <w:kern w:val="0"/>
          <w:sz w:val="21"/>
          <w:highlight w:val="none"/>
        </w:rPr>
        <w:t>（2）企业业绩；</w:t>
      </w:r>
    </w:p>
    <w:p w14:paraId="76D1DB05">
      <w:pPr>
        <w:widowControl/>
        <w:spacing w:beforeLines="0" w:afterLines="0" w:line="380" w:lineRule="exact"/>
        <w:ind w:firstLine="420" w:firstLineChars="200"/>
        <w:rPr>
          <w:rFonts w:hint="default" w:ascii="宋体" w:hAnsi="宋体" w:eastAsia="宋体"/>
          <w:color w:val="auto"/>
          <w:kern w:val="0"/>
          <w:sz w:val="21"/>
          <w:highlight w:val="none"/>
        </w:rPr>
      </w:pPr>
      <w:r>
        <w:rPr>
          <w:rFonts w:hint="default" w:ascii="宋体" w:hAnsi="宋体" w:eastAsia="宋体"/>
          <w:color w:val="auto"/>
          <w:kern w:val="0"/>
          <w:sz w:val="21"/>
          <w:highlight w:val="none"/>
        </w:rPr>
        <w:t>（3）基本技术参数</w:t>
      </w:r>
      <w:r>
        <w:rPr>
          <w:rFonts w:hint="eastAsia" w:ascii="宋体" w:hAnsi="宋体" w:eastAsia="宋体"/>
          <w:color w:val="auto"/>
          <w:kern w:val="0"/>
          <w:sz w:val="21"/>
          <w:highlight w:val="none"/>
          <w:lang w:val="en-US" w:eastAsia="zh-CN"/>
        </w:rPr>
        <w:t>；</w:t>
      </w:r>
    </w:p>
    <w:p w14:paraId="0424F362">
      <w:pPr>
        <w:widowControl/>
        <w:spacing w:beforeLines="0" w:afterLines="0" w:line="380" w:lineRule="exact"/>
        <w:ind w:firstLine="420" w:firstLineChars="200"/>
        <w:rPr>
          <w:rFonts w:hint="eastAsia" w:ascii="宋体" w:hAnsi="宋体" w:eastAsia="宋体"/>
          <w:color w:val="auto"/>
          <w:kern w:val="0"/>
          <w:sz w:val="21"/>
          <w:highlight w:val="none"/>
          <w:lang w:eastAsia="zh-CN"/>
        </w:rPr>
      </w:pPr>
      <w:r>
        <w:rPr>
          <w:rFonts w:hint="default" w:ascii="宋体" w:hAnsi="宋体" w:eastAsia="宋体"/>
          <w:color w:val="auto"/>
          <w:kern w:val="0"/>
          <w:sz w:val="21"/>
          <w:highlight w:val="none"/>
        </w:rPr>
        <w:t>（4）响应人企业实力；</w:t>
      </w:r>
    </w:p>
    <w:p w14:paraId="26FAD125">
      <w:pPr>
        <w:widowControl/>
        <w:spacing w:beforeLines="0" w:afterLines="0" w:line="380" w:lineRule="exact"/>
        <w:ind w:firstLine="420" w:firstLineChars="200"/>
        <w:rPr>
          <w:rFonts w:hint="default" w:ascii="宋体" w:hAnsi="宋体" w:eastAsia="宋体"/>
          <w:color w:val="auto"/>
          <w:kern w:val="0"/>
          <w:sz w:val="21"/>
          <w:highlight w:val="yellow"/>
        </w:rPr>
      </w:pPr>
      <w:r>
        <w:rPr>
          <w:rFonts w:hint="default" w:ascii="宋体" w:hAnsi="宋体" w:eastAsia="宋体"/>
          <w:color w:val="auto"/>
          <w:kern w:val="0"/>
          <w:sz w:val="21"/>
          <w:highlight w:val="none"/>
        </w:rPr>
        <w:t>（5）</w:t>
      </w:r>
      <w:r>
        <w:rPr>
          <w:rFonts w:hint="eastAsia" w:ascii="宋体" w:hAnsi="宋体" w:eastAsia="宋体"/>
          <w:color w:val="auto"/>
          <w:kern w:val="0"/>
          <w:sz w:val="21"/>
          <w:highlight w:val="none"/>
        </w:rPr>
        <w:t>系统演示</w:t>
      </w:r>
      <w:r>
        <w:rPr>
          <w:rFonts w:hint="default" w:ascii="宋体" w:hAnsi="宋体" w:eastAsia="宋体"/>
          <w:color w:val="auto"/>
          <w:kern w:val="0"/>
          <w:sz w:val="21"/>
          <w:highlight w:val="none"/>
        </w:rPr>
        <w:t>；</w:t>
      </w:r>
    </w:p>
    <w:p w14:paraId="6F37172C">
      <w:pPr>
        <w:widowControl/>
        <w:spacing w:beforeLines="0" w:afterLines="0" w:line="380" w:lineRule="exact"/>
        <w:ind w:firstLine="420" w:firstLineChars="200"/>
        <w:rPr>
          <w:rFonts w:hint="eastAsia" w:ascii="宋体" w:hAnsi="宋体" w:eastAsia="宋体"/>
          <w:color w:val="auto"/>
          <w:kern w:val="0"/>
          <w:sz w:val="21"/>
          <w:highlight w:val="none"/>
          <w:lang w:eastAsia="zh-CN"/>
        </w:rPr>
      </w:pPr>
      <w:r>
        <w:rPr>
          <w:rFonts w:hint="default" w:ascii="宋体" w:hAnsi="宋体" w:eastAsia="宋体"/>
          <w:color w:val="auto"/>
          <w:kern w:val="0"/>
          <w:sz w:val="21"/>
          <w:highlight w:val="none"/>
        </w:rPr>
        <w:t>（6）</w:t>
      </w:r>
      <w:r>
        <w:rPr>
          <w:rFonts w:hint="eastAsia" w:ascii="宋体" w:hAnsi="宋体" w:eastAsia="宋体"/>
          <w:color w:val="auto"/>
          <w:kern w:val="0"/>
          <w:sz w:val="21"/>
          <w:highlight w:val="none"/>
        </w:rPr>
        <w:t>技术培训方案</w:t>
      </w:r>
      <w:r>
        <w:rPr>
          <w:rFonts w:hint="eastAsia" w:ascii="宋体" w:hAnsi="宋体" w:eastAsia="宋体"/>
          <w:color w:val="auto"/>
          <w:kern w:val="0"/>
          <w:sz w:val="21"/>
          <w:highlight w:val="none"/>
          <w:lang w:eastAsia="zh-CN"/>
        </w:rPr>
        <w:t>；</w:t>
      </w:r>
    </w:p>
    <w:p w14:paraId="0B1711BB">
      <w:pPr>
        <w:widowControl/>
        <w:spacing w:beforeLines="0" w:afterLines="0" w:line="380" w:lineRule="exact"/>
        <w:ind w:firstLine="420" w:firstLineChars="200"/>
        <w:rPr>
          <w:rFonts w:hint="eastAsia" w:ascii="宋体" w:hAnsi="宋体" w:eastAsia="宋体"/>
          <w:color w:val="auto"/>
          <w:kern w:val="0"/>
          <w:sz w:val="21"/>
          <w:highlight w:val="none"/>
          <w:lang w:eastAsia="zh-CN"/>
        </w:rPr>
      </w:pPr>
      <w:r>
        <w:rPr>
          <w:rFonts w:hint="eastAsia" w:ascii="宋体" w:hAnsi="宋体" w:eastAsia="宋体"/>
          <w:color w:val="auto"/>
          <w:kern w:val="0"/>
          <w:sz w:val="21"/>
          <w:highlight w:val="none"/>
          <w:lang w:eastAsia="zh-CN"/>
        </w:rPr>
        <w:t>（</w:t>
      </w:r>
      <w:r>
        <w:rPr>
          <w:rFonts w:hint="eastAsia" w:ascii="宋体" w:hAnsi="宋体" w:eastAsia="宋体"/>
          <w:color w:val="auto"/>
          <w:kern w:val="0"/>
          <w:sz w:val="21"/>
          <w:highlight w:val="none"/>
          <w:lang w:val="en-US" w:eastAsia="zh-CN"/>
        </w:rPr>
        <w:t>7</w:t>
      </w:r>
      <w:r>
        <w:rPr>
          <w:rFonts w:hint="eastAsia" w:ascii="宋体" w:hAnsi="宋体" w:eastAsia="宋体"/>
          <w:color w:val="auto"/>
          <w:kern w:val="0"/>
          <w:sz w:val="21"/>
          <w:highlight w:val="none"/>
          <w:lang w:eastAsia="zh-CN"/>
        </w:rPr>
        <w:t>）</w:t>
      </w:r>
      <w:r>
        <w:rPr>
          <w:rFonts w:hint="eastAsia" w:ascii="宋体" w:hAnsi="宋体" w:eastAsia="宋体"/>
          <w:color w:val="auto"/>
          <w:kern w:val="0"/>
          <w:sz w:val="21"/>
          <w:highlight w:val="none"/>
        </w:rPr>
        <w:t>项目实施</w:t>
      </w:r>
      <w:r>
        <w:rPr>
          <w:rFonts w:hint="eastAsia" w:ascii="宋体" w:hAnsi="宋体" w:eastAsia="宋体"/>
          <w:color w:val="auto"/>
          <w:kern w:val="0"/>
          <w:sz w:val="21"/>
          <w:highlight w:val="none"/>
          <w:lang w:eastAsia="zh-CN"/>
        </w:rPr>
        <w:t>方案；</w:t>
      </w:r>
    </w:p>
    <w:p w14:paraId="2F24942E">
      <w:pPr>
        <w:widowControl/>
        <w:spacing w:beforeLines="0" w:afterLines="0" w:line="380" w:lineRule="exact"/>
        <w:ind w:firstLine="420" w:firstLineChars="200"/>
        <w:rPr>
          <w:rFonts w:hint="eastAsia" w:ascii="宋体" w:hAnsi="宋体" w:eastAsia="宋体"/>
          <w:color w:val="auto"/>
          <w:kern w:val="0"/>
          <w:sz w:val="21"/>
          <w:highlight w:val="none"/>
          <w:lang w:eastAsia="zh-CN"/>
        </w:rPr>
      </w:pPr>
      <w:r>
        <w:rPr>
          <w:rFonts w:hint="eastAsia" w:ascii="宋体" w:hAnsi="宋体" w:eastAsia="宋体"/>
          <w:color w:val="auto"/>
          <w:kern w:val="0"/>
          <w:sz w:val="21"/>
          <w:highlight w:val="none"/>
          <w:lang w:val="en-US" w:eastAsia="zh-CN"/>
        </w:rPr>
        <w:t>（</w:t>
      </w:r>
      <w:r>
        <w:rPr>
          <w:rFonts w:hint="eastAsia" w:ascii="宋体" w:hAnsi="宋体"/>
          <w:color w:val="auto"/>
          <w:kern w:val="0"/>
          <w:sz w:val="21"/>
          <w:highlight w:val="none"/>
          <w:lang w:val="en-US" w:eastAsia="zh-CN"/>
        </w:rPr>
        <w:t>8</w:t>
      </w:r>
      <w:r>
        <w:rPr>
          <w:rFonts w:hint="eastAsia" w:ascii="宋体" w:hAnsi="宋体" w:eastAsia="宋体"/>
          <w:color w:val="auto"/>
          <w:kern w:val="0"/>
          <w:sz w:val="21"/>
          <w:highlight w:val="none"/>
          <w:lang w:val="en-US" w:eastAsia="zh-CN"/>
        </w:rPr>
        <w:t>）售后服务方案；</w:t>
      </w:r>
    </w:p>
    <w:p w14:paraId="53CBF199">
      <w:pPr>
        <w:widowControl/>
        <w:spacing w:beforeLines="0" w:afterLines="0" w:line="380" w:lineRule="exact"/>
        <w:ind w:firstLine="420" w:firstLineChars="200"/>
        <w:rPr>
          <w:rFonts w:hint="default" w:ascii="宋体" w:hAnsi="宋体" w:eastAsia="宋体"/>
          <w:color w:val="auto"/>
          <w:kern w:val="0"/>
          <w:sz w:val="21"/>
          <w:highlight w:val="none"/>
        </w:rPr>
      </w:pPr>
      <w:r>
        <w:rPr>
          <w:rFonts w:hint="default" w:ascii="宋体" w:hAnsi="宋体" w:eastAsia="宋体"/>
          <w:color w:val="auto"/>
          <w:kern w:val="0"/>
          <w:sz w:val="21"/>
          <w:highlight w:val="none"/>
        </w:rPr>
        <w:t>（</w:t>
      </w:r>
      <w:r>
        <w:rPr>
          <w:rFonts w:hint="eastAsia" w:ascii="宋体" w:hAnsi="宋体"/>
          <w:color w:val="auto"/>
          <w:kern w:val="0"/>
          <w:sz w:val="21"/>
          <w:highlight w:val="none"/>
          <w:lang w:val="en-US" w:eastAsia="zh-CN"/>
        </w:rPr>
        <w:t>9</w:t>
      </w:r>
      <w:r>
        <w:rPr>
          <w:rFonts w:hint="default" w:ascii="宋体" w:hAnsi="宋体" w:eastAsia="宋体"/>
          <w:color w:val="auto"/>
          <w:kern w:val="0"/>
          <w:sz w:val="21"/>
          <w:highlight w:val="none"/>
        </w:rPr>
        <w:t>）投标方需要说明的其他文件和说明</w:t>
      </w:r>
      <w:r>
        <w:rPr>
          <w:rFonts w:hint="eastAsia" w:ascii="宋体" w:hAnsi="宋体" w:eastAsia="宋体"/>
          <w:color w:val="auto"/>
          <w:kern w:val="0"/>
          <w:sz w:val="21"/>
          <w:highlight w:val="none"/>
          <w:lang w:eastAsia="zh-CN"/>
        </w:rPr>
        <w:t>。</w:t>
      </w:r>
    </w:p>
    <w:p w14:paraId="6A1C79C0">
      <w:pPr>
        <w:widowControl/>
        <w:spacing w:line="400" w:lineRule="exact"/>
        <w:ind w:firstLine="527" w:firstLineChars="25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9.3 报价文件：</w:t>
      </w:r>
    </w:p>
    <w:p w14:paraId="29527635">
      <w:pPr>
        <w:keepNext w:val="0"/>
        <w:keepLines w:val="0"/>
        <w:pageBreakBefore w:val="0"/>
        <w:widowControl w:val="0"/>
        <w:kinsoku/>
        <w:wordWrap/>
        <w:overflowPunct/>
        <w:topLinePunct w:val="0"/>
        <w:autoSpaceDE w:val="0"/>
        <w:autoSpaceDN w:val="0"/>
        <w:bidi w:val="0"/>
        <w:adjustRightInd/>
        <w:snapToGrid/>
        <w:spacing w:line="400" w:lineRule="exact"/>
        <w:ind w:firstLine="525" w:firstLineChars="250"/>
        <w:textAlignment w:val="auto"/>
        <w:rPr>
          <w:rFonts w:asciiTheme="minorEastAsia" w:hAnsiTheme="minorEastAsia" w:eastAsiaTheme="minorEastAsia" w:cstheme="minorEastAsia"/>
          <w:b/>
          <w:color w:val="auto"/>
          <w:highlight w:val="none"/>
          <w:lang w:val="zh-CN"/>
        </w:rPr>
      </w:pPr>
      <w:r>
        <w:rPr>
          <w:rFonts w:hint="eastAsia" w:asciiTheme="minorEastAsia" w:hAnsiTheme="minorEastAsia" w:eastAsiaTheme="minorEastAsia" w:cstheme="minorEastAsia"/>
          <w:color w:val="auto"/>
          <w:highlight w:val="none"/>
        </w:rPr>
        <w:t>包括但不限于以下内容（▲封装形式：一正四副，封装成一袋）：</w:t>
      </w:r>
    </w:p>
    <w:p w14:paraId="2BE2291A">
      <w:pPr>
        <w:pStyle w:val="29"/>
        <w:keepNext w:val="0"/>
        <w:keepLines w:val="0"/>
        <w:pageBreakBefore w:val="0"/>
        <w:widowControl w:val="0"/>
        <w:kinsoku/>
        <w:wordWrap/>
        <w:overflowPunct/>
        <w:topLinePunct w:val="0"/>
        <w:bidi w:val="0"/>
        <w:adjustRightInd/>
        <w:snapToGrid/>
        <w:spacing w:after="0" w:line="400" w:lineRule="exact"/>
        <w:ind w:left="0" w:leftChars="0" w:firstLine="210" w:firstLineChars="100"/>
        <w:textAlignment w:val="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（1）响应函（格式附后）；</w:t>
      </w:r>
    </w:p>
    <w:p w14:paraId="5835E4E5">
      <w:pPr>
        <w:pStyle w:val="29"/>
        <w:keepNext w:val="0"/>
        <w:keepLines w:val="0"/>
        <w:pageBreakBefore w:val="0"/>
        <w:widowControl w:val="0"/>
        <w:kinsoku/>
        <w:wordWrap/>
        <w:overflowPunct/>
        <w:topLinePunct w:val="0"/>
        <w:bidi w:val="0"/>
        <w:adjustRightInd/>
        <w:snapToGrid/>
        <w:spacing w:after="0" w:line="400" w:lineRule="exact"/>
        <w:ind w:left="0" w:leftChars="0" w:firstLine="210" w:firstLineChars="1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（2）响应一览表（格式附后）；</w:t>
      </w:r>
    </w:p>
    <w:p w14:paraId="38ED7EDD">
      <w:pPr>
        <w:pStyle w:val="24"/>
        <w:keepNext w:val="0"/>
        <w:keepLines w:val="0"/>
        <w:pageBreakBefore w:val="0"/>
        <w:widowControl w:val="0"/>
        <w:numPr>
          <w:ilvl w:val="0"/>
          <w:numId w:val="2"/>
        </w:numPr>
        <w:tabs>
          <w:tab w:val="right" w:leader="dot" w:pos="9061"/>
        </w:tabs>
        <w:kinsoku/>
        <w:wordWrap/>
        <w:overflowPunct/>
        <w:topLinePunct w:val="0"/>
        <w:bidi w:val="0"/>
        <w:adjustRightInd/>
        <w:snapToGrid/>
        <w:spacing w:line="400" w:lineRule="exact"/>
        <w:textAlignment w:val="auto"/>
        <w:rPr>
          <w:rStyle w:val="37"/>
          <w:rFonts w:hint="eastAsia" w:asciiTheme="minorEastAsia" w:hAnsiTheme="minorEastAsia" w:eastAsiaTheme="minorEastAsia" w:cstheme="minorEastAsia"/>
          <w:color w:val="auto"/>
          <w:kern w:val="0"/>
          <w:szCs w:val="22"/>
          <w:highlight w:val="none"/>
          <w:u w:val="none"/>
          <w:lang w:eastAsia="zh-CN"/>
        </w:rPr>
      </w:pPr>
      <w:r>
        <w:rPr>
          <w:rStyle w:val="37"/>
          <w:rFonts w:hint="eastAsia" w:asciiTheme="minorEastAsia" w:hAnsiTheme="minorEastAsia" w:eastAsiaTheme="minorEastAsia" w:cstheme="minorEastAsia"/>
          <w:color w:val="auto"/>
          <w:kern w:val="0"/>
          <w:szCs w:val="22"/>
          <w:highlight w:val="none"/>
          <w:u w:val="none"/>
          <w:lang w:eastAsia="zh-CN"/>
        </w:rPr>
        <w:t>投标报价明细表；</w:t>
      </w:r>
    </w:p>
    <w:p w14:paraId="55B0AEE6">
      <w:pPr>
        <w:pStyle w:val="24"/>
        <w:keepNext w:val="0"/>
        <w:keepLines w:val="0"/>
        <w:pageBreakBefore w:val="0"/>
        <w:widowControl w:val="0"/>
        <w:numPr>
          <w:ilvl w:val="0"/>
          <w:numId w:val="2"/>
        </w:numPr>
        <w:tabs>
          <w:tab w:val="right" w:leader="dot" w:pos="9061"/>
        </w:tabs>
        <w:kinsoku/>
        <w:wordWrap/>
        <w:overflowPunct/>
        <w:topLinePunct w:val="0"/>
        <w:bidi w:val="0"/>
        <w:adjustRightInd/>
        <w:snapToGrid/>
        <w:spacing w:line="400" w:lineRule="exact"/>
        <w:textAlignment w:val="auto"/>
        <w:rPr>
          <w:rFonts w:hint="eastAsia"/>
          <w:color w:val="auto"/>
          <w:highlight w:val="none"/>
          <w:lang w:eastAsia="zh-CN"/>
        </w:rPr>
      </w:pPr>
      <w:r>
        <w:rPr>
          <w:rStyle w:val="37"/>
          <w:rFonts w:hint="eastAsia" w:ascii="宋体" w:hAnsi="宋体" w:cs="宋体"/>
          <w:color w:val="auto"/>
          <w:kern w:val="0"/>
          <w:szCs w:val="22"/>
          <w:highlight w:val="none"/>
          <w:u w:val="none"/>
          <w:lang w:eastAsia="zh-CN"/>
        </w:rPr>
        <w:t>响应人</w:t>
      </w:r>
      <w:r>
        <w:rPr>
          <w:rStyle w:val="37"/>
          <w:rFonts w:hint="eastAsia" w:ascii="宋体" w:hAnsi="宋体" w:cs="宋体"/>
          <w:color w:val="auto"/>
          <w:kern w:val="0"/>
          <w:szCs w:val="22"/>
          <w:highlight w:val="none"/>
          <w:u w:val="none"/>
        </w:rPr>
        <w:t>需要说明的其他文件和说明</w:t>
      </w:r>
    </w:p>
    <w:p w14:paraId="7819AC76">
      <w:pPr>
        <w:spacing w:line="400" w:lineRule="exact"/>
        <w:ind w:firstLine="422" w:firstLineChars="200"/>
        <w:jc w:val="left"/>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1</w:t>
      </w:r>
      <w:r>
        <w:rPr>
          <w:rFonts w:hint="eastAsia" w:asciiTheme="minorEastAsia" w:hAnsiTheme="minorEastAsia" w:eastAsiaTheme="minorEastAsia" w:cstheme="minorEastAsia"/>
          <w:b/>
          <w:color w:val="auto"/>
          <w:kern w:val="0"/>
          <w:highlight w:val="none"/>
          <w:shd w:val="clear" w:color="auto" w:fill="FFFFFF"/>
          <w:lang w:val="en-US" w:eastAsia="zh-CN"/>
        </w:rPr>
        <w:t>0</w:t>
      </w:r>
      <w:r>
        <w:rPr>
          <w:rFonts w:hint="eastAsia" w:asciiTheme="minorEastAsia" w:hAnsiTheme="minorEastAsia" w:eastAsiaTheme="minorEastAsia" w:cstheme="minorEastAsia"/>
          <w:b/>
          <w:color w:val="auto"/>
          <w:kern w:val="0"/>
          <w:highlight w:val="none"/>
          <w:shd w:val="clear" w:color="auto" w:fill="FFFFFF"/>
        </w:rPr>
        <w:t>、响应文件的语言及计量单位</w:t>
      </w:r>
    </w:p>
    <w:p w14:paraId="5005A61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0</w:t>
      </w:r>
      <w:r>
        <w:rPr>
          <w:rFonts w:hint="eastAsia" w:asciiTheme="minorEastAsia" w:hAnsiTheme="minorEastAsia" w:eastAsiaTheme="minorEastAsia" w:cstheme="minorEastAsia"/>
          <w:color w:val="auto"/>
          <w:kern w:val="0"/>
          <w:highlight w:val="none"/>
          <w:shd w:val="clear" w:color="auto" w:fill="FFFFFF"/>
        </w:rPr>
        <w:t>.1 响应文件以及供应商与采购单位就有关磋商事宜的所有来往函电，均应以中文汉语书写。除签名、盖章、专用名称等特殊情形外，以中文汉语以外的文字表述的响应文件视同未提供。</w:t>
      </w:r>
    </w:p>
    <w:p w14:paraId="3EFA19D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color w:val="auto"/>
          <w:kern w:val="0"/>
          <w:highlight w:val="none"/>
          <w:shd w:val="clear" w:color="auto" w:fill="FFFFFF"/>
        </w:rPr>
        <w:t xml:space="preserve">.2 </w:t>
      </w:r>
      <w:r>
        <w:rPr>
          <w:rFonts w:hint="eastAsia" w:asciiTheme="minorEastAsia" w:hAnsiTheme="minorEastAsia" w:eastAsiaTheme="minorEastAsia" w:cstheme="minorEastAsia"/>
          <w:color w:val="auto"/>
          <w:spacing w:val="-8"/>
          <w:kern w:val="0"/>
          <w:highlight w:val="none"/>
          <w:shd w:val="clear" w:color="auto" w:fill="FFFFFF"/>
        </w:rPr>
        <w:t>除技术性能中另有规定外，响应文件所使用的计量单位，一律使用法定计量单位。</w:t>
      </w:r>
    </w:p>
    <w:p w14:paraId="6D8827B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color w:val="auto"/>
          <w:kern w:val="0"/>
          <w:highlight w:val="none"/>
          <w:shd w:val="clear" w:color="auto" w:fill="FFFFFF"/>
        </w:rPr>
        <w:t>.3磋商文件已有明确规定的，使用磋商文件规定的计量单位；磋商文件没有规定的，应采用中华人民共和国法定计量单位（货币单位：人民币元），否则视同未响应。</w:t>
      </w:r>
    </w:p>
    <w:p w14:paraId="15681B31">
      <w:pPr>
        <w:keepNext w:val="0"/>
        <w:keepLines w:val="0"/>
        <w:pageBreakBefore w:val="0"/>
        <w:widowControl/>
        <w:tabs>
          <w:tab w:val="center" w:pos="4771"/>
        </w:tabs>
        <w:kinsoku/>
        <w:wordWrap/>
        <w:overflowPunct/>
        <w:topLinePunct w:val="0"/>
        <w:autoSpaceDE/>
        <w:autoSpaceDN/>
        <w:bidi w:val="0"/>
        <w:adjustRightInd/>
        <w:snapToGrid/>
        <w:spacing w:line="400" w:lineRule="exact"/>
        <w:ind w:firstLine="207" w:firstLineChars="98"/>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1</w:t>
      </w:r>
      <w:r>
        <w:rPr>
          <w:rFonts w:hint="eastAsia" w:asciiTheme="minorEastAsia" w:hAnsiTheme="minorEastAsia" w:eastAsiaTheme="minorEastAsia" w:cstheme="minorEastAsia"/>
          <w:b/>
          <w:bCs/>
          <w:color w:val="auto"/>
          <w:kern w:val="0"/>
          <w:highlight w:val="none"/>
          <w:shd w:val="clear" w:color="auto" w:fill="FFFFFF"/>
        </w:rPr>
        <w:t>、磋商报价</w:t>
      </w:r>
    </w:p>
    <w:p w14:paraId="50622DD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响应方的磋商报价是履行合同的最终价格，</w:t>
      </w:r>
      <w:r>
        <w:rPr>
          <w:rFonts w:hint="eastAsia" w:asciiTheme="minorEastAsia" w:hAnsiTheme="minorEastAsia" w:eastAsiaTheme="minorEastAsia" w:cstheme="minorEastAsia"/>
          <w:color w:val="auto"/>
          <w:kern w:val="0"/>
          <w:highlight w:val="none"/>
          <w:lang w:val="zh-CN" w:eastAsia="zh-CN"/>
        </w:rPr>
        <w:t>应包含第四章招标内容及要求的所有内容。包括货物、人工费、运输、检验、培训、管理费用、税费、利润、采购代理费等完成合同所需的一切本身和不可或缺的所有工作开支、政策性文件规定及合同包含的所有风险、责任等各项全部费用并承担一切风险责任。如有漏项，视同已包含在其总项目中，合同总价不做调整。</w:t>
      </w:r>
    </w:p>
    <w:p w14:paraId="7BFFB44E">
      <w:pPr>
        <w:keepNext w:val="0"/>
        <w:keepLines w:val="0"/>
        <w:pageBreakBefore w:val="0"/>
        <w:kinsoku/>
        <w:wordWrap/>
        <w:overflowPunct/>
        <w:topLinePunct w:val="0"/>
        <w:autoSpaceDE/>
        <w:autoSpaceDN/>
        <w:bidi w:val="0"/>
        <w:adjustRightInd/>
        <w:snapToGrid/>
        <w:spacing w:line="400" w:lineRule="exact"/>
        <w:ind w:firstLine="374" w:firstLineChars="200"/>
        <w:jc w:val="left"/>
        <w:textAlignment w:val="auto"/>
        <w:rPr>
          <w:rFonts w:hint="eastAsia" w:asciiTheme="minorEastAsia" w:hAnsiTheme="minorEastAsia" w:eastAsiaTheme="minorEastAsia" w:cstheme="minorEastAsia"/>
          <w:color w:val="auto"/>
          <w:spacing w:val="-6"/>
          <w:kern w:val="0"/>
          <w:sz w:val="21"/>
          <w:highlight w:val="none"/>
        </w:rPr>
      </w:pPr>
      <w:r>
        <w:rPr>
          <w:rFonts w:hint="eastAsia" w:asciiTheme="minorEastAsia" w:hAnsiTheme="minorEastAsia" w:eastAsiaTheme="minorEastAsia" w:cstheme="minorEastAsia"/>
          <w:color w:val="auto"/>
          <w:spacing w:val="-6"/>
          <w:w w:val="95"/>
          <w:kern w:val="0"/>
          <w:sz w:val="21"/>
          <w:highlight w:val="none"/>
        </w:rPr>
        <w:t>1</w:t>
      </w:r>
      <w:r>
        <w:rPr>
          <w:rFonts w:hint="eastAsia" w:asciiTheme="minorEastAsia" w:hAnsiTheme="minorEastAsia" w:eastAsiaTheme="minorEastAsia" w:cstheme="minorEastAsia"/>
          <w:color w:val="auto"/>
          <w:spacing w:val="-6"/>
          <w:w w:val="95"/>
          <w:kern w:val="0"/>
          <w:sz w:val="21"/>
          <w:highlight w:val="none"/>
          <w:lang w:val="en-US" w:eastAsia="zh-CN"/>
        </w:rPr>
        <w:t>1</w:t>
      </w:r>
      <w:r>
        <w:rPr>
          <w:rFonts w:hint="eastAsia" w:asciiTheme="minorEastAsia" w:hAnsiTheme="minorEastAsia" w:eastAsiaTheme="minorEastAsia" w:cstheme="minorEastAsia"/>
          <w:color w:val="auto"/>
          <w:spacing w:val="-6"/>
          <w:w w:val="95"/>
          <w:kern w:val="0"/>
          <w:sz w:val="21"/>
          <w:highlight w:val="none"/>
        </w:rPr>
        <w:t>.</w:t>
      </w:r>
      <w:r>
        <w:rPr>
          <w:rFonts w:hint="eastAsia" w:asciiTheme="minorEastAsia" w:hAnsiTheme="minorEastAsia" w:eastAsiaTheme="minorEastAsia" w:cstheme="minorEastAsia"/>
          <w:color w:val="auto"/>
          <w:spacing w:val="-6"/>
          <w:w w:val="95"/>
          <w:kern w:val="0"/>
          <w:sz w:val="21"/>
          <w:highlight w:val="none"/>
          <w:lang w:val="en-US" w:eastAsia="zh-CN"/>
        </w:rPr>
        <w:t>2</w:t>
      </w:r>
      <w:r>
        <w:rPr>
          <w:rFonts w:hint="eastAsia" w:asciiTheme="minorEastAsia" w:hAnsiTheme="minorEastAsia" w:eastAsiaTheme="minorEastAsia" w:cstheme="minorEastAsia"/>
          <w:color w:val="auto"/>
          <w:spacing w:val="-6"/>
          <w:kern w:val="0"/>
          <w:sz w:val="21"/>
          <w:highlight w:val="none"/>
        </w:rPr>
        <w:t>响应方对《响应一览表》中的报价只能提出一个不变报价，采购单位不接受任何有选择的报价。</w:t>
      </w:r>
    </w:p>
    <w:p w14:paraId="303DD0D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在</w:t>
      </w:r>
      <w:r>
        <w:rPr>
          <w:rFonts w:hint="eastAsia" w:asciiTheme="minorEastAsia" w:hAnsiTheme="minorEastAsia" w:eastAsiaTheme="minorEastAsia" w:cstheme="minorEastAsia"/>
          <w:color w:val="auto"/>
          <w:kern w:val="0"/>
          <w:highlight w:val="none"/>
          <w:lang w:eastAsia="zh-CN"/>
        </w:rPr>
        <w:t>采购需求不变的情况下</w:t>
      </w:r>
      <w:r>
        <w:rPr>
          <w:rFonts w:hint="eastAsia" w:asciiTheme="minorEastAsia" w:hAnsiTheme="minorEastAsia" w:eastAsiaTheme="minorEastAsia" w:cstheme="minorEastAsia"/>
          <w:color w:val="auto"/>
          <w:kern w:val="0"/>
          <w:highlight w:val="none"/>
        </w:rPr>
        <w:t>，后轮磋商的价格、服务承诺及优惠条件等必须优于或等于前一轮磋商的价格、服务承诺及优惠条件</w:t>
      </w:r>
      <w:r>
        <w:rPr>
          <w:rFonts w:hint="eastAsia" w:asciiTheme="minorEastAsia" w:hAnsiTheme="minorEastAsia" w:eastAsiaTheme="minorEastAsia" w:cstheme="minorEastAsia"/>
          <w:color w:val="auto"/>
          <w:kern w:val="0"/>
          <w:highlight w:val="none"/>
          <w:lang w:eastAsia="zh-CN"/>
        </w:rPr>
        <w:t>，否者做无效标处理</w:t>
      </w:r>
      <w:r>
        <w:rPr>
          <w:rFonts w:hint="eastAsia" w:asciiTheme="minorEastAsia" w:hAnsiTheme="minorEastAsia" w:eastAsiaTheme="minorEastAsia" w:cstheme="minorEastAsia"/>
          <w:color w:val="auto"/>
          <w:kern w:val="0"/>
          <w:highlight w:val="none"/>
        </w:rPr>
        <w:t>。</w:t>
      </w:r>
    </w:p>
    <w:p w14:paraId="58848A0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 xml:space="preserve"> 文字大写的数据与数字表示有差别，以大写为准。</w:t>
      </w:r>
    </w:p>
    <w:p w14:paraId="53E9EF9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响应方应按上述条款的要求填写，作为磋商小组选定成交方的标准之一，但不能限制采购单位以其它方式签订合同的权力。</w:t>
      </w:r>
    </w:p>
    <w:p w14:paraId="1E5A3ED8">
      <w:pPr>
        <w:keepNext w:val="0"/>
        <w:keepLines w:val="0"/>
        <w:pageBreakBefore w:val="0"/>
        <w:widowControl w:val="0"/>
        <w:kinsoku/>
        <w:wordWrap/>
        <w:overflowPunct/>
        <w:topLinePunct w:val="0"/>
        <w:autoSpaceDE/>
        <w:autoSpaceDN/>
        <w:bidi w:val="0"/>
        <w:adjustRightInd/>
        <w:snapToGrid/>
        <w:spacing w:line="40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2</w:t>
      </w:r>
      <w:r>
        <w:rPr>
          <w:rFonts w:hint="eastAsia" w:asciiTheme="minorEastAsia" w:hAnsiTheme="minorEastAsia" w:eastAsiaTheme="minorEastAsia" w:cstheme="minorEastAsia"/>
          <w:b/>
          <w:bCs/>
          <w:color w:val="auto"/>
          <w:kern w:val="0"/>
          <w:highlight w:val="none"/>
          <w:shd w:val="clear" w:color="auto" w:fill="FFFFFF"/>
        </w:rPr>
        <w:t>、响应文件的编写要求</w:t>
      </w:r>
    </w:p>
    <w:p w14:paraId="2089B146">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.1响应方应按本磋商文件规定的格式和顺序编制、装订响应文件并标注页码，响应文件内容不完整、编排混乱导致响应文件被误读、漏读或者查找不到相关内容的，为供应商的责任。</w:t>
      </w:r>
    </w:p>
    <w:p w14:paraId="537B65C3">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.2 响应文件需打印，且应字迹清楚、内容齐全、表达准确，不应有涂改增删处，如修改时，修改处须有法定代表人或授权委托人签名。</w:t>
      </w:r>
    </w:p>
    <w:p w14:paraId="6E32351A">
      <w:pPr>
        <w:widowControl/>
        <w:spacing w:line="400" w:lineRule="exact"/>
        <w:ind w:firstLine="205" w:firstLineChars="98"/>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w:t>
      </w:r>
      <w:r>
        <w:rPr>
          <w:rFonts w:hint="eastAsia" w:asciiTheme="minorEastAsia" w:hAnsiTheme="minorEastAsia" w:eastAsiaTheme="minorEastAsia" w:cstheme="minorEastAsia"/>
          <w:bCs/>
          <w:color w:val="auto"/>
          <w:kern w:val="0"/>
          <w:highlight w:val="none"/>
          <w:shd w:val="clear" w:color="auto" w:fill="FFFFFF"/>
          <w:lang w:val="en-US" w:eastAsia="zh-CN"/>
        </w:rPr>
        <w:t>2</w:t>
      </w:r>
      <w:r>
        <w:rPr>
          <w:rFonts w:hint="eastAsia" w:asciiTheme="minorEastAsia" w:hAnsiTheme="minorEastAsia" w:eastAsiaTheme="minorEastAsia" w:cstheme="minorEastAsia"/>
          <w:color w:val="auto"/>
          <w:kern w:val="0"/>
          <w:highlight w:val="none"/>
          <w:shd w:val="clear" w:color="auto" w:fill="FFFFFF"/>
        </w:rPr>
        <w:t>.3 保证所提供的全部资料的真实性、完整性及有效性，对磋商文件作出实质性响应。否则，其响应文件可能被拒绝。</w:t>
      </w:r>
    </w:p>
    <w:p w14:paraId="1227D3B6">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3</w:t>
      </w:r>
      <w:r>
        <w:rPr>
          <w:rFonts w:hint="eastAsia" w:asciiTheme="minorEastAsia" w:hAnsiTheme="minorEastAsia" w:eastAsiaTheme="minorEastAsia" w:cstheme="minorEastAsia"/>
          <w:b/>
          <w:bCs/>
          <w:color w:val="auto"/>
          <w:kern w:val="0"/>
          <w:highlight w:val="none"/>
          <w:shd w:val="clear" w:color="auto" w:fill="FFFFFF"/>
        </w:rPr>
        <w:t>、磋商的有效期</w:t>
      </w:r>
    </w:p>
    <w:p w14:paraId="34B20BED">
      <w:pPr>
        <w:widowControl/>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highlight w:val="none"/>
          <w:shd w:val="clear" w:color="auto" w:fill="FFFFFF"/>
        </w:rPr>
        <w:t>响应文件提交截止日起90日内。</w:t>
      </w:r>
    </w:p>
    <w:p w14:paraId="37C5043D">
      <w:pPr>
        <w:widowControl/>
        <w:spacing w:line="400" w:lineRule="exact"/>
        <w:ind w:firstLine="420" w:firstLineChars="200"/>
        <w:jc w:val="left"/>
        <w:rPr>
          <w:rFonts w:asciiTheme="minorEastAsia" w:hAnsiTheme="minorEastAsia" w:eastAsiaTheme="minorEastAsia" w:cstheme="minorEastAsia"/>
          <w:color w:val="auto"/>
          <w:spacing w:val="-8"/>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 xml:space="preserve">.2 </w:t>
      </w:r>
      <w:r>
        <w:rPr>
          <w:rFonts w:hint="eastAsia" w:asciiTheme="minorEastAsia" w:hAnsiTheme="minorEastAsia" w:eastAsiaTheme="minorEastAsia" w:cstheme="minorEastAsia"/>
          <w:color w:val="auto"/>
          <w:spacing w:val="-8"/>
          <w:kern w:val="0"/>
          <w:highlight w:val="none"/>
          <w:shd w:val="clear" w:color="auto" w:fill="FFFFFF"/>
        </w:rPr>
        <w:t>特殊情况下，采购单位可与供应商协商延长磋商有效期。</w:t>
      </w:r>
    </w:p>
    <w:p w14:paraId="3221067B">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bookmarkStart w:id="40" w:name="_Toc333842548"/>
      <w:bookmarkStart w:id="41" w:name="_Toc504642668"/>
      <w:bookmarkStart w:id="42" w:name="_Toc326937534"/>
      <w:bookmarkStart w:id="43" w:name="_Toc393201711"/>
      <w:bookmarkStart w:id="44" w:name="_Toc358384692"/>
      <w:bookmarkStart w:id="45" w:name="_Toc433917264"/>
      <w:r>
        <w:rPr>
          <w:rFonts w:hint="eastAsia" w:ascii="宋体" w:hAnsi="宋体" w:cs="宋体"/>
          <w:b/>
          <w:bCs/>
          <w:color w:val="auto"/>
          <w:kern w:val="0"/>
          <w:sz w:val="28"/>
          <w:szCs w:val="28"/>
          <w:highlight w:val="none"/>
        </w:rPr>
        <w:t>四、响应文件的包装与递交</w:t>
      </w:r>
      <w:bookmarkEnd w:id="40"/>
      <w:bookmarkEnd w:id="41"/>
      <w:bookmarkEnd w:id="42"/>
      <w:bookmarkEnd w:id="43"/>
      <w:bookmarkEnd w:id="44"/>
      <w:bookmarkEnd w:id="45"/>
    </w:p>
    <w:p w14:paraId="4CD43E22">
      <w:pPr>
        <w:widowControl/>
        <w:spacing w:line="400" w:lineRule="exact"/>
        <w:ind w:firstLine="422" w:firstLineChars="20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4</w:t>
      </w:r>
      <w:r>
        <w:rPr>
          <w:rFonts w:hint="eastAsia" w:asciiTheme="minorEastAsia" w:hAnsiTheme="minorEastAsia" w:eastAsiaTheme="minorEastAsia" w:cstheme="minorEastAsia"/>
          <w:b/>
          <w:bCs/>
          <w:color w:val="auto"/>
          <w:kern w:val="0"/>
          <w:highlight w:val="none"/>
          <w:shd w:val="clear" w:color="auto" w:fill="FFFFFF"/>
        </w:rPr>
        <w:t>、 响应文件的签署和份数</w:t>
      </w:r>
    </w:p>
    <w:p w14:paraId="31B91D62">
      <w:pPr>
        <w:tabs>
          <w:tab w:val="left" w:pos="1995"/>
        </w:tabs>
        <w:spacing w:line="400" w:lineRule="exact"/>
        <w:ind w:firstLine="207" w:firstLineChars="98"/>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.1响应文件均须标注正本、副本字样，其中报价文件正本1份、副本4份；技术商务文件正本1份、副本4份；资格证明文件正本1份、副本4份；正本和副本如有差别，以正本为准。</w:t>
      </w:r>
    </w:p>
    <w:p w14:paraId="6035AA71">
      <w:pPr>
        <w:tabs>
          <w:tab w:val="left" w:pos="1995"/>
        </w:tabs>
        <w:spacing w:line="400" w:lineRule="exact"/>
        <w:ind w:firstLine="413" w:firstLineChars="197"/>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.2响应文件须由供应商在规定位置盖章并由法定代表人或授权委托人签字，供应商应写全称</w:t>
      </w:r>
      <w:r>
        <w:rPr>
          <w:rFonts w:hint="eastAsia" w:asciiTheme="minorEastAsia" w:hAnsiTheme="minorEastAsia" w:eastAsiaTheme="minorEastAsia" w:cstheme="minorEastAsia"/>
          <w:color w:val="auto"/>
          <w:kern w:val="0"/>
          <w:highlight w:val="none"/>
          <w:shd w:val="clear" w:color="auto" w:fill="FFFFFF"/>
          <w:lang w:eastAsia="zh-CN"/>
        </w:rPr>
        <w:t>。</w:t>
      </w:r>
    </w:p>
    <w:p w14:paraId="1DB8526E">
      <w:pPr>
        <w:tabs>
          <w:tab w:val="left" w:pos="1995"/>
        </w:tabs>
        <w:spacing w:line="400" w:lineRule="exact"/>
        <w:ind w:firstLine="211" w:firstLineChars="100"/>
        <w:rPr>
          <w:color w:val="auto"/>
          <w:highlight w:val="none"/>
        </w:rPr>
      </w:pP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bCs/>
          <w:color w:val="auto"/>
          <w:kern w:val="0"/>
          <w:highlight w:val="none"/>
          <w:shd w:val="clear" w:color="auto" w:fill="FFFFFF"/>
          <w:lang w:val="en-US" w:eastAsia="zh-CN"/>
        </w:rPr>
        <w:t>14.3</w:t>
      </w:r>
      <w:r>
        <w:rPr>
          <w:rFonts w:hint="default" w:ascii="宋体" w:hAnsi="宋体"/>
          <w:b/>
          <w:color w:val="auto"/>
          <w:sz w:val="21"/>
          <w:highlight w:val="none"/>
        </w:rPr>
        <w:t>响应文件中涉及的资质证书等证明材料须为扫描件，响应文件正本一律使用彩色打印</w:t>
      </w:r>
      <w:r>
        <w:rPr>
          <w:rFonts w:hint="eastAsia" w:ascii="宋体" w:hAnsi="宋体"/>
          <w:b/>
          <w:color w:val="auto"/>
          <w:sz w:val="21"/>
          <w:highlight w:val="none"/>
          <w:lang w:eastAsia="zh-CN"/>
        </w:rPr>
        <w:t>，</w:t>
      </w:r>
      <w:r>
        <w:rPr>
          <w:rFonts w:hint="eastAsia" w:ascii="宋体" w:hAnsi="宋体" w:cs="宋体"/>
          <w:b/>
          <w:bCs/>
          <w:color w:val="auto"/>
          <w:highlight w:val="none"/>
        </w:rPr>
        <w:t>副本可以为正本复印件</w:t>
      </w:r>
      <w:r>
        <w:rPr>
          <w:rFonts w:hint="default" w:ascii="宋体" w:hAnsi="宋体"/>
          <w:b/>
          <w:color w:val="auto"/>
          <w:sz w:val="21"/>
          <w:highlight w:val="none"/>
        </w:rPr>
        <w:t>。</w:t>
      </w:r>
    </w:p>
    <w:p w14:paraId="4E77D807">
      <w:pPr>
        <w:tabs>
          <w:tab w:val="left" w:pos="1995"/>
        </w:tabs>
        <w:spacing w:line="400" w:lineRule="exact"/>
        <w:ind w:firstLine="417" w:firstLineChars="198"/>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1</w:t>
      </w:r>
      <w:r>
        <w:rPr>
          <w:rFonts w:hint="eastAsia" w:asciiTheme="minorEastAsia" w:hAnsiTheme="minorEastAsia" w:eastAsiaTheme="minorEastAsia" w:cstheme="minorEastAsia"/>
          <w:b/>
          <w:color w:val="auto"/>
          <w:kern w:val="0"/>
          <w:highlight w:val="none"/>
          <w:shd w:val="clear" w:color="auto" w:fill="FFFFFF"/>
          <w:lang w:val="en-US" w:eastAsia="zh-CN"/>
        </w:rPr>
        <w:t>5</w:t>
      </w:r>
      <w:r>
        <w:rPr>
          <w:rFonts w:hint="eastAsia" w:asciiTheme="minorEastAsia" w:hAnsiTheme="minorEastAsia" w:eastAsiaTheme="minorEastAsia" w:cstheme="minorEastAsia"/>
          <w:b/>
          <w:color w:val="auto"/>
          <w:kern w:val="0"/>
          <w:highlight w:val="none"/>
          <w:shd w:val="clear" w:color="auto" w:fill="FFFFFF"/>
        </w:rPr>
        <w:t>、响应文件的封装：</w:t>
      </w:r>
    </w:p>
    <w:p w14:paraId="2489D3A1">
      <w:pPr>
        <w:keepNext w:val="0"/>
        <w:keepLines w:val="0"/>
        <w:pageBreakBefore w:val="0"/>
        <w:kinsoku/>
        <w:wordWrap/>
        <w:overflowPunct/>
        <w:topLinePunct w:val="0"/>
        <w:autoSpaceDE/>
        <w:autoSpaceDN/>
        <w:bidi w:val="0"/>
        <w:adjustRightInd/>
        <w:snapToGrid/>
        <w:spacing w:line="400" w:lineRule="exact"/>
        <w:ind w:firstLine="210" w:firstLineChars="1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.1供应商应按资格证明文件、技术商务文件、报价文件三部分单独密封封装响应文件，正本和副本应封装在一个包装袋中</w:t>
      </w:r>
      <w:r>
        <w:rPr>
          <w:rFonts w:hint="eastAsia" w:asciiTheme="minorEastAsia" w:hAnsiTheme="minorEastAsia" w:eastAsiaTheme="minorEastAsia" w:cstheme="minorEastAsia"/>
          <w:bCs/>
          <w:color w:val="auto"/>
          <w:highlight w:val="none"/>
          <w:shd w:val="clear" w:color="auto" w:fill="FFFFFF"/>
        </w:rPr>
        <w:t>。</w:t>
      </w:r>
    </w:p>
    <w:p w14:paraId="7827499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.2包装封套上应注明：</w:t>
      </w:r>
    </w:p>
    <w:p w14:paraId="583656A5">
      <w:pPr>
        <w:keepNext w:val="0"/>
        <w:keepLines w:val="0"/>
        <w:pageBreakBefore w:val="0"/>
        <w:numPr>
          <w:ilvl w:val="0"/>
          <w:numId w:val="3"/>
        </w:numPr>
        <w:kinsoku/>
        <w:wordWrap/>
        <w:overflowPunct/>
        <w:topLinePunct w:val="0"/>
        <w:autoSpaceDE/>
        <w:autoSpaceDN/>
        <w:bidi w:val="0"/>
        <w:adjustRightInd/>
        <w:snapToGrid/>
        <w:spacing w:line="400" w:lineRule="exact"/>
        <w:ind w:firstLine="408"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spacing w:val="-3"/>
          <w:kern w:val="0"/>
          <w:highlight w:val="none"/>
          <w:shd w:val="clear" w:color="auto" w:fill="FFFFFF"/>
        </w:rPr>
        <w:t>开化县钱江源共富农品精深加工项目——物联网数据系统和桐村畈基地水肥一体机（非政府采购）响应文件，并注明资格证明文件、技术商务文件、报价文件</w:t>
      </w:r>
    </w:p>
    <w:p w14:paraId="0684907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highlight w:val="none"/>
          <w:shd w:val="clear" w:color="auto" w:fill="FFFFFF"/>
          <w:lang w:val="en-US" w:eastAsia="zh-CN"/>
        </w:rPr>
      </w:pPr>
      <w:r>
        <w:rPr>
          <w:rFonts w:hint="eastAsia" w:asciiTheme="minorEastAsia" w:hAnsiTheme="minorEastAsia" w:eastAsiaTheme="minorEastAsia" w:cstheme="minorEastAsia"/>
          <w:color w:val="auto"/>
          <w:kern w:val="0"/>
          <w:highlight w:val="none"/>
          <w:shd w:val="clear" w:color="auto" w:fill="FFFFFF"/>
        </w:rPr>
        <w:t>（2）项目编号：</w:t>
      </w:r>
      <w:r>
        <w:rPr>
          <w:rFonts w:hint="eastAsia" w:asciiTheme="minorEastAsia" w:hAnsiTheme="minorEastAsia" w:eastAsiaTheme="minorEastAsia" w:cstheme="minorEastAsia"/>
          <w:color w:val="auto"/>
          <w:kern w:val="0"/>
          <w:highlight w:val="none"/>
          <w:shd w:val="clear" w:color="auto" w:fill="FFFFFF"/>
          <w:lang w:eastAsia="zh-CN"/>
        </w:rPr>
        <w:t>ZJTJKH2024-08-02</w:t>
      </w:r>
    </w:p>
    <w:p w14:paraId="437942F6">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（3）供应商名称：</w:t>
      </w:r>
      <w:r>
        <w:rPr>
          <w:rFonts w:hint="eastAsia" w:asciiTheme="minorEastAsia" w:hAnsiTheme="minorEastAsia" w:eastAsiaTheme="minorEastAsia" w:cstheme="minorEastAsia"/>
          <w:color w:val="auto"/>
          <w:kern w:val="0"/>
          <w:highlight w:val="none"/>
          <w:u w:val="single"/>
          <w:shd w:val="clear" w:color="auto" w:fill="FFFFFF"/>
        </w:rPr>
        <w:t xml:space="preserve">                    （盖公章）</w:t>
      </w:r>
      <w:r>
        <w:rPr>
          <w:rFonts w:hint="eastAsia" w:asciiTheme="minorEastAsia" w:hAnsiTheme="minorEastAsia" w:eastAsiaTheme="minorEastAsia" w:cstheme="minorEastAsia"/>
          <w:color w:val="auto"/>
          <w:kern w:val="0"/>
          <w:highlight w:val="none"/>
          <w:shd w:val="clear" w:color="auto" w:fill="FFFFFF"/>
        </w:rPr>
        <w:t xml:space="preserve"> </w:t>
      </w:r>
    </w:p>
    <w:p w14:paraId="4AD3D376">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default" w:asciiTheme="minorEastAsia" w:hAnsiTheme="minorEastAsia" w:eastAsiaTheme="minorEastAsia" w:cstheme="minorEastAsia"/>
          <w:color w:val="auto"/>
          <w:kern w:val="0"/>
          <w:highlight w:val="none"/>
          <w:shd w:val="clear" w:color="auto" w:fill="FFFFFF"/>
          <w:lang w:val="en-US"/>
        </w:rPr>
        <w:t>4</w:t>
      </w:r>
      <w:r>
        <w:rPr>
          <w:rFonts w:hint="eastAsia" w:asciiTheme="minorEastAsia" w:hAnsiTheme="minorEastAsia" w:eastAsiaTheme="minorEastAsia" w:cstheme="minorEastAsia"/>
          <w:color w:val="auto"/>
          <w:kern w:val="0"/>
          <w:highlight w:val="none"/>
          <w:shd w:val="clear" w:color="auto" w:fill="FFFFFF"/>
        </w:rPr>
        <w:t>）在</w:t>
      </w:r>
      <w:r>
        <w:rPr>
          <w:rFonts w:hint="eastAsia" w:asciiTheme="minorEastAsia" w:hAnsiTheme="minorEastAsia" w:eastAsiaTheme="minorEastAsia" w:cstheme="minorEastAsia"/>
          <w:color w:val="auto"/>
          <w:highlight w:val="none"/>
          <w:u w:val="none"/>
          <w:shd w:val="clear" w:color="auto" w:fill="FFFFFF"/>
          <w:lang w:eastAsia="zh-CN"/>
        </w:rPr>
        <w:t>开标前</w:t>
      </w:r>
      <w:r>
        <w:rPr>
          <w:rFonts w:hint="eastAsia" w:asciiTheme="minorEastAsia" w:hAnsiTheme="minorEastAsia" w:eastAsiaTheme="minorEastAsia" w:cstheme="minorEastAsia"/>
          <w:color w:val="auto"/>
          <w:kern w:val="0"/>
          <w:highlight w:val="none"/>
          <w:shd w:val="clear" w:color="auto" w:fill="FFFFFF"/>
        </w:rPr>
        <w:t>不得开启。</w:t>
      </w:r>
    </w:p>
    <w:p w14:paraId="3CEC9D1B">
      <w:pPr>
        <w:widowControl/>
        <w:spacing w:line="400" w:lineRule="exact"/>
        <w:ind w:firstLine="210" w:firstLineChars="100"/>
        <w:jc w:val="left"/>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.3未按规定密封或标记的响应文件将被拒绝，由此造成响应文件被误投或提前拆封的风险由供应商承担。</w:t>
      </w:r>
    </w:p>
    <w:p w14:paraId="34B56E8F">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6</w:t>
      </w:r>
      <w:r>
        <w:rPr>
          <w:rFonts w:hint="eastAsia" w:asciiTheme="minorEastAsia" w:hAnsiTheme="minorEastAsia" w:eastAsiaTheme="minorEastAsia" w:cstheme="minorEastAsia"/>
          <w:b/>
          <w:bCs/>
          <w:color w:val="auto"/>
          <w:kern w:val="0"/>
          <w:highlight w:val="none"/>
          <w:shd w:val="clear" w:color="auto" w:fill="FFFFFF"/>
        </w:rPr>
        <w:t>、响应截止时间和地址</w:t>
      </w:r>
    </w:p>
    <w:p w14:paraId="0088BC50">
      <w:pPr>
        <w:widowControl/>
        <w:spacing w:line="400" w:lineRule="exact"/>
        <w:ind w:firstLine="395" w:firstLineChars="196"/>
        <w:jc w:val="left"/>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Theme="minorEastAsia" w:hAnsiTheme="minorEastAsia" w:eastAsiaTheme="minorEastAsia" w:cstheme="minorEastAsia"/>
          <w:color w:val="auto"/>
          <w:spacing w:val="-4"/>
          <w:kern w:val="0"/>
          <w:highlight w:val="none"/>
          <w:shd w:val="clear" w:color="auto" w:fill="FFFFFF"/>
          <w:lang w:val="en-US" w:eastAsia="zh-CN"/>
        </w:rPr>
        <w:t>6</w:t>
      </w:r>
      <w:r>
        <w:rPr>
          <w:rFonts w:hint="eastAsia" w:asciiTheme="minorEastAsia" w:hAnsiTheme="minorEastAsia" w:eastAsiaTheme="minorEastAsia" w:cstheme="minorEastAsia"/>
          <w:color w:val="auto"/>
          <w:spacing w:val="-4"/>
          <w:kern w:val="0"/>
          <w:highlight w:val="none"/>
          <w:shd w:val="clear" w:color="auto" w:fill="FFFFFF"/>
        </w:rPr>
        <w:t>.1供应商应当在磋商文件要求的截止时间前，将响应文件密封送达指定地点。在截止时间后送达的响应文件为无效文件，采购单位、采购代理机构或者磋商小组应当拒收。</w:t>
      </w:r>
    </w:p>
    <w:p w14:paraId="3ED3E3C9">
      <w:pPr>
        <w:widowControl/>
        <w:spacing w:line="400" w:lineRule="exact"/>
        <w:ind w:firstLine="395" w:firstLineChars="196"/>
        <w:jc w:val="left"/>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1</w:t>
      </w:r>
      <w:r>
        <w:rPr>
          <w:rFonts w:hint="eastAsia" w:asciiTheme="minorEastAsia" w:hAnsiTheme="minorEastAsia" w:eastAsiaTheme="minorEastAsia" w:cstheme="minorEastAsia"/>
          <w:color w:val="auto"/>
          <w:spacing w:val="-4"/>
          <w:kern w:val="0"/>
          <w:highlight w:val="none"/>
          <w:shd w:val="clear" w:color="auto" w:fill="FFFFFF"/>
          <w:lang w:val="en-US" w:eastAsia="zh-CN"/>
        </w:rPr>
        <w:t>6</w:t>
      </w:r>
      <w:r>
        <w:rPr>
          <w:rFonts w:hint="eastAsia" w:asciiTheme="minorEastAsia" w:hAnsiTheme="minorEastAsia" w:eastAsiaTheme="minorEastAsia" w:cstheme="minorEastAsia"/>
          <w:color w:val="auto"/>
          <w:spacing w:val="-4"/>
          <w:kern w:val="0"/>
          <w:highlight w:val="none"/>
          <w:shd w:val="clear" w:color="auto" w:fill="FFFFFF"/>
        </w:rPr>
        <w:t>.2供应商在提交响应文件截止时间前，可以对所提交的响应文件进行补充、修改或者撤回，并书面通知采购单位、采购代理机构。补充、修改的内容作为响应文件的组成部分。补充、修改的内容与响应文件不一致的，以补充、修改的内容为准。补充、修改后重新递交的响应文件应当按本磋商文件的要求签署、盖章和密封。</w:t>
      </w:r>
    </w:p>
    <w:p w14:paraId="0FAF37E0">
      <w:pPr>
        <w:widowControl/>
        <w:spacing w:line="400" w:lineRule="exact"/>
        <w:ind w:firstLine="395" w:firstLineChars="196"/>
        <w:jc w:val="left"/>
        <w:rPr>
          <w:rFonts w:asciiTheme="minorEastAsia" w:hAnsiTheme="minorEastAsia" w:eastAsiaTheme="minorEastAsia" w:cstheme="minorEastAsia"/>
          <w:color w:val="auto"/>
          <w:spacing w:val="-4"/>
          <w:kern w:val="0"/>
          <w:highlight w:val="none"/>
          <w:shd w:val="clear" w:color="auto" w:fill="FFFFFF"/>
        </w:rPr>
      </w:pPr>
      <w:r>
        <w:rPr>
          <w:rFonts w:hint="eastAsia" w:asciiTheme="minorEastAsia" w:hAnsiTheme="minorEastAsia" w:eastAsiaTheme="minorEastAsia" w:cstheme="minorEastAsia"/>
          <w:color w:val="auto"/>
          <w:spacing w:val="-4"/>
          <w:kern w:val="0"/>
          <w:highlight w:val="none"/>
          <w:shd w:val="clear" w:color="auto" w:fill="FFFFFF"/>
        </w:rPr>
        <w:t xml:space="preserve"> </w:t>
      </w:r>
      <w:r>
        <w:rPr>
          <w:rFonts w:hint="eastAsia" w:asciiTheme="minorEastAsia" w:hAnsiTheme="minorEastAsia" w:eastAsiaTheme="minorEastAsia" w:cstheme="minorEastAsia"/>
          <w:b/>
          <w:bCs/>
          <w:color w:val="auto"/>
          <w:kern w:val="0"/>
          <w:highlight w:val="none"/>
          <w:shd w:val="clear" w:color="auto" w:fill="FFFFFF"/>
        </w:rPr>
        <w:t>1</w:t>
      </w: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color w:val="auto"/>
          <w:kern w:val="0"/>
          <w:highlight w:val="none"/>
          <w:shd w:val="clear" w:color="auto" w:fill="FFFFFF"/>
        </w:rPr>
        <w:t>联合体响应</w:t>
      </w:r>
    </w:p>
    <w:p w14:paraId="7B6A9168">
      <w:pPr>
        <w:spacing w:line="400" w:lineRule="exact"/>
        <w:ind w:firstLine="472" w:firstLineChars="225"/>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本项目不接受联合体响应。</w:t>
      </w:r>
      <w:bookmarkStart w:id="46" w:name="_Toc326937535"/>
      <w:bookmarkStart w:id="47" w:name="_Toc333842549"/>
      <w:bookmarkStart w:id="48" w:name="_Toc358384693"/>
    </w:p>
    <w:p w14:paraId="2A06A50E">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bookmarkStart w:id="49" w:name="_Toc393201712"/>
      <w:bookmarkStart w:id="50" w:name="_Toc433917265"/>
      <w:bookmarkStart w:id="51" w:name="_Toc504642669"/>
      <w:r>
        <w:rPr>
          <w:rFonts w:hint="eastAsia" w:ascii="宋体" w:hAnsi="宋体" w:cs="宋体"/>
          <w:b/>
          <w:bCs/>
          <w:color w:val="auto"/>
          <w:kern w:val="0"/>
          <w:sz w:val="28"/>
          <w:szCs w:val="28"/>
          <w:highlight w:val="none"/>
        </w:rPr>
        <w:t>五、磋商、</w:t>
      </w:r>
      <w:bookmarkEnd w:id="46"/>
      <w:bookmarkEnd w:id="47"/>
      <w:r>
        <w:rPr>
          <w:rFonts w:hint="eastAsia" w:ascii="宋体" w:hAnsi="宋体" w:cs="宋体"/>
          <w:b/>
          <w:bCs/>
          <w:color w:val="auto"/>
          <w:kern w:val="0"/>
          <w:sz w:val="28"/>
          <w:szCs w:val="28"/>
          <w:highlight w:val="none"/>
        </w:rPr>
        <w:t>评审</w:t>
      </w:r>
      <w:bookmarkEnd w:id="48"/>
      <w:bookmarkEnd w:id="49"/>
      <w:bookmarkEnd w:id="50"/>
      <w:bookmarkEnd w:id="51"/>
    </w:p>
    <w:p w14:paraId="0612B8E5">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18</w:t>
      </w:r>
      <w:r>
        <w:rPr>
          <w:rFonts w:hint="eastAsia" w:asciiTheme="minorEastAsia" w:hAnsiTheme="minorEastAsia" w:eastAsiaTheme="minorEastAsia" w:cstheme="minorEastAsia"/>
          <w:b/>
          <w:bCs/>
          <w:color w:val="auto"/>
          <w:kern w:val="0"/>
          <w:highlight w:val="none"/>
          <w:shd w:val="clear" w:color="auto" w:fill="FFFFFF"/>
        </w:rPr>
        <w:t>、磋商会议程序</w:t>
      </w:r>
    </w:p>
    <w:p w14:paraId="3B587709">
      <w:pPr>
        <w:spacing w:line="400" w:lineRule="exact"/>
        <w:ind w:firstLine="420" w:firstLineChars="200"/>
        <w:rPr>
          <w:rFonts w:ascii="宋体" w:hAnsi="宋体" w:cs="宋体"/>
          <w:color w:val="auto"/>
          <w:kern w:val="0"/>
          <w:highlight w:val="none"/>
        </w:rPr>
      </w:pPr>
      <w:r>
        <w:rPr>
          <w:rFonts w:hint="eastAsia" w:ascii="宋体" w:hAnsi="宋体" w:cs="宋体"/>
          <w:color w:val="auto"/>
          <w:kern w:val="2"/>
          <w:sz w:val="21"/>
          <w:szCs w:val="21"/>
          <w:highlight w:val="none"/>
          <w:lang w:val="en-US" w:eastAsia="zh-CN"/>
        </w:rPr>
        <w:t>18</w:t>
      </w:r>
      <w:r>
        <w:rPr>
          <w:rFonts w:hint="eastAsia" w:ascii="宋体" w:hAnsi="宋体" w:cs="宋体"/>
          <w:color w:val="auto"/>
          <w:kern w:val="2"/>
          <w:sz w:val="21"/>
          <w:szCs w:val="21"/>
          <w:highlight w:val="none"/>
        </w:rPr>
        <w:t>.1 本项目实行现场开标，请各供应商准时出席。</w:t>
      </w:r>
    </w:p>
    <w:p w14:paraId="1D31709A">
      <w:pPr>
        <w:spacing w:line="400" w:lineRule="exact"/>
        <w:ind w:firstLine="420" w:firstLineChars="200"/>
        <w:rPr>
          <w:rFonts w:ascii="宋体" w:hAnsi="宋体" w:cs="宋体"/>
          <w:bCs/>
          <w:color w:val="auto"/>
          <w:kern w:val="0"/>
          <w:highlight w:val="none"/>
          <w:shd w:val="clear" w:color="auto" w:fill="FFFFFF"/>
        </w:rPr>
      </w:pPr>
      <w:r>
        <w:rPr>
          <w:rFonts w:hint="eastAsia" w:ascii="宋体" w:hAnsi="宋体" w:cs="宋体"/>
          <w:color w:val="auto"/>
          <w:kern w:val="0"/>
          <w:highlight w:val="none"/>
          <w:lang w:val="en-US" w:eastAsia="zh-CN"/>
        </w:rPr>
        <w:t>18</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开标会由采购代理机构主持，邀请有关监督人员参加。</w:t>
      </w:r>
      <w:r>
        <w:rPr>
          <w:rFonts w:hint="eastAsia" w:ascii="宋体" w:hAnsi="宋体" w:cs="宋体"/>
          <w:color w:val="auto"/>
          <w:kern w:val="0"/>
          <w:highlight w:val="none"/>
          <w:shd w:val="clear" w:color="auto" w:fill="FFFFFF"/>
        </w:rPr>
        <w:t>程序</w:t>
      </w:r>
      <w:r>
        <w:rPr>
          <w:rFonts w:hint="eastAsia" w:ascii="宋体" w:hAnsi="宋体" w:cs="宋体"/>
          <w:bCs/>
          <w:color w:val="auto"/>
          <w:kern w:val="0"/>
          <w:highlight w:val="none"/>
          <w:shd w:val="clear" w:color="auto" w:fill="FFFFFF"/>
        </w:rPr>
        <w:t>如下：</w:t>
      </w:r>
    </w:p>
    <w:p w14:paraId="34A42668">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bCs/>
          <w:color w:val="auto"/>
          <w:highlight w:val="none"/>
          <w:shd w:val="clear" w:color="auto" w:fill="FFFFFF"/>
        </w:rPr>
        <w:t>主持人介绍磋商现场的人员情况，告知供应商代表相关权利、义务、开</w:t>
      </w:r>
      <w:r>
        <w:rPr>
          <w:rFonts w:asciiTheme="minorEastAsia" w:hAnsiTheme="minorEastAsia" w:eastAsiaTheme="minorEastAsia" w:cstheme="minorEastAsia"/>
          <w:bCs/>
          <w:color w:val="auto"/>
          <w:highlight w:val="none"/>
          <w:shd w:val="clear" w:color="auto" w:fill="FFFFFF"/>
        </w:rPr>
        <w:t>评审</w:t>
      </w:r>
      <w:r>
        <w:rPr>
          <w:rFonts w:hint="eastAsia" w:asciiTheme="minorEastAsia" w:hAnsiTheme="minorEastAsia" w:eastAsiaTheme="minorEastAsia" w:cstheme="minorEastAsia"/>
          <w:bCs/>
          <w:color w:val="auto"/>
          <w:highlight w:val="none"/>
          <w:shd w:val="clear" w:color="auto" w:fill="FFFFFF"/>
        </w:rPr>
        <w:t>纪律、应当回避的情形等注意事项，签署不影响公平竞争的《声明书》；</w:t>
      </w:r>
    </w:p>
    <w:p w14:paraId="4A039B1F">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（2）主持人检验响应文件，并宣布检验结果；</w:t>
      </w:r>
    </w:p>
    <w:p w14:paraId="45EFDE70">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shd w:val="clear" w:color="auto" w:fill="FFFFFF"/>
        </w:rPr>
        <w:t>（3）主持人当众启封各供应商资格证明文件，</w:t>
      </w:r>
      <w:r>
        <w:rPr>
          <w:rFonts w:hint="eastAsia" w:asciiTheme="minorEastAsia" w:hAnsiTheme="minorEastAsia" w:eastAsiaTheme="minorEastAsia" w:cstheme="minorEastAsia"/>
          <w:bCs/>
          <w:color w:val="auto"/>
          <w:highlight w:val="none"/>
        </w:rPr>
        <w:t>清点正本、副本数量，</w:t>
      </w:r>
      <w:r>
        <w:rPr>
          <w:rFonts w:hint="eastAsia" w:asciiTheme="minorEastAsia" w:hAnsiTheme="minorEastAsia" w:eastAsiaTheme="minorEastAsia" w:cstheme="minorEastAsia"/>
          <w:color w:val="auto"/>
          <w:kern w:val="0"/>
          <w:highlight w:val="none"/>
        </w:rPr>
        <w:t>提交磋商小组评审（休会）；</w:t>
      </w:r>
    </w:p>
    <w:p w14:paraId="2F441F3F">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（4）公布资格证明文件评审结果；</w:t>
      </w:r>
    </w:p>
    <w:p w14:paraId="13FBC296">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（5）主持人当众启封技术商务文件和报价文件，清点正本、副本数量，提交磋商小组评审；磋商小组分别与供应商就</w:t>
      </w:r>
      <w:r>
        <w:rPr>
          <w:rFonts w:hint="eastAsia" w:asciiTheme="minorEastAsia" w:hAnsiTheme="minorEastAsia" w:eastAsiaTheme="minorEastAsia" w:cstheme="minorEastAsia"/>
          <w:color w:val="auto"/>
          <w:kern w:val="0"/>
          <w:highlight w:val="none"/>
          <w:shd w:val="clear" w:color="auto" w:fill="FFFFFF"/>
          <w:lang w:eastAsia="zh-CN"/>
        </w:rPr>
        <w:t>货物、</w:t>
      </w:r>
      <w:r>
        <w:rPr>
          <w:rFonts w:hint="eastAsia" w:asciiTheme="minorEastAsia" w:hAnsiTheme="minorEastAsia" w:eastAsiaTheme="minorEastAsia" w:cstheme="minorEastAsia"/>
          <w:color w:val="auto"/>
          <w:kern w:val="0"/>
          <w:highlight w:val="none"/>
          <w:shd w:val="clear" w:color="auto" w:fill="FFFFFF"/>
        </w:rPr>
        <w:t>价格、服务等认为需要磋商的内容进行磋商。逐家磋商为一个轮次，磋商轮次由磋商小组视情况决定；</w:t>
      </w:r>
    </w:p>
    <w:p w14:paraId="0E6A863A">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C2F1127">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（7）由主持人宣布各供应商首次报价、技术资信得分与最后报价、总得分；</w:t>
      </w:r>
    </w:p>
    <w:p w14:paraId="1283D646">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（8）磋商小组按磋商办法和细则规定推荐成交候选人；</w:t>
      </w:r>
    </w:p>
    <w:p w14:paraId="0EFFD49C">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（9）主持人宣读评审结果；</w:t>
      </w:r>
    </w:p>
    <w:p w14:paraId="25229D1D">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（10）磋商会议结束。</w:t>
      </w:r>
    </w:p>
    <w:p w14:paraId="30D1BAFA">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19</w:t>
      </w:r>
      <w:r>
        <w:rPr>
          <w:rFonts w:hint="eastAsia" w:asciiTheme="minorEastAsia" w:hAnsiTheme="minorEastAsia" w:eastAsiaTheme="minorEastAsia" w:cstheme="minorEastAsia"/>
          <w:b/>
          <w:bCs/>
          <w:color w:val="auto"/>
          <w:kern w:val="0"/>
          <w:highlight w:val="none"/>
          <w:shd w:val="clear" w:color="auto" w:fill="FFFFFF"/>
        </w:rPr>
        <w:t>、</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75907C3F">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19</w:t>
      </w:r>
      <w:r>
        <w:rPr>
          <w:rFonts w:hint="eastAsia" w:asciiTheme="minorEastAsia" w:hAnsiTheme="minorEastAsia" w:eastAsiaTheme="minorEastAsia" w:cstheme="minorEastAsia"/>
          <w:color w:val="auto"/>
          <w:kern w:val="0"/>
          <w:highlight w:val="none"/>
          <w:shd w:val="clear" w:color="auto" w:fill="FFFFFF"/>
        </w:rPr>
        <w:t>.1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由采购单位代表和评审专家组成，成员人数</w:t>
      </w:r>
      <w:r>
        <w:rPr>
          <w:rFonts w:hint="eastAsia" w:asciiTheme="minorEastAsia" w:hAnsiTheme="minorEastAsia" w:eastAsiaTheme="minorEastAsia" w:cstheme="minorEastAsia"/>
          <w:color w:val="auto"/>
          <w:kern w:val="0"/>
          <w:highlight w:val="none"/>
          <w:shd w:val="clear" w:color="auto" w:fill="FFFFFF"/>
        </w:rPr>
        <w:t>为</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42961360">
      <w:pPr>
        <w:spacing w:line="400" w:lineRule="exact"/>
        <w:ind w:firstLine="420"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19</w:t>
      </w: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成员推荐产生，采购单位代表不得担任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415D8291">
      <w:pPr>
        <w:spacing w:line="400" w:lineRule="exact"/>
        <w:ind w:firstLine="422" w:firstLineChars="200"/>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0</w:t>
      </w:r>
      <w:r>
        <w:rPr>
          <w:rFonts w:hint="eastAsia" w:asciiTheme="minorEastAsia" w:hAnsiTheme="minorEastAsia" w:eastAsiaTheme="minorEastAsia" w:cstheme="minorEastAsia"/>
          <w:b/>
          <w:bCs/>
          <w:color w:val="auto"/>
          <w:kern w:val="0"/>
          <w:highlight w:val="none"/>
          <w:shd w:val="clear" w:color="auto" w:fill="FFFFFF"/>
        </w:rPr>
        <w:t>、</w:t>
      </w:r>
      <w:bookmarkStart w:id="52"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2"/>
    </w:p>
    <w:p w14:paraId="6E8D75EF">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1磋商小组评审供应商所递交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bCs/>
          <w:color w:val="auto"/>
          <w:kern w:val="0"/>
          <w:highlight w:val="none"/>
          <w:shd w:val="clear" w:color="auto" w:fill="FFFFFF"/>
        </w:rPr>
        <w:t>或者采购代理机构说明情况。</w:t>
      </w:r>
    </w:p>
    <w:p w14:paraId="15E12AE2">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.2磋商小组所有成员集中与单一供应商分别进行磋商，所有参加磋商的供应商均有同等的磋商机会。</w:t>
      </w:r>
    </w:p>
    <w:p w14:paraId="4C012801">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.3磋商过程中，磋商小组可根据磋商文件和磋商情况实质性变动采购需求中的技术、服务要求以及合同草案条款。实质性变动是磋商文件的有效组成部分，磋商小组将以书面形式通知所有参加磋商的供应商。</w:t>
      </w:r>
    </w:p>
    <w:p w14:paraId="7B5B4EC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.4供应商应当按照磋商文件的变动情况和磋商小组的要求重新提交响应文件，并由其法定代表人或授权委托人签字或者加盖公章。</w:t>
      </w:r>
    </w:p>
    <w:p w14:paraId="502D5DE3">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.5磋商结束后，磋商小组将要求所有继续参加磋商的供应商在规定时间内提交最后报价。最后报价由其法定代表人或授权委托人签字或者加盖公章，最后报价是供应商响应文件的有效组成部分。</w:t>
      </w:r>
    </w:p>
    <w:p w14:paraId="079F955A">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.6如磋商文件有实质性的变动，已提交响应文件的供应商，在提交最后报价之前，可以根据磋商情况退出磋商。</w:t>
      </w:r>
    </w:p>
    <w:p w14:paraId="17D20831">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.7经磋商确定最终采购需求和提交最后报价的供应商后，由磋商小组采用综合评分法对提交最后报价的供应商的响应文件和最后报价进行综合评分。</w:t>
      </w:r>
    </w:p>
    <w:p w14:paraId="51624267">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w:t>
      </w:r>
      <w:r>
        <w:rPr>
          <w:rFonts w:hint="eastAsia" w:asciiTheme="minorEastAsia" w:hAnsiTheme="minorEastAsia" w:eastAsiaTheme="minorEastAsia" w:cstheme="minorEastAsia"/>
          <w:bCs/>
          <w:color w:val="auto"/>
          <w:kern w:val="0"/>
          <w:highlight w:val="none"/>
          <w:shd w:val="clear" w:color="auto" w:fill="FFFFFF"/>
          <w:lang w:val="en-US" w:eastAsia="zh-CN"/>
        </w:rPr>
        <w:t>0</w:t>
      </w:r>
      <w:r>
        <w:rPr>
          <w:rFonts w:hint="eastAsia" w:asciiTheme="minorEastAsia" w:hAnsiTheme="minorEastAsia" w:eastAsiaTheme="minorEastAsia" w:cstheme="minorEastAsia"/>
          <w:bCs/>
          <w:color w:val="auto"/>
          <w:kern w:val="0"/>
          <w:highlight w:val="none"/>
          <w:shd w:val="clear" w:color="auto" w:fill="FFFFFF"/>
        </w:rPr>
        <w:t>.8磋商小组应当根据综合评分情况，按照评审得分由高到低顺序推荐1名成交候选供应商，并编写评审报告。磋商小组全体人员须在评审报告上签字确认。</w:t>
      </w:r>
    </w:p>
    <w:p w14:paraId="7C7769DA">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w:t>
      </w:r>
      <w:r>
        <w:rPr>
          <w:rFonts w:hint="eastAsia" w:asciiTheme="minorEastAsia" w:hAnsiTheme="minorEastAsia" w:eastAsiaTheme="minorEastAsia" w:cstheme="minorEastAsia"/>
          <w:b/>
          <w:color w:val="auto"/>
          <w:kern w:val="0"/>
          <w:highlight w:val="none"/>
          <w:lang w:val="en-US" w:eastAsia="zh-CN"/>
        </w:rPr>
        <w:t>1</w:t>
      </w:r>
      <w:r>
        <w:rPr>
          <w:rFonts w:hint="eastAsia" w:asciiTheme="minorEastAsia" w:hAnsiTheme="minorEastAsia" w:eastAsiaTheme="minorEastAsia" w:cstheme="minorEastAsia"/>
          <w:b/>
          <w:color w:val="auto"/>
          <w:kern w:val="0"/>
          <w:highlight w:val="none"/>
        </w:rPr>
        <w:t>、评审原则</w:t>
      </w:r>
    </w:p>
    <w:p w14:paraId="6801479B">
      <w:pPr>
        <w:pStyle w:val="15"/>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的正常进行；磋商小组及有关工作人员不得私下与响应方接触。</w:t>
      </w:r>
    </w:p>
    <w:p w14:paraId="55E481EF">
      <w:pPr>
        <w:pStyle w:val="15"/>
        <w:spacing w:line="400" w:lineRule="exact"/>
        <w:ind w:firstLine="411" w:firstLineChars="196"/>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.2</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中因磋商小组成员缺席、回避或者健康等特殊原因导致磋商小组组成不符合本办法规定的，采购单位或者采购代理机构应当依法补足后继续</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。被更换的磋商小组成员所作出的</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意见无效</w:t>
      </w:r>
      <w:r>
        <w:rPr>
          <w:rFonts w:hint="eastAsia" w:asciiTheme="minorEastAsia" w:hAnsiTheme="minorEastAsia" w:eastAsiaTheme="minorEastAsia" w:cstheme="minorEastAsia"/>
          <w:bCs/>
          <w:color w:val="auto"/>
          <w:highlight w:val="none"/>
        </w:rPr>
        <w:t>，由更换后的磋商小组重新进行评审。</w:t>
      </w:r>
      <w:r>
        <w:rPr>
          <w:rFonts w:hint="eastAsia" w:asciiTheme="minorEastAsia" w:hAnsiTheme="minorEastAsia" w:eastAsiaTheme="minorEastAsia" w:cstheme="minorEastAsia"/>
          <w:color w:val="auto"/>
          <w:highlight w:val="none"/>
        </w:rPr>
        <w:t>无法及时补足磋商小组成员的，应当停止</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活动，封存所有响应文件和磋商、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资料</w:t>
      </w:r>
      <w:r>
        <w:rPr>
          <w:rFonts w:hint="eastAsia" w:asciiTheme="minorEastAsia" w:hAnsiTheme="minorEastAsia" w:eastAsiaTheme="minorEastAsia" w:cstheme="minorEastAsia"/>
          <w:bCs/>
          <w:color w:val="auto"/>
          <w:highlight w:val="none"/>
        </w:rPr>
        <w:t>，并告知供应商择期重新评审的时间和地点。</w:t>
      </w:r>
    </w:p>
    <w:p w14:paraId="7D151B7C">
      <w:pPr>
        <w:pStyle w:val="15"/>
        <w:spacing w:line="400" w:lineRule="exact"/>
        <w:ind w:firstLine="411" w:firstLineChars="196"/>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.3磋商小组判断响应文件的响应性，仅基于响应文件本身而不靠外部证据。</w:t>
      </w:r>
    </w:p>
    <w:p w14:paraId="36268149">
      <w:pPr>
        <w:pStyle w:val="15"/>
        <w:spacing w:line="400" w:lineRule="exact"/>
        <w:ind w:firstLine="411"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.4</w:t>
      </w:r>
      <w:r>
        <w:rPr>
          <w:rFonts w:hint="eastAsia" w:asciiTheme="minorEastAsia" w:hAnsiTheme="minorEastAsia" w:eastAsiaTheme="minorEastAsia" w:cstheme="minorEastAsia"/>
          <w:color w:val="auto"/>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794FBF37">
      <w:pPr>
        <w:pStyle w:val="15"/>
        <w:spacing w:line="400" w:lineRule="exact"/>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rPr>
        <w:t>.5磋商小组发现采购文件存在歧义、重大缺陷导致</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工作无法进行，或者采购文件内容违反国家有关强制性规定的，应当停止</w:t>
      </w:r>
      <w:r>
        <w:rPr>
          <w:rFonts w:asciiTheme="minorEastAsia" w:hAnsiTheme="minorEastAsia" w:eastAsiaTheme="minorEastAsia" w:cstheme="minorEastAsia"/>
          <w:bCs/>
          <w:color w:val="auto"/>
          <w:highlight w:val="none"/>
        </w:rPr>
        <w:t>评审</w:t>
      </w:r>
      <w:r>
        <w:rPr>
          <w:rFonts w:hint="eastAsia" w:asciiTheme="minorEastAsia" w:hAnsiTheme="minorEastAsia" w:eastAsiaTheme="minorEastAsia" w:cstheme="minorEastAsia"/>
          <w:bCs/>
          <w:color w:val="auto"/>
          <w:highlight w:val="none"/>
        </w:rPr>
        <w:t>工作，与采购单位或者采购代理机构沟通并作书面记录。</w:t>
      </w:r>
    </w:p>
    <w:p w14:paraId="07938494">
      <w:pPr>
        <w:spacing w:line="400" w:lineRule="exact"/>
        <w:ind w:firstLine="413" w:firstLineChars="196"/>
        <w:rPr>
          <w:rFonts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bCs/>
          <w:color w:val="auto"/>
          <w:kern w:val="0"/>
          <w:highlight w:val="none"/>
        </w:rPr>
        <w:t>2</w:t>
      </w:r>
      <w:r>
        <w:rPr>
          <w:rFonts w:hint="eastAsia" w:asciiTheme="minorEastAsia" w:hAnsiTheme="minorEastAsia" w:eastAsiaTheme="minorEastAsia" w:cstheme="minorEastAsia"/>
          <w:b/>
          <w:bCs/>
          <w:color w:val="auto"/>
          <w:kern w:val="0"/>
          <w:highlight w:val="none"/>
          <w:lang w:val="en-US" w:eastAsia="zh-CN"/>
        </w:rPr>
        <w:t>2</w:t>
      </w:r>
      <w:r>
        <w:rPr>
          <w:rFonts w:hint="eastAsia" w:asciiTheme="minorEastAsia" w:hAnsiTheme="minorEastAsia" w:eastAsiaTheme="minorEastAsia" w:cstheme="minorEastAsia"/>
          <w:b/>
          <w:bCs/>
          <w:color w:val="auto"/>
          <w:kern w:val="0"/>
          <w:highlight w:val="none"/>
        </w:rPr>
        <w:t>、响应文件的澄清</w:t>
      </w:r>
    </w:p>
    <w:p w14:paraId="037A0602">
      <w:pPr>
        <w:pStyle w:val="9"/>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ACF780">
      <w:pPr>
        <w:pStyle w:val="9"/>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047D4DAC">
      <w:pPr>
        <w:spacing w:line="400" w:lineRule="exact"/>
        <w:ind w:firstLine="413" w:firstLineChars="196"/>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2</w:t>
      </w:r>
      <w:r>
        <w:rPr>
          <w:rFonts w:hint="eastAsia" w:asciiTheme="minorEastAsia" w:hAnsiTheme="minorEastAsia" w:eastAsiaTheme="minorEastAsia" w:cstheme="minorEastAsia"/>
          <w:b/>
          <w:bCs/>
          <w:color w:val="auto"/>
          <w:kern w:val="0"/>
          <w:highlight w:val="none"/>
          <w:lang w:val="en-US" w:eastAsia="zh-CN"/>
        </w:rPr>
        <w:t>3</w:t>
      </w:r>
      <w:r>
        <w:rPr>
          <w:rFonts w:hint="eastAsia" w:asciiTheme="minorEastAsia" w:hAnsiTheme="minorEastAsia" w:eastAsiaTheme="minorEastAsia" w:cstheme="minorEastAsia"/>
          <w:b/>
          <w:bCs/>
          <w:color w:val="auto"/>
          <w:kern w:val="0"/>
          <w:highlight w:val="none"/>
        </w:rPr>
        <w:t>、响应文件的错误修正</w:t>
      </w:r>
    </w:p>
    <w:p w14:paraId="639C6879">
      <w:pPr>
        <w:pStyle w:val="9"/>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响应文件报价出现前后不一致的，按照下列规定修正：</w:t>
      </w:r>
    </w:p>
    <w:p w14:paraId="5C7BAD3E">
      <w:pPr>
        <w:pStyle w:val="9"/>
        <w:spacing w:line="40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（一）响应文件中响应一览表（报价表）内容与响应文件中相应内容不一致的，以响应一览表（报价表）为准；</w:t>
      </w:r>
    </w:p>
    <w:p w14:paraId="013F4452">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（二）大写金额和小写金额不一致的，以大写金额为准；</w:t>
      </w:r>
    </w:p>
    <w:p w14:paraId="3DBEA602">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（三）单价金额小数点或者百分比有明显错位的，以响应一览表的总价为准，并修改单价；</w:t>
      </w:r>
    </w:p>
    <w:p w14:paraId="4164351F">
      <w:pPr>
        <w:spacing w:line="4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（四）总价金额与按单价汇总金额不一致的，以单价金额计算结果为准。</w:t>
      </w:r>
    </w:p>
    <w:p w14:paraId="06322AE8">
      <w:pPr>
        <w:spacing w:line="400" w:lineRule="exact"/>
        <w:ind w:firstLine="420" w:firstLineChars="200"/>
        <w:rPr>
          <w:rFonts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color w:val="auto"/>
          <w:highlight w:val="none"/>
        </w:rPr>
        <w:t>同时出现两种以上不一致的，按照前款规定的顺序修正。修正后的报价经响应方确认后产生约束力，响应方不确认的，其响应无效。</w:t>
      </w:r>
    </w:p>
    <w:p w14:paraId="6F41AF63">
      <w:pPr>
        <w:spacing w:line="400" w:lineRule="exact"/>
        <w:ind w:firstLine="413" w:firstLineChars="196"/>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4</w:t>
      </w:r>
      <w:r>
        <w:rPr>
          <w:rFonts w:hint="eastAsia" w:asciiTheme="minorEastAsia" w:hAnsiTheme="minorEastAsia" w:eastAsiaTheme="minorEastAsia" w:cstheme="minorEastAsia"/>
          <w:b/>
          <w:bCs/>
          <w:color w:val="auto"/>
          <w:kern w:val="0"/>
          <w:highlight w:val="none"/>
          <w:shd w:val="clear" w:color="auto" w:fill="FFFFFF"/>
        </w:rPr>
        <w:t>、磋商办法</w:t>
      </w:r>
    </w:p>
    <w:p w14:paraId="0744C456">
      <w:pPr>
        <w:spacing w:line="400" w:lineRule="exact"/>
        <w:ind w:firstLine="420" w:firstLineChars="200"/>
        <w:rPr>
          <w:rFonts w:asciiTheme="minorEastAsia" w:hAnsi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highlight w:val="none"/>
        </w:rPr>
        <w:t>采用综合评分法的，满分为100分，其中报价分值</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w:t>
      </w:r>
      <w:r>
        <w:rPr>
          <w:rStyle w:val="59"/>
          <w:rFonts w:hint="eastAsia" w:asciiTheme="minorEastAsia" w:hAnsiTheme="minorEastAsia" w:eastAsiaTheme="minorEastAsia" w:cstheme="minorEastAsia"/>
          <w:color w:val="auto"/>
          <w:highlight w:val="none"/>
          <w:shd w:val="clear" w:color="auto" w:fill="FFFFFF"/>
          <w:lang w:eastAsia="zh-CN"/>
        </w:rPr>
        <w:t>资信及技术</w:t>
      </w:r>
      <w:r>
        <w:rPr>
          <w:rFonts w:hint="eastAsia" w:asciiTheme="minorEastAsia" w:hAnsiTheme="minorEastAsia" w:eastAsiaTheme="minorEastAsia" w:cstheme="minorEastAsia"/>
          <w:color w:val="auto"/>
          <w:highlight w:val="none"/>
        </w:rPr>
        <w:t>等分值</w:t>
      </w:r>
      <w:r>
        <w:rPr>
          <w:rFonts w:hint="eastAsia" w:asciiTheme="minorEastAsia" w:hAnsiTheme="minorEastAsia" w:eastAsiaTheme="minorEastAsia" w:cstheme="minorEastAsia"/>
          <w:color w:val="auto"/>
          <w:highlight w:val="none"/>
          <w:lang w:val="en-US" w:eastAsia="zh-CN"/>
        </w:rPr>
        <w:t>70</w:t>
      </w:r>
      <w:r>
        <w:rPr>
          <w:rFonts w:hint="eastAsia" w:asciiTheme="minorEastAsia" w:hAnsiTheme="minorEastAsia" w:eastAsiaTheme="minorEastAsia" w:cstheme="minorEastAsia"/>
          <w:color w:val="auto"/>
          <w:highlight w:val="none"/>
        </w:rPr>
        <w:t>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结果按评审后得分由高到低顺序排列，响应文件满足采购文件全部实质性要求，且按照评审因素的量化指标评审得分最高的响应方为排名第一的成交候选人。</w:t>
      </w:r>
      <w:r>
        <w:rPr>
          <w:rFonts w:ascii="Arial" w:hAnsi="Arial" w:cs="Arial"/>
          <w:color w:val="auto"/>
          <w:highlight w:val="none"/>
          <w:shd w:val="clear" w:color="auto" w:fill="FFFFFF"/>
        </w:rPr>
        <w:t>评审得分相同的，按照最后报价由低到高的顺序推荐。评审得分且最后报价相同的，按照技术指标优劣顺序推荐</w:t>
      </w:r>
      <w:r>
        <w:rPr>
          <w:rFonts w:hint="eastAsia" w:ascii="Arial" w:hAnsi="Arial" w:cs="Arial"/>
          <w:color w:val="auto"/>
          <w:highlight w:val="none"/>
          <w:shd w:val="clear" w:color="auto" w:fill="FFFFFF"/>
        </w:rPr>
        <w:t>，再相同，由采购人抽签产生。</w:t>
      </w:r>
    </w:p>
    <w:p w14:paraId="22D37BB7">
      <w:pPr>
        <w:spacing w:line="400" w:lineRule="exact"/>
        <w:ind w:firstLine="420" w:firstLineChars="20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4</w:t>
      </w:r>
      <w:r>
        <w:rPr>
          <w:rFonts w:hint="eastAsia" w:asciiTheme="minorEastAsia" w:hAnsiTheme="minorEastAsia" w:eastAsiaTheme="minorEastAsia" w:cstheme="minorEastAsia"/>
          <w:color w:val="auto"/>
          <w:kern w:val="0"/>
          <w:highlight w:val="none"/>
        </w:rPr>
        <w:t>.1.1综合评分法中的价格分统一采用低价优先法计算。</w:t>
      </w:r>
    </w:p>
    <w:p w14:paraId="0768CABF">
      <w:pPr>
        <w:spacing w:line="400" w:lineRule="exact"/>
        <w:ind w:firstLine="420" w:firstLineChars="200"/>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.2评分标准表：</w:t>
      </w:r>
    </w:p>
    <w:tbl>
      <w:tblPr>
        <w:tblStyle w:val="32"/>
        <w:tblW w:w="9572"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28" w:type="dxa"/>
          <w:bottom w:w="0" w:type="dxa"/>
          <w:right w:w="28" w:type="dxa"/>
        </w:tblCellMar>
      </w:tblPr>
      <w:tblGrid>
        <w:gridCol w:w="482"/>
        <w:gridCol w:w="1320"/>
        <w:gridCol w:w="6045"/>
        <w:gridCol w:w="795"/>
        <w:gridCol w:w="930"/>
      </w:tblGrid>
      <w:tr w14:paraId="1F3256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644"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63F51305">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20" w:type="dxa"/>
            <w:tcBorders>
              <w:top w:val="single" w:color="000000" w:sz="4" w:space="0"/>
              <w:left w:val="nil"/>
              <w:bottom w:val="single" w:color="000000" w:sz="4" w:space="0"/>
              <w:right w:val="single" w:color="000000" w:sz="4" w:space="0"/>
            </w:tcBorders>
            <w:noWrap w:val="0"/>
            <w:vAlign w:val="center"/>
          </w:tcPr>
          <w:p w14:paraId="3F96190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6045" w:type="dxa"/>
            <w:tcBorders>
              <w:top w:val="single" w:color="000000" w:sz="4" w:space="0"/>
              <w:left w:val="nil"/>
              <w:bottom w:val="single" w:color="000000" w:sz="4" w:space="0"/>
              <w:right w:val="single" w:color="000000" w:sz="4" w:space="0"/>
            </w:tcBorders>
            <w:noWrap w:val="0"/>
            <w:vAlign w:val="center"/>
          </w:tcPr>
          <w:p w14:paraId="3C68C32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95" w:type="dxa"/>
            <w:tcBorders>
              <w:top w:val="single" w:color="000000" w:sz="4" w:space="0"/>
              <w:left w:val="nil"/>
              <w:bottom w:val="single" w:color="000000" w:sz="4" w:space="0"/>
              <w:right w:val="single" w:color="000000" w:sz="4" w:space="0"/>
            </w:tcBorders>
            <w:noWrap w:val="0"/>
            <w:vAlign w:val="center"/>
          </w:tcPr>
          <w:p w14:paraId="23DC3538">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930" w:type="dxa"/>
            <w:tcBorders>
              <w:top w:val="single" w:color="000000" w:sz="4" w:space="0"/>
              <w:left w:val="nil"/>
              <w:bottom w:val="single" w:color="000000" w:sz="4" w:space="0"/>
              <w:right w:val="single" w:color="000000" w:sz="4" w:space="0"/>
            </w:tcBorders>
            <w:noWrap w:val="0"/>
            <w:vAlign w:val="center"/>
          </w:tcPr>
          <w:p w14:paraId="3FC4699F">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分值类型</w:t>
            </w:r>
          </w:p>
        </w:tc>
      </w:tr>
      <w:tr w14:paraId="3B33A16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229"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685135F1">
            <w:pPr>
              <w:pStyle w:val="11"/>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320" w:type="dxa"/>
            <w:tcBorders>
              <w:top w:val="single" w:color="000000" w:sz="4" w:space="0"/>
              <w:left w:val="nil"/>
              <w:bottom w:val="single" w:color="000000" w:sz="4" w:space="0"/>
              <w:right w:val="single" w:color="000000" w:sz="4" w:space="0"/>
            </w:tcBorders>
            <w:noWrap w:val="0"/>
            <w:vAlign w:val="center"/>
          </w:tcPr>
          <w:p w14:paraId="50BA9E78">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045" w:type="dxa"/>
            <w:tcBorders>
              <w:top w:val="single" w:color="000000" w:sz="4" w:space="0"/>
              <w:left w:val="nil"/>
              <w:bottom w:val="single" w:color="000000" w:sz="4" w:space="0"/>
              <w:right w:val="single" w:color="000000" w:sz="4" w:space="0"/>
            </w:tcBorders>
            <w:noWrap w:val="0"/>
            <w:vAlign w:val="center"/>
          </w:tcPr>
          <w:p w14:paraId="06D6D8B7">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响应人自2019年7月1日起（以合同签订时间为准）具备数字农业建设相关成功经验业绩，每提供1个得1分，最多得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7197333">
            <w:pPr>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注：投标人须提供</w:t>
            </w:r>
            <w:r>
              <w:rPr>
                <w:rFonts w:hint="eastAsia" w:ascii="宋体" w:hAnsi="宋体" w:cs="宋体"/>
                <w:b/>
                <w:bCs/>
                <w:color w:val="auto"/>
                <w:sz w:val="21"/>
                <w:szCs w:val="21"/>
                <w:highlight w:val="none"/>
                <w:lang w:val="en-US" w:eastAsia="zh-CN"/>
              </w:rPr>
              <w:t>中标通知书、采购</w:t>
            </w:r>
            <w:r>
              <w:rPr>
                <w:rFonts w:hint="eastAsia" w:ascii="宋体" w:hAnsi="宋体" w:eastAsia="宋体" w:cs="宋体"/>
                <w:b/>
                <w:bCs/>
                <w:color w:val="auto"/>
                <w:sz w:val="21"/>
                <w:szCs w:val="21"/>
                <w:highlight w:val="none"/>
                <w:lang w:val="en-US" w:eastAsia="zh-CN"/>
              </w:rPr>
              <w:t xml:space="preserve">合同复印件加盖公章，未提供不得分。 </w:t>
            </w:r>
            <w:r>
              <w:rPr>
                <w:rFonts w:hint="default"/>
                <w:b/>
                <w:bCs/>
                <w:color w:val="auto"/>
                <w:sz w:val="21"/>
                <w:szCs w:val="21"/>
                <w:highlight w:val="none"/>
              </w:rPr>
              <w:t>如上述资料均未体现主要</w:t>
            </w:r>
            <w:r>
              <w:rPr>
                <w:rFonts w:hint="eastAsia" w:ascii="宋体" w:hAnsi="宋体" w:eastAsia="宋体" w:cs="宋体"/>
                <w:b/>
                <w:bCs/>
                <w:color w:val="auto"/>
                <w:sz w:val="21"/>
                <w:szCs w:val="21"/>
                <w:highlight w:val="none"/>
                <w:lang w:val="en-US" w:eastAsia="zh-CN"/>
              </w:rPr>
              <w:t>经验业绩</w:t>
            </w:r>
            <w:r>
              <w:rPr>
                <w:rFonts w:hint="default"/>
                <w:b/>
                <w:bCs/>
                <w:color w:val="auto"/>
                <w:sz w:val="21"/>
                <w:szCs w:val="21"/>
                <w:highlight w:val="none"/>
              </w:rPr>
              <w:t>内容的，必须附</w:t>
            </w:r>
            <w:r>
              <w:rPr>
                <w:rFonts w:hint="eastAsia"/>
                <w:b/>
                <w:bCs/>
                <w:color w:val="auto"/>
                <w:sz w:val="21"/>
                <w:szCs w:val="21"/>
                <w:highlight w:val="none"/>
                <w:lang w:val="en-US" w:eastAsia="zh-CN"/>
              </w:rPr>
              <w:t>采购单位</w:t>
            </w:r>
            <w:r>
              <w:rPr>
                <w:rFonts w:hint="default"/>
                <w:b/>
                <w:bCs/>
                <w:color w:val="auto"/>
                <w:sz w:val="21"/>
                <w:szCs w:val="21"/>
                <w:highlight w:val="none"/>
              </w:rPr>
              <w:t>出具的证明材料，否则业绩不予认可。</w:t>
            </w:r>
          </w:p>
        </w:tc>
        <w:tc>
          <w:tcPr>
            <w:tcW w:w="795" w:type="dxa"/>
            <w:tcBorders>
              <w:top w:val="single" w:color="000000" w:sz="4" w:space="0"/>
              <w:left w:val="nil"/>
              <w:bottom w:val="single" w:color="000000" w:sz="4" w:space="0"/>
              <w:right w:val="single" w:color="000000" w:sz="4" w:space="0"/>
            </w:tcBorders>
            <w:noWrap w:val="0"/>
            <w:vAlign w:val="center"/>
          </w:tcPr>
          <w:p w14:paraId="1788000B">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930" w:type="dxa"/>
            <w:tcBorders>
              <w:top w:val="single" w:color="000000" w:sz="4" w:space="0"/>
              <w:left w:val="nil"/>
              <w:bottom w:val="single" w:color="000000" w:sz="4" w:space="0"/>
              <w:right w:val="single" w:color="000000" w:sz="4" w:space="0"/>
            </w:tcBorders>
            <w:noWrap w:val="0"/>
            <w:vAlign w:val="center"/>
          </w:tcPr>
          <w:p w14:paraId="3518FDBD">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客观分</w:t>
            </w:r>
          </w:p>
        </w:tc>
      </w:tr>
      <w:tr w14:paraId="4CC070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7DE6DD88">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20" w:type="dxa"/>
            <w:tcBorders>
              <w:top w:val="single" w:color="000000" w:sz="4" w:space="0"/>
              <w:left w:val="nil"/>
              <w:bottom w:val="single" w:color="000000" w:sz="4" w:space="0"/>
              <w:right w:val="single" w:color="000000" w:sz="4" w:space="0"/>
            </w:tcBorders>
            <w:noWrap w:val="0"/>
            <w:vAlign w:val="center"/>
          </w:tcPr>
          <w:p w14:paraId="2B855D55">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基本技术</w:t>
            </w:r>
          </w:p>
          <w:p w14:paraId="661DD272">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参数</w:t>
            </w:r>
          </w:p>
        </w:tc>
        <w:tc>
          <w:tcPr>
            <w:tcW w:w="6045" w:type="dxa"/>
            <w:tcBorders>
              <w:top w:val="single" w:color="000000" w:sz="4" w:space="0"/>
              <w:left w:val="nil"/>
              <w:bottom w:val="single" w:color="000000" w:sz="4" w:space="0"/>
              <w:right w:val="single" w:color="000000" w:sz="4" w:space="0"/>
            </w:tcBorders>
            <w:noWrap w:val="0"/>
            <w:vAlign w:val="center"/>
          </w:tcPr>
          <w:p w14:paraId="0CEBE310">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所投产品的技术参数全部满足采购文件要求的得基本分</w:t>
            </w:r>
            <w:r>
              <w:rPr>
                <w:rFonts w:hint="eastAsia" w:ascii="宋体" w:hAnsi="宋体" w:cs="Times New Roman"/>
                <w:b w:val="0"/>
                <w:bCs w:val="0"/>
                <w:color w:val="auto"/>
                <w:kern w:val="2"/>
                <w:sz w:val="21"/>
                <w:szCs w:val="24"/>
                <w:highlight w:val="none"/>
                <w:lang w:val="en-US" w:eastAsia="zh-CN" w:bidi="ar-SA"/>
              </w:rPr>
              <w:t>25</w:t>
            </w:r>
            <w:r>
              <w:rPr>
                <w:rFonts w:hint="eastAsia" w:ascii="宋体" w:hAnsi="宋体" w:eastAsia="宋体" w:cs="Times New Roman"/>
                <w:b w:val="0"/>
                <w:bCs w:val="0"/>
                <w:color w:val="auto"/>
                <w:kern w:val="2"/>
                <w:sz w:val="21"/>
                <w:szCs w:val="24"/>
                <w:highlight w:val="none"/>
                <w:lang w:val="en-US" w:eastAsia="zh-CN" w:bidi="ar-SA"/>
              </w:rPr>
              <w:t>分；技术指标前有▲标注的，为必须满足的实质性内容有一项不符合作无效投标处理；技术要求中标注★条款为重点技术参数，一项负偏离扣3分，对不带▲★的技术参数属负偏离或缺漏项的每项扣 0.5分，负偏离或缺漏项在15项及以上的属于重大偏离，作无效投标处理。</w:t>
            </w:r>
          </w:p>
          <w:p w14:paraId="00B5ADBE">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left"/>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注：技术参数中未提供相关证明材料的按负偏离。</w:t>
            </w:r>
          </w:p>
        </w:tc>
        <w:tc>
          <w:tcPr>
            <w:tcW w:w="795" w:type="dxa"/>
            <w:tcBorders>
              <w:top w:val="single" w:color="000000" w:sz="4" w:space="0"/>
              <w:left w:val="nil"/>
              <w:bottom w:val="single" w:color="000000" w:sz="4" w:space="0"/>
              <w:right w:val="single" w:color="000000" w:sz="4" w:space="0"/>
            </w:tcBorders>
            <w:noWrap w:val="0"/>
            <w:vAlign w:val="center"/>
          </w:tcPr>
          <w:p w14:paraId="2542F1E7">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0-25分</w:t>
            </w:r>
          </w:p>
        </w:tc>
        <w:tc>
          <w:tcPr>
            <w:tcW w:w="930" w:type="dxa"/>
            <w:tcBorders>
              <w:top w:val="single" w:color="000000" w:sz="4" w:space="0"/>
              <w:left w:val="nil"/>
              <w:bottom w:val="single" w:color="000000" w:sz="4" w:space="0"/>
              <w:right w:val="single" w:color="000000" w:sz="4" w:space="0"/>
            </w:tcBorders>
            <w:noWrap w:val="0"/>
            <w:vAlign w:val="center"/>
          </w:tcPr>
          <w:p w14:paraId="435BF93D">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客观分</w:t>
            </w:r>
          </w:p>
        </w:tc>
      </w:tr>
      <w:tr w14:paraId="5B639B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772BC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20" w:type="dxa"/>
            <w:tcBorders>
              <w:top w:val="single" w:color="000000" w:sz="4" w:space="0"/>
              <w:left w:val="nil"/>
              <w:bottom w:val="single" w:color="000000" w:sz="4" w:space="0"/>
              <w:right w:val="single" w:color="000000" w:sz="4" w:space="0"/>
            </w:tcBorders>
            <w:noWrap w:val="0"/>
            <w:vAlign w:val="center"/>
          </w:tcPr>
          <w:p w14:paraId="0F40EB2D">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w:t>
            </w:r>
          </w:p>
          <w:p w14:paraId="6C893308">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045" w:type="dxa"/>
            <w:tcBorders>
              <w:top w:val="single" w:color="000000" w:sz="4" w:space="0"/>
              <w:left w:val="nil"/>
              <w:bottom w:val="single" w:color="000000" w:sz="4" w:space="0"/>
              <w:right w:val="single" w:color="000000" w:sz="4" w:space="0"/>
            </w:tcBorders>
            <w:noWrap w:val="0"/>
            <w:vAlign w:val="center"/>
          </w:tcPr>
          <w:p w14:paraId="3CC855CC">
            <w:pPr>
              <w:pStyle w:val="25"/>
              <w:keepNext w:val="0"/>
              <w:keepLines w:val="0"/>
              <w:pageBreakBefore w:val="0"/>
              <w:numPr>
                <w:ilvl w:val="0"/>
                <w:numId w:val="4"/>
              </w:numPr>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响应人具备1S0 45001:2018职业健康安全管理体系认证证书得1分；</w:t>
            </w:r>
          </w:p>
          <w:p w14:paraId="675238C4">
            <w:pPr>
              <w:pStyle w:val="25"/>
              <w:keepNext w:val="0"/>
              <w:keepLines w:val="0"/>
              <w:pageBreakBefore w:val="0"/>
              <w:numPr>
                <w:ilvl w:val="0"/>
                <w:numId w:val="4"/>
              </w:numPr>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响应人具备IS0 14001:2015环境管理体系认证证书得1分；</w:t>
            </w:r>
          </w:p>
          <w:p w14:paraId="4B4444AD">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3、响应人具备IS0 9001:2015质量管理体系认证证书得1分；</w:t>
            </w:r>
          </w:p>
          <w:p w14:paraId="2D851651">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注：需提供权威机构颁发的证书或报告复印件加盖投标人公章，未提供或提供无效者不得分。</w:t>
            </w:r>
          </w:p>
        </w:tc>
        <w:tc>
          <w:tcPr>
            <w:tcW w:w="795" w:type="dxa"/>
            <w:tcBorders>
              <w:top w:val="single" w:color="000000" w:sz="4" w:space="0"/>
              <w:left w:val="nil"/>
              <w:bottom w:val="single" w:color="000000" w:sz="4" w:space="0"/>
              <w:right w:val="single" w:color="000000" w:sz="4" w:space="0"/>
            </w:tcBorders>
            <w:noWrap w:val="0"/>
            <w:vAlign w:val="center"/>
          </w:tcPr>
          <w:p w14:paraId="566D627F">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c>
          <w:tcPr>
            <w:tcW w:w="930" w:type="dxa"/>
            <w:tcBorders>
              <w:top w:val="single" w:color="000000" w:sz="4" w:space="0"/>
              <w:left w:val="nil"/>
              <w:bottom w:val="single" w:color="000000" w:sz="4" w:space="0"/>
              <w:right w:val="single" w:color="000000" w:sz="4" w:space="0"/>
            </w:tcBorders>
            <w:noWrap w:val="0"/>
            <w:vAlign w:val="center"/>
          </w:tcPr>
          <w:p w14:paraId="22E4627F">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客观分</w:t>
            </w:r>
          </w:p>
        </w:tc>
      </w:tr>
      <w:tr w14:paraId="543920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3064"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4BFE9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4</w:t>
            </w:r>
          </w:p>
        </w:tc>
        <w:tc>
          <w:tcPr>
            <w:tcW w:w="1320" w:type="dxa"/>
            <w:tcBorders>
              <w:top w:val="single" w:color="000000" w:sz="4" w:space="0"/>
              <w:left w:val="nil"/>
              <w:bottom w:val="single" w:color="000000" w:sz="4" w:space="0"/>
              <w:right w:val="single" w:color="000000" w:sz="4" w:space="0"/>
            </w:tcBorders>
            <w:noWrap w:val="0"/>
            <w:vAlign w:val="center"/>
          </w:tcPr>
          <w:p w14:paraId="79D37BA9">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系统演示</w:t>
            </w:r>
          </w:p>
        </w:tc>
        <w:tc>
          <w:tcPr>
            <w:tcW w:w="6045" w:type="dxa"/>
            <w:tcBorders>
              <w:top w:val="single" w:color="000000" w:sz="4" w:space="0"/>
              <w:left w:val="nil"/>
              <w:bottom w:val="single" w:color="000000" w:sz="4" w:space="0"/>
              <w:right w:val="single" w:color="000000" w:sz="4" w:space="0"/>
            </w:tcBorders>
            <w:noWrap w:val="0"/>
            <w:vAlign w:val="center"/>
          </w:tcPr>
          <w:p w14:paraId="5E73C4AB">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1、数智加工生产管理系统-分选单</w:t>
            </w:r>
          </w:p>
          <w:p w14:paraId="0A4C956C">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创建分选单，支持选择货品、选择货主、选择分选方案、输入每次投产数量等。系统在分选过程中可记录原料的投产数量、损耗数量和出成数量，并同步原料和分选结果。系统的分选结果会同步到库存数据。</w:t>
            </w:r>
            <w:r>
              <w:rPr>
                <w:rFonts w:hint="eastAsia" w:ascii="宋体" w:hAnsi="宋体" w:cs="宋体"/>
                <w:color w:val="auto"/>
                <w:sz w:val="21"/>
                <w:szCs w:val="21"/>
                <w:highlight w:val="none"/>
                <w:lang w:val="en-US" w:eastAsia="zh-CN"/>
              </w:rPr>
              <w:t>（2分）</w:t>
            </w:r>
          </w:p>
          <w:p w14:paraId="5FBF3AAA">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2、数智加工生产管理系统-糖化单</w:t>
            </w:r>
          </w:p>
          <w:p w14:paraId="36FDEDB5">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创建糖化单，支持选择货主、选择货品、选择批次、自定义糖化时间。系统记录糖化过程中的糖度、二氧化碳、乙烯、湿度、数量等数据，糖化完成后系统会生成一个批次数据进行入库并同步库存数据。</w:t>
            </w:r>
            <w:r>
              <w:rPr>
                <w:rFonts w:hint="eastAsia" w:ascii="宋体" w:hAnsi="宋体" w:cs="宋体"/>
                <w:color w:val="auto"/>
                <w:sz w:val="21"/>
                <w:szCs w:val="21"/>
                <w:highlight w:val="none"/>
                <w:lang w:val="en-US" w:eastAsia="zh-CN"/>
              </w:rPr>
              <w:t>（2分）</w:t>
            </w:r>
          </w:p>
          <w:p w14:paraId="1691F61F">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3、数智加工生产管理系统-加工单</w:t>
            </w:r>
          </w:p>
          <w:p w14:paraId="7AD5136A">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加工单，支持选择货主、选择货品、选择分选方案，并且分选方案中可自定义原料货品清单配比和工序，同时系统根据原料货品清单配备生成原料所需数量。加工过程中系统可记录原料领取数量、加工成品数量、损耗数量，加工完成后系统会自动同步成品库存数据。</w:t>
            </w:r>
            <w:r>
              <w:rPr>
                <w:rFonts w:hint="eastAsia" w:ascii="宋体" w:hAnsi="宋体" w:cs="宋体"/>
                <w:color w:val="auto"/>
                <w:sz w:val="21"/>
                <w:szCs w:val="21"/>
                <w:highlight w:val="none"/>
                <w:lang w:val="en-US" w:eastAsia="zh-CN"/>
              </w:rPr>
              <w:t>（2分）</w:t>
            </w:r>
          </w:p>
          <w:p w14:paraId="55899EBE">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4、数智生产管理加工-货品变更</w:t>
            </w:r>
          </w:p>
          <w:p w14:paraId="07C273BB">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创建货品变更单、支持选择货主、选择货品、选择批次、选择货品数量来进行货品等级变更，系统在货品变更完成后会同步相应货品库存数据，系统可保留变更记录及变更原因。</w:t>
            </w:r>
            <w:r>
              <w:rPr>
                <w:rFonts w:hint="eastAsia" w:ascii="宋体" w:hAnsi="宋体" w:cs="宋体"/>
                <w:color w:val="auto"/>
                <w:sz w:val="21"/>
                <w:szCs w:val="21"/>
                <w:highlight w:val="none"/>
                <w:lang w:val="en-US" w:eastAsia="zh-CN"/>
              </w:rPr>
              <w:t>（1分）</w:t>
            </w:r>
          </w:p>
          <w:p w14:paraId="32E3DBB2">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5、数智生产管理加工-货主变更</w:t>
            </w:r>
          </w:p>
          <w:p w14:paraId="17963665">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创建货主变更单，支持选择货品、选择货主、选择批次、选择货品数量进行货品归属人变更，系统在货主变更完成后会同步相应货品库存数据，系统保留变更记录及变更原因。</w:t>
            </w:r>
            <w:r>
              <w:rPr>
                <w:rFonts w:hint="eastAsia" w:ascii="宋体" w:hAnsi="宋体" w:cs="宋体"/>
                <w:color w:val="auto"/>
                <w:sz w:val="21"/>
                <w:szCs w:val="21"/>
                <w:highlight w:val="none"/>
                <w:lang w:val="en-US" w:eastAsia="zh-CN"/>
              </w:rPr>
              <w:t>（1分）</w:t>
            </w:r>
          </w:p>
          <w:p w14:paraId="753095F4">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6、数智生产管理加工-容器借还</w:t>
            </w:r>
          </w:p>
          <w:p w14:paraId="6632FFC9">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创建容器借还记录单，支持选择不同类型容器、借出数量、借出时间、借出人，系统记录容器借出后可支持多次归还及归还数量，系统会根据记录同步归还时间。</w:t>
            </w:r>
            <w:r>
              <w:rPr>
                <w:rFonts w:hint="eastAsia" w:ascii="宋体" w:hAnsi="宋体" w:cs="宋体"/>
                <w:color w:val="auto"/>
                <w:sz w:val="21"/>
                <w:szCs w:val="21"/>
                <w:highlight w:val="none"/>
                <w:lang w:val="en-US" w:eastAsia="zh-CN"/>
              </w:rPr>
              <w:t>（1分）</w:t>
            </w:r>
          </w:p>
          <w:p w14:paraId="55A50D32">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投标人需提供提供U盘录制演示视频</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真实系统现场演示</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评标专家按以上各项标准进行评分，功能不完全满足的则所对应的子项不得分。若因开评标室现场环境导致无法现场演示的，可通过提供的U盘录制视频演示。系统需体现投标人公司名称或LOGO，以确保系统为投标人所有。</w:t>
            </w:r>
          </w:p>
          <w:p w14:paraId="02028C32">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投标人不得采用图片、PPT、Axure等高仿真演示方式，如果采用此大项不得分。</w:t>
            </w:r>
          </w:p>
        </w:tc>
        <w:tc>
          <w:tcPr>
            <w:tcW w:w="795" w:type="dxa"/>
            <w:tcBorders>
              <w:top w:val="single" w:color="000000" w:sz="4" w:space="0"/>
              <w:left w:val="nil"/>
              <w:bottom w:val="single" w:color="000000" w:sz="4" w:space="0"/>
              <w:right w:val="single" w:color="000000" w:sz="4" w:space="0"/>
            </w:tcBorders>
            <w:noWrap w:val="0"/>
            <w:vAlign w:val="center"/>
          </w:tcPr>
          <w:p w14:paraId="5112CE57">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0-9分</w:t>
            </w:r>
          </w:p>
        </w:tc>
        <w:tc>
          <w:tcPr>
            <w:tcW w:w="930" w:type="dxa"/>
            <w:tcBorders>
              <w:top w:val="single" w:color="000000" w:sz="4" w:space="0"/>
              <w:left w:val="nil"/>
              <w:bottom w:val="single" w:color="000000" w:sz="4" w:space="0"/>
              <w:right w:val="single" w:color="000000" w:sz="4" w:space="0"/>
            </w:tcBorders>
            <w:noWrap w:val="0"/>
            <w:vAlign w:val="center"/>
          </w:tcPr>
          <w:p w14:paraId="43045A0F">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客观分</w:t>
            </w:r>
          </w:p>
        </w:tc>
      </w:tr>
      <w:tr w14:paraId="1113147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776"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3DE70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1320" w:type="dxa"/>
            <w:tcBorders>
              <w:top w:val="single" w:color="000000" w:sz="4" w:space="0"/>
              <w:left w:val="nil"/>
              <w:bottom w:val="single" w:color="000000" w:sz="4" w:space="0"/>
              <w:right w:val="single" w:color="000000" w:sz="4" w:space="0"/>
            </w:tcBorders>
            <w:noWrap w:val="0"/>
            <w:vAlign w:val="center"/>
          </w:tcPr>
          <w:p w14:paraId="3F29B99D">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技术培训方案</w:t>
            </w:r>
          </w:p>
        </w:tc>
        <w:tc>
          <w:tcPr>
            <w:tcW w:w="6045" w:type="dxa"/>
            <w:tcBorders>
              <w:top w:val="single" w:color="000000" w:sz="4" w:space="0"/>
              <w:left w:val="nil"/>
              <w:bottom w:val="single" w:color="000000" w:sz="4" w:space="0"/>
              <w:right w:val="single" w:color="000000" w:sz="4" w:space="0"/>
            </w:tcBorders>
            <w:noWrap w:val="0"/>
            <w:vAlign w:val="center"/>
          </w:tcPr>
          <w:p w14:paraId="5A1879E7">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响应人负责为使用单位人员提供培训操作，并有完整的培训方案，列出详细的培训内容、培训方式等说明；对响应人提供的培训方案进行综合评分：</w:t>
            </w:r>
          </w:p>
          <w:p w14:paraId="6934D363">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eastAsia="zh-CN"/>
              </w:rPr>
              <w:t>提供</w:t>
            </w:r>
            <w:r>
              <w:rPr>
                <w:rFonts w:hint="eastAsia" w:ascii="宋体" w:hAnsi="宋体" w:eastAsia="宋体" w:cs="宋体"/>
                <w:b w:val="0"/>
                <w:bCs w:val="0"/>
                <w:color w:val="auto"/>
                <w:sz w:val="21"/>
                <w:szCs w:val="21"/>
                <w:highlight w:val="none"/>
                <w:lang w:val="en-US" w:eastAsia="zh-CN"/>
              </w:rPr>
              <w:t>培训方案完整表述清晰、严谨、合理的得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分；培训方案不完整，表述不清，内容不全，条理差</w:t>
            </w:r>
            <w:r>
              <w:rPr>
                <w:rFonts w:hint="eastAsia" w:ascii="宋体" w:hAnsi="宋体" w:eastAsia="宋体" w:cs="宋体"/>
                <w:color w:val="auto"/>
                <w:kern w:val="0"/>
                <w:sz w:val="21"/>
                <w:szCs w:val="21"/>
                <w:highlight w:val="none"/>
                <w:lang w:val="en-US" w:eastAsia="zh-CN" w:bidi="ar-SA"/>
              </w:rPr>
              <w:t>的每处扣1分；</w:t>
            </w:r>
            <w:r>
              <w:rPr>
                <w:rFonts w:hint="eastAsia" w:ascii="宋体" w:hAnsi="宋体" w:eastAsia="宋体" w:cs="宋体"/>
                <w:b w:val="0"/>
                <w:bCs w:val="0"/>
                <w:color w:val="auto"/>
                <w:sz w:val="21"/>
                <w:szCs w:val="21"/>
                <w:highlight w:val="none"/>
                <w:lang w:val="en-US" w:eastAsia="zh-CN"/>
              </w:rPr>
              <w:t>内容不符合或不提供的不得分。</w:t>
            </w:r>
          </w:p>
        </w:tc>
        <w:tc>
          <w:tcPr>
            <w:tcW w:w="795" w:type="dxa"/>
            <w:tcBorders>
              <w:top w:val="single" w:color="000000" w:sz="4" w:space="0"/>
              <w:left w:val="nil"/>
              <w:bottom w:val="single" w:color="000000" w:sz="4" w:space="0"/>
              <w:right w:val="single" w:color="000000" w:sz="4" w:space="0"/>
            </w:tcBorders>
            <w:noWrap w:val="0"/>
            <w:vAlign w:val="center"/>
          </w:tcPr>
          <w:p w14:paraId="4B1A3EA6">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0-10分</w:t>
            </w:r>
          </w:p>
        </w:tc>
        <w:tc>
          <w:tcPr>
            <w:tcW w:w="930" w:type="dxa"/>
            <w:tcBorders>
              <w:top w:val="single" w:color="000000" w:sz="4" w:space="0"/>
              <w:left w:val="nil"/>
              <w:bottom w:val="single" w:color="000000" w:sz="4" w:space="0"/>
              <w:right w:val="single" w:color="000000" w:sz="4" w:space="0"/>
            </w:tcBorders>
            <w:noWrap w:val="0"/>
            <w:vAlign w:val="center"/>
          </w:tcPr>
          <w:p w14:paraId="27AF1A9E">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主观分</w:t>
            </w:r>
          </w:p>
        </w:tc>
      </w:tr>
      <w:tr w14:paraId="4C94B6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1EDD9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c>
          <w:tcPr>
            <w:tcW w:w="1320" w:type="dxa"/>
            <w:tcBorders>
              <w:top w:val="single" w:color="000000" w:sz="4" w:space="0"/>
              <w:left w:val="nil"/>
              <w:bottom w:val="single" w:color="000000" w:sz="4" w:space="0"/>
              <w:right w:val="single" w:color="000000" w:sz="4" w:space="0"/>
            </w:tcBorders>
            <w:noWrap w:val="0"/>
            <w:vAlign w:val="center"/>
          </w:tcPr>
          <w:p w14:paraId="62373C14">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hAnsi="宋体"/>
                <w:color w:val="auto"/>
                <w:szCs w:val="21"/>
                <w:highlight w:val="none"/>
              </w:rPr>
              <w:t>项目实施</w:t>
            </w:r>
            <w:r>
              <w:rPr>
                <w:rFonts w:hint="eastAsia" w:hAnsi="宋体"/>
                <w:color w:val="auto"/>
                <w:szCs w:val="21"/>
                <w:highlight w:val="none"/>
                <w:lang w:eastAsia="zh-CN"/>
              </w:rPr>
              <w:t>方案</w:t>
            </w:r>
          </w:p>
        </w:tc>
        <w:tc>
          <w:tcPr>
            <w:tcW w:w="6045" w:type="dxa"/>
            <w:tcBorders>
              <w:top w:val="single" w:color="000000" w:sz="4" w:space="0"/>
              <w:left w:val="nil"/>
              <w:bottom w:val="single" w:color="000000" w:sz="4" w:space="0"/>
              <w:right w:val="single" w:color="000000" w:sz="4" w:space="0"/>
            </w:tcBorders>
            <w:noWrap w:val="0"/>
            <w:vAlign w:val="center"/>
          </w:tcPr>
          <w:p w14:paraId="2B65A1DC">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采购需求提供项目实施方案，包括送货时间、地点、安装、调试、验收</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eastAsia="zh-CN"/>
              </w:rPr>
              <w:t>，提供方案功能详细、思路清晰、逻辑合理、方法可行、符合采购需求的得</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eastAsia="zh-CN"/>
              </w:rPr>
              <w:t>分；思路不清晰，逻辑性差，可操作性与实际情况有偏离的每处扣1分；内容不符合或不提供的不得分。</w:t>
            </w:r>
          </w:p>
        </w:tc>
        <w:tc>
          <w:tcPr>
            <w:tcW w:w="795" w:type="dxa"/>
            <w:tcBorders>
              <w:top w:val="single" w:color="000000" w:sz="4" w:space="0"/>
              <w:left w:val="nil"/>
              <w:bottom w:val="single" w:color="000000" w:sz="4" w:space="0"/>
              <w:right w:val="single" w:color="000000" w:sz="4" w:space="0"/>
            </w:tcBorders>
            <w:noWrap w:val="0"/>
            <w:vAlign w:val="center"/>
          </w:tcPr>
          <w:p w14:paraId="14834F35">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0-12分</w:t>
            </w:r>
          </w:p>
        </w:tc>
        <w:tc>
          <w:tcPr>
            <w:tcW w:w="930" w:type="dxa"/>
            <w:tcBorders>
              <w:top w:val="single" w:color="000000" w:sz="4" w:space="0"/>
              <w:left w:val="nil"/>
              <w:bottom w:val="single" w:color="000000" w:sz="4" w:space="0"/>
              <w:right w:val="single" w:color="000000" w:sz="4" w:space="0"/>
            </w:tcBorders>
            <w:noWrap w:val="0"/>
            <w:vAlign w:val="center"/>
          </w:tcPr>
          <w:p w14:paraId="27FA26BF">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主观分</w:t>
            </w:r>
          </w:p>
        </w:tc>
      </w:tr>
      <w:tr w14:paraId="24129E6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1B049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p>
        </w:tc>
        <w:tc>
          <w:tcPr>
            <w:tcW w:w="1320" w:type="dxa"/>
            <w:tcBorders>
              <w:top w:val="single" w:color="000000" w:sz="4" w:space="0"/>
              <w:left w:val="nil"/>
              <w:bottom w:val="single" w:color="000000" w:sz="4" w:space="0"/>
              <w:right w:val="single" w:color="000000" w:sz="4" w:space="0"/>
            </w:tcBorders>
            <w:noWrap w:val="0"/>
            <w:vAlign w:val="center"/>
          </w:tcPr>
          <w:p w14:paraId="1A0929BA">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售后服务方案</w:t>
            </w:r>
          </w:p>
        </w:tc>
        <w:tc>
          <w:tcPr>
            <w:tcW w:w="6045" w:type="dxa"/>
            <w:tcBorders>
              <w:top w:val="single" w:color="000000" w:sz="4" w:space="0"/>
              <w:left w:val="nil"/>
              <w:bottom w:val="single" w:color="000000" w:sz="4" w:space="0"/>
              <w:right w:val="single" w:color="000000" w:sz="4" w:space="0"/>
            </w:tcBorders>
            <w:noWrap w:val="0"/>
            <w:vAlign w:val="center"/>
          </w:tcPr>
          <w:p w14:paraId="2DA20D3A">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根据投标人承诺提供的售后服务方案（服务能力、服务措施、服务承诺等方面）情况，包括服务承诺的可行性、完整性以及后续的技术实施保障措施等进行打分。内容科学、合理、针对性强的得</w:t>
            </w: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分，方案较差（包含且不限于理解不清晰、解决方案不明确、方案有缺陷、没有针对实际情况、照搬照抄同类技术标准及方案）的每处扣1分；内容不符合或不提供的不得分。</w:t>
            </w:r>
          </w:p>
        </w:tc>
        <w:tc>
          <w:tcPr>
            <w:tcW w:w="795" w:type="dxa"/>
            <w:tcBorders>
              <w:top w:val="single" w:color="000000" w:sz="4" w:space="0"/>
              <w:left w:val="nil"/>
              <w:bottom w:val="single" w:color="000000" w:sz="4" w:space="0"/>
              <w:right w:val="single" w:color="000000" w:sz="4" w:space="0"/>
            </w:tcBorders>
            <w:noWrap w:val="0"/>
            <w:vAlign w:val="center"/>
          </w:tcPr>
          <w:p w14:paraId="63808721">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0-8分</w:t>
            </w:r>
          </w:p>
        </w:tc>
        <w:tc>
          <w:tcPr>
            <w:tcW w:w="930" w:type="dxa"/>
            <w:tcBorders>
              <w:top w:val="single" w:color="000000" w:sz="4" w:space="0"/>
              <w:left w:val="nil"/>
              <w:bottom w:val="single" w:color="000000" w:sz="4" w:space="0"/>
              <w:right w:val="single" w:color="000000" w:sz="4" w:space="0"/>
            </w:tcBorders>
            <w:noWrap w:val="0"/>
            <w:vAlign w:val="center"/>
          </w:tcPr>
          <w:p w14:paraId="364ADB32">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主观分</w:t>
            </w:r>
          </w:p>
        </w:tc>
      </w:tr>
      <w:tr w14:paraId="474217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1188"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175A2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8</w:t>
            </w:r>
          </w:p>
        </w:tc>
        <w:tc>
          <w:tcPr>
            <w:tcW w:w="1320" w:type="dxa"/>
            <w:tcBorders>
              <w:top w:val="single" w:color="000000" w:sz="4" w:space="0"/>
              <w:left w:val="nil"/>
              <w:bottom w:val="single" w:color="000000" w:sz="4" w:space="0"/>
              <w:right w:val="single" w:color="000000" w:sz="4" w:space="0"/>
            </w:tcBorders>
            <w:noWrap w:val="0"/>
            <w:vAlign w:val="center"/>
          </w:tcPr>
          <w:p w14:paraId="7F5F54C4">
            <w:pPr>
              <w:pStyle w:val="25"/>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报价分</w:t>
            </w:r>
          </w:p>
        </w:tc>
        <w:tc>
          <w:tcPr>
            <w:tcW w:w="6045" w:type="dxa"/>
            <w:tcBorders>
              <w:top w:val="single" w:color="000000" w:sz="4" w:space="0"/>
              <w:left w:val="nil"/>
              <w:bottom w:val="single" w:color="000000" w:sz="4" w:space="0"/>
              <w:right w:val="single" w:color="000000" w:sz="4" w:space="0"/>
            </w:tcBorders>
            <w:noWrap w:val="0"/>
            <w:vAlign w:val="center"/>
          </w:tcPr>
          <w:p w14:paraId="41440965">
            <w:pPr>
              <w:pStyle w:val="25"/>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满足招标文件要求且投标价格最低的投标报价为评标基准价，其价格分为满分，其他投标人的价格分统一按下列公式计算（按四舍五入取至小数点后两位）：</w:t>
            </w:r>
          </w:p>
          <w:p w14:paraId="412F2D96">
            <w:pPr>
              <w:pStyle w:val="25"/>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795" w:type="dxa"/>
            <w:tcBorders>
              <w:top w:val="single" w:color="000000" w:sz="4" w:space="0"/>
              <w:left w:val="nil"/>
              <w:bottom w:val="single" w:color="000000" w:sz="4" w:space="0"/>
              <w:right w:val="single" w:color="000000" w:sz="4" w:space="0"/>
            </w:tcBorders>
            <w:noWrap w:val="0"/>
            <w:vAlign w:val="center"/>
          </w:tcPr>
          <w:p w14:paraId="725880CB">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930" w:type="dxa"/>
            <w:tcBorders>
              <w:top w:val="single" w:color="000000" w:sz="4" w:space="0"/>
              <w:left w:val="nil"/>
              <w:bottom w:val="single" w:color="000000" w:sz="4" w:space="0"/>
              <w:right w:val="single" w:color="000000" w:sz="4" w:space="0"/>
            </w:tcBorders>
            <w:noWrap w:val="0"/>
            <w:vAlign w:val="center"/>
          </w:tcPr>
          <w:p w14:paraId="5168671F">
            <w:pPr>
              <w:keepNext w:val="0"/>
              <w:keepLines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w:t>
            </w:r>
          </w:p>
        </w:tc>
      </w:tr>
      <w:tr w14:paraId="5729F6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28" w:type="dxa"/>
            <w:bottom w:w="0" w:type="dxa"/>
            <w:right w:w="28" w:type="dxa"/>
          </w:tblCellMar>
        </w:tblPrEx>
        <w:trPr>
          <w:trHeight w:val="668" w:hRule="atLeast"/>
          <w:jc w:val="center"/>
        </w:trPr>
        <w:tc>
          <w:tcPr>
            <w:tcW w:w="482" w:type="dxa"/>
            <w:tcBorders>
              <w:top w:val="single" w:color="000000" w:sz="4" w:space="0"/>
              <w:left w:val="single" w:color="000000" w:sz="4" w:space="0"/>
              <w:bottom w:val="single" w:color="000000" w:sz="4" w:space="0"/>
              <w:right w:val="single" w:color="000000" w:sz="4" w:space="0"/>
            </w:tcBorders>
            <w:noWrap w:val="0"/>
            <w:vAlign w:val="center"/>
          </w:tcPr>
          <w:p w14:paraId="02090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9</w:t>
            </w:r>
          </w:p>
        </w:tc>
        <w:tc>
          <w:tcPr>
            <w:tcW w:w="1320" w:type="dxa"/>
            <w:tcBorders>
              <w:top w:val="single" w:color="000000" w:sz="4" w:space="0"/>
              <w:left w:val="nil"/>
              <w:bottom w:val="single" w:color="000000" w:sz="4" w:space="0"/>
              <w:right w:val="single" w:color="000000" w:sz="4" w:space="0"/>
            </w:tcBorders>
            <w:noWrap w:val="0"/>
            <w:vAlign w:val="center"/>
          </w:tcPr>
          <w:p w14:paraId="65D52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总得分</w:t>
            </w:r>
          </w:p>
        </w:tc>
        <w:tc>
          <w:tcPr>
            <w:tcW w:w="6045" w:type="dxa"/>
            <w:tcBorders>
              <w:top w:val="single" w:color="000000" w:sz="4" w:space="0"/>
              <w:left w:val="nil"/>
              <w:bottom w:val="single" w:color="000000" w:sz="4" w:space="0"/>
              <w:right w:val="single" w:color="000000" w:sz="4" w:space="0"/>
            </w:tcBorders>
            <w:noWrap w:val="0"/>
            <w:vAlign w:val="center"/>
          </w:tcPr>
          <w:p w14:paraId="61A3F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总得分=技术</w:t>
            </w:r>
            <w:r>
              <w:rPr>
                <w:rFonts w:hint="eastAsia" w:ascii="宋体" w:hAnsi="宋体" w:eastAsia="宋体" w:cs="宋体"/>
                <w:color w:val="auto"/>
                <w:kern w:val="0"/>
                <w:sz w:val="21"/>
                <w:szCs w:val="21"/>
                <w:highlight w:val="none"/>
                <w:lang w:eastAsia="zh-CN"/>
              </w:rPr>
              <w:t>商务</w:t>
            </w:r>
            <w:r>
              <w:rPr>
                <w:rFonts w:hint="eastAsia" w:ascii="宋体" w:hAnsi="宋体" w:eastAsia="宋体" w:cs="宋体"/>
                <w:color w:val="auto"/>
                <w:kern w:val="0"/>
                <w:sz w:val="21"/>
                <w:szCs w:val="21"/>
                <w:highlight w:val="none"/>
              </w:rPr>
              <w:t>得分+报价得分</w:t>
            </w:r>
          </w:p>
        </w:tc>
        <w:tc>
          <w:tcPr>
            <w:tcW w:w="795" w:type="dxa"/>
            <w:tcBorders>
              <w:top w:val="single" w:color="000000" w:sz="4" w:space="0"/>
              <w:left w:val="nil"/>
              <w:bottom w:val="single" w:color="000000" w:sz="4" w:space="0"/>
              <w:right w:val="single" w:color="000000" w:sz="4" w:space="0"/>
            </w:tcBorders>
            <w:noWrap w:val="0"/>
            <w:vAlign w:val="center"/>
          </w:tcPr>
          <w:p w14:paraId="4EF9B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100</w:t>
            </w:r>
            <w:r>
              <w:rPr>
                <w:rFonts w:hint="eastAsia" w:ascii="宋体" w:hAnsi="宋体" w:eastAsia="宋体" w:cs="宋体"/>
                <w:color w:val="auto"/>
                <w:kern w:val="0"/>
                <w:sz w:val="21"/>
                <w:szCs w:val="21"/>
                <w:highlight w:val="none"/>
                <w:lang w:eastAsia="zh-CN"/>
              </w:rPr>
              <w:t>分</w:t>
            </w:r>
          </w:p>
        </w:tc>
        <w:tc>
          <w:tcPr>
            <w:tcW w:w="930" w:type="dxa"/>
            <w:tcBorders>
              <w:top w:val="single" w:color="000000" w:sz="4" w:space="0"/>
              <w:left w:val="nil"/>
              <w:bottom w:val="single" w:color="000000" w:sz="4" w:space="0"/>
              <w:right w:val="single" w:color="000000" w:sz="4" w:space="0"/>
            </w:tcBorders>
            <w:noWrap w:val="0"/>
            <w:vAlign w:val="center"/>
          </w:tcPr>
          <w:p w14:paraId="4744F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w:t>
            </w:r>
          </w:p>
        </w:tc>
      </w:tr>
    </w:tbl>
    <w:p w14:paraId="1DE03725">
      <w:pPr>
        <w:widowControl/>
        <w:spacing w:line="400" w:lineRule="exact"/>
        <w:jc w:val="left"/>
        <w:rPr>
          <w:rFonts w:hint="eastAsia" w:asciiTheme="minorEastAsia" w:hAnsiTheme="minorEastAsia" w:eastAsiaTheme="minorEastAsia" w:cstheme="minorEastAsia"/>
          <w:b/>
          <w:bCs/>
          <w:color w:val="auto"/>
          <w:kern w:val="0"/>
          <w:highlight w:val="none"/>
          <w:shd w:val="clear" w:color="auto" w:fill="FFFFFF"/>
          <w:lang w:eastAsia="zh-CN"/>
        </w:rPr>
      </w:pPr>
      <w:r>
        <w:rPr>
          <w:rFonts w:hint="eastAsia" w:asciiTheme="minorEastAsia" w:hAnsiTheme="minorEastAsia" w:eastAsiaTheme="minorEastAsia" w:cstheme="minorEastAsia"/>
          <w:b/>
          <w:bCs/>
          <w:color w:val="auto"/>
          <w:kern w:val="0"/>
          <w:highlight w:val="none"/>
          <w:shd w:val="clear" w:color="auto" w:fill="FFFFFF"/>
        </w:rPr>
        <w:t>注：1、投标人所使用的资格、信誉、荣誉、业绩与企业认证必须为本法人所拥有（且在有效期内）</w:t>
      </w:r>
      <w:r>
        <w:rPr>
          <w:rFonts w:hint="eastAsia" w:asciiTheme="minorEastAsia" w:hAnsiTheme="minorEastAsia" w:eastAsiaTheme="minorEastAsia" w:cstheme="minorEastAsia"/>
          <w:b/>
          <w:bCs/>
          <w:color w:val="auto"/>
          <w:kern w:val="0"/>
          <w:highlight w:val="none"/>
          <w:shd w:val="clear" w:color="auto" w:fill="FFFFFF"/>
          <w:lang w:eastAsia="zh-CN"/>
        </w:rPr>
        <w:t>。</w:t>
      </w:r>
    </w:p>
    <w:p w14:paraId="119DEB1F">
      <w:pPr>
        <w:widowControl/>
        <w:spacing w:line="400" w:lineRule="exact"/>
        <w:ind w:firstLine="413" w:firstLineChars="196"/>
        <w:jc w:val="left"/>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w:t>
      </w:r>
      <w:r>
        <w:rPr>
          <w:rFonts w:hint="eastAsia" w:asciiTheme="minorEastAsia" w:hAnsiTheme="minorEastAsia" w:eastAsiaTheme="minorEastAsia" w:cstheme="minorEastAsia"/>
          <w:b/>
          <w:bCs/>
          <w:color w:val="auto"/>
          <w:kern w:val="0"/>
          <w:highlight w:val="none"/>
          <w:shd w:val="clear" w:color="auto" w:fill="FFFFFF"/>
        </w:rPr>
        <w:t>评标有关的原件无需携带至开标现场备查。投标正本中涉及资质证书和原件备查部分，一律采用彩色扫描件，使用彩色打印，副本可以为正本复印件。开标活动结束后，中标候选人须在中标公告发布前提供与投标相关的原件核查。</w:t>
      </w:r>
    </w:p>
    <w:p w14:paraId="47C87B0D">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2.1评分细则：评分细则：资信由评标委员会对投标文件的资信部分及相关证明材料核对后，进行集体讨论统一评分。技术、商务及其他分按照评标委员会成员的独立评分结果汇总后的算术平均分计算，计算公式为技术、资信商务及其他分=评标委员会所有成员评分合计数/评标委员会组成人员数。</w:t>
      </w:r>
    </w:p>
    <w:p w14:paraId="64F17968">
      <w:pPr>
        <w:spacing w:line="400" w:lineRule="exact"/>
        <w:ind w:firstLine="420" w:firstLineChars="200"/>
        <w:rPr>
          <w:rFonts w:hint="eastAsia"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.3 注意事项</w:t>
      </w:r>
    </w:p>
    <w:p w14:paraId="4C64FDAC">
      <w:pPr>
        <w:spacing w:line="400" w:lineRule="exact"/>
        <w:ind w:firstLine="420" w:firstLineChars="200"/>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.3.1</w:t>
      </w:r>
      <w:r>
        <w:rPr>
          <w:rFonts w:hint="eastAsia" w:asciiTheme="minorEastAsia" w:hAnsiTheme="minorEastAsia" w:eastAsiaTheme="minorEastAsia" w:cstheme="minorEastAsia"/>
          <w:b/>
          <w:bCs/>
          <w:color w:val="auto"/>
          <w:kern w:val="0"/>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CF7C33">
      <w:pPr>
        <w:widowControl/>
        <w:numPr>
          <w:ilvl w:val="0"/>
          <w:numId w:val="0"/>
        </w:numPr>
        <w:spacing w:line="400" w:lineRule="exact"/>
        <w:ind w:leftChars="0"/>
        <w:jc w:val="left"/>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5</w:t>
      </w:r>
      <w:r>
        <w:rPr>
          <w:rFonts w:hint="eastAsia" w:asciiTheme="minorEastAsia" w:hAnsiTheme="minorEastAsia" w:eastAsiaTheme="minorEastAsia" w:cstheme="minorEastAsia"/>
          <w:b/>
          <w:bCs/>
          <w:color w:val="auto"/>
          <w:kern w:val="0"/>
          <w:highlight w:val="none"/>
          <w:shd w:val="clear" w:color="auto" w:fill="FFFFFF"/>
        </w:rPr>
        <w:t>、磋商无效的情形</w:t>
      </w:r>
      <w:r>
        <w:rPr>
          <w:rFonts w:hint="eastAsia" w:asciiTheme="minorEastAsia" w:hAnsiTheme="minorEastAsia" w:eastAsiaTheme="minorEastAsia" w:cstheme="minorEastAsia"/>
          <w:b/>
          <w:color w:val="auto"/>
          <w:kern w:val="0"/>
          <w:highlight w:val="none"/>
        </w:rPr>
        <w:t>：</w:t>
      </w:r>
    </w:p>
    <w:p w14:paraId="23370D6F">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63B107B0">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（1）响应文件未按</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要求签署、盖公章的；</w:t>
      </w:r>
    </w:p>
    <w:p w14:paraId="335FE34B">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中规定的资格要求的；</w:t>
      </w:r>
    </w:p>
    <w:p w14:paraId="6329D082">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（3）响应文件未按规定密封；</w:t>
      </w:r>
    </w:p>
    <w:p w14:paraId="4C0A664C">
      <w:pPr>
        <w:widowControl/>
        <w:spacing w:line="400" w:lineRule="exact"/>
        <w:ind w:firstLine="420" w:firstLineChars="200"/>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）技术商务文件或资格证明文件中含报价；</w:t>
      </w:r>
    </w:p>
    <w:p w14:paraId="6F9D7940">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中有▲处条款</w:t>
      </w:r>
      <w:r>
        <w:rPr>
          <w:rFonts w:hint="eastAsia" w:asciiTheme="minorEastAsia" w:hAnsiTheme="minorEastAsia" w:eastAsiaTheme="minorEastAsia" w:cstheme="minorEastAsia"/>
          <w:color w:val="auto"/>
          <w:highlight w:val="none"/>
          <w:lang w:eastAsia="zh-CN"/>
        </w:rPr>
        <w:t>响应人</w:t>
      </w:r>
      <w:r>
        <w:rPr>
          <w:rFonts w:hint="eastAsia" w:asciiTheme="minorEastAsia" w:hAnsiTheme="minorEastAsia" w:eastAsiaTheme="minorEastAsia" w:cstheme="minorEastAsia"/>
          <w:color w:val="auto"/>
          <w:highlight w:val="none"/>
        </w:rPr>
        <w:t>未作实质性响应的；</w:t>
      </w:r>
    </w:p>
    <w:p w14:paraId="754F42C2">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）报价超过</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中规定的预算金额</w:t>
      </w:r>
      <w:r>
        <w:rPr>
          <w:rFonts w:hint="eastAsia" w:asciiTheme="minorEastAsia" w:hAnsiTheme="minorEastAsia" w:eastAsiaTheme="minorEastAsia" w:cstheme="minorEastAsia"/>
          <w:color w:val="auto"/>
          <w:highlight w:val="none"/>
          <w:lang w:eastAsia="zh-CN"/>
        </w:rPr>
        <w:t>或者最高限价</w:t>
      </w:r>
      <w:r>
        <w:rPr>
          <w:rFonts w:hint="eastAsia" w:asciiTheme="minorEastAsia" w:hAnsiTheme="minorEastAsia" w:eastAsiaTheme="minorEastAsia" w:cstheme="minorEastAsia"/>
          <w:color w:val="auto"/>
          <w:highlight w:val="none"/>
        </w:rPr>
        <w:t>的；</w:t>
      </w:r>
    </w:p>
    <w:p w14:paraId="68FDCEDC">
      <w:pPr>
        <w:widowControl/>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）响应文件含有采购人不能接受的附加条件的；</w:t>
      </w:r>
    </w:p>
    <w:p w14:paraId="4FD3938B">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法律、法规和</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规定的其他无效情形。</w:t>
      </w:r>
    </w:p>
    <w:p w14:paraId="34DF53FE">
      <w:pPr>
        <w:widowControl/>
        <w:spacing w:line="400" w:lineRule="exact"/>
        <w:jc w:val="left"/>
        <w:rPr>
          <w:rFonts w:asciiTheme="minorEastAsia" w:hAnsiTheme="minorEastAsia" w:eastAsiaTheme="minorEastAsia" w:cstheme="minorEastAsia"/>
          <w:b/>
          <w:bCs/>
          <w:color w:val="auto"/>
          <w:kern w:val="0"/>
          <w:highlight w:val="none"/>
          <w:shd w:val="clear" w:color="auto" w:fill="FFFFFF"/>
        </w:rPr>
      </w:pPr>
      <w:bookmarkStart w:id="53" w:name="_Toc457934632"/>
      <w:bookmarkStart w:id="54" w:name="_Toc359849106"/>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6</w:t>
      </w:r>
      <w:r>
        <w:rPr>
          <w:rFonts w:hint="eastAsia" w:asciiTheme="minorEastAsia" w:hAnsiTheme="minorEastAsia" w:eastAsiaTheme="minorEastAsia" w:cstheme="minorEastAsia"/>
          <w:b/>
          <w:bCs/>
          <w:color w:val="auto"/>
          <w:kern w:val="0"/>
          <w:highlight w:val="none"/>
          <w:shd w:val="clear" w:color="auto" w:fill="FFFFFF"/>
        </w:rPr>
        <w:t>、采购终止的情形</w:t>
      </w:r>
      <w:bookmarkEnd w:id="53"/>
    </w:p>
    <w:p w14:paraId="3E547D22">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kern w:val="0"/>
          <w:highlight w:val="none"/>
          <w:shd w:val="clear" w:color="auto" w:fill="FFFFFF"/>
        </w:rPr>
        <w:t>应将终止理由通知所有供应商：</w:t>
      </w:r>
    </w:p>
    <w:p w14:paraId="4FDCC4E4">
      <w:pPr>
        <w:widowControl/>
        <w:numPr>
          <w:ilvl w:val="0"/>
          <w:numId w:val="5"/>
        </w:numPr>
        <w:spacing w:line="400" w:lineRule="exact"/>
        <w:ind w:firstLine="420" w:firstLineChars="200"/>
        <w:jc w:val="left"/>
        <w:rPr>
          <w:rFonts w:hint="eastAsia" w:asciiTheme="minorEastAsia" w:hAnsiTheme="minorEastAsia" w:eastAsiaTheme="minorEastAsia" w:cstheme="minorEastAsia"/>
          <w:color w:val="auto"/>
          <w:kern w:val="0"/>
          <w:highlight w:val="none"/>
          <w:shd w:val="clear" w:color="auto" w:fill="FFFFFF"/>
          <w:lang w:eastAsia="zh-CN"/>
        </w:rPr>
      </w:pPr>
      <w:r>
        <w:rPr>
          <w:rFonts w:hint="eastAsia" w:asciiTheme="minorEastAsia" w:hAnsiTheme="minorEastAsia" w:eastAsiaTheme="minorEastAsia" w:cstheme="minorEastAsia"/>
          <w:color w:val="auto"/>
          <w:kern w:val="0"/>
          <w:highlight w:val="none"/>
          <w:shd w:val="clear" w:color="auto" w:fill="FFFFFF"/>
        </w:rPr>
        <w:t>因情况变化，不再符合规定的竞争性磋商采购方式适用情形的</w:t>
      </w:r>
      <w:r>
        <w:rPr>
          <w:rFonts w:hint="eastAsia" w:asciiTheme="minorEastAsia" w:hAnsiTheme="minorEastAsia" w:eastAsiaTheme="minorEastAsia" w:cstheme="minorEastAsia"/>
          <w:color w:val="auto"/>
          <w:kern w:val="0"/>
          <w:highlight w:val="none"/>
          <w:shd w:val="clear" w:color="auto" w:fill="FFFFFF"/>
          <w:lang w:eastAsia="zh-CN"/>
        </w:rPr>
        <w:t>；</w:t>
      </w:r>
    </w:p>
    <w:p w14:paraId="01955759">
      <w:pPr>
        <w:widowControl/>
        <w:numPr>
          <w:ilvl w:val="0"/>
          <w:numId w:val="5"/>
        </w:numPr>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符合专业条件的供应商或者对招标文件作实质响应的供应商不足三家的</w:t>
      </w:r>
      <w:r>
        <w:rPr>
          <w:rFonts w:hint="eastAsia" w:asciiTheme="minorEastAsia" w:hAnsiTheme="minorEastAsia" w:eastAsiaTheme="minorEastAsia" w:cstheme="minorEastAsia"/>
          <w:color w:val="auto"/>
          <w:kern w:val="0"/>
          <w:highlight w:val="none"/>
          <w:shd w:val="clear" w:color="auto" w:fill="FFFFFF"/>
          <w:lang w:eastAsia="zh-CN"/>
        </w:rPr>
        <w:t>；</w:t>
      </w:r>
    </w:p>
    <w:p w14:paraId="22F7E61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3</w:t>
      </w:r>
      <w:r>
        <w:rPr>
          <w:rFonts w:hint="eastAsia" w:asciiTheme="minorEastAsia" w:hAnsiTheme="minorEastAsia" w:eastAsiaTheme="minorEastAsia" w:cstheme="minorEastAsia"/>
          <w:color w:val="auto"/>
          <w:kern w:val="0"/>
          <w:highlight w:val="none"/>
          <w:shd w:val="clear" w:color="auto" w:fill="FFFFFF"/>
        </w:rPr>
        <w:t>）出现影响采购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2D64B52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w:t>
      </w:r>
      <w:r>
        <w:rPr>
          <w:rFonts w:hint="eastAsia" w:asciiTheme="minorEastAsia" w:hAnsiTheme="minorEastAsia" w:eastAsiaTheme="minorEastAsia" w:cstheme="minorEastAsia"/>
          <w:color w:val="auto"/>
          <w:kern w:val="0"/>
          <w:highlight w:val="none"/>
          <w:shd w:val="clear" w:color="auto" w:fill="FFFFFF"/>
          <w:lang w:val="en-US" w:eastAsia="zh-CN"/>
        </w:rPr>
        <w:t>4</w:t>
      </w:r>
      <w:r>
        <w:rPr>
          <w:rFonts w:hint="eastAsia" w:asciiTheme="minorEastAsia" w:hAnsiTheme="minorEastAsia" w:eastAsiaTheme="minorEastAsia" w:cstheme="minorEastAsia"/>
          <w:color w:val="auto"/>
          <w:kern w:val="0"/>
          <w:highlight w:val="none"/>
          <w:shd w:val="clear" w:color="auto" w:fill="FFFFFF"/>
        </w:rPr>
        <w:t>）因重大变故，采购任务取消的。</w:t>
      </w:r>
    </w:p>
    <w:bookmarkEnd w:id="54"/>
    <w:p w14:paraId="75999B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、成交通知及成交公告</w:t>
      </w:r>
    </w:p>
    <w:p w14:paraId="06B00462">
      <w:pPr>
        <w:keepNext w:val="0"/>
        <w:keepLines w:val="0"/>
        <w:pageBreakBefore w:val="0"/>
        <w:widowControl/>
        <w:kinsoku/>
        <w:wordWrap/>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7</w:t>
      </w:r>
      <w:r>
        <w:rPr>
          <w:rFonts w:hint="eastAsia" w:asciiTheme="minorEastAsia" w:hAnsiTheme="minorEastAsia" w:eastAsiaTheme="minorEastAsia" w:cstheme="minorEastAsia"/>
          <w:color w:val="auto"/>
          <w:highlight w:val="none"/>
          <w:shd w:val="clear" w:color="auto" w:fill="FFFFFF"/>
        </w:rPr>
        <w:t>.1在成交供应商确定之日起2个工作日内发布成交公告及《成交通知书》，成交公告发布网址：浙江省政府采购网(</w:t>
      </w:r>
      <w:r>
        <w:rPr>
          <w:rFonts w:hint="eastAsia" w:asciiTheme="minorEastAsia" w:hAnsiTheme="minorEastAsia" w:eastAsiaTheme="minorEastAsia" w:cstheme="minorEastAsia"/>
          <w:color w:val="auto"/>
          <w:highlight w:val="none"/>
          <w:shd w:val="clear" w:color="auto" w:fill="FFFFFF"/>
          <w:lang w:eastAsia="zh-CN"/>
        </w:rPr>
        <w:t>http://zfcg.czt.zj.gov.cn/</w:t>
      </w:r>
      <w:r>
        <w:rPr>
          <w:rFonts w:hint="eastAsia" w:asciiTheme="minorEastAsia" w:hAnsiTheme="minorEastAsia" w:eastAsiaTheme="minorEastAsia" w:cstheme="minorEastAsia"/>
          <w:color w:val="auto"/>
          <w:highlight w:val="none"/>
          <w:shd w:val="clear" w:color="auto" w:fill="FFFFFF"/>
        </w:rPr>
        <w:t>)。</w:t>
      </w:r>
    </w:p>
    <w:p w14:paraId="5E38CBBF">
      <w:pPr>
        <w:keepNext w:val="0"/>
        <w:keepLines w:val="0"/>
        <w:pageBreakBefore w:val="0"/>
        <w:widowControl/>
        <w:kinsoku/>
        <w:wordWrap/>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7</w:t>
      </w: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rPr>
        <w:t>成交公告发布同时，由</w:t>
      </w:r>
      <w:r>
        <w:rPr>
          <w:rFonts w:hint="eastAsia" w:asciiTheme="minorEastAsia" w:hAnsiTheme="minorEastAsia" w:eastAsiaTheme="minorEastAsia" w:cstheme="minorEastAsia"/>
          <w:color w:val="auto"/>
          <w:highlight w:val="none"/>
          <w:lang w:eastAsia="zh-CN"/>
        </w:rPr>
        <w:t>浙江天健工程造价咨询有限公司</w:t>
      </w:r>
      <w:r>
        <w:rPr>
          <w:rFonts w:hint="eastAsia" w:asciiTheme="minorEastAsia" w:hAnsiTheme="minorEastAsia" w:eastAsiaTheme="minorEastAsia" w:cstheme="minorEastAsia"/>
          <w:color w:val="auto"/>
          <w:highlight w:val="none"/>
        </w:rPr>
        <w:t>和采购单位签发《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5F2780B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7</w:t>
      </w:r>
      <w:r>
        <w:rPr>
          <w:rFonts w:hint="eastAsia" w:asciiTheme="minorEastAsia" w:hAnsiTheme="minorEastAsia" w:eastAsiaTheme="minorEastAsia" w:cstheme="minorEastAsia"/>
          <w:color w:val="auto"/>
          <w:kern w:val="0"/>
          <w:highlight w:val="none"/>
          <w:shd w:val="clear" w:color="auto" w:fill="FFFFFF"/>
        </w:rPr>
        <w:t>.3《成交通知书》将作为签订合同的重要依据，对采购代理机构、成交方和采购单位具有法律效力。</w:t>
      </w:r>
    </w:p>
    <w:p w14:paraId="7F3E9B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28</w:t>
      </w:r>
      <w:r>
        <w:rPr>
          <w:rFonts w:hint="eastAsia" w:asciiTheme="minorEastAsia" w:hAnsiTheme="minorEastAsia" w:eastAsiaTheme="minorEastAsia" w:cstheme="minorEastAsia"/>
          <w:b/>
          <w:bCs/>
          <w:color w:val="auto"/>
          <w:kern w:val="0"/>
          <w:highlight w:val="none"/>
          <w:shd w:val="clear" w:color="auto" w:fill="FFFFFF"/>
        </w:rPr>
        <w:t>、质疑与投诉</w:t>
      </w:r>
    </w:p>
    <w:p w14:paraId="34ED862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1供应商如认为磋商文件、采购过程和成交结果使自身的合法权益受到损害的，可以在知道或者应知其权益受到损害之日起七个工作日内，以书面形式向采购单位或采购代理机构提出质疑；供应商对采购单位、采购代理机构的质疑答复不满意或者采购单位、采购代理机构未在规定时间内作出答复的，可以在答复期满后十五个工作日内向</w:t>
      </w:r>
      <w:r>
        <w:rPr>
          <w:rFonts w:hint="eastAsia" w:asciiTheme="minorEastAsia" w:hAnsiTheme="minorEastAsia" w:eastAsiaTheme="minorEastAsia" w:cstheme="minorEastAsia"/>
          <w:color w:val="auto"/>
          <w:highlight w:val="none"/>
          <w:shd w:val="clear" w:color="auto" w:fill="FFFFFF"/>
          <w:lang w:eastAsia="zh-CN"/>
        </w:rPr>
        <w:t>同级监督管理部门投诉</w:t>
      </w:r>
      <w:r>
        <w:rPr>
          <w:rFonts w:hint="eastAsia" w:asciiTheme="minorEastAsia" w:hAnsiTheme="minorEastAsia" w:eastAsiaTheme="minorEastAsia" w:cstheme="minorEastAsia"/>
          <w:color w:val="auto"/>
          <w:highlight w:val="none"/>
          <w:shd w:val="clear" w:color="auto" w:fill="FFFFFF"/>
        </w:rPr>
        <w:t>。</w:t>
      </w:r>
    </w:p>
    <w:p w14:paraId="2AF1D223">
      <w:pPr>
        <w:pStyle w:val="5"/>
        <w:keepNext w:val="0"/>
        <w:keepLines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rPr>
        <w:t>.2政府采购法第五十二条规定的供应商应知其权益受到损害之日，是指：</w:t>
      </w:r>
    </w:p>
    <w:p w14:paraId="6FEE3299">
      <w:pPr>
        <w:pStyle w:val="5"/>
        <w:keepNext w:val="0"/>
        <w:keepLines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（1）对采购文件提出质疑的，应当在获取采购文件或者采购文件公告期限届满之日起7个工作日内提出；</w:t>
      </w:r>
    </w:p>
    <w:p w14:paraId="505BAB70">
      <w:pPr>
        <w:pStyle w:val="5"/>
        <w:keepNext w:val="0"/>
        <w:keepLines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（2）对采购过程提出质疑的，为各采购程序环节结束之日；</w:t>
      </w:r>
    </w:p>
    <w:p w14:paraId="2BF2DFE8">
      <w:pPr>
        <w:pStyle w:val="5"/>
        <w:keepNext w:val="0"/>
        <w:keepLines w:val="0"/>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（3）对</w:t>
      </w:r>
      <w:r>
        <w:rPr>
          <w:rFonts w:hint="eastAsia" w:ascii="宋体" w:hAnsi="宋体" w:eastAsia="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结果提出质疑的，为</w:t>
      </w:r>
      <w:r>
        <w:rPr>
          <w:rFonts w:hint="eastAsia" w:ascii="宋体" w:hAnsi="宋体" w:eastAsia="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结果公告期限届满之日。</w:t>
      </w:r>
    </w:p>
    <w:p w14:paraId="07395617">
      <w:pPr>
        <w:spacing w:line="400" w:lineRule="exact"/>
        <w:ind w:firstLine="420" w:firstLineChars="200"/>
        <w:jc w:val="left"/>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shd w:val="clear" w:color="auto" w:fill="FFFFFF"/>
          <w:lang w:val="en-US" w:eastAsia="zh-CN"/>
        </w:rPr>
        <w:t>3</w:t>
      </w:r>
      <w:r>
        <w:rPr>
          <w:rFonts w:hint="eastAsia" w:asciiTheme="minorEastAsia" w:hAnsiTheme="minorEastAsia" w:eastAsiaTheme="minorEastAsia" w:cstheme="minorEastAsia"/>
          <w:color w:val="auto"/>
          <w:highlight w:val="none"/>
          <w:shd w:val="clear" w:color="auto" w:fill="FFFFFF"/>
        </w:rPr>
        <w:t>质疑和投诉联系人：</w:t>
      </w:r>
    </w:p>
    <w:p w14:paraId="683627DA">
      <w:pPr>
        <w:pStyle w:val="25"/>
        <w:shd w:val="clear" w:color="auto" w:fill="FFFFFF"/>
        <w:spacing w:beforeAutospacing="0" w:afterAutospacing="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采购单位联系人：</w:t>
      </w:r>
      <w:r>
        <w:rPr>
          <w:rFonts w:hint="eastAsia" w:asciiTheme="minorEastAsia" w:hAnsiTheme="minorEastAsia" w:eastAsiaTheme="minorEastAsia" w:cstheme="minorEastAsia"/>
          <w:color w:val="auto"/>
          <w:sz w:val="21"/>
          <w:szCs w:val="21"/>
          <w:highlight w:val="none"/>
          <w:lang w:eastAsia="zh-CN"/>
        </w:rPr>
        <w:t>童先生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电话：</w:t>
      </w:r>
      <w:r>
        <w:rPr>
          <w:rFonts w:hint="eastAsia" w:asciiTheme="minorEastAsia" w:hAnsiTheme="minorEastAsia" w:eastAsiaTheme="minorEastAsia" w:cstheme="minorEastAsia"/>
          <w:color w:val="auto"/>
          <w:sz w:val="21"/>
          <w:szCs w:val="21"/>
          <w:highlight w:val="none"/>
          <w:lang w:val="en-US" w:eastAsia="zh-CN"/>
        </w:rPr>
        <w:t>13567025489</w:t>
      </w:r>
    </w:p>
    <w:p w14:paraId="714C50AF">
      <w:pPr>
        <w:pStyle w:val="25"/>
        <w:shd w:val="clear" w:color="auto" w:fill="FFFFFF"/>
        <w:spacing w:beforeAutospacing="0" w:afterAutospacing="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代理机构联系人：</w:t>
      </w:r>
      <w:r>
        <w:rPr>
          <w:rFonts w:hint="eastAsia" w:asciiTheme="minorEastAsia" w:hAnsiTheme="minorEastAsia" w:eastAsiaTheme="minorEastAsia" w:cstheme="minorEastAsia"/>
          <w:color w:val="auto"/>
          <w:sz w:val="21"/>
          <w:szCs w:val="21"/>
          <w:highlight w:val="none"/>
          <w:lang w:eastAsia="zh-CN"/>
        </w:rPr>
        <w:t>吴晓芬</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电话：</w:t>
      </w:r>
      <w:bookmarkStart w:id="55" w:name="_Toc333842550"/>
      <w:bookmarkStart w:id="56" w:name="_Toc326937536"/>
      <w:bookmarkStart w:id="57" w:name="_Toc393201713"/>
      <w:bookmarkStart w:id="58" w:name="_Toc358384694"/>
      <w:r>
        <w:rPr>
          <w:rFonts w:hint="eastAsia" w:asciiTheme="minorEastAsia" w:hAnsiTheme="minorEastAsia" w:eastAsiaTheme="minorEastAsia" w:cstheme="minorEastAsia"/>
          <w:color w:val="auto"/>
          <w:sz w:val="21"/>
          <w:szCs w:val="21"/>
          <w:highlight w:val="none"/>
          <w:lang w:eastAsia="zh-CN"/>
        </w:rPr>
        <w:t>0570-6010879</w:t>
      </w:r>
    </w:p>
    <w:p w14:paraId="23B002B8">
      <w:pPr>
        <w:spacing w:line="400" w:lineRule="exact"/>
        <w:ind w:firstLine="420" w:firstLineChars="200"/>
        <w:jc w:val="left"/>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lang w:val="en-US" w:eastAsia="zh-CN"/>
        </w:rPr>
        <w:t>28</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color w:val="auto"/>
          <w:highlight w:val="none"/>
          <w:shd w:val="clear" w:color="auto" w:fill="FFFFFF"/>
          <w:lang w:val="en-US" w:eastAsia="zh-CN"/>
        </w:rPr>
        <w:t>4</w:t>
      </w:r>
      <w:r>
        <w:rPr>
          <w:rFonts w:hint="eastAsia" w:asciiTheme="minorEastAsia" w:hAnsiTheme="minorEastAsia" w:eastAsiaTheme="minorEastAsia" w:cstheme="minorEastAsia"/>
          <w:color w:val="auto"/>
          <w:highlight w:val="none"/>
          <w:shd w:val="clear" w:color="auto" w:fill="FFFFFF"/>
        </w:rPr>
        <w:t>质疑材料递交方式：文档电子扫描件（加盖单位公章）发送至以下信箱：</w:t>
      </w:r>
      <w:r>
        <w:rPr>
          <w:color w:val="auto"/>
          <w:highlight w:val="none"/>
        </w:rPr>
        <w:fldChar w:fldCharType="begin"/>
      </w:r>
      <w:r>
        <w:rPr>
          <w:color w:val="auto"/>
          <w:highlight w:val="none"/>
        </w:rPr>
        <w:instrText xml:space="preserve"> HYPERLINK "mailto:khxztbzx@163.com" </w:instrText>
      </w:r>
      <w:r>
        <w:rPr>
          <w:color w:val="auto"/>
          <w:highlight w:val="none"/>
        </w:rPr>
        <w:fldChar w:fldCharType="separate"/>
      </w:r>
      <w:r>
        <w:rPr>
          <w:rFonts w:hint="eastAsia" w:asciiTheme="minorEastAsia" w:hAnsiTheme="minorEastAsia" w:eastAsiaTheme="minorEastAsia" w:cstheme="minorEastAsia"/>
          <w:color w:val="auto"/>
          <w:highlight w:val="none"/>
          <w:shd w:val="clear" w:color="auto" w:fill="FFFFFF"/>
          <w:lang w:val="en-US" w:eastAsia="zh-CN"/>
        </w:rPr>
        <w:t>50768802</w:t>
      </w:r>
      <w:r>
        <w:rPr>
          <w:rFonts w:hint="eastAsia" w:asciiTheme="minorEastAsia" w:hAnsiTheme="minorEastAsia" w:eastAsiaTheme="minorEastAsia" w:cstheme="minorEastAsia"/>
          <w:color w:val="auto"/>
          <w:highlight w:val="none"/>
          <w:shd w:val="clear" w:color="auto" w:fill="FFFFFF"/>
        </w:rPr>
        <w:t>@qq.com</w:t>
      </w:r>
      <w:r>
        <w:rPr>
          <w:rFonts w:hint="eastAsia" w:asciiTheme="minorEastAsia" w:hAnsiTheme="minorEastAsia" w:eastAsiaTheme="minorEastAsia" w:cstheme="minorEastAsia"/>
          <w:color w:val="auto"/>
          <w:highlight w:val="none"/>
          <w:shd w:val="clear" w:color="auto" w:fill="FFFFFF"/>
        </w:rPr>
        <w:fldChar w:fldCharType="end"/>
      </w:r>
      <w:r>
        <w:rPr>
          <w:rFonts w:hint="eastAsia" w:asciiTheme="minorEastAsia" w:hAnsiTheme="minorEastAsia" w:eastAsiaTheme="minorEastAsia" w:cstheme="minorEastAsia"/>
          <w:color w:val="auto"/>
          <w:highlight w:val="none"/>
          <w:shd w:val="clear" w:color="auto" w:fill="FFFFFF"/>
        </w:rPr>
        <w:t>，或递交到</w:t>
      </w:r>
      <w:r>
        <w:rPr>
          <w:rFonts w:hint="eastAsia" w:asciiTheme="minorEastAsia" w:hAnsiTheme="minorEastAsia" w:eastAsiaTheme="minorEastAsia" w:cstheme="minorEastAsia"/>
          <w:color w:val="auto"/>
          <w:highlight w:val="none"/>
          <w:shd w:val="clear" w:color="auto" w:fill="FFFFFF"/>
          <w:lang w:eastAsia="zh-CN"/>
        </w:rPr>
        <w:t>浙江天健工程造价咨询有限公司</w:t>
      </w:r>
      <w:r>
        <w:rPr>
          <w:rFonts w:hint="eastAsia" w:asciiTheme="minorEastAsia" w:hAnsiTheme="minorEastAsia" w:eastAsiaTheme="minorEastAsia" w:cstheme="minorEastAsia"/>
          <w:color w:val="auto"/>
          <w:highlight w:val="none"/>
          <w:shd w:val="clear" w:color="auto" w:fill="FFFFFF"/>
        </w:rPr>
        <w:t>。</w:t>
      </w:r>
    </w:p>
    <w:p w14:paraId="4038F14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.5质疑材料</w:t>
      </w:r>
    </w:p>
    <w:p w14:paraId="5AEA192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质疑函应当包括下列内容：</w:t>
      </w:r>
    </w:p>
    <w:p w14:paraId="05FAB24E">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6EBED839">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14:paraId="699283AC">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79E6E5CE">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（4）事实依据；</w:t>
      </w:r>
    </w:p>
    <w:p w14:paraId="1E5D6F88">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14:paraId="740E9104">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（6）提出质疑的日期。</w:t>
      </w:r>
    </w:p>
    <w:p w14:paraId="6306003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供应商为自然人的，应当由本人签字；供应商为法人或者其他组织的，应当由法定代表人、主要负责人，或者其授权代表签字或者盖章，并加盖公章。质疑应明确阐述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过程或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结果中使自己合法权益受到损害的实质性内容，提供相关事实、依据和证据及其来源或线索，便于有关单位调查、答复和处理, 质疑函不符合《政府采购质疑和投诉办法》相关规定的，应在规定期限内补齐的，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自收到补齐材料之日起受理；逾期未补齐的，按自动撤回质疑处理。</w:t>
      </w:r>
    </w:p>
    <w:p w14:paraId="19F23C92">
      <w:pPr>
        <w:pStyle w:val="15"/>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28</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6供应商在法定质疑期内一次性提出针对同一采购程序环节的质疑</w:t>
      </w:r>
      <w:r>
        <w:rPr>
          <w:rFonts w:hint="eastAsia" w:hAnsi="宋体" w:eastAsia="宋体" w:cs="宋体"/>
          <w:b/>
          <w:bCs w:val="0"/>
          <w:color w:val="auto"/>
          <w:sz w:val="21"/>
          <w:szCs w:val="21"/>
          <w:highlight w:val="none"/>
          <w:lang w:val="en-US" w:eastAsia="zh-CN"/>
        </w:rPr>
        <w:t>。</w:t>
      </w:r>
    </w:p>
    <w:p w14:paraId="4FC6D7B0">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bookmarkStart w:id="59" w:name="_Toc504642670"/>
      <w:bookmarkStart w:id="60" w:name="_Toc433917266"/>
    </w:p>
    <w:p w14:paraId="39447C70">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46D3BE0C">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65CBEFE7">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05EF1603">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472AB50D">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43070B59">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675F219F">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4C105BDB">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1D2EC283">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7A8CDC5C">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p>
    <w:p w14:paraId="3277D58F">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5"/>
      <w:bookmarkEnd w:id="56"/>
      <w:bookmarkEnd w:id="57"/>
      <w:bookmarkEnd w:id="58"/>
      <w:bookmarkEnd w:id="59"/>
      <w:bookmarkEnd w:id="60"/>
    </w:p>
    <w:p w14:paraId="08776762">
      <w:pPr>
        <w:widowControl/>
        <w:spacing w:line="400" w:lineRule="exact"/>
        <w:ind w:firstLine="413" w:firstLineChars="196"/>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29</w:t>
      </w:r>
      <w:r>
        <w:rPr>
          <w:rFonts w:hint="eastAsia" w:asciiTheme="minorEastAsia" w:hAnsiTheme="minorEastAsia" w:eastAsiaTheme="minorEastAsia" w:cstheme="minorEastAsia"/>
          <w:b/>
          <w:bCs/>
          <w:color w:val="auto"/>
          <w:kern w:val="0"/>
          <w:highlight w:val="none"/>
          <w:shd w:val="clear" w:color="auto" w:fill="FFFFFF"/>
        </w:rPr>
        <w:t>、签订合同</w:t>
      </w:r>
    </w:p>
    <w:p w14:paraId="4B0D26CB">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w:t>
      </w:r>
      <w:r>
        <w:rPr>
          <w:rFonts w:hint="eastAsia" w:asciiTheme="minorEastAsia" w:hAnsiTheme="minorEastAsia" w:eastAsiaTheme="minorEastAsia" w:cstheme="minorEastAsia"/>
          <w:color w:val="auto"/>
          <w:kern w:val="0"/>
          <w:highlight w:val="none"/>
          <w:u w:val="none"/>
        </w:rPr>
        <w:t>日</w:t>
      </w:r>
      <w:r>
        <w:rPr>
          <w:rFonts w:hint="eastAsia" w:asciiTheme="minorEastAsia" w:hAnsiTheme="minorEastAsia" w:eastAsiaTheme="minorEastAsia" w:cstheme="minorEastAsia"/>
          <w:color w:val="auto"/>
          <w:kern w:val="0"/>
          <w:highlight w:val="none"/>
        </w:rPr>
        <w:t>内与采购单位签订合同</w:t>
      </w:r>
      <w:r>
        <w:rPr>
          <w:rFonts w:hint="eastAsia" w:asciiTheme="minorEastAsia" w:hAnsiTheme="minorEastAsia" w:eastAsiaTheme="minorEastAsia" w:cstheme="minorEastAsia"/>
          <w:color w:val="auto"/>
          <w:kern w:val="0"/>
          <w:highlight w:val="none"/>
          <w:shd w:val="clear" w:color="auto" w:fill="FFFFFF"/>
        </w:rPr>
        <w:t>。</w:t>
      </w:r>
    </w:p>
    <w:p w14:paraId="079067BC">
      <w:pPr>
        <w:widowControl/>
        <w:spacing w:line="400" w:lineRule="exact"/>
        <w:ind w:firstLine="420" w:firstLineChars="200"/>
        <w:jc w:val="left"/>
        <w:rPr>
          <w:rFonts w:hint="default" w:asciiTheme="minorEastAsia" w:hAnsiTheme="minorEastAsia" w:eastAsiaTheme="minorEastAsia" w:cstheme="minorEastAsia"/>
          <w:color w:val="auto"/>
          <w:kern w:val="0"/>
          <w:highlight w:val="none"/>
          <w:shd w:val="clear" w:color="auto" w:fill="FFFFFF"/>
          <w:lang w:val="en-US"/>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.2 如成交方未在规定时间内签订合同或拒签合同，则按成交方违约处理。</w:t>
      </w:r>
    </w:p>
    <w:p w14:paraId="62E67BF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29</w:t>
      </w:r>
      <w:r>
        <w:rPr>
          <w:rFonts w:hint="eastAsia" w:asciiTheme="minorEastAsia" w:hAnsiTheme="minorEastAsia" w:eastAsiaTheme="minorEastAsia" w:cstheme="minorEastAsia"/>
          <w:color w:val="auto"/>
          <w:kern w:val="0"/>
          <w:highlight w:val="none"/>
        </w:rPr>
        <w:t>.3合同经双方法定代表人或授权委托人签字加盖单位公章，并经</w:t>
      </w:r>
      <w:r>
        <w:rPr>
          <w:rFonts w:hint="eastAsia" w:asciiTheme="minorEastAsia" w:hAnsiTheme="minorEastAsia" w:eastAsiaTheme="minorEastAsia" w:cstheme="minorEastAsia"/>
          <w:color w:val="auto"/>
          <w:kern w:val="0"/>
          <w:highlight w:val="none"/>
          <w:lang w:eastAsia="zh-CN"/>
        </w:rPr>
        <w:t>浙江天健工程造价咨询有限公司</w:t>
      </w:r>
      <w:r>
        <w:rPr>
          <w:rFonts w:hint="eastAsia" w:asciiTheme="minorEastAsia" w:hAnsiTheme="minorEastAsia" w:eastAsiaTheme="minorEastAsia" w:cstheme="minorEastAsia"/>
          <w:color w:val="auto"/>
          <w:kern w:val="0"/>
          <w:highlight w:val="none"/>
        </w:rPr>
        <w:t>鉴证盖章后生效。</w:t>
      </w:r>
    </w:p>
    <w:p w14:paraId="2392E9B3">
      <w:pPr>
        <w:widowControl/>
        <w:spacing w:line="400" w:lineRule="exact"/>
        <w:ind w:firstLine="420" w:firstLineChars="200"/>
        <w:jc w:val="left"/>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lang w:val="en-US" w:eastAsia="zh-CN"/>
        </w:rPr>
        <w:t>29</w:t>
      </w:r>
      <w:r>
        <w:rPr>
          <w:rFonts w:hint="eastAsia" w:asciiTheme="minorEastAsia" w:hAnsiTheme="minorEastAsia" w:eastAsiaTheme="minorEastAsia" w:cstheme="minorEastAsia"/>
          <w:color w:val="auto"/>
          <w:kern w:val="0"/>
          <w:highlight w:val="none"/>
          <w:shd w:val="clear" w:color="auto" w:fill="FFFFFF"/>
        </w:rPr>
        <w:t>.4磋商文件、响应文件及其澄清文件等，均作为签订合同的依据。所签订的合同不得对磋商文件和响应文件做实质性修改。</w:t>
      </w:r>
    </w:p>
    <w:p w14:paraId="7996FD9A">
      <w:pPr>
        <w:numPr>
          <w:ilvl w:val="0"/>
          <w:numId w:val="6"/>
        </w:numPr>
        <w:spacing w:beforeLines="20" w:afterLines="20"/>
        <w:jc w:val="center"/>
        <w:outlineLvl w:val="2"/>
        <w:rPr>
          <w:rFonts w:hint="eastAsia" w:ascii="黑体" w:hAnsi="黑体" w:eastAsia="黑体"/>
          <w:color w:val="auto"/>
          <w:sz w:val="36"/>
          <w:highlight w:val="none"/>
          <w:lang w:eastAsia="zh-CN"/>
        </w:rPr>
      </w:pPr>
      <w:r>
        <w:rPr>
          <w:rFonts w:hint="eastAsia" w:ascii="仿宋" w:hAnsi="仿宋" w:eastAsia="仿宋" w:cs="宋体"/>
          <w:color w:val="auto"/>
          <w:kern w:val="0"/>
          <w:sz w:val="24"/>
          <w:highlight w:val="none"/>
          <w:shd w:val="clear" w:color="auto" w:fill="FFFFFF"/>
        </w:rPr>
        <w:br w:type="page"/>
      </w:r>
      <w:bookmarkEnd w:id="9"/>
      <w:bookmarkEnd w:id="10"/>
      <w:bookmarkEnd w:id="11"/>
      <w:bookmarkEnd w:id="12"/>
      <w:bookmarkEnd w:id="13"/>
      <w:bookmarkEnd w:id="14"/>
      <w:bookmarkEnd w:id="15"/>
      <w:bookmarkStart w:id="61" w:name="_Toc454873008"/>
      <w:bookmarkStart w:id="62" w:name="_Toc479236979"/>
      <w:bookmarkStart w:id="63" w:name="_Toc433917267"/>
      <w:bookmarkStart w:id="64" w:name="_Toc393201714"/>
      <w:bookmarkStart w:id="65" w:name="_Toc392080784"/>
      <w:bookmarkStart w:id="66" w:name="_Toc393201726"/>
      <w:bookmarkStart w:id="67" w:name="_Toc479236982"/>
      <w:bookmarkStart w:id="68" w:name="_Toc433917284"/>
      <w:r>
        <w:rPr>
          <w:rFonts w:hint="eastAsia" w:ascii="黑体" w:hAnsi="黑体" w:eastAsia="黑体"/>
          <w:color w:val="auto"/>
          <w:sz w:val="36"/>
          <w:highlight w:val="none"/>
        </w:rPr>
        <w:t xml:space="preserve"> </w:t>
      </w:r>
      <w:bookmarkEnd w:id="61"/>
      <w:bookmarkStart w:id="69" w:name="_Toc340736189"/>
      <w:bookmarkStart w:id="70" w:name="_Toc386636611"/>
      <w:bookmarkStart w:id="71" w:name="_Toc397775657"/>
      <w:bookmarkStart w:id="72" w:name="_Toc333842561"/>
      <w:bookmarkStart w:id="73" w:name="_Toc375206054"/>
      <w:bookmarkStart w:id="74" w:name="_Toc369166669"/>
      <w:r>
        <w:rPr>
          <w:rFonts w:hint="eastAsia" w:ascii="黑体" w:hAnsi="黑体" w:eastAsia="黑体"/>
          <w:color w:val="auto"/>
          <w:sz w:val="36"/>
          <w:highlight w:val="none"/>
          <w:lang w:eastAsia="zh-CN"/>
        </w:rPr>
        <w:t>主要合同条款</w:t>
      </w:r>
      <w:bookmarkEnd w:id="62"/>
      <w:bookmarkEnd w:id="63"/>
      <w:bookmarkEnd w:id="64"/>
      <w:bookmarkEnd w:id="69"/>
      <w:bookmarkEnd w:id="70"/>
      <w:bookmarkEnd w:id="71"/>
      <w:bookmarkEnd w:id="72"/>
      <w:bookmarkEnd w:id="73"/>
      <w:bookmarkEnd w:id="74"/>
    </w:p>
    <w:p w14:paraId="0F8F2507">
      <w:pPr>
        <w:numPr>
          <w:ilvl w:val="0"/>
          <w:numId w:val="0"/>
        </w:numPr>
        <w:spacing w:beforeLines="20" w:afterLines="20"/>
        <w:jc w:val="center"/>
        <w:outlineLvl w:val="2"/>
        <w:rPr>
          <w:rFonts w:ascii="宋体" w:hAnsi="宋体"/>
          <w:b/>
          <w:color w:val="auto"/>
          <w:sz w:val="28"/>
          <w:szCs w:val="28"/>
          <w:highlight w:val="none"/>
        </w:rPr>
      </w:pPr>
      <w:r>
        <w:rPr>
          <w:rFonts w:hint="eastAsia" w:ascii="宋体" w:hAnsi="宋体"/>
          <w:b/>
          <w:color w:val="auto"/>
          <w:sz w:val="28"/>
          <w:szCs w:val="28"/>
          <w:highlight w:val="none"/>
        </w:rPr>
        <w:t>一、合同主要条款</w:t>
      </w:r>
    </w:p>
    <w:p w14:paraId="1D53D5E9">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1、说明</w:t>
      </w:r>
    </w:p>
    <w:p w14:paraId="1A772AE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 </w:t>
      </w:r>
      <w:r>
        <w:rPr>
          <w:rFonts w:hint="eastAsia" w:ascii="宋体" w:hAnsi="宋体" w:cs="宋体"/>
          <w:color w:val="auto"/>
          <w:spacing w:val="-2"/>
          <w:szCs w:val="21"/>
          <w:highlight w:val="none"/>
        </w:rPr>
        <w:t>合同基本条款是指采购单位（以下简称甲方）和成交方（以下简称乙方）应共同遵守的基本原则，并作为双方签约的依据。对于合同的其他条款，双方应本着互谅互让的精神，再谈判中协商解决。</w:t>
      </w:r>
    </w:p>
    <w:p w14:paraId="08A8CEE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 制订《合同基本条款》的依据是：《中华人民共和国</w:t>
      </w:r>
      <w:r>
        <w:rPr>
          <w:rFonts w:hint="eastAsia" w:ascii="宋体" w:hAnsi="宋体" w:cs="宋体"/>
          <w:color w:val="auto"/>
          <w:szCs w:val="21"/>
          <w:highlight w:val="none"/>
          <w:lang w:eastAsia="zh-CN"/>
        </w:rPr>
        <w:t>民</w:t>
      </w:r>
      <w:r>
        <w:rPr>
          <w:rFonts w:hint="eastAsia" w:ascii="宋体" w:hAnsi="宋体" w:cs="宋体"/>
          <w:color w:val="auto"/>
          <w:szCs w:val="21"/>
          <w:highlight w:val="none"/>
        </w:rPr>
        <w:t>法</w:t>
      </w:r>
      <w:r>
        <w:rPr>
          <w:rFonts w:hint="eastAsia" w:ascii="宋体" w:hAnsi="宋体" w:cs="宋体"/>
          <w:color w:val="auto"/>
          <w:szCs w:val="21"/>
          <w:highlight w:val="none"/>
          <w:lang w:eastAsia="zh-CN"/>
        </w:rPr>
        <w:t>典</w:t>
      </w:r>
      <w:r>
        <w:rPr>
          <w:rFonts w:hint="eastAsia" w:ascii="宋体" w:hAnsi="宋体" w:cs="宋体"/>
          <w:color w:val="auto"/>
          <w:szCs w:val="21"/>
          <w:highlight w:val="none"/>
        </w:rPr>
        <w:t>》。</w:t>
      </w:r>
    </w:p>
    <w:p w14:paraId="49036153">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2、货物条款</w:t>
      </w:r>
    </w:p>
    <w:p w14:paraId="7F897F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2.1甲、乙双方应将采购文件、响应文件确认的货物名称、规格型号、技术要求、质量标准、数量、交货日期和售后服务内容等作为本条款的基础。</w:t>
      </w:r>
    </w:p>
    <w:p w14:paraId="22569720">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3、技术资料</w:t>
      </w:r>
    </w:p>
    <w:p w14:paraId="64DA0B1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3.1甲方向乙方提供本次采购的产品等有关技术资料。</w:t>
      </w:r>
    </w:p>
    <w:p w14:paraId="67A703BE">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4、质量保证</w:t>
      </w:r>
    </w:p>
    <w:p w14:paraId="62A7C2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4.1乙方提供产品的质量必须符合采购文件要求。</w:t>
      </w:r>
    </w:p>
    <w:p w14:paraId="4F16A929">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4.3 如在使用过程中发生质量问题，乙方在接到甲方</w:t>
      </w:r>
      <w:r>
        <w:rPr>
          <w:rFonts w:hint="eastAsia" w:ascii="宋体" w:hAnsi="宋体" w:eastAsia="宋体" w:cs="宋体"/>
          <w:color w:val="auto"/>
          <w:szCs w:val="21"/>
          <w:highlight w:val="none"/>
        </w:rPr>
        <w:t>通知后</w:t>
      </w:r>
      <w:r>
        <w:rPr>
          <w:rFonts w:hint="eastAsia" w:ascii="宋体" w:hAnsi="宋体" w:cs="宋体"/>
          <w:color w:val="auto"/>
          <w:szCs w:val="21"/>
          <w:highlight w:val="none"/>
          <w:lang w:val="en-US" w:eastAsia="zh-CN"/>
        </w:rPr>
        <w:t>当日需</w:t>
      </w:r>
      <w:r>
        <w:rPr>
          <w:rFonts w:hint="eastAsia" w:ascii="宋体" w:hAnsi="宋体" w:eastAsia="宋体" w:cs="宋体"/>
          <w:color w:val="auto"/>
          <w:szCs w:val="21"/>
          <w:highlight w:val="none"/>
        </w:rPr>
        <w:t>到达甲方现场</w:t>
      </w:r>
      <w:r>
        <w:rPr>
          <w:rFonts w:hint="eastAsia" w:ascii="宋体" w:hAnsi="宋体" w:cs="宋体"/>
          <w:color w:val="auto"/>
          <w:szCs w:val="21"/>
          <w:highlight w:val="none"/>
          <w:lang w:val="en-US" w:eastAsia="zh-CN"/>
        </w:rPr>
        <w:t>并处理妥善</w:t>
      </w:r>
      <w:r>
        <w:rPr>
          <w:rFonts w:hint="eastAsia" w:ascii="宋体" w:hAnsi="宋体" w:eastAsia="宋体" w:cs="宋体"/>
          <w:color w:val="auto"/>
          <w:szCs w:val="21"/>
          <w:highlight w:val="none"/>
        </w:rPr>
        <w:t>。</w:t>
      </w:r>
    </w:p>
    <w:p w14:paraId="051D86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在质保期内，乙方应对产品出现的质量及安全问题负责处理解决。</w:t>
      </w:r>
    </w:p>
    <w:p w14:paraId="102BFF2A">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5、产品包装、发运及运输</w:t>
      </w:r>
    </w:p>
    <w:p w14:paraId="00D21C4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5.1乙方应在货物发运前对其进行满足于运输距离、防潮和防破损装卸要求的包装，以保证产品安全运输到达甲方指定地点。</w:t>
      </w:r>
    </w:p>
    <w:p w14:paraId="7D03AAC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乙方负责将产品安全运送到甲方指定地点，不另收任何费用。</w:t>
      </w:r>
    </w:p>
    <w:p w14:paraId="1E10B9B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产品在交货前发生的不可预见的风险均由乙方负责。</w:t>
      </w:r>
    </w:p>
    <w:p w14:paraId="60271EF8">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6、验收</w:t>
      </w:r>
    </w:p>
    <w:p w14:paraId="47215A1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w:t>
      </w:r>
      <w:r>
        <w:rPr>
          <w:rFonts w:hint="eastAsia" w:ascii="宋体" w:hAnsi="宋体" w:cs="宋体"/>
          <w:color w:val="auto"/>
          <w:spacing w:val="-4"/>
          <w:szCs w:val="21"/>
          <w:highlight w:val="none"/>
        </w:rPr>
        <w:t>乙方交货前应对货物做出全面检查，确保货物达到质量要求。</w:t>
      </w:r>
    </w:p>
    <w:p w14:paraId="6D7D45B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6.2乙方交货到甲方指定地点，甲方与乙方共同对交货数量、外包装情况及对质量情况进行验收，并在验收报告上签字盖章确认。</w:t>
      </w:r>
    </w:p>
    <w:p w14:paraId="4BE84952">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7、违约责任</w:t>
      </w:r>
    </w:p>
    <w:p w14:paraId="74AF934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7.1逾期交货或无正当理由拒收的，每天按合同价的0.5%对违约方进行罚款</w:t>
      </w:r>
      <w:r>
        <w:rPr>
          <w:rFonts w:hint="eastAsia" w:ascii="宋体" w:hAnsi="宋体" w:cs="宋体"/>
          <w:color w:val="auto"/>
          <w:szCs w:val="21"/>
          <w:highlight w:val="none"/>
          <w:lang w:eastAsia="zh-CN"/>
        </w:rPr>
        <w:t>，</w:t>
      </w:r>
      <w:r>
        <w:rPr>
          <w:rFonts w:hint="eastAsia" w:ascii="宋体" w:hAnsi="宋体" w:cs="宋体"/>
          <w:color w:val="auto"/>
          <w:szCs w:val="21"/>
          <w:highlight w:val="none"/>
        </w:rPr>
        <w:t>最高不超过合同价的20%。</w:t>
      </w:r>
    </w:p>
    <w:p w14:paraId="5680FA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7.2逾期超过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天仍不能交货的，甲方可解除双方的供货合同，造成甲方损失的，由乙方负责赔偿。</w:t>
      </w:r>
    </w:p>
    <w:p w14:paraId="739AE0B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7.3其他未尽事宜，双方签订合同时按合同法议定。</w:t>
      </w:r>
    </w:p>
    <w:p w14:paraId="646F2E48">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8、不可抗力事件处理</w:t>
      </w:r>
    </w:p>
    <w:p w14:paraId="5652E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8.1 在合同有效期限内，任何一方因不可抗力事件导致不能履行合同，则合同履行期可延长，其延长期与不可抗力影响期相同。</w:t>
      </w:r>
    </w:p>
    <w:p w14:paraId="41552D2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不可抗力事件发生后，应立即通知对方，并寄送有关权威机构出具的证明。</w:t>
      </w:r>
    </w:p>
    <w:p w14:paraId="5C793FF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 不可抗力事件延续120天以上，双方应通过友好协商，确定是否继续履行合同。</w:t>
      </w:r>
    </w:p>
    <w:p w14:paraId="34E3693D">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9、仲裁</w:t>
      </w:r>
    </w:p>
    <w:p w14:paraId="3C22DBC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9.1 双方在执行合同中所发生的一切争议，应通过协商解决。如协商不成，按合同事先约定的条款，向合同签订地仲裁部门提交仲裁或向法院起诉。</w:t>
      </w:r>
    </w:p>
    <w:p w14:paraId="58F784C2">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10、合同生效及其他</w:t>
      </w:r>
    </w:p>
    <w:p w14:paraId="1B1B68C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 合同经双方法定代表人或授权委托人签字加盖单位盖章，并经</w:t>
      </w:r>
      <w:r>
        <w:rPr>
          <w:rFonts w:hint="eastAsia" w:ascii="宋体" w:hAnsi="宋体" w:cs="宋体"/>
          <w:color w:val="auto"/>
          <w:szCs w:val="21"/>
          <w:highlight w:val="none"/>
          <w:lang w:eastAsia="zh-CN"/>
        </w:rPr>
        <w:t>浙江天健工程造价咨询有限公司</w:t>
      </w:r>
      <w:r>
        <w:rPr>
          <w:rFonts w:hint="eastAsia" w:ascii="宋体" w:hAnsi="宋体" w:cs="宋体"/>
          <w:color w:val="auto"/>
          <w:szCs w:val="21"/>
          <w:highlight w:val="none"/>
        </w:rPr>
        <w:t>鉴证盖章后生效。</w:t>
      </w:r>
    </w:p>
    <w:p w14:paraId="699CA05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本合同一式</w:t>
      </w:r>
      <w:r>
        <w:rPr>
          <w:rFonts w:hint="eastAsia" w:ascii="宋体" w:hAnsi="宋体" w:cs="宋体"/>
          <w:color w:val="auto"/>
          <w:szCs w:val="21"/>
          <w:highlight w:val="none"/>
          <w:lang w:eastAsia="zh-CN"/>
        </w:rPr>
        <w:t>伍</w:t>
      </w:r>
      <w:r>
        <w:rPr>
          <w:rFonts w:hint="eastAsia" w:ascii="宋体" w:hAnsi="宋体" w:cs="宋体"/>
          <w:color w:val="auto"/>
          <w:szCs w:val="21"/>
          <w:highlight w:val="none"/>
        </w:rPr>
        <w:t>份，甲、乙双方各执</w:t>
      </w:r>
      <w:r>
        <w:rPr>
          <w:rFonts w:hint="eastAsia" w:ascii="宋体" w:hAnsi="宋体" w:cs="宋体"/>
          <w:color w:val="auto"/>
          <w:szCs w:val="21"/>
          <w:highlight w:val="none"/>
          <w:lang w:eastAsia="zh-CN"/>
        </w:rPr>
        <w:t>贰</w:t>
      </w:r>
      <w:r>
        <w:rPr>
          <w:rFonts w:hint="eastAsia" w:ascii="宋体" w:hAnsi="宋体" w:cs="宋体"/>
          <w:color w:val="auto"/>
          <w:szCs w:val="21"/>
          <w:highlight w:val="none"/>
        </w:rPr>
        <w:t>份</w:t>
      </w:r>
      <w:r>
        <w:rPr>
          <w:rFonts w:hint="eastAsia" w:ascii="宋体" w:hAnsi="宋体" w:cs="宋体"/>
          <w:color w:val="auto"/>
          <w:szCs w:val="21"/>
          <w:highlight w:val="none"/>
          <w:lang w:eastAsia="zh-CN"/>
        </w:rPr>
        <w:t>；浙江天健工程造价咨询有限公司执壹份备案存档</w:t>
      </w:r>
      <w:r>
        <w:rPr>
          <w:rFonts w:hint="eastAsia" w:ascii="宋体" w:hAnsi="宋体" w:cs="宋体"/>
          <w:color w:val="auto"/>
          <w:szCs w:val="21"/>
          <w:highlight w:val="none"/>
        </w:rPr>
        <w:t>，均具同等法律效力。</w:t>
      </w:r>
    </w:p>
    <w:p w14:paraId="3E8227C4">
      <w:pPr>
        <w:spacing w:beforeLines="0" w:afterLines="0" w:line="400" w:lineRule="exact"/>
        <w:ind w:firstLine="422" w:firstLineChars="200"/>
        <w:rPr>
          <w:rFonts w:hint="eastAsia" w:ascii="宋体" w:hAnsi="宋体"/>
          <w:b/>
          <w:color w:val="auto"/>
          <w:sz w:val="21"/>
          <w:highlight w:val="none"/>
        </w:rPr>
      </w:pPr>
    </w:p>
    <w:p w14:paraId="46B5E4A1">
      <w:pPr>
        <w:widowControl/>
        <w:spacing w:line="420" w:lineRule="atLeast"/>
        <w:jc w:val="center"/>
        <w:textAlignment w:val="baseline"/>
        <w:outlineLvl w:val="1"/>
        <w:rPr>
          <w:rFonts w:hint="eastAsia" w:ascii="宋体" w:hAnsi="宋体" w:eastAsia="宋体"/>
          <w:b/>
          <w:color w:val="auto"/>
          <w:sz w:val="28"/>
          <w:szCs w:val="28"/>
          <w:highlight w:val="none"/>
        </w:rPr>
      </w:pPr>
      <w:r>
        <w:rPr>
          <w:rFonts w:hint="eastAsia"/>
          <w:color w:val="auto"/>
          <w:highlight w:val="none"/>
        </w:rPr>
        <w:br w:type="page"/>
      </w:r>
      <w:r>
        <w:rPr>
          <w:rFonts w:hint="eastAsia" w:ascii="宋体" w:hAnsi="宋体" w:eastAsia="宋体"/>
          <w:b/>
          <w:color w:val="auto"/>
          <w:sz w:val="28"/>
          <w:szCs w:val="28"/>
          <w:highlight w:val="none"/>
        </w:rPr>
        <w:t>二、合同格式</w:t>
      </w:r>
    </w:p>
    <w:p w14:paraId="6748FD55">
      <w:pPr>
        <w:pStyle w:val="5"/>
        <w:rPr>
          <w:rFonts w:hint="eastAsia"/>
          <w:color w:val="auto"/>
          <w:highlight w:val="none"/>
        </w:rPr>
      </w:pPr>
    </w:p>
    <w:p w14:paraId="7C8786B4">
      <w:pPr>
        <w:spacing w:line="400" w:lineRule="exact"/>
        <w:jc w:val="center"/>
        <w:rPr>
          <w:rFonts w:hint="eastAsia"/>
          <w:color w:val="auto"/>
          <w:highlight w:val="none"/>
          <w:lang w:val="en-US" w:eastAsia="zh-CN"/>
        </w:rPr>
      </w:pPr>
      <w:r>
        <w:rPr>
          <w:rFonts w:hint="eastAsia" w:ascii="宋体" w:hAnsi="宋体"/>
          <w:b/>
          <w:bCs/>
          <w:color w:val="auto"/>
          <w:sz w:val="32"/>
          <w:szCs w:val="32"/>
          <w:highlight w:val="none"/>
          <w:lang w:val="en-US" w:eastAsia="zh-CN"/>
        </w:rPr>
        <w:t xml:space="preserve">    开化县钱江源共富农品精深加工项目——物联网数据系统和桐村畈基地水肥一体机（非政府采购）</w:t>
      </w:r>
    </w:p>
    <w:p w14:paraId="7154801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auto"/>
          <w:szCs w:val="21"/>
          <w:highlight w:val="none"/>
        </w:rPr>
      </w:pPr>
      <w:r>
        <w:rPr>
          <w:rFonts w:hint="eastAsia" w:ascii="宋体" w:hAnsi="宋体"/>
          <w:color w:val="auto"/>
          <w:szCs w:val="21"/>
          <w:highlight w:val="none"/>
        </w:rPr>
        <w:t>合同号：</w:t>
      </w:r>
      <w:r>
        <w:rPr>
          <w:rFonts w:hint="eastAsia" w:ascii="宋体" w:hAnsi="宋体"/>
          <w:color w:val="auto"/>
          <w:szCs w:val="21"/>
          <w:highlight w:val="none"/>
          <w:u w:val="single"/>
        </w:rPr>
        <w:t xml:space="preserve">                         </w:t>
      </w:r>
    </w:p>
    <w:p w14:paraId="15906F2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Cs w:val="21"/>
          <w:highlight w:val="none"/>
        </w:rPr>
      </w:pPr>
      <w:r>
        <w:rPr>
          <w:rFonts w:hint="eastAsia" w:ascii="宋体" w:hAnsi="宋体"/>
          <w:color w:val="auto"/>
          <w:szCs w:val="21"/>
          <w:highlight w:val="none"/>
        </w:rPr>
        <w:t>甲  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（采购单位）           </w:t>
      </w:r>
    </w:p>
    <w:p w14:paraId="71B7626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Cs w:val="21"/>
          <w:highlight w:val="none"/>
        </w:rPr>
      </w:pPr>
      <w:r>
        <w:rPr>
          <w:rFonts w:hint="eastAsia" w:ascii="宋体" w:hAnsi="宋体"/>
          <w:color w:val="auto"/>
          <w:szCs w:val="21"/>
          <w:highlight w:val="none"/>
        </w:rPr>
        <w:t>乙  方：</w:t>
      </w:r>
      <w:r>
        <w:rPr>
          <w:rFonts w:hint="eastAsia" w:ascii="宋体" w:hAnsi="宋体"/>
          <w:color w:val="auto"/>
          <w:szCs w:val="21"/>
          <w:highlight w:val="none"/>
          <w:u w:val="single"/>
        </w:rPr>
        <w:t xml:space="preserve">                         </w:t>
      </w:r>
      <w:r>
        <w:rPr>
          <w:rFonts w:hint="eastAsia" w:ascii="宋体" w:hAnsi="宋体"/>
          <w:color w:val="auto"/>
          <w:szCs w:val="21"/>
          <w:highlight w:val="none"/>
        </w:rPr>
        <w:t>（成交方）</w:t>
      </w:r>
    </w:p>
    <w:p w14:paraId="39D0DE8B">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auto"/>
          <w:szCs w:val="21"/>
          <w:highlight w:val="none"/>
        </w:rPr>
      </w:pPr>
      <w:r>
        <w:rPr>
          <w:rFonts w:hint="eastAsia" w:ascii="宋体" w:hAnsi="宋体"/>
          <w:color w:val="auto"/>
          <w:szCs w:val="21"/>
          <w:highlight w:val="none"/>
        </w:rPr>
        <w:t xml:space="preserve">     甲乙双方根据</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lang w:eastAsia="zh-CN"/>
        </w:rPr>
        <w:t>浙江桐花农业开发有限公司</w:t>
      </w:r>
      <w:r>
        <w:rPr>
          <w:rFonts w:hint="eastAsia" w:ascii="宋体" w:hAnsi="宋体"/>
          <w:color w:val="auto"/>
          <w:szCs w:val="21"/>
          <w:highlight w:val="none"/>
        </w:rPr>
        <w:t>签发的</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《成交通知书》（编号：</w:t>
      </w:r>
      <w:r>
        <w:rPr>
          <w:rFonts w:hint="eastAsia" w:ascii="宋体" w:hAnsi="宋体"/>
          <w:color w:val="auto"/>
          <w:szCs w:val="21"/>
          <w:highlight w:val="none"/>
          <w:u w:val="single"/>
        </w:rPr>
        <w:t xml:space="preserve">       </w:t>
      </w:r>
      <w:r>
        <w:rPr>
          <w:rFonts w:hint="eastAsia" w:ascii="宋体" w:hAnsi="宋体"/>
          <w:color w:val="auto"/>
          <w:szCs w:val="21"/>
          <w:highlight w:val="none"/>
        </w:rPr>
        <w:t>），以及采购文件、响应文件的规定，并经双方协商一致，达成本购销合同（成交通知书、采购文件、响应文件以及甲、乙双方商定经</w:t>
      </w:r>
      <w:r>
        <w:rPr>
          <w:rFonts w:hint="eastAsia" w:ascii="宋体" w:hAnsi="宋体"/>
          <w:color w:val="auto"/>
          <w:szCs w:val="21"/>
          <w:highlight w:val="none"/>
          <w:lang w:eastAsia="zh-CN"/>
        </w:rPr>
        <w:t>浙江天健工程造价咨询有限公司</w:t>
      </w:r>
      <w:r>
        <w:rPr>
          <w:rFonts w:hint="eastAsia" w:ascii="宋体" w:hAnsi="宋体"/>
          <w:color w:val="auto"/>
          <w:szCs w:val="21"/>
          <w:highlight w:val="none"/>
        </w:rPr>
        <w:t>确认后的补充协议构成本合同不可分割的部份）。</w:t>
      </w:r>
    </w:p>
    <w:p w14:paraId="281D8D15">
      <w:pPr>
        <w:keepNext w:val="0"/>
        <w:keepLines w:val="0"/>
        <w:pageBreakBefore w:val="0"/>
        <w:widowControl w:val="0"/>
        <w:kinsoku/>
        <w:wordWrap/>
        <w:overflowPunct/>
        <w:topLinePunct w:val="0"/>
        <w:autoSpaceDE/>
        <w:autoSpaceDN/>
        <w:bidi w:val="0"/>
        <w:adjustRightInd/>
        <w:snapToGrid/>
        <w:spacing w:line="380" w:lineRule="exact"/>
        <w:ind w:firstLine="480"/>
        <w:jc w:val="left"/>
        <w:textAlignment w:val="auto"/>
        <w:rPr>
          <w:rFonts w:ascii="宋体" w:hAnsi="宋体"/>
          <w:color w:val="auto"/>
          <w:szCs w:val="21"/>
          <w:highlight w:val="none"/>
        </w:rPr>
      </w:pPr>
      <w:r>
        <w:rPr>
          <w:rFonts w:hint="eastAsia" w:ascii="宋体" w:hAnsi="宋体"/>
          <w:b/>
          <w:bCs/>
          <w:color w:val="auto"/>
          <w:szCs w:val="21"/>
          <w:highlight w:val="none"/>
        </w:rPr>
        <w:t>（一） 采购内容</w:t>
      </w:r>
    </w:p>
    <w:tbl>
      <w:tblPr>
        <w:tblStyle w:val="32"/>
        <w:tblW w:w="931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645"/>
        <w:gridCol w:w="1360"/>
        <w:gridCol w:w="1675"/>
        <w:gridCol w:w="900"/>
        <w:gridCol w:w="1080"/>
        <w:gridCol w:w="1735"/>
      </w:tblGrid>
      <w:tr w14:paraId="180BE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915" w:type="dxa"/>
            <w:tcBorders>
              <w:tl2br w:val="nil"/>
              <w:tr2bl w:val="nil"/>
            </w:tcBorders>
            <w:vAlign w:val="center"/>
          </w:tcPr>
          <w:p w14:paraId="6A37A6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序号</w:t>
            </w:r>
          </w:p>
        </w:tc>
        <w:tc>
          <w:tcPr>
            <w:tcW w:w="1645" w:type="dxa"/>
            <w:tcBorders>
              <w:tl2br w:val="nil"/>
              <w:tr2bl w:val="nil"/>
            </w:tcBorders>
            <w:vAlign w:val="center"/>
          </w:tcPr>
          <w:p w14:paraId="7E17C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货物名称</w:t>
            </w:r>
          </w:p>
        </w:tc>
        <w:tc>
          <w:tcPr>
            <w:tcW w:w="1360" w:type="dxa"/>
            <w:tcBorders>
              <w:tl2br w:val="nil"/>
              <w:tr2bl w:val="nil"/>
            </w:tcBorders>
            <w:vAlign w:val="center"/>
          </w:tcPr>
          <w:p w14:paraId="5B0C5D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厂家、型号</w:t>
            </w:r>
          </w:p>
        </w:tc>
        <w:tc>
          <w:tcPr>
            <w:tcW w:w="1675" w:type="dxa"/>
            <w:tcBorders>
              <w:tl2br w:val="nil"/>
              <w:tr2bl w:val="nil"/>
            </w:tcBorders>
            <w:vAlign w:val="center"/>
          </w:tcPr>
          <w:p w14:paraId="450414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技术参数</w:t>
            </w:r>
          </w:p>
        </w:tc>
        <w:tc>
          <w:tcPr>
            <w:tcW w:w="900" w:type="dxa"/>
            <w:tcBorders>
              <w:tl2br w:val="nil"/>
              <w:tr2bl w:val="nil"/>
            </w:tcBorders>
            <w:vAlign w:val="center"/>
          </w:tcPr>
          <w:p w14:paraId="25B159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数量</w:t>
            </w:r>
          </w:p>
        </w:tc>
        <w:tc>
          <w:tcPr>
            <w:tcW w:w="1080" w:type="dxa"/>
            <w:tcBorders>
              <w:tl2br w:val="nil"/>
              <w:tr2bl w:val="nil"/>
            </w:tcBorders>
            <w:vAlign w:val="center"/>
          </w:tcPr>
          <w:p w14:paraId="0C2FCE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单价</w:t>
            </w:r>
          </w:p>
        </w:tc>
        <w:tc>
          <w:tcPr>
            <w:tcW w:w="1735" w:type="dxa"/>
            <w:tcBorders>
              <w:tl2br w:val="nil"/>
              <w:tr2bl w:val="nil"/>
            </w:tcBorders>
            <w:vAlign w:val="center"/>
          </w:tcPr>
          <w:p w14:paraId="7243F5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合计</w:t>
            </w:r>
          </w:p>
        </w:tc>
      </w:tr>
      <w:tr w14:paraId="726E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915" w:type="dxa"/>
            <w:tcBorders>
              <w:tl2br w:val="nil"/>
              <w:tr2bl w:val="nil"/>
            </w:tcBorders>
            <w:vAlign w:val="center"/>
          </w:tcPr>
          <w:p w14:paraId="2E1B1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645" w:type="dxa"/>
            <w:tcBorders>
              <w:tl2br w:val="nil"/>
              <w:tr2bl w:val="nil"/>
            </w:tcBorders>
            <w:vAlign w:val="center"/>
          </w:tcPr>
          <w:p w14:paraId="59B66CA5">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1360" w:type="dxa"/>
            <w:tcBorders>
              <w:tl2br w:val="nil"/>
              <w:tr2bl w:val="nil"/>
            </w:tcBorders>
            <w:vAlign w:val="center"/>
          </w:tcPr>
          <w:p w14:paraId="52351CC7">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1675" w:type="dxa"/>
            <w:tcBorders>
              <w:tl2br w:val="nil"/>
              <w:tr2bl w:val="nil"/>
            </w:tcBorders>
            <w:vAlign w:val="center"/>
          </w:tcPr>
          <w:p w14:paraId="2E9A2089">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900" w:type="dxa"/>
            <w:tcBorders>
              <w:tl2br w:val="nil"/>
              <w:tr2bl w:val="nil"/>
            </w:tcBorders>
            <w:vAlign w:val="center"/>
          </w:tcPr>
          <w:p w14:paraId="212DF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080" w:type="dxa"/>
            <w:tcBorders>
              <w:tl2br w:val="nil"/>
              <w:tr2bl w:val="nil"/>
            </w:tcBorders>
            <w:vAlign w:val="center"/>
          </w:tcPr>
          <w:p w14:paraId="681B28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735" w:type="dxa"/>
            <w:tcBorders>
              <w:tl2br w:val="nil"/>
              <w:tr2bl w:val="nil"/>
            </w:tcBorders>
            <w:vAlign w:val="center"/>
          </w:tcPr>
          <w:p w14:paraId="125CE2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r>
      <w:tr w14:paraId="5139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915" w:type="dxa"/>
            <w:tcBorders>
              <w:tl2br w:val="nil"/>
              <w:tr2bl w:val="nil"/>
            </w:tcBorders>
            <w:vAlign w:val="center"/>
          </w:tcPr>
          <w:p w14:paraId="54E1F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645" w:type="dxa"/>
            <w:tcBorders>
              <w:tl2br w:val="nil"/>
              <w:tr2bl w:val="nil"/>
            </w:tcBorders>
            <w:vAlign w:val="center"/>
          </w:tcPr>
          <w:p w14:paraId="35C7D2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360" w:type="dxa"/>
            <w:tcBorders>
              <w:tl2br w:val="nil"/>
              <w:tr2bl w:val="nil"/>
            </w:tcBorders>
            <w:vAlign w:val="center"/>
          </w:tcPr>
          <w:p w14:paraId="77266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675" w:type="dxa"/>
            <w:tcBorders>
              <w:tl2br w:val="nil"/>
              <w:tr2bl w:val="nil"/>
            </w:tcBorders>
            <w:vAlign w:val="center"/>
          </w:tcPr>
          <w:p w14:paraId="3FD385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900" w:type="dxa"/>
            <w:tcBorders>
              <w:tl2br w:val="nil"/>
              <w:tr2bl w:val="nil"/>
            </w:tcBorders>
            <w:vAlign w:val="center"/>
          </w:tcPr>
          <w:p w14:paraId="0786B3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080" w:type="dxa"/>
            <w:tcBorders>
              <w:tl2br w:val="nil"/>
              <w:tr2bl w:val="nil"/>
            </w:tcBorders>
            <w:vAlign w:val="center"/>
          </w:tcPr>
          <w:p w14:paraId="14FF45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735" w:type="dxa"/>
            <w:tcBorders>
              <w:tl2br w:val="nil"/>
              <w:tr2bl w:val="nil"/>
            </w:tcBorders>
            <w:vAlign w:val="center"/>
          </w:tcPr>
          <w:p w14:paraId="66732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r>
      <w:tr w14:paraId="24632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915" w:type="dxa"/>
            <w:tcBorders>
              <w:tl2br w:val="nil"/>
              <w:tr2bl w:val="nil"/>
            </w:tcBorders>
            <w:vAlign w:val="center"/>
          </w:tcPr>
          <w:p w14:paraId="4012BA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1645" w:type="dxa"/>
            <w:tcBorders>
              <w:tl2br w:val="nil"/>
              <w:tr2bl w:val="nil"/>
            </w:tcBorders>
            <w:vAlign w:val="center"/>
          </w:tcPr>
          <w:p w14:paraId="515841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360" w:type="dxa"/>
            <w:tcBorders>
              <w:tl2br w:val="nil"/>
              <w:tr2bl w:val="nil"/>
            </w:tcBorders>
            <w:vAlign w:val="center"/>
          </w:tcPr>
          <w:p w14:paraId="1A3C1E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675" w:type="dxa"/>
            <w:tcBorders>
              <w:tl2br w:val="nil"/>
              <w:tr2bl w:val="nil"/>
            </w:tcBorders>
            <w:vAlign w:val="center"/>
          </w:tcPr>
          <w:p w14:paraId="0F2A5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900" w:type="dxa"/>
            <w:tcBorders>
              <w:tl2br w:val="nil"/>
              <w:tr2bl w:val="nil"/>
            </w:tcBorders>
            <w:vAlign w:val="center"/>
          </w:tcPr>
          <w:p w14:paraId="54A6A7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080" w:type="dxa"/>
            <w:tcBorders>
              <w:tl2br w:val="nil"/>
              <w:tr2bl w:val="nil"/>
            </w:tcBorders>
            <w:vAlign w:val="center"/>
          </w:tcPr>
          <w:p w14:paraId="0BB9EF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c>
          <w:tcPr>
            <w:tcW w:w="1735" w:type="dxa"/>
            <w:tcBorders>
              <w:tl2br w:val="nil"/>
              <w:tr2bl w:val="nil"/>
            </w:tcBorders>
            <w:vAlign w:val="center"/>
          </w:tcPr>
          <w:p w14:paraId="79904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default" w:ascii="宋体" w:hAnsi="宋体"/>
                <w:color w:val="auto"/>
                <w:szCs w:val="21"/>
                <w:highlight w:val="none"/>
              </w:rPr>
            </w:pPr>
          </w:p>
        </w:tc>
      </w:tr>
    </w:tbl>
    <w:p w14:paraId="08ED9200">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本合同的采购总金额为人民币（大写）</w:t>
      </w:r>
      <w:r>
        <w:rPr>
          <w:rFonts w:hint="eastAsia" w:ascii="宋体" w:hAnsi="宋体"/>
          <w:color w:val="auto"/>
          <w:szCs w:val="21"/>
          <w:highlight w:val="none"/>
          <w:u w:val="single"/>
        </w:rPr>
        <w:t xml:space="preserve">                元（¥           ）</w:t>
      </w:r>
      <w:r>
        <w:rPr>
          <w:rFonts w:hint="eastAsia" w:ascii="宋体" w:hAnsi="宋体"/>
          <w:color w:val="auto"/>
          <w:szCs w:val="21"/>
          <w:highlight w:val="none"/>
        </w:rPr>
        <w:t>，该价格为完税价。</w:t>
      </w:r>
    </w:p>
    <w:p w14:paraId="73E91D83">
      <w:pPr>
        <w:keepNext w:val="0"/>
        <w:keepLines w:val="0"/>
        <w:pageBreakBefore w:val="0"/>
        <w:kinsoku/>
        <w:wordWrap/>
        <w:overflowPunct/>
        <w:topLinePunct w:val="0"/>
        <w:autoSpaceDE/>
        <w:autoSpaceDN/>
        <w:bidi w:val="0"/>
        <w:adjustRightInd/>
        <w:snapToGrid/>
        <w:spacing w:line="380" w:lineRule="exact"/>
        <w:ind w:firstLine="422" w:firstLineChars="200"/>
        <w:jc w:val="left"/>
        <w:textAlignment w:val="auto"/>
        <w:rPr>
          <w:rFonts w:ascii="宋体" w:hAnsi="宋体"/>
          <w:color w:val="auto"/>
          <w:szCs w:val="21"/>
          <w:highlight w:val="none"/>
        </w:rPr>
      </w:pPr>
      <w:r>
        <w:rPr>
          <w:rFonts w:hint="eastAsia" w:ascii="宋体" w:hAnsi="宋体"/>
          <w:b/>
          <w:bCs/>
          <w:color w:val="auto"/>
          <w:szCs w:val="21"/>
          <w:highlight w:val="none"/>
        </w:rPr>
        <w:t>（二） 质量要求和售后服务</w:t>
      </w:r>
    </w:p>
    <w:p w14:paraId="204C16E5">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1、乙方提供的货物必须是符合国家有关标准，未经使用全新的产品。</w:t>
      </w:r>
    </w:p>
    <w:p w14:paraId="63A97E32">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2、货物质量保证期为自交货验收合格之日起至满</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年时间止。</w:t>
      </w:r>
    </w:p>
    <w:p w14:paraId="7A403314">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rPr>
        <w:t>3、甲方在使用过程中发生质</w:t>
      </w:r>
      <w:r>
        <w:rPr>
          <w:rFonts w:hint="eastAsia" w:ascii="宋体" w:hAnsi="宋体"/>
          <w:b w:val="0"/>
          <w:bCs w:val="0"/>
          <w:color w:val="auto"/>
          <w:szCs w:val="21"/>
          <w:highlight w:val="none"/>
        </w:rPr>
        <w:t>量问题，要求</w:t>
      </w:r>
      <w:r>
        <w:rPr>
          <w:rFonts w:hint="eastAsia" w:ascii="宋体" w:hAnsi="宋体"/>
          <w:b w:val="0"/>
          <w:bCs w:val="0"/>
          <w:color w:val="auto"/>
          <w:szCs w:val="21"/>
          <w:highlight w:val="none"/>
          <w:u w:val="single"/>
          <w:lang w:val="en-US" w:eastAsia="zh-CN"/>
        </w:rPr>
        <w:t xml:space="preserve">    </w:t>
      </w:r>
      <w:r>
        <w:rPr>
          <w:rFonts w:hint="eastAsia" w:ascii="宋体" w:hAnsi="宋体"/>
          <w:b w:val="0"/>
          <w:bCs w:val="0"/>
          <w:color w:val="auto"/>
          <w:szCs w:val="21"/>
          <w:highlight w:val="none"/>
          <w:u w:val="none"/>
          <w:lang w:val="en-US" w:eastAsia="zh-CN"/>
        </w:rPr>
        <w:t>分钟内</w:t>
      </w:r>
      <w:r>
        <w:rPr>
          <w:rFonts w:hint="eastAsia" w:ascii="宋体" w:hAnsi="宋体"/>
          <w:b w:val="0"/>
          <w:bCs w:val="0"/>
          <w:color w:val="auto"/>
          <w:szCs w:val="21"/>
          <w:highlight w:val="none"/>
        </w:rPr>
        <w:t>响应，</w:t>
      </w:r>
      <w:r>
        <w:rPr>
          <w:rFonts w:hint="eastAsia" w:ascii="宋体" w:hAnsi="宋体"/>
          <w:b w:val="0"/>
          <w:bCs w:val="0"/>
          <w:color w:val="auto"/>
          <w:szCs w:val="21"/>
          <w:highlight w:val="none"/>
          <w:u w:val="single"/>
          <w:lang w:val="en-US" w:eastAsia="zh-CN"/>
        </w:rPr>
        <w:t xml:space="preserve">    </w:t>
      </w:r>
      <w:r>
        <w:rPr>
          <w:rFonts w:hint="eastAsia" w:ascii="宋体" w:hAnsi="宋体"/>
          <w:b w:val="0"/>
          <w:bCs w:val="0"/>
          <w:color w:val="auto"/>
          <w:szCs w:val="21"/>
          <w:highlight w:val="none"/>
          <w:lang w:val="en-US" w:eastAsia="zh-CN"/>
        </w:rPr>
        <w:t>小时内</w:t>
      </w:r>
      <w:r>
        <w:rPr>
          <w:rFonts w:hint="eastAsia" w:ascii="宋体" w:hAnsi="宋体"/>
          <w:b w:val="0"/>
          <w:bCs w:val="0"/>
          <w:color w:val="auto"/>
          <w:szCs w:val="21"/>
          <w:highlight w:val="none"/>
        </w:rPr>
        <w:t>到</w:t>
      </w:r>
      <w:r>
        <w:rPr>
          <w:rFonts w:hint="eastAsia" w:ascii="宋体" w:hAnsi="宋体"/>
          <w:color w:val="auto"/>
          <w:szCs w:val="21"/>
          <w:highlight w:val="none"/>
        </w:rPr>
        <w:t>达现场处理现场故障，</w:t>
      </w:r>
      <w:r>
        <w:rPr>
          <w:rFonts w:hint="eastAsia" w:ascii="宋体" w:hAnsi="宋体"/>
          <w:color w:val="auto"/>
          <w:szCs w:val="21"/>
          <w:highlight w:val="none"/>
          <w:lang w:val="en-US" w:eastAsia="zh-CN"/>
        </w:rPr>
        <w:t>并完成</w:t>
      </w:r>
      <w:r>
        <w:rPr>
          <w:rFonts w:hint="eastAsia" w:ascii="宋体" w:hAnsi="宋体" w:eastAsia="宋体"/>
          <w:color w:val="auto"/>
          <w:szCs w:val="21"/>
          <w:highlight w:val="none"/>
        </w:rPr>
        <w:t>修复，以保证用户的正常使用</w:t>
      </w:r>
      <w:r>
        <w:rPr>
          <w:rFonts w:hint="eastAsia" w:ascii="宋体"/>
          <w:color w:val="auto"/>
          <w:sz w:val="21"/>
          <w:szCs w:val="21"/>
          <w:highlight w:val="none"/>
        </w:rPr>
        <w:t>；不能当场修复的，必须采取提供备品、备件</w:t>
      </w:r>
      <w:r>
        <w:rPr>
          <w:rFonts w:hint="eastAsia" w:ascii="宋体"/>
          <w:color w:val="auto"/>
          <w:sz w:val="21"/>
          <w:szCs w:val="21"/>
          <w:highlight w:val="none"/>
          <w:lang w:val="en-US" w:eastAsia="zh-CN"/>
        </w:rPr>
        <w:t>或更换同规格新产品</w:t>
      </w:r>
      <w:r>
        <w:rPr>
          <w:rFonts w:hint="eastAsia" w:ascii="宋体"/>
          <w:color w:val="auto"/>
          <w:sz w:val="21"/>
          <w:szCs w:val="21"/>
          <w:highlight w:val="none"/>
        </w:rPr>
        <w:t>等措施，以保证采购单位的正常使用。如果逾期未作出响应，供应商应承担由于故障所造成的全部损失。</w:t>
      </w:r>
    </w:p>
    <w:p w14:paraId="514BD61E">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4、因产品的质量问题发生争议，由相关技术单位进行质量鉴定，该鉴定结论是终局的，甲乙双方应当接受；质量合格的，鉴定费由甲方承担，质量不合格的，鉴定费由乙方承担。</w:t>
      </w:r>
    </w:p>
    <w:p w14:paraId="6EFA0BB8">
      <w:pPr>
        <w:keepNext w:val="0"/>
        <w:keepLines w:val="0"/>
        <w:pageBreakBefore w:val="0"/>
        <w:kinsoku/>
        <w:wordWrap/>
        <w:overflowPunct/>
        <w:topLinePunct w:val="0"/>
        <w:autoSpaceDE/>
        <w:autoSpaceDN/>
        <w:bidi w:val="0"/>
        <w:adjustRightInd/>
        <w:snapToGrid/>
        <w:spacing w:line="380" w:lineRule="exact"/>
        <w:ind w:firstLine="422" w:firstLineChars="200"/>
        <w:jc w:val="left"/>
        <w:textAlignment w:val="auto"/>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三</w:t>
      </w:r>
      <w:r>
        <w:rPr>
          <w:rFonts w:hint="eastAsia" w:ascii="宋体" w:hAnsi="宋体"/>
          <w:b/>
          <w:bCs/>
          <w:color w:val="auto"/>
          <w:szCs w:val="21"/>
          <w:highlight w:val="none"/>
        </w:rPr>
        <w:t>）交货和验收</w:t>
      </w:r>
    </w:p>
    <w:p w14:paraId="79BB8410">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rPr>
        <w:t>1、</w:t>
      </w:r>
      <w:r>
        <w:rPr>
          <w:rFonts w:hint="eastAsia" w:ascii="宋体" w:hAnsi="宋体" w:eastAsia="宋体" w:cs="宋体"/>
          <w:color w:val="auto"/>
          <w:szCs w:val="21"/>
          <w:highlight w:val="none"/>
          <w:lang w:eastAsia="zh-CN"/>
        </w:rPr>
        <w:t>供货期限</w:t>
      </w:r>
      <w:r>
        <w:rPr>
          <w:rFonts w:hint="eastAsia" w:ascii="宋体" w:hAnsi="宋体" w:eastAsia="宋体" w:cs="宋体"/>
          <w:color w:val="auto"/>
          <w:szCs w:val="21"/>
          <w:highlight w:val="none"/>
        </w:rPr>
        <w:t>：</w:t>
      </w:r>
      <w:r>
        <w:rPr>
          <w:rFonts w:hint="eastAsia" w:hAnsi="宋体" w:cs="宋体"/>
          <w:color w:val="auto"/>
          <w:highlight w:val="none"/>
          <w:lang w:val="en-US" w:eastAsia="zh-CN"/>
        </w:rPr>
        <w:t>自</w:t>
      </w:r>
      <w:r>
        <w:rPr>
          <w:rFonts w:hint="eastAsia" w:hAnsi="宋体" w:cs="宋体"/>
          <w:color w:val="auto"/>
          <w:highlight w:val="none"/>
          <w:u w:val="none"/>
          <w:lang w:val="en-US" w:eastAsia="zh-CN"/>
        </w:rPr>
        <w:t>合同签订当日起，</w:t>
      </w:r>
      <w:r>
        <w:rPr>
          <w:rFonts w:hint="eastAsia" w:hAnsi="宋体" w:cs="宋体"/>
          <w:b/>
          <w:bCs/>
          <w:color w:val="auto"/>
          <w:highlight w:val="none"/>
          <w:u w:val="single"/>
          <w:lang w:val="en-US" w:eastAsia="zh-CN"/>
        </w:rPr>
        <w:t>30</w:t>
      </w:r>
      <w:r>
        <w:rPr>
          <w:rFonts w:hint="eastAsia" w:hAnsi="宋体" w:cs="宋体"/>
          <w:color w:val="auto"/>
          <w:highlight w:val="none"/>
          <w:u w:val="none"/>
          <w:lang w:val="en-US" w:eastAsia="zh-CN"/>
        </w:rPr>
        <w:t>个日历天内完成</w:t>
      </w:r>
      <w:r>
        <w:rPr>
          <w:rFonts w:hint="eastAsia" w:hAnsi="宋体" w:cs="宋体"/>
          <w:b w:val="0"/>
          <w:bCs/>
          <w:color w:val="auto"/>
          <w:kern w:val="21"/>
          <w:sz w:val="21"/>
          <w:szCs w:val="21"/>
          <w:highlight w:val="none"/>
          <w:u w:val="none"/>
          <w:lang w:val="en-US" w:eastAsia="zh-CN"/>
        </w:rPr>
        <w:t>供货、</w:t>
      </w:r>
      <w:r>
        <w:rPr>
          <w:rFonts w:hint="eastAsia" w:ascii="宋体" w:hAnsi="宋体" w:cs="宋体"/>
          <w:b w:val="0"/>
          <w:bCs/>
          <w:color w:val="auto"/>
          <w:kern w:val="21"/>
          <w:sz w:val="21"/>
          <w:szCs w:val="21"/>
          <w:highlight w:val="none"/>
          <w:lang w:eastAsia="zh-CN"/>
        </w:rPr>
        <w:t>安装、</w:t>
      </w:r>
      <w:r>
        <w:rPr>
          <w:rFonts w:hint="eastAsia" w:ascii="宋体" w:hAnsi="宋体" w:eastAsia="宋体" w:cs="宋体"/>
          <w:color w:val="auto"/>
          <w:sz w:val="21"/>
          <w:szCs w:val="21"/>
          <w:highlight w:val="none"/>
          <w:lang w:eastAsia="zh-CN"/>
        </w:rPr>
        <w:t>调试、验收合格并交付使用</w:t>
      </w:r>
      <w:r>
        <w:rPr>
          <w:rFonts w:hint="eastAsia" w:ascii="宋体" w:hAnsi="宋体" w:cs="宋体"/>
          <w:b w:val="0"/>
          <w:bCs/>
          <w:color w:val="auto"/>
          <w:kern w:val="21"/>
          <w:sz w:val="21"/>
          <w:szCs w:val="21"/>
          <w:highlight w:val="none"/>
          <w:lang w:eastAsia="zh-CN"/>
        </w:rPr>
        <w:t>。</w:t>
      </w:r>
    </w:p>
    <w:p w14:paraId="34464961">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color w:val="auto"/>
          <w:highlight w:val="none"/>
        </w:rPr>
      </w:pPr>
      <w:r>
        <w:rPr>
          <w:rFonts w:hint="eastAsia" w:ascii="宋体" w:hAnsi="宋体"/>
          <w:color w:val="auto"/>
          <w:szCs w:val="21"/>
          <w:highlight w:val="none"/>
        </w:rPr>
        <w:t>2、施工地点：采购单位指定地点。</w:t>
      </w:r>
    </w:p>
    <w:p w14:paraId="46072D42">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乙方应对提供的货物作出全面自查和整理，并列出清单，作为甲方验收和使用的技术条件依据，清单应随提供的验收资料交给甲方。</w:t>
      </w:r>
    </w:p>
    <w:p w14:paraId="33B2BC43">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甲方应当在到货后的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个工作日内对货物进行验收。货物验收时，甲乙双方必须同时在场，双方共同确认货物与本合同规定的生产厂家产地、品牌、</w:t>
      </w:r>
      <w:r>
        <w:rPr>
          <w:rFonts w:hint="eastAsia" w:ascii="宋体" w:hAnsi="宋体" w:cs="宋体"/>
          <w:color w:val="auto"/>
          <w:szCs w:val="21"/>
          <w:highlight w:val="none"/>
          <w:lang w:val="en-US" w:eastAsia="zh-CN"/>
        </w:rPr>
        <w:t>尺寸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材质、</w:t>
      </w:r>
      <w:r>
        <w:rPr>
          <w:rFonts w:hint="eastAsia" w:ascii="宋体" w:hAnsi="宋体" w:cs="宋体"/>
          <w:color w:val="auto"/>
          <w:szCs w:val="21"/>
          <w:highlight w:val="none"/>
        </w:rPr>
        <w:t>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2A597882">
      <w:pPr>
        <w:keepNext w:val="0"/>
        <w:keepLines w:val="0"/>
        <w:pageBreakBefore w:val="0"/>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四</w:t>
      </w:r>
      <w:r>
        <w:rPr>
          <w:rFonts w:hint="eastAsia" w:ascii="宋体" w:hAnsi="宋体"/>
          <w:b/>
          <w:bCs/>
          <w:color w:val="auto"/>
          <w:szCs w:val="21"/>
          <w:highlight w:val="none"/>
        </w:rPr>
        <w:t>） 付款方式</w:t>
      </w:r>
    </w:p>
    <w:p w14:paraId="66C99F4F">
      <w:pPr>
        <w:pStyle w:val="11"/>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211" w:firstLineChars="1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合同签订后10个工作日内甲方办理付款手续，向乙方支付合同价款的</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0%预付款；</w:t>
      </w:r>
    </w:p>
    <w:p w14:paraId="379D359C">
      <w:pPr>
        <w:pStyle w:val="11"/>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211" w:firstLineChars="1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安装任何部位及设备都要达到国标，符合技术要求，</w:t>
      </w:r>
      <w:r>
        <w:rPr>
          <w:rFonts w:hint="eastAsia" w:ascii="新宋体" w:hAnsi="新宋体" w:eastAsia="新宋体" w:cs="新宋体"/>
          <w:b/>
          <w:bCs w:val="0"/>
          <w:color w:val="auto"/>
          <w:sz w:val="21"/>
          <w:szCs w:val="21"/>
          <w:highlight w:val="none"/>
          <w:lang w:val="en-US" w:eastAsia="zh-CN"/>
        </w:rPr>
        <w:t>系统软件能正常运</w:t>
      </w:r>
      <w:r>
        <w:rPr>
          <w:rFonts w:hint="eastAsia" w:ascii="宋体"/>
          <w:b/>
          <w:bCs w:val="0"/>
          <w:color w:val="auto"/>
          <w:sz w:val="21"/>
          <w:szCs w:val="21"/>
          <w:highlight w:val="none"/>
          <w:lang w:val="en-US" w:eastAsia="zh-CN"/>
        </w:rPr>
        <w:t>行</w:t>
      </w:r>
      <w:r>
        <w:rPr>
          <w:rFonts w:hint="eastAsia" w:ascii="新宋体" w:hAnsi="新宋体" w:eastAsia="新宋体" w:cs="新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rPr>
        <w:t>在安装调试完成后，中标方需</w:t>
      </w:r>
      <w:r>
        <w:rPr>
          <w:rFonts w:hint="eastAsia" w:ascii="宋体" w:hAnsi="宋体" w:cs="宋体"/>
          <w:b/>
          <w:bCs w:val="0"/>
          <w:color w:val="auto"/>
          <w:sz w:val="21"/>
          <w:szCs w:val="21"/>
          <w:highlight w:val="none"/>
          <w:lang w:eastAsia="zh-CN"/>
        </w:rPr>
        <w:t>在</w:t>
      </w:r>
      <w:r>
        <w:rPr>
          <w:rFonts w:hint="eastAsia" w:ascii="宋体" w:hAnsi="宋体" w:cs="宋体"/>
          <w:b/>
          <w:bCs w:val="0"/>
          <w:color w:val="auto"/>
          <w:sz w:val="21"/>
          <w:szCs w:val="21"/>
          <w:highlight w:val="none"/>
          <w:lang w:val="en-US" w:eastAsia="zh-CN"/>
        </w:rPr>
        <w:t>10天内</w:t>
      </w:r>
      <w:r>
        <w:rPr>
          <w:rFonts w:hint="eastAsia" w:ascii="宋体" w:hAnsi="宋体" w:eastAsia="宋体" w:cs="宋体"/>
          <w:b/>
          <w:bCs w:val="0"/>
          <w:color w:val="auto"/>
          <w:sz w:val="21"/>
          <w:szCs w:val="21"/>
          <w:highlight w:val="none"/>
        </w:rPr>
        <w:t>派遣专业技术人员进行现场</w:t>
      </w:r>
      <w:r>
        <w:rPr>
          <w:rFonts w:hint="eastAsia" w:ascii="宋体" w:hAnsi="宋体" w:cs="宋体"/>
          <w:b/>
          <w:bCs w:val="0"/>
          <w:color w:val="auto"/>
          <w:sz w:val="21"/>
          <w:szCs w:val="21"/>
          <w:highlight w:val="none"/>
          <w:lang w:val="en-US" w:eastAsia="zh-CN"/>
        </w:rPr>
        <w:t>指导</w:t>
      </w:r>
      <w:r>
        <w:rPr>
          <w:rFonts w:hint="eastAsia" w:ascii="宋体" w:hAnsi="宋体" w:eastAsia="宋体" w:cs="宋体"/>
          <w:b/>
          <w:bCs w:val="0"/>
          <w:color w:val="auto"/>
          <w:sz w:val="21"/>
          <w:szCs w:val="21"/>
          <w:highlight w:val="none"/>
        </w:rPr>
        <w:t>，待</w:t>
      </w:r>
      <w:r>
        <w:rPr>
          <w:rFonts w:hint="eastAsia" w:ascii="宋体" w:hAnsi="宋体" w:eastAsia="宋体" w:cs="宋体"/>
          <w:b/>
          <w:bCs w:val="0"/>
          <w:color w:val="auto"/>
          <w:sz w:val="21"/>
          <w:szCs w:val="21"/>
          <w:highlight w:val="none"/>
          <w:lang w:val="en-US" w:eastAsia="zh-CN"/>
        </w:rPr>
        <w:t>甲</w:t>
      </w:r>
      <w:r>
        <w:rPr>
          <w:rFonts w:hint="eastAsia" w:ascii="宋体" w:hAnsi="宋体" w:eastAsia="宋体" w:cs="宋体"/>
          <w:b/>
          <w:bCs w:val="0"/>
          <w:color w:val="auto"/>
          <w:sz w:val="21"/>
          <w:szCs w:val="21"/>
          <w:highlight w:val="none"/>
        </w:rPr>
        <w:t>方熟练掌握相关技能</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并能独立操作一整个系统</w:t>
      </w:r>
      <w:r>
        <w:rPr>
          <w:rFonts w:hint="eastAsia" w:ascii="宋体" w:hAnsi="宋体" w:eastAsia="宋体" w:cs="宋体"/>
          <w:b/>
          <w:bCs w:val="0"/>
          <w:color w:val="auto"/>
          <w:sz w:val="21"/>
          <w:szCs w:val="21"/>
          <w:highlight w:val="none"/>
        </w:rPr>
        <w:t>后才认定安装调试合格，再出相关验收单，完成该项目验收后，支付</w:t>
      </w:r>
      <w:r>
        <w:rPr>
          <w:rFonts w:hint="eastAsia" w:ascii="宋体" w:hAnsi="宋体" w:cs="宋体"/>
          <w:b/>
          <w:bCs w:val="0"/>
          <w:color w:val="auto"/>
          <w:sz w:val="21"/>
          <w:szCs w:val="21"/>
          <w:highlight w:val="none"/>
          <w:lang w:val="en-US" w:eastAsia="zh-CN"/>
        </w:rPr>
        <w:t>50</w:t>
      </w:r>
      <w:r>
        <w:rPr>
          <w:rFonts w:hint="eastAsia" w:ascii="宋体" w:hAnsi="宋体" w:eastAsia="宋体" w:cs="宋体"/>
          <w:b/>
          <w:bCs w:val="0"/>
          <w:color w:val="auto"/>
          <w:sz w:val="21"/>
          <w:szCs w:val="21"/>
          <w:highlight w:val="none"/>
        </w:rPr>
        <w:t>%货款</w:t>
      </w:r>
      <w:r>
        <w:rPr>
          <w:rFonts w:hint="eastAsia" w:ascii="宋体" w:hAnsi="宋体" w:eastAsia="宋体" w:cs="宋体"/>
          <w:b/>
          <w:bCs w:val="0"/>
          <w:color w:val="auto"/>
          <w:sz w:val="21"/>
          <w:szCs w:val="21"/>
          <w:highlight w:val="none"/>
          <w:lang w:eastAsia="zh-CN"/>
        </w:rPr>
        <w:t>；</w:t>
      </w:r>
    </w:p>
    <w:p w14:paraId="28B9977F">
      <w:pPr>
        <w:pStyle w:val="11"/>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211" w:firstLineChars="1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两年后无任何质量问题结清</w:t>
      </w:r>
      <w:r>
        <w:rPr>
          <w:rFonts w:hint="eastAsia" w:ascii="宋体" w:hAnsi="宋体" w:eastAsia="宋体" w:cs="宋体"/>
          <w:b/>
          <w:bCs w:val="0"/>
          <w:color w:val="auto"/>
          <w:sz w:val="21"/>
          <w:szCs w:val="21"/>
          <w:highlight w:val="none"/>
          <w:lang w:val="en-US" w:eastAsia="zh-CN"/>
        </w:rPr>
        <w:t>剩余</w:t>
      </w:r>
      <w:r>
        <w:rPr>
          <w:rFonts w:hint="eastAsia" w:ascii="宋体" w:hAnsi="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货</w:t>
      </w:r>
      <w:r>
        <w:rPr>
          <w:rFonts w:hint="eastAsia" w:ascii="宋体" w:hAnsi="宋体" w:eastAsia="宋体" w:cs="宋体"/>
          <w:b/>
          <w:bCs w:val="0"/>
          <w:color w:val="auto"/>
          <w:sz w:val="21"/>
          <w:szCs w:val="21"/>
          <w:highlight w:val="none"/>
          <w:lang w:eastAsia="zh-CN"/>
        </w:rPr>
        <w:t>款。</w:t>
      </w:r>
    </w:p>
    <w:p w14:paraId="5D5565F8">
      <w:pPr>
        <w:keepNext w:val="0"/>
        <w:keepLines w:val="0"/>
        <w:pageBreakBefore w:val="0"/>
        <w:numPr>
          <w:ilvl w:val="0"/>
          <w:numId w:val="0"/>
        </w:numPr>
        <w:kinsoku/>
        <w:wordWrap/>
        <w:overflowPunct/>
        <w:topLinePunct w:val="0"/>
        <w:autoSpaceDE/>
        <w:autoSpaceDN/>
        <w:bidi w:val="0"/>
        <w:adjustRightInd/>
        <w:snapToGrid/>
        <w:spacing w:line="380" w:lineRule="exact"/>
        <w:ind w:firstLine="422" w:firstLineChars="200"/>
        <w:jc w:val="left"/>
        <w:textAlignment w:val="auto"/>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 违约责任</w:t>
      </w:r>
    </w:p>
    <w:p w14:paraId="611DB8EF">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1、逾期付款的，违约方每天按合同价的</w:t>
      </w:r>
      <w:r>
        <w:rPr>
          <w:rFonts w:hint="eastAsia" w:ascii="宋体" w:hAnsi="宋体"/>
          <w:color w:val="auto"/>
          <w:szCs w:val="21"/>
          <w:highlight w:val="none"/>
          <w:u w:val="single"/>
        </w:rPr>
        <w:t>5‰</w:t>
      </w:r>
      <w:r>
        <w:rPr>
          <w:rFonts w:hint="eastAsia" w:ascii="宋体" w:hAnsi="宋体"/>
          <w:color w:val="auto"/>
          <w:szCs w:val="21"/>
          <w:highlight w:val="none"/>
        </w:rPr>
        <w:t>支付违约金。</w:t>
      </w:r>
    </w:p>
    <w:p w14:paraId="74E28F79">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2、乙方逾期</w:t>
      </w:r>
      <w:r>
        <w:rPr>
          <w:rFonts w:hint="eastAsia" w:ascii="宋体" w:hAnsi="宋体"/>
          <w:color w:val="auto"/>
          <w:szCs w:val="21"/>
          <w:highlight w:val="none"/>
          <w:lang w:eastAsia="zh-CN"/>
        </w:rPr>
        <w:t>交货</w:t>
      </w:r>
      <w:r>
        <w:rPr>
          <w:rFonts w:hint="eastAsia" w:ascii="宋体" w:hAnsi="宋体"/>
          <w:color w:val="auto"/>
          <w:szCs w:val="21"/>
          <w:highlight w:val="none"/>
        </w:rPr>
        <w:t>按每天成交价0.5%支付违约金，最高不超过成交价的20%。乙方逾期超过</w:t>
      </w:r>
      <w:r>
        <w:rPr>
          <w:rFonts w:hint="eastAsia" w:ascii="宋体" w:hAnsi="宋体"/>
          <w:color w:val="auto"/>
          <w:szCs w:val="21"/>
          <w:highlight w:val="none"/>
          <w:u w:val="single"/>
        </w:rPr>
        <w:t xml:space="preserve">     </w:t>
      </w:r>
      <w:r>
        <w:rPr>
          <w:rFonts w:hint="eastAsia" w:ascii="宋体" w:hAnsi="宋体"/>
          <w:color w:val="auto"/>
          <w:szCs w:val="21"/>
          <w:highlight w:val="none"/>
        </w:rPr>
        <w:t>天仍不能履约的，甲方可解除双方的供货合同，造成甲方损失的，由乙方负责赔偿。</w:t>
      </w:r>
    </w:p>
    <w:p w14:paraId="113AC6FC">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3、乙方所交的货物品种、型号、规格、质量不符合规定标准的，甲方有权拒绝收货。乙方向甲方偿付货物总值20%的违约金。</w:t>
      </w:r>
    </w:p>
    <w:p w14:paraId="4F637F50">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4、甲方不按规定时间予以验收的，每天按合同额的</w:t>
      </w:r>
      <w:r>
        <w:rPr>
          <w:rFonts w:hint="eastAsia" w:ascii="宋体" w:hAnsi="宋体"/>
          <w:color w:val="auto"/>
          <w:szCs w:val="21"/>
          <w:highlight w:val="none"/>
          <w:u w:val="single"/>
        </w:rPr>
        <w:t>5‰</w:t>
      </w:r>
      <w:r>
        <w:rPr>
          <w:rFonts w:hint="eastAsia" w:ascii="宋体" w:hAnsi="宋体"/>
          <w:color w:val="auto"/>
          <w:szCs w:val="21"/>
          <w:highlight w:val="none"/>
        </w:rPr>
        <w:t>进行罚款；甲方无正当理由拒收的，应向乙方偿付合同额总值20%的违约金。</w:t>
      </w:r>
    </w:p>
    <w:p w14:paraId="68263DE0">
      <w:pPr>
        <w:keepNext w:val="0"/>
        <w:keepLines w:val="0"/>
        <w:pageBreakBefore w:val="0"/>
        <w:kinsoku/>
        <w:wordWrap/>
        <w:overflowPunct/>
        <w:topLinePunct w:val="0"/>
        <w:autoSpaceDE/>
        <w:autoSpaceDN/>
        <w:bidi w:val="0"/>
        <w:adjustRightInd/>
        <w:snapToGrid/>
        <w:spacing w:line="38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六</w:t>
      </w:r>
      <w:r>
        <w:rPr>
          <w:rFonts w:hint="eastAsia" w:ascii="宋体" w:hAnsi="宋体"/>
          <w:b/>
          <w:bCs/>
          <w:color w:val="auto"/>
          <w:szCs w:val="21"/>
          <w:highlight w:val="none"/>
        </w:rPr>
        <w:t>）</w:t>
      </w:r>
      <w:bookmarkStart w:id="75" w:name="_Toc359921467"/>
      <w:r>
        <w:rPr>
          <w:rFonts w:hint="eastAsia" w:ascii="宋体" w:hAnsi="宋体"/>
          <w:b/>
          <w:bCs/>
          <w:color w:val="auto"/>
          <w:szCs w:val="21"/>
          <w:highlight w:val="none"/>
        </w:rPr>
        <w:t>争议的解决</w:t>
      </w:r>
      <w:bookmarkEnd w:id="75"/>
    </w:p>
    <w:p w14:paraId="66AF3A64">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双方在履行合同过程中产生争议时</w:t>
      </w:r>
      <w:r>
        <w:rPr>
          <w:rFonts w:hint="eastAsia" w:ascii="宋体" w:hAnsi="宋体"/>
          <w:color w:val="auto"/>
          <w:szCs w:val="21"/>
          <w:highlight w:val="none"/>
          <w:lang w:eastAsia="zh-CN"/>
        </w:rPr>
        <w:t>，</w:t>
      </w:r>
      <w:r>
        <w:rPr>
          <w:rFonts w:hint="eastAsia" w:ascii="宋体" w:hAnsi="宋体"/>
          <w:color w:val="auto"/>
          <w:szCs w:val="21"/>
          <w:highlight w:val="none"/>
        </w:rPr>
        <w:t>采取仲裁方式解决,约定向合同签订所在地仲裁委员会提请仲裁，或直接向合同签订所在地人民法院提请诉讼。</w:t>
      </w:r>
    </w:p>
    <w:p w14:paraId="7813DF8A">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八</w:t>
      </w:r>
      <w:r>
        <w:rPr>
          <w:rFonts w:hint="eastAsia" w:ascii="宋体" w:hAnsi="宋体"/>
          <w:b/>
          <w:bCs/>
          <w:color w:val="auto"/>
          <w:szCs w:val="21"/>
          <w:highlight w:val="none"/>
        </w:rPr>
        <w:t>）合同生效及其它</w:t>
      </w:r>
    </w:p>
    <w:p w14:paraId="29B8EC2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1、合同经双方法定代表人或授权委托人签字加盖单位盖章，并经</w:t>
      </w:r>
      <w:r>
        <w:rPr>
          <w:rFonts w:hint="eastAsia" w:ascii="宋体" w:hAnsi="宋体"/>
          <w:color w:val="auto"/>
          <w:szCs w:val="21"/>
          <w:highlight w:val="none"/>
          <w:lang w:eastAsia="zh-CN"/>
        </w:rPr>
        <w:t>浙江天健工程造价咨询有限公司</w:t>
      </w:r>
      <w:r>
        <w:rPr>
          <w:rFonts w:hint="eastAsia" w:ascii="宋体" w:hAnsi="宋体"/>
          <w:color w:val="auto"/>
          <w:szCs w:val="21"/>
          <w:highlight w:val="none"/>
        </w:rPr>
        <w:t>鉴证盖章后生效。</w:t>
      </w:r>
    </w:p>
    <w:p w14:paraId="2089DDD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2、合同执行中涉及采购资金和采购内容修改或补充的，</w:t>
      </w:r>
      <w:r>
        <w:rPr>
          <w:rFonts w:hint="eastAsia" w:ascii="宋体" w:hAnsi="宋体"/>
          <w:color w:val="auto"/>
          <w:szCs w:val="21"/>
          <w:highlight w:val="none"/>
          <w:lang w:eastAsia="zh-CN"/>
        </w:rPr>
        <w:t>甲乙双方协商后</w:t>
      </w:r>
      <w:r>
        <w:rPr>
          <w:rFonts w:hint="eastAsia" w:ascii="宋体" w:hAnsi="宋体"/>
          <w:color w:val="auto"/>
          <w:szCs w:val="21"/>
          <w:highlight w:val="none"/>
        </w:rPr>
        <w:t>，并签书面补充协议</w:t>
      </w:r>
      <w:r>
        <w:rPr>
          <w:rFonts w:hint="eastAsia" w:ascii="宋体" w:hAnsi="宋体"/>
          <w:color w:val="auto"/>
          <w:szCs w:val="21"/>
          <w:highlight w:val="none"/>
          <w:lang w:eastAsia="zh-CN"/>
        </w:rPr>
        <w:t>进行</w:t>
      </w:r>
      <w:r>
        <w:rPr>
          <w:rFonts w:hint="eastAsia" w:ascii="宋体" w:hAnsi="宋体"/>
          <w:color w:val="auto"/>
          <w:szCs w:val="21"/>
          <w:highlight w:val="none"/>
        </w:rPr>
        <w:t>备案，方可作为主合同不可分割的一部分。</w:t>
      </w:r>
    </w:p>
    <w:p w14:paraId="302D43B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3、本合同一式</w:t>
      </w:r>
      <w:r>
        <w:rPr>
          <w:rFonts w:hint="eastAsia" w:ascii="宋体" w:hAnsi="宋体"/>
          <w:color w:val="auto"/>
          <w:szCs w:val="21"/>
          <w:highlight w:val="none"/>
          <w:lang w:eastAsia="zh-CN"/>
        </w:rPr>
        <w:t>叁</w:t>
      </w:r>
      <w:r>
        <w:rPr>
          <w:rFonts w:hint="eastAsia" w:ascii="宋体" w:hAnsi="宋体"/>
          <w:color w:val="auto"/>
          <w:szCs w:val="21"/>
          <w:highlight w:val="none"/>
        </w:rPr>
        <w:t>份，甲、乙双方</w:t>
      </w:r>
      <w:r>
        <w:rPr>
          <w:rFonts w:hint="eastAsia" w:ascii="宋体" w:hAnsi="宋体"/>
          <w:color w:val="auto"/>
          <w:szCs w:val="21"/>
          <w:highlight w:val="none"/>
          <w:lang w:eastAsia="zh-CN"/>
        </w:rPr>
        <w:t>及浙江天健工程造价咨询有限公司</w:t>
      </w:r>
      <w:r>
        <w:rPr>
          <w:rFonts w:hint="eastAsia" w:ascii="宋体" w:hAnsi="宋体"/>
          <w:color w:val="auto"/>
          <w:szCs w:val="21"/>
          <w:highlight w:val="none"/>
        </w:rPr>
        <w:t>各执一份，均具同等法律效力。</w:t>
      </w:r>
    </w:p>
    <w:p w14:paraId="35BAF1D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p>
    <w:p w14:paraId="56AB680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甲方（采购单位） ：                 乙方（成交方）：</w:t>
      </w:r>
    </w:p>
    <w:p w14:paraId="61F19C2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法定代表人或授权委托人：            法定代表人或授权委托人： </w:t>
      </w:r>
    </w:p>
    <w:p w14:paraId="6E8F538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地    址：                          地    址：</w:t>
      </w:r>
    </w:p>
    <w:p w14:paraId="5F7B499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联系电话：                          联系电话：</w:t>
      </w:r>
    </w:p>
    <w:p w14:paraId="51E697A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开户银行：                          开户银行：</w:t>
      </w:r>
    </w:p>
    <w:p w14:paraId="461B3AA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开户名称：                          开户名称：</w:t>
      </w:r>
    </w:p>
    <w:p w14:paraId="5A80543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银行帐号：                          银行帐号：</w:t>
      </w:r>
    </w:p>
    <w:p w14:paraId="11472D7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签约地址：</w:t>
      </w:r>
    </w:p>
    <w:p w14:paraId="3B9B6F85">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签约日期：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p w14:paraId="54084962">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olor w:val="auto"/>
          <w:szCs w:val="21"/>
          <w:highlight w:val="none"/>
        </w:rPr>
      </w:pPr>
    </w:p>
    <w:p w14:paraId="01A0F7BF">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合同鉴证方（盖章）：</w:t>
      </w:r>
      <w:r>
        <w:rPr>
          <w:rFonts w:hint="eastAsia" w:ascii="宋体" w:hAnsi="宋体"/>
          <w:color w:val="auto"/>
          <w:szCs w:val="21"/>
          <w:highlight w:val="none"/>
          <w:lang w:eastAsia="zh-CN"/>
        </w:rPr>
        <w:t>浙江天健工程造价咨询有限公司</w:t>
      </w:r>
    </w:p>
    <w:p w14:paraId="558F9890">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color w:val="auto"/>
          <w:szCs w:val="21"/>
          <w:highlight w:val="none"/>
          <w:lang w:eastAsia="zh-CN"/>
        </w:rPr>
      </w:pPr>
      <w:r>
        <w:rPr>
          <w:rFonts w:hint="eastAsia" w:ascii="宋体" w:hAnsi="宋体"/>
          <w:color w:val="auto"/>
          <w:szCs w:val="21"/>
          <w:highlight w:val="none"/>
        </w:rPr>
        <w:t>鉴 证 人：              联系电话：</w:t>
      </w:r>
      <w:r>
        <w:rPr>
          <w:rFonts w:hint="eastAsia" w:ascii="宋体" w:hAnsi="宋体"/>
          <w:color w:val="auto"/>
          <w:szCs w:val="21"/>
          <w:highlight w:val="none"/>
          <w:lang w:eastAsia="zh-CN"/>
        </w:rPr>
        <w:t>0570-6010879</w:t>
      </w:r>
    </w:p>
    <w:p w14:paraId="7325F228">
      <w:pPr>
        <w:keepNext w:val="0"/>
        <w:keepLines w:val="0"/>
        <w:pageBreakBefore w:val="0"/>
        <w:kinsoku/>
        <w:wordWrap/>
        <w:overflowPunct/>
        <w:topLinePunct w:val="0"/>
        <w:autoSpaceDE/>
        <w:autoSpaceDN/>
        <w:bidi w:val="0"/>
        <w:adjustRightInd/>
        <w:snapToGrid/>
        <w:spacing w:line="380" w:lineRule="exact"/>
        <w:ind w:firstLine="420" w:firstLineChars="200"/>
        <w:textAlignment w:val="auto"/>
        <w:outlineLvl w:val="0"/>
        <w:rPr>
          <w:rFonts w:ascii="宋体" w:hAnsi="宋体"/>
          <w:bCs/>
          <w:color w:val="auto"/>
          <w:szCs w:val="21"/>
          <w:highlight w:val="none"/>
        </w:rPr>
      </w:pPr>
      <w:r>
        <w:rPr>
          <w:rFonts w:hint="eastAsia" w:ascii="宋体" w:hAnsi="宋体"/>
          <w:color w:val="auto"/>
          <w:szCs w:val="21"/>
          <w:highlight w:val="none"/>
        </w:rPr>
        <w:t>鉴证日期：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p w14:paraId="0A5CEBA4">
      <w:pPr>
        <w:keepNext w:val="0"/>
        <w:keepLines w:val="0"/>
        <w:pageBreakBefore w:val="0"/>
        <w:kinsoku/>
        <w:wordWrap/>
        <w:overflowPunct/>
        <w:topLinePunct w:val="0"/>
        <w:autoSpaceDE/>
        <w:autoSpaceDN/>
        <w:bidi w:val="0"/>
        <w:adjustRightInd/>
        <w:snapToGrid w:val="0"/>
        <w:spacing w:line="380" w:lineRule="exact"/>
        <w:jc w:val="both"/>
        <w:textAlignment w:val="baseline"/>
        <w:outlineLvl w:val="0"/>
        <w:rPr>
          <w:rFonts w:hint="eastAsia" w:ascii="黑体" w:hAnsi="宋体" w:eastAsia="黑体"/>
          <w:bCs/>
          <w:color w:val="auto"/>
          <w:kern w:val="44"/>
          <w:sz w:val="32"/>
          <w:szCs w:val="32"/>
          <w:highlight w:val="none"/>
          <w:u w:color="000000"/>
        </w:rPr>
        <w:sectPr>
          <w:headerReference r:id="rId4" w:type="default"/>
          <w:footerReference r:id="rId5" w:type="default"/>
          <w:pgSz w:w="11906" w:h="16838"/>
          <w:pgMar w:top="1361" w:right="1304" w:bottom="1191" w:left="1304" w:header="794" w:footer="851" w:gutter="0"/>
          <w:pgBorders>
            <w:top w:val="none" w:sz="0" w:space="0"/>
            <w:left w:val="none" w:sz="0" w:space="0"/>
            <w:bottom w:val="none" w:sz="0" w:space="0"/>
            <w:right w:val="none" w:sz="0" w:space="0"/>
          </w:pgBorders>
          <w:pgNumType w:fmt="decimal" w:start="0"/>
          <w:cols w:space="720" w:num="1"/>
          <w:docGrid w:linePitch="312" w:charSpace="0"/>
        </w:sectPr>
      </w:pPr>
    </w:p>
    <w:p w14:paraId="58E66610">
      <w:pPr>
        <w:numPr>
          <w:ilvl w:val="0"/>
          <w:numId w:val="6"/>
        </w:numPr>
        <w:spacing w:beforeLines="0" w:afterLines="0"/>
        <w:ind w:left="0" w:leftChars="0" w:firstLine="0" w:firstLineChars="0"/>
        <w:jc w:val="center"/>
        <w:rPr>
          <w:rFonts w:hint="eastAsia"/>
          <w:b/>
          <w:color w:val="auto"/>
          <w:sz w:val="36"/>
          <w:highlight w:val="none"/>
          <w:lang w:eastAsia="zh-CN"/>
        </w:rPr>
      </w:pPr>
      <w:r>
        <w:rPr>
          <w:rFonts w:hint="eastAsia"/>
          <w:b/>
          <w:color w:val="auto"/>
          <w:sz w:val="36"/>
          <w:highlight w:val="none"/>
          <w:lang w:val="en-US" w:eastAsia="zh-CN"/>
        </w:rPr>
        <w:t xml:space="preserve"> 采购</w:t>
      </w:r>
      <w:r>
        <w:rPr>
          <w:rFonts w:hint="eastAsia"/>
          <w:b/>
          <w:color w:val="auto"/>
          <w:sz w:val="36"/>
          <w:highlight w:val="none"/>
          <w:lang w:eastAsia="zh-CN"/>
        </w:rPr>
        <w:t>需求</w:t>
      </w:r>
    </w:p>
    <w:p w14:paraId="49296B4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采购清单</w:t>
      </w:r>
    </w:p>
    <w:tbl>
      <w:tblPr>
        <w:tblStyle w:val="92"/>
        <w:tblpPr w:leftFromText="180" w:rightFromText="180" w:vertAnchor="text" w:horzAnchor="page" w:tblpX="408" w:tblpY="381"/>
        <w:tblOverlap w:val="never"/>
        <w:tblW w:w="110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818"/>
        <w:gridCol w:w="507"/>
        <w:gridCol w:w="510"/>
        <w:gridCol w:w="7812"/>
      </w:tblGrid>
      <w:tr w14:paraId="37625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3115BAE8">
            <w:pPr>
              <w:pStyle w:val="11"/>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序号</w:t>
            </w:r>
          </w:p>
        </w:tc>
        <w:tc>
          <w:tcPr>
            <w:tcW w:w="1818" w:type="dxa"/>
            <w:noWrap w:val="0"/>
            <w:vAlign w:val="center"/>
          </w:tcPr>
          <w:p w14:paraId="2B03BF7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rPr>
              <w:t>项目</w:t>
            </w:r>
          </w:p>
        </w:tc>
        <w:tc>
          <w:tcPr>
            <w:tcW w:w="507" w:type="dxa"/>
            <w:noWrap w:val="0"/>
            <w:vAlign w:val="center"/>
          </w:tcPr>
          <w:p w14:paraId="1E681B6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数量</w:t>
            </w:r>
          </w:p>
        </w:tc>
        <w:tc>
          <w:tcPr>
            <w:tcW w:w="510" w:type="dxa"/>
            <w:noWrap w:val="0"/>
            <w:vAlign w:val="center"/>
          </w:tcPr>
          <w:p w14:paraId="21BBCDB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单位</w:t>
            </w:r>
          </w:p>
        </w:tc>
        <w:tc>
          <w:tcPr>
            <w:tcW w:w="7812" w:type="dxa"/>
            <w:noWrap w:val="0"/>
            <w:vAlign w:val="top"/>
          </w:tcPr>
          <w:p w14:paraId="2DA0E10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参数</w:t>
            </w:r>
          </w:p>
        </w:tc>
      </w:tr>
      <w:tr w14:paraId="66013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435" w:type="dxa"/>
            <w:noWrap w:val="0"/>
            <w:vAlign w:val="center"/>
          </w:tcPr>
          <w:p w14:paraId="2578F81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818" w:type="dxa"/>
            <w:noWrap w:val="0"/>
            <w:vAlign w:val="center"/>
          </w:tcPr>
          <w:p w14:paraId="5F4EB3F4">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数智农场</w:t>
            </w:r>
          </w:p>
          <w:p w14:paraId="0F7E99E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生产管理系统</w:t>
            </w:r>
          </w:p>
        </w:tc>
        <w:tc>
          <w:tcPr>
            <w:tcW w:w="507" w:type="dxa"/>
            <w:noWrap w:val="0"/>
            <w:vAlign w:val="center"/>
          </w:tcPr>
          <w:p w14:paraId="1B341D2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17ED0D2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812" w:type="dxa"/>
            <w:noWrap w:val="0"/>
            <w:vAlign w:val="center"/>
          </w:tcPr>
          <w:p w14:paraId="23A2CED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一、数智农场（PC端）</w:t>
            </w:r>
          </w:p>
          <w:p w14:paraId="7389AE8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1、基地管理：</w:t>
            </w:r>
          </w:p>
          <w:p w14:paraId="53B1597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a、首页 基于GIS地图进行可视化的基地规划，同时可对基地基础信息资料进行编辑，建立基地基础档案，帮助用户合理规划基地资源。包括基地名称、基地主管、面积；用户可基于GIS地图对基地进行地块可视化的规划，同时可对地块基础信息资料进行编辑，建立地块基础档案，为用户对种植地块规划的全局管理提供数字化工具。包括地所属基地、地块名称、技术员、面积、地块颜色。</w:t>
            </w:r>
          </w:p>
          <w:p w14:paraId="5287930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b、基地规划 首页通过GIS地图方式展现企业所有基地分布情况，并可以通过GIS地图操作查看基地中地块的分布、地块在种作物、种植计划进展、设备的分布等。帮助农场负责人和管理人员快速了解全局信息，纵览农场。</w:t>
            </w:r>
          </w:p>
          <w:p w14:paraId="7E8D3B5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2、模型管理 帮助实现农场种植品种的数字化管理，包括品种图片、物种分类、生命周期、产量参考、适种地域、品种描述、管理周期。以作物物候期的关键指标为导向，同时可以结合农业相关专家对作物品种的环境指标、气象灾害、病虫草灾害，农事操作等进行设置，形成科学种植、标准生产。可以从模型库选择科学种植模型模版，也可自定义种植模型，建立专属模版。核心是提供用户对经验数据的管理形成种植模型库，可以方便的进行智能排产、预测生产产量、添加灾害预警等，模型库可以大大提高生产计划制作效率。</w:t>
            </w:r>
          </w:p>
          <w:p w14:paraId="6F207A0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3、种植中心 种植管理包括生产计划管理、农事记录管理、种植管理功能可以帮助农场实现作物种植的智能化排产、农事管理、投入品使用情况管理。管理人员通过系统制定生产计划/农事记录，并根据计划要求执行任务，提交作业记录。作业记录将直接在平台展示，并与计划进行比对。</w:t>
            </w:r>
          </w:p>
          <w:p w14:paraId="322A932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4、设备中心 对物联设备进行统一管理，可以快速了解到农场设备数量和运行情况。设备管理通过列表和GIS结合的方式对企业的设备进行配置，主要操作有：添加设备、删除设备、设备与地块关系绑定、解绑、设备位置的指定等操作。</w:t>
            </w:r>
          </w:p>
          <w:p w14:paraId="2BFFAF3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5、管理中心 系统管理功能包括：基地管理、企业信息管理、人员管理、功能。为用户实现初始化系统基础环境数据，提供资源管理工具。</w:t>
            </w:r>
          </w:p>
          <w:p w14:paraId="70DE251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6、大屏 大屏展示基于物联网、大数据技术，对企业运营情况进行一张图展示，主要内容包括：企业基本情况、在种作物分布概况、年产量情况、当前种植计划情况、农事活动统计情况、生产基地和地块分布、系统预警及农事提示信息、当前基地所在区域的气象信息、在种作物品种信息、物联网及视频设备的监测数据信息、设备使用统计信息、灾害分析对比。</w:t>
            </w:r>
          </w:p>
          <w:p w14:paraId="746CDE5A">
            <w:pPr>
              <w:pStyle w:val="93"/>
              <w:keepNext w:val="0"/>
              <w:keepLines w:val="0"/>
              <w:pageBreakBefore w:val="0"/>
              <w:widowControl w:val="0"/>
              <w:kinsoku/>
              <w:wordWrap/>
              <w:overflowPunct/>
              <w:topLinePunct w:val="0"/>
              <w:autoSpaceDE/>
              <w:autoSpaceDN/>
              <w:bidi w:val="0"/>
              <w:adjustRightInd/>
              <w:snapToGrid/>
              <w:spacing w:before="40" w:line="192" w:lineRule="auto"/>
              <w:ind w:left="655" w:leftChars="312" w:firstLine="6" w:firstLineChars="4"/>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参观者或者企业管理者可以通过大屏直观的了解到企业层面或单个基地的生产过程数据及环境灾害情况，还可以时刻了解到系统的智能提醒信息，让管理者从各种手写表格和excel中脱离出来，将更多精力放在企业的事务管理和规划决策中。</w:t>
            </w:r>
          </w:p>
          <w:p w14:paraId="19813E9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7、告警预警 今日告警统计当天系统接收到的预警报警数量，点击后可以打开详情面板。详情面板分别显示气象、地块、虫害三类告警预警信息。气象告警预警是通过气象信息获得到天气变化导致的报警信息；地块告警预警是通过设备监控参数和管理物候期中的灾害高发期触发的报警信息；虫害告警通过虫情灯设备监控和管理物候期中的设置阈值触发告警信息，会根据当前选择基地的不同进行切换。可以对具体预警报警信息进行标记已读和解除报警操作。</w:t>
            </w:r>
          </w:p>
          <w:p w14:paraId="10B5F2B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8、消息中心  消息中心是为用户提供消息统一管理的工具，包括查看消息内容、标为已读、解除报警等操作。系统将消息类型分为报警信息、预警信息、系统消息3类，报警信息主要针对已发生事件的提醒、预警信息是针对未发生但预测要发生的事件进行通知、系统消息是系统平台发出的平台提示信息。</w:t>
            </w:r>
          </w:p>
          <w:p w14:paraId="3A1ADBF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9、基础数据管理 基础数据维护是企业维护自己特有业务数据的功能，这些数据常常被引用的各个业务流程中，包括：农事类型维护、农事名称维护、物种库维护、投入品维护、灾害库维护、气象灾害库维护。</w:t>
            </w:r>
          </w:p>
          <w:p w14:paraId="623E165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a）农事类型维护：农事类型是对农事操作具体的分类。为了方便使用，用户可以根据自己实际情况添加农事类型。</w:t>
            </w:r>
          </w:p>
          <w:p w14:paraId="4E83FD7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农事名称维护：农事名称是企业根据自己业务定义好的标准化农事操作的叫法，为将企业信息标准化起来，农事名称是一个基础的标准数据，将会在农事任务的记录中进行应用。用户可以执行增加、修改、删除、启用、禁用操作。</w:t>
            </w:r>
          </w:p>
          <w:p w14:paraId="6A50AD2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c）物种库管理：用户可以通过物种库管理页面维护企业所需要的物种信息，包括物种的添加、编辑和删除。</w:t>
            </w:r>
          </w:p>
          <w:p w14:paraId="41DAF60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d）投入品维护：用户可以通过投入品管理页面维护企业所使用的投入品，包括投入品的添加、编辑和删除。</w:t>
            </w:r>
          </w:p>
          <w:p w14:paraId="194E407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e）灾害库维护：与企业种植作物相关的病虫害信息，通过模型和生产计划的关联用户可以配置灾害提醒服务。</w:t>
            </w:r>
          </w:p>
          <w:p w14:paraId="7AD97EB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用户可以通过灾害库管理页面维护企业所使用的灾害信息，包括添加、编辑和删除。</w:t>
            </w:r>
          </w:p>
          <w:p w14:paraId="5357CBC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f）气象灾害库：气象灾害库维护与企业种植作物相关的气象灾害信息，通过模型和生产计划的关联结合气象信息用户可以得到气象灾害提醒服务。</w:t>
            </w:r>
          </w:p>
          <w:p w14:paraId="0B1D365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二、数智农场（移动端）</w:t>
            </w:r>
          </w:p>
          <w:p w14:paraId="3EED881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1、首页 小程序门户通过其统一平台、多样化的内容展示和丰富的应用场景，用户提供了一个便捷、高效的信息中心。包括：产业服务、应用中心、行业新闻资讯、客户案例等。</w:t>
            </w:r>
          </w:p>
          <w:p w14:paraId="238770D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2、动态 动态功能通过整合多种类型的视频动态内容，为用户提供了一个收藏、分享的平台。这一功能不仅丰富了小程序的使用场景和体验，也促进了用户之间的信息交流与互动，进一步提升了小程序的价值和影响力。</w:t>
            </w:r>
          </w:p>
          <w:p w14:paraId="404EBB4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3、我的 我功能是一个用户中心，提供了用户个人信息的集中管理和个性化服务。这个功能模块主要包含账号管理、我的应用、我的收藏、信息中心以及问题反馈等子模块，为用户提供了便捷、高效的个人信息管理服务。</w:t>
            </w:r>
          </w:p>
          <w:p w14:paraId="156683E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账号管理：在这个模块中，用户可以查看和编辑自己的个人信息，包括头像、昵称、性别、地区等。同时，用户还可以进行密码修改、账号绑定等操作，确保账号的安全性和隐私性。此外，用户还可以设置登录方式，如指纹识别或面部识别，提高登录的便捷性。</w:t>
            </w:r>
          </w:p>
          <w:p w14:paraId="5B5F573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我的应用：这个模块展示了用户在小程序中安装和使用的所有应用。用户可以在这里快速找到并打开自己常用的应用，无需在搜索或浏览中耗费时间。同时，对于不再需要的应用，用户也可以选择卸载或删除。</w:t>
            </w:r>
          </w:p>
          <w:p w14:paraId="6EADBFD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c、我的收藏：该模块允许用户收藏自己感兴趣的内容或链接，方便日后查看或分享。无论是商品、文章、视频还是其他类型的内容，只要用户点击收藏，就可以在我的收藏中找到。</w:t>
            </w:r>
          </w:p>
          <w:p w14:paraId="4826008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d、信息中心：这个模块是用户接收通知和消息的中心。无论是小程序的更新通知、活动提醒还是其他用户的互动消息，都会在这里集中展示。用户可以随时查看并处理这些消息，保持与小程序和其他用户的及时沟通。</w:t>
            </w:r>
          </w:p>
          <w:p w14:paraId="0280DC3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e、问题反馈：当用户在使用小程序过程中遇到问题或需要帮助时，可以通过问题反馈模块向开发者提交反馈或建议。用户可以详细描述问题的情况、发生时间、操作步骤等信息，并附上截图或视频等辅助材料。开发者在收到反馈后，会尽快进行处理并回复用户，提升用户的使用体验和满意度。</w:t>
            </w:r>
          </w:p>
          <w:p w14:paraId="10F5D5A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4 、智答 智能问答功能是基于人工智能技术，通过大模型文字交互形式，能够准确回答用户提出的各种问题的应用程序。它具备语义理解、问题分类等功能，为用户提供了一个便捷、高效的获取信息的途径。</w:t>
            </w:r>
          </w:p>
        </w:tc>
      </w:tr>
      <w:tr w14:paraId="3C745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35" w:type="dxa"/>
            <w:noWrap w:val="0"/>
            <w:vAlign w:val="center"/>
          </w:tcPr>
          <w:p w14:paraId="7F2A5E5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292F93F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2D35E07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6B829BC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66D4AC6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0C7FCFF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554BED3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16E9D7E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2DCF1C1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39D03DA8">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818" w:type="dxa"/>
            <w:noWrap w:val="0"/>
            <w:vAlign w:val="center"/>
          </w:tcPr>
          <w:p w14:paraId="526B9DC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49D74A5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3405287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0FEEB14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2DBEF70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39D4910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32CEF7A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625E2F7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48FFCFC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p>
          <w:p w14:paraId="3B6D7D4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数智加工</w:t>
            </w:r>
          </w:p>
          <w:p w14:paraId="4936CA7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生产管理系统</w:t>
            </w:r>
          </w:p>
        </w:tc>
        <w:tc>
          <w:tcPr>
            <w:tcW w:w="507" w:type="dxa"/>
            <w:noWrap w:val="0"/>
            <w:vAlign w:val="center"/>
          </w:tcPr>
          <w:p w14:paraId="1FA3CC6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BD3EDE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88D3F4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0AA813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423A7DE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16C4F8D8">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102CFDE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1169CCA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0A86C4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92CE4F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14E6E69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AF7292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5F6754F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13451A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26853EA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B5501A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CD574F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1BAD69B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5018B6B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5F4974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534FC3B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数智加工系统</w:t>
            </w:r>
          </w:p>
          <w:p w14:paraId="570C4B6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围绕产地仓的原料品入仓、检测品控、分选加工、包装发货、库存批次溯源、物流等环节，建立数字化、智慧化、标准化的运营管理体系。结合智能设备的应用，提高农产品产业在收储、生产加工、物流流通环节的作业效率。基本覆盖了农产品加工生产全流程业务，现场通过规范化操作，沉淀运营生产数据，可实现全程信息可视化、透明化。便于现场管理和问题排查。同时，通过报表分析功能可以为公司上层提供有价值数据分析和决策辅助支持。</w:t>
            </w:r>
          </w:p>
          <w:p w14:paraId="261C4C2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1、系统管理</w:t>
            </w:r>
          </w:p>
          <w:p w14:paraId="639BC69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用户管理，角色管理，菜单管理，部门管理，岗位管理，字典管理，参数设置，通知公告，日志管理</w:t>
            </w:r>
          </w:p>
          <w:p w14:paraId="375B90A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a、仓库管理：支持多仓管理</w:t>
            </w:r>
          </w:p>
          <w:p w14:paraId="4944DCB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b、用户管理：员工账户及权限设置</w:t>
            </w:r>
          </w:p>
          <w:p w14:paraId="3FE2C1D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c、角色管理：公司多种角色协作办公，区分角色操作权限及查看数据范围</w:t>
            </w:r>
          </w:p>
          <w:p w14:paraId="6049B19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d、菜单管理：根据企业需求自定义使用菜单排序</w:t>
            </w:r>
          </w:p>
          <w:p w14:paraId="1AF884D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e、日志管理：每个操作人员系统模块操作记录都可进行追溯</w:t>
            </w:r>
          </w:p>
          <w:p w14:paraId="371EB02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2、基础管理</w:t>
            </w:r>
          </w:p>
          <w:p w14:paraId="49553AC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支持货品管理，分类管理，分选方案，BOM管理，库位管理，货主管理，工艺流程管理</w:t>
            </w:r>
          </w:p>
          <w:p w14:paraId="458680E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a、货品管理：管理货品信息，支持原料/半成品/成品/包材多种货品类型管理</w:t>
            </w:r>
          </w:p>
          <w:p w14:paraId="1A389C6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b、空间管理：仓内库区库位分布及规划，支持多品多位及一品多位</w:t>
            </w:r>
          </w:p>
          <w:p w14:paraId="01C0DBA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c、容器管理：容器档案管理及借还记录追溯</w:t>
            </w:r>
          </w:p>
          <w:p w14:paraId="5A3F423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d、工艺流程：货品生产制造过程中需要的工艺</w:t>
            </w:r>
          </w:p>
          <w:p w14:paraId="0F8F0E8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e、货主管理：管理仓内货物归属人，归属人可查询货主为本人货品库存及操作出入库</w:t>
            </w:r>
          </w:p>
          <w:p w14:paraId="57A2E72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f、客户管理：维护客户基础信息及结算方式</w:t>
            </w:r>
          </w:p>
          <w:p w14:paraId="158B41F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3、生产管理</w:t>
            </w:r>
          </w:p>
          <w:p w14:paraId="04316E5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针对生产订单、出库单、入库单等多个环节的管理，可以进行仓内预作业，支持仓内人员计重绩效，结合智能设备的应用，支持自动分选设备，现场通过规范化操作，使生产标准化</w:t>
            </w:r>
          </w:p>
          <w:p w14:paraId="01C574A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a、现场根据需要加工生产单完成后，可对结果数据进行登记。加工登记信息支持分选和包装两种作业的信息登记记录功能。</w:t>
            </w:r>
          </w:p>
          <w:p w14:paraId="45501CC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b、现场进行加工领料/退料，根据实际作业情况自动同步仓内库存数据</w:t>
            </w:r>
          </w:p>
          <w:p w14:paraId="1BBA567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4、采购销售</w:t>
            </w:r>
          </w:p>
          <w:p w14:paraId="6E17CB9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支持货品采购加工销售，统计销售利润，通过报表分析功能可以为公司上层提供有价值数据分析和决策辅助支持</w:t>
            </w:r>
          </w:p>
          <w:p w14:paraId="55EC7BD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a、支持原料/物料多种货品类型采购</w:t>
            </w:r>
          </w:p>
          <w:p w14:paraId="692884D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b、采购单创建，审核完成后通知仓库到仓时间，并创建仓库入库单据</w:t>
            </w:r>
          </w:p>
          <w:p w14:paraId="347D155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c、采购验收不通过可进行拒收退供。</w:t>
            </w:r>
          </w:p>
          <w:p w14:paraId="25225E8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5、销售管理</w:t>
            </w:r>
          </w:p>
          <w:p w14:paraId="3828D14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a、支持多渠道下单销售嘛，订单汇总后仓内发货</w:t>
            </w:r>
          </w:p>
          <w:p w14:paraId="35AD811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b、支持销售配仓，指定货物等级</w:t>
            </w:r>
          </w:p>
          <w:p w14:paraId="33C5758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6、质检管理</w:t>
            </w:r>
          </w:p>
          <w:p w14:paraId="59488E7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通过入库单，针对入库单货品信息进行质检操作</w:t>
            </w:r>
          </w:p>
          <w:p w14:paraId="416E8B2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a、货品运送到仓库，准备入库前，仓库人员对货品做质检工作。质检完成后，访问系统记录质检结果数据</w:t>
            </w:r>
          </w:p>
          <w:p w14:paraId="07545B8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b、进入质检菜单，可查看历史质检记录，也可根据需要进行条件筛选查询。如需进行质检登记， 可点击创建质检单。</w:t>
            </w:r>
          </w:p>
          <w:p w14:paraId="6BDDE20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7、入库管理</w:t>
            </w:r>
          </w:p>
          <w:p w14:paraId="3103513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a、所有入库单可通过入库单查看菜单进行入库详情查看。可进行收货、入库、打印入库单。</w:t>
            </w:r>
          </w:p>
          <w:p w14:paraId="7412EDF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b、支持加工入库/采购入库/分选入库/退料入库多种入库类型</w:t>
            </w:r>
          </w:p>
          <w:p w14:paraId="19174C3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c、可手动创建快捷入库单，支持货品指定入库上架库位</w:t>
            </w:r>
          </w:p>
          <w:p w14:paraId="17F73BB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8、出库管理</w:t>
            </w:r>
          </w:p>
          <w:p w14:paraId="371BCF0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a、支持手工新建，销售推单，创建出库单</w:t>
            </w:r>
          </w:p>
          <w:p w14:paraId="0F0ACB3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b、仓库可根据销售要求进行出库配货，出库验货</w:t>
            </w:r>
          </w:p>
          <w:p w14:paraId="109BA9A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c、支持销售出库/加工出库等多种出库类型</w:t>
            </w:r>
          </w:p>
          <w:p w14:paraId="5AE4A12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9、库存管理</w:t>
            </w:r>
          </w:p>
          <w:p w14:paraId="2917D9C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针对库存信息及库存汇总管理，随时查看库存详细数据，记录到仓时间及供应商</w:t>
            </w:r>
          </w:p>
          <w:p w14:paraId="31B80DA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a、总库存查看，可查看了解库内所有货品的总库存信息。</w:t>
            </w:r>
          </w:p>
          <w:p w14:paraId="1CD7993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b、批次库存查看，每次作业（入库、分选、加工等）和库存调整会形成相应批次的货品信息，系统提供以批次维度查看货品详细信息。</w:t>
            </w:r>
          </w:p>
          <w:p w14:paraId="60AB873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c、库存调整，每笔作业（报损/盘点/移库）等操作影响库存变动，系统内可查看变动具体数量及变动原因时间。</w:t>
            </w:r>
          </w:p>
          <w:p w14:paraId="5FCB13F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10、在库管理</w:t>
            </w:r>
          </w:p>
          <w:p w14:paraId="70F3127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库内报损/移库/盘点等作业操作，高效校准库存，同时可提供库内日常货品维护作业管理。</w:t>
            </w:r>
          </w:p>
          <w:p w14:paraId="70C2BA9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a、盘点管理：支持明盘/暗盘操作，盘点作业完成后，自动生成盘点差异单，审核后变动盘点后库存数据</w:t>
            </w:r>
          </w:p>
          <w:p w14:paraId="2D3FA39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b、移库管理：支持货品库内货位移动</w:t>
            </w:r>
          </w:p>
          <w:p w14:paraId="0FD221F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c、报损管理：仓内自然报损及加工损耗数量管理</w:t>
            </w:r>
          </w:p>
          <w:p w14:paraId="4154E17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d、变更货主：支持库内货品更换货主操作</w:t>
            </w:r>
          </w:p>
          <w:p w14:paraId="64369DF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eastAsia="zh-CN"/>
              </w:rPr>
            </w:pPr>
            <w:r>
              <w:rPr>
                <w:rFonts w:hint="eastAsia" w:ascii="宋体" w:hAnsi="宋体" w:eastAsia="宋体" w:cs="宋体"/>
                <w:color w:val="auto"/>
                <w:spacing w:val="-7"/>
                <w:sz w:val="18"/>
                <w:szCs w:val="18"/>
                <w:highlight w:val="none"/>
              </w:rPr>
              <w:t>e、变更货品：支持货品在库内等级变更操作</w:t>
            </w:r>
          </w:p>
          <w:p w14:paraId="00D6F19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11、数据管理</w:t>
            </w:r>
          </w:p>
          <w:p w14:paraId="4BA9051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支持销售，采购，发货，订单，售后，库存，实时绩效，各个岗位绩效统计，店铺中差评统计，每个时间每个人员在系统中进行的操作记录，订单 货品 采购 库存 发货等汇总和明细报表统计，平台链接利润统计。</w:t>
            </w:r>
          </w:p>
        </w:tc>
      </w:tr>
      <w:tr w14:paraId="6E469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35" w:type="dxa"/>
            <w:noWrap w:val="0"/>
            <w:vAlign w:val="center"/>
          </w:tcPr>
          <w:p w14:paraId="26C115D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818" w:type="dxa"/>
            <w:noWrap w:val="0"/>
            <w:vAlign w:val="center"/>
          </w:tcPr>
          <w:p w14:paraId="4671126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溯源系统</w:t>
            </w:r>
          </w:p>
        </w:tc>
        <w:tc>
          <w:tcPr>
            <w:tcW w:w="507" w:type="dxa"/>
            <w:noWrap w:val="0"/>
            <w:vAlign w:val="center"/>
          </w:tcPr>
          <w:p w14:paraId="6D9CE40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262C75D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26DAAD5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溯源系统</w:t>
            </w:r>
          </w:p>
          <w:p w14:paraId="41B98ED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数字农场溯源系统应包含企业运营管理的PC端后台系统、PDA绑定应用、商流后台系统、消费者端移动扫码小程序。溯源体系以数字化种植为基础，提供一物一码，使农产品的整个生产过程可追溯，产品质量可查验，产品品牌可验真，保障农产品绿色安全，保护农产品信誉，从而提供给企业展示优良产品的窗口，助力企业打造绿色安全的高端品牌。面向种植企业管理者，支持商品管理、环境指标配置、生成溯源码、溯源档案、商流营销、出码详情、溯源查询、防伪查询、数据报表、移动端扫码等。</w:t>
            </w:r>
          </w:p>
          <w:p w14:paraId="694169C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1、商品管理：</w:t>
            </w:r>
          </w:p>
          <w:p w14:paraId="2E1D058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管理商品信息，可以添加、修改、删除商品，支持以品牌、产品系列的维度对SKU进行分类管理。</w:t>
            </w:r>
          </w:p>
          <w:p w14:paraId="4A537C3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2、成品溯源档案：</w:t>
            </w:r>
          </w:p>
          <w:p w14:paraId="28BF4DC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可将每个产品按照种植基地、采摘时间或视频、分选等级或视频、包装时间、包装样式、发货时间、订单校验等溯源信息采集至系统，形成溯源档案。</w:t>
            </w:r>
          </w:p>
          <w:p w14:paraId="4D6547C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3、产品追溯：</w:t>
            </w:r>
          </w:p>
          <w:p w14:paraId="4B889A7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一物一码，支持箱码、产品码双向关联。每个产品对应一个独一无二的防伪标签信息，产品在流转的过程中会记录下来每个节点的数据，只需要扫描产品码就可以查看产品的整个流转过程。</w:t>
            </w:r>
          </w:p>
          <w:p w14:paraId="11BFA83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4、产品防伪：</w:t>
            </w:r>
          </w:p>
          <w:p w14:paraId="467B9C9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产品到达终端消费者手中后，用户可以通过使用小程序扫一扫进行品牌验真。同时，防伪溯源标签复制和防制存在技术难度。</w:t>
            </w:r>
          </w:p>
          <w:p w14:paraId="4BD3D27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5、商流营销：</w:t>
            </w:r>
          </w:p>
          <w:p w14:paraId="79FFDA9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提供红包、优惠券、拼团等营销活动，企业可以通过营销活动引导终端消费者扫描进行验伪，教育终端消费者品牌意识的同时也可以将消费者引流到自己的公众号或企业微信，形成私域流量池，经营消费者的长期价值。</w:t>
            </w:r>
          </w:p>
          <w:p w14:paraId="5B47DB5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6、商流积分商城：</w:t>
            </w:r>
          </w:p>
          <w:p w14:paraId="01C5192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提供完整的积分获取和积分消耗体系，通过扫描验伪标签即可进入领取积分页面，领取后还可以在系统内的积分商城完成积分兑换，提升消费者的品牌好感。</w:t>
            </w:r>
          </w:p>
          <w:p w14:paraId="3CCDD89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7、信息查询：</w:t>
            </w:r>
          </w:p>
          <w:p w14:paraId="5BE1DA3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查看出码日志和每次出码的详细信息，可通过PC端在AC后台中查询，也可通过PDA扫码枪查询，消费者可通过微信小程序查询。</w:t>
            </w:r>
          </w:p>
          <w:p w14:paraId="3ED2DB6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8、数据报表：</w:t>
            </w:r>
          </w:p>
          <w:p w14:paraId="53BEB4E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可查询每日入库数据、包装数据、出库数据、疑似窜货数据、扫描数据、用户验伪数据、用户画像、商品轨迹数据等，全面监控产品的扫码流转信息以及验伪信息，也可根据需求定制一些数据报表。</w:t>
            </w:r>
          </w:p>
        </w:tc>
      </w:tr>
      <w:tr w14:paraId="6975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35" w:type="dxa"/>
            <w:noWrap w:val="0"/>
            <w:vAlign w:val="center"/>
          </w:tcPr>
          <w:p w14:paraId="5A18F92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4D70BCA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5093171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C5FBD1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4555C5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4804A81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31A092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818" w:type="dxa"/>
            <w:noWrap w:val="0"/>
            <w:vAlign w:val="center"/>
          </w:tcPr>
          <w:p w14:paraId="7EF0352E">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5B8A31B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2A20786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1C9F6CD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38F57A1A">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1A597F6B">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基地可视化</w:t>
            </w:r>
          </w:p>
          <w:p w14:paraId="289B111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大数据系统</w:t>
            </w:r>
          </w:p>
        </w:tc>
        <w:tc>
          <w:tcPr>
            <w:tcW w:w="507" w:type="dxa"/>
            <w:noWrap w:val="0"/>
            <w:vAlign w:val="center"/>
          </w:tcPr>
          <w:p w14:paraId="38343BA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A72B1A4">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30B66D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471D7FF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72B61C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EA95A1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55ED00E8">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196C27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BF7A9A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4E57C18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69F3D5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0CD131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74A9D71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基地可视化大数据展示</w:t>
            </w:r>
          </w:p>
          <w:p w14:paraId="1E58577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1、概要首页</w:t>
            </w:r>
          </w:p>
          <w:p w14:paraId="5207C93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对开化小香薯产业数据进行汇总统计,支持展示产业宣传图片、产业介绍及基础统计数据：种植面积、基地数量、地块总数量、产量、物联网设备数量、气象环境信息、系统信息提示、预警报警信息、包括基于GIS展示基地设备、基地地块和生产情况，便于观看用户从整体了解产业概况，支持多维度内容定制。</w:t>
            </w:r>
          </w:p>
          <w:p w14:paraId="28D6FC3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地图展示的设备按照类型主要分为气象监测、虫情监测、土壤监测和摄像头视频监测，具体展示数据会根据企业安装设备决定。气象监测、虫情监测、土壤监测类型的数据展示会随时间定时更新和进行切换。支持按照基地安装设备的类型和在线离线的状态进行数量和占比的统计分析。可以直观的看到基地设备配置情况及设备展现离线情况。</w:t>
            </w:r>
          </w:p>
          <w:p w14:paraId="5A92C0A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2、种植一张图</w:t>
            </w:r>
          </w:p>
          <w:p w14:paraId="52108C2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对生产环节的业务数据和环境数据进行展现，可以通过该图查看种植作物、种植计划执行进度、气象环境、土壤环境等数据，用户可以实时掌握生产过程进展。具体包含：</w:t>
            </w:r>
          </w:p>
          <w:p w14:paraId="6236F0D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支持在种作物分布概况：使用种植品种视角查看各个品种的种植面积及占比，由此图可以直观的看到企业主要种植作物的基本情况。通过切换列表可以查看往年数据。</w:t>
            </w:r>
          </w:p>
          <w:p w14:paraId="4C358C5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支持年产情况：年产情况按照作物品种进行统计，同时可以看到不同作物的产量占比。其中包含了历史实际和预计产量的对比情况见柱形图显示。通过切换列表可以查看往年数据。</w:t>
            </w:r>
          </w:p>
          <w:p w14:paraId="01DB47F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支持种植计划情况：该部分对企业年度种植计划的情况进行统计，种植计划有三个状态分别是：未开始、开始、已结束。统计数据也按照这三个维度进行统计。数据还支持通过物种进行细化的展示。</w:t>
            </w:r>
          </w:p>
          <w:p w14:paraId="37CB0D8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农事活动统计：本区域显示基地农事活动的统计信息，通过待执行、已完成以及预期三个状态进行统计，通过三者比例可以看到农事活动进展。同时本区域也可通过事件段来查看农事活动各个月份的产生规律。</w:t>
            </w:r>
          </w:p>
          <w:p w14:paraId="70A5905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支持在种品种信息：展示企业正在种植作物的状态：物种名称、种植基地快、所处物候期，农事活动。可以直观了解到企业的生产状态。</w:t>
            </w:r>
          </w:p>
          <w:p w14:paraId="6E407D0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支持灾害统计信息：按照灾害类型统计本年和上年的的系统报警次数的统计。可以通过时间来查看发现高发月份提前指定安全策略采取防治措施。</w:t>
            </w:r>
          </w:p>
          <w:p w14:paraId="4192BE7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3、生产一张图</w:t>
            </w:r>
          </w:p>
          <w:p w14:paraId="0908642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通过物流系统数据对接，系统中对加工数据的采集，实现对农产品的加工量、加工过程、加工分级结果等数据进行汇总，用户可以实时详细的掌握加工情况对，前后环节的工作进行有效调度。</w:t>
            </w:r>
          </w:p>
          <w:p w14:paraId="1A99398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加工一张图包含现场加工环境视频监控，加工批次记录（时间、批次、内容、入料、成品量等）、生产线运行状态，为用户了解加工工作提供全面的数据展现，同时可以进行加工产能数据的分析。</w:t>
            </w:r>
          </w:p>
          <w:p w14:paraId="185285D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4、销售一张图</w:t>
            </w:r>
          </w:p>
          <w:p w14:paraId="2EB33CB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通过对接物流云仓，对企业农产品库存和销售数据进行统计，用户可以通过库存和销售数据分析，对企业销售出货情况库存情况进行直观的数据查看，便于对销售策略进行调优。</w:t>
            </w:r>
          </w:p>
          <w:p w14:paraId="0B27042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统计内容包括：入库批次、库存数量、出库批次、出库数量、出库销售去向、销售趋势等数据等。</w:t>
            </w:r>
          </w:p>
          <w:p w14:paraId="23850BD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5、溯源一张图</w:t>
            </w:r>
          </w:p>
          <w:p w14:paraId="52F2D93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支持通过对农产品的溯源码的使用进行统计分析，可以获得能够反映市场情况的简间接数据，通过对数据分析可以对产品的销售、营销提供策略参考。</w:t>
            </w:r>
          </w:p>
          <w:p w14:paraId="6F1712A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支持统计针对已销售商品的出码量、扫码量，可以了解市场对自身产品的扫码意愿，分析用户对该商品的深入了解意愿。</w:t>
            </w:r>
          </w:p>
          <w:p w14:paraId="2C0BEC9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支持统计溯源码引流情况，溯源码中可以嵌入产品销售商城的访问入口，通过引流情况可以分析用户二次购买或者分享行为，从而制定合适的营销策略。</w:t>
            </w:r>
          </w:p>
          <w:p w14:paraId="6C3F4C8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支持针对用户扫码时留下的位置信息分析消费群体的区域分布，对产品销售方向的调度可以起到一定的辅助作用。</w:t>
            </w:r>
          </w:p>
          <w:p w14:paraId="491066C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支持推测用户扫码行为的目的，对了解用户行为调整销售方式提供数据参考。</w:t>
            </w:r>
          </w:p>
          <w:p w14:paraId="4B797FA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6、大屏数据维护</w:t>
            </w:r>
          </w:p>
          <w:p w14:paraId="1271527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大屏数据维护是对企业生产数据展示大屏的数据源进行手动维护的功能页面，按照大屏的数据构成每一部分都对应一个相应的数据维护表单，用户可以对历史数据进行维护。</w:t>
            </w:r>
          </w:p>
        </w:tc>
      </w:tr>
      <w:tr w14:paraId="7C20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35" w:type="dxa"/>
            <w:noWrap w:val="0"/>
            <w:vAlign w:val="center"/>
          </w:tcPr>
          <w:p w14:paraId="2BF172E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1818" w:type="dxa"/>
            <w:noWrap w:val="0"/>
            <w:vAlign w:val="center"/>
          </w:tcPr>
          <w:p w14:paraId="04286C0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-气象站</w:t>
            </w:r>
          </w:p>
        </w:tc>
        <w:tc>
          <w:tcPr>
            <w:tcW w:w="507" w:type="dxa"/>
            <w:noWrap w:val="0"/>
            <w:vAlign w:val="center"/>
          </w:tcPr>
          <w:p w14:paraId="2F2681B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24C4FC7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w:t>
            </w:r>
          </w:p>
        </w:tc>
        <w:tc>
          <w:tcPr>
            <w:tcW w:w="7812" w:type="dxa"/>
            <w:noWrap w:val="0"/>
            <w:vAlign w:val="center"/>
          </w:tcPr>
          <w:p w14:paraId="1D29559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 xml:space="preserve">空气温度：-40～85℃     空气湿度：0-100%RH          </w:t>
            </w:r>
          </w:p>
          <w:p w14:paraId="5B6AC6A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总辐射：光谱范围：0-2000W/m2,波长范围：400-1100nm</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 xml:space="preserve">日照时长：通过辐射换算 </w:t>
            </w:r>
          </w:p>
          <w:p w14:paraId="2E2D771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 xml:space="preserve">土壤温度：-20-80℃         土壤湿度：0-100%Vol      </w:t>
            </w:r>
          </w:p>
          <w:p w14:paraId="0EB4406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 xml:space="preserve">风速：0-40m/s       风向：0-359.9°        </w:t>
            </w:r>
          </w:p>
          <w:p w14:paraId="5883C74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 xml:space="preserve">降雨量：0～2mm/h  </w:t>
            </w:r>
          </w:p>
          <w:p w14:paraId="00C1B236">
            <w:pPr>
              <w:pStyle w:val="93"/>
              <w:keepNext w:val="0"/>
              <w:keepLines w:val="0"/>
              <w:pageBreakBefore w:val="0"/>
              <w:widowControl w:val="0"/>
              <w:kinsoku/>
              <w:wordWrap/>
              <w:overflowPunct/>
              <w:topLinePunct w:val="0"/>
              <w:autoSpaceDE/>
              <w:autoSpaceDN/>
              <w:bidi w:val="0"/>
              <w:adjustRightInd/>
              <w:snapToGrid/>
              <w:spacing w:before="40" w:line="192" w:lineRule="auto"/>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 xml:space="preserve">材质：杆具：2米镀锌管      地钉材质：Q235钢      土壤温湿度：ABS     集成传感器：ASA工程塑料风速/风向：优质铝合金材质       降雨量：不锈钢     紫外线：铸铝喷塑 </w:t>
            </w:r>
          </w:p>
        </w:tc>
      </w:tr>
      <w:tr w14:paraId="2B83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355E279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818" w:type="dxa"/>
            <w:noWrap w:val="0"/>
            <w:vAlign w:val="center"/>
          </w:tcPr>
          <w:p w14:paraId="6B8ADD6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-物联网卡</w:t>
            </w:r>
          </w:p>
        </w:tc>
        <w:tc>
          <w:tcPr>
            <w:tcW w:w="507" w:type="dxa"/>
            <w:noWrap w:val="0"/>
            <w:vAlign w:val="center"/>
          </w:tcPr>
          <w:p w14:paraId="7E77726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6BFB6CE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张/年</w:t>
            </w:r>
          </w:p>
        </w:tc>
        <w:tc>
          <w:tcPr>
            <w:tcW w:w="7812" w:type="dxa"/>
            <w:noWrap w:val="0"/>
            <w:vAlign w:val="center"/>
          </w:tcPr>
          <w:p w14:paraId="5ED91EC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default"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w:t>
            </w:r>
          </w:p>
        </w:tc>
      </w:tr>
      <w:tr w14:paraId="40473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3E1E810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818" w:type="dxa"/>
            <w:noWrap w:val="0"/>
            <w:vAlign w:val="center"/>
          </w:tcPr>
          <w:p w14:paraId="2ABAF81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-立杆</w:t>
            </w:r>
          </w:p>
        </w:tc>
        <w:tc>
          <w:tcPr>
            <w:tcW w:w="507" w:type="dxa"/>
            <w:noWrap w:val="0"/>
            <w:vAlign w:val="center"/>
          </w:tcPr>
          <w:p w14:paraId="4DB161E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510" w:type="dxa"/>
            <w:noWrap w:val="0"/>
            <w:vAlign w:val="center"/>
          </w:tcPr>
          <w:p w14:paraId="3EF0C3B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4B7AEE7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1.5米，4支架，配套安装辅材</w:t>
            </w:r>
          </w:p>
        </w:tc>
      </w:tr>
      <w:tr w14:paraId="28B53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35" w:type="dxa"/>
            <w:noWrap w:val="0"/>
            <w:vAlign w:val="center"/>
          </w:tcPr>
          <w:p w14:paraId="5E24B24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1ABF16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773A56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13F0712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818" w:type="dxa"/>
            <w:noWrap w:val="0"/>
            <w:vAlign w:val="center"/>
          </w:tcPr>
          <w:p w14:paraId="1E71FC0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32E766B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0F94C0C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154E62B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68042E5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-400万红外定焦枪型网络摄像机</w:t>
            </w:r>
          </w:p>
        </w:tc>
        <w:tc>
          <w:tcPr>
            <w:tcW w:w="507" w:type="dxa"/>
            <w:noWrap w:val="0"/>
            <w:vAlign w:val="center"/>
          </w:tcPr>
          <w:p w14:paraId="078A792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44245E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EDDEC7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2F94AF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510" w:type="dxa"/>
            <w:noWrap w:val="0"/>
            <w:vAlign w:val="center"/>
          </w:tcPr>
          <w:p w14:paraId="3AED893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0F8B23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532298D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557F6DA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w:t>
            </w:r>
          </w:p>
        </w:tc>
        <w:tc>
          <w:tcPr>
            <w:tcW w:w="7812" w:type="dxa"/>
            <w:noWrap w:val="0"/>
            <w:vAlign w:val="center"/>
          </w:tcPr>
          <w:p w14:paraId="2E11EEB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传感器类型：1/3英寸CMOS；</w:t>
            </w:r>
          </w:p>
          <w:p w14:paraId="31A7671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像素：400万；</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最大分辨率：2560×1440；</w:t>
            </w:r>
          </w:p>
          <w:p w14:paraId="7850972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最低照度：0.01lux（彩色模式）；0.001lux（黑白模式）；0lux（补光灯开启）；</w:t>
            </w:r>
          </w:p>
          <w:p w14:paraId="4177FD7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最大补光距离：50m（红外）；</w:t>
            </w:r>
          </w:p>
          <w:p w14:paraId="2F75376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补光灯：1颗（红外灯）；</w:t>
            </w:r>
          </w:p>
          <w:p w14:paraId="61858BB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镜头类型：定焦；</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镜头焦距：3.6mm；</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镜头光圈：F2.0；</w:t>
            </w:r>
          </w:p>
          <w:p w14:paraId="1707961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视场角：水平：76°；垂直：40°；对角：92°；</w:t>
            </w:r>
          </w:p>
          <w:p w14:paraId="7AC427E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智能编码：H.264:支持;H.265:支持;</w:t>
            </w:r>
          </w:p>
          <w:p w14:paraId="69614DD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宽动态：支持；</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内置MIC：支持；</w:t>
            </w:r>
          </w:p>
          <w:p w14:paraId="722F6B4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报警事件：网络断开;IP冲突;非法访问;动态检测;视频遮挡;音频异常侦测;安全异常；</w:t>
            </w:r>
          </w:p>
          <w:p w14:paraId="4B177BB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接入标准：ONVIF（Profile S &amp;amp; Profile T）；CGI；GB/T28181-2022；大华云联；</w:t>
            </w:r>
          </w:p>
          <w:p w14:paraId="72F2D54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预览最大用户数：6个（总带宽:24 M）；</w:t>
            </w:r>
          </w:p>
          <w:p w14:paraId="2B300AA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供电方式：DC12V；防护等级：IP66</w:t>
            </w:r>
          </w:p>
        </w:tc>
      </w:tr>
      <w:tr w14:paraId="6D27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5" w:hRule="atLeast"/>
        </w:trPr>
        <w:tc>
          <w:tcPr>
            <w:tcW w:w="435" w:type="dxa"/>
            <w:noWrap w:val="0"/>
            <w:vAlign w:val="center"/>
          </w:tcPr>
          <w:p w14:paraId="0721C588">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0B0CA5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8EBF5C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53D81C9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818" w:type="dxa"/>
            <w:noWrap w:val="0"/>
            <w:vAlign w:val="center"/>
          </w:tcPr>
          <w:p w14:paraId="7EFBF66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73122FEF">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320B7B1B">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5D14A385">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rPr>
            </w:pPr>
          </w:p>
          <w:p w14:paraId="7BF773D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-NVR硬盘录像机</w:t>
            </w:r>
          </w:p>
        </w:tc>
        <w:tc>
          <w:tcPr>
            <w:tcW w:w="507" w:type="dxa"/>
            <w:noWrap w:val="0"/>
            <w:vAlign w:val="center"/>
          </w:tcPr>
          <w:p w14:paraId="7E08B8C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03DB3D0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2A95721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1424DDC9">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73390A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3F6B49E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4E20880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26D404B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FE2F04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7F56105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8597BD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eastAsia" w:ascii="宋体" w:hAnsi="宋体" w:eastAsia="宋体" w:cs="宋体"/>
                <w:color w:val="auto"/>
                <w:sz w:val="18"/>
                <w:szCs w:val="18"/>
                <w:highlight w:val="none"/>
                <w:lang w:val="en-US" w:eastAsia="zh-CN"/>
              </w:rPr>
            </w:pPr>
          </w:p>
          <w:p w14:paraId="6B98A5B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w:t>
            </w:r>
          </w:p>
        </w:tc>
        <w:tc>
          <w:tcPr>
            <w:tcW w:w="7812" w:type="dxa"/>
            <w:noWrap w:val="0"/>
            <w:vAlign w:val="center"/>
          </w:tcPr>
          <w:p w14:paraId="1781CF1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安防监控性能，H.265视频压缩标准 每个视频输入通道最高支持CIF分辨率编码, 也可以选择QCIF、使用SATA硬盘录像 提供eSATA接口, 用于高速备份或外接盘库</w:t>
            </w:r>
          </w:p>
          <w:p w14:paraId="3EE644E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视频输入：32路视频信号输入</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视频输出：1/2路视频信号输出</w:t>
            </w:r>
          </w:p>
          <w:p w14:paraId="7EA8184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通讯接口：RS-232, RJ45, RS-485, USB</w:t>
            </w:r>
          </w:p>
          <w:p w14:paraId="5DBB1D8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音频输入：16路音频信号输入</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音频输出：1/2路音频信号输出</w:t>
            </w:r>
          </w:p>
          <w:p w14:paraId="4B0EE98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电源电压：90-135VAC或180-265VAC, 47-63HZ</w:t>
            </w:r>
          </w:p>
          <w:p w14:paraId="6FA2B33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USB接口：1×USB 3.0、2×USB 2.0</w:t>
            </w:r>
          </w:p>
          <w:p w14:paraId="308628B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功率：20-42W</w:t>
            </w:r>
            <w:r>
              <w:rPr>
                <w:rFonts w:hint="eastAsia" w:cs="宋体"/>
                <w:color w:val="auto"/>
                <w:spacing w:val="-7"/>
                <w:sz w:val="18"/>
                <w:szCs w:val="18"/>
                <w:highlight w:val="none"/>
                <w:lang w:eastAsia="zh-CN"/>
              </w:rPr>
              <w:t>；</w:t>
            </w:r>
            <w:r>
              <w:rPr>
                <w:rFonts w:hint="eastAsia" w:ascii="宋体" w:hAnsi="宋体" w:eastAsia="宋体" w:cs="宋体"/>
                <w:color w:val="auto"/>
                <w:spacing w:val="-7"/>
                <w:sz w:val="18"/>
                <w:szCs w:val="18"/>
                <w:highlight w:val="none"/>
              </w:rPr>
              <w:t>产品重量：≤8Kg</w:t>
            </w:r>
          </w:p>
          <w:p w14:paraId="1A578B8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工作温度：-10-55℃</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工作湿度：10-90%</w:t>
            </w:r>
          </w:p>
          <w:p w14:paraId="2A288B34">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内置硬盘*2</w:t>
            </w:r>
          </w:p>
          <w:p w14:paraId="3FA0B72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单盘容量：4TB</w:t>
            </w:r>
            <w:r>
              <w:rPr>
                <w:rFonts w:hint="eastAsia" w:cs="宋体"/>
                <w:color w:val="auto"/>
                <w:spacing w:val="-7"/>
                <w:sz w:val="18"/>
                <w:szCs w:val="18"/>
                <w:highlight w:val="none"/>
                <w:lang w:eastAsia="zh-CN"/>
              </w:rPr>
              <w:t>；</w:t>
            </w:r>
            <w:r>
              <w:rPr>
                <w:rFonts w:hint="eastAsia" w:ascii="宋体" w:hAnsi="宋体" w:eastAsia="宋体" w:cs="宋体"/>
                <w:color w:val="auto"/>
                <w:spacing w:val="-7"/>
                <w:sz w:val="18"/>
                <w:szCs w:val="18"/>
                <w:highlight w:val="none"/>
              </w:rPr>
              <w:t>硬盘尺寸：3.5英寸</w:t>
            </w:r>
            <w:r>
              <w:rPr>
                <w:rFonts w:hint="eastAsia" w:cs="宋体"/>
                <w:color w:val="auto"/>
                <w:spacing w:val="-7"/>
                <w:sz w:val="18"/>
                <w:szCs w:val="18"/>
                <w:highlight w:val="none"/>
                <w:lang w:eastAsia="zh-CN"/>
              </w:rPr>
              <w:t>；</w:t>
            </w:r>
            <w:r>
              <w:rPr>
                <w:rFonts w:hint="eastAsia" w:ascii="宋体" w:hAnsi="宋体" w:eastAsia="宋体" w:cs="宋体"/>
                <w:color w:val="auto"/>
                <w:spacing w:val="-7"/>
                <w:sz w:val="18"/>
                <w:szCs w:val="18"/>
                <w:highlight w:val="none"/>
              </w:rPr>
              <w:t>缓存：256MB</w:t>
            </w:r>
          </w:p>
          <w:p w14:paraId="61A9904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接口：SATA接口</w:t>
            </w:r>
          </w:p>
          <w:p w14:paraId="1A04207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硬盘类型：监控级硬盘</w:t>
            </w:r>
          </w:p>
        </w:tc>
      </w:tr>
      <w:tr w14:paraId="0983B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3E350AA4">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818" w:type="dxa"/>
            <w:noWrap w:val="0"/>
            <w:vAlign w:val="center"/>
          </w:tcPr>
          <w:p w14:paraId="36E6D7F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-太阳能供电</w:t>
            </w:r>
          </w:p>
        </w:tc>
        <w:tc>
          <w:tcPr>
            <w:tcW w:w="507" w:type="dxa"/>
            <w:noWrap w:val="0"/>
            <w:vAlign w:val="center"/>
          </w:tcPr>
          <w:p w14:paraId="16CE5CC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510" w:type="dxa"/>
            <w:noWrap w:val="0"/>
            <w:vAlign w:val="center"/>
          </w:tcPr>
          <w:p w14:paraId="21DD3A8A">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44CBC08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太阳能板，电池及配套支架、辅材等等</w:t>
            </w:r>
          </w:p>
        </w:tc>
      </w:tr>
      <w:tr w14:paraId="4614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548802C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1818" w:type="dxa"/>
            <w:noWrap w:val="0"/>
            <w:vAlign w:val="center"/>
          </w:tcPr>
          <w:p w14:paraId="39F1472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-视频摄像头网络接入</w:t>
            </w:r>
          </w:p>
        </w:tc>
        <w:tc>
          <w:tcPr>
            <w:tcW w:w="507" w:type="dxa"/>
            <w:noWrap w:val="0"/>
            <w:vAlign w:val="center"/>
          </w:tcPr>
          <w:p w14:paraId="081DCE2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10" w:type="dxa"/>
            <w:noWrap w:val="0"/>
            <w:vAlign w:val="center"/>
          </w:tcPr>
          <w:p w14:paraId="7039F94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KM</w:t>
            </w:r>
          </w:p>
        </w:tc>
        <w:tc>
          <w:tcPr>
            <w:tcW w:w="7812" w:type="dxa"/>
            <w:noWrap w:val="0"/>
            <w:vAlign w:val="center"/>
          </w:tcPr>
          <w:p w14:paraId="086AC23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光纤架设</w:t>
            </w:r>
          </w:p>
        </w:tc>
      </w:tr>
      <w:tr w14:paraId="6D43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47E132C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1818" w:type="dxa"/>
            <w:noWrap w:val="0"/>
            <w:vAlign w:val="center"/>
          </w:tcPr>
          <w:p w14:paraId="583AB866">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-交换机</w:t>
            </w:r>
          </w:p>
        </w:tc>
        <w:tc>
          <w:tcPr>
            <w:tcW w:w="507" w:type="dxa"/>
            <w:noWrap w:val="0"/>
            <w:vAlign w:val="center"/>
          </w:tcPr>
          <w:p w14:paraId="453E68A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3F21A7B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w:t>
            </w:r>
          </w:p>
        </w:tc>
        <w:tc>
          <w:tcPr>
            <w:tcW w:w="7812" w:type="dxa"/>
            <w:noWrap w:val="0"/>
            <w:vAlign w:val="center"/>
          </w:tcPr>
          <w:p w14:paraId="29C8503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业务端口：BASE-T电口,1000BASE-X SFP</w:t>
            </w:r>
          </w:p>
          <w:p w14:paraId="736F68B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包转发率：126/144Mpps</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端口结构：非模块化</w:t>
            </w:r>
          </w:p>
          <w:p w14:paraId="12207EC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VLAN功能：支持基于端口的VLAN，支持QinQ，支持Voice VLAN，支持协议VLAN，支持MAC VLAN</w:t>
            </w:r>
          </w:p>
          <w:p w14:paraId="6FB895C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DHCP：支持DHCP Client，支持DHCP Snooping，支持 DHCP Relay，支持DHCP Server，支持DHCP Option82</w:t>
            </w:r>
          </w:p>
          <w:p w14:paraId="570F50A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路由协议：支持IPv4/IPv6静态路由，支持RIP/RIPng，OSPFV1/V2/V3</w:t>
            </w:r>
          </w:p>
          <w:p w14:paraId="254EF91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QoS/ACL：支持包过滤功能，支持SP/WRR/SP+WRR队列调度，支持双向ACL，支持基于端口的限速，支持基于流的重定向</w:t>
            </w:r>
          </w:p>
          <w:p w14:paraId="2D9906D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安全特性：支持用户分级管理和口令保护，支持SSH2.0，支持端口隔离，支持 802.1X，支持端口安全，支持MAC地址认证，支持IP Source，uard，支持HTTPs，支持EAD</w:t>
            </w:r>
          </w:p>
          <w:p w14:paraId="370DC7D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MAC地址表：支持黑洞MAC地址，支持设置端口MAC地址学习最大个数支持黑洞MAC地址</w:t>
            </w:r>
          </w:p>
          <w:p w14:paraId="39EA043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交换容量：336Gbps/3.36Tbps</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额定功率：103W</w:t>
            </w:r>
          </w:p>
          <w:p w14:paraId="5F8B261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尺寸：440×230×43.6 mm</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重量：4.4kg</w:t>
            </w:r>
          </w:p>
        </w:tc>
      </w:tr>
      <w:tr w14:paraId="22DB2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5685554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1818" w:type="dxa"/>
            <w:noWrap w:val="0"/>
            <w:vAlign w:val="center"/>
          </w:tcPr>
          <w:p w14:paraId="7A787E1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-光纤收发器</w:t>
            </w:r>
          </w:p>
        </w:tc>
        <w:tc>
          <w:tcPr>
            <w:tcW w:w="507" w:type="dxa"/>
            <w:noWrap w:val="0"/>
            <w:vAlign w:val="center"/>
          </w:tcPr>
          <w:p w14:paraId="271B546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42</w:t>
            </w:r>
          </w:p>
        </w:tc>
        <w:tc>
          <w:tcPr>
            <w:tcW w:w="510" w:type="dxa"/>
            <w:noWrap w:val="0"/>
            <w:vAlign w:val="center"/>
          </w:tcPr>
          <w:p w14:paraId="65F0411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2C73C98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接口：1个1.25GbpsSC光纤接口，1个100Mbps/1000Mbps自适应RJ45口</w:t>
            </w:r>
          </w:p>
          <w:p w14:paraId="301F22E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网线：超五类或以上UTP和STP</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光纤：9/125um单模光纤</w:t>
            </w:r>
          </w:p>
          <w:p w14:paraId="72D9E8F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电源：5VDC/0.4A</w:t>
            </w:r>
          </w:p>
        </w:tc>
      </w:tr>
      <w:tr w14:paraId="54D80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35" w:type="dxa"/>
            <w:noWrap w:val="0"/>
            <w:vAlign w:val="center"/>
          </w:tcPr>
          <w:p w14:paraId="0202675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1818" w:type="dxa"/>
            <w:noWrap w:val="0"/>
            <w:vAlign w:val="center"/>
          </w:tcPr>
          <w:p w14:paraId="3CD1E88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-辅件辅料</w:t>
            </w:r>
          </w:p>
        </w:tc>
        <w:tc>
          <w:tcPr>
            <w:tcW w:w="507" w:type="dxa"/>
            <w:noWrap w:val="0"/>
            <w:vAlign w:val="center"/>
          </w:tcPr>
          <w:p w14:paraId="1AE48008">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7915746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01B58A2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网线、光纤、接头、安装工具等配件</w:t>
            </w:r>
          </w:p>
        </w:tc>
      </w:tr>
      <w:tr w14:paraId="7267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230AEAB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1818" w:type="dxa"/>
            <w:noWrap w:val="0"/>
            <w:vAlign w:val="center"/>
          </w:tcPr>
          <w:p w14:paraId="7616E9F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-本地管理终端</w:t>
            </w:r>
          </w:p>
        </w:tc>
        <w:tc>
          <w:tcPr>
            <w:tcW w:w="507" w:type="dxa"/>
            <w:noWrap w:val="0"/>
            <w:vAlign w:val="center"/>
          </w:tcPr>
          <w:p w14:paraId="6848ACFE">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7F9A0FB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w:t>
            </w:r>
          </w:p>
        </w:tc>
        <w:tc>
          <w:tcPr>
            <w:tcW w:w="7812" w:type="dxa"/>
            <w:noWrap w:val="0"/>
            <w:vAlign w:val="center"/>
          </w:tcPr>
          <w:p w14:paraId="08A786D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显示器：23.8英寸高清显示器</w:t>
            </w:r>
          </w:p>
          <w:p w14:paraId="2528F35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操作系统：Windows11</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处理器：Intel 酷睿i5系列</w:t>
            </w:r>
          </w:p>
          <w:p w14:paraId="2850BD70">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 xml:space="preserve">内存容量：16GB DDR4 </w:t>
            </w:r>
            <w:r>
              <w:rPr>
                <w:rFonts w:hint="eastAsia" w:cs="宋体"/>
                <w:color w:val="auto"/>
                <w:spacing w:val="-7"/>
                <w:sz w:val="18"/>
                <w:szCs w:val="18"/>
                <w:highlight w:val="none"/>
                <w:lang w:eastAsia="zh-CN"/>
              </w:rPr>
              <w:t>；</w:t>
            </w:r>
            <w:r>
              <w:rPr>
                <w:rFonts w:hint="eastAsia" w:cs="宋体"/>
                <w:color w:val="auto"/>
                <w:spacing w:val="-7"/>
                <w:sz w:val="18"/>
                <w:szCs w:val="18"/>
                <w:highlight w:val="none"/>
                <w:lang w:val="en-US" w:eastAsia="zh-CN"/>
              </w:rPr>
              <w:t xml:space="preserve">  </w:t>
            </w:r>
            <w:r>
              <w:rPr>
                <w:rFonts w:hint="eastAsia" w:ascii="宋体" w:hAnsi="宋体" w:eastAsia="宋体" w:cs="宋体"/>
                <w:color w:val="auto"/>
                <w:spacing w:val="-7"/>
                <w:sz w:val="18"/>
                <w:szCs w:val="18"/>
                <w:highlight w:val="none"/>
              </w:rPr>
              <w:t xml:space="preserve">硬盘容量：1TB </w:t>
            </w:r>
          </w:p>
        </w:tc>
      </w:tr>
      <w:tr w14:paraId="4CE3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364EE89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1818" w:type="dxa"/>
            <w:noWrap w:val="0"/>
            <w:vAlign w:val="center"/>
          </w:tcPr>
          <w:p w14:paraId="50F2F73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物联网硬件（三个基地）</w:t>
            </w:r>
            <w:r>
              <w:rPr>
                <w:rFonts w:hint="eastAsia" w:ascii="宋体" w:hAnsi="宋体" w:eastAsia="宋体" w:cs="宋体"/>
                <w:color w:val="auto"/>
                <w:sz w:val="18"/>
                <w:szCs w:val="18"/>
                <w:highlight w:val="none"/>
                <w:lang w:val="en-US" w:eastAsia="zh-CN"/>
              </w:rPr>
              <w:t>-宽带接入</w:t>
            </w:r>
          </w:p>
        </w:tc>
        <w:tc>
          <w:tcPr>
            <w:tcW w:w="507" w:type="dxa"/>
            <w:noWrap w:val="0"/>
            <w:vAlign w:val="center"/>
          </w:tcPr>
          <w:p w14:paraId="12E9013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2FEE64B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w:t>
            </w:r>
          </w:p>
        </w:tc>
        <w:tc>
          <w:tcPr>
            <w:tcW w:w="7812" w:type="dxa"/>
            <w:noWrap w:val="0"/>
            <w:vAlign w:val="center"/>
          </w:tcPr>
          <w:p w14:paraId="226CFF0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rPr>
              <w:t>100M</w:t>
            </w:r>
          </w:p>
        </w:tc>
      </w:tr>
      <w:tr w14:paraId="664B3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35" w:type="dxa"/>
            <w:noWrap w:val="0"/>
            <w:vAlign w:val="center"/>
          </w:tcPr>
          <w:p w14:paraId="50A8D45F">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17</w:t>
            </w:r>
          </w:p>
        </w:tc>
        <w:tc>
          <w:tcPr>
            <w:tcW w:w="1818" w:type="dxa"/>
            <w:noWrap w:val="0"/>
            <w:vAlign w:val="center"/>
          </w:tcPr>
          <w:p w14:paraId="48643399">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楷体" w:hAnsi="楷体" w:eastAsia="楷体" w:cs="楷体"/>
                <w:color w:val="auto"/>
                <w:kern w:val="2"/>
                <w:sz w:val="21"/>
                <w:szCs w:val="21"/>
                <w:highlight w:val="none"/>
                <w:lang w:val="en-US" w:eastAsia="zh-CN"/>
              </w:rPr>
              <w:t>★</w:t>
            </w:r>
            <w:r>
              <w:rPr>
                <w:rFonts w:hint="eastAsia" w:ascii="宋体" w:hAnsi="宋体" w:eastAsia="宋体" w:cs="宋体"/>
                <w:color w:val="auto"/>
                <w:sz w:val="18"/>
                <w:szCs w:val="18"/>
                <w:highlight w:val="none"/>
                <w:lang w:val="en-US" w:eastAsia="zh-CN"/>
              </w:rPr>
              <w:t>全自动施肥机</w:t>
            </w:r>
          </w:p>
        </w:tc>
        <w:tc>
          <w:tcPr>
            <w:tcW w:w="507" w:type="dxa"/>
            <w:noWrap w:val="0"/>
            <w:vAlign w:val="center"/>
          </w:tcPr>
          <w:p w14:paraId="257E70C9">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2D11F64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325DD4D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三通道，10寸工业触摸屏，支持远程控制，支持外部区域电磁阀控制</w:t>
            </w:r>
          </w:p>
        </w:tc>
      </w:tr>
      <w:tr w14:paraId="1527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435" w:type="dxa"/>
            <w:noWrap w:val="0"/>
            <w:vAlign w:val="center"/>
          </w:tcPr>
          <w:p w14:paraId="12F8903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w:t>
            </w:r>
          </w:p>
        </w:tc>
        <w:tc>
          <w:tcPr>
            <w:tcW w:w="1818" w:type="dxa"/>
            <w:noWrap w:val="0"/>
            <w:vAlign w:val="center"/>
          </w:tcPr>
          <w:p w14:paraId="70790A1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楷体" w:hAnsi="楷体" w:eastAsia="楷体" w:cs="楷体"/>
                <w:color w:val="auto"/>
                <w:kern w:val="2"/>
                <w:sz w:val="21"/>
                <w:szCs w:val="21"/>
                <w:highlight w:val="none"/>
                <w:lang w:val="en-US" w:eastAsia="zh-CN"/>
              </w:rPr>
              <w:t>★</w:t>
            </w:r>
            <w:r>
              <w:rPr>
                <w:rFonts w:hint="eastAsia" w:ascii="宋体" w:hAnsi="宋体" w:eastAsia="宋体" w:cs="宋体"/>
                <w:color w:val="auto"/>
                <w:sz w:val="18"/>
                <w:szCs w:val="18"/>
                <w:highlight w:val="none"/>
                <w:lang w:val="en-US" w:eastAsia="zh-CN"/>
              </w:rPr>
              <w:t>变频控制系统</w:t>
            </w:r>
          </w:p>
        </w:tc>
        <w:tc>
          <w:tcPr>
            <w:tcW w:w="507" w:type="dxa"/>
            <w:noWrap w:val="0"/>
            <w:vAlign w:val="center"/>
          </w:tcPr>
          <w:p w14:paraId="0FC579E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2117647A">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1DD7887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7.5KW ,4G通讯Modbus-TCP 协议，远程启动</w:t>
            </w:r>
          </w:p>
        </w:tc>
      </w:tr>
      <w:tr w14:paraId="00F9D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35" w:type="dxa"/>
            <w:noWrap w:val="0"/>
            <w:vAlign w:val="center"/>
          </w:tcPr>
          <w:p w14:paraId="5D0E1EE5">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p>
        </w:tc>
        <w:tc>
          <w:tcPr>
            <w:tcW w:w="1818" w:type="dxa"/>
            <w:noWrap w:val="0"/>
            <w:vAlign w:val="center"/>
          </w:tcPr>
          <w:p w14:paraId="54F70CA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楷体" w:hAnsi="楷体" w:eastAsia="楷体" w:cs="楷体"/>
                <w:color w:val="auto"/>
                <w:kern w:val="2"/>
                <w:sz w:val="21"/>
                <w:szCs w:val="21"/>
                <w:highlight w:val="none"/>
                <w:lang w:val="en-US" w:eastAsia="zh-CN"/>
              </w:rPr>
              <w:t>★</w:t>
            </w:r>
            <w:r>
              <w:rPr>
                <w:rFonts w:hint="eastAsia" w:ascii="宋体" w:hAnsi="宋体" w:eastAsia="宋体" w:cs="宋体"/>
                <w:color w:val="auto"/>
                <w:sz w:val="18"/>
                <w:szCs w:val="18"/>
                <w:highlight w:val="none"/>
                <w:lang w:val="en-US" w:eastAsia="zh-CN"/>
              </w:rPr>
              <w:t>灌溉电磁阀控制器</w:t>
            </w:r>
          </w:p>
        </w:tc>
        <w:tc>
          <w:tcPr>
            <w:tcW w:w="507" w:type="dxa"/>
            <w:noWrap w:val="0"/>
            <w:vAlign w:val="center"/>
          </w:tcPr>
          <w:p w14:paraId="2987561E">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60A60B8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1E4E8B1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内置 webserver 服务器，支持 modbus 协议，支持 SQL 数据库，以太网，usb 接口及 232/485 通讯</w:t>
            </w:r>
          </w:p>
        </w:tc>
      </w:tr>
      <w:tr w14:paraId="3E2F9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35" w:type="dxa"/>
            <w:noWrap w:val="0"/>
            <w:vAlign w:val="center"/>
          </w:tcPr>
          <w:p w14:paraId="1FB0263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1818" w:type="dxa"/>
            <w:noWrap w:val="0"/>
            <w:vAlign w:val="center"/>
          </w:tcPr>
          <w:p w14:paraId="26EA721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楷体" w:hAnsi="楷体" w:eastAsia="楷体" w:cs="楷体"/>
                <w:color w:val="auto"/>
                <w:kern w:val="2"/>
                <w:sz w:val="21"/>
                <w:szCs w:val="21"/>
                <w:highlight w:val="none"/>
                <w:lang w:val="en-US" w:eastAsia="zh-CN"/>
              </w:rPr>
              <w:t>★</w:t>
            </w:r>
            <w:r>
              <w:rPr>
                <w:rFonts w:hint="eastAsia" w:ascii="宋体" w:hAnsi="宋体" w:eastAsia="宋体" w:cs="宋体"/>
                <w:color w:val="auto"/>
                <w:sz w:val="18"/>
                <w:szCs w:val="18"/>
                <w:highlight w:val="none"/>
                <w:lang w:val="en-US" w:eastAsia="zh-CN"/>
              </w:rPr>
              <w:t>APP远程控制功能</w:t>
            </w:r>
          </w:p>
        </w:tc>
        <w:tc>
          <w:tcPr>
            <w:tcW w:w="507" w:type="dxa"/>
            <w:noWrap w:val="0"/>
            <w:vAlign w:val="center"/>
          </w:tcPr>
          <w:p w14:paraId="1EBA92C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78961345">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70B2355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支持手机，电脑远程控制</w:t>
            </w:r>
          </w:p>
        </w:tc>
      </w:tr>
      <w:tr w14:paraId="7A76F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435" w:type="dxa"/>
            <w:noWrap w:val="0"/>
            <w:vAlign w:val="center"/>
          </w:tcPr>
          <w:p w14:paraId="4FF0BC2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1818" w:type="dxa"/>
            <w:noWrap w:val="0"/>
            <w:vAlign w:val="center"/>
          </w:tcPr>
          <w:p w14:paraId="1FCC3B6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楷体" w:hAnsi="楷体" w:eastAsia="楷体" w:cs="楷体"/>
                <w:color w:val="auto"/>
                <w:kern w:val="2"/>
                <w:sz w:val="21"/>
                <w:szCs w:val="21"/>
                <w:highlight w:val="none"/>
                <w:lang w:val="en-US" w:eastAsia="zh-CN"/>
              </w:rPr>
              <w:t>★</w:t>
            </w:r>
            <w:r>
              <w:rPr>
                <w:rFonts w:hint="eastAsia" w:ascii="宋体" w:hAnsi="宋体" w:eastAsia="宋体" w:cs="宋体"/>
                <w:color w:val="auto"/>
                <w:sz w:val="18"/>
                <w:szCs w:val="18"/>
                <w:highlight w:val="none"/>
                <w:lang w:val="en-US" w:eastAsia="zh-CN"/>
              </w:rPr>
              <w:t>自动砂石过滤器</w:t>
            </w:r>
          </w:p>
        </w:tc>
        <w:tc>
          <w:tcPr>
            <w:tcW w:w="507" w:type="dxa"/>
            <w:noWrap w:val="0"/>
            <w:vAlign w:val="center"/>
          </w:tcPr>
          <w:p w14:paraId="5195A5A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13C16E56">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5CF28269">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4寸1000罐体双罐，定时排污，压差排污</w:t>
            </w:r>
          </w:p>
        </w:tc>
      </w:tr>
      <w:tr w14:paraId="1CB6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35" w:type="dxa"/>
            <w:noWrap w:val="0"/>
            <w:vAlign w:val="center"/>
          </w:tcPr>
          <w:p w14:paraId="32F72BD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w:t>
            </w:r>
          </w:p>
        </w:tc>
        <w:tc>
          <w:tcPr>
            <w:tcW w:w="1818" w:type="dxa"/>
            <w:noWrap w:val="0"/>
            <w:vAlign w:val="center"/>
          </w:tcPr>
          <w:p w14:paraId="6C13F71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楷体" w:hAnsi="楷体" w:eastAsia="楷体" w:cs="楷体"/>
                <w:color w:val="auto"/>
                <w:kern w:val="2"/>
                <w:sz w:val="21"/>
                <w:szCs w:val="21"/>
                <w:highlight w:val="none"/>
                <w:lang w:val="en-US" w:eastAsia="zh-CN"/>
              </w:rPr>
              <w:t>★</w:t>
            </w:r>
            <w:r>
              <w:rPr>
                <w:rFonts w:hint="eastAsia" w:ascii="宋体" w:hAnsi="宋体" w:eastAsia="宋体" w:cs="宋体"/>
                <w:color w:val="auto"/>
                <w:sz w:val="18"/>
                <w:szCs w:val="18"/>
                <w:highlight w:val="none"/>
                <w:lang w:val="en-US" w:eastAsia="zh-CN"/>
              </w:rPr>
              <w:t>自动碟片过滤器</w:t>
            </w:r>
          </w:p>
        </w:tc>
        <w:tc>
          <w:tcPr>
            <w:tcW w:w="507" w:type="dxa"/>
            <w:noWrap w:val="0"/>
            <w:vAlign w:val="center"/>
          </w:tcPr>
          <w:p w14:paraId="725EF62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4659C31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76A7A5F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4寸3组自动反冲洗，过滤精度120目，可定时和压差排污</w:t>
            </w:r>
          </w:p>
        </w:tc>
      </w:tr>
      <w:tr w14:paraId="6625B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35" w:type="dxa"/>
            <w:noWrap w:val="0"/>
            <w:vAlign w:val="center"/>
          </w:tcPr>
          <w:p w14:paraId="7A610F56">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23</w:t>
            </w:r>
          </w:p>
        </w:tc>
        <w:tc>
          <w:tcPr>
            <w:tcW w:w="1818" w:type="dxa"/>
            <w:noWrap w:val="0"/>
            <w:vAlign w:val="center"/>
          </w:tcPr>
          <w:p w14:paraId="1D51374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有线电磁阀解码器</w:t>
            </w:r>
          </w:p>
        </w:tc>
        <w:tc>
          <w:tcPr>
            <w:tcW w:w="507" w:type="dxa"/>
            <w:noWrap w:val="0"/>
            <w:vAlign w:val="center"/>
          </w:tcPr>
          <w:p w14:paraId="56E54926">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510" w:type="dxa"/>
            <w:noWrap w:val="0"/>
            <w:vAlign w:val="center"/>
          </w:tcPr>
          <w:p w14:paraId="624D725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350BA29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两线制电磁阀解码器</w:t>
            </w:r>
          </w:p>
        </w:tc>
      </w:tr>
      <w:tr w14:paraId="3BFF5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35" w:type="dxa"/>
            <w:noWrap w:val="0"/>
            <w:vAlign w:val="center"/>
          </w:tcPr>
          <w:p w14:paraId="56500DAD">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24</w:t>
            </w:r>
          </w:p>
        </w:tc>
        <w:tc>
          <w:tcPr>
            <w:tcW w:w="1818" w:type="dxa"/>
            <w:noWrap w:val="0"/>
            <w:vAlign w:val="center"/>
          </w:tcPr>
          <w:p w14:paraId="031082A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4寸电磁阀</w:t>
            </w:r>
          </w:p>
        </w:tc>
        <w:tc>
          <w:tcPr>
            <w:tcW w:w="507" w:type="dxa"/>
            <w:noWrap w:val="0"/>
            <w:vAlign w:val="center"/>
          </w:tcPr>
          <w:p w14:paraId="37B48D79">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510" w:type="dxa"/>
            <w:noWrap w:val="0"/>
            <w:vAlign w:val="center"/>
          </w:tcPr>
          <w:p w14:paraId="3349C9F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02E8544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直流脉冲，485通讯</w:t>
            </w:r>
          </w:p>
        </w:tc>
      </w:tr>
      <w:tr w14:paraId="629F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35" w:type="dxa"/>
            <w:noWrap w:val="0"/>
            <w:vAlign w:val="center"/>
          </w:tcPr>
          <w:p w14:paraId="58355ED0">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25</w:t>
            </w:r>
          </w:p>
        </w:tc>
        <w:tc>
          <w:tcPr>
            <w:tcW w:w="1818" w:type="dxa"/>
            <w:noWrap w:val="0"/>
            <w:vAlign w:val="center"/>
          </w:tcPr>
          <w:p w14:paraId="00362266">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水泵</w:t>
            </w:r>
          </w:p>
        </w:tc>
        <w:tc>
          <w:tcPr>
            <w:tcW w:w="507" w:type="dxa"/>
            <w:noWrap w:val="0"/>
            <w:vAlign w:val="center"/>
          </w:tcPr>
          <w:p w14:paraId="26638C7F">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0C09D1FB">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1DC20E2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15KW流量50立方，扬程50米</w:t>
            </w:r>
          </w:p>
        </w:tc>
      </w:tr>
      <w:tr w14:paraId="3DD69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35" w:type="dxa"/>
            <w:noWrap w:val="0"/>
            <w:vAlign w:val="center"/>
          </w:tcPr>
          <w:p w14:paraId="26FE334B">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26</w:t>
            </w:r>
          </w:p>
        </w:tc>
        <w:tc>
          <w:tcPr>
            <w:tcW w:w="1818" w:type="dxa"/>
            <w:noWrap w:val="0"/>
            <w:vAlign w:val="center"/>
          </w:tcPr>
          <w:p w14:paraId="0955504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水泵</w:t>
            </w:r>
          </w:p>
        </w:tc>
        <w:tc>
          <w:tcPr>
            <w:tcW w:w="507" w:type="dxa"/>
            <w:noWrap w:val="0"/>
            <w:vAlign w:val="center"/>
          </w:tcPr>
          <w:p w14:paraId="45715335">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60853B2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26BE876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18.5KW流量47立方，扬程70米</w:t>
            </w:r>
          </w:p>
        </w:tc>
      </w:tr>
      <w:tr w14:paraId="4B7E9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35" w:type="dxa"/>
            <w:noWrap w:val="0"/>
            <w:vAlign w:val="center"/>
          </w:tcPr>
          <w:p w14:paraId="0AAF925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27</w:t>
            </w:r>
          </w:p>
        </w:tc>
        <w:tc>
          <w:tcPr>
            <w:tcW w:w="1818" w:type="dxa"/>
            <w:noWrap w:val="0"/>
            <w:vAlign w:val="center"/>
          </w:tcPr>
          <w:p w14:paraId="287DF7B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引水潜水泵</w:t>
            </w:r>
          </w:p>
        </w:tc>
        <w:tc>
          <w:tcPr>
            <w:tcW w:w="507" w:type="dxa"/>
            <w:noWrap w:val="0"/>
            <w:vAlign w:val="center"/>
          </w:tcPr>
          <w:p w14:paraId="3C252C35">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2032732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619BA68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3KW流量40立方，扬程16米</w:t>
            </w:r>
          </w:p>
        </w:tc>
      </w:tr>
      <w:tr w14:paraId="6086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35" w:type="dxa"/>
            <w:noWrap w:val="0"/>
            <w:vAlign w:val="center"/>
          </w:tcPr>
          <w:p w14:paraId="067D880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28</w:t>
            </w:r>
          </w:p>
        </w:tc>
        <w:tc>
          <w:tcPr>
            <w:tcW w:w="1818" w:type="dxa"/>
            <w:noWrap w:val="0"/>
            <w:vAlign w:val="center"/>
          </w:tcPr>
          <w:p w14:paraId="264769FF">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施肥桶</w:t>
            </w:r>
          </w:p>
        </w:tc>
        <w:tc>
          <w:tcPr>
            <w:tcW w:w="507" w:type="dxa"/>
            <w:noWrap w:val="0"/>
            <w:vAlign w:val="center"/>
          </w:tcPr>
          <w:p w14:paraId="3312372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0A9CB4E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6526278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500升，带0.75KW自动搅拌电机</w:t>
            </w:r>
          </w:p>
        </w:tc>
      </w:tr>
      <w:tr w14:paraId="45FD5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5" w:type="dxa"/>
            <w:noWrap w:val="0"/>
            <w:vAlign w:val="center"/>
          </w:tcPr>
          <w:p w14:paraId="54AF1C0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29</w:t>
            </w:r>
          </w:p>
        </w:tc>
        <w:tc>
          <w:tcPr>
            <w:tcW w:w="1818" w:type="dxa"/>
            <w:noWrap w:val="0"/>
            <w:vAlign w:val="center"/>
          </w:tcPr>
          <w:p w14:paraId="6FB0B54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泵房配件</w:t>
            </w:r>
          </w:p>
        </w:tc>
        <w:tc>
          <w:tcPr>
            <w:tcW w:w="507" w:type="dxa"/>
            <w:noWrap w:val="0"/>
            <w:vAlign w:val="center"/>
          </w:tcPr>
          <w:p w14:paraId="4B99E5B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7B77B78A">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批</w:t>
            </w:r>
          </w:p>
        </w:tc>
        <w:tc>
          <w:tcPr>
            <w:tcW w:w="7812" w:type="dxa"/>
            <w:noWrap w:val="0"/>
            <w:vAlign w:val="center"/>
          </w:tcPr>
          <w:p w14:paraId="52AC9A2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连接管件，球阀，弯头，胶水等</w:t>
            </w:r>
          </w:p>
        </w:tc>
      </w:tr>
      <w:tr w14:paraId="20AE0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35" w:type="dxa"/>
            <w:noWrap w:val="0"/>
            <w:vAlign w:val="center"/>
          </w:tcPr>
          <w:p w14:paraId="0D0D7D5F">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w:t>
            </w:r>
          </w:p>
        </w:tc>
        <w:tc>
          <w:tcPr>
            <w:tcW w:w="1818" w:type="dxa"/>
            <w:noWrap w:val="0"/>
            <w:vAlign w:val="center"/>
          </w:tcPr>
          <w:p w14:paraId="72C4786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主管</w:t>
            </w:r>
          </w:p>
        </w:tc>
        <w:tc>
          <w:tcPr>
            <w:tcW w:w="507" w:type="dxa"/>
            <w:noWrap w:val="0"/>
            <w:vAlign w:val="center"/>
          </w:tcPr>
          <w:p w14:paraId="7782F01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3370</w:t>
            </w:r>
          </w:p>
        </w:tc>
        <w:tc>
          <w:tcPr>
            <w:tcW w:w="510" w:type="dxa"/>
            <w:noWrap w:val="0"/>
            <w:vAlign w:val="center"/>
          </w:tcPr>
          <w:p w14:paraId="3B4380D6">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米</w:t>
            </w:r>
          </w:p>
        </w:tc>
        <w:tc>
          <w:tcPr>
            <w:tcW w:w="7812" w:type="dxa"/>
            <w:noWrap w:val="0"/>
            <w:vAlign w:val="center"/>
          </w:tcPr>
          <w:p w14:paraId="74AC4F4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110*0.8mpa</w:t>
            </w:r>
          </w:p>
        </w:tc>
      </w:tr>
      <w:tr w14:paraId="1444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35" w:type="dxa"/>
            <w:noWrap w:val="0"/>
            <w:vAlign w:val="center"/>
          </w:tcPr>
          <w:p w14:paraId="19C9B19E">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31</w:t>
            </w:r>
          </w:p>
        </w:tc>
        <w:tc>
          <w:tcPr>
            <w:tcW w:w="1818" w:type="dxa"/>
            <w:noWrap w:val="0"/>
            <w:vAlign w:val="center"/>
          </w:tcPr>
          <w:p w14:paraId="14E9EB8E">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支管</w:t>
            </w:r>
          </w:p>
        </w:tc>
        <w:tc>
          <w:tcPr>
            <w:tcW w:w="507" w:type="dxa"/>
            <w:noWrap w:val="0"/>
            <w:vAlign w:val="center"/>
          </w:tcPr>
          <w:p w14:paraId="13A1A02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360</w:t>
            </w:r>
          </w:p>
        </w:tc>
        <w:tc>
          <w:tcPr>
            <w:tcW w:w="510" w:type="dxa"/>
            <w:noWrap w:val="0"/>
            <w:vAlign w:val="center"/>
          </w:tcPr>
          <w:p w14:paraId="213121F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米</w:t>
            </w:r>
          </w:p>
        </w:tc>
        <w:tc>
          <w:tcPr>
            <w:tcW w:w="7812" w:type="dxa"/>
            <w:noWrap w:val="0"/>
            <w:vAlign w:val="center"/>
          </w:tcPr>
          <w:p w14:paraId="2E7D06EE">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75*0.8mpa</w:t>
            </w:r>
          </w:p>
        </w:tc>
      </w:tr>
      <w:tr w14:paraId="54E0C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35" w:type="dxa"/>
            <w:noWrap w:val="0"/>
            <w:vAlign w:val="center"/>
          </w:tcPr>
          <w:p w14:paraId="1D24377E">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32</w:t>
            </w:r>
          </w:p>
        </w:tc>
        <w:tc>
          <w:tcPr>
            <w:tcW w:w="1818" w:type="dxa"/>
            <w:noWrap w:val="0"/>
            <w:vAlign w:val="center"/>
          </w:tcPr>
          <w:p w14:paraId="3E9B0C9C">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PE水带</w:t>
            </w:r>
          </w:p>
        </w:tc>
        <w:tc>
          <w:tcPr>
            <w:tcW w:w="507" w:type="dxa"/>
            <w:noWrap w:val="0"/>
            <w:vAlign w:val="center"/>
          </w:tcPr>
          <w:p w14:paraId="53B8BE6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1750</w:t>
            </w:r>
          </w:p>
        </w:tc>
        <w:tc>
          <w:tcPr>
            <w:tcW w:w="510" w:type="dxa"/>
            <w:noWrap w:val="0"/>
            <w:vAlign w:val="center"/>
          </w:tcPr>
          <w:p w14:paraId="3E996DA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米</w:t>
            </w:r>
          </w:p>
        </w:tc>
        <w:tc>
          <w:tcPr>
            <w:tcW w:w="7812" w:type="dxa"/>
            <w:noWrap w:val="0"/>
            <w:vAlign w:val="center"/>
          </w:tcPr>
          <w:p w14:paraId="221398B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75*1.0</w:t>
            </w:r>
          </w:p>
        </w:tc>
      </w:tr>
      <w:tr w14:paraId="377F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35" w:type="dxa"/>
            <w:noWrap w:val="0"/>
            <w:vAlign w:val="center"/>
          </w:tcPr>
          <w:p w14:paraId="67BD39F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33</w:t>
            </w:r>
          </w:p>
        </w:tc>
        <w:tc>
          <w:tcPr>
            <w:tcW w:w="1818" w:type="dxa"/>
            <w:noWrap w:val="0"/>
            <w:vAlign w:val="center"/>
          </w:tcPr>
          <w:p w14:paraId="573B493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滴灌带</w:t>
            </w:r>
          </w:p>
        </w:tc>
        <w:tc>
          <w:tcPr>
            <w:tcW w:w="507" w:type="dxa"/>
            <w:noWrap w:val="0"/>
            <w:vAlign w:val="center"/>
          </w:tcPr>
          <w:p w14:paraId="2A9A73DF">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145000</w:t>
            </w:r>
          </w:p>
        </w:tc>
        <w:tc>
          <w:tcPr>
            <w:tcW w:w="510" w:type="dxa"/>
            <w:noWrap w:val="0"/>
            <w:vAlign w:val="center"/>
          </w:tcPr>
          <w:p w14:paraId="705F1376">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米</w:t>
            </w:r>
          </w:p>
        </w:tc>
        <w:tc>
          <w:tcPr>
            <w:tcW w:w="7812" w:type="dxa"/>
            <w:noWrap w:val="0"/>
            <w:vAlign w:val="center"/>
          </w:tcPr>
          <w:p w14:paraId="761FB63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16*0.2*300</w:t>
            </w:r>
          </w:p>
        </w:tc>
      </w:tr>
      <w:tr w14:paraId="45FD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35" w:type="dxa"/>
            <w:noWrap w:val="0"/>
            <w:vAlign w:val="center"/>
          </w:tcPr>
          <w:p w14:paraId="71EAFD0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34</w:t>
            </w:r>
          </w:p>
        </w:tc>
        <w:tc>
          <w:tcPr>
            <w:tcW w:w="1818" w:type="dxa"/>
            <w:noWrap w:val="0"/>
            <w:vAlign w:val="center"/>
          </w:tcPr>
          <w:p w14:paraId="1BB20A5A">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配件</w:t>
            </w:r>
          </w:p>
        </w:tc>
        <w:tc>
          <w:tcPr>
            <w:tcW w:w="507" w:type="dxa"/>
            <w:noWrap w:val="0"/>
            <w:vAlign w:val="center"/>
          </w:tcPr>
          <w:p w14:paraId="2C0DCE1F">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67FC8DB9">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15CC00E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胶带、卡环、卡扣、垫片、密封圈、密封环等</w:t>
            </w:r>
          </w:p>
        </w:tc>
      </w:tr>
      <w:tr w14:paraId="49A4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35" w:type="dxa"/>
            <w:noWrap w:val="0"/>
            <w:vAlign w:val="center"/>
          </w:tcPr>
          <w:p w14:paraId="3E5B6E62">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w:t>
            </w:r>
          </w:p>
        </w:tc>
        <w:tc>
          <w:tcPr>
            <w:tcW w:w="1818" w:type="dxa"/>
            <w:noWrap w:val="0"/>
            <w:vAlign w:val="center"/>
          </w:tcPr>
          <w:p w14:paraId="4C58D46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无线灌溉电磁阀控制器</w:t>
            </w:r>
          </w:p>
        </w:tc>
        <w:tc>
          <w:tcPr>
            <w:tcW w:w="507" w:type="dxa"/>
            <w:noWrap w:val="0"/>
            <w:vAlign w:val="center"/>
          </w:tcPr>
          <w:p w14:paraId="3719977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4EBE565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个</w:t>
            </w:r>
          </w:p>
        </w:tc>
        <w:tc>
          <w:tcPr>
            <w:tcW w:w="7812" w:type="dxa"/>
            <w:noWrap w:val="0"/>
            <w:vAlign w:val="center"/>
          </w:tcPr>
          <w:p w14:paraId="4E5BD21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内置 webserver 服务器，支持 modbus 协议，支持 SQL 数据库，以太网，usb 接口及 232/485 通讯</w:t>
            </w:r>
          </w:p>
        </w:tc>
      </w:tr>
      <w:tr w14:paraId="77D6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35" w:type="dxa"/>
            <w:noWrap w:val="0"/>
            <w:vAlign w:val="center"/>
          </w:tcPr>
          <w:p w14:paraId="46E350B4">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1818" w:type="dxa"/>
            <w:noWrap w:val="0"/>
            <w:vAlign w:val="center"/>
          </w:tcPr>
          <w:p w14:paraId="24E19F0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无线电磁阀解码器</w:t>
            </w:r>
          </w:p>
        </w:tc>
        <w:tc>
          <w:tcPr>
            <w:tcW w:w="507" w:type="dxa"/>
            <w:noWrap w:val="0"/>
            <w:vAlign w:val="center"/>
          </w:tcPr>
          <w:p w14:paraId="1F36BD0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510" w:type="dxa"/>
            <w:noWrap w:val="0"/>
            <w:vAlign w:val="center"/>
          </w:tcPr>
          <w:p w14:paraId="58D69B4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7E0338BB">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rPr>
            </w:pPr>
            <w:r>
              <w:rPr>
                <w:rFonts w:hint="eastAsia" w:ascii="宋体" w:hAnsi="宋体" w:eastAsia="宋体" w:cs="宋体"/>
                <w:color w:val="auto"/>
                <w:spacing w:val="-7"/>
                <w:sz w:val="18"/>
                <w:szCs w:val="18"/>
                <w:highlight w:val="none"/>
                <w:lang w:val="en-US" w:eastAsia="zh-CN"/>
              </w:rPr>
              <w:t>无线解码器带太阳能立杆地笼</w:t>
            </w:r>
          </w:p>
        </w:tc>
      </w:tr>
      <w:tr w14:paraId="5BA3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5" w:type="dxa"/>
            <w:noWrap w:val="0"/>
            <w:vAlign w:val="center"/>
          </w:tcPr>
          <w:p w14:paraId="274097C8">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37</w:t>
            </w:r>
          </w:p>
        </w:tc>
        <w:tc>
          <w:tcPr>
            <w:tcW w:w="1818" w:type="dxa"/>
            <w:noWrap w:val="0"/>
            <w:vAlign w:val="center"/>
          </w:tcPr>
          <w:p w14:paraId="6DC2B3A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硬件设备接入</w:t>
            </w:r>
          </w:p>
        </w:tc>
        <w:tc>
          <w:tcPr>
            <w:tcW w:w="507" w:type="dxa"/>
            <w:noWrap w:val="0"/>
            <w:vAlign w:val="center"/>
          </w:tcPr>
          <w:p w14:paraId="69FB0EF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113B9AC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06563EA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针对物联网基地的硬件，通过适配硬件设备接入软件系统，包括水肥一体、摄像头、气象站、各类传感器等。</w:t>
            </w:r>
          </w:p>
        </w:tc>
      </w:tr>
      <w:tr w14:paraId="736F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35" w:type="dxa"/>
            <w:noWrap w:val="0"/>
            <w:vAlign w:val="center"/>
          </w:tcPr>
          <w:p w14:paraId="3C7BD13C">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38</w:t>
            </w:r>
          </w:p>
        </w:tc>
        <w:tc>
          <w:tcPr>
            <w:tcW w:w="1818" w:type="dxa"/>
            <w:noWrap w:val="0"/>
            <w:vAlign w:val="center"/>
          </w:tcPr>
          <w:p w14:paraId="753096A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系统对接开发</w:t>
            </w:r>
          </w:p>
        </w:tc>
        <w:tc>
          <w:tcPr>
            <w:tcW w:w="507" w:type="dxa"/>
            <w:noWrap w:val="0"/>
            <w:vAlign w:val="center"/>
          </w:tcPr>
          <w:p w14:paraId="740F589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168E5E82">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812" w:type="dxa"/>
            <w:noWrap w:val="0"/>
            <w:vAlign w:val="center"/>
          </w:tcPr>
          <w:p w14:paraId="7574FA85">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开发接口，实现农业可视化大数据平台、数字农场生产管理系统、溯源管理系统、数智加工基地生产管理系统等系统间的数据打通。</w:t>
            </w:r>
          </w:p>
        </w:tc>
      </w:tr>
      <w:tr w14:paraId="6C7E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35" w:type="dxa"/>
            <w:noWrap w:val="0"/>
            <w:vAlign w:val="center"/>
          </w:tcPr>
          <w:p w14:paraId="6204F8E1">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39</w:t>
            </w:r>
          </w:p>
        </w:tc>
        <w:tc>
          <w:tcPr>
            <w:tcW w:w="1818" w:type="dxa"/>
            <w:noWrap w:val="0"/>
            <w:vAlign w:val="center"/>
          </w:tcPr>
          <w:p w14:paraId="298169EE">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云资源部署</w:t>
            </w:r>
          </w:p>
        </w:tc>
        <w:tc>
          <w:tcPr>
            <w:tcW w:w="507" w:type="dxa"/>
            <w:noWrap w:val="0"/>
            <w:vAlign w:val="center"/>
          </w:tcPr>
          <w:p w14:paraId="06DFF4B8">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0C7323DD">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w:t>
            </w:r>
          </w:p>
        </w:tc>
        <w:tc>
          <w:tcPr>
            <w:tcW w:w="7812" w:type="dxa"/>
            <w:noWrap w:val="0"/>
            <w:vAlign w:val="center"/>
          </w:tcPr>
          <w:p w14:paraId="03E837C1">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提供云平台部署服务，含3年云资源。</w:t>
            </w:r>
          </w:p>
        </w:tc>
      </w:tr>
      <w:tr w14:paraId="4108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35" w:type="dxa"/>
            <w:noWrap w:val="0"/>
            <w:vAlign w:val="center"/>
          </w:tcPr>
          <w:p w14:paraId="694242F3">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40</w:t>
            </w:r>
          </w:p>
        </w:tc>
        <w:tc>
          <w:tcPr>
            <w:tcW w:w="1818" w:type="dxa"/>
            <w:noWrap w:val="0"/>
            <w:vAlign w:val="center"/>
          </w:tcPr>
          <w:p w14:paraId="52EA9654">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项目实施</w:t>
            </w:r>
          </w:p>
        </w:tc>
        <w:tc>
          <w:tcPr>
            <w:tcW w:w="507" w:type="dxa"/>
            <w:noWrap w:val="0"/>
            <w:vAlign w:val="center"/>
          </w:tcPr>
          <w:p w14:paraId="4DB37610">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510" w:type="dxa"/>
            <w:noWrap w:val="0"/>
            <w:vAlign w:val="center"/>
          </w:tcPr>
          <w:p w14:paraId="34AB9047">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w:t>
            </w:r>
          </w:p>
        </w:tc>
        <w:tc>
          <w:tcPr>
            <w:tcW w:w="7812" w:type="dxa"/>
            <w:noWrap w:val="0"/>
            <w:vAlign w:val="center"/>
          </w:tcPr>
          <w:p w14:paraId="20916763">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1、硬件安装调试；</w:t>
            </w:r>
          </w:p>
          <w:p w14:paraId="4D754AB7">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2、软件部署调试；</w:t>
            </w:r>
          </w:p>
          <w:p w14:paraId="27ABB766">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3、软硬件联调测试；</w:t>
            </w:r>
          </w:p>
          <w:p w14:paraId="7E46A74D">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4、系统初始数据的采集和录入；</w:t>
            </w:r>
          </w:p>
          <w:p w14:paraId="235CF622">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5、会议和培训；</w:t>
            </w:r>
          </w:p>
          <w:p w14:paraId="3436603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6、现场项目管理；</w:t>
            </w:r>
          </w:p>
        </w:tc>
      </w:tr>
      <w:tr w14:paraId="1455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5" w:type="dxa"/>
            <w:noWrap w:val="0"/>
            <w:vAlign w:val="center"/>
          </w:tcPr>
          <w:p w14:paraId="030AFCE7">
            <w:pPr>
              <w:pStyle w:val="93"/>
              <w:keepNext w:val="0"/>
              <w:keepLines w:val="0"/>
              <w:pageBreakBefore w:val="0"/>
              <w:widowControl w:val="0"/>
              <w:kinsoku/>
              <w:wordWrap/>
              <w:overflowPunct/>
              <w:topLinePunct w:val="0"/>
              <w:autoSpaceDE/>
              <w:autoSpaceDN/>
              <w:bidi w:val="0"/>
              <w:adjustRightInd/>
              <w:snapToGrid/>
              <w:spacing w:before="40"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41</w:t>
            </w:r>
          </w:p>
        </w:tc>
        <w:tc>
          <w:tcPr>
            <w:tcW w:w="1818" w:type="dxa"/>
            <w:noWrap w:val="0"/>
            <w:vAlign w:val="center"/>
          </w:tcPr>
          <w:p w14:paraId="50978781">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项目运维</w:t>
            </w:r>
          </w:p>
        </w:tc>
        <w:tc>
          <w:tcPr>
            <w:tcW w:w="507" w:type="dxa"/>
            <w:noWrap w:val="0"/>
            <w:vAlign w:val="center"/>
          </w:tcPr>
          <w:p w14:paraId="6F79FB13">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10" w:type="dxa"/>
            <w:noWrap w:val="0"/>
            <w:vAlign w:val="center"/>
          </w:tcPr>
          <w:p w14:paraId="72BE1A1A">
            <w:pPr>
              <w:pStyle w:val="93"/>
              <w:keepNext w:val="0"/>
              <w:keepLines w:val="0"/>
              <w:pageBreakBefore w:val="0"/>
              <w:widowControl w:val="0"/>
              <w:kinsoku/>
              <w:wordWrap/>
              <w:overflowPunct/>
              <w:topLinePunct w:val="0"/>
              <w:autoSpaceDE/>
              <w:autoSpaceDN/>
              <w:bidi w:val="0"/>
              <w:adjustRightInd/>
              <w:snapToGrid/>
              <w:spacing w:before="40" w:line="240" w:lineRule="auto"/>
              <w:ind w:left="9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年</w:t>
            </w:r>
          </w:p>
        </w:tc>
        <w:tc>
          <w:tcPr>
            <w:tcW w:w="7812" w:type="dxa"/>
            <w:noWrap w:val="0"/>
            <w:vAlign w:val="center"/>
          </w:tcPr>
          <w:p w14:paraId="225A398C">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1、设备验收合格后按标准保修条例对本项目硬件设备提供保修服务；</w:t>
            </w:r>
          </w:p>
          <w:p w14:paraId="5EA5220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2、安排专职运维人员对接，提供7*24小时快速响应的运维服务；</w:t>
            </w:r>
          </w:p>
          <w:p w14:paraId="2B04618A">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3、软件系统日常维护和监控，系统故障排查和问题的处理；</w:t>
            </w:r>
          </w:p>
          <w:p w14:paraId="74914F7F">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4、定期更新作业操作手册，并安排专职人员进行培训；</w:t>
            </w:r>
          </w:p>
          <w:p w14:paraId="0794E228">
            <w:pPr>
              <w:pStyle w:val="93"/>
              <w:keepNext w:val="0"/>
              <w:keepLines w:val="0"/>
              <w:pageBreakBefore w:val="0"/>
              <w:widowControl w:val="0"/>
              <w:kinsoku/>
              <w:wordWrap/>
              <w:overflowPunct/>
              <w:topLinePunct w:val="0"/>
              <w:autoSpaceDE/>
              <w:autoSpaceDN/>
              <w:bidi w:val="0"/>
              <w:adjustRightInd/>
              <w:snapToGrid/>
              <w:spacing w:before="40" w:line="192" w:lineRule="auto"/>
              <w:ind w:left="636" w:hanging="622"/>
              <w:jc w:val="left"/>
              <w:textAlignment w:val="auto"/>
              <w:rPr>
                <w:rFonts w:hint="eastAsia" w:ascii="宋体" w:hAnsi="宋体" w:eastAsia="宋体" w:cs="宋体"/>
                <w:color w:val="auto"/>
                <w:spacing w:val="-7"/>
                <w:sz w:val="18"/>
                <w:szCs w:val="18"/>
                <w:highlight w:val="none"/>
                <w:lang w:val="en-US" w:eastAsia="zh-CN"/>
              </w:rPr>
            </w:pPr>
            <w:r>
              <w:rPr>
                <w:rFonts w:hint="eastAsia" w:ascii="宋体" w:hAnsi="宋体" w:eastAsia="宋体" w:cs="宋体"/>
                <w:color w:val="auto"/>
                <w:spacing w:val="-7"/>
                <w:sz w:val="18"/>
                <w:szCs w:val="18"/>
                <w:highlight w:val="none"/>
                <w:lang w:val="en-US" w:eastAsia="zh-CN"/>
              </w:rPr>
              <w:t>5、日常系统数据的更新和维护；</w:t>
            </w:r>
          </w:p>
        </w:tc>
      </w:tr>
    </w:tbl>
    <w:p w14:paraId="4D31A661">
      <w:pPr>
        <w:pBdr>
          <w:top w:val="none" w:color="auto" w:sz="0" w:space="0"/>
          <w:left w:val="none" w:color="auto" w:sz="0" w:space="0"/>
          <w:bottom w:val="none" w:color="auto" w:sz="0" w:space="0"/>
          <w:right w:val="none" w:color="auto" w:sz="0" w:space="0"/>
        </w:pBdr>
        <w:tabs>
          <w:tab w:val="left" w:pos="4018"/>
        </w:tabs>
        <w:snapToGrid w:val="0"/>
        <w:spacing w:line="380" w:lineRule="exact"/>
        <w:jc w:val="left"/>
        <w:rPr>
          <w:rFonts w:hint="eastAsia" w:ascii="楷体" w:hAnsi="楷体" w:eastAsia="楷体" w:cs="楷体"/>
          <w:color w:val="auto"/>
          <w:kern w:val="2"/>
          <w:sz w:val="21"/>
          <w:szCs w:val="21"/>
          <w:highlight w:val="none"/>
          <w:lang w:val="en-US" w:eastAsia="zh-CN"/>
        </w:rPr>
      </w:pPr>
      <w:r>
        <w:rPr>
          <w:rFonts w:hint="eastAsia" w:ascii="楷体" w:hAnsi="楷体" w:eastAsia="楷体" w:cs="楷体"/>
          <w:color w:val="auto"/>
          <w:kern w:val="2"/>
          <w:sz w:val="21"/>
          <w:szCs w:val="21"/>
          <w:highlight w:val="none"/>
          <w:lang w:val="en-US" w:eastAsia="zh-CN"/>
        </w:rPr>
        <w:t>注：1、标★的17-22为一整个控制系统，需提供《自动控制灌溉首部检验报告》、《农业机械试验检定证书》。</w:t>
      </w:r>
    </w:p>
    <w:p w14:paraId="1AB7CBEA">
      <w:pPr>
        <w:pBdr>
          <w:top w:val="none" w:color="auto" w:sz="0" w:space="0"/>
          <w:left w:val="none" w:color="auto" w:sz="0" w:space="0"/>
          <w:bottom w:val="none" w:color="auto" w:sz="0" w:space="0"/>
          <w:right w:val="none" w:color="auto" w:sz="0" w:space="0"/>
        </w:pBdr>
        <w:tabs>
          <w:tab w:val="left" w:pos="4018"/>
        </w:tabs>
        <w:snapToGrid w:val="0"/>
        <w:spacing w:line="380" w:lineRule="exact"/>
        <w:ind w:firstLine="420" w:firstLineChars="200"/>
        <w:jc w:val="left"/>
        <w:rPr>
          <w:rFonts w:hint="default" w:ascii="楷体" w:hAnsi="楷体" w:eastAsia="楷体" w:cs="楷体"/>
          <w:color w:val="auto"/>
          <w:kern w:val="2"/>
          <w:sz w:val="21"/>
          <w:szCs w:val="21"/>
          <w:highlight w:val="none"/>
          <w:lang w:val="en-US" w:eastAsia="zh-CN"/>
        </w:rPr>
      </w:pPr>
      <w:r>
        <w:rPr>
          <w:rFonts w:hint="eastAsia" w:ascii="楷体" w:hAnsi="楷体" w:eastAsia="楷体" w:cs="楷体"/>
          <w:color w:val="auto"/>
          <w:kern w:val="2"/>
          <w:sz w:val="21"/>
          <w:szCs w:val="21"/>
          <w:highlight w:val="none"/>
          <w:lang w:val="en-US" w:eastAsia="zh-CN"/>
        </w:rPr>
        <w:t>2、▲核心产品：全自动施肥机，多家投标人提供的核心产品品牌全部相同的按一家响应人计算。</w:t>
      </w:r>
    </w:p>
    <w:p w14:paraId="0E9530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auto"/>
          <w:kern w:val="21"/>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cs="宋体"/>
          <w:b/>
          <w:color w:val="auto"/>
          <w:kern w:val="21"/>
          <w:sz w:val="21"/>
          <w:szCs w:val="21"/>
          <w:highlight w:val="none"/>
          <w:lang w:val="en-US" w:eastAsia="zh-CN"/>
        </w:rPr>
        <w:t>二</w:t>
      </w:r>
      <w:r>
        <w:rPr>
          <w:rFonts w:hint="eastAsia" w:ascii="宋体" w:hAnsi="宋体" w:cs="宋体"/>
          <w:b/>
          <w:color w:val="auto"/>
          <w:kern w:val="21"/>
          <w:sz w:val="21"/>
          <w:szCs w:val="21"/>
          <w:highlight w:val="none"/>
        </w:rPr>
        <w:t>、</w:t>
      </w:r>
      <w:r>
        <w:rPr>
          <w:rFonts w:hint="eastAsia" w:ascii="宋体" w:hAnsi="宋体" w:cs="宋体"/>
          <w:b/>
          <w:color w:val="auto"/>
          <w:kern w:val="21"/>
          <w:sz w:val="21"/>
          <w:szCs w:val="21"/>
          <w:highlight w:val="none"/>
          <w:lang w:eastAsia="zh-CN"/>
        </w:rPr>
        <w:t>服务方案及工期</w:t>
      </w:r>
      <w:r>
        <w:rPr>
          <w:rFonts w:hint="eastAsia" w:ascii="宋体" w:hAnsi="宋体" w:cs="宋体"/>
          <w:b/>
          <w:color w:val="auto"/>
          <w:kern w:val="21"/>
          <w:sz w:val="21"/>
          <w:szCs w:val="21"/>
          <w:highlight w:val="none"/>
        </w:rPr>
        <w:t>要求</w:t>
      </w:r>
    </w:p>
    <w:p w14:paraId="5F924E03">
      <w:pPr>
        <w:keepNext w:val="0"/>
        <w:keepLines w:val="0"/>
        <w:pageBreakBefore w:val="0"/>
        <w:widowControl w:val="0"/>
        <w:kinsoku/>
        <w:wordWrap/>
        <w:overflowPunct/>
        <w:topLinePunct w:val="0"/>
        <w:bidi w:val="0"/>
        <w:adjustRightInd/>
        <w:snapToGrid/>
        <w:spacing w:line="240" w:lineRule="auto"/>
        <w:ind w:right="0" w:rightChars="0" w:firstLine="420" w:firstLineChars="200"/>
        <w:rPr>
          <w:rFonts w:ascii="新宋体" w:hAnsi="新宋体" w:eastAsia="新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lang w:eastAsia="zh-CN"/>
        </w:rPr>
        <w:t>、产品及相关附件的提供、运输、装卸、就位、检验、通过验收；</w:t>
      </w:r>
    </w:p>
    <w:p w14:paraId="4371D1EA">
      <w:pPr>
        <w:keepNext w:val="0"/>
        <w:keepLines w:val="0"/>
        <w:pageBreakBefore w:val="0"/>
        <w:widowControl w:val="0"/>
        <w:tabs>
          <w:tab w:val="left" w:pos="1740"/>
        </w:tabs>
        <w:kinsoku/>
        <w:wordWrap/>
        <w:overflowPunct/>
        <w:topLinePunct w:val="0"/>
        <w:bidi w:val="0"/>
        <w:adjustRightInd/>
        <w:snapToGrid/>
        <w:spacing w:line="440" w:lineRule="exact"/>
        <w:ind w:right="0" w:rightChars="0" w:firstLine="420" w:firstLineChars="200"/>
        <w:rPr>
          <w:rFonts w:hint="eastAsia" w:ascii="新宋体" w:hAnsi="新宋体" w:eastAsia="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lang w:eastAsia="zh-CN"/>
        </w:rPr>
        <w:t>、完成各项</w:t>
      </w:r>
      <w:r>
        <w:rPr>
          <w:rFonts w:hint="eastAsia" w:ascii="新宋体" w:hAnsi="新宋体" w:eastAsia="新宋体" w:cs="新宋体"/>
          <w:color w:val="auto"/>
          <w:sz w:val="21"/>
          <w:szCs w:val="21"/>
          <w:highlight w:val="none"/>
          <w:lang w:val="en-US" w:eastAsia="zh-CN"/>
        </w:rPr>
        <w:t>安装</w:t>
      </w:r>
      <w:r>
        <w:rPr>
          <w:rFonts w:hint="eastAsia" w:ascii="新宋体" w:hAnsi="新宋体" w:eastAsia="新宋体" w:cs="新宋体"/>
          <w:color w:val="auto"/>
          <w:sz w:val="21"/>
          <w:szCs w:val="21"/>
          <w:highlight w:val="none"/>
          <w:lang w:eastAsia="zh-CN"/>
        </w:rPr>
        <w:t>、检验工作，并在</w:t>
      </w:r>
      <w:r>
        <w:rPr>
          <w:rFonts w:hint="eastAsia" w:ascii="宋体" w:cs="宋体"/>
          <w:color w:val="auto"/>
          <w:sz w:val="21"/>
          <w:szCs w:val="21"/>
          <w:highlight w:val="none"/>
          <w:lang w:eastAsia="zh-CN"/>
        </w:rPr>
        <w:t>采购人</w:t>
      </w:r>
      <w:r>
        <w:rPr>
          <w:rFonts w:hint="eastAsia" w:ascii="新宋体" w:hAnsi="新宋体" w:eastAsia="新宋体" w:cs="新宋体"/>
          <w:color w:val="auto"/>
          <w:sz w:val="21"/>
          <w:szCs w:val="21"/>
          <w:highlight w:val="none"/>
          <w:lang w:eastAsia="zh-CN"/>
        </w:rPr>
        <w:t>的配合</w:t>
      </w:r>
      <w:r>
        <w:rPr>
          <w:rFonts w:hint="eastAsia" w:ascii="新宋体" w:hAnsi="新宋体" w:eastAsia="新宋体" w:cs="新宋体"/>
          <w:color w:val="auto"/>
          <w:sz w:val="21"/>
          <w:szCs w:val="21"/>
          <w:highlight w:val="none"/>
          <w:lang w:val="en-US" w:eastAsia="zh-CN"/>
        </w:rPr>
        <w:t>及需求</w:t>
      </w:r>
      <w:r>
        <w:rPr>
          <w:rFonts w:hint="eastAsia" w:ascii="新宋体" w:hAnsi="新宋体" w:eastAsia="新宋体" w:cs="新宋体"/>
          <w:color w:val="auto"/>
          <w:sz w:val="21"/>
          <w:szCs w:val="21"/>
          <w:highlight w:val="none"/>
          <w:lang w:eastAsia="zh-CN"/>
        </w:rPr>
        <w:t>下提供各种数据资料，</w:t>
      </w:r>
      <w:r>
        <w:rPr>
          <w:rFonts w:hint="eastAsia" w:ascii="新宋体" w:hAnsi="新宋体" w:eastAsia="新宋体" w:cs="新宋体"/>
          <w:color w:val="auto"/>
          <w:sz w:val="21"/>
          <w:szCs w:val="21"/>
          <w:highlight w:val="none"/>
          <w:lang w:val="en-US" w:eastAsia="zh-CN"/>
        </w:rPr>
        <w:t>系统软件能正常运</w:t>
      </w:r>
      <w:r>
        <w:rPr>
          <w:rFonts w:hint="eastAsia" w:ascii="宋体"/>
          <w:color w:val="auto"/>
          <w:sz w:val="21"/>
          <w:szCs w:val="21"/>
          <w:highlight w:val="none"/>
          <w:lang w:val="en-US" w:eastAsia="zh-CN"/>
        </w:rPr>
        <w:t>行</w:t>
      </w:r>
      <w:r>
        <w:rPr>
          <w:rFonts w:hint="eastAsia" w:ascii="新宋体" w:hAnsi="新宋体" w:eastAsia="新宋体" w:cs="新宋体"/>
          <w:color w:val="auto"/>
          <w:sz w:val="21"/>
          <w:szCs w:val="21"/>
          <w:highlight w:val="none"/>
          <w:lang w:val="en-US" w:eastAsia="zh-CN"/>
        </w:rPr>
        <w:t>，</w:t>
      </w:r>
      <w:r>
        <w:rPr>
          <w:rFonts w:hint="eastAsia" w:ascii="新宋体" w:hAnsi="新宋体" w:eastAsia="新宋体" w:cs="新宋体"/>
          <w:color w:val="auto"/>
          <w:sz w:val="21"/>
          <w:szCs w:val="21"/>
          <w:highlight w:val="none"/>
          <w:lang w:eastAsia="zh-CN"/>
        </w:rPr>
        <w:t>直至通过验收。</w:t>
      </w:r>
      <w:r>
        <w:rPr>
          <w:rFonts w:hint="eastAsia" w:ascii="宋体" w:hAnsi="宋体" w:eastAsia="宋体" w:cs="宋体"/>
          <w:b w:val="0"/>
          <w:bCs/>
          <w:color w:val="auto"/>
          <w:sz w:val="21"/>
          <w:szCs w:val="21"/>
          <w:highlight w:val="none"/>
        </w:rPr>
        <w:t>安装任何部位及设备都要达到国标，符合技术要求，在安装调试完成后，中标方需</w:t>
      </w:r>
      <w:r>
        <w:rPr>
          <w:rFonts w:hint="eastAsia" w:ascii="宋体" w:hAnsi="宋体" w:cs="宋体"/>
          <w:b w:val="0"/>
          <w:bCs/>
          <w:color w:val="auto"/>
          <w:sz w:val="21"/>
          <w:szCs w:val="21"/>
          <w:highlight w:val="none"/>
          <w:lang w:eastAsia="zh-CN"/>
        </w:rPr>
        <w:t>在</w:t>
      </w:r>
      <w:r>
        <w:rPr>
          <w:rFonts w:hint="eastAsia" w:ascii="宋体" w:hAnsi="宋体" w:cs="宋体"/>
          <w:b w:val="0"/>
          <w:bCs/>
          <w:color w:val="auto"/>
          <w:sz w:val="21"/>
          <w:szCs w:val="21"/>
          <w:highlight w:val="none"/>
          <w:lang w:val="en-US" w:eastAsia="zh-CN"/>
        </w:rPr>
        <w:t>10天内</w:t>
      </w:r>
      <w:r>
        <w:rPr>
          <w:rFonts w:hint="eastAsia" w:ascii="宋体" w:hAnsi="宋体" w:eastAsia="宋体" w:cs="宋体"/>
          <w:b w:val="0"/>
          <w:bCs/>
          <w:color w:val="auto"/>
          <w:sz w:val="21"/>
          <w:szCs w:val="21"/>
          <w:highlight w:val="none"/>
        </w:rPr>
        <w:t>派遣专业技术人员</w:t>
      </w:r>
      <w:r>
        <w:rPr>
          <w:rFonts w:hint="eastAsia" w:ascii="宋体" w:hAnsi="宋体" w:cs="宋体"/>
          <w:b w:val="0"/>
          <w:bCs/>
          <w:color w:val="auto"/>
          <w:sz w:val="21"/>
          <w:szCs w:val="21"/>
          <w:highlight w:val="none"/>
          <w:lang w:val="en-US" w:eastAsia="zh-CN"/>
        </w:rPr>
        <w:t>对</w:t>
      </w:r>
      <w:r>
        <w:rPr>
          <w:rFonts w:hint="eastAsia" w:ascii="宋体"/>
          <w:color w:val="auto"/>
          <w:sz w:val="21"/>
          <w:szCs w:val="21"/>
          <w:highlight w:val="none"/>
          <w:lang w:val="en-US" w:eastAsia="zh-CN"/>
        </w:rPr>
        <w:t>甲方的操作人员</w:t>
      </w:r>
      <w:r>
        <w:rPr>
          <w:rFonts w:hint="eastAsia" w:ascii="宋体" w:hAnsi="宋体" w:eastAsia="宋体" w:cs="宋体"/>
          <w:b w:val="0"/>
          <w:bCs/>
          <w:color w:val="auto"/>
          <w:sz w:val="21"/>
          <w:szCs w:val="21"/>
          <w:highlight w:val="none"/>
        </w:rPr>
        <w:t>进行现场</w:t>
      </w:r>
      <w:r>
        <w:rPr>
          <w:rFonts w:hint="eastAsia" w:ascii="宋体" w:hAnsi="宋体" w:cs="宋体"/>
          <w:b w:val="0"/>
          <w:bCs/>
          <w:color w:val="auto"/>
          <w:sz w:val="21"/>
          <w:szCs w:val="21"/>
          <w:highlight w:val="none"/>
          <w:lang w:val="en-US" w:eastAsia="zh-CN"/>
        </w:rPr>
        <w:t>指导</w:t>
      </w:r>
      <w:r>
        <w:rPr>
          <w:rFonts w:hint="eastAsia" w:ascii="宋体" w:hAnsi="宋体" w:eastAsia="宋体" w:cs="宋体"/>
          <w:b w:val="0"/>
          <w:bCs/>
          <w:color w:val="auto"/>
          <w:sz w:val="21"/>
          <w:szCs w:val="21"/>
          <w:highlight w:val="none"/>
        </w:rPr>
        <w:t>，待</w:t>
      </w:r>
      <w:r>
        <w:rPr>
          <w:rFonts w:hint="eastAsia" w:ascii="宋体" w:hAnsi="宋体" w:cs="宋体"/>
          <w:b w:val="0"/>
          <w:bCs/>
          <w:color w:val="auto"/>
          <w:sz w:val="21"/>
          <w:szCs w:val="21"/>
          <w:highlight w:val="none"/>
          <w:lang w:val="en-US" w:eastAsia="zh-CN"/>
        </w:rPr>
        <w:t>甲</w:t>
      </w:r>
      <w:r>
        <w:rPr>
          <w:rFonts w:hint="eastAsia" w:ascii="宋体" w:hAnsi="宋体" w:eastAsia="宋体" w:cs="宋体"/>
          <w:b w:val="0"/>
          <w:bCs/>
          <w:color w:val="auto"/>
          <w:sz w:val="21"/>
          <w:szCs w:val="21"/>
          <w:highlight w:val="none"/>
        </w:rPr>
        <w:t>方熟练掌握相关技能</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并能独立操作一整个系统</w:t>
      </w:r>
      <w:r>
        <w:rPr>
          <w:rFonts w:hint="eastAsia" w:ascii="宋体" w:hAnsi="宋体" w:eastAsia="宋体" w:cs="宋体"/>
          <w:b w:val="0"/>
          <w:bCs/>
          <w:color w:val="auto"/>
          <w:sz w:val="21"/>
          <w:szCs w:val="21"/>
          <w:highlight w:val="none"/>
        </w:rPr>
        <w:t>后才认定安装调试合格，再出相关验收单</w:t>
      </w:r>
      <w:r>
        <w:rPr>
          <w:rFonts w:hint="eastAsia" w:ascii="宋体" w:hAnsi="宋体" w:eastAsia="宋体" w:cs="宋体"/>
          <w:b w:val="0"/>
          <w:bCs/>
          <w:color w:val="auto"/>
          <w:sz w:val="21"/>
          <w:szCs w:val="21"/>
          <w:highlight w:val="none"/>
          <w:lang w:eastAsia="zh-CN"/>
        </w:rPr>
        <w:t>。</w:t>
      </w:r>
    </w:p>
    <w:p w14:paraId="7928DD5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cs="宋体"/>
          <w:b w:val="0"/>
          <w:bCs/>
          <w:color w:val="auto"/>
          <w:kern w:val="21"/>
          <w:sz w:val="21"/>
          <w:szCs w:val="21"/>
          <w:highlight w:val="none"/>
          <w:lang w:eastAsia="zh-CN"/>
        </w:rPr>
      </w:pPr>
      <w:r>
        <w:rPr>
          <w:rFonts w:hint="eastAsia" w:ascii="宋体" w:hAnsi="宋体" w:cs="宋体"/>
          <w:b w:val="0"/>
          <w:bCs/>
          <w:color w:val="auto"/>
          <w:kern w:val="21"/>
          <w:sz w:val="21"/>
          <w:szCs w:val="21"/>
          <w:highlight w:val="none"/>
          <w:lang w:val="en-US" w:eastAsia="zh-CN"/>
        </w:rPr>
        <w:t>3、</w:t>
      </w:r>
      <w:r>
        <w:rPr>
          <w:rFonts w:hint="eastAsia" w:ascii="宋体" w:hAnsi="宋体" w:eastAsia="宋体" w:cs="宋体"/>
          <w:b w:val="0"/>
          <w:bCs/>
          <w:color w:val="auto"/>
          <w:kern w:val="21"/>
          <w:sz w:val="21"/>
          <w:szCs w:val="21"/>
          <w:highlight w:val="none"/>
          <w:lang w:eastAsia="zh-CN"/>
        </w:rPr>
        <w:t>供货期限</w:t>
      </w:r>
      <w:r>
        <w:rPr>
          <w:rFonts w:hint="eastAsia" w:ascii="宋体" w:hAnsi="宋体" w:eastAsia="宋体" w:cs="宋体"/>
          <w:b w:val="0"/>
          <w:bCs/>
          <w:color w:val="auto"/>
          <w:kern w:val="21"/>
          <w:sz w:val="21"/>
          <w:szCs w:val="21"/>
          <w:highlight w:val="none"/>
        </w:rPr>
        <w:t>：</w:t>
      </w:r>
      <w:r>
        <w:rPr>
          <w:rFonts w:hint="eastAsia" w:hAnsi="宋体" w:cs="宋体"/>
          <w:color w:val="auto"/>
          <w:highlight w:val="none"/>
          <w:lang w:val="en-US" w:eastAsia="zh-CN"/>
        </w:rPr>
        <w:t>自</w:t>
      </w:r>
      <w:r>
        <w:rPr>
          <w:rFonts w:hint="eastAsia" w:hAnsi="宋体" w:cs="宋体"/>
          <w:color w:val="auto"/>
          <w:highlight w:val="none"/>
          <w:u w:val="none"/>
          <w:lang w:val="en-US" w:eastAsia="zh-CN"/>
        </w:rPr>
        <w:t>合同签订当日起，</w:t>
      </w:r>
      <w:r>
        <w:rPr>
          <w:rFonts w:hint="eastAsia" w:hAnsi="宋体" w:cs="宋体"/>
          <w:b/>
          <w:bCs/>
          <w:color w:val="auto"/>
          <w:highlight w:val="none"/>
          <w:u w:val="single"/>
          <w:lang w:val="en-US" w:eastAsia="zh-CN"/>
        </w:rPr>
        <w:t>30</w:t>
      </w:r>
      <w:r>
        <w:rPr>
          <w:rFonts w:hint="eastAsia" w:hAnsi="宋体" w:cs="宋体"/>
          <w:color w:val="auto"/>
          <w:highlight w:val="none"/>
          <w:u w:val="none"/>
          <w:lang w:val="en-US" w:eastAsia="zh-CN"/>
        </w:rPr>
        <w:t>个日历天内完成</w:t>
      </w:r>
      <w:r>
        <w:rPr>
          <w:rFonts w:hint="eastAsia" w:hAnsi="宋体" w:cs="宋体"/>
          <w:b w:val="0"/>
          <w:bCs/>
          <w:color w:val="auto"/>
          <w:kern w:val="21"/>
          <w:sz w:val="21"/>
          <w:szCs w:val="21"/>
          <w:highlight w:val="none"/>
          <w:u w:val="none"/>
          <w:lang w:val="en-US" w:eastAsia="zh-CN"/>
        </w:rPr>
        <w:t>供货、</w:t>
      </w:r>
      <w:r>
        <w:rPr>
          <w:rFonts w:hint="eastAsia" w:ascii="宋体" w:hAnsi="宋体" w:cs="宋体"/>
          <w:b w:val="0"/>
          <w:bCs/>
          <w:color w:val="auto"/>
          <w:kern w:val="21"/>
          <w:sz w:val="21"/>
          <w:szCs w:val="21"/>
          <w:highlight w:val="none"/>
          <w:lang w:eastAsia="zh-CN"/>
        </w:rPr>
        <w:t>安装、</w:t>
      </w:r>
      <w:r>
        <w:rPr>
          <w:rFonts w:hint="eastAsia" w:ascii="宋体" w:hAnsi="宋体" w:eastAsia="宋体" w:cs="宋体"/>
          <w:color w:val="auto"/>
          <w:sz w:val="21"/>
          <w:szCs w:val="21"/>
          <w:highlight w:val="none"/>
          <w:lang w:eastAsia="zh-CN"/>
        </w:rPr>
        <w:t>调试、验收合格并交付使用</w:t>
      </w:r>
      <w:r>
        <w:rPr>
          <w:rFonts w:hint="eastAsia" w:ascii="宋体" w:hAnsi="宋体" w:cs="宋体"/>
          <w:b w:val="0"/>
          <w:bCs/>
          <w:color w:val="auto"/>
          <w:kern w:val="21"/>
          <w:sz w:val="21"/>
          <w:szCs w:val="21"/>
          <w:highlight w:val="none"/>
          <w:lang w:eastAsia="zh-CN"/>
        </w:rPr>
        <w:t>。</w:t>
      </w:r>
    </w:p>
    <w:p w14:paraId="44DE0C0A">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、付款方式</w:t>
      </w:r>
      <w:r>
        <w:rPr>
          <w:rFonts w:hint="eastAsia" w:ascii="宋体" w:hAnsi="宋体" w:eastAsia="宋体" w:cs="宋体"/>
          <w:b/>
          <w:bCs w:val="0"/>
          <w:color w:val="auto"/>
          <w:sz w:val="21"/>
          <w:szCs w:val="21"/>
          <w:highlight w:val="none"/>
          <w:lang w:eastAsia="zh-CN"/>
        </w:rPr>
        <w:t>及履约保证金</w:t>
      </w:r>
    </w:p>
    <w:p w14:paraId="2ABC07F9">
      <w:pPr>
        <w:pStyle w:val="11"/>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highlight w:val="yellow"/>
        </w:rPr>
        <w:t>合同签订后10个工作日内甲方办理付款手续，向乙方支付合同价款的</w:t>
      </w:r>
      <w:r>
        <w:rPr>
          <w:rFonts w:hint="eastAsia" w:ascii="宋体" w:hAnsi="宋体" w:cs="宋体"/>
          <w:b w:val="0"/>
          <w:bCs/>
          <w:color w:val="auto"/>
          <w:sz w:val="21"/>
          <w:szCs w:val="21"/>
          <w:highlight w:val="yellow"/>
          <w:lang w:val="en-US" w:eastAsia="zh-CN"/>
        </w:rPr>
        <w:t>4</w:t>
      </w:r>
      <w:r>
        <w:rPr>
          <w:rFonts w:hint="eastAsia" w:ascii="宋体" w:hAnsi="宋体" w:eastAsia="宋体" w:cs="宋体"/>
          <w:b w:val="0"/>
          <w:bCs/>
          <w:color w:val="auto"/>
          <w:sz w:val="21"/>
          <w:szCs w:val="21"/>
          <w:highlight w:val="yellow"/>
        </w:rPr>
        <w:t>0%预付款；</w:t>
      </w:r>
    </w:p>
    <w:p w14:paraId="59F3AAA5">
      <w:pPr>
        <w:pStyle w:val="11"/>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highlight w:val="yellow"/>
        </w:rPr>
        <w:t>安装任何部位及设备都要达到国标，符合技术要求，</w:t>
      </w:r>
      <w:r>
        <w:rPr>
          <w:rFonts w:hint="eastAsia" w:ascii="新宋体" w:hAnsi="新宋体" w:eastAsia="新宋体" w:cs="新宋体"/>
          <w:color w:val="auto"/>
          <w:sz w:val="21"/>
          <w:szCs w:val="21"/>
          <w:highlight w:val="yellow"/>
          <w:lang w:val="en-US" w:eastAsia="zh-CN"/>
        </w:rPr>
        <w:t>系统软件能正常运</w:t>
      </w:r>
      <w:r>
        <w:rPr>
          <w:rFonts w:hint="eastAsia" w:ascii="宋体"/>
          <w:color w:val="auto"/>
          <w:sz w:val="21"/>
          <w:szCs w:val="21"/>
          <w:highlight w:val="yellow"/>
          <w:lang w:val="en-US" w:eastAsia="zh-CN"/>
        </w:rPr>
        <w:t>行</w:t>
      </w:r>
      <w:r>
        <w:rPr>
          <w:rFonts w:hint="eastAsia" w:ascii="新宋体" w:hAnsi="新宋体" w:eastAsia="新宋体" w:cs="新宋体"/>
          <w:color w:val="auto"/>
          <w:sz w:val="21"/>
          <w:szCs w:val="21"/>
          <w:highlight w:val="yellow"/>
          <w:lang w:val="en-US" w:eastAsia="zh-CN"/>
        </w:rPr>
        <w:t>，</w:t>
      </w:r>
      <w:r>
        <w:rPr>
          <w:rFonts w:hint="eastAsia" w:ascii="宋体" w:hAnsi="宋体" w:eastAsia="宋体" w:cs="宋体"/>
          <w:b w:val="0"/>
          <w:bCs/>
          <w:color w:val="auto"/>
          <w:sz w:val="21"/>
          <w:szCs w:val="21"/>
          <w:highlight w:val="yellow"/>
        </w:rPr>
        <w:t>在安装调试完成后，中标方需</w:t>
      </w:r>
      <w:r>
        <w:rPr>
          <w:rFonts w:hint="eastAsia" w:ascii="宋体" w:hAnsi="宋体" w:cs="宋体"/>
          <w:b w:val="0"/>
          <w:bCs/>
          <w:color w:val="auto"/>
          <w:sz w:val="21"/>
          <w:szCs w:val="21"/>
          <w:highlight w:val="yellow"/>
          <w:lang w:eastAsia="zh-CN"/>
        </w:rPr>
        <w:t>在</w:t>
      </w:r>
      <w:r>
        <w:rPr>
          <w:rFonts w:hint="eastAsia" w:ascii="宋体" w:hAnsi="宋体" w:cs="宋体"/>
          <w:b w:val="0"/>
          <w:bCs/>
          <w:color w:val="auto"/>
          <w:sz w:val="21"/>
          <w:szCs w:val="21"/>
          <w:highlight w:val="yellow"/>
          <w:lang w:val="en-US" w:eastAsia="zh-CN"/>
        </w:rPr>
        <w:t>10天内</w:t>
      </w:r>
      <w:r>
        <w:rPr>
          <w:rFonts w:hint="eastAsia" w:ascii="宋体" w:hAnsi="宋体" w:eastAsia="宋体" w:cs="宋体"/>
          <w:b w:val="0"/>
          <w:bCs/>
          <w:color w:val="auto"/>
          <w:sz w:val="21"/>
          <w:szCs w:val="21"/>
          <w:highlight w:val="yellow"/>
        </w:rPr>
        <w:t>派遣专业技术人员进行现场</w:t>
      </w:r>
      <w:r>
        <w:rPr>
          <w:rFonts w:hint="eastAsia" w:ascii="宋体" w:hAnsi="宋体" w:cs="宋体"/>
          <w:b w:val="0"/>
          <w:bCs/>
          <w:color w:val="auto"/>
          <w:sz w:val="21"/>
          <w:szCs w:val="21"/>
          <w:highlight w:val="yellow"/>
          <w:lang w:val="en-US" w:eastAsia="zh-CN"/>
        </w:rPr>
        <w:t>指导</w:t>
      </w:r>
      <w:r>
        <w:rPr>
          <w:rFonts w:hint="eastAsia" w:ascii="宋体" w:hAnsi="宋体" w:eastAsia="宋体" w:cs="宋体"/>
          <w:b w:val="0"/>
          <w:bCs/>
          <w:color w:val="auto"/>
          <w:sz w:val="21"/>
          <w:szCs w:val="21"/>
          <w:highlight w:val="yellow"/>
        </w:rPr>
        <w:t>，待</w:t>
      </w:r>
      <w:r>
        <w:rPr>
          <w:rFonts w:hint="eastAsia" w:ascii="宋体" w:hAnsi="宋体" w:eastAsia="宋体" w:cs="宋体"/>
          <w:b w:val="0"/>
          <w:bCs/>
          <w:color w:val="auto"/>
          <w:sz w:val="21"/>
          <w:szCs w:val="21"/>
          <w:highlight w:val="yellow"/>
          <w:lang w:val="en-US" w:eastAsia="zh-CN"/>
        </w:rPr>
        <w:t>甲</w:t>
      </w:r>
      <w:r>
        <w:rPr>
          <w:rFonts w:hint="eastAsia" w:ascii="宋体" w:hAnsi="宋体" w:eastAsia="宋体" w:cs="宋体"/>
          <w:b w:val="0"/>
          <w:bCs/>
          <w:color w:val="auto"/>
          <w:sz w:val="21"/>
          <w:szCs w:val="21"/>
          <w:highlight w:val="yellow"/>
        </w:rPr>
        <w:t>方熟练掌握相关技能</w:t>
      </w:r>
      <w:r>
        <w:rPr>
          <w:rFonts w:hint="eastAsia" w:ascii="宋体" w:hAnsi="宋体" w:cs="宋体"/>
          <w:b w:val="0"/>
          <w:bCs/>
          <w:color w:val="auto"/>
          <w:sz w:val="21"/>
          <w:szCs w:val="21"/>
          <w:highlight w:val="yellow"/>
          <w:lang w:eastAsia="zh-CN"/>
        </w:rPr>
        <w:t>，</w:t>
      </w:r>
      <w:r>
        <w:rPr>
          <w:rFonts w:hint="eastAsia" w:ascii="宋体" w:hAnsi="宋体" w:cs="宋体"/>
          <w:b w:val="0"/>
          <w:bCs/>
          <w:color w:val="auto"/>
          <w:sz w:val="21"/>
          <w:szCs w:val="21"/>
          <w:highlight w:val="yellow"/>
          <w:lang w:val="en-US" w:eastAsia="zh-CN"/>
        </w:rPr>
        <w:t>并能独立操作一整个系统</w:t>
      </w:r>
      <w:r>
        <w:rPr>
          <w:rFonts w:hint="eastAsia" w:ascii="宋体" w:hAnsi="宋体" w:eastAsia="宋体" w:cs="宋体"/>
          <w:b w:val="0"/>
          <w:bCs/>
          <w:color w:val="auto"/>
          <w:sz w:val="21"/>
          <w:szCs w:val="21"/>
          <w:highlight w:val="yellow"/>
        </w:rPr>
        <w:t>后才认定安装调试合格，再出相关验收单，完成该项目验收后，支付</w:t>
      </w:r>
      <w:r>
        <w:rPr>
          <w:rFonts w:hint="eastAsia" w:ascii="宋体" w:hAnsi="宋体" w:cs="宋体"/>
          <w:b w:val="0"/>
          <w:bCs/>
          <w:color w:val="auto"/>
          <w:sz w:val="21"/>
          <w:szCs w:val="21"/>
          <w:highlight w:val="yellow"/>
          <w:lang w:val="en-US" w:eastAsia="zh-CN"/>
        </w:rPr>
        <w:t>50</w:t>
      </w:r>
      <w:r>
        <w:rPr>
          <w:rFonts w:hint="eastAsia" w:ascii="宋体" w:hAnsi="宋体" w:eastAsia="宋体" w:cs="宋体"/>
          <w:b w:val="0"/>
          <w:bCs/>
          <w:color w:val="auto"/>
          <w:sz w:val="21"/>
          <w:szCs w:val="21"/>
          <w:highlight w:val="yellow"/>
        </w:rPr>
        <w:t>%货款</w:t>
      </w:r>
      <w:r>
        <w:rPr>
          <w:rFonts w:hint="eastAsia" w:ascii="宋体" w:hAnsi="宋体" w:eastAsia="宋体" w:cs="宋体"/>
          <w:b w:val="0"/>
          <w:bCs/>
          <w:color w:val="auto"/>
          <w:sz w:val="21"/>
          <w:szCs w:val="21"/>
          <w:highlight w:val="yellow"/>
          <w:lang w:eastAsia="zh-CN"/>
        </w:rPr>
        <w:t>；</w:t>
      </w:r>
    </w:p>
    <w:p w14:paraId="4C8E955B">
      <w:pPr>
        <w:pStyle w:val="11"/>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yellow"/>
        </w:rPr>
      </w:pPr>
      <w:r>
        <w:rPr>
          <w:rFonts w:hint="eastAsia" w:ascii="宋体" w:hAnsi="宋体" w:eastAsia="宋体" w:cs="宋体"/>
          <w:b w:val="0"/>
          <w:bCs/>
          <w:color w:val="auto"/>
          <w:sz w:val="21"/>
          <w:szCs w:val="21"/>
          <w:highlight w:val="yellow"/>
          <w:lang w:eastAsia="zh-CN"/>
        </w:rPr>
        <w:t>两年后无任何质量问题结清</w:t>
      </w:r>
      <w:r>
        <w:rPr>
          <w:rFonts w:hint="eastAsia" w:ascii="宋体" w:hAnsi="宋体" w:eastAsia="宋体" w:cs="宋体"/>
          <w:b w:val="0"/>
          <w:bCs/>
          <w:color w:val="auto"/>
          <w:sz w:val="21"/>
          <w:szCs w:val="21"/>
          <w:highlight w:val="yellow"/>
          <w:lang w:val="en-US" w:eastAsia="zh-CN"/>
        </w:rPr>
        <w:t>剩余</w:t>
      </w:r>
      <w:r>
        <w:rPr>
          <w:rFonts w:hint="eastAsia" w:ascii="宋体" w:hAnsi="宋体" w:cs="宋体"/>
          <w:b w:val="0"/>
          <w:bCs/>
          <w:color w:val="auto"/>
          <w:sz w:val="21"/>
          <w:szCs w:val="21"/>
          <w:highlight w:val="yellow"/>
          <w:lang w:val="en-US" w:eastAsia="zh-CN"/>
        </w:rPr>
        <w:t>10</w:t>
      </w:r>
      <w:r>
        <w:rPr>
          <w:rFonts w:hint="eastAsia" w:ascii="宋体" w:hAnsi="宋体" w:eastAsia="宋体" w:cs="宋体"/>
          <w:b w:val="0"/>
          <w:bCs/>
          <w:color w:val="auto"/>
          <w:sz w:val="21"/>
          <w:szCs w:val="21"/>
          <w:highlight w:val="yellow"/>
          <w:lang w:eastAsia="zh-CN"/>
        </w:rPr>
        <w:t>%</w:t>
      </w:r>
      <w:r>
        <w:rPr>
          <w:rFonts w:hint="eastAsia" w:ascii="宋体" w:hAnsi="宋体" w:eastAsia="宋体" w:cs="宋体"/>
          <w:b w:val="0"/>
          <w:bCs/>
          <w:color w:val="auto"/>
          <w:sz w:val="21"/>
          <w:szCs w:val="21"/>
          <w:highlight w:val="yellow"/>
          <w:lang w:val="en-US" w:eastAsia="zh-CN"/>
        </w:rPr>
        <w:t>货</w:t>
      </w:r>
      <w:r>
        <w:rPr>
          <w:rFonts w:hint="eastAsia" w:ascii="宋体" w:hAnsi="宋体" w:eastAsia="宋体" w:cs="宋体"/>
          <w:b w:val="0"/>
          <w:bCs/>
          <w:color w:val="auto"/>
          <w:sz w:val="21"/>
          <w:szCs w:val="21"/>
          <w:highlight w:val="yellow"/>
          <w:lang w:eastAsia="zh-CN"/>
        </w:rPr>
        <w:t>款。</w:t>
      </w:r>
    </w:p>
    <w:p w14:paraId="0013C21A">
      <w:pPr>
        <w:pStyle w:val="11"/>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四、技术培训要求</w:t>
      </w:r>
    </w:p>
    <w:p w14:paraId="5C7B872D">
      <w:pPr>
        <w:pStyle w:val="11"/>
        <w:keepNext w:val="0"/>
        <w:keepLines w:val="0"/>
        <w:pageBreakBefore w:val="0"/>
        <w:widowControl w:val="0"/>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▲1、在安装调试完成后，中标方需在10天内派遣专业技术人员对甲方的操作人员进行现场技术培训，甲方的操作人员30天内能够达到独立操作系统软件。</w:t>
      </w:r>
    </w:p>
    <w:p w14:paraId="2F414D10">
      <w:pPr>
        <w:pStyle w:val="11"/>
        <w:keepNext w:val="0"/>
        <w:keepLines w:val="0"/>
        <w:pageBreakBefore w:val="0"/>
        <w:widowControl w:val="0"/>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▲2、在系统软件运行前期，中标方需派遣一位专业技术人员长期驻场六个月。</w:t>
      </w:r>
    </w:p>
    <w:p w14:paraId="252AC0B6">
      <w:pPr>
        <w:pStyle w:val="11"/>
        <w:keepNext w:val="0"/>
        <w:keepLines w:val="0"/>
        <w:pageBreakBefore w:val="0"/>
        <w:widowControl w:val="0"/>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▲3、每季度至少派遣一次技术人员，对甲方的操作人员及维修人员进行技术指导。</w:t>
      </w:r>
    </w:p>
    <w:p w14:paraId="0C2EB2DA">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4、提供完整的硬件设备及软件系统的培训服务方案。</w:t>
      </w:r>
    </w:p>
    <w:p w14:paraId="00205963">
      <w:pPr>
        <w:pStyle w:val="11"/>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五、质保期及售后服务</w:t>
      </w:r>
    </w:p>
    <w:p w14:paraId="62E04FA3">
      <w:pPr>
        <w:pStyle w:val="11"/>
        <w:keepNext w:val="0"/>
        <w:keepLines w:val="0"/>
        <w:pageBreakBefore w:val="0"/>
        <w:widowControl w:val="0"/>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▲1、所有设备需有五年保质期，在保质期内有任何机件损坏以及系统出现问题故障时，中标方需在3天内完成修复，所有修理费用，甲方均不负责。</w:t>
      </w:r>
    </w:p>
    <w:p w14:paraId="33F3E51D">
      <w:pPr>
        <w:pStyle w:val="11"/>
        <w:keepNext w:val="0"/>
        <w:keepLines w:val="0"/>
        <w:pageBreakBefore w:val="0"/>
        <w:widowControl w:val="0"/>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▲2、质保期内，要求中标方7×24小时电话响应技术咨询；甲方在使用过程中发生质量问题以及系统故障时，中标方须在接到采购人维修要求电话后，要求10分钟内响应， 2 小时到达现场处理现场故障，3天内并完成修复，以保证用户的正常使用；不能及时修复的，必须采取提供备品、备件或更换同规格新产品等措施，以保证采购单位的正常使用。如果逾期未作出响应，供应商应承担由于故障所造成的全部损失。</w:t>
      </w:r>
    </w:p>
    <w:p w14:paraId="2A320ACD">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3、响应人必须保证所供货物全新、正宗、原包装，货物要与报价清单完全一致，且至用户手中前不拆封。</w:t>
      </w:r>
    </w:p>
    <w:p w14:paraId="65904F58">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4、提供售后服务的措施及承诺：每年至少派遣四次技术人员，对设备进行保养修护。</w:t>
      </w:r>
    </w:p>
    <w:p w14:paraId="13E62262">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5、产品安装完毕后，由采购单位组织专业人员验收。验收以国家行业标准为基础，结合本次磋商文件和正式合同为依据进行。如不符要求，一律返工，直到符合要求为止，否则拒付货款，并扣总价款5%的违约金。</w:t>
      </w:r>
    </w:p>
    <w:p w14:paraId="43D15C6D">
      <w:pPr>
        <w:pStyle w:val="11"/>
        <w:keepNext w:val="0"/>
        <w:keepLines w:val="0"/>
        <w:pageBreakBefore w:val="0"/>
        <w:widowControl w:val="0"/>
        <w:kinsoku/>
        <w:wordWrap/>
        <w:overflowPunct/>
        <w:topLinePunct w:val="0"/>
        <w:autoSpaceDE/>
        <w:autoSpaceDN/>
        <w:bidi w:val="0"/>
        <w:adjustRightInd/>
        <w:snapToGrid/>
        <w:spacing w:after="0" w:line="400" w:lineRule="exact"/>
        <w:ind w:firstLine="211" w:firstLineChars="1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六</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项目实施技术方案要求</w:t>
      </w:r>
    </w:p>
    <w:p w14:paraId="321C3FAE">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1、安装施工必须符合国家相关的安装技术质量规范要求；</w:t>
      </w:r>
    </w:p>
    <w:p w14:paraId="4B3AD1B7">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2、安装过程中及时清理所产生的垃圾；</w:t>
      </w:r>
    </w:p>
    <w:p w14:paraId="3507F5EA">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3、安全文明施工，保障作业人员安全，做好文明施工方案。</w:t>
      </w:r>
    </w:p>
    <w:p w14:paraId="67F2ACA4">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hAnsi="宋体" w:cs="宋体"/>
          <w:color w:val="auto"/>
          <w:sz w:val="21"/>
          <w:szCs w:val="21"/>
          <w:highlight w:val="none"/>
          <w:u w:val="none"/>
          <w:lang w:val="en-US" w:eastAsia="zh-CN"/>
        </w:rPr>
      </w:pPr>
      <w:r>
        <w:rPr>
          <w:rFonts w:hint="eastAsia" w:hAnsi="宋体" w:cs="宋体"/>
          <w:color w:val="auto"/>
          <w:sz w:val="21"/>
          <w:szCs w:val="21"/>
          <w:highlight w:val="none"/>
          <w:u w:val="none"/>
          <w:lang w:val="en-US" w:eastAsia="zh-CN"/>
        </w:rPr>
        <w:t>4、质量保证：货物验收过程中，由于质量不合格或运输等原因所造成的一切费用均由中标人负责。产品（材料）及其辅助装置铭牌、使用指示、警告指示应以中文来表示；应准确无误地表明货物之型号、规格、制造厂及生产或出厂日期。中标人对产品使用的安全性能与可靠性负全部责任。</w:t>
      </w:r>
    </w:p>
    <w:p w14:paraId="181C1672">
      <w:pPr>
        <w:pStyle w:val="11"/>
        <w:keepNext w:val="0"/>
        <w:keepLines w:val="0"/>
        <w:pageBreakBefore w:val="0"/>
        <w:widowControl w:val="0"/>
        <w:kinsoku/>
        <w:wordWrap/>
        <w:overflowPunct/>
        <w:topLinePunct w:val="0"/>
        <w:autoSpaceDE/>
        <w:autoSpaceDN/>
        <w:bidi w:val="0"/>
        <w:adjustRightInd/>
        <w:snapToGrid/>
        <w:spacing w:after="0" w:line="400" w:lineRule="exact"/>
        <w:ind w:firstLine="211" w:firstLineChars="1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七</w:t>
      </w:r>
      <w:r>
        <w:rPr>
          <w:rFonts w:hint="eastAsia" w:ascii="宋体" w:hAnsi="宋体" w:eastAsia="宋体" w:cs="宋体"/>
          <w:b/>
          <w:bCs w:val="0"/>
          <w:color w:val="auto"/>
          <w:kern w:val="2"/>
          <w:sz w:val="21"/>
          <w:szCs w:val="21"/>
          <w:highlight w:val="none"/>
          <w:lang w:val="en-US" w:eastAsia="zh-CN" w:bidi="ar-SA"/>
        </w:rPr>
        <w:t>、安装调试</w:t>
      </w:r>
    </w:p>
    <w:p w14:paraId="0BD067EA">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安装地点：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w:t>
      </w:r>
    </w:p>
    <w:p w14:paraId="1B55B58D">
      <w:pPr>
        <w:pStyle w:val="11"/>
        <w:keepNext w:val="0"/>
        <w:keepLines w:val="0"/>
        <w:pageBreakBefore w:val="0"/>
        <w:widowControl w:val="0"/>
        <w:kinsoku/>
        <w:wordWrap/>
        <w:overflowPunct/>
        <w:topLinePunct w:val="0"/>
        <w:autoSpaceDE/>
        <w:autoSpaceDN/>
        <w:bidi w:val="0"/>
        <w:adjustRightInd/>
        <w:snapToGrid/>
        <w:spacing w:after="0" w:line="400" w:lineRule="exact"/>
        <w:ind w:firstLine="210" w:firstLineChars="1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2、</w:t>
      </w:r>
      <w:r>
        <w:rPr>
          <w:rFonts w:hint="eastAsia" w:ascii="宋体" w:hAnsi="宋体" w:eastAsia="宋体" w:cs="宋体"/>
          <w:b/>
          <w:bCs w:val="0"/>
          <w:color w:val="auto"/>
          <w:sz w:val="21"/>
          <w:szCs w:val="21"/>
          <w:highlight w:val="none"/>
        </w:rPr>
        <w:t>完成时间:</w:t>
      </w:r>
      <w:r>
        <w:rPr>
          <w:rFonts w:hint="eastAsia" w:hAnsi="宋体" w:cs="宋体"/>
          <w:color w:val="auto"/>
          <w:highlight w:val="none"/>
          <w:lang w:val="en-US" w:eastAsia="zh-CN"/>
        </w:rPr>
        <w:t>自</w:t>
      </w:r>
      <w:r>
        <w:rPr>
          <w:rFonts w:hint="eastAsia" w:hAnsi="宋体" w:cs="宋体"/>
          <w:color w:val="auto"/>
          <w:highlight w:val="none"/>
          <w:u w:val="none"/>
          <w:lang w:val="en-US" w:eastAsia="zh-CN"/>
        </w:rPr>
        <w:t>合同签订当日起，</w:t>
      </w:r>
      <w:r>
        <w:rPr>
          <w:rFonts w:hint="eastAsia" w:hAnsi="宋体" w:cs="宋体"/>
          <w:b/>
          <w:bCs/>
          <w:color w:val="auto"/>
          <w:highlight w:val="none"/>
          <w:u w:val="single"/>
          <w:lang w:val="en-US" w:eastAsia="zh-CN"/>
        </w:rPr>
        <w:t>30</w:t>
      </w:r>
      <w:r>
        <w:rPr>
          <w:rFonts w:hint="eastAsia" w:hAnsi="宋体" w:cs="宋体"/>
          <w:color w:val="auto"/>
          <w:highlight w:val="none"/>
          <w:u w:val="none"/>
          <w:lang w:val="en-US" w:eastAsia="zh-CN"/>
        </w:rPr>
        <w:t>个日历天内完成</w:t>
      </w:r>
      <w:r>
        <w:rPr>
          <w:rFonts w:hint="eastAsia" w:hAnsi="宋体" w:cs="宋体"/>
          <w:b w:val="0"/>
          <w:bCs/>
          <w:color w:val="auto"/>
          <w:kern w:val="21"/>
          <w:sz w:val="21"/>
          <w:szCs w:val="21"/>
          <w:highlight w:val="none"/>
          <w:u w:val="none"/>
          <w:lang w:val="en-US" w:eastAsia="zh-CN"/>
        </w:rPr>
        <w:t>供货、</w:t>
      </w:r>
      <w:r>
        <w:rPr>
          <w:rFonts w:hint="eastAsia" w:ascii="宋体" w:hAnsi="宋体" w:cs="宋体"/>
          <w:b w:val="0"/>
          <w:bCs/>
          <w:color w:val="auto"/>
          <w:kern w:val="21"/>
          <w:sz w:val="21"/>
          <w:szCs w:val="21"/>
          <w:highlight w:val="none"/>
          <w:lang w:eastAsia="zh-CN"/>
        </w:rPr>
        <w:t>安装、</w:t>
      </w:r>
      <w:r>
        <w:rPr>
          <w:rFonts w:hint="eastAsia" w:ascii="宋体" w:hAnsi="宋体" w:eastAsia="宋体" w:cs="宋体"/>
          <w:color w:val="auto"/>
          <w:sz w:val="21"/>
          <w:szCs w:val="21"/>
          <w:highlight w:val="none"/>
          <w:lang w:eastAsia="zh-CN"/>
        </w:rPr>
        <w:t>调试、验收合格并交付使用</w:t>
      </w:r>
      <w:r>
        <w:rPr>
          <w:rFonts w:hint="eastAsia" w:ascii="宋体" w:hAnsi="宋体" w:cs="宋体"/>
          <w:b w:val="0"/>
          <w:bCs/>
          <w:color w:val="auto"/>
          <w:kern w:val="21"/>
          <w:sz w:val="21"/>
          <w:szCs w:val="21"/>
          <w:highlight w:val="none"/>
          <w:lang w:eastAsia="zh-CN"/>
        </w:rPr>
        <w:t>。</w:t>
      </w:r>
    </w:p>
    <w:p w14:paraId="0426FAB4">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安装标准：</w:t>
      </w:r>
      <w:r>
        <w:rPr>
          <w:rFonts w:hint="eastAsia" w:ascii="宋体" w:hAnsi="宋体" w:eastAsia="宋体" w:cs="宋体"/>
          <w:b w:val="0"/>
          <w:bCs/>
          <w:color w:val="auto"/>
          <w:sz w:val="21"/>
          <w:szCs w:val="21"/>
          <w:highlight w:val="none"/>
        </w:rPr>
        <w:t>安装任何部位及设备都要达到国标，符合技术要求，</w:t>
      </w:r>
      <w:r>
        <w:rPr>
          <w:rFonts w:hint="eastAsia" w:ascii="新宋体" w:hAnsi="新宋体" w:eastAsia="新宋体" w:cs="新宋体"/>
          <w:color w:val="auto"/>
          <w:sz w:val="21"/>
          <w:szCs w:val="21"/>
          <w:highlight w:val="none"/>
          <w:lang w:val="en-US" w:eastAsia="zh-CN"/>
        </w:rPr>
        <w:t>系统软件能正常运</w:t>
      </w:r>
      <w:r>
        <w:rPr>
          <w:rFonts w:hint="eastAsia" w:ascii="宋体"/>
          <w:color w:val="auto"/>
          <w:sz w:val="21"/>
          <w:szCs w:val="21"/>
          <w:highlight w:val="none"/>
          <w:lang w:val="en-US" w:eastAsia="zh-CN"/>
        </w:rPr>
        <w:t>行</w:t>
      </w:r>
      <w:r>
        <w:rPr>
          <w:rFonts w:hint="eastAsia" w:ascii="新宋体" w:hAnsi="新宋体" w:eastAsia="新宋体" w:cs="新宋体"/>
          <w:color w:val="auto"/>
          <w:sz w:val="21"/>
          <w:szCs w:val="21"/>
          <w:highlight w:val="none"/>
          <w:lang w:val="en-US" w:eastAsia="zh-CN"/>
        </w:rPr>
        <w:t>，</w:t>
      </w:r>
      <w:r>
        <w:rPr>
          <w:rFonts w:hint="eastAsia" w:ascii="宋体" w:hAnsi="宋体" w:eastAsia="宋体" w:cs="宋体"/>
          <w:b w:val="0"/>
          <w:bCs/>
          <w:color w:val="auto"/>
          <w:sz w:val="21"/>
          <w:szCs w:val="21"/>
          <w:highlight w:val="none"/>
        </w:rPr>
        <w:t>在安装调试完成后，中标方需</w:t>
      </w:r>
      <w:r>
        <w:rPr>
          <w:rFonts w:hint="eastAsia" w:ascii="宋体" w:hAnsi="宋体" w:cs="宋体"/>
          <w:b w:val="0"/>
          <w:bCs/>
          <w:color w:val="auto"/>
          <w:sz w:val="21"/>
          <w:szCs w:val="21"/>
          <w:highlight w:val="none"/>
          <w:lang w:eastAsia="zh-CN"/>
        </w:rPr>
        <w:t>在</w:t>
      </w:r>
      <w:r>
        <w:rPr>
          <w:rFonts w:hint="eastAsia" w:ascii="宋体" w:hAnsi="宋体" w:cs="宋体"/>
          <w:b w:val="0"/>
          <w:bCs/>
          <w:color w:val="auto"/>
          <w:sz w:val="21"/>
          <w:szCs w:val="21"/>
          <w:highlight w:val="none"/>
          <w:lang w:val="en-US" w:eastAsia="zh-CN"/>
        </w:rPr>
        <w:t>10天内</w:t>
      </w:r>
      <w:r>
        <w:rPr>
          <w:rFonts w:hint="eastAsia" w:ascii="宋体" w:hAnsi="宋体" w:eastAsia="宋体" w:cs="宋体"/>
          <w:b w:val="0"/>
          <w:bCs/>
          <w:color w:val="auto"/>
          <w:sz w:val="21"/>
          <w:szCs w:val="21"/>
          <w:highlight w:val="none"/>
        </w:rPr>
        <w:t>派遣专业技术人员进行现场</w:t>
      </w:r>
      <w:r>
        <w:rPr>
          <w:rFonts w:hint="eastAsia" w:ascii="宋体" w:hAnsi="宋体" w:cs="宋体"/>
          <w:b w:val="0"/>
          <w:bCs/>
          <w:color w:val="auto"/>
          <w:sz w:val="21"/>
          <w:szCs w:val="21"/>
          <w:highlight w:val="none"/>
          <w:lang w:val="en-US" w:eastAsia="zh-CN"/>
        </w:rPr>
        <w:t>指导</w:t>
      </w:r>
      <w:r>
        <w:rPr>
          <w:rFonts w:hint="eastAsia" w:ascii="宋体" w:hAnsi="宋体" w:eastAsia="宋体" w:cs="宋体"/>
          <w:b w:val="0"/>
          <w:bCs/>
          <w:color w:val="auto"/>
          <w:sz w:val="21"/>
          <w:szCs w:val="21"/>
          <w:highlight w:val="none"/>
        </w:rPr>
        <w:t>，待</w:t>
      </w:r>
      <w:r>
        <w:rPr>
          <w:rFonts w:hint="eastAsia" w:ascii="宋体" w:hAnsi="宋体" w:eastAsia="宋体" w:cs="宋体"/>
          <w:b w:val="0"/>
          <w:bCs/>
          <w:color w:val="auto"/>
          <w:sz w:val="21"/>
          <w:szCs w:val="21"/>
          <w:highlight w:val="none"/>
          <w:lang w:val="en-US" w:eastAsia="zh-CN"/>
        </w:rPr>
        <w:t>甲</w:t>
      </w:r>
      <w:r>
        <w:rPr>
          <w:rFonts w:hint="eastAsia" w:ascii="宋体" w:hAnsi="宋体" w:eastAsia="宋体" w:cs="宋体"/>
          <w:b w:val="0"/>
          <w:bCs/>
          <w:color w:val="auto"/>
          <w:sz w:val="21"/>
          <w:szCs w:val="21"/>
          <w:highlight w:val="none"/>
        </w:rPr>
        <w:t>方熟练掌握相关技能</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并能独立操作一整个系统</w:t>
      </w:r>
      <w:r>
        <w:rPr>
          <w:rFonts w:hint="eastAsia" w:ascii="宋体" w:hAnsi="宋体" w:eastAsia="宋体" w:cs="宋体"/>
          <w:b w:val="0"/>
          <w:bCs/>
          <w:color w:val="auto"/>
          <w:sz w:val="21"/>
          <w:szCs w:val="21"/>
          <w:highlight w:val="none"/>
        </w:rPr>
        <w:t>后才认定安装调试合格</w:t>
      </w:r>
      <w:r>
        <w:rPr>
          <w:rFonts w:hint="eastAsia" w:ascii="宋体" w:hAnsi="宋体" w:eastAsia="宋体" w:cs="宋体"/>
          <w:b w:val="0"/>
          <w:bCs/>
          <w:color w:val="auto"/>
          <w:sz w:val="21"/>
          <w:szCs w:val="21"/>
          <w:highlight w:val="none"/>
          <w:lang w:eastAsia="zh-CN"/>
        </w:rPr>
        <w:t>。</w:t>
      </w:r>
    </w:p>
    <w:p w14:paraId="3F4BD3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免费提供</w:t>
      </w:r>
      <w:r>
        <w:rPr>
          <w:rFonts w:hint="eastAsia" w:ascii="宋体" w:hAnsi="宋体" w:cs="宋体"/>
          <w:color w:val="auto"/>
          <w:sz w:val="21"/>
          <w:szCs w:val="21"/>
          <w:highlight w:val="none"/>
          <w:lang w:eastAsia="zh-CN"/>
        </w:rPr>
        <w:t>成交产品</w:t>
      </w:r>
      <w:r>
        <w:rPr>
          <w:rFonts w:hint="eastAsia" w:ascii="宋体" w:hAnsi="宋体" w:eastAsia="宋体" w:cs="宋体"/>
          <w:color w:val="auto"/>
          <w:sz w:val="21"/>
          <w:szCs w:val="21"/>
          <w:highlight w:val="none"/>
        </w:rPr>
        <w:t>的安装服务。</w:t>
      </w:r>
    </w:p>
    <w:p w14:paraId="3FBA2F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5、安装</w:t>
      </w:r>
      <w:r>
        <w:rPr>
          <w:rFonts w:hint="eastAsia" w:ascii="宋体" w:hAnsi="宋体" w:eastAsia="宋体" w:cs="宋体"/>
          <w:color w:val="auto"/>
          <w:sz w:val="21"/>
          <w:szCs w:val="21"/>
          <w:highlight w:val="none"/>
        </w:rPr>
        <w:t>所需专用工具</w:t>
      </w:r>
      <w:r>
        <w:rPr>
          <w:rFonts w:hint="eastAsia" w:ascii="宋体" w:hAnsi="宋体" w:cs="宋体"/>
          <w:color w:val="auto"/>
          <w:sz w:val="21"/>
          <w:szCs w:val="21"/>
          <w:highlight w:val="none"/>
          <w:lang w:eastAsia="zh-CN"/>
        </w:rPr>
        <w:t>等产品</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方自备、自运到现场，完工后自费搬走。</w:t>
      </w:r>
    </w:p>
    <w:p w14:paraId="3A61B021">
      <w:pPr>
        <w:pStyle w:val="11"/>
        <w:keepNext w:val="0"/>
        <w:keepLines w:val="0"/>
        <w:pageBreakBefore w:val="0"/>
        <w:widowControl w:val="0"/>
        <w:kinsoku/>
        <w:wordWrap/>
        <w:overflowPunct/>
        <w:topLinePunct w:val="0"/>
        <w:autoSpaceDE/>
        <w:autoSpaceDN/>
        <w:bidi w:val="0"/>
        <w:adjustRightInd/>
        <w:snapToGrid/>
        <w:spacing w:after="0" w:line="400" w:lineRule="exact"/>
        <w:ind w:firstLine="211" w:firstLineChars="1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、验收</w:t>
      </w:r>
    </w:p>
    <w:p w14:paraId="1D5E00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eastAsia="zh-CN"/>
        </w:rPr>
        <w:t>验收</w:t>
      </w:r>
      <w:r>
        <w:rPr>
          <w:rFonts w:hint="eastAsia" w:ascii="宋体" w:hAnsi="宋体"/>
          <w:color w:val="auto"/>
          <w:sz w:val="21"/>
          <w:szCs w:val="21"/>
          <w:highlight w:val="none"/>
        </w:rPr>
        <w:t>地点：采购单位指定地点。</w:t>
      </w:r>
    </w:p>
    <w:p w14:paraId="3494F8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olor w:val="auto"/>
          <w:sz w:val="21"/>
          <w:szCs w:val="21"/>
          <w:highlight w:val="none"/>
        </w:rPr>
        <w:t>、</w:t>
      </w:r>
      <w:r>
        <w:rPr>
          <w:rFonts w:hint="eastAsia" w:ascii="宋体" w:hAnsi="宋体" w:cs="宋体"/>
          <w:color w:val="auto"/>
          <w:sz w:val="21"/>
          <w:szCs w:val="21"/>
          <w:highlight w:val="none"/>
          <w:lang w:eastAsia="zh-CN"/>
        </w:rPr>
        <w:t>成交方</w:t>
      </w:r>
      <w:r>
        <w:rPr>
          <w:rFonts w:hint="eastAsia" w:ascii="宋体" w:hAnsi="宋体" w:cs="宋体"/>
          <w:color w:val="auto"/>
          <w:sz w:val="21"/>
          <w:szCs w:val="21"/>
          <w:highlight w:val="none"/>
        </w:rPr>
        <w:t>应对提供的货物</w:t>
      </w:r>
      <w:r>
        <w:rPr>
          <w:rFonts w:hint="eastAsia" w:ascii="宋体" w:hAnsi="宋体" w:cs="宋体"/>
          <w:color w:val="auto"/>
          <w:sz w:val="21"/>
          <w:szCs w:val="21"/>
          <w:highlight w:val="none"/>
          <w:lang w:val="en-US" w:eastAsia="zh-CN"/>
        </w:rPr>
        <w:t>及</w:t>
      </w:r>
      <w:r>
        <w:rPr>
          <w:rFonts w:hint="eastAsia" w:ascii="新宋体" w:hAnsi="新宋体" w:eastAsia="新宋体" w:cs="新宋体"/>
          <w:color w:val="auto"/>
          <w:sz w:val="21"/>
          <w:szCs w:val="21"/>
          <w:highlight w:val="none"/>
          <w:lang w:val="en-US" w:eastAsia="zh-CN"/>
        </w:rPr>
        <w:t>系统软件的运行</w:t>
      </w:r>
      <w:r>
        <w:rPr>
          <w:rFonts w:hint="eastAsia" w:ascii="宋体" w:hAnsi="宋体" w:cs="宋体"/>
          <w:color w:val="auto"/>
          <w:sz w:val="21"/>
          <w:szCs w:val="21"/>
          <w:highlight w:val="none"/>
        </w:rPr>
        <w:t>作出全面自查和整理，并列出清单，作为采购人验收和使用的技术条件依据，清单应随提供的验收资料交给采购人。</w:t>
      </w:r>
    </w:p>
    <w:p w14:paraId="42459DB1">
      <w:pPr>
        <w:pStyle w:val="25"/>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jc w:val="both"/>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3、成交方应在合同签订时间内完成供货、安装、验收合格、交付使用。</w:t>
      </w:r>
      <w:r>
        <w:rPr>
          <w:rFonts w:hint="eastAsia" w:ascii="宋体" w:hAnsi="宋体" w:cs="宋体"/>
          <w:color w:val="auto"/>
          <w:sz w:val="21"/>
          <w:szCs w:val="21"/>
          <w:highlight w:val="none"/>
        </w:rPr>
        <w:t>货物验收时，采购人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成交方必须同时在场，双方共同确认货物与本合同规定的生产厂家产地、品牌、规格型号、数量、质量、技术参数和性能等是否一致。成交方所交付的货物不符合合同规定的，采购人有权拒收。成交方应及时按本合同规定和采购人要求免费对拒收货物采取更换或其他必要的补救措施，直至验收合格，方视为成交方按本合同规定完成交货。验收合格的，由双方共同签署《验收报告》。</w:t>
      </w:r>
    </w:p>
    <w:p w14:paraId="2EAF2FBC">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74EEED2E">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60A44957">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20AEF94E">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2F0BFBF7">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35438234">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0A0648A7">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5BA2C433">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5119A097">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319DE512">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674902EF">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777AFF94">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5BC3DB79">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17C8C317">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4896978E">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6BCFC3DD">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4EDBD352">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1688DF3B">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10EE4231">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6608540D">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7011DB02">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4E1F9C1A">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178AD920">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62040AA0">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7478E23B">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2B63E76F">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5F667DB7">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宋体" w:hAnsi="宋体" w:cs="宋体"/>
          <w:color w:val="auto"/>
          <w:sz w:val="21"/>
          <w:szCs w:val="21"/>
          <w:highlight w:val="none"/>
        </w:rPr>
      </w:pPr>
    </w:p>
    <w:p w14:paraId="0B55A6A8">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黑体" w:hAnsi="黑体" w:eastAsia="黑体" w:cs="黑体"/>
          <w:color w:val="auto"/>
          <w:kern w:val="2"/>
          <w:sz w:val="36"/>
          <w:szCs w:val="36"/>
          <w:highlight w:val="none"/>
        </w:rPr>
      </w:pPr>
    </w:p>
    <w:p w14:paraId="2BD9B501">
      <w:pPr>
        <w:pStyle w:val="25"/>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outlineLvl w:val="0"/>
        <w:rPr>
          <w:rFonts w:hint="eastAsia" w:ascii="黑体" w:hAnsi="黑体" w:eastAsia="黑体" w:cs="黑体"/>
          <w:color w:val="auto"/>
          <w:kern w:val="2"/>
          <w:sz w:val="36"/>
          <w:szCs w:val="36"/>
          <w:highlight w:val="none"/>
        </w:rPr>
      </w:pPr>
    </w:p>
    <w:p w14:paraId="571E95E2">
      <w:pPr>
        <w:pStyle w:val="25"/>
        <w:keepNext w:val="0"/>
        <w:keepLines w:val="0"/>
        <w:pageBreakBefore w:val="0"/>
        <w:kinsoku/>
        <w:wordWrap/>
        <w:overflowPunct/>
        <w:topLinePunct w:val="0"/>
        <w:autoSpaceDE/>
        <w:autoSpaceDN/>
        <w:bidi w:val="0"/>
        <w:adjustRightInd/>
        <w:snapToGrid/>
        <w:spacing w:beforeAutospacing="0" w:afterAutospacing="0" w:line="400" w:lineRule="exact"/>
        <w:ind w:firstLine="2520" w:firstLineChars="700"/>
        <w:jc w:val="both"/>
        <w:textAlignment w:val="auto"/>
        <w:outlineLvl w:val="0"/>
        <w:rPr>
          <w:rFonts w:ascii="宋体" w:cs="Times New Roman"/>
          <w:color w:val="auto"/>
          <w:highlight w:val="none"/>
          <w:lang w:val="zh-CN"/>
        </w:rPr>
      </w:pPr>
      <w:r>
        <w:rPr>
          <w:rFonts w:hint="eastAsia" w:ascii="黑体" w:hAnsi="黑体" w:eastAsia="黑体" w:cs="黑体"/>
          <w:color w:val="auto"/>
          <w:kern w:val="2"/>
          <w:sz w:val="36"/>
          <w:szCs w:val="36"/>
          <w:highlight w:val="none"/>
        </w:rPr>
        <w:t>第五章  响应文件格式</w:t>
      </w:r>
      <w:bookmarkEnd w:id="65"/>
      <w:bookmarkEnd w:id="66"/>
      <w:bookmarkEnd w:id="67"/>
      <w:bookmarkEnd w:id="68"/>
    </w:p>
    <w:p w14:paraId="6A8176E8">
      <w:pPr>
        <w:keepNext w:val="0"/>
        <w:keepLines w:val="0"/>
        <w:pageBreakBefore w:val="0"/>
        <w:widowControl w:val="0"/>
        <w:kinsoku/>
        <w:wordWrap/>
        <w:overflowPunct/>
        <w:topLinePunct w:val="0"/>
        <w:autoSpaceDE w:val="0"/>
        <w:autoSpaceDN w:val="0"/>
        <w:bidi w:val="0"/>
        <w:adjustRightInd w:val="0"/>
        <w:snapToGrid/>
        <w:spacing w:line="100" w:lineRule="exact"/>
        <w:jc w:val="center"/>
        <w:textAlignment w:val="auto"/>
        <w:rPr>
          <w:rFonts w:hint="eastAsia" w:ascii="宋体" w:hAnsi="宋体" w:cs="宋体"/>
          <w:color w:val="auto"/>
          <w:highlight w:val="none"/>
          <w:lang w:val="zh-CN"/>
        </w:rPr>
      </w:pPr>
    </w:p>
    <w:p w14:paraId="714EE056">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未提供格式的由响应方自拟</w:t>
      </w:r>
    </w:p>
    <w:p w14:paraId="2752A0A0">
      <w:pPr>
        <w:autoSpaceDE w:val="0"/>
        <w:autoSpaceDN w:val="0"/>
        <w:adjustRightInd w:val="0"/>
        <w:spacing w:line="400" w:lineRule="exact"/>
        <w:rPr>
          <w:rFonts w:ascii="宋体" w:cs="Times New Roman"/>
          <w:color w:val="auto"/>
          <w:highlight w:val="none"/>
          <w:lang w:val="zh-CN"/>
        </w:rPr>
      </w:pPr>
    </w:p>
    <w:p w14:paraId="4059247D">
      <w:pPr>
        <w:autoSpaceDE w:val="0"/>
        <w:autoSpaceDN w:val="0"/>
        <w:adjustRightInd w:val="0"/>
        <w:spacing w:line="400" w:lineRule="exact"/>
        <w:rPr>
          <w:rFonts w:ascii="宋体" w:cs="Times New Roman"/>
          <w:color w:val="auto"/>
          <w:highlight w:val="none"/>
          <w:lang w:val="zh-CN"/>
        </w:rPr>
      </w:pPr>
    </w:p>
    <w:p w14:paraId="67E1878D">
      <w:pPr>
        <w:autoSpaceDE w:val="0"/>
        <w:autoSpaceDN w:val="0"/>
        <w:adjustRightInd w:val="0"/>
        <w:spacing w:line="400" w:lineRule="exact"/>
        <w:rPr>
          <w:rFonts w:ascii="宋体" w:cs="Times New Roman"/>
          <w:color w:val="auto"/>
          <w:highlight w:val="none"/>
          <w:lang w:val="zh-CN"/>
        </w:rPr>
      </w:pPr>
    </w:p>
    <w:p w14:paraId="4159447B">
      <w:pPr>
        <w:autoSpaceDE w:val="0"/>
        <w:autoSpaceDN w:val="0"/>
        <w:adjustRightInd w:val="0"/>
        <w:spacing w:line="400" w:lineRule="exact"/>
        <w:rPr>
          <w:rFonts w:ascii="宋体" w:cs="Times New Roman"/>
          <w:color w:val="auto"/>
          <w:highlight w:val="none"/>
          <w:lang w:val="zh-CN"/>
        </w:rPr>
      </w:pPr>
    </w:p>
    <w:p w14:paraId="0E847ECF">
      <w:pPr>
        <w:autoSpaceDE w:val="0"/>
        <w:autoSpaceDN w:val="0"/>
        <w:adjustRightInd w:val="0"/>
        <w:spacing w:line="400" w:lineRule="exact"/>
        <w:rPr>
          <w:rFonts w:ascii="宋体" w:cs="Times New Roman"/>
          <w:color w:val="auto"/>
          <w:highlight w:val="none"/>
          <w:lang w:val="zh-CN"/>
        </w:rPr>
      </w:pPr>
    </w:p>
    <w:p w14:paraId="648219F5">
      <w:pPr>
        <w:autoSpaceDE w:val="0"/>
        <w:autoSpaceDN w:val="0"/>
        <w:adjustRightInd w:val="0"/>
        <w:spacing w:line="400" w:lineRule="exact"/>
        <w:rPr>
          <w:rFonts w:ascii="宋体" w:cs="Times New Roman"/>
          <w:color w:val="auto"/>
          <w:highlight w:val="none"/>
          <w:lang w:val="zh-CN"/>
        </w:rPr>
      </w:pPr>
    </w:p>
    <w:p w14:paraId="48700AAA">
      <w:pPr>
        <w:autoSpaceDE w:val="0"/>
        <w:autoSpaceDN w:val="0"/>
        <w:adjustRightInd w:val="0"/>
        <w:spacing w:line="400" w:lineRule="exact"/>
        <w:rPr>
          <w:rFonts w:ascii="宋体" w:cs="Times New Roman"/>
          <w:color w:val="auto"/>
          <w:highlight w:val="none"/>
          <w:lang w:val="zh-CN"/>
        </w:rPr>
      </w:pPr>
    </w:p>
    <w:p w14:paraId="3C0B8D26">
      <w:pPr>
        <w:autoSpaceDE w:val="0"/>
        <w:autoSpaceDN w:val="0"/>
        <w:adjustRightInd w:val="0"/>
        <w:spacing w:line="400" w:lineRule="exact"/>
        <w:rPr>
          <w:rFonts w:ascii="宋体" w:cs="Times New Roman"/>
          <w:color w:val="auto"/>
          <w:highlight w:val="none"/>
          <w:lang w:val="zh-CN"/>
        </w:rPr>
      </w:pPr>
    </w:p>
    <w:p w14:paraId="53A40489">
      <w:pPr>
        <w:autoSpaceDE w:val="0"/>
        <w:autoSpaceDN w:val="0"/>
        <w:adjustRightInd w:val="0"/>
        <w:spacing w:line="400" w:lineRule="exact"/>
        <w:rPr>
          <w:rFonts w:ascii="宋体" w:cs="Times New Roman"/>
          <w:color w:val="auto"/>
          <w:highlight w:val="none"/>
          <w:lang w:val="zh-CN"/>
        </w:rPr>
      </w:pPr>
    </w:p>
    <w:p w14:paraId="57649931">
      <w:pPr>
        <w:autoSpaceDE w:val="0"/>
        <w:autoSpaceDN w:val="0"/>
        <w:adjustRightInd w:val="0"/>
        <w:spacing w:line="400" w:lineRule="exact"/>
        <w:rPr>
          <w:rFonts w:ascii="宋体" w:cs="Times New Roman"/>
          <w:color w:val="auto"/>
          <w:highlight w:val="none"/>
          <w:lang w:val="zh-CN"/>
        </w:rPr>
      </w:pPr>
    </w:p>
    <w:p w14:paraId="47BAA010">
      <w:pPr>
        <w:autoSpaceDE w:val="0"/>
        <w:autoSpaceDN w:val="0"/>
        <w:adjustRightInd w:val="0"/>
        <w:spacing w:line="400" w:lineRule="exact"/>
        <w:rPr>
          <w:rFonts w:ascii="宋体" w:cs="Times New Roman"/>
          <w:color w:val="auto"/>
          <w:highlight w:val="none"/>
          <w:lang w:val="zh-CN"/>
        </w:rPr>
      </w:pPr>
    </w:p>
    <w:p w14:paraId="6B087C73">
      <w:pPr>
        <w:autoSpaceDE w:val="0"/>
        <w:autoSpaceDN w:val="0"/>
        <w:adjustRightInd w:val="0"/>
        <w:spacing w:line="400" w:lineRule="exact"/>
        <w:rPr>
          <w:rFonts w:ascii="宋体" w:cs="Times New Roman"/>
          <w:color w:val="auto"/>
          <w:highlight w:val="none"/>
          <w:lang w:val="zh-CN"/>
        </w:rPr>
      </w:pPr>
    </w:p>
    <w:p w14:paraId="5C0A6DB2">
      <w:pPr>
        <w:autoSpaceDE w:val="0"/>
        <w:autoSpaceDN w:val="0"/>
        <w:adjustRightInd w:val="0"/>
        <w:spacing w:line="400" w:lineRule="exact"/>
        <w:rPr>
          <w:rFonts w:ascii="宋体" w:cs="Times New Roman"/>
          <w:color w:val="auto"/>
          <w:highlight w:val="none"/>
          <w:lang w:val="zh-CN"/>
        </w:rPr>
      </w:pPr>
    </w:p>
    <w:p w14:paraId="5A321605">
      <w:pPr>
        <w:autoSpaceDE w:val="0"/>
        <w:autoSpaceDN w:val="0"/>
        <w:adjustRightInd w:val="0"/>
        <w:spacing w:line="400" w:lineRule="exact"/>
        <w:rPr>
          <w:rFonts w:ascii="宋体" w:cs="Times New Roman"/>
          <w:color w:val="auto"/>
          <w:highlight w:val="none"/>
          <w:lang w:val="zh-CN"/>
        </w:rPr>
      </w:pPr>
    </w:p>
    <w:p w14:paraId="051F0789">
      <w:pPr>
        <w:autoSpaceDE w:val="0"/>
        <w:autoSpaceDN w:val="0"/>
        <w:adjustRightInd w:val="0"/>
        <w:spacing w:line="400" w:lineRule="exact"/>
        <w:rPr>
          <w:rFonts w:ascii="宋体" w:cs="Times New Roman"/>
          <w:color w:val="auto"/>
          <w:highlight w:val="none"/>
          <w:lang w:val="zh-CN"/>
        </w:rPr>
      </w:pPr>
    </w:p>
    <w:p w14:paraId="47E40116">
      <w:pPr>
        <w:autoSpaceDE w:val="0"/>
        <w:autoSpaceDN w:val="0"/>
        <w:adjustRightInd w:val="0"/>
        <w:spacing w:line="400" w:lineRule="exact"/>
        <w:rPr>
          <w:rFonts w:ascii="宋体" w:cs="Times New Roman"/>
          <w:color w:val="auto"/>
          <w:highlight w:val="none"/>
          <w:lang w:val="zh-CN"/>
        </w:rPr>
      </w:pPr>
    </w:p>
    <w:p w14:paraId="7F4F2773">
      <w:pPr>
        <w:autoSpaceDE w:val="0"/>
        <w:autoSpaceDN w:val="0"/>
        <w:adjustRightInd w:val="0"/>
        <w:spacing w:line="400" w:lineRule="exact"/>
        <w:rPr>
          <w:rFonts w:ascii="宋体" w:cs="Times New Roman"/>
          <w:color w:val="auto"/>
          <w:highlight w:val="none"/>
          <w:lang w:val="zh-CN"/>
        </w:rPr>
      </w:pPr>
    </w:p>
    <w:p w14:paraId="19776C8D">
      <w:pPr>
        <w:autoSpaceDE w:val="0"/>
        <w:autoSpaceDN w:val="0"/>
        <w:adjustRightInd w:val="0"/>
        <w:spacing w:line="400" w:lineRule="exact"/>
        <w:rPr>
          <w:rFonts w:ascii="宋体" w:cs="Times New Roman"/>
          <w:color w:val="auto"/>
          <w:highlight w:val="none"/>
          <w:lang w:val="zh-CN"/>
        </w:rPr>
      </w:pPr>
    </w:p>
    <w:p w14:paraId="77777694">
      <w:pPr>
        <w:autoSpaceDE w:val="0"/>
        <w:autoSpaceDN w:val="0"/>
        <w:adjustRightInd w:val="0"/>
        <w:spacing w:line="400" w:lineRule="exact"/>
        <w:rPr>
          <w:rFonts w:ascii="宋体" w:cs="Times New Roman"/>
          <w:color w:val="auto"/>
          <w:highlight w:val="none"/>
          <w:lang w:val="zh-CN"/>
        </w:rPr>
      </w:pPr>
    </w:p>
    <w:p w14:paraId="2AE1B3DC">
      <w:pPr>
        <w:autoSpaceDE w:val="0"/>
        <w:autoSpaceDN w:val="0"/>
        <w:adjustRightInd w:val="0"/>
        <w:spacing w:line="400" w:lineRule="exact"/>
        <w:rPr>
          <w:rFonts w:ascii="宋体" w:cs="Times New Roman"/>
          <w:color w:val="auto"/>
          <w:highlight w:val="none"/>
          <w:lang w:val="zh-CN"/>
        </w:rPr>
      </w:pPr>
    </w:p>
    <w:p w14:paraId="655A46A9">
      <w:pPr>
        <w:autoSpaceDE w:val="0"/>
        <w:autoSpaceDN w:val="0"/>
        <w:adjustRightInd w:val="0"/>
        <w:spacing w:line="400" w:lineRule="exact"/>
        <w:rPr>
          <w:rFonts w:ascii="宋体" w:cs="Times New Roman"/>
          <w:color w:val="auto"/>
          <w:highlight w:val="none"/>
          <w:lang w:val="zh-CN"/>
        </w:rPr>
      </w:pPr>
    </w:p>
    <w:p w14:paraId="2EDF2036">
      <w:pPr>
        <w:autoSpaceDE w:val="0"/>
        <w:autoSpaceDN w:val="0"/>
        <w:adjustRightInd w:val="0"/>
        <w:spacing w:line="400" w:lineRule="exact"/>
        <w:rPr>
          <w:rFonts w:ascii="宋体" w:cs="Times New Roman"/>
          <w:color w:val="auto"/>
          <w:highlight w:val="none"/>
          <w:lang w:val="zh-CN"/>
        </w:rPr>
      </w:pPr>
    </w:p>
    <w:p w14:paraId="7B084930">
      <w:pPr>
        <w:autoSpaceDE w:val="0"/>
        <w:autoSpaceDN w:val="0"/>
        <w:adjustRightInd w:val="0"/>
        <w:spacing w:line="400" w:lineRule="exact"/>
        <w:rPr>
          <w:rFonts w:ascii="宋体" w:cs="Times New Roman"/>
          <w:color w:val="auto"/>
          <w:highlight w:val="none"/>
          <w:lang w:val="zh-CN"/>
        </w:rPr>
      </w:pPr>
    </w:p>
    <w:p w14:paraId="68D1D6F4">
      <w:pPr>
        <w:autoSpaceDE w:val="0"/>
        <w:autoSpaceDN w:val="0"/>
        <w:adjustRightInd w:val="0"/>
        <w:spacing w:line="400" w:lineRule="exact"/>
        <w:rPr>
          <w:rFonts w:ascii="宋体" w:cs="Times New Roman"/>
          <w:color w:val="auto"/>
          <w:highlight w:val="none"/>
          <w:lang w:val="zh-CN"/>
        </w:rPr>
      </w:pPr>
    </w:p>
    <w:p w14:paraId="6606EBEF">
      <w:pPr>
        <w:autoSpaceDE w:val="0"/>
        <w:autoSpaceDN w:val="0"/>
        <w:adjustRightInd w:val="0"/>
        <w:spacing w:line="400" w:lineRule="exact"/>
        <w:rPr>
          <w:rFonts w:ascii="宋体" w:cs="Times New Roman"/>
          <w:color w:val="auto"/>
          <w:highlight w:val="none"/>
          <w:lang w:val="zh-CN"/>
        </w:rPr>
      </w:pPr>
    </w:p>
    <w:p w14:paraId="78BCD21E">
      <w:pPr>
        <w:autoSpaceDE w:val="0"/>
        <w:autoSpaceDN w:val="0"/>
        <w:adjustRightInd w:val="0"/>
        <w:spacing w:line="400" w:lineRule="exact"/>
        <w:rPr>
          <w:rFonts w:ascii="宋体" w:cs="Times New Roman"/>
          <w:color w:val="auto"/>
          <w:highlight w:val="none"/>
          <w:lang w:val="zh-CN"/>
        </w:rPr>
      </w:pPr>
    </w:p>
    <w:p w14:paraId="3D365535">
      <w:pPr>
        <w:autoSpaceDE w:val="0"/>
        <w:autoSpaceDN w:val="0"/>
        <w:adjustRightInd w:val="0"/>
        <w:spacing w:line="400" w:lineRule="exact"/>
        <w:rPr>
          <w:rFonts w:ascii="宋体" w:cs="Times New Roman"/>
          <w:color w:val="auto"/>
          <w:highlight w:val="none"/>
          <w:lang w:val="zh-CN"/>
        </w:rPr>
      </w:pPr>
    </w:p>
    <w:p w14:paraId="0D269526">
      <w:pPr>
        <w:autoSpaceDE w:val="0"/>
        <w:autoSpaceDN w:val="0"/>
        <w:adjustRightInd w:val="0"/>
        <w:spacing w:line="400" w:lineRule="exact"/>
        <w:rPr>
          <w:rFonts w:ascii="宋体" w:cs="Times New Roman"/>
          <w:color w:val="auto"/>
          <w:highlight w:val="none"/>
          <w:lang w:val="zh-CN"/>
        </w:rPr>
      </w:pPr>
    </w:p>
    <w:p w14:paraId="73148271">
      <w:pPr>
        <w:autoSpaceDE w:val="0"/>
        <w:autoSpaceDN w:val="0"/>
        <w:adjustRightInd w:val="0"/>
        <w:spacing w:line="400" w:lineRule="exact"/>
        <w:rPr>
          <w:rFonts w:ascii="宋体" w:cs="Times New Roman"/>
          <w:color w:val="auto"/>
          <w:highlight w:val="none"/>
          <w:lang w:val="zh-CN"/>
        </w:rPr>
      </w:pPr>
    </w:p>
    <w:p w14:paraId="244CC6D2">
      <w:pPr>
        <w:autoSpaceDE w:val="0"/>
        <w:autoSpaceDN w:val="0"/>
        <w:adjustRightInd w:val="0"/>
        <w:spacing w:line="400" w:lineRule="exact"/>
        <w:rPr>
          <w:rFonts w:ascii="宋体" w:cs="Times New Roman"/>
          <w:color w:val="auto"/>
          <w:highlight w:val="none"/>
          <w:lang w:val="zh-CN"/>
        </w:rPr>
      </w:pPr>
    </w:p>
    <w:p w14:paraId="1B3C7E36">
      <w:pPr>
        <w:autoSpaceDE w:val="0"/>
        <w:autoSpaceDN w:val="0"/>
        <w:adjustRightInd w:val="0"/>
        <w:spacing w:line="400" w:lineRule="exact"/>
        <w:rPr>
          <w:rFonts w:ascii="宋体" w:cs="Times New Roman"/>
          <w:color w:val="auto"/>
          <w:highlight w:val="none"/>
          <w:lang w:val="zh-CN"/>
        </w:rPr>
      </w:pPr>
    </w:p>
    <w:p w14:paraId="30E23150">
      <w:pPr>
        <w:spacing w:beforeLines="100" w:line="440" w:lineRule="atLeast"/>
        <w:jc w:val="right"/>
        <w:rPr>
          <w:rFonts w:hint="eastAsia" w:ascii="宋体" w:hAnsi="宋体"/>
          <w:b/>
          <w:color w:val="auto"/>
          <w:sz w:val="30"/>
          <w:szCs w:val="30"/>
          <w:highlight w:val="none"/>
        </w:rPr>
      </w:pPr>
    </w:p>
    <w:p w14:paraId="4FB61EE3">
      <w:pPr>
        <w:spacing w:beforeLines="100" w:line="440" w:lineRule="atLeast"/>
        <w:jc w:val="right"/>
        <w:rPr>
          <w:rFonts w:ascii="黑体" w:hAnsi="宋体" w:eastAsia="黑体"/>
          <w:b/>
          <w:color w:val="auto"/>
          <w:sz w:val="44"/>
          <w:szCs w:val="44"/>
          <w:highlight w:val="none"/>
        </w:rPr>
      </w:pPr>
      <w:r>
        <w:rPr>
          <w:rFonts w:hint="eastAsia" w:ascii="宋体" w:hAnsi="宋体"/>
          <w:b/>
          <w:color w:val="auto"/>
          <w:sz w:val="30"/>
          <w:szCs w:val="30"/>
          <w:highlight w:val="none"/>
        </w:rPr>
        <w:t>正本或副本</w:t>
      </w:r>
    </w:p>
    <w:p w14:paraId="6CF2CFCA">
      <w:pPr>
        <w:spacing w:beforeLines="100" w:line="440" w:lineRule="atLeast"/>
        <w:jc w:val="center"/>
        <w:outlineLvl w:val="1"/>
        <w:rPr>
          <w:rFonts w:ascii="黑体" w:hAnsi="宋体" w:eastAsia="黑体"/>
          <w:color w:val="auto"/>
          <w:sz w:val="44"/>
          <w:szCs w:val="44"/>
          <w:highlight w:val="none"/>
        </w:rPr>
      </w:pPr>
      <w:bookmarkStart w:id="76" w:name="_Toc468954251"/>
      <w:bookmarkStart w:id="77" w:name="_Toc476230919"/>
      <w:bookmarkStart w:id="78" w:name="_Toc336331380"/>
      <w:bookmarkStart w:id="79" w:name="_Toc476230507"/>
      <w:bookmarkStart w:id="80" w:name="_Toc476230643"/>
      <w:bookmarkStart w:id="81" w:name="_Toc471819797"/>
      <w:bookmarkStart w:id="82" w:name="_Toc495666236"/>
      <w:bookmarkStart w:id="83" w:name="_Toc504642685"/>
      <w:bookmarkStart w:id="84" w:name="_Toc463851843"/>
      <w:bookmarkStart w:id="85" w:name="_Toc387831502"/>
      <w:bookmarkStart w:id="86" w:name="_Toc476229712"/>
      <w:bookmarkStart w:id="87" w:name="_Toc470270000"/>
      <w:bookmarkStart w:id="88" w:name="_Toc435706544"/>
      <w:bookmarkStart w:id="89" w:name="_Toc424199675"/>
      <w:bookmarkStart w:id="90" w:name="_Toc392080785"/>
      <w:bookmarkStart w:id="91" w:name="_Toc437331615"/>
      <w:bookmarkStart w:id="92" w:name="_Toc433882646"/>
      <w:bookmarkStart w:id="93" w:name="_Toc393201727"/>
      <w:bookmarkStart w:id="94" w:name="_Toc470269884"/>
      <w:bookmarkStart w:id="95" w:name="_Toc469475468"/>
      <w:bookmarkStart w:id="96" w:name="_Toc467572533"/>
      <w:bookmarkStart w:id="97" w:name="_Toc471819737"/>
    </w:p>
    <w:p w14:paraId="66D49367">
      <w:pPr>
        <w:spacing w:beforeLines="100" w:line="440" w:lineRule="atLeast"/>
        <w:jc w:val="center"/>
        <w:outlineLvl w:val="1"/>
        <w:rPr>
          <w:rFonts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380A194">
      <w:pPr>
        <w:spacing w:line="440" w:lineRule="atLeast"/>
        <w:jc w:val="center"/>
        <w:outlineLvl w:val="1"/>
        <w:rPr>
          <w:rFonts w:ascii="黑体" w:hAnsi="宋体" w:eastAsia="黑体"/>
          <w:color w:val="auto"/>
          <w:sz w:val="32"/>
          <w:szCs w:val="32"/>
          <w:highlight w:val="none"/>
        </w:rPr>
      </w:pPr>
      <w:r>
        <w:rPr>
          <w:rFonts w:hint="eastAsia" w:ascii="宋体" w:hAnsi="宋体" w:cs="宋体"/>
          <w:color w:val="auto"/>
          <w:kern w:val="0"/>
          <w:sz w:val="24"/>
          <w:highlight w:val="none"/>
        </w:rPr>
        <w:t>   </w:t>
      </w:r>
    </w:p>
    <w:p w14:paraId="7E37A897">
      <w:pPr>
        <w:pStyle w:val="3"/>
        <w:numPr>
          <w:ilvl w:val="1"/>
          <w:numId w:val="0"/>
        </w:numPr>
        <w:rPr>
          <w:color w:val="auto"/>
          <w:highlight w:val="none"/>
        </w:rPr>
      </w:pPr>
      <w:bookmarkStart w:id="98" w:name="_Toc340582347"/>
    </w:p>
    <w:p w14:paraId="367FF250">
      <w:pPr>
        <w:ind w:left="2235" w:leftChars="342" w:hanging="1517" w:hangingChars="542"/>
        <w:rPr>
          <w:rFonts w:hint="eastAsia" w:ascii="黑体" w:hAnsi="宋体" w:eastAsia="黑体"/>
          <w:color w:val="auto"/>
          <w:sz w:val="28"/>
          <w:szCs w:val="28"/>
          <w:highlight w:val="none"/>
          <w:u w:val="single"/>
        </w:rPr>
      </w:pPr>
      <w:r>
        <w:rPr>
          <w:rFonts w:hint="eastAsia" w:ascii="黑体" w:hAnsi="宋体" w:eastAsia="黑体"/>
          <w:color w:val="auto"/>
          <w:sz w:val="28"/>
          <w:szCs w:val="28"/>
          <w:highlight w:val="none"/>
        </w:rPr>
        <w:t>项目名称</w:t>
      </w:r>
      <w:bookmarkEnd w:id="98"/>
      <w:r>
        <w:rPr>
          <w:rFonts w:hint="eastAsia" w:ascii="黑体" w:hAnsi="宋体" w:eastAsia="黑体"/>
          <w:color w:val="auto"/>
          <w:sz w:val="28"/>
          <w:szCs w:val="28"/>
          <w:highlight w:val="none"/>
          <w:lang w:eastAsia="zh-CN"/>
        </w:rPr>
        <w:t>：</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开化县钱江源共富农品精深加工项目——物联网</w:t>
      </w:r>
    </w:p>
    <w:p w14:paraId="05DE6068">
      <w:pPr>
        <w:ind w:firstLine="2240" w:firstLineChars="8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数据系统和桐村畈基地水肥一体机（非政府采购）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none"/>
          <w:lang w:val="en-US" w:eastAsia="zh-CN"/>
        </w:rPr>
        <w:t xml:space="preserve">      </w:t>
      </w:r>
    </w:p>
    <w:p w14:paraId="2E73BDCE">
      <w:pPr>
        <w:spacing w:line="440" w:lineRule="atLeast"/>
        <w:ind w:firstLine="700" w:firstLineChars="250"/>
        <w:rPr>
          <w:rFonts w:ascii="黑体" w:hAnsi="宋体" w:eastAsia="黑体"/>
          <w:color w:val="auto"/>
          <w:sz w:val="28"/>
          <w:szCs w:val="28"/>
          <w:highlight w:val="none"/>
        </w:rPr>
      </w:pPr>
      <w:bookmarkStart w:id="99" w:name="_Toc340582348"/>
    </w:p>
    <w:p w14:paraId="25991FE7">
      <w:pPr>
        <w:spacing w:line="440" w:lineRule="atLeast"/>
        <w:ind w:right="477" w:rightChars="227" w:firstLine="700" w:firstLineChars="250"/>
        <w:rPr>
          <w:rFonts w:ascii="黑体" w:hAnsi="宋体" w:eastAsia="黑体"/>
          <w:color w:val="auto"/>
          <w:sz w:val="28"/>
          <w:szCs w:val="28"/>
          <w:highlight w:val="none"/>
          <w:u w:val="single"/>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rPr>
        <w:t xml:space="preserve">    </w:t>
      </w:r>
      <w:bookmarkEnd w:id="99"/>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ZJTJKH2024-08-02</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3EEDE000">
      <w:pPr>
        <w:spacing w:line="440" w:lineRule="atLeast"/>
        <w:ind w:firstLine="700" w:firstLineChars="250"/>
        <w:jc w:val="left"/>
        <w:rPr>
          <w:rFonts w:ascii="黑体" w:hAnsi="宋体" w:eastAsia="黑体"/>
          <w:color w:val="auto"/>
          <w:sz w:val="28"/>
          <w:szCs w:val="28"/>
          <w:highlight w:val="none"/>
        </w:rPr>
      </w:pPr>
    </w:p>
    <w:p w14:paraId="28CCCD31">
      <w:pPr>
        <w:spacing w:line="440" w:lineRule="atLeast"/>
        <w:ind w:firstLine="700" w:firstLineChars="250"/>
        <w:jc w:val="left"/>
        <w:rPr>
          <w:rFonts w:ascii="黑体" w:hAnsi="宋体" w:eastAsia="黑体"/>
          <w:color w:val="auto"/>
          <w:sz w:val="28"/>
          <w:szCs w:val="28"/>
          <w:highlight w:val="none"/>
        </w:rPr>
      </w:pPr>
      <w:r>
        <w:rPr>
          <w:rFonts w:hint="eastAsia" w:ascii="黑体" w:hAnsi="宋体" w:eastAsia="黑体"/>
          <w:color w:val="auto"/>
          <w:sz w:val="28"/>
          <w:szCs w:val="28"/>
          <w:highlight w:val="none"/>
        </w:rPr>
        <w:t>响应方名称：</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（盖公章）</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p>
    <w:p w14:paraId="08C49E2D">
      <w:pPr>
        <w:spacing w:line="440" w:lineRule="atLeast"/>
        <w:ind w:firstLine="700" w:firstLineChars="250"/>
        <w:jc w:val="left"/>
        <w:rPr>
          <w:rFonts w:ascii="黑体" w:hAnsi="宋体" w:eastAsia="黑体"/>
          <w:color w:val="auto"/>
          <w:sz w:val="28"/>
          <w:szCs w:val="28"/>
          <w:highlight w:val="none"/>
        </w:rPr>
      </w:pPr>
    </w:p>
    <w:p w14:paraId="3D9963FE">
      <w:pPr>
        <w:spacing w:line="440" w:lineRule="atLeast"/>
        <w:ind w:firstLine="560" w:firstLineChars="200"/>
        <w:jc w:val="left"/>
        <w:rPr>
          <w:rFonts w:ascii="黑体" w:hAnsi="宋体" w:eastAsia="黑体"/>
          <w:color w:val="auto"/>
          <w:sz w:val="28"/>
          <w:szCs w:val="28"/>
          <w:highlight w:val="none"/>
          <w:u w:val="single"/>
        </w:rPr>
      </w:pPr>
    </w:p>
    <w:p w14:paraId="72294FE8">
      <w:pPr>
        <w:spacing w:line="440" w:lineRule="atLeast"/>
        <w:ind w:firstLine="560" w:firstLineChars="200"/>
        <w:jc w:val="left"/>
        <w:rPr>
          <w:rFonts w:ascii="黑体" w:hAnsi="宋体" w:eastAsia="黑体"/>
          <w:color w:val="auto"/>
          <w:sz w:val="28"/>
          <w:szCs w:val="28"/>
          <w:highlight w:val="none"/>
        </w:rPr>
      </w:pPr>
    </w:p>
    <w:p w14:paraId="59F141F1">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p>
    <w:p w14:paraId="67EBDF3C">
      <w:pPr>
        <w:spacing w:line="440" w:lineRule="atLeast"/>
        <w:jc w:val="center"/>
        <w:rPr>
          <w:rFonts w:ascii="黑体" w:hAnsi="宋体" w:eastAsia="黑体"/>
          <w:color w:val="auto"/>
          <w:sz w:val="28"/>
          <w:szCs w:val="28"/>
          <w:highlight w:val="none"/>
        </w:rPr>
      </w:pPr>
    </w:p>
    <w:p w14:paraId="03353C09">
      <w:pPr>
        <w:spacing w:line="440" w:lineRule="atLeast"/>
        <w:ind w:firstLine="2100" w:firstLineChars="750"/>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100" w:name="_Toc340582352"/>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00"/>
    </w:p>
    <w:p w14:paraId="5A6CB901">
      <w:pPr>
        <w:spacing w:beforeLines="100" w:afterLines="100" w:line="440" w:lineRule="atLeast"/>
        <w:rPr>
          <w:rFonts w:ascii="宋体" w:cs="Times New Roman"/>
          <w:color w:val="auto"/>
          <w:sz w:val="28"/>
          <w:szCs w:val="28"/>
          <w:highlight w:val="none"/>
        </w:rPr>
      </w:pPr>
    </w:p>
    <w:p w14:paraId="1D7CA6DC">
      <w:pPr>
        <w:spacing w:beforeLines="100" w:afterLines="100" w:line="440" w:lineRule="atLeast"/>
        <w:rPr>
          <w:rFonts w:ascii="宋体" w:cs="Times New Roman"/>
          <w:color w:val="auto"/>
          <w:sz w:val="28"/>
          <w:szCs w:val="28"/>
          <w:highlight w:val="none"/>
        </w:rPr>
      </w:pPr>
    </w:p>
    <w:p w14:paraId="568D13FB">
      <w:pPr>
        <w:spacing w:beforeLines="100" w:afterLines="100" w:line="440" w:lineRule="atLeast"/>
        <w:ind w:firstLine="2711" w:firstLineChars="900"/>
        <w:jc w:val="both"/>
        <w:rPr>
          <w:color w:val="auto"/>
          <w:highlight w:val="none"/>
        </w:rPr>
      </w:pPr>
      <w:r>
        <w:rPr>
          <w:rFonts w:hint="eastAsia" w:ascii="宋体" w:hAnsi="宋体" w:cs="宋体"/>
          <w:b/>
          <w:bCs/>
          <w:color w:val="auto"/>
          <w:sz w:val="30"/>
          <w:szCs w:val="30"/>
          <w:highlight w:val="none"/>
        </w:rPr>
        <w:t>资格证明文件目录</w:t>
      </w:r>
    </w:p>
    <w:p w14:paraId="6B303282">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（1）磋商响应函（格式附后）；</w:t>
      </w:r>
    </w:p>
    <w:p w14:paraId="7F254E83">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（2）符合参加政府采购活动应当具备的一般条件的承诺函；</w:t>
      </w:r>
    </w:p>
    <w:p w14:paraId="3D1BC370">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（3）中小企业声明函（格式附后）；</w:t>
      </w:r>
    </w:p>
    <w:p w14:paraId="01C63F4A">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（4）残疾人福利性单位声明函（格式附后）；</w:t>
      </w:r>
    </w:p>
    <w:p w14:paraId="048802B4">
      <w:pPr>
        <w:spacing w:line="440" w:lineRule="exact"/>
        <w:ind w:firstLine="420" w:firstLineChars="200"/>
        <w:rPr>
          <w:rFonts w:ascii="宋体" w:hAnsi="宋体" w:cs="宋体"/>
          <w:color w:val="auto"/>
          <w:highlight w:val="none"/>
        </w:rPr>
      </w:pPr>
      <w:r>
        <w:rPr>
          <w:rFonts w:hint="eastAsia" w:ascii="宋体" w:hAnsi="宋体" w:cs="宋体"/>
          <w:color w:val="auto"/>
          <w:sz w:val="21"/>
          <w:szCs w:val="21"/>
          <w:highlight w:val="none"/>
          <w:lang w:eastAsia="zh-CN"/>
        </w:rPr>
        <w:t>（5）省级以上监狱管理局、戒毒管理局（含新疆生产建设兵团）出具的属于监狱企业的证明文件；</w:t>
      </w:r>
    </w:p>
    <w:p w14:paraId="182171E1">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）法人或者其他组织的营业执照等证明文件</w:t>
      </w:r>
      <w:r>
        <w:rPr>
          <w:rFonts w:hint="eastAsia" w:ascii="宋体" w:hAnsi="宋体" w:cs="宋体"/>
          <w:color w:val="auto"/>
          <w:highlight w:val="none"/>
          <w:lang w:eastAsia="zh-CN"/>
        </w:rPr>
        <w:t>扫描</w:t>
      </w:r>
      <w:r>
        <w:rPr>
          <w:rFonts w:hint="eastAsia" w:ascii="宋体" w:hAnsi="宋体" w:cs="宋体"/>
          <w:color w:val="auto"/>
          <w:highlight w:val="none"/>
        </w:rPr>
        <w:t>件；</w:t>
      </w:r>
    </w:p>
    <w:p w14:paraId="7BDD43A4">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）法定代表人身份证明及身份证（正、反面）</w:t>
      </w:r>
      <w:r>
        <w:rPr>
          <w:rFonts w:hint="eastAsia" w:ascii="宋体" w:hAnsi="宋体" w:cs="宋体"/>
          <w:color w:val="auto"/>
          <w:highlight w:val="none"/>
          <w:lang w:eastAsia="zh-CN"/>
        </w:rPr>
        <w:t>扫描</w:t>
      </w:r>
      <w:r>
        <w:rPr>
          <w:rFonts w:hint="eastAsia" w:ascii="宋体" w:hAnsi="宋体" w:cs="宋体"/>
          <w:color w:val="auto"/>
          <w:highlight w:val="none"/>
        </w:rPr>
        <w:t>件；</w:t>
      </w:r>
    </w:p>
    <w:p w14:paraId="0D45586A">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）法定代表人授权委托书（如为授权委托人参加磋商，格式附后）；</w:t>
      </w:r>
    </w:p>
    <w:p w14:paraId="37F1DB77">
      <w:pPr>
        <w:widowControl/>
        <w:spacing w:line="400" w:lineRule="exact"/>
        <w:ind w:firstLine="420" w:firstLineChars="200"/>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）磋商前三年内，在经营活动中没有重大违法记录的承诺书；</w:t>
      </w:r>
    </w:p>
    <w:p w14:paraId="20201485">
      <w:pPr>
        <w:spacing w:line="44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响应人</w:t>
      </w:r>
      <w:r>
        <w:rPr>
          <w:rFonts w:hint="eastAsia" w:ascii="宋体" w:hAnsi="宋体"/>
          <w:color w:val="auto"/>
          <w:highlight w:val="none"/>
        </w:rPr>
        <w:t>需要说明的其他文件和说明（格式自拟）。</w:t>
      </w:r>
    </w:p>
    <w:p w14:paraId="7D6CC8B0">
      <w:pPr>
        <w:spacing w:line="440" w:lineRule="exact"/>
        <w:ind w:firstLine="422" w:firstLineChars="200"/>
        <w:rPr>
          <w:rFonts w:hint="eastAsia" w:ascii="宋体" w:hAnsi="宋体"/>
          <w:color w:val="auto"/>
          <w:highlight w:val="none"/>
        </w:rPr>
      </w:pPr>
      <w:r>
        <w:rPr>
          <w:rFonts w:hint="eastAsia" w:ascii="仿宋" w:hAnsi="仿宋" w:eastAsia="仿宋" w:cs="仿宋"/>
          <w:b/>
          <w:bCs/>
          <w:color w:val="auto"/>
          <w:highlight w:val="none"/>
          <w:lang w:eastAsia="zh-CN"/>
        </w:rPr>
        <w:t>▲其中（</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）中小企业声明函；（</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）残疾人福利性单位声明函；（</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）省级以上监狱管理局、戒毒管理局（含新疆生产建设兵团）出具的属于监狱企业的证明文件，响应人投标时必须提供其中的一项，否则作无效标处理。</w:t>
      </w:r>
    </w:p>
    <w:p w14:paraId="46B8529F">
      <w:pPr>
        <w:spacing w:line="440" w:lineRule="atLeast"/>
        <w:ind w:firstLine="560" w:firstLineChars="200"/>
        <w:jc w:val="left"/>
        <w:rPr>
          <w:rFonts w:ascii="黑体" w:hAnsi="宋体" w:eastAsia="黑体"/>
          <w:color w:val="auto"/>
          <w:sz w:val="28"/>
          <w:szCs w:val="28"/>
          <w:highlight w:val="none"/>
        </w:rPr>
      </w:pPr>
    </w:p>
    <w:p w14:paraId="374C01E9">
      <w:pPr>
        <w:spacing w:line="440" w:lineRule="atLeast"/>
        <w:ind w:firstLine="560" w:firstLineChars="200"/>
        <w:jc w:val="left"/>
        <w:rPr>
          <w:rFonts w:ascii="黑体" w:hAnsi="宋体" w:eastAsia="黑体"/>
          <w:color w:val="auto"/>
          <w:sz w:val="28"/>
          <w:szCs w:val="28"/>
          <w:highlight w:val="none"/>
        </w:rPr>
      </w:pPr>
    </w:p>
    <w:p w14:paraId="7CE3E522">
      <w:pPr>
        <w:snapToGrid w:val="0"/>
        <w:spacing w:line="440" w:lineRule="exact"/>
        <w:rPr>
          <w:rFonts w:ascii="仿宋" w:hAnsi="仿宋" w:eastAsia="仿宋"/>
          <w:b/>
          <w:i/>
          <w:color w:val="auto"/>
          <w:sz w:val="24"/>
          <w:highlight w:val="none"/>
        </w:rPr>
      </w:pPr>
    </w:p>
    <w:p w14:paraId="3E494CEC">
      <w:pPr>
        <w:widowControl/>
        <w:spacing w:line="540" w:lineRule="exact"/>
        <w:jc w:val="center"/>
        <w:outlineLvl w:val="2"/>
        <w:rPr>
          <w:rFonts w:ascii="宋体" w:hAnsi="宋体" w:cs="宋体"/>
          <w:b/>
          <w:bCs/>
          <w:color w:val="auto"/>
          <w:kern w:val="0"/>
          <w:sz w:val="30"/>
          <w:szCs w:val="30"/>
          <w:highlight w:val="none"/>
        </w:rPr>
      </w:pPr>
      <w:bookmarkStart w:id="101" w:name="_Toc469475471"/>
      <w:bookmarkStart w:id="102" w:name="_Toc476229715"/>
      <w:bookmarkStart w:id="103" w:name="_Toc467572536"/>
      <w:bookmarkStart w:id="104" w:name="_Toc437331618"/>
      <w:bookmarkStart w:id="105" w:name="_Toc471819799"/>
      <w:bookmarkStart w:id="106" w:name="_Toc433882649"/>
      <w:bookmarkStart w:id="107" w:name="_Toc476230922"/>
      <w:bookmarkStart w:id="108" w:name="_Toc470270003"/>
      <w:bookmarkStart w:id="109" w:name="_Toc424199678"/>
      <w:bookmarkStart w:id="110" w:name="_Toc435706547"/>
      <w:bookmarkStart w:id="111" w:name="_Toc476230510"/>
      <w:bookmarkStart w:id="112" w:name="_Toc471819739"/>
      <w:bookmarkStart w:id="113" w:name="_Toc437331307"/>
      <w:bookmarkStart w:id="114" w:name="_Toc495666239"/>
      <w:bookmarkStart w:id="115" w:name="_Toc463851846"/>
      <w:bookmarkStart w:id="116" w:name="_Toc437509329"/>
      <w:bookmarkStart w:id="117" w:name="_Toc476230646"/>
      <w:bookmarkStart w:id="118" w:name="_Toc468954254"/>
      <w:bookmarkStart w:id="119" w:name="_Toc470269887"/>
      <w:bookmarkStart w:id="120" w:name="_Toc437504032"/>
      <w:bookmarkStart w:id="121" w:name="_Toc504642688"/>
      <w:r>
        <w:rPr>
          <w:rFonts w:ascii="宋体" w:hAnsi="宋体"/>
          <w:color w:val="auto"/>
          <w:sz w:val="22"/>
          <w:szCs w:val="20"/>
          <w:highlight w:val="none"/>
        </w:rPr>
        <w:br w:type="page"/>
      </w:r>
      <w:r>
        <w:rPr>
          <w:rFonts w:hint="eastAsia" w:ascii="宋体" w:hAnsi="宋体" w:cs="宋体"/>
          <w:b/>
          <w:bCs/>
          <w:color w:val="auto"/>
          <w:kern w:val="0"/>
          <w:sz w:val="30"/>
          <w:szCs w:val="30"/>
          <w:highlight w:val="none"/>
        </w:rPr>
        <w:t>一、</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宋体" w:hAnsi="宋体" w:cs="宋体"/>
          <w:b/>
          <w:bCs/>
          <w:color w:val="auto"/>
          <w:kern w:val="0"/>
          <w:sz w:val="30"/>
          <w:szCs w:val="30"/>
          <w:highlight w:val="none"/>
        </w:rPr>
        <w:t>磋商响应函</w:t>
      </w:r>
      <w:bookmarkEnd w:id="121"/>
    </w:p>
    <w:p w14:paraId="1609EC3B">
      <w:pPr>
        <w:pStyle w:val="76"/>
        <w:ind w:firstLine="440"/>
        <w:rPr>
          <w:color w:val="auto"/>
          <w:highlight w:val="none"/>
        </w:rPr>
      </w:pPr>
    </w:p>
    <w:p w14:paraId="1B4CAD29">
      <w:pPr>
        <w:pStyle w:val="15"/>
        <w:spacing w:line="520" w:lineRule="exact"/>
        <w:rPr>
          <w:rFonts w:hAnsi="宋体"/>
          <w:color w:val="auto"/>
          <w:kern w:val="0"/>
          <w:highlight w:val="none"/>
        </w:rPr>
      </w:pPr>
      <w:bookmarkStart w:id="122" w:name="_Toc2220"/>
      <w:bookmarkStart w:id="123" w:name="_Toc18613"/>
      <w:bookmarkStart w:id="124" w:name="_Toc11136"/>
      <w:bookmarkStart w:id="125" w:name="_Toc437331312"/>
      <w:bookmarkStart w:id="126" w:name="_Toc468954259"/>
      <w:bookmarkStart w:id="127" w:name="_Toc435706552"/>
      <w:bookmarkStart w:id="128" w:name="_Toc463851851"/>
      <w:bookmarkStart w:id="129" w:name="_Toc424199683"/>
      <w:bookmarkStart w:id="130" w:name="_Toc469475476"/>
      <w:bookmarkStart w:id="131" w:name="_Toc437331623"/>
      <w:bookmarkStart w:id="132" w:name="_Toc471819741"/>
      <w:bookmarkStart w:id="133" w:name="_Toc470269892"/>
      <w:bookmarkStart w:id="134" w:name="_Toc437509334"/>
      <w:bookmarkStart w:id="135" w:name="_Toc437504037"/>
      <w:bookmarkStart w:id="136" w:name="_Toc471819801"/>
      <w:bookmarkStart w:id="137" w:name="_Toc433882654"/>
      <w:bookmarkStart w:id="138" w:name="_Toc467572541"/>
      <w:bookmarkStart w:id="139" w:name="_Toc470270008"/>
      <w:r>
        <w:rPr>
          <w:rFonts w:hint="eastAsia" w:hAnsi="宋体"/>
          <w:color w:val="auto"/>
          <w:kern w:val="0"/>
          <w:highlight w:val="none"/>
        </w:rPr>
        <w:t>致</w:t>
      </w:r>
      <w:r>
        <w:rPr>
          <w:rFonts w:hint="eastAsia" w:hAnsi="宋体"/>
          <w:color w:val="auto"/>
          <w:kern w:val="0"/>
          <w:highlight w:val="none"/>
          <w:lang w:eastAsia="zh-CN"/>
        </w:rPr>
        <w:t>浙江天健工程造价咨询有限公司</w:t>
      </w:r>
      <w:r>
        <w:rPr>
          <w:rFonts w:hint="eastAsia" w:hAnsi="宋体"/>
          <w:color w:val="auto"/>
          <w:kern w:val="0"/>
          <w:highlight w:val="none"/>
        </w:rPr>
        <w:t>：</w:t>
      </w:r>
    </w:p>
    <w:p w14:paraId="6E087644">
      <w:pPr>
        <w:pStyle w:val="15"/>
        <w:spacing w:line="520" w:lineRule="exact"/>
        <w:ind w:firstLine="525" w:firstLineChars="250"/>
        <w:rPr>
          <w:rFonts w:hAnsi="宋体"/>
          <w:color w:val="auto"/>
          <w:kern w:val="0"/>
          <w:highlight w:val="none"/>
        </w:rPr>
      </w:pPr>
      <w:r>
        <w:rPr>
          <w:rFonts w:hint="eastAsia" w:hAnsi="宋体"/>
          <w:color w:val="auto"/>
          <w:kern w:val="0"/>
          <w:highlight w:val="none"/>
          <w:u w:val="single"/>
        </w:rPr>
        <w:t>（</w:t>
      </w:r>
      <w:r>
        <w:rPr>
          <w:rFonts w:hint="eastAsia" w:hAnsi="宋体"/>
          <w:color w:val="auto"/>
          <w:kern w:val="0"/>
          <w:highlight w:val="none"/>
          <w:u w:val="single"/>
          <w:lang w:eastAsia="zh-CN"/>
        </w:rPr>
        <w:t>响应人</w:t>
      </w:r>
      <w:r>
        <w:rPr>
          <w:rFonts w:hint="eastAsia" w:hAnsi="宋体"/>
          <w:color w:val="auto"/>
          <w:kern w:val="0"/>
          <w:highlight w:val="none"/>
          <w:u w:val="single"/>
        </w:rPr>
        <w:t>名称）</w:t>
      </w:r>
      <w:r>
        <w:rPr>
          <w:rFonts w:hint="eastAsia" w:hAnsi="宋体"/>
          <w:color w:val="auto"/>
          <w:kern w:val="0"/>
          <w:highlight w:val="none"/>
        </w:rPr>
        <w:t>系中华人民共和国合法企业，经营地址</w:t>
      </w:r>
      <w:r>
        <w:rPr>
          <w:rFonts w:hint="eastAsia" w:hAnsi="宋体"/>
          <w:color w:val="auto"/>
          <w:kern w:val="0"/>
          <w:highlight w:val="none"/>
          <w:u w:val="single"/>
        </w:rPr>
        <w:t xml:space="preserve">                       </w:t>
      </w:r>
      <w:r>
        <w:rPr>
          <w:rFonts w:hint="eastAsia" w:hAnsi="宋体"/>
          <w:color w:val="auto"/>
          <w:kern w:val="0"/>
          <w:highlight w:val="none"/>
        </w:rPr>
        <w:t xml:space="preserve">。我 </w:t>
      </w:r>
      <w:r>
        <w:rPr>
          <w:rFonts w:hint="eastAsia" w:hAnsi="宋体"/>
          <w:color w:val="auto"/>
          <w:kern w:val="0"/>
          <w:highlight w:val="none"/>
          <w:u w:val="single"/>
        </w:rPr>
        <w:t xml:space="preserve">    （姓名）</w:t>
      </w:r>
      <w:r>
        <w:rPr>
          <w:rFonts w:hint="eastAsia" w:hAnsi="宋体"/>
          <w:color w:val="auto"/>
          <w:kern w:val="0"/>
          <w:highlight w:val="none"/>
        </w:rPr>
        <w:t>系</w:t>
      </w:r>
      <w:r>
        <w:rPr>
          <w:rFonts w:hint="eastAsia" w:hAnsi="宋体"/>
          <w:color w:val="auto"/>
          <w:kern w:val="0"/>
          <w:highlight w:val="none"/>
          <w:u w:val="single"/>
        </w:rPr>
        <w:t xml:space="preserve">    （</w:t>
      </w:r>
      <w:r>
        <w:rPr>
          <w:rFonts w:hint="eastAsia" w:hAnsi="宋体"/>
          <w:color w:val="auto"/>
          <w:kern w:val="0"/>
          <w:highlight w:val="none"/>
          <w:u w:val="single"/>
          <w:lang w:eastAsia="zh-CN"/>
        </w:rPr>
        <w:t>响应人</w:t>
      </w:r>
      <w:r>
        <w:rPr>
          <w:rFonts w:hint="eastAsia" w:hAnsi="宋体"/>
          <w:color w:val="auto"/>
          <w:kern w:val="0"/>
          <w:highlight w:val="none"/>
          <w:u w:val="single"/>
        </w:rPr>
        <w:t>名称）</w:t>
      </w:r>
      <w:r>
        <w:rPr>
          <w:rFonts w:hint="eastAsia" w:hAnsi="宋体"/>
          <w:color w:val="auto"/>
          <w:kern w:val="0"/>
          <w:highlight w:val="none"/>
        </w:rPr>
        <w:t>的法定代表人，我方愿意参加贵方组织的</w:t>
      </w:r>
      <w:r>
        <w:rPr>
          <w:rFonts w:hint="eastAsia" w:hAnsi="宋体"/>
          <w:color w:val="auto"/>
          <w:kern w:val="0"/>
          <w:highlight w:val="none"/>
          <w:u w:val="single"/>
        </w:rPr>
        <w:t xml:space="preserve">    （项目名称）（项目编号为      ）</w:t>
      </w:r>
      <w:r>
        <w:rPr>
          <w:rFonts w:hint="eastAsia" w:hAnsi="宋体"/>
          <w:color w:val="auto"/>
          <w:kern w:val="0"/>
          <w:highlight w:val="none"/>
        </w:rPr>
        <w:t>的磋商活动，为此，我方就本次磋商有关事项郑重声明如下：</w:t>
      </w:r>
    </w:p>
    <w:p w14:paraId="60272E36">
      <w:pPr>
        <w:pStyle w:val="15"/>
        <w:spacing w:line="520" w:lineRule="exact"/>
        <w:ind w:firstLine="420" w:firstLineChars="200"/>
        <w:rPr>
          <w:rFonts w:hAnsi="宋体"/>
          <w:color w:val="auto"/>
          <w:kern w:val="0"/>
          <w:highlight w:val="none"/>
        </w:rPr>
      </w:pPr>
      <w:r>
        <w:rPr>
          <w:rFonts w:hint="eastAsia" w:hAnsi="宋体"/>
          <w:color w:val="auto"/>
          <w:kern w:val="0"/>
          <w:highlight w:val="none"/>
        </w:rPr>
        <w:t>1、我方已详细审查全部磋商文件，同意磋商文件的各项要求。</w:t>
      </w:r>
    </w:p>
    <w:p w14:paraId="652E42EE">
      <w:pPr>
        <w:pStyle w:val="15"/>
        <w:spacing w:line="520" w:lineRule="exact"/>
        <w:ind w:firstLine="420" w:firstLineChars="200"/>
        <w:rPr>
          <w:rFonts w:hAnsi="宋体"/>
          <w:color w:val="auto"/>
          <w:kern w:val="0"/>
          <w:highlight w:val="none"/>
        </w:rPr>
      </w:pPr>
      <w:r>
        <w:rPr>
          <w:rFonts w:hint="eastAsia" w:hAnsi="宋体"/>
          <w:color w:val="auto"/>
          <w:kern w:val="0"/>
          <w:highlight w:val="none"/>
        </w:rPr>
        <w:t>2、我方向贵方提交的所有响应文件、资料都是准确的和真实的。</w:t>
      </w:r>
    </w:p>
    <w:p w14:paraId="7B582B64">
      <w:pPr>
        <w:pStyle w:val="15"/>
        <w:spacing w:line="520" w:lineRule="exact"/>
        <w:ind w:firstLine="420" w:firstLineChars="200"/>
        <w:rPr>
          <w:rFonts w:hAnsi="宋体"/>
          <w:color w:val="auto"/>
          <w:kern w:val="0"/>
          <w:highlight w:val="none"/>
        </w:rPr>
      </w:pPr>
      <w:r>
        <w:rPr>
          <w:rFonts w:hint="eastAsia" w:hAnsi="宋体"/>
          <w:color w:val="auto"/>
          <w:kern w:val="0"/>
          <w:highlight w:val="none"/>
        </w:rPr>
        <w:t>3、我们已详细审核全部磋商文件、参考资料及有关附件，我们知道必须放弃提出含糊不清或误解问题的权利。</w:t>
      </w:r>
    </w:p>
    <w:p w14:paraId="502581CE">
      <w:pPr>
        <w:pStyle w:val="15"/>
        <w:spacing w:line="520" w:lineRule="exact"/>
        <w:ind w:firstLine="420" w:firstLineChars="200"/>
        <w:rPr>
          <w:rFonts w:hAnsi="宋体"/>
          <w:color w:val="auto"/>
          <w:kern w:val="0"/>
          <w:highlight w:val="none"/>
        </w:rPr>
      </w:pPr>
      <w:r>
        <w:rPr>
          <w:rFonts w:hint="eastAsia" w:hAnsi="宋体"/>
          <w:color w:val="auto"/>
          <w:kern w:val="0"/>
          <w:highlight w:val="none"/>
        </w:rPr>
        <w:t>4、若中标，我方将按磋商文件规定履行合同责任和义务。</w:t>
      </w:r>
    </w:p>
    <w:p w14:paraId="3C166C43">
      <w:pPr>
        <w:pStyle w:val="15"/>
        <w:spacing w:line="520" w:lineRule="exact"/>
        <w:ind w:firstLine="420" w:firstLineChars="200"/>
        <w:rPr>
          <w:rFonts w:hAnsi="宋体"/>
          <w:color w:val="auto"/>
          <w:kern w:val="0"/>
          <w:highlight w:val="none"/>
        </w:rPr>
      </w:pPr>
      <w:r>
        <w:rPr>
          <w:rFonts w:hint="eastAsia" w:hAnsi="宋体"/>
          <w:color w:val="auto"/>
          <w:kern w:val="0"/>
          <w:highlight w:val="none"/>
        </w:rPr>
        <w:t>5、我方不是采购人的附属机构；在获知本项目采购信息后，与采购人聘请的为此项目提供咨询服务的公司及其附属机构没有任何联系。</w:t>
      </w:r>
    </w:p>
    <w:p w14:paraId="112F5B24">
      <w:pPr>
        <w:pStyle w:val="15"/>
        <w:spacing w:line="520" w:lineRule="exact"/>
        <w:ind w:firstLine="420" w:firstLineChars="200"/>
        <w:rPr>
          <w:rFonts w:hAnsi="宋体"/>
          <w:color w:val="auto"/>
          <w:kern w:val="0"/>
          <w:highlight w:val="none"/>
        </w:rPr>
      </w:pPr>
      <w:r>
        <w:rPr>
          <w:rFonts w:hint="eastAsia" w:hAnsi="宋体"/>
          <w:color w:val="auto"/>
          <w:kern w:val="0"/>
          <w:highlight w:val="none"/>
        </w:rPr>
        <w:t>6、响应文件自磋商日起有效期为</w:t>
      </w:r>
      <w:r>
        <w:rPr>
          <w:rFonts w:hint="eastAsia" w:hAnsi="宋体"/>
          <w:color w:val="auto"/>
          <w:kern w:val="0"/>
          <w:highlight w:val="none"/>
          <w:u w:val="single"/>
        </w:rPr>
        <w:t>90</w:t>
      </w:r>
      <w:r>
        <w:rPr>
          <w:rFonts w:hint="eastAsia" w:hAnsi="宋体"/>
          <w:color w:val="auto"/>
          <w:kern w:val="0"/>
          <w:highlight w:val="none"/>
        </w:rPr>
        <w:t>日。</w:t>
      </w:r>
    </w:p>
    <w:p w14:paraId="68053DC5">
      <w:pPr>
        <w:snapToGrid w:val="0"/>
        <w:spacing w:line="520" w:lineRule="exact"/>
        <w:ind w:firstLine="411" w:firstLineChars="196"/>
        <w:jc w:val="left"/>
        <w:rPr>
          <w:rFonts w:ascii="宋体" w:hAnsi="宋体" w:cs="宋体"/>
          <w:color w:val="auto"/>
          <w:highlight w:val="none"/>
        </w:rPr>
      </w:pPr>
      <w:r>
        <w:rPr>
          <w:rFonts w:hint="eastAsia" w:ascii="宋体" w:hAnsi="宋体" w:cs="宋体"/>
          <w:color w:val="auto"/>
          <w:highlight w:val="none"/>
        </w:rPr>
        <w:t>7、我方参与本项目前3年内的经营活动中没有重大违法记录；</w:t>
      </w:r>
    </w:p>
    <w:p w14:paraId="68F1C878">
      <w:pPr>
        <w:snapToGrid w:val="0"/>
        <w:spacing w:line="520" w:lineRule="exact"/>
        <w:ind w:firstLine="420" w:firstLineChars="200"/>
        <w:rPr>
          <w:rFonts w:ascii="宋体" w:hAnsi="宋体" w:cs="宋体"/>
          <w:color w:val="auto"/>
          <w:highlight w:val="none"/>
        </w:rPr>
      </w:pPr>
      <w:r>
        <w:rPr>
          <w:rFonts w:hint="eastAsia" w:ascii="宋体" w:hAnsi="宋体" w:cs="宋体"/>
          <w:color w:val="auto"/>
          <w:highlight w:val="none"/>
        </w:rPr>
        <w:t>8、我方通过信用中国网站（www.creditchina.gov.cn）、中国政府采购网（www.ccgp.gov.cn）查询，未被列入失信被执行人、重大税收违法案件当事人名单、政府采购严重违法失信行为记录名单。</w:t>
      </w:r>
    </w:p>
    <w:p w14:paraId="7F8D799C">
      <w:pPr>
        <w:pStyle w:val="15"/>
        <w:spacing w:line="520" w:lineRule="exact"/>
        <w:ind w:firstLine="420" w:firstLineChars="200"/>
        <w:rPr>
          <w:rFonts w:hAnsi="宋体"/>
          <w:color w:val="auto"/>
          <w:kern w:val="0"/>
          <w:highlight w:val="none"/>
        </w:rPr>
      </w:pPr>
      <w:r>
        <w:rPr>
          <w:rFonts w:hint="eastAsia" w:hAnsi="宋体"/>
          <w:color w:val="auto"/>
          <w:kern w:val="0"/>
          <w:highlight w:val="none"/>
        </w:rPr>
        <w:t>9.以上事项如有虚假或隐瞒，我方愿意承担一切后果，并不再寻求任何旨在减轻或免除法律责任的辩解。</w:t>
      </w:r>
    </w:p>
    <w:p w14:paraId="49867AF1">
      <w:pPr>
        <w:spacing w:line="540" w:lineRule="exact"/>
        <w:ind w:firstLine="3360" w:firstLineChars="1600"/>
        <w:rPr>
          <w:rFonts w:ascii="宋体" w:hAnsi="宋体" w:cs="宋体"/>
          <w:color w:val="auto"/>
          <w:highlight w:val="none"/>
        </w:rPr>
      </w:pPr>
      <w:r>
        <w:rPr>
          <w:rFonts w:hint="eastAsia" w:ascii="宋体" w:hAnsi="宋体" w:cs="宋体"/>
          <w:color w:val="auto"/>
          <w:highlight w:val="none"/>
          <w:lang w:eastAsia="zh-CN"/>
        </w:rPr>
        <w:t>响应人</w:t>
      </w:r>
      <w:r>
        <w:rPr>
          <w:rFonts w:hint="eastAsia" w:ascii="宋体" w:hAnsi="宋体" w:cs="宋体"/>
          <w:color w:val="auto"/>
          <w:highlight w:val="none"/>
        </w:rPr>
        <w:t>名称（签章）：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109A9331">
      <w:pPr>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br w:type="page"/>
      </w:r>
    </w:p>
    <w:p w14:paraId="7BD75B18">
      <w:pPr>
        <w:jc w:val="center"/>
        <w:rPr>
          <w:rFonts w:ascii="仿宋" w:hAnsi="仿宋" w:eastAsia="仿宋" w:cs="宋体"/>
          <w:color w:val="auto"/>
          <w:kern w:val="0"/>
          <w:sz w:val="24"/>
          <w:highlight w:val="none"/>
        </w:rPr>
      </w:pPr>
    </w:p>
    <w:p w14:paraId="387A7DDB">
      <w:pPr>
        <w:numPr>
          <w:ilvl w:val="0"/>
          <w:numId w:val="8"/>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符合参加政府采购活动应当具备的一般条件的承诺函</w:t>
      </w:r>
    </w:p>
    <w:p w14:paraId="1D46BAA2">
      <w:pPr>
        <w:rPr>
          <w:rFonts w:ascii="宋体" w:hAnsi="宋体" w:cs="宋体"/>
          <w:color w:val="auto"/>
          <w:highlight w:val="none"/>
        </w:rPr>
      </w:pPr>
    </w:p>
    <w:p w14:paraId="731A79B8">
      <w:pPr>
        <w:rPr>
          <w:rFonts w:ascii="宋体" w:hAnsi="宋体" w:cs="宋体"/>
          <w:color w:val="auto"/>
          <w:highlight w:val="none"/>
        </w:rPr>
      </w:pPr>
      <w:r>
        <w:rPr>
          <w:rFonts w:hint="eastAsia" w:ascii="宋体" w:hAnsi="宋体" w:cs="宋体"/>
          <w:color w:val="auto"/>
          <w:highlight w:val="none"/>
          <w:u w:val="single"/>
        </w:rPr>
        <w:t>（采购人）、（采购代理机构）</w:t>
      </w:r>
      <w:r>
        <w:rPr>
          <w:rFonts w:hint="eastAsia" w:ascii="宋体" w:hAnsi="宋体" w:cs="宋体"/>
          <w:color w:val="auto"/>
          <w:highlight w:val="none"/>
        </w:rPr>
        <w:t>：</w:t>
      </w:r>
    </w:p>
    <w:p w14:paraId="3A66A17F">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我方参与</w:t>
      </w:r>
      <w:r>
        <w:rPr>
          <w:rFonts w:hint="eastAsia" w:ascii="宋体" w:hAnsi="宋体" w:cs="宋体"/>
          <w:color w:val="auto"/>
          <w:kern w:val="0"/>
          <w:highlight w:val="none"/>
          <w:u w:val="single"/>
        </w:rPr>
        <w:t xml:space="preserve">   （项目名称）（编号为      ）</w:t>
      </w:r>
      <w:r>
        <w:rPr>
          <w:rFonts w:hint="eastAsia" w:ascii="宋体" w:hAnsi="宋体" w:cs="宋体"/>
          <w:color w:val="auto"/>
          <w:highlight w:val="none"/>
        </w:rPr>
        <w:t>政府采购活动，郑重承诺：</w:t>
      </w:r>
    </w:p>
    <w:p w14:paraId="253CB8AD">
      <w:pPr>
        <w:snapToGrid w:val="0"/>
        <w:spacing w:line="360" w:lineRule="auto"/>
        <w:ind w:firstLine="315" w:firstLineChars="150"/>
        <w:rPr>
          <w:rFonts w:ascii="宋体" w:hAnsi="宋体" w:cs="宋体"/>
          <w:color w:val="auto"/>
          <w:highlight w:val="none"/>
        </w:rPr>
      </w:pPr>
      <w:r>
        <w:rPr>
          <w:rFonts w:hint="eastAsia" w:ascii="宋体" w:hAnsi="宋体" w:cs="宋体"/>
          <w:color w:val="auto"/>
          <w:highlight w:val="none"/>
        </w:rPr>
        <w:t>（一）具备《中华人民共和国政府采购法》第二十二条第一款规定的条件：</w:t>
      </w:r>
    </w:p>
    <w:p w14:paraId="0D254116">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1、具有独立承担民事责任的能力；</w:t>
      </w:r>
    </w:p>
    <w:p w14:paraId="41C1D6B7">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14:paraId="71B5C092">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778EBC4B">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24DD392F">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33DB20A7">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6、具有法律、行政法规规定的其他条件。</w:t>
      </w:r>
    </w:p>
    <w:p w14:paraId="4ABA85BF">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2F4D7BF5">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（三）不存在以下情况：</w:t>
      </w:r>
    </w:p>
    <w:p w14:paraId="01AC84F6">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1、单位负责人为同一人或者存在直接控股、管理关系的不同供应商参加同一合同项下的政府采购活动的；</w:t>
      </w:r>
    </w:p>
    <w:p w14:paraId="23172BA5">
      <w:pPr>
        <w:snapToGrid w:val="0"/>
        <w:spacing w:line="360" w:lineRule="auto"/>
        <w:ind w:firstLine="420" w:firstLineChars="200"/>
        <w:rPr>
          <w:rFonts w:ascii="宋体" w:hAnsi="宋体" w:cs="Times New Roman"/>
          <w:b/>
          <w:bCs/>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14:paraId="58A40060">
      <w:pPr>
        <w:spacing w:line="440" w:lineRule="exact"/>
        <w:ind w:firstLine="422" w:firstLineChars="200"/>
        <w:rPr>
          <w:rFonts w:ascii="宋体" w:hAnsi="宋体"/>
          <w:b/>
          <w:bCs/>
          <w:color w:val="auto"/>
          <w:highlight w:val="none"/>
        </w:rPr>
      </w:pPr>
      <w:r>
        <w:rPr>
          <w:rFonts w:hint="eastAsia" w:ascii="宋体" w:hAnsi="宋体"/>
          <w:b/>
          <w:bCs/>
          <w:color w:val="auto"/>
          <w:highlight w:val="none"/>
        </w:rPr>
        <w:t>我方保证上述信息的真实、准确、有效，如作出虚假承诺，视同提供虚假材料谋取中标（成交）的违法行为。</w:t>
      </w:r>
    </w:p>
    <w:p w14:paraId="207B3812">
      <w:pPr>
        <w:spacing w:line="440" w:lineRule="exact"/>
        <w:ind w:firstLine="422" w:firstLineChars="200"/>
        <w:rPr>
          <w:rFonts w:ascii="宋体" w:hAnsi="宋体" w:cs="Times New Roman"/>
          <w:b/>
          <w:bCs/>
          <w:color w:val="auto"/>
          <w:highlight w:val="none"/>
        </w:rPr>
      </w:pPr>
      <w:r>
        <w:rPr>
          <w:rFonts w:hint="eastAsia" w:ascii="宋体" w:hAnsi="宋体" w:cs="Times New Roman"/>
          <w:b/>
          <w:bCs/>
          <w:color w:val="auto"/>
          <w:highlight w:val="none"/>
        </w:rPr>
        <w:t>特此承诺。</w:t>
      </w:r>
    </w:p>
    <w:p w14:paraId="40FDCB33">
      <w:pPr>
        <w:rPr>
          <w:color w:val="auto"/>
          <w:highlight w:val="none"/>
        </w:rPr>
      </w:pPr>
    </w:p>
    <w:p w14:paraId="4BC119E2">
      <w:pPr>
        <w:snapToGrid w:val="0"/>
        <w:spacing w:line="360" w:lineRule="auto"/>
        <w:ind w:firstLine="5040" w:firstLineChars="2400"/>
        <w:rPr>
          <w:rFonts w:hint="default" w:ascii="宋体" w:hAnsi="宋体" w:eastAsia="宋体" w:cs="宋体"/>
          <w:color w:val="auto"/>
          <w:kern w:val="0"/>
          <w:highlight w:val="none"/>
          <w:u w:val="none"/>
          <w:lang w:val="en-US" w:eastAsia="zh-CN"/>
        </w:rPr>
      </w:pPr>
      <w:r>
        <w:rPr>
          <w:rFonts w:hint="eastAsia" w:ascii="宋体" w:hAnsi="宋体" w:cs="宋体"/>
          <w:color w:val="auto"/>
          <w:kern w:val="0"/>
          <w:highlight w:val="none"/>
          <w:lang w:val="zh-CN"/>
        </w:rPr>
        <w:t>响应人名称(</w:t>
      </w:r>
      <w:r>
        <w:rPr>
          <w:rFonts w:hint="eastAsia" w:ascii="宋体" w:hAnsi="宋体" w:cs="宋体"/>
          <w:color w:val="auto"/>
          <w:highlight w:val="none"/>
        </w:rPr>
        <w:t>签章</w:t>
      </w:r>
      <w:r>
        <w:rPr>
          <w:rFonts w:hint="eastAsia" w:ascii="宋体" w:hAnsi="宋体" w:cs="宋体"/>
          <w:color w:val="auto"/>
          <w:kern w:val="0"/>
          <w:highlight w:val="none"/>
          <w:lang w:val="zh-CN"/>
        </w:rPr>
        <w:t>)：</w:t>
      </w:r>
      <w:r>
        <w:rPr>
          <w:rFonts w:hint="eastAsia" w:ascii="宋体" w:hAnsi="宋体" w:cs="宋体"/>
          <w:color w:val="auto"/>
          <w:kern w:val="0"/>
          <w:highlight w:val="none"/>
          <w:u w:val="single"/>
          <w:lang w:val="en-US" w:eastAsia="zh-CN"/>
        </w:rPr>
        <w:t xml:space="preserve">              </w:t>
      </w:r>
    </w:p>
    <w:p w14:paraId="64D58553">
      <w:pPr>
        <w:snapToGrid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bookmarkEnd w:id="122"/>
    <w:bookmarkEnd w:id="123"/>
    <w:bookmarkEnd w:id="124"/>
    <w:p w14:paraId="7A2DB414">
      <w:pPr>
        <w:widowControl/>
        <w:spacing w:line="540" w:lineRule="exact"/>
        <w:outlineLvl w:val="2"/>
        <w:rPr>
          <w:rFonts w:ascii="仿宋" w:hAnsi="仿宋" w:eastAsia="仿宋"/>
          <w:b/>
          <w:color w:val="auto"/>
          <w:kern w:val="0"/>
          <w:sz w:val="30"/>
          <w:szCs w:val="30"/>
          <w:highlight w:val="none"/>
        </w:rPr>
      </w:pPr>
      <w:bookmarkStart w:id="140" w:name="_Toc29756"/>
      <w:bookmarkStart w:id="141" w:name="_Toc17450"/>
      <w:bookmarkStart w:id="142" w:name="_Toc30925"/>
    </w:p>
    <w:p w14:paraId="7A4FAC50">
      <w:pPr>
        <w:pStyle w:val="3"/>
        <w:numPr>
          <w:ilvl w:val="1"/>
          <w:numId w:val="0"/>
        </w:numPr>
        <w:ind w:leftChars="0"/>
        <w:rPr>
          <w:color w:val="auto"/>
          <w:highlight w:val="none"/>
        </w:rPr>
      </w:pPr>
    </w:p>
    <w:p w14:paraId="1A49D015">
      <w:pPr>
        <w:rPr>
          <w:rFonts w:ascii="仿宋" w:hAnsi="仿宋" w:eastAsia="仿宋"/>
          <w:b/>
          <w:color w:val="auto"/>
          <w:kern w:val="0"/>
          <w:sz w:val="30"/>
          <w:szCs w:val="30"/>
          <w:highlight w:val="none"/>
        </w:rPr>
      </w:pPr>
    </w:p>
    <w:p w14:paraId="32D14E47">
      <w:pPr>
        <w:pStyle w:val="3"/>
        <w:numPr>
          <w:ilvl w:val="1"/>
          <w:numId w:val="0"/>
        </w:numPr>
        <w:ind w:leftChars="0"/>
        <w:rPr>
          <w:color w:val="auto"/>
          <w:highlight w:val="none"/>
        </w:rPr>
      </w:pPr>
    </w:p>
    <w:p w14:paraId="6C069C92">
      <w:pPr>
        <w:rPr>
          <w:color w:val="auto"/>
          <w:highlight w:val="none"/>
        </w:rPr>
      </w:pPr>
    </w:p>
    <w:p w14:paraId="2D502080">
      <w:pPr>
        <w:widowControl/>
        <w:spacing w:line="540" w:lineRule="exact"/>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eastAsia="zh-CN"/>
        </w:rPr>
        <w:t>三</w:t>
      </w:r>
      <w:r>
        <w:rPr>
          <w:rFonts w:hint="eastAsia" w:ascii="宋体" w:hAnsi="宋体" w:cs="宋体"/>
          <w:b/>
          <w:bCs/>
          <w:color w:val="auto"/>
          <w:kern w:val="0"/>
          <w:sz w:val="30"/>
          <w:szCs w:val="30"/>
          <w:highlight w:val="none"/>
        </w:rPr>
        <w:t>、中小企业声明函</w:t>
      </w:r>
    </w:p>
    <w:p w14:paraId="4E459D47">
      <w:pPr>
        <w:widowControl/>
        <w:spacing w:line="440" w:lineRule="exact"/>
        <w:ind w:firstLine="480" w:firstLineChars="200"/>
        <w:jc w:val="left"/>
        <w:rPr>
          <w:rFonts w:ascii="仿宋" w:hAnsi="仿宋" w:eastAsia="仿宋" w:cs="宋体"/>
          <w:color w:val="auto"/>
          <w:kern w:val="0"/>
          <w:sz w:val="24"/>
          <w:highlight w:val="none"/>
        </w:rPr>
      </w:pPr>
    </w:p>
    <w:p w14:paraId="727C315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郑重声明，根据《政府采购促进中小企业发展管理办法》（财库﹝2020﹞46 号）的规定，本公司</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采购活动，提供的货物全部由符合政策要求的中小企业制造。相关企业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含联合体中的中小企业、签订分包意向协议的中小企业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的具体情况如下：</w:t>
      </w:r>
    </w:p>
    <w:p w14:paraId="77EBF04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，属于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万元，资产总额为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万元，属于（□中型企业、□小型企业、□微型企业）；</w:t>
      </w:r>
    </w:p>
    <w:p w14:paraId="6C829CC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316ACE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27AE22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6A81D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7E734638">
      <w:pPr>
        <w:pageBreakBefore w:val="0"/>
        <w:kinsoku/>
        <w:wordWrap/>
        <w:topLinePunct w:val="0"/>
        <w:bidi w:val="0"/>
        <w:spacing w:line="500" w:lineRule="exact"/>
        <w:ind w:firstLine="3360" w:firstLineChars="1600"/>
        <w:rPr>
          <w:rFonts w:hint="eastAsia" w:ascii="宋体" w:hAnsi="宋体" w:eastAsia="宋体" w:cs="宋体"/>
          <w:strike w:val="0"/>
          <w:dstrike w:val="0"/>
          <w:color w:val="auto"/>
          <w:sz w:val="21"/>
          <w:szCs w:val="21"/>
          <w:highlight w:val="none"/>
        </w:rPr>
      </w:pPr>
      <w:r>
        <w:rPr>
          <w:rFonts w:hint="eastAsia" w:ascii="宋体" w:hAnsi="宋体" w:cs="宋体"/>
          <w:strike w:val="0"/>
          <w:dstrike w:val="0"/>
          <w:color w:val="auto"/>
          <w:sz w:val="21"/>
          <w:szCs w:val="21"/>
          <w:highlight w:val="none"/>
          <w:lang w:val="en-US" w:eastAsia="zh-CN"/>
        </w:rPr>
        <w:t>响应</w:t>
      </w:r>
      <w:r>
        <w:rPr>
          <w:rFonts w:hint="eastAsia" w:ascii="宋体" w:hAnsi="宋体" w:eastAsia="宋体" w:cs="宋体"/>
          <w:strike w:val="0"/>
          <w:dstrike w:val="0"/>
          <w:color w:val="auto"/>
          <w:sz w:val="21"/>
          <w:szCs w:val="21"/>
          <w:highlight w:val="none"/>
          <w:lang w:eastAsia="zh-CN"/>
        </w:rPr>
        <w:t>人全称（签章）</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u w:val="single"/>
        </w:rPr>
        <w:t xml:space="preserve">                    </w:t>
      </w:r>
      <w:r>
        <w:rPr>
          <w:rFonts w:hint="eastAsia" w:ascii="宋体" w:hAnsi="宋体" w:eastAsia="宋体" w:cs="宋体"/>
          <w:strike w:val="0"/>
          <w:dstrike w:val="0"/>
          <w:color w:val="auto"/>
          <w:sz w:val="21"/>
          <w:szCs w:val="21"/>
          <w:highlight w:val="none"/>
        </w:rPr>
        <w:t xml:space="preserve"> </w:t>
      </w:r>
    </w:p>
    <w:p w14:paraId="78857B0E">
      <w:pPr>
        <w:pStyle w:val="15"/>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日 期：</w:t>
      </w:r>
      <w:r>
        <w:rPr>
          <w:rFonts w:hint="eastAsia" w:ascii="宋体" w:hAnsi="宋体" w:eastAsia="宋体" w:cs="宋体"/>
          <w:strike w:val="0"/>
          <w:dstrike w:val="0"/>
          <w:color w:val="auto"/>
          <w:sz w:val="21"/>
          <w:szCs w:val="21"/>
          <w:highlight w:val="none"/>
          <w:u w:val="single"/>
        </w:rPr>
        <w:t xml:space="preserve">                           </w:t>
      </w:r>
      <w:r>
        <w:rPr>
          <w:rFonts w:hint="eastAsia" w:ascii="宋体" w:hAnsi="宋体" w:eastAsia="宋体" w:cs="宋体"/>
          <w:color w:val="auto"/>
          <w:spacing w:val="6"/>
          <w:sz w:val="21"/>
          <w:szCs w:val="21"/>
          <w:highlight w:val="none"/>
        </w:rPr>
        <w:t xml:space="preserve">              </w:t>
      </w:r>
    </w:p>
    <w:p w14:paraId="091A3929">
      <w:pPr>
        <w:pStyle w:val="73"/>
        <w:keepNext w:val="0"/>
        <w:keepLines w:val="0"/>
        <w:pageBreakBefore w:val="0"/>
        <w:widowControl w:val="0"/>
        <w:kinsoku/>
        <w:wordWrap/>
        <w:overflowPunct/>
        <w:topLinePunct w:val="0"/>
        <w:autoSpaceDE/>
        <w:autoSpaceDN/>
        <w:bidi w:val="0"/>
        <w:adjustRightInd/>
        <w:snapToGrid/>
        <w:spacing w:line="500" w:lineRule="exact"/>
        <w:ind w:firstLine="413" w:firstLineChars="196"/>
        <w:textAlignment w:val="auto"/>
        <w:rPr>
          <w:rFonts w:hint="eastAsia" w:ascii="宋体" w:hAnsi="宋体" w:eastAsia="宋体" w:cs="宋体"/>
          <w:b/>
          <w:bCs/>
          <w:color w:val="auto"/>
          <w:sz w:val="21"/>
          <w:szCs w:val="21"/>
          <w:highlight w:val="none"/>
          <w:lang w:eastAsia="zh-CN"/>
        </w:rPr>
      </w:pPr>
    </w:p>
    <w:p w14:paraId="5BFDE230">
      <w:pPr>
        <w:pStyle w:val="73"/>
        <w:keepNext w:val="0"/>
        <w:keepLines w:val="0"/>
        <w:pageBreakBefore w:val="0"/>
        <w:widowControl w:val="0"/>
        <w:kinsoku/>
        <w:wordWrap/>
        <w:overflowPunct/>
        <w:topLinePunct w:val="0"/>
        <w:autoSpaceDE/>
        <w:autoSpaceDN/>
        <w:bidi w:val="0"/>
        <w:adjustRightInd/>
        <w:snapToGrid/>
        <w:spacing w:line="500" w:lineRule="exact"/>
        <w:ind w:firstLine="413" w:firstLineChars="196"/>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3ECCA771">
      <w:pPr>
        <w:widowControl/>
        <w:spacing w:line="540" w:lineRule="exact"/>
        <w:jc w:val="left"/>
        <w:outlineLvl w:val="2"/>
        <w:rPr>
          <w:rFonts w:ascii="宋体" w:hAnsi="宋体" w:cs="宋体"/>
          <w:b/>
          <w:color w:val="auto"/>
          <w:kern w:val="0"/>
          <w:sz w:val="30"/>
          <w:szCs w:val="30"/>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w:t>
      </w:r>
      <w:r>
        <w:rPr>
          <w:rFonts w:hint="eastAsia" w:ascii="宋体" w:hAnsi="宋体" w:eastAsia="宋体" w:cs="宋体"/>
          <w:b/>
          <w:bCs/>
          <w:color w:val="auto"/>
          <w:kern w:val="2"/>
          <w:sz w:val="21"/>
          <w:szCs w:val="21"/>
          <w:highlight w:val="none"/>
          <w:lang w:val="en-US" w:eastAsia="zh-CN" w:bidi="ar-SA"/>
        </w:rPr>
        <w:t>标人提供的货物既有中小企业制造货物，也有大型企业制造货物的，不享受本办法规定的中小企业扶持政策。</w:t>
      </w:r>
      <w:r>
        <w:rPr>
          <w:rFonts w:ascii="宋体"/>
          <w:b/>
          <w:color w:val="auto"/>
          <w:sz w:val="24"/>
          <w:highlight w:val="none"/>
        </w:rPr>
        <w:br w:type="page"/>
      </w:r>
    </w:p>
    <w:p w14:paraId="6D1F7103">
      <w:pPr>
        <w:widowControl/>
        <w:spacing w:line="540" w:lineRule="exact"/>
        <w:jc w:val="center"/>
        <w:outlineLvl w:val="2"/>
        <w:rPr>
          <w:rFonts w:asci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四</w:t>
      </w:r>
      <w:r>
        <w:rPr>
          <w:rFonts w:hint="eastAsia" w:ascii="宋体" w:hAnsi="宋体" w:cs="宋体"/>
          <w:b/>
          <w:bCs/>
          <w:color w:val="auto"/>
          <w:kern w:val="0"/>
          <w:sz w:val="30"/>
          <w:szCs w:val="30"/>
          <w:highlight w:val="none"/>
        </w:rPr>
        <w:t>、残疾人福利性单位声明函（若有）</w:t>
      </w:r>
    </w:p>
    <w:p w14:paraId="42B7BBC4">
      <w:pPr>
        <w:spacing w:line="588" w:lineRule="exact"/>
        <w:rPr>
          <w:rFonts w:ascii="仿宋_GB2312" w:eastAsia="仿宋_GB2312"/>
          <w:b/>
          <w:color w:val="auto"/>
          <w:spacing w:val="6"/>
          <w:sz w:val="30"/>
          <w:szCs w:val="30"/>
          <w:highlight w:val="none"/>
        </w:rPr>
      </w:pPr>
    </w:p>
    <w:p w14:paraId="59EC8FED">
      <w:pPr>
        <w:snapToGrid w:val="0"/>
        <w:spacing w:line="540" w:lineRule="exact"/>
        <w:ind w:firstLine="420" w:firstLineChars="200"/>
        <w:rPr>
          <w:rFonts w:ascii="宋体" w:cs="宋体"/>
          <w:color w:val="auto"/>
          <w:highlight w:val="none"/>
        </w:rPr>
      </w:pPr>
      <w:r>
        <w:rPr>
          <w:rFonts w:hint="eastAsia" w:ascii="宋体" w:hAnsi="宋体" w:cs="宋体"/>
          <w:color w:val="auto"/>
          <w:highlight w:val="none"/>
        </w:rPr>
        <w:t>本单位郑重声明，根据《财政部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号）的规定，本单位为符合条件的残疾人福利性单位，且本单位参加</w:t>
      </w:r>
      <w:r>
        <w:rPr>
          <w:rFonts w:ascii="宋体" w:hAnsi="宋体" w:cs="宋体"/>
          <w:color w:val="auto"/>
          <w:highlight w:val="none"/>
          <w:u w:val="single"/>
        </w:rPr>
        <w:t xml:space="preserve">                  </w:t>
      </w:r>
      <w:r>
        <w:rPr>
          <w:rFonts w:hint="eastAsia" w:ascii="宋体" w:hAnsi="宋体" w:cs="宋体"/>
          <w:color w:val="auto"/>
          <w:highlight w:val="none"/>
        </w:rPr>
        <w:t>单位的</w:t>
      </w:r>
      <w:r>
        <w:rPr>
          <w:rFonts w:hint="eastAsia" w:ascii="宋体" w:hAnsi="宋体" w:cs="宋体"/>
          <w:color w:val="auto"/>
          <w:highlight w:val="none"/>
          <w:u w:val="single"/>
        </w:rPr>
        <w:t>开化县钱江源共富农品精深加工项目——物联网数据系统和桐村畈基地水肥一体机（非政府采购）</w:t>
      </w:r>
      <w:r>
        <w:rPr>
          <w:rFonts w:hint="eastAsia" w:ascii="宋体" w:hAnsi="宋体" w:cs="宋体"/>
          <w:color w:val="auto"/>
          <w:highlight w:val="none"/>
        </w:rPr>
        <w:t>采购活动提供本单位制造的货物（由本单位承担工程</w:t>
      </w:r>
      <w:r>
        <w:rPr>
          <w:rFonts w:ascii="宋体" w:hAnsi="宋体" w:cs="宋体"/>
          <w:color w:val="auto"/>
          <w:highlight w:val="none"/>
        </w:rPr>
        <w:t>/</w:t>
      </w:r>
      <w:r>
        <w:rPr>
          <w:rFonts w:hint="eastAsia" w:ascii="宋体" w:hAnsi="宋体" w:cs="宋体"/>
          <w:color w:val="auto"/>
          <w:highlight w:val="none"/>
        </w:rPr>
        <w:t>提供服务），或者提供其他残疾人福利性单位制造的货物（不包括使用非残疾人福利性单位注册商标的货物）。</w:t>
      </w:r>
    </w:p>
    <w:p w14:paraId="60C97F8E">
      <w:pPr>
        <w:snapToGrid w:val="0"/>
        <w:spacing w:line="540" w:lineRule="exact"/>
        <w:ind w:firstLine="420" w:firstLineChars="200"/>
        <w:rPr>
          <w:rFonts w:ascii="宋体" w:cs="宋体"/>
          <w:color w:val="auto"/>
          <w:highlight w:val="none"/>
        </w:rPr>
      </w:pPr>
      <w:r>
        <w:rPr>
          <w:rFonts w:hint="eastAsia" w:ascii="宋体" w:hAnsi="宋体" w:cs="宋体"/>
          <w:color w:val="auto"/>
          <w:highlight w:val="none"/>
        </w:rPr>
        <w:t>本单位对上述声明的真实性负责。如有虚假，将依法承担相应责任。</w:t>
      </w:r>
    </w:p>
    <w:p w14:paraId="0308E66F">
      <w:pPr>
        <w:snapToGrid w:val="0"/>
        <w:spacing w:line="360" w:lineRule="auto"/>
        <w:ind w:firstLine="420" w:firstLineChars="200"/>
        <w:rPr>
          <w:rFonts w:ascii="宋体" w:cs="宋体"/>
          <w:color w:val="auto"/>
          <w:highlight w:val="none"/>
        </w:rPr>
      </w:pPr>
    </w:p>
    <w:p w14:paraId="7F43A4D3">
      <w:pPr>
        <w:tabs>
          <w:tab w:val="left" w:pos="863"/>
        </w:tabs>
        <w:jc w:val="left"/>
        <w:rPr>
          <w:color w:val="auto"/>
          <w:szCs w:val="24"/>
          <w:highlight w:val="none"/>
        </w:rPr>
      </w:pPr>
      <w:r>
        <w:rPr>
          <w:rFonts w:ascii="宋体" w:hAnsi="宋体" w:cs="宋体"/>
          <w:b/>
          <w:color w:val="auto"/>
          <w:kern w:val="0"/>
          <w:highlight w:val="none"/>
        </w:rPr>
        <w:t>注：不属于残疾人福利性单位的，此函可不提供。</w:t>
      </w:r>
    </w:p>
    <w:p w14:paraId="13F67604">
      <w:pPr>
        <w:widowControl/>
        <w:spacing w:line="540" w:lineRule="exact"/>
        <w:jc w:val="center"/>
        <w:outlineLvl w:val="2"/>
        <w:rPr>
          <w:rFonts w:ascii="仿宋" w:hAnsi="仿宋" w:eastAsia="仿宋" w:cs="宋体"/>
          <w:b/>
          <w:color w:val="auto"/>
          <w:kern w:val="0"/>
          <w:sz w:val="30"/>
          <w:szCs w:val="30"/>
          <w:highlight w:val="none"/>
        </w:rPr>
      </w:pPr>
      <w:r>
        <w:rPr>
          <w:rFonts w:ascii="仿宋" w:hAnsi="仿宋" w:eastAsia="仿宋" w:cs="宋体"/>
          <w:b/>
          <w:color w:val="auto"/>
          <w:kern w:val="0"/>
          <w:sz w:val="30"/>
          <w:szCs w:val="30"/>
          <w:highlight w:val="none"/>
        </w:rPr>
        <w:br w:type="page"/>
      </w:r>
    </w:p>
    <w:p w14:paraId="6259B3FC">
      <w:pPr>
        <w:widowControl/>
        <w:spacing w:line="540" w:lineRule="exact"/>
        <w:outlineLvl w:val="2"/>
        <w:rPr>
          <w:rFonts w:ascii="仿宋" w:hAnsi="仿宋" w:eastAsia="仿宋" w:cs="宋体"/>
          <w:b/>
          <w:color w:val="auto"/>
          <w:kern w:val="0"/>
          <w:sz w:val="30"/>
          <w:szCs w:val="30"/>
          <w:highlight w:val="none"/>
        </w:rPr>
      </w:pPr>
    </w:p>
    <w:p w14:paraId="5D2F961F">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五</w:t>
      </w:r>
      <w:r>
        <w:rPr>
          <w:rFonts w:hint="eastAsia" w:ascii="宋体" w:hAnsi="宋体" w:cs="宋体"/>
          <w:b/>
          <w:bCs/>
          <w:color w:val="auto"/>
          <w:kern w:val="0"/>
          <w:sz w:val="30"/>
          <w:szCs w:val="30"/>
          <w:highlight w:val="none"/>
        </w:rPr>
        <w:t>、省级以上监狱管理局、戒毒管理局（含新疆生产建设兵团）</w:t>
      </w:r>
    </w:p>
    <w:p w14:paraId="6F1501D2">
      <w:pPr>
        <w:snapToGrid w:val="0"/>
        <w:spacing w:line="5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出具的属于监狱企业的证明文件（若有）</w:t>
      </w:r>
    </w:p>
    <w:p w14:paraId="518C9988">
      <w:pPr>
        <w:spacing w:line="540" w:lineRule="exact"/>
        <w:jc w:val="center"/>
        <w:rPr>
          <w:rFonts w:ascii="宋体" w:hAnsi="宋体" w:cs="宋体"/>
          <w:b/>
          <w:bCs/>
          <w:color w:val="auto"/>
          <w:kern w:val="0"/>
          <w:sz w:val="30"/>
          <w:szCs w:val="30"/>
          <w:highlight w:val="none"/>
        </w:rPr>
      </w:pPr>
    </w:p>
    <w:p w14:paraId="5447E3B0">
      <w:pPr>
        <w:spacing w:line="540" w:lineRule="exact"/>
        <w:jc w:val="center"/>
        <w:rPr>
          <w:rFonts w:ascii="宋体" w:hAnsi="宋体" w:cs="宋体"/>
          <w:b/>
          <w:bCs/>
          <w:color w:val="auto"/>
          <w:kern w:val="0"/>
          <w:sz w:val="30"/>
          <w:szCs w:val="30"/>
          <w:highlight w:val="none"/>
        </w:rPr>
      </w:pPr>
    </w:p>
    <w:p w14:paraId="4E3A029B">
      <w:pPr>
        <w:tabs>
          <w:tab w:val="left" w:pos="863"/>
        </w:tabs>
        <w:jc w:val="left"/>
        <w:rPr>
          <w:color w:val="auto"/>
          <w:szCs w:val="24"/>
          <w:highlight w:val="none"/>
        </w:rPr>
      </w:pPr>
      <w:r>
        <w:rPr>
          <w:rFonts w:ascii="宋体" w:hAnsi="宋体" w:cs="宋体"/>
          <w:b/>
          <w:color w:val="auto"/>
          <w:kern w:val="0"/>
          <w:highlight w:val="none"/>
        </w:rPr>
        <w:t>注：不属于监狱企业的，可不提供。</w:t>
      </w:r>
    </w:p>
    <w:p w14:paraId="5430C4D8">
      <w:pPr>
        <w:widowControl/>
        <w:spacing w:line="540" w:lineRule="exact"/>
        <w:jc w:val="center"/>
        <w:outlineLvl w:val="2"/>
        <w:rPr>
          <w:rFonts w:hint="eastAsia" w:ascii="宋体" w:hAnsi="宋体" w:cs="宋体"/>
          <w:b/>
          <w:bCs/>
          <w:color w:val="auto"/>
          <w:kern w:val="0"/>
          <w:sz w:val="30"/>
          <w:szCs w:val="30"/>
          <w:highlight w:val="none"/>
          <w:lang w:eastAsia="zh-CN"/>
        </w:rPr>
      </w:pPr>
    </w:p>
    <w:p w14:paraId="7577BA12">
      <w:pPr>
        <w:widowControl/>
        <w:spacing w:line="540" w:lineRule="exact"/>
        <w:jc w:val="center"/>
        <w:outlineLvl w:val="2"/>
        <w:rPr>
          <w:rFonts w:hint="eastAsia" w:ascii="宋体" w:hAnsi="宋体" w:cs="宋体"/>
          <w:b/>
          <w:bCs/>
          <w:color w:val="auto"/>
          <w:kern w:val="0"/>
          <w:sz w:val="30"/>
          <w:szCs w:val="30"/>
          <w:highlight w:val="none"/>
          <w:lang w:eastAsia="zh-CN"/>
        </w:rPr>
      </w:pPr>
    </w:p>
    <w:p w14:paraId="194A64C4">
      <w:pPr>
        <w:widowControl/>
        <w:spacing w:line="540" w:lineRule="exact"/>
        <w:jc w:val="center"/>
        <w:outlineLvl w:val="2"/>
        <w:rPr>
          <w:rFonts w:hint="eastAsia" w:ascii="宋体" w:hAnsi="宋体" w:cs="宋体"/>
          <w:b/>
          <w:bCs/>
          <w:color w:val="auto"/>
          <w:kern w:val="0"/>
          <w:sz w:val="30"/>
          <w:szCs w:val="30"/>
          <w:highlight w:val="none"/>
          <w:lang w:eastAsia="zh-CN"/>
        </w:rPr>
      </w:pPr>
    </w:p>
    <w:p w14:paraId="6F13A0FB">
      <w:pPr>
        <w:widowControl/>
        <w:spacing w:line="540" w:lineRule="exact"/>
        <w:jc w:val="center"/>
        <w:outlineLvl w:val="2"/>
        <w:rPr>
          <w:rFonts w:hint="eastAsia" w:ascii="宋体" w:hAnsi="宋体" w:cs="宋体"/>
          <w:b/>
          <w:bCs/>
          <w:color w:val="auto"/>
          <w:kern w:val="0"/>
          <w:sz w:val="30"/>
          <w:szCs w:val="30"/>
          <w:highlight w:val="none"/>
          <w:lang w:eastAsia="zh-CN"/>
        </w:rPr>
      </w:pPr>
    </w:p>
    <w:p w14:paraId="20D89993">
      <w:pPr>
        <w:widowControl/>
        <w:spacing w:line="540" w:lineRule="exact"/>
        <w:jc w:val="center"/>
        <w:outlineLvl w:val="2"/>
        <w:rPr>
          <w:rFonts w:hint="eastAsia" w:ascii="宋体" w:hAnsi="宋体" w:cs="宋体"/>
          <w:b/>
          <w:bCs/>
          <w:color w:val="auto"/>
          <w:kern w:val="0"/>
          <w:sz w:val="30"/>
          <w:szCs w:val="30"/>
          <w:highlight w:val="none"/>
          <w:lang w:eastAsia="zh-CN"/>
        </w:rPr>
      </w:pPr>
    </w:p>
    <w:p w14:paraId="36C7715B">
      <w:pPr>
        <w:widowControl/>
        <w:spacing w:line="540" w:lineRule="exact"/>
        <w:jc w:val="center"/>
        <w:outlineLvl w:val="2"/>
        <w:rPr>
          <w:rFonts w:hint="eastAsia" w:ascii="宋体" w:hAnsi="宋体" w:cs="宋体"/>
          <w:b/>
          <w:bCs/>
          <w:color w:val="auto"/>
          <w:kern w:val="0"/>
          <w:sz w:val="30"/>
          <w:szCs w:val="30"/>
          <w:highlight w:val="none"/>
          <w:lang w:eastAsia="zh-CN"/>
        </w:rPr>
      </w:pPr>
    </w:p>
    <w:p w14:paraId="6018F801">
      <w:pPr>
        <w:widowControl/>
        <w:spacing w:line="540" w:lineRule="exact"/>
        <w:jc w:val="center"/>
        <w:outlineLvl w:val="2"/>
        <w:rPr>
          <w:rFonts w:hint="eastAsia" w:ascii="宋体" w:hAnsi="宋体" w:cs="宋体"/>
          <w:b/>
          <w:bCs/>
          <w:color w:val="auto"/>
          <w:kern w:val="0"/>
          <w:sz w:val="30"/>
          <w:szCs w:val="30"/>
          <w:highlight w:val="none"/>
          <w:lang w:eastAsia="zh-CN"/>
        </w:rPr>
      </w:pPr>
    </w:p>
    <w:p w14:paraId="19E45274">
      <w:pPr>
        <w:widowControl/>
        <w:spacing w:line="540" w:lineRule="exact"/>
        <w:jc w:val="center"/>
        <w:outlineLvl w:val="2"/>
        <w:rPr>
          <w:rFonts w:hint="eastAsia" w:ascii="宋体" w:hAnsi="宋体" w:cs="宋体"/>
          <w:b/>
          <w:bCs/>
          <w:color w:val="auto"/>
          <w:kern w:val="0"/>
          <w:sz w:val="30"/>
          <w:szCs w:val="30"/>
          <w:highlight w:val="none"/>
          <w:lang w:eastAsia="zh-CN"/>
        </w:rPr>
      </w:pPr>
    </w:p>
    <w:p w14:paraId="6ABFF254">
      <w:pPr>
        <w:widowControl/>
        <w:spacing w:line="540" w:lineRule="exact"/>
        <w:jc w:val="center"/>
        <w:outlineLvl w:val="2"/>
        <w:rPr>
          <w:rFonts w:hint="eastAsia" w:ascii="宋体" w:hAnsi="宋体" w:cs="宋体"/>
          <w:b/>
          <w:bCs/>
          <w:color w:val="auto"/>
          <w:kern w:val="0"/>
          <w:sz w:val="30"/>
          <w:szCs w:val="30"/>
          <w:highlight w:val="none"/>
          <w:lang w:eastAsia="zh-CN"/>
        </w:rPr>
      </w:pPr>
    </w:p>
    <w:p w14:paraId="0586F121">
      <w:pPr>
        <w:widowControl/>
        <w:spacing w:line="540" w:lineRule="exact"/>
        <w:jc w:val="center"/>
        <w:outlineLvl w:val="2"/>
        <w:rPr>
          <w:rFonts w:hint="eastAsia" w:ascii="宋体" w:hAnsi="宋体" w:cs="宋体"/>
          <w:b/>
          <w:bCs/>
          <w:color w:val="auto"/>
          <w:kern w:val="0"/>
          <w:sz w:val="30"/>
          <w:szCs w:val="30"/>
          <w:highlight w:val="none"/>
          <w:lang w:eastAsia="zh-CN"/>
        </w:rPr>
      </w:pPr>
    </w:p>
    <w:p w14:paraId="56E6EEA0">
      <w:pPr>
        <w:widowControl/>
        <w:spacing w:line="540" w:lineRule="exact"/>
        <w:jc w:val="center"/>
        <w:outlineLvl w:val="2"/>
        <w:rPr>
          <w:rFonts w:hint="eastAsia" w:ascii="宋体" w:hAnsi="宋体" w:cs="宋体"/>
          <w:b/>
          <w:bCs/>
          <w:color w:val="auto"/>
          <w:kern w:val="0"/>
          <w:sz w:val="30"/>
          <w:szCs w:val="30"/>
          <w:highlight w:val="none"/>
          <w:lang w:eastAsia="zh-CN"/>
        </w:rPr>
      </w:pPr>
    </w:p>
    <w:p w14:paraId="4145CB1E">
      <w:pPr>
        <w:widowControl/>
        <w:spacing w:line="540" w:lineRule="exact"/>
        <w:jc w:val="center"/>
        <w:outlineLvl w:val="2"/>
        <w:rPr>
          <w:rFonts w:hint="eastAsia" w:ascii="宋体" w:hAnsi="宋体" w:cs="宋体"/>
          <w:b/>
          <w:bCs/>
          <w:color w:val="auto"/>
          <w:kern w:val="0"/>
          <w:sz w:val="30"/>
          <w:szCs w:val="30"/>
          <w:highlight w:val="none"/>
          <w:lang w:eastAsia="zh-CN"/>
        </w:rPr>
      </w:pPr>
    </w:p>
    <w:p w14:paraId="491DAA88">
      <w:pPr>
        <w:widowControl/>
        <w:spacing w:line="540" w:lineRule="exact"/>
        <w:jc w:val="center"/>
        <w:outlineLvl w:val="2"/>
        <w:rPr>
          <w:rFonts w:hint="eastAsia" w:ascii="宋体" w:hAnsi="宋体" w:cs="宋体"/>
          <w:b/>
          <w:bCs/>
          <w:color w:val="auto"/>
          <w:kern w:val="0"/>
          <w:sz w:val="30"/>
          <w:szCs w:val="30"/>
          <w:highlight w:val="none"/>
          <w:lang w:eastAsia="zh-CN"/>
        </w:rPr>
      </w:pPr>
    </w:p>
    <w:p w14:paraId="52C79B17">
      <w:pPr>
        <w:widowControl/>
        <w:spacing w:line="540" w:lineRule="exact"/>
        <w:jc w:val="center"/>
        <w:outlineLvl w:val="2"/>
        <w:rPr>
          <w:rFonts w:hint="eastAsia" w:ascii="宋体" w:hAnsi="宋体" w:cs="宋体"/>
          <w:b/>
          <w:bCs/>
          <w:color w:val="auto"/>
          <w:kern w:val="0"/>
          <w:sz w:val="30"/>
          <w:szCs w:val="30"/>
          <w:highlight w:val="none"/>
          <w:lang w:eastAsia="zh-CN"/>
        </w:rPr>
      </w:pPr>
    </w:p>
    <w:p w14:paraId="130733BA">
      <w:pPr>
        <w:widowControl/>
        <w:spacing w:line="540" w:lineRule="exact"/>
        <w:jc w:val="center"/>
        <w:outlineLvl w:val="2"/>
        <w:rPr>
          <w:rFonts w:hint="eastAsia" w:ascii="宋体" w:hAnsi="宋体" w:cs="宋体"/>
          <w:b/>
          <w:bCs/>
          <w:color w:val="auto"/>
          <w:kern w:val="0"/>
          <w:sz w:val="30"/>
          <w:szCs w:val="30"/>
          <w:highlight w:val="none"/>
          <w:lang w:eastAsia="zh-CN"/>
        </w:rPr>
      </w:pPr>
    </w:p>
    <w:p w14:paraId="4AC254AA">
      <w:pPr>
        <w:widowControl/>
        <w:spacing w:line="540" w:lineRule="exact"/>
        <w:jc w:val="center"/>
        <w:outlineLvl w:val="2"/>
        <w:rPr>
          <w:rFonts w:hint="eastAsia" w:ascii="宋体" w:hAnsi="宋体" w:cs="宋体"/>
          <w:b/>
          <w:bCs/>
          <w:color w:val="auto"/>
          <w:kern w:val="0"/>
          <w:sz w:val="30"/>
          <w:szCs w:val="30"/>
          <w:highlight w:val="none"/>
          <w:lang w:eastAsia="zh-CN"/>
        </w:rPr>
      </w:pPr>
    </w:p>
    <w:p w14:paraId="61D0AEE9">
      <w:pPr>
        <w:widowControl/>
        <w:spacing w:line="540" w:lineRule="exact"/>
        <w:jc w:val="center"/>
        <w:outlineLvl w:val="2"/>
        <w:rPr>
          <w:rFonts w:hint="eastAsia" w:ascii="宋体" w:hAnsi="宋体" w:cs="宋体"/>
          <w:b/>
          <w:bCs/>
          <w:color w:val="auto"/>
          <w:kern w:val="0"/>
          <w:sz w:val="30"/>
          <w:szCs w:val="30"/>
          <w:highlight w:val="none"/>
          <w:lang w:eastAsia="zh-CN"/>
        </w:rPr>
      </w:pPr>
    </w:p>
    <w:p w14:paraId="7C26E74B">
      <w:pPr>
        <w:widowControl/>
        <w:spacing w:line="540" w:lineRule="exact"/>
        <w:jc w:val="center"/>
        <w:outlineLvl w:val="2"/>
        <w:rPr>
          <w:rFonts w:hint="eastAsia" w:ascii="宋体" w:hAnsi="宋体" w:cs="宋体"/>
          <w:b/>
          <w:bCs/>
          <w:color w:val="auto"/>
          <w:kern w:val="0"/>
          <w:sz w:val="30"/>
          <w:szCs w:val="30"/>
          <w:highlight w:val="none"/>
          <w:lang w:eastAsia="zh-CN"/>
        </w:rPr>
      </w:pPr>
    </w:p>
    <w:p w14:paraId="1EF9028C">
      <w:pPr>
        <w:widowControl/>
        <w:spacing w:line="540" w:lineRule="exact"/>
        <w:jc w:val="center"/>
        <w:outlineLvl w:val="2"/>
        <w:rPr>
          <w:rFonts w:hint="eastAsia" w:ascii="宋体" w:hAnsi="宋体" w:cs="宋体"/>
          <w:b/>
          <w:bCs/>
          <w:color w:val="auto"/>
          <w:kern w:val="0"/>
          <w:sz w:val="30"/>
          <w:szCs w:val="30"/>
          <w:highlight w:val="none"/>
          <w:lang w:eastAsia="zh-CN"/>
        </w:rPr>
      </w:pPr>
    </w:p>
    <w:p w14:paraId="1033FB09">
      <w:pPr>
        <w:widowControl/>
        <w:spacing w:line="540" w:lineRule="exact"/>
        <w:jc w:val="center"/>
        <w:outlineLvl w:val="2"/>
        <w:rPr>
          <w:rFonts w:hint="eastAsia" w:ascii="宋体" w:hAnsi="宋体" w:cs="宋体"/>
          <w:b/>
          <w:bCs/>
          <w:color w:val="auto"/>
          <w:kern w:val="0"/>
          <w:sz w:val="30"/>
          <w:szCs w:val="30"/>
          <w:highlight w:val="none"/>
          <w:lang w:eastAsia="zh-CN"/>
        </w:rPr>
      </w:pPr>
    </w:p>
    <w:p w14:paraId="232E2D06">
      <w:pPr>
        <w:widowControl/>
        <w:spacing w:line="540" w:lineRule="exact"/>
        <w:jc w:val="center"/>
        <w:outlineLvl w:val="2"/>
        <w:rPr>
          <w:rFonts w:hint="eastAsia" w:ascii="宋体" w:hAnsi="宋体" w:cs="宋体"/>
          <w:b/>
          <w:bCs/>
          <w:color w:val="auto"/>
          <w:kern w:val="0"/>
          <w:sz w:val="30"/>
          <w:szCs w:val="30"/>
          <w:highlight w:val="none"/>
          <w:lang w:eastAsia="zh-CN"/>
        </w:rPr>
      </w:pPr>
    </w:p>
    <w:p w14:paraId="6481C6F3">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六</w:t>
      </w:r>
      <w:r>
        <w:rPr>
          <w:rFonts w:hint="eastAsia" w:ascii="宋体" w:hAnsi="宋体" w:cs="宋体"/>
          <w:b/>
          <w:bCs/>
          <w:color w:val="auto"/>
          <w:kern w:val="0"/>
          <w:sz w:val="30"/>
          <w:szCs w:val="30"/>
          <w:highlight w:val="none"/>
        </w:rPr>
        <w:t>、</w:t>
      </w:r>
      <w:bookmarkEnd w:id="140"/>
      <w:bookmarkEnd w:id="141"/>
      <w:bookmarkEnd w:id="142"/>
      <w:r>
        <w:rPr>
          <w:rFonts w:hint="eastAsia" w:ascii="宋体" w:hAnsi="宋体" w:cs="宋体"/>
          <w:b/>
          <w:bCs/>
          <w:color w:val="auto"/>
          <w:kern w:val="0"/>
          <w:sz w:val="30"/>
          <w:szCs w:val="30"/>
          <w:highlight w:val="none"/>
        </w:rPr>
        <w:t>法人或者其他组织的营业执照等证明文件扫描件</w:t>
      </w:r>
    </w:p>
    <w:p w14:paraId="38C57175">
      <w:pPr>
        <w:spacing w:line="440" w:lineRule="exact"/>
        <w:jc w:val="center"/>
        <w:outlineLvl w:val="2"/>
        <w:rPr>
          <w:rFonts w:ascii="宋体" w:hAnsi="宋体" w:cs="宋体"/>
          <w:b/>
          <w:color w:val="auto"/>
          <w:sz w:val="30"/>
          <w:szCs w:val="30"/>
          <w:highlight w:val="none"/>
        </w:rPr>
      </w:pPr>
      <w:bookmarkStart w:id="143" w:name="_Toc476230513"/>
      <w:bookmarkStart w:id="144" w:name="_Toc495666242"/>
      <w:bookmarkStart w:id="145" w:name="_Toc476229718"/>
      <w:bookmarkStart w:id="146" w:name="_Toc504642691"/>
      <w:bookmarkStart w:id="147" w:name="_Toc476230925"/>
      <w:bookmarkStart w:id="148" w:name="_Toc476230649"/>
      <w:r>
        <w:rPr>
          <w:rFonts w:ascii="仿宋" w:hAnsi="仿宋" w:eastAsia="仿宋"/>
          <w:b/>
          <w:color w:val="auto"/>
          <w:kern w:val="0"/>
          <w:sz w:val="30"/>
          <w:szCs w:val="30"/>
          <w:highlight w:val="none"/>
        </w:rPr>
        <w:br w:type="page"/>
      </w:r>
      <w:r>
        <w:rPr>
          <w:rFonts w:hint="eastAsia" w:ascii="宋体" w:hAnsi="宋体" w:eastAsia="仿宋" w:cs="宋体"/>
          <w:b/>
          <w:bCs/>
          <w:color w:val="auto"/>
          <w:kern w:val="0"/>
          <w:sz w:val="30"/>
          <w:szCs w:val="30"/>
          <w:highlight w:val="none"/>
          <w:lang w:eastAsia="zh-CN"/>
        </w:rPr>
        <w:t>七</w:t>
      </w:r>
      <w:r>
        <w:rPr>
          <w:rFonts w:hint="eastAsia" w:ascii="宋体" w:hAnsi="宋体" w:cs="宋体"/>
          <w:b/>
          <w:bCs/>
          <w:color w:val="auto"/>
          <w:kern w:val="0"/>
          <w:sz w:val="30"/>
          <w:szCs w:val="30"/>
          <w:highlight w:val="none"/>
        </w:rPr>
        <w:t>、</w:t>
      </w:r>
      <w:bookmarkEnd w:id="143"/>
      <w:bookmarkEnd w:id="144"/>
      <w:bookmarkEnd w:id="145"/>
      <w:bookmarkEnd w:id="146"/>
      <w:bookmarkEnd w:id="147"/>
      <w:bookmarkEnd w:id="148"/>
      <w:r>
        <w:rPr>
          <w:rFonts w:hint="eastAsia" w:ascii="宋体" w:hAnsi="宋体" w:cs="宋体"/>
          <w:b/>
          <w:color w:val="auto"/>
          <w:sz w:val="30"/>
          <w:szCs w:val="30"/>
          <w:highlight w:val="none"/>
        </w:rPr>
        <w:t>法定代表人身份证明及身份证（正、反面）扫描件</w:t>
      </w:r>
    </w:p>
    <w:p w14:paraId="6365E1D2">
      <w:pPr>
        <w:spacing w:line="540" w:lineRule="exact"/>
        <w:ind w:firstLine="420" w:firstLineChars="200"/>
        <w:rPr>
          <w:rFonts w:ascii="宋体" w:hAnsi="宋体" w:cs="宋体"/>
          <w:color w:val="auto"/>
          <w:highlight w:val="none"/>
        </w:rPr>
      </w:pPr>
    </w:p>
    <w:p w14:paraId="477DADE7">
      <w:pPr>
        <w:spacing w:line="600" w:lineRule="exact"/>
        <w:ind w:firstLine="945" w:firstLineChars="450"/>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14:paraId="0D34B0BE">
      <w:pPr>
        <w:spacing w:line="600" w:lineRule="exact"/>
        <w:ind w:firstLine="945" w:firstLineChars="450"/>
        <w:rPr>
          <w:rFonts w:ascii="宋体" w:hAnsi="宋体" w:cs="宋体"/>
          <w:color w:val="auto"/>
          <w:highlight w:val="none"/>
          <w:u w:val="singl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14:paraId="1A0DF01F">
      <w:pPr>
        <w:spacing w:line="600" w:lineRule="exact"/>
        <w:ind w:firstLine="945" w:firstLineChars="450"/>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14:paraId="742D90F9">
      <w:pPr>
        <w:spacing w:line="600" w:lineRule="exact"/>
        <w:ind w:firstLine="945" w:firstLineChars="450"/>
        <w:rPr>
          <w:rFonts w:ascii="宋体" w:hAnsi="宋体" w:cs="宋体"/>
          <w:color w:val="auto"/>
          <w:highlight w:val="none"/>
          <w:u w:val="singl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14:paraId="0CEE42F8">
      <w:pPr>
        <w:spacing w:line="600" w:lineRule="exact"/>
        <w:ind w:firstLine="945" w:firstLineChars="450"/>
        <w:rPr>
          <w:rFonts w:ascii="宋体" w:hAnsi="宋体" w:cs="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1DA3824B">
      <w:pPr>
        <w:spacing w:line="600" w:lineRule="exact"/>
        <w:ind w:firstLine="945" w:firstLineChars="450"/>
        <w:rPr>
          <w:rFonts w:ascii="宋体" w:hAnsi="宋体" w:cs="宋体"/>
          <w:color w:val="auto"/>
          <w:highlight w:val="none"/>
          <w:u w:val="singl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14:paraId="0CBD23EB">
      <w:pPr>
        <w:spacing w:line="600" w:lineRule="exact"/>
        <w:ind w:firstLine="945" w:firstLineChars="450"/>
        <w:rPr>
          <w:rFonts w:ascii="宋体" w:hAnsi="宋体" w:cs="宋体"/>
          <w:color w:val="auto"/>
          <w:highlight w:val="none"/>
          <w:u w:val="singl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性    别：</w:t>
      </w:r>
      <w:r>
        <w:rPr>
          <w:rFonts w:hint="eastAsia" w:ascii="宋体" w:hAnsi="宋体" w:cs="宋体"/>
          <w:color w:val="auto"/>
          <w:highlight w:val="none"/>
          <w:u w:val="single"/>
        </w:rPr>
        <w:t xml:space="preserve">            </w:t>
      </w:r>
    </w:p>
    <w:p w14:paraId="355AB3B8">
      <w:pPr>
        <w:spacing w:line="600" w:lineRule="exact"/>
        <w:ind w:firstLine="945" w:firstLineChars="450"/>
        <w:rPr>
          <w:rFonts w:ascii="宋体" w:hAnsi="宋体" w:cs="宋体"/>
          <w:color w:val="auto"/>
          <w:highlight w:val="none"/>
          <w:u w:val="singl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职    务：</w:t>
      </w:r>
      <w:r>
        <w:rPr>
          <w:rFonts w:hint="eastAsia" w:ascii="宋体" w:hAnsi="宋体" w:cs="宋体"/>
          <w:color w:val="auto"/>
          <w:highlight w:val="none"/>
          <w:u w:val="single"/>
        </w:rPr>
        <w:t xml:space="preserve">            </w:t>
      </w:r>
    </w:p>
    <w:p w14:paraId="16B6678C">
      <w:pPr>
        <w:spacing w:line="600" w:lineRule="exact"/>
        <w:ind w:firstLine="945" w:firstLineChars="450"/>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（投标人全称）的法定代表人。</w:t>
      </w:r>
    </w:p>
    <w:p w14:paraId="72B20815">
      <w:pPr>
        <w:spacing w:line="600" w:lineRule="exact"/>
        <w:ind w:firstLine="945" w:firstLineChars="450"/>
        <w:rPr>
          <w:rFonts w:ascii="宋体" w:hAnsi="宋体" w:cs="宋体"/>
          <w:color w:val="auto"/>
          <w:highlight w:val="none"/>
        </w:rPr>
      </w:pPr>
      <w:r>
        <w:rPr>
          <w:rFonts w:hint="eastAsia" w:ascii="宋体" w:hAnsi="宋体" w:cs="宋体"/>
          <w:color w:val="auto"/>
          <w:highlight w:val="none"/>
        </w:rPr>
        <w:t>特此证明。</w:t>
      </w:r>
    </w:p>
    <w:p w14:paraId="786323B2">
      <w:pPr>
        <w:spacing w:line="600" w:lineRule="exact"/>
        <w:ind w:firstLine="949" w:firstLineChars="450"/>
        <w:rPr>
          <w:rFonts w:ascii="宋体" w:hAnsi="宋体" w:cs="宋体"/>
          <w:color w:val="auto"/>
          <w:highlight w:val="none"/>
        </w:rPr>
      </w:pPr>
      <w:r>
        <w:rPr>
          <w:rFonts w:hint="eastAsia" w:ascii="宋体" w:hAnsi="宋体" w:cs="宋体"/>
          <w:b/>
          <w:bCs/>
          <w:color w:val="auto"/>
          <w:highlight w:val="none"/>
        </w:rPr>
        <w:t>注：附身份证扫描件（正、反两面）</w:t>
      </w:r>
    </w:p>
    <w:p w14:paraId="7CC91E04">
      <w:pPr>
        <w:widowControl/>
        <w:spacing w:line="540" w:lineRule="exact"/>
        <w:jc w:val="center"/>
        <w:outlineLvl w:val="2"/>
        <w:rPr>
          <w:rFonts w:ascii="宋体" w:hAnsi="宋体" w:cs="宋体"/>
          <w:b/>
          <w:bCs/>
          <w:color w:val="auto"/>
          <w:kern w:val="0"/>
          <w:sz w:val="30"/>
          <w:szCs w:val="30"/>
          <w:highlight w:val="none"/>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F6563AA">
      <w:pPr>
        <w:spacing w:line="440" w:lineRule="atLeast"/>
        <w:jc w:val="center"/>
        <w:rPr>
          <w:rFonts w:ascii="仿宋" w:hAnsi="仿宋" w:eastAsia="仿宋"/>
          <w:b/>
          <w:color w:val="auto"/>
          <w:sz w:val="24"/>
          <w:highlight w:val="none"/>
        </w:rPr>
      </w:pPr>
    </w:p>
    <w:p w14:paraId="22116E66">
      <w:pPr>
        <w:widowControl/>
        <w:spacing w:line="540" w:lineRule="exact"/>
        <w:ind w:firstLine="480" w:firstLineChars="200"/>
        <w:jc w:val="left"/>
        <w:rPr>
          <w:rFonts w:ascii="仿宋" w:hAnsi="仿宋" w:eastAsia="仿宋" w:cs="宋体"/>
          <w:color w:val="auto"/>
          <w:kern w:val="0"/>
          <w:sz w:val="24"/>
          <w:highlight w:val="none"/>
        </w:rPr>
      </w:pPr>
    </w:p>
    <w:p w14:paraId="446C72B8">
      <w:pPr>
        <w:spacing w:line="440" w:lineRule="atLeast"/>
        <w:rPr>
          <w:rFonts w:asciiTheme="minorEastAsia" w:hAnsiTheme="minorEastAsia" w:eastAsiaTheme="minorEastAsia" w:cstheme="minorEastAsia"/>
          <w:color w:val="auto"/>
          <w:highlight w:val="none"/>
        </w:rPr>
      </w:pPr>
    </w:p>
    <w:p w14:paraId="6164F3A8">
      <w:pPr>
        <w:widowControl/>
        <w:spacing w:line="540" w:lineRule="exact"/>
        <w:jc w:val="center"/>
        <w:outlineLvl w:val="2"/>
        <w:rPr>
          <w:rFonts w:ascii="仿宋" w:hAnsi="仿宋" w:eastAsia="仿宋" w:cs="宋体"/>
          <w:color w:val="auto"/>
          <w:kern w:val="0"/>
          <w:sz w:val="24"/>
          <w:highlight w:val="none"/>
        </w:rPr>
      </w:pPr>
      <w:bookmarkStart w:id="149" w:name="_Toc435706553"/>
      <w:bookmarkStart w:id="150" w:name="_Toc433882655"/>
      <w:bookmarkStart w:id="151" w:name="_Toc476230926"/>
      <w:bookmarkStart w:id="152" w:name="_Toc471819742"/>
      <w:bookmarkStart w:id="153" w:name="_Toc476229719"/>
      <w:bookmarkStart w:id="154" w:name="_Toc437331624"/>
      <w:bookmarkStart w:id="155" w:name="_Toc471819802"/>
      <w:bookmarkStart w:id="156" w:name="_Toc504642692"/>
      <w:bookmarkStart w:id="157" w:name="_Toc467572542"/>
      <w:bookmarkStart w:id="158" w:name="_Toc437331313"/>
      <w:bookmarkStart w:id="159" w:name="_Toc468954260"/>
      <w:bookmarkStart w:id="160" w:name="_Toc470270009"/>
      <w:bookmarkStart w:id="161" w:name="_Toc495666243"/>
      <w:bookmarkStart w:id="162" w:name="_Toc437509335"/>
      <w:bookmarkStart w:id="163" w:name="_Toc424199684"/>
      <w:bookmarkStart w:id="164" w:name="_Toc476230514"/>
      <w:bookmarkStart w:id="165" w:name="_Toc437504038"/>
      <w:bookmarkStart w:id="166" w:name="_Toc469475477"/>
      <w:bookmarkStart w:id="167" w:name="_Toc463851852"/>
      <w:bookmarkStart w:id="168" w:name="_Toc470269893"/>
      <w:bookmarkStart w:id="169" w:name="_Toc476230650"/>
      <w:r>
        <w:rPr>
          <w:rFonts w:ascii="仿宋" w:hAnsi="仿宋" w:eastAsia="仿宋" w:cs="宋体"/>
          <w:color w:val="auto"/>
          <w:kern w:val="0"/>
          <w:sz w:val="24"/>
          <w:highlight w:val="none"/>
        </w:rPr>
        <w:br w:type="page"/>
      </w:r>
    </w:p>
    <w:p w14:paraId="5C6D6B6F">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八</w:t>
      </w:r>
      <w:r>
        <w:rPr>
          <w:rFonts w:hint="eastAsia" w:ascii="宋体" w:hAnsi="宋体" w:cs="宋体"/>
          <w:b/>
          <w:bCs/>
          <w:color w:val="auto"/>
          <w:kern w:val="0"/>
          <w:sz w:val="30"/>
          <w:szCs w:val="30"/>
          <w:highlight w:val="none"/>
        </w:rPr>
        <w:t>、法定代表人授权委托书</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A8C1C37">
      <w:pPr>
        <w:pStyle w:val="76"/>
        <w:ind w:firstLine="440"/>
        <w:rPr>
          <w:color w:val="auto"/>
          <w:highlight w:val="none"/>
        </w:rPr>
      </w:pPr>
    </w:p>
    <w:p w14:paraId="1081A8BC">
      <w:pPr>
        <w:snapToGrid w:val="0"/>
        <w:spacing w:beforeLines="50" w:after="50" w:line="540" w:lineRule="exact"/>
        <w:ind w:firstLine="420" w:firstLineChars="200"/>
        <w:rPr>
          <w:rFonts w:asciiTheme="minorEastAsia" w:hAnsiTheme="minorEastAsia" w:eastAsiaTheme="minorEastAsia" w:cstheme="minorEastAsia"/>
          <w:color w:val="auto"/>
          <w:highlight w:val="none"/>
        </w:rPr>
      </w:pPr>
      <w:bookmarkStart w:id="170" w:name="_Toc424199685"/>
      <w:bookmarkStart w:id="171" w:name="_Toc433882656"/>
      <w:r>
        <w:rPr>
          <w:rFonts w:hint="eastAsia" w:asciiTheme="minorEastAsia" w:hAnsiTheme="minorEastAsia" w:eastAsiaTheme="minorEastAsia" w:cstheme="minorEastAsia"/>
          <w:color w:val="auto"/>
          <w:highlight w:val="none"/>
        </w:rPr>
        <w:t>本授权书声明：我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（法定代表人姓名）是</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（单位名称）的法人代表，现授权委托本单位在职职工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（姓名，被授权人必须为本单位正式在职员工）为全权代表，以我方的名义参加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（项目名称）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（项目编号）的磋商活动，并代表我方全权办理针对上述项目的响应、磋商、</w:t>
      </w:r>
      <w:r>
        <w:rPr>
          <w:rFonts w:asciiTheme="minorEastAsia" w:hAnsiTheme="minorEastAsia" w:eastAsiaTheme="minorEastAsia" w:cstheme="minorEastAsia"/>
          <w:color w:val="auto"/>
          <w:highlight w:val="none"/>
        </w:rPr>
        <w:t>评审</w:t>
      </w:r>
      <w:r>
        <w:rPr>
          <w:rFonts w:hint="eastAsia" w:asciiTheme="minorEastAsia" w:hAnsiTheme="minorEastAsia" w:eastAsiaTheme="minorEastAsia" w:cstheme="minorEastAsia"/>
          <w:color w:val="auto"/>
          <w:highlight w:val="none"/>
        </w:rPr>
        <w:t>、签约等具体事务和签署相关文件。我方对全权代表的签名事项负全部责任。</w:t>
      </w:r>
    </w:p>
    <w:p w14:paraId="5C45F21C">
      <w:pPr>
        <w:snapToGrid w:val="0"/>
        <w:spacing w:line="5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全权代表无转委托权，特此委托。</w:t>
      </w:r>
    </w:p>
    <w:p w14:paraId="42CE0F23">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日生效，特此声明。</w:t>
      </w:r>
    </w:p>
    <w:p w14:paraId="76D2AA27">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w:t>
      </w:r>
    </w:p>
    <w:p w14:paraId="175EC07A">
      <w:pPr>
        <w:spacing w:line="540" w:lineRule="exact"/>
        <w:ind w:firstLine="420" w:firstLineChars="200"/>
        <w:jc w:val="lef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授权委托人：</w:t>
      </w:r>
      <w:r>
        <w:rPr>
          <w:rFonts w:hint="eastAsia" w:asciiTheme="minorEastAsia" w:hAnsiTheme="minorEastAsia" w:eastAsiaTheme="minorEastAsia" w:cstheme="minorEastAsia"/>
          <w:color w:val="auto"/>
          <w:highlight w:val="none"/>
          <w:u w:val="single"/>
        </w:rPr>
        <w:t xml:space="preserve">                       </w:t>
      </w:r>
    </w:p>
    <w:p w14:paraId="19352B2B">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xml:space="preserve">                         </w:t>
      </w:r>
    </w:p>
    <w:p w14:paraId="5BBCAD1C">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w:t>
      </w:r>
      <w:r>
        <w:rPr>
          <w:rFonts w:hint="eastAsia" w:ascii="宋体" w:hAnsi="宋体" w:cs="宋体"/>
          <w:color w:val="auto"/>
          <w:highlight w:val="none"/>
        </w:rPr>
        <w:t>签章</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p>
    <w:p w14:paraId="7154B3CC">
      <w:pPr>
        <w:spacing w:line="54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bookmarkEnd w:id="170"/>
    <w:bookmarkEnd w:id="171"/>
    <w:p w14:paraId="08C928E3">
      <w:pPr>
        <w:spacing w:line="600" w:lineRule="exact"/>
        <w:ind w:firstLine="422" w:firstLineChars="200"/>
        <w:rPr>
          <w:rFonts w:ascii="宋体" w:hAnsi="宋体" w:cs="宋体"/>
          <w:color w:val="auto"/>
          <w:highlight w:val="none"/>
        </w:rPr>
      </w:pPr>
      <w:bookmarkStart w:id="172" w:name="_Toc476230515"/>
      <w:bookmarkStart w:id="173" w:name="_Toc495666244"/>
      <w:bookmarkStart w:id="174" w:name="_Toc476229720"/>
      <w:bookmarkStart w:id="175" w:name="_Toc476230927"/>
      <w:bookmarkStart w:id="176" w:name="_Toc504642693"/>
      <w:bookmarkStart w:id="177" w:name="_Toc476230651"/>
      <w:r>
        <w:rPr>
          <w:rFonts w:hint="eastAsia" w:ascii="宋体" w:hAnsi="宋体" w:cs="宋体"/>
          <w:b/>
          <w:bCs/>
          <w:color w:val="auto"/>
          <w:highlight w:val="none"/>
        </w:rPr>
        <w:t>注：附身份证扫描件（正、反两面）</w:t>
      </w:r>
    </w:p>
    <w:bookmarkEnd w:id="172"/>
    <w:bookmarkEnd w:id="173"/>
    <w:bookmarkEnd w:id="174"/>
    <w:bookmarkEnd w:id="175"/>
    <w:bookmarkEnd w:id="176"/>
    <w:bookmarkEnd w:id="177"/>
    <w:p w14:paraId="383DD8A5">
      <w:pPr>
        <w:widowControl/>
        <w:spacing w:line="540" w:lineRule="exact"/>
        <w:jc w:val="center"/>
        <w:outlineLvl w:val="2"/>
        <w:rPr>
          <w:rFonts w:ascii="宋体" w:hAnsi="宋体" w:cs="宋体"/>
          <w:b/>
          <w:bCs/>
          <w:color w:val="auto"/>
          <w:kern w:val="0"/>
          <w:sz w:val="30"/>
          <w:szCs w:val="30"/>
          <w:highlight w:val="none"/>
        </w:rPr>
      </w:pPr>
      <w:bookmarkStart w:id="178" w:name="_Toc17717"/>
      <w:bookmarkStart w:id="179" w:name="_Toc15508"/>
      <w:bookmarkStart w:id="180" w:name="_Toc15264"/>
    </w:p>
    <w:p w14:paraId="558C7F01">
      <w:pPr>
        <w:widowControl/>
        <w:spacing w:line="540" w:lineRule="exact"/>
        <w:jc w:val="center"/>
        <w:outlineLvl w:val="2"/>
        <w:rPr>
          <w:rFonts w:ascii="宋体" w:hAnsi="宋体" w:cs="宋体"/>
          <w:b/>
          <w:bCs/>
          <w:color w:val="auto"/>
          <w:kern w:val="0"/>
          <w:sz w:val="30"/>
          <w:szCs w:val="30"/>
          <w:highlight w:val="none"/>
        </w:rPr>
      </w:pPr>
    </w:p>
    <w:p w14:paraId="46D30BB4">
      <w:pPr>
        <w:widowControl/>
        <w:spacing w:line="540" w:lineRule="exact"/>
        <w:jc w:val="center"/>
        <w:outlineLvl w:val="2"/>
        <w:rPr>
          <w:rFonts w:ascii="宋体" w:hAnsi="宋体" w:cs="宋体"/>
          <w:b/>
          <w:bCs/>
          <w:color w:val="auto"/>
          <w:kern w:val="0"/>
          <w:sz w:val="30"/>
          <w:szCs w:val="30"/>
          <w:highlight w:val="none"/>
        </w:rPr>
      </w:pPr>
    </w:p>
    <w:p w14:paraId="0AF42F4A">
      <w:pPr>
        <w:widowControl/>
        <w:spacing w:line="540" w:lineRule="exact"/>
        <w:jc w:val="center"/>
        <w:outlineLvl w:val="2"/>
        <w:rPr>
          <w:rFonts w:ascii="宋体" w:hAnsi="宋体" w:cs="宋体"/>
          <w:b/>
          <w:bCs/>
          <w:color w:val="auto"/>
          <w:kern w:val="0"/>
          <w:sz w:val="30"/>
          <w:szCs w:val="30"/>
          <w:highlight w:val="none"/>
        </w:rPr>
      </w:pPr>
    </w:p>
    <w:p w14:paraId="454DF72D">
      <w:pPr>
        <w:widowControl/>
        <w:spacing w:line="540" w:lineRule="exact"/>
        <w:jc w:val="center"/>
        <w:outlineLvl w:val="2"/>
        <w:rPr>
          <w:rFonts w:ascii="宋体" w:hAnsi="宋体" w:cs="宋体"/>
          <w:b/>
          <w:bCs/>
          <w:color w:val="auto"/>
          <w:kern w:val="0"/>
          <w:sz w:val="30"/>
          <w:szCs w:val="30"/>
          <w:highlight w:val="none"/>
        </w:rPr>
      </w:pPr>
    </w:p>
    <w:p w14:paraId="7A5CA99B">
      <w:pPr>
        <w:widowControl/>
        <w:spacing w:line="540" w:lineRule="exact"/>
        <w:jc w:val="center"/>
        <w:outlineLvl w:val="2"/>
        <w:rPr>
          <w:rFonts w:ascii="宋体" w:hAnsi="宋体" w:cs="宋体"/>
          <w:b/>
          <w:bCs/>
          <w:color w:val="auto"/>
          <w:kern w:val="0"/>
          <w:sz w:val="30"/>
          <w:szCs w:val="30"/>
          <w:highlight w:val="none"/>
        </w:rPr>
      </w:pPr>
    </w:p>
    <w:p w14:paraId="607478F7">
      <w:pPr>
        <w:widowControl/>
        <w:spacing w:line="540" w:lineRule="exact"/>
        <w:jc w:val="center"/>
        <w:outlineLvl w:val="2"/>
        <w:rPr>
          <w:rFonts w:ascii="宋体" w:hAnsi="宋体" w:cs="宋体"/>
          <w:b/>
          <w:bCs/>
          <w:color w:val="auto"/>
          <w:kern w:val="0"/>
          <w:sz w:val="30"/>
          <w:szCs w:val="30"/>
          <w:highlight w:val="none"/>
        </w:rPr>
      </w:pPr>
    </w:p>
    <w:p w14:paraId="075151F3">
      <w:pPr>
        <w:widowControl/>
        <w:spacing w:line="540" w:lineRule="exact"/>
        <w:jc w:val="center"/>
        <w:outlineLvl w:val="2"/>
        <w:rPr>
          <w:rFonts w:ascii="宋体" w:hAnsi="宋体" w:cs="宋体"/>
          <w:b/>
          <w:bCs/>
          <w:color w:val="auto"/>
          <w:kern w:val="0"/>
          <w:sz w:val="30"/>
          <w:szCs w:val="30"/>
          <w:highlight w:val="none"/>
        </w:rPr>
      </w:pPr>
    </w:p>
    <w:p w14:paraId="21F7BE82">
      <w:pPr>
        <w:widowControl/>
        <w:spacing w:line="540" w:lineRule="exact"/>
        <w:outlineLvl w:val="2"/>
        <w:rPr>
          <w:rFonts w:ascii="宋体" w:hAnsi="宋体" w:cs="宋体"/>
          <w:b/>
          <w:bCs/>
          <w:color w:val="auto"/>
          <w:kern w:val="0"/>
          <w:sz w:val="30"/>
          <w:szCs w:val="30"/>
          <w:highlight w:val="none"/>
        </w:rPr>
      </w:pPr>
    </w:p>
    <w:p w14:paraId="55EF2E71">
      <w:pPr>
        <w:widowControl/>
        <w:spacing w:line="540" w:lineRule="exact"/>
        <w:jc w:val="center"/>
        <w:outlineLvl w:val="2"/>
        <w:rPr>
          <w:rFonts w:ascii="宋体" w:hAnsi="宋体" w:cs="宋体"/>
          <w:b/>
          <w:bCs/>
          <w:color w:val="auto"/>
          <w:kern w:val="0"/>
          <w:sz w:val="30"/>
          <w:szCs w:val="30"/>
          <w:highlight w:val="none"/>
        </w:rPr>
      </w:pPr>
    </w:p>
    <w:bookmarkEnd w:id="178"/>
    <w:bookmarkEnd w:id="179"/>
    <w:bookmarkEnd w:id="180"/>
    <w:p w14:paraId="62C14548">
      <w:pPr>
        <w:widowControl/>
        <w:spacing w:line="540" w:lineRule="exact"/>
        <w:outlineLvl w:val="2"/>
        <w:rPr>
          <w:rFonts w:ascii="宋体" w:hAnsi="宋体" w:cs="宋体"/>
          <w:b/>
          <w:bCs/>
          <w:color w:val="auto"/>
          <w:kern w:val="0"/>
          <w:sz w:val="30"/>
          <w:szCs w:val="30"/>
          <w:highlight w:val="none"/>
        </w:rPr>
      </w:pPr>
      <w:bookmarkStart w:id="181" w:name="_Toc504642695"/>
      <w:bookmarkStart w:id="182" w:name="_Toc476230929"/>
      <w:bookmarkStart w:id="183" w:name="_Toc476229722"/>
      <w:bookmarkStart w:id="184" w:name="_Toc476230517"/>
      <w:bookmarkStart w:id="185" w:name="_Toc495666246"/>
      <w:bookmarkStart w:id="186" w:name="_Toc476230653"/>
      <w:r>
        <w:rPr>
          <w:rFonts w:hint="eastAsia" w:ascii="宋体" w:hAnsi="宋体" w:cs="宋体"/>
          <w:b/>
          <w:bCs/>
          <w:color w:val="auto"/>
          <w:kern w:val="0"/>
          <w:sz w:val="30"/>
          <w:szCs w:val="30"/>
          <w:highlight w:val="none"/>
        </w:rPr>
        <w:br w:type="page"/>
      </w:r>
    </w:p>
    <w:p w14:paraId="59DCF018">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九</w:t>
      </w:r>
      <w:r>
        <w:rPr>
          <w:rFonts w:hint="eastAsia" w:ascii="宋体" w:hAnsi="宋体" w:cs="宋体"/>
          <w:b/>
          <w:bCs/>
          <w:color w:val="auto"/>
          <w:kern w:val="0"/>
          <w:sz w:val="30"/>
          <w:szCs w:val="30"/>
          <w:highlight w:val="none"/>
        </w:rPr>
        <w:t>、</w:t>
      </w:r>
      <w:bookmarkStart w:id="187" w:name="_Toc469926096"/>
      <w:bookmarkStart w:id="188" w:name="_Toc463851857"/>
      <w:bookmarkStart w:id="189" w:name="_Toc467572547"/>
      <w:r>
        <w:rPr>
          <w:rFonts w:hint="eastAsia" w:ascii="宋体" w:hAnsi="宋体" w:cs="宋体"/>
          <w:b/>
          <w:bCs/>
          <w:color w:val="auto"/>
          <w:kern w:val="0"/>
          <w:sz w:val="30"/>
          <w:szCs w:val="30"/>
          <w:highlight w:val="none"/>
        </w:rPr>
        <w:t>磋商前三年内</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在经营活动中没有重大违法记录的承诺书</w:t>
      </w:r>
      <w:bookmarkEnd w:id="181"/>
      <w:bookmarkEnd w:id="182"/>
      <w:bookmarkEnd w:id="183"/>
      <w:bookmarkEnd w:id="184"/>
      <w:bookmarkEnd w:id="185"/>
      <w:bookmarkEnd w:id="186"/>
      <w:bookmarkEnd w:id="187"/>
      <w:bookmarkEnd w:id="188"/>
      <w:bookmarkEnd w:id="189"/>
    </w:p>
    <w:p w14:paraId="2CD73855">
      <w:pPr>
        <w:snapToGrid w:val="0"/>
        <w:spacing w:line="360" w:lineRule="auto"/>
        <w:rPr>
          <w:rFonts w:ascii="宋体" w:hAnsi="宋体"/>
          <w:color w:val="auto"/>
          <w:highlight w:val="none"/>
        </w:rPr>
      </w:pPr>
      <w:bookmarkStart w:id="190" w:name="_Toc476229723"/>
      <w:bookmarkStart w:id="191" w:name="_Toc476230654"/>
      <w:bookmarkStart w:id="192" w:name="_Toc504642696"/>
      <w:bookmarkStart w:id="193" w:name="_Toc476230930"/>
      <w:bookmarkStart w:id="194" w:name="_Toc495666248"/>
      <w:bookmarkStart w:id="195" w:name="_Toc476230518"/>
    </w:p>
    <w:p w14:paraId="1FB8C775">
      <w:pPr>
        <w:widowControl/>
        <w:spacing w:line="380" w:lineRule="exact"/>
        <w:jc w:val="center"/>
        <w:outlineLvl w:val="2"/>
        <w:rPr>
          <w:rFonts w:ascii="仿宋" w:hAnsi="仿宋" w:eastAsia="仿宋"/>
          <w:b/>
          <w:color w:val="auto"/>
          <w:kern w:val="0"/>
          <w:sz w:val="30"/>
          <w:szCs w:val="30"/>
          <w:highlight w:val="none"/>
        </w:rPr>
      </w:pPr>
      <w:r>
        <w:rPr>
          <w:rFonts w:ascii="仿宋" w:hAnsi="仿宋" w:eastAsia="仿宋"/>
          <w:b/>
          <w:color w:val="auto"/>
          <w:kern w:val="0"/>
          <w:sz w:val="30"/>
          <w:szCs w:val="30"/>
          <w:highlight w:val="none"/>
        </w:rPr>
        <w:br w:type="page"/>
      </w:r>
      <w:bookmarkEnd w:id="190"/>
      <w:bookmarkEnd w:id="191"/>
      <w:bookmarkEnd w:id="192"/>
      <w:bookmarkEnd w:id="193"/>
      <w:bookmarkEnd w:id="194"/>
      <w:bookmarkEnd w:id="195"/>
      <w:bookmarkStart w:id="196" w:name="_Toc476230519"/>
      <w:bookmarkStart w:id="197" w:name="_Toc495666249"/>
      <w:bookmarkStart w:id="198" w:name="_Toc476229724"/>
      <w:bookmarkStart w:id="199" w:name="_Toc504642697"/>
      <w:bookmarkStart w:id="200" w:name="_Toc476230655"/>
      <w:bookmarkStart w:id="201" w:name="_Toc476230931"/>
    </w:p>
    <w:p w14:paraId="003B230F">
      <w:pPr>
        <w:widowControl/>
        <w:spacing w:line="380" w:lineRule="exact"/>
        <w:jc w:val="center"/>
        <w:outlineLvl w:val="2"/>
        <w:rPr>
          <w:rFonts w:ascii="宋体" w:hAnsi="宋体" w:cs="宋体"/>
          <w:b/>
          <w:bCs/>
          <w:color w:val="auto"/>
          <w:kern w:val="0"/>
          <w:sz w:val="30"/>
          <w:szCs w:val="30"/>
          <w:highlight w:val="none"/>
        </w:rPr>
      </w:pPr>
      <w:r>
        <w:rPr>
          <w:rFonts w:hint="eastAsia" w:ascii="宋体" w:hAnsi="宋体" w:cs="宋体"/>
          <w:b/>
          <w:color w:val="auto"/>
          <w:kern w:val="0"/>
          <w:sz w:val="30"/>
          <w:szCs w:val="30"/>
          <w:highlight w:val="none"/>
          <w:lang w:eastAsia="zh-CN"/>
        </w:rPr>
        <w:t>十</w:t>
      </w:r>
      <w:r>
        <w:rPr>
          <w:rFonts w:hint="eastAsia" w:ascii="宋体" w:hAnsi="宋体" w:eastAsia="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w:t>
      </w:r>
      <w:r>
        <w:rPr>
          <w:rFonts w:hint="eastAsia" w:ascii="宋体" w:hAnsi="宋体" w:cs="宋体"/>
          <w:b/>
          <w:bCs/>
          <w:color w:val="auto"/>
          <w:kern w:val="0"/>
          <w:sz w:val="30"/>
          <w:szCs w:val="30"/>
          <w:highlight w:val="none"/>
        </w:rPr>
        <w:t>需要说明的其他文件和说明</w:t>
      </w:r>
      <w:bookmarkEnd w:id="196"/>
      <w:bookmarkEnd w:id="197"/>
      <w:bookmarkEnd w:id="198"/>
      <w:bookmarkEnd w:id="199"/>
      <w:bookmarkEnd w:id="200"/>
      <w:bookmarkEnd w:id="201"/>
    </w:p>
    <w:p w14:paraId="685D21B0">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202" w:name="_Toc336671816"/>
      <w:bookmarkStart w:id="203" w:name="_Toc336678150"/>
      <w:bookmarkStart w:id="204" w:name="_Toc336331391"/>
      <w:r>
        <w:rPr>
          <w:rFonts w:hint="eastAsia" w:ascii="宋体" w:hAnsi="宋体"/>
          <w:b/>
          <w:color w:val="auto"/>
          <w:sz w:val="30"/>
          <w:szCs w:val="30"/>
          <w:highlight w:val="none"/>
        </w:rPr>
        <w:t>正本或副本</w:t>
      </w:r>
    </w:p>
    <w:p w14:paraId="2CB9662F">
      <w:pPr>
        <w:spacing w:beforeLines="100" w:line="440" w:lineRule="atLeast"/>
        <w:jc w:val="center"/>
        <w:outlineLvl w:val="1"/>
        <w:rPr>
          <w:rFonts w:ascii="宋体" w:hAnsi="宋体"/>
          <w:b/>
          <w:color w:val="auto"/>
          <w:sz w:val="44"/>
          <w:szCs w:val="44"/>
          <w:highlight w:val="none"/>
        </w:rPr>
      </w:pPr>
      <w:bookmarkStart w:id="205" w:name="_Toc470270014"/>
      <w:bookmarkStart w:id="206" w:name="_Toc476230656"/>
      <w:bookmarkStart w:id="207" w:name="_Toc471819803"/>
      <w:bookmarkStart w:id="208" w:name="_Toc463851859"/>
      <w:bookmarkStart w:id="209" w:name="_Toc476230932"/>
      <w:bookmarkStart w:id="210" w:name="_Toc495666250"/>
      <w:bookmarkStart w:id="211" w:name="_Toc471819743"/>
      <w:bookmarkStart w:id="212" w:name="_Toc433882659"/>
      <w:bookmarkStart w:id="213" w:name="_Toc468954267"/>
      <w:bookmarkStart w:id="214" w:name="_Toc470269898"/>
      <w:bookmarkStart w:id="215" w:name="_Toc437331628"/>
      <w:bookmarkStart w:id="216" w:name="_Toc476230520"/>
      <w:bookmarkStart w:id="217" w:name="_Toc504642698"/>
      <w:bookmarkStart w:id="218" w:name="_Toc467572549"/>
      <w:bookmarkStart w:id="219" w:name="_Toc476229725"/>
      <w:bookmarkStart w:id="220" w:name="_Toc435706557"/>
      <w:bookmarkStart w:id="221" w:name="_Toc469475483"/>
      <w:bookmarkStart w:id="222" w:name="_Toc424199688"/>
    </w:p>
    <w:p w14:paraId="6AE73CE9">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F0D3454">
      <w:pPr>
        <w:spacing w:line="440" w:lineRule="atLeast"/>
        <w:jc w:val="center"/>
        <w:rPr>
          <w:rFonts w:ascii="宋体" w:hAnsi="宋体"/>
          <w:b/>
          <w:color w:val="auto"/>
          <w:sz w:val="32"/>
          <w:szCs w:val="32"/>
          <w:highlight w:val="none"/>
        </w:rPr>
      </w:pPr>
    </w:p>
    <w:p w14:paraId="5B03BD60">
      <w:pPr>
        <w:ind w:left="2241" w:leftChars="334" w:hanging="1540" w:hangingChars="550"/>
        <w:rPr>
          <w:rFonts w:ascii="黑体" w:hAnsi="黑体" w:eastAsia="黑体" w:cs="黑体"/>
          <w:bCs/>
          <w:color w:val="auto"/>
          <w:sz w:val="28"/>
          <w:szCs w:val="28"/>
          <w:highlight w:val="none"/>
        </w:rPr>
      </w:pPr>
    </w:p>
    <w:p w14:paraId="27B2FB94">
      <w:pPr>
        <w:ind w:left="2235" w:leftChars="342" w:hanging="1517" w:hangingChars="542"/>
        <w:rPr>
          <w:rFonts w:hint="eastAsia" w:ascii="黑体" w:hAnsi="宋体" w:eastAsia="黑体"/>
          <w:color w:val="auto"/>
          <w:sz w:val="28"/>
          <w:szCs w:val="28"/>
          <w:highlight w:val="none"/>
          <w:u w:val="single"/>
        </w:rPr>
      </w:pPr>
      <w:r>
        <w:rPr>
          <w:rFonts w:hint="eastAsia" w:ascii="黑体" w:hAnsi="黑体" w:eastAsia="黑体" w:cs="黑体"/>
          <w:bCs/>
          <w:color w:val="auto"/>
          <w:sz w:val="28"/>
          <w:szCs w:val="28"/>
          <w:highlight w:val="none"/>
        </w:rPr>
        <w:t>项目名称：</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开化县钱江源共富农品精深加工项目——物联网</w:t>
      </w:r>
    </w:p>
    <w:p w14:paraId="492B8829">
      <w:pPr>
        <w:keepNext w:val="0"/>
        <w:keepLines w:val="0"/>
        <w:pageBreakBefore w:val="0"/>
        <w:widowControl w:val="0"/>
        <w:kinsoku/>
        <w:wordWrap/>
        <w:overflowPunct/>
        <w:topLinePunct w:val="0"/>
        <w:autoSpaceDE/>
        <w:autoSpaceDN/>
        <w:bidi w:val="0"/>
        <w:adjustRightInd/>
        <w:snapToGrid/>
        <w:ind w:left="2014" w:leftChars="359" w:hanging="1260" w:hangingChars="450"/>
        <w:textAlignment w:val="auto"/>
        <w:rPr>
          <w:rFonts w:hint="default" w:ascii="黑体" w:hAnsi="黑体" w:eastAsia="黑体" w:cs="黑体"/>
          <w:bCs/>
          <w:color w:val="auto"/>
          <w:sz w:val="28"/>
          <w:szCs w:val="28"/>
          <w:highlight w:val="none"/>
          <w:u w:val="single"/>
          <w:lang w:val="en-US"/>
        </w:rPr>
      </w:pPr>
      <w:r>
        <w:rPr>
          <w:rFonts w:hint="eastAsia" w:ascii="黑体" w:hAnsi="宋体" w:eastAsia="黑体"/>
          <w:color w:val="auto"/>
          <w:sz w:val="28"/>
          <w:szCs w:val="28"/>
          <w:highlight w:val="none"/>
          <w:u w:val="none"/>
          <w:lang w:val="en-US" w:eastAsia="zh-CN"/>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数据系统和桐村畈基地水肥一体机（非政府采购） </w:t>
      </w:r>
      <w:r>
        <w:rPr>
          <w:rFonts w:hint="eastAsia" w:ascii="黑体" w:hAnsi="宋体" w:eastAsia="黑体"/>
          <w:color w:val="auto"/>
          <w:sz w:val="28"/>
          <w:szCs w:val="28"/>
          <w:highlight w:val="none"/>
          <w:u w:val="none"/>
          <w:lang w:val="en-US" w:eastAsia="zh-CN"/>
        </w:rPr>
        <w:t xml:space="preserve">  </w:t>
      </w:r>
      <w:r>
        <w:rPr>
          <w:rFonts w:hint="eastAsia" w:ascii="黑体" w:hAnsi="黑体" w:eastAsia="黑体" w:cs="黑体"/>
          <w:bCs/>
          <w:color w:val="auto"/>
          <w:sz w:val="28"/>
          <w:szCs w:val="28"/>
          <w:highlight w:val="none"/>
          <w:u w:val="none"/>
          <w:lang w:val="en-US" w:eastAsia="zh-CN"/>
        </w:rPr>
        <w:t xml:space="preserve">   </w:t>
      </w:r>
    </w:p>
    <w:p w14:paraId="6FB6D41E">
      <w:pPr>
        <w:ind w:firstLine="700" w:firstLineChars="250"/>
        <w:rPr>
          <w:rFonts w:ascii="黑体" w:hAnsi="黑体" w:eastAsia="黑体" w:cs="黑体"/>
          <w:bCs/>
          <w:color w:val="auto"/>
          <w:sz w:val="28"/>
          <w:szCs w:val="28"/>
          <w:highlight w:val="none"/>
        </w:rPr>
      </w:pPr>
    </w:p>
    <w:p w14:paraId="4948A548">
      <w:pPr>
        <w:ind w:firstLine="700" w:firstLineChars="25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项目编号：</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rPr>
        <w:tab/>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eastAsia="zh-CN"/>
        </w:rPr>
        <w:t>ZJTJKH2024-08-02</w:t>
      </w:r>
      <w:r>
        <w:rPr>
          <w:rFonts w:hint="eastAsia" w:ascii="黑体" w:hAnsi="黑体" w:eastAsia="黑体" w:cs="黑体"/>
          <w:bCs/>
          <w:color w:val="auto"/>
          <w:sz w:val="28"/>
          <w:szCs w:val="28"/>
          <w:highlight w:val="none"/>
          <w:u w:val="single"/>
        </w:rPr>
        <w:t xml:space="preserve">                     </w:t>
      </w:r>
    </w:p>
    <w:p w14:paraId="2244B423">
      <w:pPr>
        <w:ind w:firstLine="700" w:firstLineChars="250"/>
        <w:jc w:val="left"/>
        <w:rPr>
          <w:rFonts w:ascii="黑体" w:hAnsi="黑体" w:eastAsia="黑体" w:cs="黑体"/>
          <w:bCs/>
          <w:color w:val="auto"/>
          <w:sz w:val="28"/>
          <w:szCs w:val="28"/>
          <w:highlight w:val="none"/>
        </w:rPr>
      </w:pPr>
    </w:p>
    <w:p w14:paraId="7F681B61">
      <w:pPr>
        <w:ind w:firstLine="700" w:firstLineChars="250"/>
        <w:jc w:val="left"/>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响应方名称：</w:t>
      </w:r>
      <w:r>
        <w:rPr>
          <w:rFonts w:hint="eastAsia" w:ascii="黑体" w:hAnsi="黑体" w:eastAsia="黑体" w:cs="黑体"/>
          <w:bCs/>
          <w:color w:val="auto"/>
          <w:sz w:val="28"/>
          <w:szCs w:val="28"/>
          <w:highlight w:val="none"/>
          <w:u w:val="single"/>
        </w:rPr>
        <w:t xml:space="preserve">                             </w:t>
      </w:r>
      <w:r>
        <w:rPr>
          <w:rFonts w:hint="eastAsia" w:ascii="黑体" w:hAnsi="黑体" w:eastAsia="黑体" w:cs="黑体"/>
          <w:bCs/>
          <w:color w:val="auto"/>
          <w:sz w:val="28"/>
          <w:szCs w:val="28"/>
          <w:highlight w:val="none"/>
          <w:u w:val="single"/>
          <w:lang w:val="en-US" w:eastAsia="zh-CN"/>
        </w:rPr>
        <w:t xml:space="preserve"> </w:t>
      </w:r>
      <w:r>
        <w:rPr>
          <w:rFonts w:hint="eastAsia" w:ascii="黑体" w:hAnsi="黑体" w:eastAsia="黑体" w:cs="黑体"/>
          <w:bCs/>
          <w:color w:val="auto"/>
          <w:sz w:val="28"/>
          <w:szCs w:val="28"/>
          <w:highlight w:val="none"/>
          <w:u w:val="single"/>
        </w:rPr>
        <w:t xml:space="preserve">    （盖公章）  </w:t>
      </w:r>
    </w:p>
    <w:p w14:paraId="34D74DCA">
      <w:pPr>
        <w:ind w:firstLine="700" w:firstLineChars="250"/>
        <w:jc w:val="left"/>
        <w:rPr>
          <w:rFonts w:ascii="黑体" w:hAnsi="黑体" w:eastAsia="黑体" w:cs="黑体"/>
          <w:bCs/>
          <w:color w:val="auto"/>
          <w:sz w:val="28"/>
          <w:szCs w:val="28"/>
          <w:highlight w:val="none"/>
        </w:rPr>
      </w:pPr>
    </w:p>
    <w:p w14:paraId="667E9CF0">
      <w:pPr>
        <w:spacing w:line="440" w:lineRule="atLeast"/>
        <w:jc w:val="left"/>
        <w:rPr>
          <w:rFonts w:ascii="宋体" w:hAnsi="宋体"/>
          <w:b/>
          <w:color w:val="auto"/>
          <w:sz w:val="28"/>
          <w:szCs w:val="28"/>
          <w:highlight w:val="none"/>
        </w:rPr>
      </w:pPr>
    </w:p>
    <w:p w14:paraId="4F75D710">
      <w:pPr>
        <w:spacing w:line="440" w:lineRule="atLeast"/>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rPr>
        <w:t xml:space="preserve"> </w:t>
      </w:r>
    </w:p>
    <w:p w14:paraId="6F20DD35">
      <w:pPr>
        <w:spacing w:line="440" w:lineRule="atLeast"/>
        <w:jc w:val="center"/>
        <w:rPr>
          <w:rFonts w:ascii="宋体" w:hAnsi="宋体"/>
          <w:b/>
          <w:color w:val="auto"/>
          <w:sz w:val="28"/>
          <w:szCs w:val="28"/>
          <w:highlight w:val="none"/>
        </w:rPr>
      </w:pPr>
    </w:p>
    <w:p w14:paraId="6A8391DC">
      <w:pPr>
        <w:spacing w:line="440" w:lineRule="atLeast"/>
        <w:jc w:val="center"/>
        <w:rPr>
          <w:rFonts w:ascii="宋体" w:hAnsi="宋体"/>
          <w:b/>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0EAD0AC6">
      <w:pPr>
        <w:spacing w:line="440" w:lineRule="atLeast"/>
        <w:jc w:val="center"/>
        <w:rPr>
          <w:rFonts w:ascii="宋体" w:cs="Times New Roman"/>
          <w:b/>
          <w:bCs/>
          <w:color w:val="auto"/>
          <w:sz w:val="30"/>
          <w:szCs w:val="30"/>
          <w:highlight w:val="none"/>
        </w:rPr>
      </w:pPr>
    </w:p>
    <w:p w14:paraId="2EA88B4A">
      <w:pPr>
        <w:spacing w:line="440" w:lineRule="atLeast"/>
        <w:jc w:val="center"/>
        <w:rPr>
          <w:rFonts w:ascii="宋体" w:cs="Times New Roman"/>
          <w:b/>
          <w:bCs/>
          <w:color w:val="auto"/>
          <w:sz w:val="30"/>
          <w:szCs w:val="30"/>
          <w:highlight w:val="none"/>
        </w:rPr>
      </w:pPr>
    </w:p>
    <w:p w14:paraId="2F77E3BC">
      <w:pPr>
        <w:spacing w:line="440" w:lineRule="atLeast"/>
        <w:jc w:val="center"/>
        <w:rPr>
          <w:rFonts w:ascii="宋体" w:cs="Times New Roman"/>
          <w:b/>
          <w:bCs/>
          <w:color w:val="auto"/>
          <w:sz w:val="30"/>
          <w:szCs w:val="30"/>
          <w:highlight w:val="none"/>
        </w:rPr>
      </w:pPr>
    </w:p>
    <w:p w14:paraId="7239F587">
      <w:pPr>
        <w:spacing w:line="440" w:lineRule="atLeast"/>
        <w:jc w:val="both"/>
        <w:rPr>
          <w:rFonts w:hint="eastAsia" w:ascii="宋体" w:hAnsi="宋体" w:cs="宋体"/>
          <w:b/>
          <w:bCs/>
          <w:color w:val="auto"/>
          <w:sz w:val="30"/>
          <w:szCs w:val="30"/>
          <w:highlight w:val="none"/>
        </w:rPr>
      </w:pPr>
    </w:p>
    <w:p w14:paraId="2F62CA4A">
      <w:pPr>
        <w:spacing w:line="440" w:lineRule="atLeast"/>
        <w:jc w:val="center"/>
        <w:rPr>
          <w:rFonts w:hint="eastAsia" w:ascii="宋体" w:hAnsi="宋体" w:cs="宋体"/>
          <w:b/>
          <w:bCs/>
          <w:color w:val="auto"/>
          <w:sz w:val="30"/>
          <w:szCs w:val="30"/>
          <w:highlight w:val="none"/>
        </w:rPr>
      </w:pPr>
    </w:p>
    <w:p w14:paraId="563DE5FE">
      <w:pPr>
        <w:spacing w:line="440" w:lineRule="atLeast"/>
        <w:jc w:val="center"/>
        <w:rPr>
          <w:rFonts w:ascii="宋体" w:cs="Times New Roman"/>
          <w:smallCaps/>
          <w:color w:val="auto"/>
          <w:kern w:val="0"/>
          <w:sz w:val="24"/>
          <w:szCs w:val="24"/>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0"/>
          <w:szCs w:val="30"/>
          <w:highlight w:val="none"/>
        </w:rPr>
        <w:t>技术商务文件目录</w:t>
      </w:r>
    </w:p>
    <w:p w14:paraId="17B5B7F5">
      <w:pPr>
        <w:spacing w:line="400" w:lineRule="exact"/>
        <w:ind w:firstLine="420" w:firstLineChars="200"/>
        <w:rPr>
          <w:rFonts w:ascii="宋体" w:cs="Times New Roman"/>
          <w:color w:val="auto"/>
          <w:highlight w:val="none"/>
        </w:rPr>
      </w:pPr>
    </w:p>
    <w:p w14:paraId="7863BDA2">
      <w:pPr>
        <w:pStyle w:val="14"/>
        <w:tabs>
          <w:tab w:val="right" w:leader="dot" w:pos="9061"/>
        </w:tabs>
        <w:spacing w:line="360" w:lineRule="auto"/>
        <w:ind w:left="0" w:leftChars="0"/>
        <w:jc w:val="left"/>
        <w:rPr>
          <w:rFonts w:hint="eastAsia"/>
          <w:color w:val="auto"/>
          <w:highlight w:val="none"/>
        </w:rPr>
      </w:pPr>
      <w:bookmarkStart w:id="223" w:name="_Toc392080805"/>
      <w:r>
        <w:rPr>
          <w:rFonts w:hint="eastAsia"/>
          <w:color w:val="auto"/>
          <w:highlight w:val="none"/>
        </w:rPr>
        <w:t>一、政府采购项目供应商技术商务评分索引表</w:t>
      </w:r>
    </w:p>
    <w:p w14:paraId="7A3A5F1E">
      <w:pPr>
        <w:pStyle w:val="14"/>
        <w:tabs>
          <w:tab w:val="right" w:leader="dot" w:pos="9061"/>
        </w:tabs>
        <w:spacing w:line="360" w:lineRule="auto"/>
        <w:ind w:left="0" w:leftChars="0"/>
        <w:jc w:val="left"/>
        <w:rPr>
          <w:rFonts w:hint="eastAsia"/>
          <w:color w:val="auto"/>
          <w:highlight w:val="none"/>
        </w:rPr>
      </w:pPr>
      <w:r>
        <w:rPr>
          <w:rFonts w:hint="eastAsia"/>
          <w:color w:val="auto"/>
          <w:highlight w:val="none"/>
        </w:rPr>
        <w:t>二、货物清单及规格、技术参数偏离表</w:t>
      </w:r>
    </w:p>
    <w:p w14:paraId="62DA2670">
      <w:pPr>
        <w:widowControl/>
        <w:spacing w:beforeLines="0" w:afterLines="0" w:line="380" w:lineRule="exact"/>
        <w:rPr>
          <w:rFonts w:hint="default" w:ascii="宋体" w:hAnsi="宋体" w:eastAsia="宋体"/>
          <w:color w:val="auto"/>
          <w:kern w:val="0"/>
          <w:sz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企业业绩</w:t>
      </w:r>
      <w:r>
        <w:rPr>
          <w:rFonts w:hint="default" w:ascii="宋体" w:hAnsi="宋体" w:eastAsia="宋体"/>
          <w:color w:val="auto"/>
          <w:kern w:val="0"/>
          <w:sz w:val="21"/>
          <w:highlight w:val="none"/>
        </w:rPr>
        <w:t>；</w:t>
      </w:r>
    </w:p>
    <w:p w14:paraId="2A2E4BA5">
      <w:pPr>
        <w:widowControl/>
        <w:spacing w:beforeLines="0" w:afterLines="0"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基本技术参数；</w:t>
      </w:r>
    </w:p>
    <w:p w14:paraId="75D40F46">
      <w:pPr>
        <w:widowControl/>
        <w:spacing w:beforeLines="0" w:afterLines="0" w:line="3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响应人企业实力；</w:t>
      </w:r>
    </w:p>
    <w:p w14:paraId="661F1011">
      <w:pPr>
        <w:widowControl/>
        <w:spacing w:beforeLines="0" w:afterLines="0" w:line="3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系统演示；</w:t>
      </w:r>
    </w:p>
    <w:p w14:paraId="6147B250">
      <w:pPr>
        <w:widowControl/>
        <w:spacing w:beforeLines="0" w:afterLines="0" w:line="3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eastAsia="zh-CN"/>
        </w:rPr>
        <w:t>技术培训方案；</w:t>
      </w:r>
    </w:p>
    <w:p w14:paraId="3F0CAA14">
      <w:pPr>
        <w:widowControl/>
        <w:spacing w:beforeLines="0" w:afterLines="0" w:line="3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eastAsia="zh-CN"/>
        </w:rPr>
        <w:t>项目实施方案；</w:t>
      </w:r>
    </w:p>
    <w:p w14:paraId="7B96410E">
      <w:pPr>
        <w:widowControl/>
        <w:spacing w:beforeLines="0" w:afterLines="0" w:line="38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售后服务方案；</w:t>
      </w:r>
    </w:p>
    <w:p w14:paraId="2B3B5B44">
      <w:pPr>
        <w:widowControl/>
        <w:spacing w:beforeLines="0" w:afterLines="0" w:line="380" w:lineRule="exact"/>
        <w:rPr>
          <w:rFonts w:hint="eastAsia" w:ascii="宋体" w:hAnsi="宋体" w:eastAsia="宋体"/>
          <w:color w:val="auto"/>
          <w:kern w:val="0"/>
          <w:sz w:val="21"/>
          <w:highlight w:val="none"/>
          <w:lang w:eastAsia="zh-CN"/>
        </w:rPr>
      </w:pPr>
      <w:r>
        <w:rPr>
          <w:rFonts w:hint="eastAsia" w:ascii="宋体" w:hAnsi="宋体" w:cs="宋体"/>
          <w:color w:val="auto"/>
          <w:sz w:val="21"/>
          <w:szCs w:val="21"/>
          <w:highlight w:val="none"/>
          <w:lang w:val="en-US" w:eastAsia="zh-CN"/>
        </w:rPr>
        <w:t>十、</w:t>
      </w:r>
      <w:r>
        <w:rPr>
          <w:rFonts w:hint="default" w:ascii="宋体" w:hAnsi="宋体" w:eastAsia="宋体"/>
          <w:color w:val="auto"/>
          <w:kern w:val="0"/>
          <w:sz w:val="21"/>
          <w:highlight w:val="none"/>
        </w:rPr>
        <w:t>投标方需要说明的其他文件和说明</w:t>
      </w:r>
      <w:r>
        <w:rPr>
          <w:rFonts w:hint="eastAsia" w:ascii="宋体" w:hAnsi="宋体" w:eastAsia="宋体"/>
          <w:color w:val="auto"/>
          <w:kern w:val="0"/>
          <w:sz w:val="21"/>
          <w:highlight w:val="none"/>
          <w:lang w:eastAsia="zh-CN"/>
        </w:rPr>
        <w:t>。</w:t>
      </w:r>
    </w:p>
    <w:p w14:paraId="505D31F4">
      <w:pPr>
        <w:pStyle w:val="14"/>
        <w:tabs>
          <w:tab w:val="right" w:leader="dot" w:pos="9061"/>
        </w:tabs>
        <w:spacing w:line="360" w:lineRule="auto"/>
        <w:ind w:left="0" w:leftChars="0"/>
        <w:jc w:val="left"/>
        <w:rPr>
          <w:rFonts w:hint="eastAsia"/>
          <w:color w:val="auto"/>
          <w:highlight w:val="none"/>
        </w:rPr>
      </w:pPr>
    </w:p>
    <w:p w14:paraId="4216338D">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70AD2399">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75F9737D">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4DE085F8">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628714EF">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15535E70">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6F7FC47D">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493D6BC4">
      <w:pPr>
        <w:rPr>
          <w:rFonts w:hint="eastAsia" w:ascii="宋体" w:hAnsi="宋体" w:cs="宋体"/>
          <w:b/>
          <w:bCs/>
          <w:color w:val="auto"/>
          <w:kern w:val="0"/>
          <w:sz w:val="30"/>
          <w:szCs w:val="30"/>
          <w:highlight w:val="none"/>
        </w:rPr>
      </w:pPr>
    </w:p>
    <w:p w14:paraId="3E7970E1">
      <w:pPr>
        <w:rPr>
          <w:rFonts w:hint="eastAsia" w:ascii="宋体" w:hAnsi="宋体" w:cs="宋体"/>
          <w:b/>
          <w:bCs/>
          <w:color w:val="auto"/>
          <w:kern w:val="0"/>
          <w:sz w:val="30"/>
          <w:szCs w:val="30"/>
          <w:highlight w:val="none"/>
        </w:rPr>
      </w:pPr>
    </w:p>
    <w:p w14:paraId="7951AFC7">
      <w:pPr>
        <w:rPr>
          <w:rFonts w:hint="eastAsia" w:ascii="宋体" w:hAnsi="宋体" w:cs="宋体"/>
          <w:b/>
          <w:bCs/>
          <w:color w:val="auto"/>
          <w:kern w:val="0"/>
          <w:sz w:val="30"/>
          <w:szCs w:val="30"/>
          <w:highlight w:val="none"/>
        </w:rPr>
      </w:pPr>
    </w:p>
    <w:p w14:paraId="6D5BB324">
      <w:pPr>
        <w:rPr>
          <w:rFonts w:hint="eastAsia" w:ascii="宋体" w:hAnsi="宋体" w:cs="宋体"/>
          <w:b/>
          <w:bCs/>
          <w:color w:val="auto"/>
          <w:kern w:val="0"/>
          <w:sz w:val="30"/>
          <w:szCs w:val="30"/>
          <w:highlight w:val="none"/>
        </w:rPr>
      </w:pPr>
    </w:p>
    <w:p w14:paraId="0AEED3F2">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p>
    <w:p w14:paraId="6E6437B9">
      <w:pPr>
        <w:pStyle w:val="14"/>
        <w:tabs>
          <w:tab w:val="right" w:leader="dot" w:pos="9061"/>
        </w:tabs>
        <w:spacing w:line="360" w:lineRule="auto"/>
        <w:ind w:left="0" w:leftChars="0"/>
        <w:jc w:val="both"/>
        <w:rPr>
          <w:rFonts w:hint="eastAsia" w:ascii="宋体" w:hAnsi="宋体" w:cs="宋体"/>
          <w:b/>
          <w:bCs/>
          <w:color w:val="auto"/>
          <w:kern w:val="0"/>
          <w:sz w:val="30"/>
          <w:szCs w:val="30"/>
          <w:highlight w:val="none"/>
        </w:rPr>
      </w:pPr>
    </w:p>
    <w:p w14:paraId="3C454840">
      <w:pPr>
        <w:pStyle w:val="14"/>
        <w:tabs>
          <w:tab w:val="right" w:leader="dot" w:pos="9061"/>
        </w:tabs>
        <w:spacing w:line="360" w:lineRule="auto"/>
        <w:ind w:left="0" w:leftChars="0"/>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一、政府采购项目供应商技术商务评分索引表</w:t>
      </w:r>
    </w:p>
    <w:tbl>
      <w:tblPr>
        <w:tblStyle w:val="32"/>
        <w:tblW w:w="9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
        <w:gridCol w:w="1125"/>
        <w:gridCol w:w="5385"/>
        <w:gridCol w:w="870"/>
        <w:gridCol w:w="747"/>
        <w:gridCol w:w="666"/>
      </w:tblGrid>
      <w:tr w14:paraId="6B26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FE7A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rPr>
              <w:t>序号</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A343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rPr>
              <w:t>项目</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A4A5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rPr>
              <w:t>评分标准</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11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Cs w:val="21"/>
                <w:highlight w:val="none"/>
                <w:lang w:val="en-US" w:eastAsia="zh-CN"/>
              </w:rPr>
              <w:t>分值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F37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Cs w:val="21"/>
                <w:highlight w:val="none"/>
              </w:rPr>
              <w:t>自评得分</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1F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Cs w:val="21"/>
                <w:highlight w:val="none"/>
              </w:rPr>
              <w:t>对应页码</w:t>
            </w:r>
          </w:p>
        </w:tc>
      </w:tr>
      <w:tr w14:paraId="2108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F1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rPr>
            </w:pPr>
            <w:bookmarkStart w:id="224" w:name="_Toc16200"/>
            <w:r>
              <w:rPr>
                <w:rFonts w:hint="eastAsia" w:ascii="宋体" w:hAnsi="宋体" w:cs="宋体"/>
                <w:color w:val="auto"/>
                <w:kern w:val="0"/>
                <w:szCs w:val="21"/>
                <w:highlight w:val="none"/>
                <w:lang w:val="en-US" w:eastAsia="zh-CN"/>
              </w:rPr>
              <w:t>1</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A214E">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rPr>
              <w:t>企业业绩</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6FFC5">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响应人自2019年7月1日起（以合同签订时间为准）具备数字农业建设相关成功经验业绩，每提供1个得1分，最多得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2BD8694">
            <w:pPr>
              <w:keepNext w:val="0"/>
              <w:keepLines w:val="0"/>
              <w:suppressLineNumbers w:val="0"/>
              <w:spacing w:before="0" w:beforeAutospacing="0" w:after="0" w:afterAutospacing="0" w:line="320" w:lineRule="exact"/>
              <w:ind w:left="0" w:leftChars="0" w:right="0" w:rightChars="0"/>
              <w:jc w:val="left"/>
              <w:rPr>
                <w:rFonts w:hint="eastAsia" w:ascii="宋体" w:hAnsi="宋体" w:cs="宋体"/>
                <w:color w:val="auto"/>
                <w:kern w:val="0"/>
                <w:szCs w:val="21"/>
                <w:highlight w:val="none"/>
              </w:rPr>
            </w:pPr>
            <w:r>
              <w:rPr>
                <w:rFonts w:hint="eastAsia" w:ascii="宋体" w:hAnsi="宋体" w:eastAsia="宋体" w:cs="宋体"/>
                <w:b/>
                <w:bCs/>
                <w:color w:val="auto"/>
                <w:sz w:val="21"/>
                <w:szCs w:val="21"/>
                <w:highlight w:val="none"/>
                <w:lang w:val="en-US" w:eastAsia="zh-CN"/>
              </w:rPr>
              <w:t>注：投标人须提供</w:t>
            </w:r>
            <w:r>
              <w:rPr>
                <w:rFonts w:hint="eastAsia" w:ascii="宋体" w:hAnsi="宋体" w:cs="宋体"/>
                <w:b/>
                <w:bCs/>
                <w:color w:val="auto"/>
                <w:sz w:val="21"/>
                <w:szCs w:val="21"/>
                <w:highlight w:val="none"/>
                <w:lang w:val="en-US" w:eastAsia="zh-CN"/>
              </w:rPr>
              <w:t>中标通知书、采购</w:t>
            </w:r>
            <w:r>
              <w:rPr>
                <w:rFonts w:hint="eastAsia" w:ascii="宋体" w:hAnsi="宋体" w:eastAsia="宋体" w:cs="宋体"/>
                <w:b/>
                <w:bCs/>
                <w:color w:val="auto"/>
                <w:sz w:val="21"/>
                <w:szCs w:val="21"/>
                <w:highlight w:val="none"/>
                <w:lang w:val="en-US" w:eastAsia="zh-CN"/>
              </w:rPr>
              <w:t xml:space="preserve">合同复印件加盖公章，未提供不得分。 </w:t>
            </w:r>
            <w:r>
              <w:rPr>
                <w:rFonts w:hint="default"/>
                <w:b/>
                <w:bCs/>
                <w:color w:val="auto"/>
                <w:sz w:val="21"/>
                <w:szCs w:val="21"/>
                <w:highlight w:val="none"/>
              </w:rPr>
              <w:t>如上述资料均未体现主要</w:t>
            </w:r>
            <w:r>
              <w:rPr>
                <w:rFonts w:hint="eastAsia" w:ascii="宋体" w:hAnsi="宋体" w:eastAsia="宋体" w:cs="宋体"/>
                <w:b/>
                <w:bCs/>
                <w:color w:val="auto"/>
                <w:sz w:val="21"/>
                <w:szCs w:val="21"/>
                <w:highlight w:val="none"/>
                <w:lang w:val="en-US" w:eastAsia="zh-CN"/>
              </w:rPr>
              <w:t>经验业绩</w:t>
            </w:r>
            <w:r>
              <w:rPr>
                <w:rFonts w:hint="default"/>
                <w:b/>
                <w:bCs/>
                <w:color w:val="auto"/>
                <w:sz w:val="21"/>
                <w:szCs w:val="21"/>
                <w:highlight w:val="none"/>
              </w:rPr>
              <w:t>内容的，必须附</w:t>
            </w:r>
            <w:r>
              <w:rPr>
                <w:rFonts w:hint="eastAsia"/>
                <w:b/>
                <w:bCs/>
                <w:color w:val="auto"/>
                <w:sz w:val="21"/>
                <w:szCs w:val="21"/>
                <w:highlight w:val="none"/>
                <w:lang w:val="en-US" w:eastAsia="zh-CN"/>
              </w:rPr>
              <w:t>采购单位</w:t>
            </w:r>
            <w:r>
              <w:rPr>
                <w:rFonts w:hint="default"/>
                <w:b/>
                <w:bCs/>
                <w:color w:val="auto"/>
                <w:sz w:val="21"/>
                <w:szCs w:val="21"/>
                <w:highlight w:val="none"/>
              </w:rPr>
              <w:t>出具的证明材料，否则业绩不予认可。</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C29AC">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84E72">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none"/>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EA50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p>
        </w:tc>
      </w:tr>
      <w:tr w14:paraId="1756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D42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20252">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基本技术</w:t>
            </w:r>
          </w:p>
          <w:p w14:paraId="590055E5">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rPr>
              <w:t>参数</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4D449">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所投产品的技术参数全部满足采购文件要求的得基本分</w:t>
            </w:r>
            <w:r>
              <w:rPr>
                <w:rFonts w:hint="eastAsia" w:ascii="宋体" w:hAnsi="宋体" w:cs="Times New Roman"/>
                <w:b w:val="0"/>
                <w:bCs w:val="0"/>
                <w:color w:val="auto"/>
                <w:kern w:val="2"/>
                <w:sz w:val="21"/>
                <w:szCs w:val="24"/>
                <w:highlight w:val="none"/>
                <w:lang w:val="en-US" w:eastAsia="zh-CN" w:bidi="ar-SA"/>
              </w:rPr>
              <w:t>25</w:t>
            </w:r>
            <w:r>
              <w:rPr>
                <w:rFonts w:hint="eastAsia" w:ascii="宋体" w:hAnsi="宋体" w:eastAsia="宋体" w:cs="Times New Roman"/>
                <w:b w:val="0"/>
                <w:bCs w:val="0"/>
                <w:color w:val="auto"/>
                <w:kern w:val="2"/>
                <w:sz w:val="21"/>
                <w:szCs w:val="24"/>
                <w:highlight w:val="none"/>
                <w:lang w:val="en-US" w:eastAsia="zh-CN" w:bidi="ar-SA"/>
              </w:rPr>
              <w:t>分；技术指标前有▲标注的，为必须满足的实质性内容有一项不符合作无效投标处理；技术要求中标注★条款为重点技术参数，一项负偏离扣3分，对不带▲★的技术参数属负偏离或缺漏项的每项扣 0.5分，负偏离或缺漏项在15项及以上的属于重大偏离，作无效投标处理。</w:t>
            </w:r>
          </w:p>
          <w:p w14:paraId="5729A57A">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left"/>
              <w:rPr>
                <w:rFonts w:hint="eastAsia" w:ascii="宋体" w:hAnsi="宋体" w:cs="宋体"/>
                <w:color w:val="auto"/>
                <w:kern w:val="0"/>
                <w:szCs w:val="21"/>
                <w:highlight w:val="none"/>
              </w:rPr>
            </w:pPr>
            <w:r>
              <w:rPr>
                <w:rFonts w:hint="eastAsia" w:ascii="宋体" w:hAnsi="宋体" w:eastAsia="宋体" w:cs="Times New Roman"/>
                <w:b/>
                <w:bCs/>
                <w:color w:val="auto"/>
                <w:kern w:val="2"/>
                <w:sz w:val="21"/>
                <w:szCs w:val="24"/>
                <w:highlight w:val="none"/>
                <w:lang w:val="en-US" w:eastAsia="zh-CN" w:bidi="ar-SA"/>
              </w:rPr>
              <w:t>注：技术参数中未提供相关证明材料的按负偏离。</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A006C">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val="en-US" w:eastAsia="zh-CN"/>
              </w:rPr>
              <w:t>0-25分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FE9C2">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none"/>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DD5D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p>
        </w:tc>
      </w:tr>
      <w:tr w14:paraId="6F24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F5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6F30B">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w:t>
            </w:r>
          </w:p>
          <w:p w14:paraId="3DAEF3F6">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rPr>
              <w:t>企业实力</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016EC">
            <w:pPr>
              <w:pStyle w:val="25"/>
              <w:keepNext w:val="0"/>
              <w:keepLines w:val="0"/>
              <w:pageBreakBefore w:val="0"/>
              <w:numPr>
                <w:ilvl w:val="0"/>
                <w:numId w:val="0"/>
              </w:numPr>
              <w:suppressLineNumbers w:val="0"/>
              <w:shd w:val="clear" w:color="auto" w:fill="FFFFFF"/>
              <w:kinsoku/>
              <w:wordWrap/>
              <w:overflowPunct/>
              <w:topLinePunct w:val="0"/>
              <w:bidi w:val="0"/>
              <w:adjustRightInd/>
              <w:snapToGrid/>
              <w:spacing w:before="0" w:beforeAutospacing="0" w:after="0" w:afterAutospacing="0" w:line="240" w:lineRule="auto"/>
              <w:ind w:left="0" w:right="0" w:rightChars="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cs="Times New Roman"/>
                <w:b w:val="0"/>
                <w:bCs w:val="0"/>
                <w:color w:val="auto"/>
                <w:kern w:val="2"/>
                <w:sz w:val="21"/>
                <w:szCs w:val="24"/>
                <w:highlight w:val="none"/>
                <w:lang w:val="en-US" w:eastAsia="zh-CN" w:bidi="ar-SA"/>
              </w:rPr>
              <w:t>1、</w:t>
            </w:r>
            <w:r>
              <w:rPr>
                <w:rFonts w:hint="eastAsia" w:ascii="宋体" w:hAnsi="宋体" w:eastAsia="宋体" w:cs="Times New Roman"/>
                <w:b w:val="0"/>
                <w:bCs w:val="0"/>
                <w:color w:val="auto"/>
                <w:kern w:val="2"/>
                <w:sz w:val="21"/>
                <w:szCs w:val="24"/>
                <w:highlight w:val="none"/>
                <w:lang w:val="en-US" w:eastAsia="zh-CN" w:bidi="ar-SA"/>
              </w:rPr>
              <w:t>响应人具备1S0 45001:2018职业健康安全管理体系认证证书得1分；</w:t>
            </w:r>
          </w:p>
          <w:p w14:paraId="185306BA">
            <w:pPr>
              <w:pStyle w:val="25"/>
              <w:keepNext w:val="0"/>
              <w:keepLines w:val="0"/>
              <w:pageBreakBefore w:val="0"/>
              <w:numPr>
                <w:ilvl w:val="0"/>
                <w:numId w:val="0"/>
              </w:numPr>
              <w:suppressLineNumbers w:val="0"/>
              <w:shd w:val="clear" w:color="auto" w:fill="FFFFFF"/>
              <w:kinsoku/>
              <w:wordWrap/>
              <w:overflowPunct/>
              <w:topLinePunct w:val="0"/>
              <w:bidi w:val="0"/>
              <w:adjustRightInd/>
              <w:snapToGrid/>
              <w:spacing w:before="0" w:beforeAutospacing="0" w:after="0" w:afterAutospacing="0" w:line="240" w:lineRule="auto"/>
              <w:ind w:left="0" w:right="0" w:rightChars="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cs="Times New Roman"/>
                <w:b w:val="0"/>
                <w:bCs w:val="0"/>
                <w:color w:val="auto"/>
                <w:kern w:val="2"/>
                <w:sz w:val="21"/>
                <w:szCs w:val="24"/>
                <w:highlight w:val="none"/>
                <w:lang w:val="en-US" w:eastAsia="zh-CN" w:bidi="ar-SA"/>
              </w:rPr>
              <w:t>2、</w:t>
            </w:r>
            <w:r>
              <w:rPr>
                <w:rFonts w:hint="eastAsia" w:ascii="宋体" w:hAnsi="宋体" w:eastAsia="宋体" w:cs="Times New Roman"/>
                <w:b w:val="0"/>
                <w:bCs w:val="0"/>
                <w:color w:val="auto"/>
                <w:kern w:val="2"/>
                <w:sz w:val="21"/>
                <w:szCs w:val="24"/>
                <w:highlight w:val="none"/>
                <w:lang w:val="en-US" w:eastAsia="zh-CN" w:bidi="ar-SA"/>
              </w:rPr>
              <w:t>响应人具备IS0 14001:2015环境管理体系认证证书得1分；</w:t>
            </w:r>
          </w:p>
          <w:p w14:paraId="2FC84F24">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b w:val="0"/>
                <w:bCs w:val="0"/>
                <w:color w:val="auto"/>
                <w:kern w:val="2"/>
                <w:sz w:val="21"/>
                <w:szCs w:val="24"/>
                <w:highlight w:val="none"/>
                <w:lang w:val="en-US" w:eastAsia="zh-CN" w:bidi="ar-SA"/>
              </w:rPr>
              <w:t>3、响应人具备IS0 9001:2015质量管理体系认证证书得1分；</w:t>
            </w:r>
          </w:p>
          <w:p w14:paraId="7915E109">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cs="宋体"/>
                <w:color w:val="auto"/>
                <w:kern w:val="0"/>
                <w:szCs w:val="21"/>
                <w:highlight w:val="none"/>
              </w:rPr>
            </w:pPr>
            <w:r>
              <w:rPr>
                <w:rFonts w:hint="eastAsia" w:ascii="宋体" w:hAnsi="宋体" w:eastAsia="宋体" w:cs="Times New Roman"/>
                <w:b/>
                <w:bCs/>
                <w:color w:val="auto"/>
                <w:kern w:val="2"/>
                <w:sz w:val="21"/>
                <w:szCs w:val="24"/>
                <w:highlight w:val="none"/>
                <w:lang w:val="en-US" w:eastAsia="zh-CN" w:bidi="ar-SA"/>
              </w:rPr>
              <w:t>注：需提供权威机构颁发的证书或报告复印件加盖投标人公章，未提供或提供无效者不得分。</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B50FB">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lang w:val="en-US" w:eastAsia="zh-CN"/>
              </w:rPr>
            </w:pPr>
            <w:r>
              <w:rPr>
                <w:rFonts w:hint="eastAsia" w:ascii="宋体" w:hAnsi="宋体" w:cs="宋体"/>
                <w:color w:val="auto"/>
                <w:sz w:val="21"/>
                <w:szCs w:val="21"/>
                <w:highlight w:val="none"/>
                <w:lang w:val="en-US" w:eastAsia="zh-CN"/>
              </w:rPr>
              <w:t>0-3分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BC32A">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none"/>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2F21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p>
        </w:tc>
      </w:tr>
      <w:tr w14:paraId="1FB6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8"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4E8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378E4">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系统演示</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82D61">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1、数智加工生产管理系统-分选单</w:t>
            </w:r>
          </w:p>
          <w:p w14:paraId="14F90FAF">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创建分选单，支持选择货品、选择货主、选择分选方案、输入每次投产数量等。系统在分选过程中可记录原料的投产数量、损耗数量和出成数量，并同步原料和分选结果。系统的分选结果会同步到库存数据。</w:t>
            </w:r>
            <w:r>
              <w:rPr>
                <w:rFonts w:hint="eastAsia" w:ascii="宋体" w:hAnsi="宋体" w:cs="宋体"/>
                <w:color w:val="auto"/>
                <w:sz w:val="21"/>
                <w:szCs w:val="21"/>
                <w:highlight w:val="none"/>
                <w:lang w:val="en-US" w:eastAsia="zh-CN"/>
              </w:rPr>
              <w:t>（2分）</w:t>
            </w:r>
          </w:p>
          <w:p w14:paraId="260B51DD">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2、数智加工生产管理系统-糖化单</w:t>
            </w:r>
          </w:p>
          <w:p w14:paraId="7777418C">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创建糖化单，支持选择货主、选择货品、选择批次、自定义糖化时间。系统记录糖化过程中的糖度、二氧化碳、乙烯、湿度、数量等数据，糖化完成后系统会生成一个批次数据进行入库并同步库存数据。</w:t>
            </w:r>
            <w:r>
              <w:rPr>
                <w:rFonts w:hint="eastAsia" w:ascii="宋体" w:hAnsi="宋体" w:cs="宋体"/>
                <w:color w:val="auto"/>
                <w:sz w:val="21"/>
                <w:szCs w:val="21"/>
                <w:highlight w:val="none"/>
                <w:lang w:val="en-US" w:eastAsia="zh-CN"/>
              </w:rPr>
              <w:t>（2分）</w:t>
            </w:r>
          </w:p>
          <w:p w14:paraId="42F90104">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3、数智加工生产管理系统-加工单</w:t>
            </w:r>
          </w:p>
          <w:p w14:paraId="7777FD33">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加工单，支持选择货主、选择货品、选择分选方案，并且分选方案中可自定义原料货品清单配比和工序，同时系统根据原料货品清单配备生成原料所需数量。加工过程中系统可记录原料领取数量、加工成品数量、损耗数量，加工完成后系统会自动同步成品库存数据。</w:t>
            </w:r>
            <w:r>
              <w:rPr>
                <w:rFonts w:hint="eastAsia" w:ascii="宋体" w:hAnsi="宋体" w:cs="宋体"/>
                <w:color w:val="auto"/>
                <w:sz w:val="21"/>
                <w:szCs w:val="21"/>
                <w:highlight w:val="none"/>
                <w:lang w:val="en-US" w:eastAsia="zh-CN"/>
              </w:rPr>
              <w:t>（2分）</w:t>
            </w:r>
          </w:p>
          <w:p w14:paraId="6EA8C1EC">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4、数智生产管理加工-货品变更</w:t>
            </w:r>
          </w:p>
          <w:p w14:paraId="2836C827">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创建货品变更单、支持选择货主、选择货品、选择批次、选择货品数量来进行货品等级变更，系统在货品变更完成后会同步相应货品库存数据，系统可保留变更记录及变更原因。</w:t>
            </w:r>
            <w:r>
              <w:rPr>
                <w:rFonts w:hint="eastAsia" w:ascii="宋体" w:hAnsi="宋体" w:cs="宋体"/>
                <w:color w:val="auto"/>
                <w:sz w:val="21"/>
                <w:szCs w:val="21"/>
                <w:highlight w:val="none"/>
                <w:lang w:val="en-US" w:eastAsia="zh-CN"/>
              </w:rPr>
              <w:t>（1分）</w:t>
            </w:r>
          </w:p>
          <w:p w14:paraId="74328059">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5、数智生产管理加工-货主变更</w:t>
            </w:r>
          </w:p>
          <w:p w14:paraId="557F81D3">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创建货主变更单，支持选择货品、选择货主、选择批次、选择货品数量进行货品归属人变更，系统在货主变更完成后会同步相应货品库存数据，系统保留变更记录及变更原因。</w:t>
            </w:r>
            <w:r>
              <w:rPr>
                <w:rFonts w:hint="eastAsia" w:ascii="宋体" w:hAnsi="宋体" w:cs="宋体"/>
                <w:color w:val="auto"/>
                <w:sz w:val="21"/>
                <w:szCs w:val="21"/>
                <w:highlight w:val="none"/>
                <w:lang w:val="en-US" w:eastAsia="zh-CN"/>
              </w:rPr>
              <w:t>（1分）</w:t>
            </w:r>
          </w:p>
          <w:p w14:paraId="3A9B8E15">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6、数智生产管理加工-容器借还</w:t>
            </w:r>
          </w:p>
          <w:p w14:paraId="20E8F42A">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创建容器借还记录单，支持选择不同类型容器、借出数量、借出时间、借出人，系统记录容器借出后可支持多次归还及归还数量，系统会根据记录同步归还时间。</w:t>
            </w:r>
            <w:r>
              <w:rPr>
                <w:rFonts w:hint="eastAsia" w:ascii="宋体" w:hAnsi="宋体" w:cs="宋体"/>
                <w:color w:val="auto"/>
                <w:sz w:val="21"/>
                <w:szCs w:val="21"/>
                <w:highlight w:val="none"/>
                <w:lang w:val="en-US" w:eastAsia="zh-CN"/>
              </w:rPr>
              <w:t>（1分）</w:t>
            </w:r>
          </w:p>
          <w:p w14:paraId="5B052932">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投标人需提供提供U盘录制演示视频</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真实系统现场演示</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评标专家按以上各项标准进行评分，功能不完全满足的则所对应的子项不得分。若因开评标室现场环境导致无法现场演示的，可通过提供的U盘录制视频演示。系统需体现投标人公司名称或LOGO，以确保系统为投标人所有。</w:t>
            </w:r>
          </w:p>
          <w:p w14:paraId="75896B42">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cs="宋体"/>
                <w:color w:val="auto"/>
                <w:kern w:val="0"/>
                <w:szCs w:val="21"/>
                <w:highlight w:val="yellow"/>
              </w:rPr>
            </w:pPr>
            <w:r>
              <w:rPr>
                <w:rFonts w:hint="eastAsia" w:ascii="宋体" w:hAnsi="宋体" w:eastAsia="宋体" w:cs="宋体"/>
                <w:b/>
                <w:bCs/>
                <w:color w:val="auto"/>
                <w:sz w:val="21"/>
                <w:szCs w:val="21"/>
                <w:highlight w:val="none"/>
                <w:lang w:val="en-US" w:eastAsia="zh-CN"/>
              </w:rPr>
              <w:t>投标人不得采用图片、PPT、Axure等高仿真演示方式，如果采用此大项不得分。</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52368">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yellow"/>
                <w:lang w:val="en-US" w:eastAsia="zh-CN"/>
              </w:rPr>
            </w:pPr>
            <w:r>
              <w:rPr>
                <w:rFonts w:hint="eastAsia" w:ascii="宋体" w:hAnsi="宋体" w:cs="宋体"/>
                <w:color w:val="auto"/>
                <w:sz w:val="21"/>
                <w:szCs w:val="21"/>
                <w:highlight w:val="none"/>
                <w:lang w:val="en-US" w:eastAsia="zh-CN"/>
              </w:rPr>
              <w:t>0-9分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809E4">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yellow"/>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AD73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yellow"/>
              </w:rPr>
            </w:pPr>
          </w:p>
        </w:tc>
      </w:tr>
      <w:tr w14:paraId="12C3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ED2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E47DC">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技术培训方案</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FB819">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响应人负责为使用单位人员提供培训操作，并有完整的培训方案，列出详细的培训内容、培训方式等说明；对响应人提供的培训方案进行综合评分：</w:t>
            </w:r>
          </w:p>
          <w:p w14:paraId="1F79B00F">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cs="宋体"/>
                <w:color w:val="auto"/>
                <w:kern w:val="0"/>
                <w:szCs w:val="21"/>
                <w:highlight w:val="yellow"/>
              </w:rPr>
            </w:pPr>
            <w:r>
              <w:rPr>
                <w:rFonts w:hint="eastAsia" w:ascii="宋体" w:hAnsi="宋体" w:eastAsia="宋体" w:cs="宋体"/>
                <w:color w:val="auto"/>
                <w:kern w:val="2"/>
                <w:sz w:val="21"/>
                <w:szCs w:val="21"/>
                <w:highlight w:val="none"/>
                <w:lang w:eastAsia="zh-CN"/>
              </w:rPr>
              <w:t>提供</w:t>
            </w:r>
            <w:r>
              <w:rPr>
                <w:rFonts w:hint="eastAsia" w:ascii="宋体" w:hAnsi="宋体" w:eastAsia="宋体" w:cs="宋体"/>
                <w:b w:val="0"/>
                <w:bCs w:val="0"/>
                <w:color w:val="auto"/>
                <w:sz w:val="21"/>
                <w:szCs w:val="21"/>
                <w:highlight w:val="none"/>
                <w:lang w:val="en-US" w:eastAsia="zh-CN"/>
              </w:rPr>
              <w:t>培训方案完整表述清晰、严谨、合理的得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分；培训方案不完整，表述不清，内容不全，条理差</w:t>
            </w:r>
            <w:r>
              <w:rPr>
                <w:rFonts w:hint="eastAsia" w:ascii="宋体" w:hAnsi="宋体" w:eastAsia="宋体" w:cs="宋体"/>
                <w:color w:val="auto"/>
                <w:kern w:val="0"/>
                <w:sz w:val="21"/>
                <w:szCs w:val="21"/>
                <w:highlight w:val="none"/>
                <w:lang w:val="en-US" w:eastAsia="zh-CN" w:bidi="ar-SA"/>
              </w:rPr>
              <w:t>的每处扣1分；</w:t>
            </w:r>
            <w:r>
              <w:rPr>
                <w:rFonts w:hint="eastAsia" w:ascii="宋体" w:hAnsi="宋体" w:eastAsia="宋体" w:cs="宋体"/>
                <w:b w:val="0"/>
                <w:bCs w:val="0"/>
                <w:color w:val="auto"/>
                <w:sz w:val="21"/>
                <w:szCs w:val="21"/>
                <w:highlight w:val="none"/>
                <w:lang w:val="en-US" w:eastAsia="zh-CN"/>
              </w:rPr>
              <w:t>内容不符合或不提供的不得分。</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C09BA">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yellow"/>
                <w:lang w:val="en-US" w:eastAsia="zh-CN"/>
              </w:rPr>
            </w:pPr>
            <w:r>
              <w:rPr>
                <w:rFonts w:hint="eastAsia" w:ascii="宋体" w:hAnsi="宋体" w:cs="宋体"/>
                <w:color w:val="auto"/>
                <w:sz w:val="21"/>
                <w:szCs w:val="21"/>
                <w:highlight w:val="none"/>
                <w:lang w:val="en-US" w:eastAsia="zh-CN"/>
              </w:rPr>
              <w:t>0-10分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CCBDA">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yellow"/>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E406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yellow"/>
              </w:rPr>
            </w:pPr>
          </w:p>
        </w:tc>
      </w:tr>
      <w:tr w14:paraId="3498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AC9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F3FF6">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hAnsi="宋体"/>
                <w:color w:val="auto"/>
                <w:szCs w:val="21"/>
                <w:highlight w:val="none"/>
              </w:rPr>
              <w:t>项目实施</w:t>
            </w:r>
            <w:r>
              <w:rPr>
                <w:rFonts w:hint="eastAsia" w:hAnsi="宋体"/>
                <w:color w:val="auto"/>
                <w:szCs w:val="21"/>
                <w:highlight w:val="none"/>
                <w:lang w:eastAsia="zh-CN"/>
              </w:rPr>
              <w:t>方案</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6EBB3">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cs="宋体"/>
                <w:color w:val="auto"/>
                <w:kern w:val="0"/>
                <w:szCs w:val="21"/>
                <w:highlight w:val="yellow"/>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采购需求提供项目实施方案，包括送货时间、地点、安装、调试、验收</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eastAsia="zh-CN"/>
              </w:rPr>
              <w:t>，提供方案功能详细、思路清晰、逻辑合理、方法可行、符合采购需求的得</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eastAsia="zh-CN"/>
              </w:rPr>
              <w:t>分；思路不清晰，逻辑性差，可操作性与实际情况有偏离的每处扣1分；内容不符合或不提供的不得分。</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81551">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yellow"/>
                <w:lang w:val="en-US" w:eastAsia="zh-CN"/>
              </w:rPr>
            </w:pPr>
            <w:r>
              <w:rPr>
                <w:rFonts w:hint="eastAsia" w:ascii="宋体" w:hAnsi="宋体" w:cs="宋体"/>
                <w:color w:val="auto"/>
                <w:highlight w:val="none"/>
                <w:lang w:val="en-US" w:eastAsia="zh-CN"/>
              </w:rPr>
              <w:t>0-12分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9CEC9">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yellow"/>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CC27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yellow"/>
              </w:rPr>
            </w:pPr>
          </w:p>
        </w:tc>
      </w:tr>
      <w:tr w14:paraId="0164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42A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D4D37">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lang w:val="en-US" w:eastAsia="zh-CN"/>
              </w:rPr>
              <w:t>售后服务方案</w:t>
            </w:r>
          </w:p>
        </w:tc>
        <w:tc>
          <w:tcPr>
            <w:tcW w:w="5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0B532">
            <w:pPr>
              <w:pStyle w:val="25"/>
              <w:keepNext w:val="0"/>
              <w:keepLines w:val="0"/>
              <w:pageBreakBefore w:val="0"/>
              <w:suppressLineNumbers w:val="0"/>
              <w:shd w:val="clear" w:color="auto" w:fill="FFFFFF"/>
              <w:kinsoku/>
              <w:wordWrap/>
              <w:overflowPunct/>
              <w:topLinePunct w:val="0"/>
              <w:bidi w:val="0"/>
              <w:adjustRightInd/>
              <w:snapToGrid/>
              <w:spacing w:before="0" w:beforeAutospacing="0" w:after="0" w:afterAutospacing="0" w:line="240" w:lineRule="auto"/>
              <w:ind w:left="0" w:leftChars="0" w:right="0" w:rightChars="0"/>
              <w:jc w:val="both"/>
              <w:rPr>
                <w:rFonts w:hint="eastAsia" w:ascii="宋体" w:hAnsi="宋体" w:cs="宋体"/>
                <w:color w:val="auto"/>
                <w:kern w:val="0"/>
                <w:szCs w:val="21"/>
                <w:highlight w:val="yellow"/>
              </w:rPr>
            </w:pPr>
            <w:r>
              <w:rPr>
                <w:rFonts w:hint="eastAsia" w:ascii="宋体" w:hAnsi="宋体" w:eastAsia="宋体" w:cs="宋体"/>
                <w:color w:val="auto"/>
                <w:kern w:val="0"/>
                <w:sz w:val="21"/>
                <w:szCs w:val="21"/>
                <w:highlight w:val="none"/>
                <w:lang w:val="en-US" w:eastAsia="zh-CN" w:bidi="ar-SA"/>
              </w:rPr>
              <w:t>根据投标人承诺提供的售后服务方案（服务能力、服务措施、服务承诺等方面）情况，包括服务承诺的可行性、完整性以及后续的技术实施保障措施等进行打分。内容科学、合理、针对性强的得</w:t>
            </w: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分，方案较差（包含且不限于理解不清晰、解决方案不明确、方案有缺陷、没有针对实际情况、照搬照抄同类技术标准及方案）的每处扣1分；内容不符合或不提供的不得分。</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803BE">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kern w:val="0"/>
                <w:szCs w:val="21"/>
                <w:highlight w:val="yellow"/>
                <w:lang w:val="en-US" w:eastAsia="zh-CN"/>
              </w:rPr>
            </w:pPr>
            <w:r>
              <w:rPr>
                <w:rFonts w:hint="eastAsia" w:ascii="宋体" w:hAnsi="宋体" w:cs="宋体"/>
                <w:color w:val="auto"/>
                <w:highlight w:val="none"/>
                <w:lang w:val="en-US" w:eastAsia="zh-CN"/>
              </w:rPr>
              <w:t>0-8分</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9148F">
            <w:pPr>
              <w:keepNext w:val="0"/>
              <w:keepLines w:val="0"/>
              <w:pageBreakBefore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cs="宋体"/>
                <w:color w:val="auto"/>
                <w:szCs w:val="21"/>
                <w:highlight w:val="yellow"/>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55C6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yellow"/>
              </w:rPr>
            </w:pPr>
          </w:p>
        </w:tc>
      </w:tr>
    </w:tbl>
    <w:p w14:paraId="025A2ECC">
      <w:pPr>
        <w:widowControl/>
        <w:numPr>
          <w:ilvl w:val="0"/>
          <w:numId w:val="0"/>
        </w:numPr>
        <w:spacing w:beforeLines="0" w:afterLines="0" w:line="540" w:lineRule="exact"/>
        <w:jc w:val="center"/>
        <w:outlineLvl w:val="2"/>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yellow"/>
        </w:rPr>
        <w:br w:type="page"/>
      </w:r>
      <w:bookmarkEnd w:id="202"/>
      <w:bookmarkEnd w:id="203"/>
      <w:bookmarkEnd w:id="204"/>
      <w:bookmarkEnd w:id="223"/>
      <w:bookmarkEnd w:id="224"/>
      <w:r>
        <w:rPr>
          <w:rFonts w:hint="eastAsia" w:ascii="宋体" w:hAnsi="宋体" w:cs="宋体"/>
          <w:b/>
          <w:bCs/>
          <w:color w:val="auto"/>
          <w:kern w:val="0"/>
          <w:sz w:val="30"/>
          <w:szCs w:val="30"/>
          <w:highlight w:val="none"/>
          <w:lang w:eastAsia="zh-CN"/>
        </w:rPr>
        <w:t>二、货物清单及规格、技术参数偏离表</w:t>
      </w:r>
    </w:p>
    <w:p w14:paraId="0859EDED">
      <w:pPr>
        <w:widowControl/>
        <w:spacing w:line="440" w:lineRule="exact"/>
        <w:rPr>
          <w:rFonts w:hint="eastAsia" w:ascii="仿宋" w:hAnsi="仿宋" w:eastAsia="仿宋" w:cs="宋体"/>
          <w:color w:val="auto"/>
          <w:kern w:val="0"/>
          <w:sz w:val="28"/>
          <w:szCs w:val="28"/>
          <w:highlight w:val="none"/>
        </w:rPr>
      </w:pPr>
    </w:p>
    <w:p w14:paraId="66FBBF80">
      <w:pPr>
        <w:widowControl/>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                                  项目编号：</w:t>
      </w:r>
      <w:r>
        <w:rPr>
          <w:rFonts w:hint="eastAsia" w:ascii="宋体" w:hAnsi="宋体" w:eastAsia="宋体" w:cs="宋体"/>
          <w:color w:val="auto"/>
          <w:sz w:val="21"/>
          <w:szCs w:val="21"/>
          <w:highlight w:val="none"/>
        </w:rPr>
        <w:t xml:space="preserve">    </w:t>
      </w:r>
    </w:p>
    <w:p w14:paraId="2B67FBBB">
      <w:pPr>
        <w:snapToGrid w:val="0"/>
        <w:spacing w:line="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025"/>
        <w:gridCol w:w="1334"/>
        <w:gridCol w:w="1882"/>
        <w:gridCol w:w="2434"/>
        <w:gridCol w:w="1549"/>
      </w:tblGrid>
      <w:tr w14:paraId="15B8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65777D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25" w:type="dxa"/>
            <w:tcBorders>
              <w:top w:val="single" w:color="000000" w:sz="4" w:space="0"/>
              <w:left w:val="single" w:color="auto" w:sz="4" w:space="0"/>
              <w:bottom w:val="single" w:color="000000" w:sz="4" w:space="0"/>
              <w:right w:val="single" w:color="000000" w:sz="4" w:space="0"/>
            </w:tcBorders>
            <w:noWrap w:val="0"/>
            <w:vAlign w:val="center"/>
          </w:tcPr>
          <w:p w14:paraId="151E43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3D580F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1882" w:type="dxa"/>
            <w:tcBorders>
              <w:top w:val="single" w:color="000000" w:sz="4" w:space="0"/>
              <w:left w:val="single" w:color="auto" w:sz="4" w:space="0"/>
              <w:bottom w:val="single" w:color="000000" w:sz="4" w:space="0"/>
              <w:right w:val="single" w:color="000000" w:sz="4" w:space="0"/>
            </w:tcBorders>
            <w:noWrap w:val="0"/>
            <w:vAlign w:val="center"/>
          </w:tcPr>
          <w:p w14:paraId="1306F12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采购文件要求</w:t>
            </w:r>
          </w:p>
        </w:tc>
        <w:tc>
          <w:tcPr>
            <w:tcW w:w="2434" w:type="dxa"/>
            <w:tcBorders>
              <w:top w:val="single" w:color="000000" w:sz="4" w:space="0"/>
              <w:left w:val="single" w:color="auto" w:sz="4" w:space="0"/>
              <w:bottom w:val="single" w:color="000000" w:sz="4" w:space="0"/>
              <w:right w:val="single" w:color="000000" w:sz="4" w:space="0"/>
            </w:tcBorders>
            <w:noWrap w:val="0"/>
            <w:vAlign w:val="center"/>
          </w:tcPr>
          <w:p w14:paraId="25456A9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投标文件响应内容</w:t>
            </w:r>
          </w:p>
        </w:tc>
        <w:tc>
          <w:tcPr>
            <w:tcW w:w="1549" w:type="dxa"/>
            <w:tcBorders>
              <w:top w:val="single" w:color="000000" w:sz="4" w:space="0"/>
              <w:left w:val="single" w:color="auto" w:sz="4" w:space="0"/>
              <w:bottom w:val="single" w:color="000000" w:sz="4" w:space="0"/>
              <w:right w:val="single" w:color="000000" w:sz="4" w:space="0"/>
            </w:tcBorders>
            <w:noWrap w:val="0"/>
            <w:vAlign w:val="center"/>
          </w:tcPr>
          <w:p w14:paraId="66D0FA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4A1D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728" w:type="dxa"/>
            <w:tcBorders>
              <w:top w:val="single" w:color="auto" w:sz="4" w:space="0"/>
              <w:left w:val="single" w:color="000000" w:sz="4" w:space="0"/>
              <w:bottom w:val="single" w:color="000000" w:sz="4" w:space="0"/>
              <w:right w:val="single" w:color="000000" w:sz="4" w:space="0"/>
            </w:tcBorders>
            <w:noWrap w:val="0"/>
            <w:vAlign w:val="center"/>
          </w:tcPr>
          <w:p w14:paraId="608566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5" w:type="dxa"/>
            <w:tcBorders>
              <w:top w:val="single" w:color="auto" w:sz="4" w:space="0"/>
              <w:left w:val="single" w:color="auto" w:sz="4" w:space="0"/>
              <w:bottom w:val="single" w:color="000000" w:sz="4" w:space="0"/>
              <w:right w:val="single" w:color="000000" w:sz="4" w:space="0"/>
            </w:tcBorders>
            <w:noWrap w:val="0"/>
            <w:vAlign w:val="center"/>
          </w:tcPr>
          <w:p w14:paraId="761DC9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2FB741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82" w:type="dxa"/>
            <w:tcBorders>
              <w:top w:val="single" w:color="auto" w:sz="4" w:space="0"/>
              <w:left w:val="single" w:color="auto" w:sz="4" w:space="0"/>
              <w:bottom w:val="single" w:color="000000" w:sz="4" w:space="0"/>
              <w:right w:val="single" w:color="000000" w:sz="4" w:space="0"/>
            </w:tcBorders>
            <w:noWrap w:val="0"/>
            <w:vAlign w:val="center"/>
          </w:tcPr>
          <w:p w14:paraId="1749E6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000000" w:sz="4" w:space="0"/>
              <w:right w:val="single" w:color="000000" w:sz="4" w:space="0"/>
            </w:tcBorders>
            <w:noWrap w:val="0"/>
            <w:vAlign w:val="center"/>
          </w:tcPr>
          <w:p w14:paraId="7D59B8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49" w:type="dxa"/>
            <w:tcBorders>
              <w:top w:val="single" w:color="auto" w:sz="4" w:space="0"/>
              <w:left w:val="single" w:color="auto" w:sz="4" w:space="0"/>
              <w:bottom w:val="single" w:color="000000" w:sz="4" w:space="0"/>
              <w:right w:val="single" w:color="000000" w:sz="4" w:space="0"/>
            </w:tcBorders>
            <w:noWrap w:val="0"/>
            <w:vAlign w:val="center"/>
          </w:tcPr>
          <w:p w14:paraId="5EE2FC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5A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728" w:type="dxa"/>
            <w:tcBorders>
              <w:top w:val="single" w:color="auto" w:sz="4" w:space="0"/>
              <w:left w:val="single" w:color="000000" w:sz="4" w:space="0"/>
              <w:bottom w:val="single" w:color="000000" w:sz="4" w:space="0"/>
              <w:right w:val="single" w:color="000000" w:sz="4" w:space="0"/>
            </w:tcBorders>
            <w:noWrap w:val="0"/>
            <w:vAlign w:val="center"/>
          </w:tcPr>
          <w:p w14:paraId="191BB7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5" w:type="dxa"/>
            <w:tcBorders>
              <w:top w:val="single" w:color="auto" w:sz="4" w:space="0"/>
              <w:left w:val="single" w:color="auto" w:sz="4" w:space="0"/>
              <w:bottom w:val="single" w:color="000000" w:sz="4" w:space="0"/>
              <w:right w:val="single" w:color="000000" w:sz="4" w:space="0"/>
            </w:tcBorders>
            <w:noWrap w:val="0"/>
            <w:vAlign w:val="center"/>
          </w:tcPr>
          <w:p w14:paraId="03A4D7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34" w:type="dxa"/>
            <w:tcBorders>
              <w:top w:val="single" w:color="auto" w:sz="4" w:space="0"/>
              <w:left w:val="single" w:color="auto" w:sz="4" w:space="0"/>
              <w:bottom w:val="single" w:color="000000" w:sz="4" w:space="0"/>
              <w:right w:val="single" w:color="000000" w:sz="4" w:space="0"/>
            </w:tcBorders>
            <w:noWrap w:val="0"/>
            <w:vAlign w:val="center"/>
          </w:tcPr>
          <w:p w14:paraId="5C96BC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82" w:type="dxa"/>
            <w:tcBorders>
              <w:top w:val="single" w:color="auto" w:sz="4" w:space="0"/>
              <w:left w:val="single" w:color="auto" w:sz="4" w:space="0"/>
              <w:bottom w:val="single" w:color="000000" w:sz="4" w:space="0"/>
              <w:right w:val="single" w:color="000000" w:sz="4" w:space="0"/>
            </w:tcBorders>
            <w:noWrap w:val="0"/>
            <w:vAlign w:val="center"/>
          </w:tcPr>
          <w:p w14:paraId="4F9EB2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000000" w:sz="4" w:space="0"/>
              <w:right w:val="single" w:color="000000" w:sz="4" w:space="0"/>
            </w:tcBorders>
            <w:noWrap w:val="0"/>
            <w:vAlign w:val="center"/>
          </w:tcPr>
          <w:p w14:paraId="64799D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49" w:type="dxa"/>
            <w:tcBorders>
              <w:top w:val="single" w:color="auto" w:sz="4" w:space="0"/>
              <w:left w:val="single" w:color="auto" w:sz="4" w:space="0"/>
              <w:bottom w:val="single" w:color="000000" w:sz="4" w:space="0"/>
              <w:right w:val="single" w:color="000000" w:sz="4" w:space="0"/>
            </w:tcBorders>
            <w:noWrap w:val="0"/>
            <w:vAlign w:val="center"/>
          </w:tcPr>
          <w:p w14:paraId="112979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2511FDDB">
      <w:pPr>
        <w:spacing w:line="5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（本表请根据实际自行制作）</w:t>
      </w:r>
    </w:p>
    <w:p w14:paraId="3BA2EB79">
      <w:pPr>
        <w:snapToGrid w:val="0"/>
        <w:spacing w:line="5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人应根据投标设备的性能指标、对照招标文件要求在偏离情况栏注明正偏离、负偏离或无偏离。</w:t>
      </w:r>
    </w:p>
    <w:p w14:paraId="2CAB650D">
      <w:pPr>
        <w:widowControl/>
        <w:spacing w:line="44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须提供附件：</w:t>
      </w:r>
    </w:p>
    <w:p w14:paraId="6F1874B1">
      <w:pPr>
        <w:widowControl/>
        <w:numPr>
          <w:ilvl w:val="0"/>
          <w:numId w:val="9"/>
        </w:numPr>
        <w:spacing w:line="44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详细的产品清单及货物简要说明（注明品牌型号及具体参数）；</w:t>
      </w:r>
    </w:p>
    <w:p w14:paraId="09C012A4">
      <w:pPr>
        <w:widowControl/>
        <w:numPr>
          <w:ilvl w:val="0"/>
          <w:numId w:val="9"/>
        </w:numPr>
        <w:spacing w:line="44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提供能详细描述投标产品主要技术参数、性能的证明材料</w:t>
      </w:r>
      <w:r>
        <w:rPr>
          <w:rFonts w:hint="eastAsia" w:ascii="宋体" w:hAnsi="宋体" w:cs="宋体"/>
          <w:color w:val="auto"/>
          <w:kern w:val="0"/>
          <w:sz w:val="21"/>
          <w:szCs w:val="21"/>
          <w:highlight w:val="none"/>
          <w:lang w:eastAsia="zh-CN"/>
        </w:rPr>
        <w:t>（如有）</w:t>
      </w:r>
      <w:r>
        <w:rPr>
          <w:rFonts w:hint="eastAsia" w:ascii="宋体" w:hAnsi="宋体" w:eastAsia="宋体" w:cs="宋体"/>
          <w:bCs/>
          <w:color w:val="auto"/>
          <w:kern w:val="0"/>
          <w:sz w:val="21"/>
          <w:szCs w:val="21"/>
          <w:highlight w:val="none"/>
        </w:rPr>
        <w:t>。</w:t>
      </w:r>
    </w:p>
    <w:p w14:paraId="197425CA">
      <w:pPr>
        <w:widowControl/>
        <w:numPr>
          <w:ilvl w:val="0"/>
          <w:numId w:val="0"/>
        </w:numPr>
        <w:spacing w:beforeLines="0" w:afterLines="0" w:line="540" w:lineRule="exact"/>
        <w:ind w:firstLine="301" w:firstLineChars="100"/>
        <w:jc w:val="both"/>
        <w:outlineLvl w:val="2"/>
        <w:rPr>
          <w:rFonts w:hint="eastAsia" w:ascii="宋体" w:hAnsi="宋体" w:cs="宋体"/>
          <w:b/>
          <w:bCs/>
          <w:color w:val="auto"/>
          <w:kern w:val="0"/>
          <w:sz w:val="30"/>
          <w:szCs w:val="30"/>
          <w:highlight w:val="none"/>
        </w:rPr>
      </w:pPr>
    </w:p>
    <w:p w14:paraId="5A1F3974">
      <w:pPr>
        <w:widowControl/>
        <w:numPr>
          <w:ilvl w:val="0"/>
          <w:numId w:val="0"/>
        </w:numPr>
        <w:spacing w:beforeLines="0" w:afterLines="0" w:line="540" w:lineRule="exact"/>
        <w:ind w:firstLine="2409" w:firstLineChars="800"/>
        <w:jc w:val="both"/>
        <w:outlineLvl w:val="2"/>
        <w:rPr>
          <w:rFonts w:hint="eastAsia" w:ascii="宋体" w:hAnsi="宋体" w:cs="宋体"/>
          <w:b/>
          <w:bCs/>
          <w:color w:val="auto"/>
          <w:kern w:val="0"/>
          <w:sz w:val="30"/>
          <w:szCs w:val="30"/>
          <w:highlight w:val="none"/>
          <w:lang w:eastAsia="zh-CN"/>
        </w:rPr>
      </w:pPr>
    </w:p>
    <w:p w14:paraId="63514B9D">
      <w:pPr>
        <w:spacing w:line="540" w:lineRule="exact"/>
        <w:ind w:firstLine="3360" w:firstLineChars="1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eastAsia="zh-CN"/>
        </w:rPr>
        <w:t>人</w:t>
      </w:r>
      <w:r>
        <w:rPr>
          <w:rFonts w:hint="eastAsia" w:asciiTheme="minorEastAsia" w:hAnsiTheme="minorEastAsia" w:eastAsiaTheme="minorEastAsia" w:cstheme="minorEastAsia"/>
          <w:color w:val="auto"/>
          <w:highlight w:val="none"/>
        </w:rPr>
        <w:t>名称（盖公章）：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3D14FCE3">
      <w:pPr>
        <w:widowControl/>
        <w:spacing w:line="540" w:lineRule="exact"/>
        <w:jc w:val="center"/>
        <w:rPr>
          <w:rFonts w:ascii="仿宋" w:hAnsi="仿宋" w:eastAsia="仿宋" w:cs="宋体"/>
          <w:color w:val="auto"/>
          <w:kern w:val="0"/>
          <w:sz w:val="24"/>
          <w:highlight w:val="none"/>
        </w:rPr>
      </w:pPr>
    </w:p>
    <w:p w14:paraId="2310E342">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7432C06D">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2595D936">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6386B755">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40E9CB36">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5D72EE04">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677DDF87">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4FBE2E5F">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4AFA10D3">
      <w:pPr>
        <w:widowControl/>
        <w:numPr>
          <w:ilvl w:val="0"/>
          <w:numId w:val="0"/>
        </w:numPr>
        <w:spacing w:beforeLines="0" w:afterLines="0" w:line="540" w:lineRule="exact"/>
        <w:ind w:firstLine="6023" w:firstLineChars="2000"/>
        <w:jc w:val="both"/>
        <w:outlineLvl w:val="2"/>
        <w:rPr>
          <w:rFonts w:hint="default" w:ascii="宋体" w:hAnsi="宋体" w:eastAsia="宋体"/>
          <w:b/>
          <w:color w:val="auto"/>
          <w:kern w:val="0"/>
          <w:sz w:val="30"/>
          <w:highlight w:val="none"/>
        </w:rPr>
      </w:pPr>
    </w:p>
    <w:p w14:paraId="1A6ED15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8AD47BC">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企业业绩</w:t>
      </w:r>
    </w:p>
    <w:p w14:paraId="1E15998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FBC701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987357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8862AD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1D1FCD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ACC155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CAAC54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3CCEE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76A1D1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380906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337255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F1CAFD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721F91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6A9C48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4C7A45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4D2DAE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89CD53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9AB53E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320998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9D231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713E576">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66F663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48046B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ACB71E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34E3064">
      <w:pPr>
        <w:widowControl/>
        <w:numPr>
          <w:ilvl w:val="0"/>
          <w:numId w:val="0"/>
        </w:numPr>
        <w:spacing w:beforeLines="0" w:afterLines="0" w:line="540" w:lineRule="exact"/>
        <w:jc w:val="both"/>
        <w:outlineLvl w:val="2"/>
        <w:rPr>
          <w:rFonts w:hint="default" w:ascii="宋体" w:hAnsi="宋体" w:eastAsia="宋体"/>
          <w:b/>
          <w:color w:val="auto"/>
          <w:kern w:val="0"/>
          <w:sz w:val="30"/>
          <w:highlight w:val="none"/>
        </w:rPr>
      </w:pPr>
    </w:p>
    <w:p w14:paraId="27591482">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基本技术参数</w:t>
      </w:r>
    </w:p>
    <w:p w14:paraId="7F64F35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43F134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EF9FDD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63A89E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3A7F70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8B0446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013A18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339238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CEA62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983352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443263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97A617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87054E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B1CCF6">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566B63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BE1070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736E96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F5DBF5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625E91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B78A93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317776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5C87E3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62C8AC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111265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352EDF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DF2D2A0">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响应人企业实力</w:t>
      </w:r>
    </w:p>
    <w:p w14:paraId="6F7E98C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AA873B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770529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E86732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1C00F4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07B469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DE6066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FD0BD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B51B64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7E8823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6E98D3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FA455D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CC0035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003EB7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EA3303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09214A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0E505C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A46D7D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57C64E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630713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E255BA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5CD986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9340FB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9D7ACC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FD14137">
      <w:pPr>
        <w:widowControl/>
        <w:numPr>
          <w:ilvl w:val="0"/>
          <w:numId w:val="0"/>
        </w:numPr>
        <w:spacing w:beforeLines="0" w:afterLines="0" w:line="540" w:lineRule="exact"/>
        <w:jc w:val="both"/>
        <w:outlineLvl w:val="2"/>
        <w:rPr>
          <w:rFonts w:hint="default" w:ascii="宋体" w:hAnsi="宋体" w:eastAsia="宋体"/>
          <w:b/>
          <w:color w:val="auto"/>
          <w:kern w:val="0"/>
          <w:sz w:val="30"/>
          <w:highlight w:val="none"/>
        </w:rPr>
      </w:pPr>
    </w:p>
    <w:p w14:paraId="79B68B80">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系统演示</w:t>
      </w:r>
    </w:p>
    <w:p w14:paraId="2412B68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5827E3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1FB44B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5EAC53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D5FC646">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094661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4EF675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C858CF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62B9956">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9CAC05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686B45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295C17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CCB96E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F5A191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0D186F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266808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17ACB2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FFFDED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FADB87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731AB6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C28545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84E97E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13D083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FC2E4F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EDF8CC1">
      <w:pPr>
        <w:widowControl/>
        <w:numPr>
          <w:ilvl w:val="0"/>
          <w:numId w:val="0"/>
        </w:numPr>
        <w:spacing w:beforeLines="0" w:afterLines="0" w:line="540" w:lineRule="exact"/>
        <w:jc w:val="both"/>
        <w:outlineLvl w:val="2"/>
        <w:rPr>
          <w:rFonts w:hint="default" w:ascii="宋体" w:hAnsi="宋体" w:eastAsia="宋体"/>
          <w:b/>
          <w:color w:val="auto"/>
          <w:kern w:val="0"/>
          <w:sz w:val="30"/>
          <w:highlight w:val="none"/>
        </w:rPr>
      </w:pPr>
    </w:p>
    <w:p w14:paraId="75035B0A">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技术培训方案</w:t>
      </w:r>
    </w:p>
    <w:p w14:paraId="68652BD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929BD0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42CB2B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7C0AD36">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27D8FC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5F7651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5DCB55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0822C4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16C31E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813390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6E971D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A079CD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34786F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4F5359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6912CD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2CA406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0A9BA26">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285021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AFF7A6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2C6B6B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B410F0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14B615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26D054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0AE63F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E9F30E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D5A6E62">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项目实施方案</w:t>
      </w:r>
    </w:p>
    <w:p w14:paraId="1424B98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CD2938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15EB0C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9C9D5C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DC0D7B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61E38F8">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77FC0F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D67EA2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9D1ACD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1748D8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62510BF">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641D0B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9DDA63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6DE6A1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E6C64F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4DD54D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6458AC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2053C6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74E4C0E">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0857F8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DA2FB3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73D62B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E453A9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ECDA46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0C5425">
      <w:pPr>
        <w:widowControl/>
        <w:numPr>
          <w:ilvl w:val="0"/>
          <w:numId w:val="0"/>
        </w:numPr>
        <w:spacing w:beforeLines="0" w:afterLines="0" w:line="540" w:lineRule="exact"/>
        <w:jc w:val="both"/>
        <w:outlineLvl w:val="2"/>
        <w:rPr>
          <w:rFonts w:hint="default" w:ascii="宋体" w:hAnsi="宋体" w:eastAsia="宋体"/>
          <w:b/>
          <w:color w:val="auto"/>
          <w:kern w:val="0"/>
          <w:sz w:val="30"/>
          <w:highlight w:val="none"/>
        </w:rPr>
      </w:pPr>
    </w:p>
    <w:p w14:paraId="44D5AC10">
      <w:pPr>
        <w:widowControl/>
        <w:numPr>
          <w:ilvl w:val="0"/>
          <w:numId w:val="8"/>
        </w:numPr>
        <w:spacing w:beforeLines="0" w:afterLines="0" w:line="540" w:lineRule="exact"/>
        <w:ind w:left="0" w:leftChars="0" w:firstLine="0" w:firstLineChars="0"/>
        <w:jc w:val="center"/>
        <w:outlineLvl w:val="2"/>
        <w:rPr>
          <w:rFonts w:hint="default" w:ascii="宋体" w:hAnsi="宋体" w:eastAsia="宋体"/>
          <w:b/>
          <w:color w:val="auto"/>
          <w:kern w:val="0"/>
          <w:sz w:val="30"/>
          <w:highlight w:val="none"/>
        </w:rPr>
      </w:pPr>
      <w:r>
        <w:rPr>
          <w:rFonts w:hint="default" w:ascii="宋体" w:hAnsi="宋体" w:eastAsia="宋体"/>
          <w:b/>
          <w:color w:val="auto"/>
          <w:kern w:val="0"/>
          <w:sz w:val="30"/>
          <w:highlight w:val="none"/>
        </w:rPr>
        <w:t>售后服务方案</w:t>
      </w:r>
    </w:p>
    <w:p w14:paraId="2C0F5C3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3BD76C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B2B6879">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2987E4C">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31F59B0">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463D39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E12A70B">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E3D7C8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3A13B52">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93F76A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FE7A98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6B5769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F600C93">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9165B1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39A0B7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0821FA55">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49357B8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5BFD9F3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8E7815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7272EA4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8475791">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A6521FD">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1B587D74">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37A91D07">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240986BA">
      <w:pPr>
        <w:widowControl/>
        <w:numPr>
          <w:ilvl w:val="0"/>
          <w:numId w:val="0"/>
        </w:numPr>
        <w:spacing w:beforeLines="0" w:afterLines="0" w:line="540" w:lineRule="exact"/>
        <w:jc w:val="center"/>
        <w:outlineLvl w:val="2"/>
        <w:rPr>
          <w:rFonts w:hint="default" w:ascii="宋体" w:hAnsi="宋体" w:eastAsia="宋体"/>
          <w:b/>
          <w:color w:val="auto"/>
          <w:kern w:val="0"/>
          <w:sz w:val="30"/>
          <w:highlight w:val="none"/>
        </w:rPr>
      </w:pPr>
    </w:p>
    <w:p w14:paraId="6CBFEBB3">
      <w:pPr>
        <w:widowControl/>
        <w:numPr>
          <w:ilvl w:val="0"/>
          <w:numId w:val="8"/>
        </w:numPr>
        <w:spacing w:beforeLines="0" w:afterLines="0" w:line="540" w:lineRule="exact"/>
        <w:ind w:left="0" w:leftChars="0" w:firstLine="0" w:firstLineChars="0"/>
        <w:jc w:val="center"/>
        <w:outlineLvl w:val="2"/>
        <w:rPr>
          <w:rFonts w:hint="eastAsia" w:ascii="宋体" w:hAnsi="宋体" w:cs="宋体"/>
          <w:b/>
          <w:bCs/>
          <w:color w:val="auto"/>
          <w:kern w:val="0"/>
          <w:sz w:val="30"/>
          <w:szCs w:val="30"/>
          <w:highlight w:val="none"/>
        </w:rPr>
      </w:pPr>
      <w:r>
        <w:rPr>
          <w:rFonts w:hint="default" w:ascii="宋体" w:hAnsi="宋体" w:eastAsia="宋体"/>
          <w:b/>
          <w:color w:val="auto"/>
          <w:kern w:val="0"/>
          <w:sz w:val="30"/>
          <w:highlight w:val="none"/>
        </w:rPr>
        <w:t>投标方需要说明的其他文件和说明</w:t>
      </w:r>
      <w:r>
        <w:rPr>
          <w:rFonts w:hint="eastAsia" w:ascii="宋体" w:hAnsi="宋体" w:cs="宋体"/>
          <w:b/>
          <w:bCs/>
          <w:color w:val="auto"/>
          <w:kern w:val="0"/>
          <w:sz w:val="30"/>
          <w:szCs w:val="30"/>
          <w:highlight w:val="none"/>
        </w:rPr>
        <w:br w:type="page"/>
      </w:r>
    </w:p>
    <w:p w14:paraId="724157EB">
      <w:pPr>
        <w:widowControl/>
        <w:numPr>
          <w:ilvl w:val="0"/>
          <w:numId w:val="0"/>
        </w:numPr>
        <w:spacing w:beforeLines="0" w:afterLines="0" w:line="540" w:lineRule="exact"/>
        <w:ind w:leftChars="0"/>
        <w:jc w:val="right"/>
        <w:outlineLvl w:val="2"/>
        <w:rPr>
          <w:rFonts w:ascii="宋体" w:cs="Times New Roman"/>
          <w:b/>
          <w:bCs/>
          <w:color w:val="auto"/>
          <w:sz w:val="30"/>
          <w:szCs w:val="30"/>
          <w:highlight w:val="none"/>
        </w:rPr>
      </w:pPr>
      <w:r>
        <w:rPr>
          <w:rFonts w:hint="eastAsia" w:ascii="宋体" w:hAnsi="宋体" w:cs="宋体"/>
          <w:b/>
          <w:bCs/>
          <w:color w:val="auto"/>
          <w:sz w:val="30"/>
          <w:szCs w:val="30"/>
          <w:highlight w:val="none"/>
        </w:rPr>
        <w:t>正本或副本</w:t>
      </w:r>
    </w:p>
    <w:p w14:paraId="15EC9CB0">
      <w:pPr>
        <w:spacing w:beforeLines="100" w:line="440" w:lineRule="atLeast"/>
        <w:jc w:val="center"/>
        <w:outlineLvl w:val="1"/>
        <w:rPr>
          <w:rFonts w:ascii="宋体" w:cs="Times New Roman"/>
          <w:b/>
          <w:bCs/>
          <w:color w:val="auto"/>
          <w:sz w:val="44"/>
          <w:szCs w:val="44"/>
          <w:highlight w:val="none"/>
        </w:rPr>
      </w:pPr>
      <w:bookmarkStart w:id="225" w:name="_Toc387831536"/>
      <w:bookmarkStart w:id="226" w:name="_Toc16936"/>
      <w:bookmarkStart w:id="227" w:name="_Toc393201763"/>
      <w:bookmarkStart w:id="228" w:name="_Toc392080815"/>
      <w:bookmarkStart w:id="229" w:name="_Toc336331393"/>
    </w:p>
    <w:p w14:paraId="0B1FA755">
      <w:pPr>
        <w:spacing w:beforeLines="100" w:line="440" w:lineRule="atLeast"/>
        <w:jc w:val="center"/>
        <w:outlineLvl w:val="1"/>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报价文件</w:t>
      </w:r>
      <w:bookmarkEnd w:id="225"/>
      <w:bookmarkEnd w:id="226"/>
      <w:bookmarkEnd w:id="227"/>
      <w:bookmarkEnd w:id="228"/>
      <w:bookmarkEnd w:id="229"/>
    </w:p>
    <w:p w14:paraId="30534066">
      <w:pPr>
        <w:spacing w:line="440" w:lineRule="atLeast"/>
        <w:jc w:val="center"/>
        <w:rPr>
          <w:rFonts w:hint="eastAsia" w:ascii="黑体" w:hAnsi="黑体" w:eastAsia="黑体" w:cs="黑体"/>
          <w:color w:val="auto"/>
          <w:sz w:val="32"/>
          <w:szCs w:val="32"/>
          <w:highlight w:val="none"/>
        </w:rPr>
      </w:pPr>
    </w:p>
    <w:p w14:paraId="369EF825">
      <w:pPr>
        <w:spacing w:line="440" w:lineRule="atLeast"/>
        <w:jc w:val="center"/>
        <w:rPr>
          <w:rFonts w:hint="eastAsia" w:ascii="黑体" w:hAnsi="黑体" w:eastAsia="黑体" w:cs="黑体"/>
          <w:color w:val="auto"/>
          <w:sz w:val="32"/>
          <w:szCs w:val="32"/>
          <w:highlight w:val="none"/>
        </w:rPr>
      </w:pPr>
    </w:p>
    <w:p w14:paraId="3D875B52">
      <w:pPr>
        <w:spacing w:line="440" w:lineRule="atLeast"/>
        <w:jc w:val="center"/>
        <w:rPr>
          <w:rFonts w:hint="eastAsia" w:ascii="黑体" w:hAnsi="黑体" w:eastAsia="黑体" w:cs="黑体"/>
          <w:color w:val="auto"/>
          <w:sz w:val="32"/>
          <w:szCs w:val="32"/>
          <w:highlight w:val="none"/>
        </w:rPr>
      </w:pPr>
    </w:p>
    <w:p w14:paraId="15218E8F">
      <w:pPr>
        <w:ind w:left="2235" w:leftChars="342" w:hanging="1517" w:hangingChars="542"/>
        <w:rPr>
          <w:rFonts w:hint="eastAsia" w:ascii="黑体" w:hAnsi="宋体" w:eastAsia="黑体"/>
          <w:color w:val="auto"/>
          <w:sz w:val="28"/>
          <w:szCs w:val="28"/>
          <w:highlight w:val="none"/>
          <w:u w:val="single"/>
        </w:rPr>
      </w:pPr>
      <w:r>
        <w:rPr>
          <w:rFonts w:hint="eastAsia" w:ascii="黑体" w:hAnsi="黑体" w:eastAsia="黑体" w:cs="黑体"/>
          <w:b w:val="0"/>
          <w:bCs w:val="0"/>
          <w:color w:val="auto"/>
          <w:sz w:val="28"/>
          <w:szCs w:val="28"/>
          <w:highlight w:val="none"/>
        </w:rPr>
        <w:t>项目名称：</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开化县钱江源共富农品精深加工项目——物联网  </w:t>
      </w:r>
    </w:p>
    <w:p w14:paraId="6B68DB38">
      <w:pPr>
        <w:keepNext w:val="0"/>
        <w:keepLines w:val="0"/>
        <w:pageBreakBefore w:val="0"/>
        <w:widowControl w:val="0"/>
        <w:kinsoku/>
        <w:wordWrap/>
        <w:overflowPunct/>
        <w:topLinePunct w:val="0"/>
        <w:autoSpaceDE/>
        <w:autoSpaceDN/>
        <w:bidi w:val="0"/>
        <w:adjustRightInd/>
        <w:snapToGrid/>
        <w:ind w:left="2110" w:leftChars="1005" w:firstLine="140" w:firstLineChars="50"/>
        <w:textAlignment w:val="auto"/>
        <w:rPr>
          <w:rFonts w:hint="eastAsia" w:ascii="黑体" w:hAnsi="黑体" w:eastAsia="黑体" w:cs="黑体"/>
          <w:b w:val="0"/>
          <w:bCs w:val="0"/>
          <w:color w:val="auto"/>
          <w:sz w:val="28"/>
          <w:szCs w:val="28"/>
          <w:highlight w:val="none"/>
          <w:u w:val="single"/>
          <w:lang w:val="en-US" w:eastAsia="zh-CN"/>
        </w:rPr>
      </w:pP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数据系统和桐村畈基地水肥一体机（非政府采购）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none"/>
          <w:lang w:val="en-US" w:eastAsia="zh-CN"/>
        </w:rPr>
        <w:t xml:space="preserve">  </w:t>
      </w:r>
      <w:r>
        <w:rPr>
          <w:rFonts w:hint="eastAsia" w:ascii="黑体" w:hAnsi="黑体" w:eastAsia="黑体" w:cs="黑体"/>
          <w:b w:val="0"/>
          <w:bCs w:val="0"/>
          <w:color w:val="auto"/>
          <w:sz w:val="28"/>
          <w:szCs w:val="28"/>
          <w:highlight w:val="none"/>
          <w:u w:val="none"/>
          <w:lang w:val="en-US" w:eastAsia="zh-CN"/>
        </w:rPr>
        <w:t xml:space="preserve">                </w:t>
      </w:r>
    </w:p>
    <w:p w14:paraId="1305C8B1">
      <w:pPr>
        <w:wordWrap w:val="0"/>
        <w:snapToGrid w:val="0"/>
        <w:spacing w:line="440" w:lineRule="atLeast"/>
        <w:ind w:firstLine="700" w:firstLineChars="250"/>
        <w:rPr>
          <w:rFonts w:hint="eastAsia" w:ascii="黑体" w:hAnsi="黑体" w:eastAsia="黑体" w:cs="黑体"/>
          <w:b w:val="0"/>
          <w:bCs w:val="0"/>
          <w:color w:val="auto"/>
          <w:sz w:val="28"/>
          <w:szCs w:val="28"/>
          <w:highlight w:val="none"/>
        </w:rPr>
      </w:pPr>
    </w:p>
    <w:p w14:paraId="5267A9E5">
      <w:pPr>
        <w:wordWrap w:val="0"/>
        <w:snapToGrid w:val="0"/>
        <w:spacing w:line="440" w:lineRule="atLeast"/>
        <w:ind w:firstLine="700" w:firstLineChars="25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项目编号：</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eastAsia="zh-CN"/>
        </w:rPr>
        <w:t>ZJTJKH2024-08-02</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p>
    <w:p w14:paraId="5FEC48D7">
      <w:pPr>
        <w:wordWrap w:val="0"/>
        <w:spacing w:line="440" w:lineRule="atLeast"/>
        <w:ind w:firstLine="700" w:firstLineChars="250"/>
        <w:jc w:val="left"/>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  </w:t>
      </w:r>
    </w:p>
    <w:p w14:paraId="76B62295">
      <w:pPr>
        <w:wordWrap w:val="0"/>
        <w:spacing w:line="440" w:lineRule="atLeast"/>
        <w:ind w:firstLine="700" w:firstLineChars="250"/>
        <w:jc w:val="left"/>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响应</w:t>
      </w:r>
      <w:r>
        <w:rPr>
          <w:rFonts w:hint="eastAsia" w:ascii="黑体" w:hAnsi="黑体" w:eastAsia="黑体" w:cs="黑体"/>
          <w:b w:val="0"/>
          <w:bCs w:val="0"/>
          <w:color w:val="auto"/>
          <w:sz w:val="28"/>
          <w:szCs w:val="28"/>
          <w:highlight w:val="none"/>
          <w:lang w:eastAsia="zh-CN"/>
        </w:rPr>
        <w:t>方</w:t>
      </w:r>
      <w:r>
        <w:rPr>
          <w:rFonts w:hint="eastAsia" w:ascii="黑体" w:hAnsi="黑体" w:eastAsia="黑体" w:cs="黑体"/>
          <w:b w:val="0"/>
          <w:bCs w:val="0"/>
          <w:color w:val="auto"/>
          <w:sz w:val="28"/>
          <w:szCs w:val="28"/>
          <w:highlight w:val="none"/>
        </w:rPr>
        <w:t>名称：</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（盖单位公章）   </w:t>
      </w:r>
      <w:r>
        <w:rPr>
          <w:rFonts w:hint="eastAsia" w:ascii="黑体" w:hAnsi="黑体" w:eastAsia="黑体" w:cs="黑体"/>
          <w:b w:val="0"/>
          <w:bCs w:val="0"/>
          <w:color w:val="auto"/>
          <w:sz w:val="28"/>
          <w:szCs w:val="28"/>
          <w:highlight w:val="none"/>
          <w:u w:val="single"/>
          <w:lang w:val="en-US" w:eastAsia="zh-CN"/>
        </w:rPr>
        <w:t xml:space="preserve">    </w:t>
      </w:r>
      <w:r>
        <w:rPr>
          <w:rFonts w:hint="eastAsia" w:ascii="黑体" w:hAnsi="黑体" w:eastAsia="黑体" w:cs="黑体"/>
          <w:b w:val="0"/>
          <w:bCs w:val="0"/>
          <w:color w:val="auto"/>
          <w:sz w:val="28"/>
          <w:szCs w:val="28"/>
          <w:highlight w:val="none"/>
          <w:u w:val="single"/>
        </w:rPr>
        <w:t xml:space="preserve"> </w:t>
      </w:r>
    </w:p>
    <w:p w14:paraId="546B7616">
      <w:pPr>
        <w:wordWrap w:val="0"/>
        <w:spacing w:line="440" w:lineRule="atLeast"/>
        <w:ind w:firstLine="700" w:firstLineChars="250"/>
        <w:jc w:val="left"/>
        <w:rPr>
          <w:rFonts w:hint="eastAsia" w:ascii="黑体" w:hAnsi="黑体" w:eastAsia="黑体" w:cs="黑体"/>
          <w:b w:val="0"/>
          <w:bCs w:val="0"/>
          <w:color w:val="auto"/>
          <w:sz w:val="28"/>
          <w:szCs w:val="28"/>
          <w:highlight w:val="none"/>
        </w:rPr>
      </w:pPr>
    </w:p>
    <w:p w14:paraId="1F1B7535">
      <w:pPr>
        <w:spacing w:line="440" w:lineRule="atLeast"/>
        <w:ind w:firstLine="562" w:firstLineChars="200"/>
        <w:jc w:val="left"/>
        <w:rPr>
          <w:rFonts w:hint="eastAsia" w:ascii="黑体" w:hAnsi="黑体" w:eastAsia="黑体" w:cs="黑体"/>
          <w:b/>
          <w:bCs/>
          <w:color w:val="auto"/>
          <w:sz w:val="28"/>
          <w:szCs w:val="28"/>
          <w:highlight w:val="none"/>
        </w:rPr>
      </w:pPr>
    </w:p>
    <w:p w14:paraId="3F2F0564">
      <w:pPr>
        <w:spacing w:line="440" w:lineRule="atLeast"/>
        <w:ind w:firstLine="562" w:firstLineChars="200"/>
        <w:jc w:val="left"/>
        <w:rPr>
          <w:rFonts w:hint="eastAsia" w:ascii="黑体" w:hAnsi="黑体" w:eastAsia="黑体" w:cs="黑体"/>
          <w:b/>
          <w:bCs/>
          <w:color w:val="auto"/>
          <w:sz w:val="28"/>
          <w:szCs w:val="28"/>
          <w:highlight w:val="none"/>
        </w:rPr>
      </w:pPr>
    </w:p>
    <w:p w14:paraId="4DBE7AB2">
      <w:pPr>
        <w:spacing w:line="440" w:lineRule="atLeast"/>
        <w:jc w:val="center"/>
        <w:rPr>
          <w:rFonts w:hint="eastAsia" w:ascii="黑体" w:hAnsi="黑体" w:eastAsia="黑体" w:cs="黑体"/>
          <w:b/>
          <w:bCs/>
          <w:color w:val="auto"/>
          <w:sz w:val="28"/>
          <w:szCs w:val="28"/>
          <w:highlight w:val="none"/>
        </w:rPr>
      </w:pPr>
    </w:p>
    <w:p w14:paraId="61555890">
      <w:pPr>
        <w:spacing w:line="440" w:lineRule="atLeast"/>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年</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月</w:t>
      </w:r>
      <w:r>
        <w:rPr>
          <w:rFonts w:hint="eastAsia" w:ascii="黑体" w:hAnsi="黑体" w:eastAsia="黑体" w:cs="黑体"/>
          <w:b w:val="0"/>
          <w:bCs w:val="0"/>
          <w:color w:val="auto"/>
          <w:sz w:val="28"/>
          <w:szCs w:val="28"/>
          <w:highlight w:val="none"/>
          <w:u w:val="single"/>
        </w:rPr>
        <w:t xml:space="preserve">         </w:t>
      </w:r>
      <w:r>
        <w:rPr>
          <w:rFonts w:hint="eastAsia" w:ascii="黑体" w:hAnsi="黑体" w:eastAsia="黑体" w:cs="黑体"/>
          <w:b w:val="0"/>
          <w:bCs w:val="0"/>
          <w:color w:val="auto"/>
          <w:sz w:val="28"/>
          <w:szCs w:val="28"/>
          <w:highlight w:val="none"/>
        </w:rPr>
        <w:t>日</w:t>
      </w:r>
    </w:p>
    <w:p w14:paraId="1C51CD3D">
      <w:pPr>
        <w:spacing w:beforeLines="100" w:afterLines="100" w:line="440" w:lineRule="atLeast"/>
        <w:jc w:val="center"/>
        <w:rPr>
          <w:rFonts w:ascii="宋体" w:cs="Times New Roman"/>
          <w:b/>
          <w:bCs/>
          <w:color w:val="auto"/>
          <w:sz w:val="30"/>
          <w:szCs w:val="30"/>
          <w:highlight w:val="none"/>
        </w:rPr>
      </w:pPr>
    </w:p>
    <w:p w14:paraId="748C0592">
      <w:pPr>
        <w:jc w:val="both"/>
        <w:rPr>
          <w:rFonts w:hint="eastAsia" w:ascii="宋体" w:hAnsi="宋体" w:cs="宋体"/>
          <w:b/>
          <w:bCs/>
          <w:color w:val="auto"/>
          <w:sz w:val="30"/>
          <w:szCs w:val="30"/>
          <w:highlight w:val="none"/>
        </w:rPr>
      </w:pPr>
    </w:p>
    <w:p w14:paraId="44CD8AF7">
      <w:pPr>
        <w:jc w:val="center"/>
        <w:rPr>
          <w:rFonts w:hint="eastAsia" w:ascii="宋体" w:hAnsi="宋体" w:cs="宋体"/>
          <w:b/>
          <w:bCs/>
          <w:color w:val="auto"/>
          <w:sz w:val="30"/>
          <w:szCs w:val="30"/>
          <w:highlight w:val="none"/>
        </w:rPr>
      </w:pPr>
    </w:p>
    <w:p w14:paraId="7D3B4DD2">
      <w:pPr>
        <w:jc w:val="center"/>
        <w:rPr>
          <w:rFonts w:ascii="宋体" w:cs="Times New Roman"/>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0"/>
          <w:szCs w:val="30"/>
          <w:highlight w:val="none"/>
        </w:rPr>
        <w:t>报价文件目录</w:t>
      </w:r>
    </w:p>
    <w:p w14:paraId="49CA9A83">
      <w:pPr>
        <w:rPr>
          <w:rStyle w:val="37"/>
          <w:rFonts w:hint="eastAsia" w:ascii="宋体" w:hAnsi="宋体" w:cs="宋体"/>
          <w:color w:val="auto"/>
          <w:kern w:val="0"/>
          <w:highlight w:val="none"/>
          <w:u w:val="none"/>
        </w:rPr>
      </w:pPr>
    </w:p>
    <w:p w14:paraId="61189BE6">
      <w:pPr>
        <w:pStyle w:val="24"/>
        <w:tabs>
          <w:tab w:val="right" w:leader="dot" w:pos="9061"/>
        </w:tabs>
        <w:spacing w:line="360" w:lineRule="auto"/>
        <w:rPr>
          <w:rStyle w:val="37"/>
          <w:rFonts w:hint="eastAsia" w:ascii="宋体" w:hAnsi="宋体" w:eastAsia="宋体" w:cs="宋体"/>
          <w:color w:val="auto"/>
          <w:kern w:val="0"/>
          <w:szCs w:val="22"/>
          <w:highlight w:val="none"/>
          <w:u w:val="none"/>
          <w:lang w:val="zh-CN"/>
        </w:rPr>
      </w:pPr>
      <w:r>
        <w:rPr>
          <w:rStyle w:val="37"/>
          <w:rFonts w:hint="eastAsia" w:ascii="宋体" w:hAnsi="宋体" w:eastAsia="宋体" w:cs="宋体"/>
          <w:color w:val="auto"/>
          <w:kern w:val="0"/>
          <w:szCs w:val="22"/>
          <w:highlight w:val="none"/>
          <w:u w:val="none"/>
          <w:lang w:val="zh-CN"/>
        </w:rPr>
        <w:t>一、响应函（格式附后）；</w:t>
      </w:r>
    </w:p>
    <w:p w14:paraId="55F8AFBA">
      <w:pPr>
        <w:pStyle w:val="24"/>
        <w:tabs>
          <w:tab w:val="right" w:leader="dot" w:pos="9061"/>
        </w:tabs>
        <w:spacing w:line="360" w:lineRule="auto"/>
        <w:rPr>
          <w:rStyle w:val="37"/>
          <w:rFonts w:hint="eastAsia" w:ascii="宋体" w:hAnsi="宋体" w:eastAsia="宋体" w:cs="宋体"/>
          <w:color w:val="auto"/>
          <w:kern w:val="0"/>
          <w:szCs w:val="22"/>
          <w:highlight w:val="none"/>
          <w:u w:val="none"/>
        </w:rPr>
      </w:pPr>
      <w:r>
        <w:rPr>
          <w:rStyle w:val="37"/>
          <w:rFonts w:hint="eastAsia" w:ascii="宋体" w:hAnsi="宋体" w:eastAsia="宋体" w:cs="宋体"/>
          <w:color w:val="auto"/>
          <w:kern w:val="0"/>
          <w:szCs w:val="22"/>
          <w:highlight w:val="none"/>
          <w:u w:val="none"/>
          <w:lang w:val="zh-CN"/>
        </w:rPr>
        <w:t>二、响应一览表（格式附后）；</w:t>
      </w:r>
    </w:p>
    <w:p w14:paraId="130C23CC">
      <w:pPr>
        <w:pStyle w:val="14"/>
        <w:tabs>
          <w:tab w:val="right" w:leader="dot" w:pos="9000"/>
        </w:tabs>
        <w:spacing w:beforeLines="0" w:afterLines="0" w:line="360" w:lineRule="auto"/>
        <w:ind w:left="0" w:leftChars="0" w:firstLine="420" w:firstLineChars="200"/>
        <w:rPr>
          <w:rFonts w:hint="eastAsia" w:ascii="宋体" w:hAnsi="宋体" w:eastAsia="宋体"/>
          <w:color w:val="auto"/>
          <w:sz w:val="21"/>
          <w:highlight w:val="none"/>
          <w:lang w:eastAsia="zh-CN"/>
        </w:rPr>
      </w:pPr>
      <w:r>
        <w:rPr>
          <w:rFonts w:hint="default" w:ascii="宋体" w:hAnsi="宋体"/>
          <w:color w:val="auto"/>
          <w:sz w:val="21"/>
          <w:highlight w:val="none"/>
          <w:lang w:eastAsia="zh-CN"/>
        </w:rPr>
        <w:t>三、</w:t>
      </w:r>
      <w:r>
        <w:rPr>
          <w:rFonts w:hint="default" w:ascii="宋体" w:hAnsi="宋体"/>
          <w:color w:val="auto"/>
          <w:sz w:val="21"/>
          <w:highlight w:val="none"/>
        </w:rPr>
        <w:t>投标报价明细表</w:t>
      </w:r>
      <w:r>
        <w:rPr>
          <w:rFonts w:hint="eastAsia" w:ascii="宋体" w:hAnsi="宋体"/>
          <w:color w:val="auto"/>
          <w:sz w:val="21"/>
          <w:highlight w:val="none"/>
          <w:lang w:eastAsia="zh-CN"/>
        </w:rPr>
        <w:t>；</w:t>
      </w:r>
    </w:p>
    <w:p w14:paraId="07ACD639">
      <w:pPr>
        <w:pStyle w:val="24"/>
        <w:tabs>
          <w:tab w:val="right" w:leader="dot" w:pos="9061"/>
        </w:tabs>
        <w:spacing w:line="360" w:lineRule="auto"/>
        <w:ind w:left="0" w:leftChars="0" w:firstLine="420" w:firstLineChars="200"/>
        <w:rPr>
          <w:rStyle w:val="37"/>
          <w:rFonts w:hint="eastAsia" w:ascii="宋体" w:hAnsi="宋体" w:cs="宋体"/>
          <w:color w:val="auto"/>
          <w:kern w:val="0"/>
          <w:szCs w:val="22"/>
          <w:highlight w:val="none"/>
          <w:u w:val="none"/>
        </w:rPr>
      </w:pPr>
      <w:r>
        <w:rPr>
          <w:rStyle w:val="37"/>
          <w:rFonts w:hint="eastAsia" w:ascii="宋体" w:hAnsi="宋体" w:cs="宋体"/>
          <w:color w:val="auto"/>
          <w:kern w:val="0"/>
          <w:szCs w:val="22"/>
          <w:highlight w:val="none"/>
          <w:u w:val="none"/>
          <w:lang w:eastAsia="zh-CN"/>
        </w:rPr>
        <w:t>四</w:t>
      </w:r>
      <w:r>
        <w:rPr>
          <w:rStyle w:val="37"/>
          <w:rFonts w:hint="eastAsia" w:ascii="宋体" w:hAnsi="宋体" w:cs="宋体"/>
          <w:color w:val="auto"/>
          <w:kern w:val="0"/>
          <w:szCs w:val="22"/>
          <w:highlight w:val="none"/>
          <w:u w:val="none"/>
        </w:rPr>
        <w:t>、</w:t>
      </w:r>
      <w:r>
        <w:rPr>
          <w:rStyle w:val="37"/>
          <w:rFonts w:hint="eastAsia" w:ascii="宋体" w:hAnsi="宋体" w:cs="宋体"/>
          <w:color w:val="auto"/>
          <w:kern w:val="0"/>
          <w:szCs w:val="22"/>
          <w:highlight w:val="none"/>
          <w:u w:val="none"/>
          <w:lang w:eastAsia="zh-CN"/>
        </w:rPr>
        <w:t>响应人</w:t>
      </w:r>
      <w:r>
        <w:rPr>
          <w:rStyle w:val="37"/>
          <w:rFonts w:hint="eastAsia" w:ascii="宋体" w:hAnsi="宋体" w:cs="宋体"/>
          <w:color w:val="auto"/>
          <w:kern w:val="0"/>
          <w:szCs w:val="22"/>
          <w:highlight w:val="none"/>
          <w:u w:val="none"/>
        </w:rPr>
        <w:t>需要说明的其他文件和说明</w:t>
      </w:r>
    </w:p>
    <w:p w14:paraId="5D65F86A">
      <w:pPr>
        <w:pStyle w:val="24"/>
        <w:tabs>
          <w:tab w:val="right" w:leader="dot" w:pos="9061"/>
        </w:tabs>
        <w:spacing w:line="360" w:lineRule="auto"/>
        <w:rPr>
          <w:rStyle w:val="37"/>
          <w:rFonts w:hint="eastAsia" w:ascii="宋体" w:hAnsi="宋体" w:eastAsia="宋体" w:cs="宋体"/>
          <w:color w:val="auto"/>
          <w:kern w:val="0"/>
          <w:szCs w:val="22"/>
          <w:highlight w:val="none"/>
          <w:u w:val="none"/>
        </w:rPr>
      </w:pPr>
    </w:p>
    <w:p w14:paraId="7B06612A">
      <w:pPr>
        <w:rPr>
          <w:rFonts w:cs="Times New Roman"/>
          <w:color w:val="auto"/>
          <w:highlight w:val="none"/>
        </w:rPr>
      </w:pPr>
    </w:p>
    <w:p w14:paraId="14F05D2D">
      <w:pPr>
        <w:rPr>
          <w:rFonts w:cs="Times New Roman"/>
          <w:color w:val="auto"/>
          <w:highlight w:val="none"/>
        </w:rPr>
      </w:pPr>
    </w:p>
    <w:p w14:paraId="1703C6E3">
      <w:pPr>
        <w:pStyle w:val="24"/>
        <w:tabs>
          <w:tab w:val="right" w:leader="dot" w:pos="9061"/>
        </w:tabs>
        <w:spacing w:line="360" w:lineRule="auto"/>
        <w:rPr>
          <w:rFonts w:ascii="宋体" w:cs="Times New Roman"/>
          <w:color w:val="auto"/>
          <w:highlight w:val="none"/>
        </w:rPr>
      </w:pPr>
    </w:p>
    <w:p w14:paraId="010AFB3A">
      <w:pPr>
        <w:rPr>
          <w:rFonts w:cs="Times New Roman"/>
          <w:color w:val="auto"/>
          <w:highlight w:val="none"/>
        </w:rPr>
      </w:pPr>
    </w:p>
    <w:p w14:paraId="7808107B">
      <w:pPr>
        <w:spacing w:beforeLines="100" w:afterLines="100" w:line="440" w:lineRule="atLeast"/>
        <w:jc w:val="center"/>
        <w:rPr>
          <w:rFonts w:ascii="宋体" w:cs="Times New Roman"/>
          <w:b/>
          <w:bCs/>
          <w:color w:val="auto"/>
          <w:sz w:val="30"/>
          <w:szCs w:val="30"/>
          <w:highlight w:val="none"/>
        </w:rPr>
      </w:pPr>
    </w:p>
    <w:p w14:paraId="20EC1E16">
      <w:pPr>
        <w:spacing w:beforeLines="100" w:afterLines="100" w:line="440" w:lineRule="atLeast"/>
        <w:jc w:val="center"/>
        <w:rPr>
          <w:rFonts w:ascii="宋体" w:cs="Times New Roman"/>
          <w:b/>
          <w:bCs/>
          <w:color w:val="auto"/>
          <w:sz w:val="30"/>
          <w:szCs w:val="30"/>
          <w:highlight w:val="none"/>
        </w:rPr>
      </w:pPr>
    </w:p>
    <w:p w14:paraId="51C78214">
      <w:pPr>
        <w:pStyle w:val="84"/>
        <w:rPr>
          <w:rFonts w:ascii="宋体" w:cs="Times New Roman"/>
          <w:b/>
          <w:bCs/>
          <w:color w:val="auto"/>
          <w:sz w:val="30"/>
          <w:szCs w:val="30"/>
          <w:highlight w:val="none"/>
        </w:rPr>
      </w:pPr>
    </w:p>
    <w:p w14:paraId="4BEE7D57">
      <w:pPr>
        <w:rPr>
          <w:color w:val="auto"/>
          <w:highlight w:val="none"/>
        </w:rPr>
      </w:pPr>
    </w:p>
    <w:p w14:paraId="172673D0">
      <w:pPr>
        <w:spacing w:beforeLines="100" w:afterLines="100" w:line="440" w:lineRule="atLeast"/>
        <w:jc w:val="center"/>
        <w:rPr>
          <w:rFonts w:ascii="宋体" w:cs="Times New Roman"/>
          <w:b/>
          <w:bCs/>
          <w:color w:val="auto"/>
          <w:sz w:val="30"/>
          <w:szCs w:val="30"/>
          <w:highlight w:val="none"/>
        </w:rPr>
      </w:pPr>
    </w:p>
    <w:p w14:paraId="2EF718F9">
      <w:pPr>
        <w:spacing w:beforeLines="100" w:afterLines="100" w:line="440" w:lineRule="atLeast"/>
        <w:jc w:val="center"/>
        <w:rPr>
          <w:rFonts w:ascii="宋体" w:cs="Times New Roman"/>
          <w:b/>
          <w:bCs/>
          <w:color w:val="auto"/>
          <w:sz w:val="30"/>
          <w:szCs w:val="30"/>
          <w:highlight w:val="none"/>
        </w:rPr>
      </w:pPr>
    </w:p>
    <w:p w14:paraId="7E028DD2">
      <w:pPr>
        <w:spacing w:beforeLines="100" w:afterLines="100" w:line="440" w:lineRule="atLeast"/>
        <w:jc w:val="center"/>
        <w:rPr>
          <w:rFonts w:ascii="宋体" w:cs="Times New Roman"/>
          <w:b/>
          <w:bCs/>
          <w:color w:val="auto"/>
          <w:sz w:val="30"/>
          <w:szCs w:val="30"/>
          <w:highlight w:val="none"/>
        </w:rPr>
      </w:pPr>
    </w:p>
    <w:p w14:paraId="0BA89FF8">
      <w:pPr>
        <w:spacing w:beforeLines="100" w:afterLines="100" w:line="440" w:lineRule="atLeast"/>
        <w:jc w:val="both"/>
        <w:rPr>
          <w:rFonts w:ascii="宋体" w:cs="Times New Roman"/>
          <w:b/>
          <w:bCs/>
          <w:color w:val="auto"/>
          <w:sz w:val="30"/>
          <w:szCs w:val="30"/>
          <w:highlight w:val="none"/>
        </w:rPr>
      </w:pPr>
    </w:p>
    <w:p w14:paraId="53401A81">
      <w:pPr>
        <w:pStyle w:val="3"/>
        <w:numPr>
          <w:ilvl w:val="1"/>
          <w:numId w:val="0"/>
        </w:numPr>
        <w:ind w:leftChars="0"/>
        <w:rPr>
          <w:color w:val="auto"/>
          <w:highlight w:val="none"/>
        </w:rPr>
      </w:pPr>
    </w:p>
    <w:p w14:paraId="65C9656A">
      <w:pPr>
        <w:rPr>
          <w:color w:val="auto"/>
          <w:highlight w:val="none"/>
        </w:rPr>
      </w:pPr>
    </w:p>
    <w:p w14:paraId="295B159F">
      <w:pPr>
        <w:widowControl/>
        <w:spacing w:line="540" w:lineRule="exact"/>
        <w:jc w:val="center"/>
        <w:outlineLvl w:val="2"/>
        <w:rPr>
          <w:rFonts w:ascii="宋体" w:hAnsi="宋体" w:cs="宋体"/>
          <w:b/>
          <w:bCs/>
          <w:color w:val="auto"/>
          <w:kern w:val="0"/>
          <w:sz w:val="30"/>
          <w:szCs w:val="30"/>
          <w:highlight w:val="none"/>
        </w:rPr>
      </w:pPr>
      <w:bookmarkStart w:id="230" w:name="_Toc393201765"/>
      <w:bookmarkStart w:id="231" w:name="_Toc387831538"/>
      <w:bookmarkStart w:id="232" w:name="_Toc437509367"/>
      <w:bookmarkStart w:id="233" w:name="_Toc437331337"/>
      <w:bookmarkStart w:id="234" w:name="_Toc392080817"/>
      <w:bookmarkStart w:id="235" w:name="_Toc437331648"/>
      <w:bookmarkStart w:id="236" w:name="_Toc424199705"/>
      <w:bookmarkStart w:id="237" w:name="_Toc437504070"/>
      <w:bookmarkStart w:id="238" w:name="_Toc433882683"/>
      <w:bookmarkStart w:id="239" w:name="_Toc340736225"/>
      <w:bookmarkStart w:id="240" w:name="_Toc435706615"/>
      <w:bookmarkStart w:id="241" w:name="_Toc335298322"/>
      <w:bookmarkStart w:id="242" w:name="_Toc336671806"/>
      <w:bookmarkStart w:id="243" w:name="_Toc335295012"/>
      <w:bookmarkStart w:id="244" w:name="_Toc335294212"/>
      <w:bookmarkStart w:id="245" w:name="_Toc335297854"/>
      <w:r>
        <w:rPr>
          <w:rFonts w:hint="eastAsia" w:ascii="宋体" w:hAnsi="宋体" w:cs="宋体"/>
          <w:b/>
          <w:bCs/>
          <w:color w:val="auto"/>
          <w:kern w:val="0"/>
          <w:sz w:val="30"/>
          <w:szCs w:val="30"/>
          <w:highlight w:val="none"/>
        </w:rPr>
        <w:t>一、响应函</w:t>
      </w:r>
    </w:p>
    <w:p w14:paraId="3E1453DF">
      <w:pPr>
        <w:widowControl/>
        <w:spacing w:line="440" w:lineRule="exact"/>
        <w:jc w:val="left"/>
        <w:rPr>
          <w:rFonts w:ascii="仿宋" w:hAnsi="仿宋" w:eastAsia="仿宋" w:cs="宋体"/>
          <w:color w:val="auto"/>
          <w:kern w:val="0"/>
          <w:sz w:val="24"/>
          <w:highlight w:val="none"/>
        </w:rPr>
      </w:pPr>
    </w:p>
    <w:p w14:paraId="46A23329">
      <w:pPr>
        <w:widowControl/>
        <w:spacing w:line="440" w:lineRule="exact"/>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kern w:val="0"/>
          <w:highlight w:val="none"/>
          <w:u w:val="single"/>
        </w:rPr>
        <w:t xml:space="preserve">                        </w:t>
      </w:r>
    </w:p>
    <w:p w14:paraId="22628221">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（响应方的名称），提交下述文件正本一份，副本四份，共五份。</w:t>
      </w:r>
    </w:p>
    <w:p w14:paraId="3099E93A">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3DE5F63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23C71464">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77EE9E0C">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33BBCABF">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5A957E9E">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5D625AB9">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5868EE73">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38D26F4B">
      <w:pPr>
        <w:widowControl/>
        <w:spacing w:line="44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p w14:paraId="4352B8C8">
      <w:pPr>
        <w:widowControl/>
        <w:spacing w:line="440" w:lineRule="exact"/>
        <w:ind w:firstLine="420" w:firstLineChars="200"/>
        <w:jc w:val="left"/>
        <w:rPr>
          <w:rFonts w:asciiTheme="minorEastAsia" w:hAnsiTheme="minorEastAsia" w:eastAsiaTheme="minorEastAsia" w:cstheme="minorEastAsia"/>
          <w:color w:val="auto"/>
          <w:kern w:val="0"/>
          <w:highlight w:val="none"/>
        </w:rPr>
      </w:pPr>
    </w:p>
    <w:p w14:paraId="6E1B315C">
      <w:pPr>
        <w:widowControl/>
        <w:spacing w:line="440" w:lineRule="exact"/>
        <w:ind w:firstLine="420" w:firstLineChars="200"/>
        <w:jc w:val="left"/>
        <w:rPr>
          <w:rFonts w:hint="eastAsia" w:asciiTheme="minorEastAsia" w:hAnsiTheme="minorEastAsia" w:eastAsiaTheme="minorEastAsia" w:cstheme="minorEastAsia"/>
          <w:color w:val="auto"/>
          <w:kern w:val="0"/>
          <w:highlight w:val="none"/>
        </w:rPr>
      </w:pPr>
    </w:p>
    <w:p w14:paraId="4EE94C59">
      <w:pPr>
        <w:widowControl/>
        <w:spacing w:line="440" w:lineRule="exact"/>
        <w:ind w:firstLine="420" w:firstLineChars="200"/>
        <w:jc w:val="left"/>
        <w:rPr>
          <w:rFonts w:hint="eastAsia" w:asciiTheme="minorEastAsia" w:hAnsiTheme="minorEastAsia" w:eastAsiaTheme="minorEastAsia" w:cstheme="minorEastAsia"/>
          <w:color w:val="auto"/>
          <w:kern w:val="0"/>
          <w:highlight w:val="none"/>
        </w:rPr>
      </w:pPr>
    </w:p>
    <w:p w14:paraId="2351A322">
      <w:pPr>
        <w:widowControl/>
        <w:spacing w:line="440" w:lineRule="exact"/>
        <w:ind w:firstLine="420" w:firstLineChars="200"/>
        <w:jc w:val="right"/>
        <w:rPr>
          <w:rFonts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响应</w:t>
      </w:r>
      <w:r>
        <w:rPr>
          <w:rFonts w:hint="eastAsia" w:asciiTheme="minorEastAsia" w:hAnsiTheme="minorEastAsia" w:eastAsiaTheme="minorEastAsia" w:cstheme="minorEastAsia"/>
          <w:color w:val="auto"/>
          <w:kern w:val="0"/>
          <w:highlight w:val="none"/>
          <w:lang w:eastAsia="zh-CN"/>
        </w:rPr>
        <w:t>人</w:t>
      </w:r>
      <w:r>
        <w:rPr>
          <w:rFonts w:hint="eastAsia" w:asciiTheme="minorEastAsia" w:hAnsiTheme="minorEastAsia" w:eastAsiaTheme="minorEastAsia" w:cstheme="minorEastAsia"/>
          <w:color w:val="auto"/>
          <w:kern w:val="0"/>
          <w:highlight w:val="none"/>
        </w:rPr>
        <w:t>名称（盖公章）：</w:t>
      </w:r>
      <w:r>
        <w:rPr>
          <w:rFonts w:hint="eastAsia" w:asciiTheme="minorEastAsia" w:hAnsiTheme="minorEastAsia" w:eastAsiaTheme="minorEastAsia" w:cstheme="minorEastAsia"/>
          <w:color w:val="auto"/>
          <w:kern w:val="0"/>
          <w:highlight w:val="none"/>
          <w:u w:val="single"/>
        </w:rPr>
        <w:t>   </w:t>
      </w:r>
      <w:r>
        <w:rPr>
          <w:rFonts w:hint="default" w:asciiTheme="minorEastAsia" w:hAnsiTheme="minorEastAsia" w:eastAsiaTheme="minorEastAsia" w:cstheme="minorEastAsia"/>
          <w:color w:val="auto"/>
          <w:kern w:val="0"/>
          <w:highlight w:val="none"/>
          <w:u w:val="single"/>
          <w:lang w:val="en-US"/>
        </w:rPr>
        <w:t xml:space="preserve">  </w:t>
      </w:r>
      <w:r>
        <w:rPr>
          <w:rFonts w:hint="eastAsia" w:asciiTheme="minorEastAsia" w:hAnsiTheme="minorEastAsia" w:eastAsiaTheme="minorEastAsia" w:cstheme="minorEastAsia"/>
          <w:color w:val="auto"/>
          <w:kern w:val="0"/>
          <w:highlight w:val="none"/>
          <w:u w:val="single"/>
        </w:rPr>
        <w:t>    </w:t>
      </w:r>
    </w:p>
    <w:p w14:paraId="15623C93">
      <w:pPr>
        <w:spacing w:line="360" w:lineRule="auto"/>
        <w:jc w:val="center"/>
        <w:rPr>
          <w:rFonts w:hint="eastAsia" w:ascii="宋体" w:hAnsi="宋体" w:eastAsia="宋体"/>
          <w:b/>
          <w:color w:val="auto"/>
          <w:kern w:val="0"/>
          <w:sz w:val="30"/>
          <w:highlight w:val="none"/>
          <w:lang w:eastAsia="zh-CN"/>
        </w:rPr>
      </w:pPr>
      <w:r>
        <w:rPr>
          <w:rFonts w:hint="eastAsia" w:ascii="宋体" w:hAnsi="宋体"/>
          <w:color w:val="auto"/>
          <w:sz w:val="21"/>
          <w:highlight w:val="none"/>
          <w:lang w:val="en-US" w:eastAsia="zh-CN"/>
        </w:rPr>
        <w:t xml:space="preserve">                               </w:t>
      </w:r>
      <w:r>
        <w:rPr>
          <w:rFonts w:hint="default" w:ascii="宋体" w:hAnsi="宋体" w:eastAsia="宋体"/>
          <w:color w:val="auto"/>
          <w:sz w:val="21"/>
          <w:highlight w:val="none"/>
        </w:rPr>
        <w:t>日 期：  年  月  日</w:t>
      </w:r>
    </w:p>
    <w:p w14:paraId="757546FE">
      <w:pPr>
        <w:snapToGrid w:val="0"/>
        <w:spacing w:line="400" w:lineRule="exact"/>
        <w:jc w:val="center"/>
        <w:outlineLvl w:val="1"/>
        <w:rPr>
          <w:rFonts w:ascii="仿宋" w:hAnsi="仿宋" w:eastAsia="仿宋" w:cs="宋体"/>
          <w:b/>
          <w:color w:val="auto"/>
          <w:kern w:val="0"/>
          <w:sz w:val="30"/>
          <w:szCs w:val="30"/>
          <w:highlight w:val="none"/>
        </w:rPr>
      </w:pPr>
    </w:p>
    <w:p w14:paraId="2BDC669D">
      <w:pPr>
        <w:snapToGrid w:val="0"/>
        <w:spacing w:line="400" w:lineRule="exact"/>
        <w:outlineLvl w:val="1"/>
        <w:rPr>
          <w:rFonts w:ascii="仿宋" w:hAnsi="仿宋" w:eastAsia="仿宋" w:cs="宋体"/>
          <w:b/>
          <w:color w:val="auto"/>
          <w:kern w:val="0"/>
          <w:sz w:val="30"/>
          <w:szCs w:val="30"/>
          <w:highlight w:val="none"/>
        </w:rPr>
      </w:pPr>
      <w:bookmarkStart w:id="246" w:name="_Toc476230570"/>
      <w:bookmarkStart w:id="247" w:name="_Toc476229741"/>
      <w:bookmarkStart w:id="248" w:name="_Toc470270028"/>
      <w:bookmarkStart w:id="249" w:name="_Toc463851875"/>
      <w:bookmarkStart w:id="250" w:name="_Toc468954277"/>
      <w:bookmarkStart w:id="251" w:name="_Toc471819758"/>
      <w:bookmarkStart w:id="252" w:name="_Toc470269912"/>
      <w:bookmarkStart w:id="253" w:name="_Toc476230982"/>
      <w:bookmarkStart w:id="254" w:name="_Toc476230706"/>
      <w:bookmarkStart w:id="255" w:name="_Toc471819818"/>
      <w:bookmarkStart w:id="256" w:name="_Toc467572565"/>
      <w:bookmarkStart w:id="257" w:name="_Toc469475498"/>
    </w:p>
    <w:p w14:paraId="3514DBFF">
      <w:pPr>
        <w:snapToGrid w:val="0"/>
        <w:spacing w:line="400" w:lineRule="exact"/>
        <w:jc w:val="center"/>
        <w:outlineLvl w:val="1"/>
        <w:rPr>
          <w:rFonts w:ascii="仿宋" w:hAnsi="仿宋" w:eastAsia="仿宋" w:cs="宋体"/>
          <w:b/>
          <w:color w:val="auto"/>
          <w:kern w:val="0"/>
          <w:sz w:val="30"/>
          <w:szCs w:val="30"/>
          <w:highlight w:val="none"/>
        </w:rPr>
      </w:pPr>
    </w:p>
    <w:p w14:paraId="34BD35F4">
      <w:pPr>
        <w:snapToGrid w:val="0"/>
        <w:spacing w:line="400" w:lineRule="exact"/>
        <w:jc w:val="center"/>
        <w:outlineLvl w:val="1"/>
        <w:rPr>
          <w:rFonts w:ascii="仿宋" w:hAnsi="仿宋" w:eastAsia="仿宋" w:cs="宋体"/>
          <w:b/>
          <w:color w:val="auto"/>
          <w:kern w:val="0"/>
          <w:sz w:val="30"/>
          <w:szCs w:val="30"/>
          <w:highlight w:val="none"/>
        </w:rPr>
      </w:pPr>
    </w:p>
    <w:p w14:paraId="3C385F01">
      <w:pPr>
        <w:snapToGrid w:val="0"/>
        <w:spacing w:line="400" w:lineRule="exact"/>
        <w:jc w:val="center"/>
        <w:outlineLvl w:val="1"/>
        <w:rPr>
          <w:rFonts w:ascii="仿宋" w:hAnsi="仿宋" w:eastAsia="仿宋" w:cs="宋体"/>
          <w:b/>
          <w:color w:val="auto"/>
          <w:kern w:val="0"/>
          <w:sz w:val="30"/>
          <w:szCs w:val="30"/>
          <w:highlight w:val="none"/>
        </w:rPr>
      </w:pPr>
    </w:p>
    <w:p w14:paraId="39C9D845">
      <w:pPr>
        <w:snapToGrid w:val="0"/>
        <w:spacing w:line="220" w:lineRule="exact"/>
        <w:jc w:val="center"/>
        <w:outlineLvl w:val="1"/>
        <w:rPr>
          <w:rFonts w:ascii="宋体" w:hAnsi="宋体" w:cs="宋体"/>
          <w:b/>
          <w:bCs/>
          <w:color w:val="auto"/>
          <w:kern w:val="0"/>
          <w:sz w:val="30"/>
          <w:szCs w:val="30"/>
          <w:highlight w:val="none"/>
        </w:rPr>
      </w:pPr>
      <w:bookmarkStart w:id="258" w:name="_Toc28301"/>
      <w:bookmarkStart w:id="259" w:name="_Toc495666261"/>
    </w:p>
    <w:p w14:paraId="10BDD425">
      <w:pPr>
        <w:snapToGrid w:val="0"/>
        <w:spacing w:line="220" w:lineRule="exact"/>
        <w:jc w:val="center"/>
        <w:outlineLvl w:val="1"/>
        <w:rPr>
          <w:rFonts w:ascii="宋体" w:hAnsi="宋体" w:cs="宋体"/>
          <w:b/>
          <w:bCs/>
          <w:color w:val="auto"/>
          <w:kern w:val="0"/>
          <w:sz w:val="30"/>
          <w:szCs w:val="30"/>
          <w:highlight w:val="none"/>
        </w:rPr>
      </w:pPr>
    </w:p>
    <w:bookmarkEnd w:id="230"/>
    <w:bookmarkEnd w:id="231"/>
    <w:bookmarkEnd w:id="232"/>
    <w:bookmarkEnd w:id="233"/>
    <w:bookmarkEnd w:id="234"/>
    <w:bookmarkEnd w:id="235"/>
    <w:bookmarkEnd w:id="236"/>
    <w:bookmarkEnd w:id="237"/>
    <w:bookmarkEnd w:id="238"/>
    <w:bookmarkEnd w:id="239"/>
    <w:bookmarkEnd w:id="240"/>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0097FCBF">
      <w:pPr>
        <w:widowControl/>
        <w:spacing w:line="540" w:lineRule="exact"/>
        <w:jc w:val="center"/>
        <w:outlineLvl w:val="2"/>
        <w:rPr>
          <w:rFonts w:hint="eastAsia" w:ascii="宋体" w:hAnsi="宋体" w:cs="宋体"/>
          <w:b/>
          <w:bCs/>
          <w:color w:val="auto"/>
          <w:kern w:val="0"/>
          <w:sz w:val="30"/>
          <w:szCs w:val="30"/>
          <w:highlight w:val="none"/>
        </w:rPr>
      </w:pPr>
    </w:p>
    <w:p w14:paraId="5321A091">
      <w:pPr>
        <w:widowControl/>
        <w:spacing w:line="540" w:lineRule="exact"/>
        <w:jc w:val="center"/>
        <w:outlineLvl w:val="2"/>
        <w:rPr>
          <w:rFonts w:hint="eastAsia" w:ascii="宋体" w:hAnsi="宋体" w:cs="宋体"/>
          <w:b/>
          <w:bCs/>
          <w:color w:val="auto"/>
          <w:kern w:val="0"/>
          <w:sz w:val="30"/>
          <w:szCs w:val="30"/>
          <w:highlight w:val="none"/>
        </w:rPr>
      </w:pPr>
    </w:p>
    <w:p w14:paraId="5B7E4C74">
      <w:pPr>
        <w:widowControl/>
        <w:spacing w:line="540" w:lineRule="exact"/>
        <w:jc w:val="center"/>
        <w:outlineLvl w:val="2"/>
        <w:rPr>
          <w:rFonts w:hint="eastAsia" w:ascii="宋体" w:hAnsi="宋体" w:cs="宋体"/>
          <w:b/>
          <w:bCs/>
          <w:color w:val="auto"/>
          <w:kern w:val="0"/>
          <w:sz w:val="30"/>
          <w:szCs w:val="30"/>
          <w:highlight w:val="none"/>
        </w:rPr>
      </w:pPr>
    </w:p>
    <w:p w14:paraId="18C84C1E">
      <w:pPr>
        <w:widowControl/>
        <w:spacing w:line="540" w:lineRule="exact"/>
        <w:jc w:val="center"/>
        <w:outlineLvl w:val="2"/>
        <w:rPr>
          <w:rFonts w:hint="eastAsia" w:ascii="宋体" w:hAnsi="宋体" w:cs="宋体"/>
          <w:b/>
          <w:bCs/>
          <w:color w:val="auto"/>
          <w:kern w:val="0"/>
          <w:sz w:val="30"/>
          <w:szCs w:val="30"/>
          <w:highlight w:val="none"/>
        </w:rPr>
      </w:pPr>
    </w:p>
    <w:p w14:paraId="38593F48">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二、响应一览表</w:t>
      </w:r>
    </w:p>
    <w:p w14:paraId="5106B257">
      <w:pPr>
        <w:snapToGrid w:val="0"/>
        <w:spacing w:before="50" w:after="50" w:line="440" w:lineRule="exact"/>
        <w:jc w:val="left"/>
        <w:rPr>
          <w:rFonts w:hint="eastAsia" w:asciiTheme="minorEastAsia" w:hAnsiTheme="minorEastAsia" w:eastAsiaTheme="minorEastAsia" w:cstheme="minorEastAsia"/>
          <w:color w:val="auto"/>
          <w:highlight w:val="none"/>
        </w:rPr>
      </w:pPr>
    </w:p>
    <w:p w14:paraId="1B335C7D">
      <w:pPr>
        <w:snapToGrid w:val="0"/>
        <w:spacing w:beforeLines="0" w:afterLines="0" w:line="480" w:lineRule="exact"/>
        <w:rPr>
          <w:rFonts w:hint="eastAsia" w:ascii="宋体" w:hAnsi="宋体"/>
          <w:color w:val="auto"/>
          <w:sz w:val="21"/>
          <w:highlight w:val="none"/>
        </w:rPr>
      </w:pPr>
      <w:r>
        <w:rPr>
          <w:rFonts w:hint="eastAsia" w:ascii="宋体" w:hAnsi="宋体"/>
          <w:color w:val="auto"/>
          <w:sz w:val="21"/>
          <w:highlight w:val="none"/>
        </w:rPr>
        <w:t xml:space="preserve">项目名称：                                      </w:t>
      </w:r>
      <w:r>
        <w:rPr>
          <w:rFonts w:hint="eastAsia" w:ascii="宋体" w:hAnsi="宋体"/>
          <w:color w:val="auto"/>
          <w:sz w:val="21"/>
          <w:highlight w:val="none"/>
          <w:lang w:val="en-US" w:eastAsia="zh-CN"/>
        </w:rPr>
        <w:t xml:space="preserve">                 </w:t>
      </w:r>
      <w:r>
        <w:rPr>
          <w:rFonts w:hint="eastAsia" w:ascii="宋体" w:hAnsi="宋体"/>
          <w:color w:val="auto"/>
          <w:sz w:val="21"/>
          <w:highlight w:val="none"/>
        </w:rPr>
        <w:t xml:space="preserve">    金额单位：元</w:t>
      </w:r>
    </w:p>
    <w:tbl>
      <w:tblPr>
        <w:tblStyle w:val="32"/>
        <w:tblW w:w="96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783"/>
      </w:tblGrid>
      <w:tr w14:paraId="6BAB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43BC5">
            <w:pPr>
              <w:keepNext w:val="0"/>
              <w:keepLines w:val="0"/>
              <w:suppressLineNumbers w:val="0"/>
              <w:snapToGrid w:val="0"/>
              <w:spacing w:before="0" w:beforeLines="0" w:beforeAutospacing="0" w:after="0" w:afterLines="0" w:afterAutospacing="0" w:line="360" w:lineRule="exact"/>
              <w:ind w:left="0" w:right="0"/>
              <w:jc w:val="center"/>
              <w:rPr>
                <w:rFonts w:hint="default" w:hAnsi="宋体"/>
                <w:color w:val="auto"/>
                <w:sz w:val="21"/>
                <w:highlight w:val="none"/>
              </w:rPr>
            </w:pPr>
            <w:r>
              <w:rPr>
                <w:rFonts w:hint="eastAsia" w:hAnsi="宋体"/>
                <w:color w:val="auto"/>
                <w:sz w:val="21"/>
                <w:highlight w:val="none"/>
              </w:rPr>
              <w:t>项目名称</w:t>
            </w:r>
          </w:p>
        </w:tc>
        <w:tc>
          <w:tcPr>
            <w:tcW w:w="7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086BE">
            <w:pPr>
              <w:keepNext w:val="0"/>
              <w:keepLines w:val="0"/>
              <w:suppressLineNumbers w:val="0"/>
              <w:snapToGrid w:val="0"/>
              <w:spacing w:before="0" w:beforeLines="0" w:beforeAutospacing="0" w:after="0" w:afterLines="0" w:afterAutospacing="0" w:line="360" w:lineRule="exact"/>
              <w:ind w:left="0" w:right="0"/>
              <w:rPr>
                <w:rFonts w:hint="default" w:hAnsi="宋体"/>
                <w:color w:val="auto"/>
                <w:sz w:val="21"/>
                <w:highlight w:val="none"/>
              </w:rPr>
            </w:pPr>
          </w:p>
        </w:tc>
      </w:tr>
      <w:tr w14:paraId="47C7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35EF9">
            <w:pPr>
              <w:keepNext w:val="0"/>
              <w:keepLines w:val="0"/>
              <w:suppressLineNumbers w:val="0"/>
              <w:snapToGrid w:val="0"/>
              <w:spacing w:before="0" w:beforeLines="0" w:beforeAutospacing="0" w:after="0" w:afterLines="0" w:afterAutospacing="0" w:line="360" w:lineRule="exact"/>
              <w:ind w:left="0" w:right="0"/>
              <w:jc w:val="center"/>
              <w:rPr>
                <w:rFonts w:hint="default" w:hAnsi="宋体"/>
                <w:color w:val="auto"/>
                <w:sz w:val="21"/>
                <w:highlight w:val="none"/>
              </w:rPr>
            </w:pPr>
            <w:r>
              <w:rPr>
                <w:rFonts w:hint="eastAsia" w:ascii="宋体" w:hAnsi="宋体"/>
                <w:color w:val="auto"/>
                <w:sz w:val="21"/>
                <w:highlight w:val="none"/>
              </w:rPr>
              <w:t>投标总价</w:t>
            </w:r>
          </w:p>
        </w:tc>
        <w:tc>
          <w:tcPr>
            <w:tcW w:w="7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1C092">
            <w:pPr>
              <w:keepNext w:val="0"/>
              <w:keepLines w:val="0"/>
              <w:suppressLineNumbers w:val="0"/>
              <w:spacing w:before="0" w:beforeLines="0" w:beforeAutospacing="0" w:after="0" w:afterLines="0" w:afterAutospacing="0" w:line="360" w:lineRule="auto"/>
              <w:ind w:left="0" w:right="0" w:firstLine="126" w:firstLineChars="60"/>
              <w:rPr>
                <w:rFonts w:hint="default" w:hAnsi="宋体"/>
                <w:color w:val="auto"/>
                <w:sz w:val="21"/>
                <w:highlight w:val="none"/>
              </w:rPr>
            </w:pPr>
            <w:r>
              <w:rPr>
                <w:rFonts w:hint="eastAsia" w:hAnsi="宋体"/>
                <w:color w:val="auto"/>
                <w:sz w:val="21"/>
                <w:highlight w:val="none"/>
              </w:rPr>
              <w:t>大写</w:t>
            </w:r>
            <w:r>
              <w:rPr>
                <w:rFonts w:hint="eastAsia" w:hAnsi="宋体"/>
                <w:color w:val="auto"/>
                <w:sz w:val="21"/>
                <w:highlight w:val="none"/>
                <w:u w:val="single"/>
                <w:lang w:val="en-US" w:eastAsia="zh-CN"/>
              </w:rPr>
              <w:t xml:space="preserve">                          </w:t>
            </w:r>
            <w:r>
              <w:rPr>
                <w:rFonts w:hint="default" w:hAnsi="宋体"/>
                <w:color w:val="auto"/>
                <w:sz w:val="21"/>
                <w:highlight w:val="none"/>
              </w:rPr>
              <w:t xml:space="preserve">   </w:t>
            </w:r>
            <w:r>
              <w:rPr>
                <w:rFonts w:hint="eastAsia" w:hAnsi="宋体"/>
                <w:color w:val="auto"/>
                <w:sz w:val="21"/>
                <w:highlight w:val="none"/>
                <w:lang w:val="en-US" w:eastAsia="zh-CN"/>
              </w:rPr>
              <w:t xml:space="preserve">       </w:t>
            </w:r>
            <w:r>
              <w:rPr>
                <w:rFonts w:hint="default" w:hAnsi="宋体"/>
                <w:color w:val="auto"/>
                <w:sz w:val="21"/>
                <w:highlight w:val="none"/>
              </w:rPr>
              <w:t xml:space="preserve">  </w:t>
            </w:r>
            <w:r>
              <w:rPr>
                <w:rFonts w:hint="eastAsia" w:hAnsi="宋体"/>
                <w:color w:val="auto"/>
                <w:sz w:val="21"/>
                <w:highlight w:val="none"/>
              </w:rPr>
              <w:t>（小写：￥</w:t>
            </w:r>
            <w:r>
              <w:rPr>
                <w:rFonts w:hint="eastAsia" w:hAnsi="宋体"/>
                <w:color w:val="auto"/>
                <w:sz w:val="21"/>
                <w:highlight w:val="none"/>
                <w:u w:val="single"/>
                <w:lang w:val="en-US" w:eastAsia="zh-CN"/>
              </w:rPr>
              <w:t xml:space="preserve">              </w:t>
            </w:r>
            <w:r>
              <w:rPr>
                <w:rFonts w:hint="eastAsia" w:hAnsi="宋体"/>
                <w:color w:val="auto"/>
                <w:sz w:val="21"/>
                <w:highlight w:val="none"/>
              </w:rPr>
              <w:t>）</w:t>
            </w:r>
          </w:p>
        </w:tc>
      </w:tr>
    </w:tbl>
    <w:p w14:paraId="0985BD7E">
      <w:pPr>
        <w:pStyle w:val="79"/>
        <w:spacing w:beforeLines="0" w:afterLines="0"/>
        <w:rPr>
          <w:rFonts w:hint="eastAsia"/>
          <w:color w:val="auto"/>
          <w:sz w:val="24"/>
          <w:highlight w:val="none"/>
        </w:rPr>
      </w:pPr>
    </w:p>
    <w:p w14:paraId="1B67137F">
      <w:pPr>
        <w:spacing w:beforeLines="0" w:afterLines="0" w:line="400" w:lineRule="exact"/>
        <w:ind w:firstLine="420" w:firstLineChars="200"/>
        <w:jc w:val="left"/>
        <w:rPr>
          <w:rFonts w:hint="eastAsia" w:ascii="宋体" w:hAnsi="宋体"/>
          <w:color w:val="auto"/>
          <w:sz w:val="21"/>
          <w:highlight w:val="none"/>
        </w:rPr>
      </w:pPr>
      <w:r>
        <w:rPr>
          <w:rFonts w:hint="eastAsia" w:ascii="宋体" w:hAnsi="宋体"/>
          <w:color w:val="auto"/>
          <w:sz w:val="21"/>
          <w:highlight w:val="none"/>
        </w:rPr>
        <w:t>注:</w:t>
      </w:r>
    </w:p>
    <w:p w14:paraId="370DAB00">
      <w:pPr>
        <w:numPr>
          <w:ilvl w:val="0"/>
          <w:numId w:val="0"/>
        </w:numPr>
        <w:spacing w:beforeLines="0" w:afterLines="0" w:line="400" w:lineRule="exact"/>
        <w:ind w:firstLine="210" w:firstLineChars="100"/>
        <w:jc w:val="left"/>
        <w:rPr>
          <w:rFonts w:hint="eastAsia" w:ascii="宋体" w:hAnsi="宋体"/>
          <w:color w:val="auto"/>
          <w:sz w:val="21"/>
          <w:highlight w:val="none"/>
        </w:rPr>
      </w:pPr>
      <w:r>
        <w:rPr>
          <w:rFonts w:hint="eastAsia" w:ascii="宋体" w:hAnsi="宋体"/>
          <w:color w:val="auto"/>
          <w:sz w:val="21"/>
          <w:highlight w:val="none"/>
          <w:lang w:val="en-US" w:eastAsia="zh-CN"/>
        </w:rPr>
        <w:t>1、</w:t>
      </w:r>
      <w:r>
        <w:rPr>
          <w:rFonts w:hint="eastAsia" w:ascii="宋体" w:hAnsi="宋体"/>
          <w:color w:val="auto"/>
          <w:sz w:val="21"/>
          <w:highlight w:val="none"/>
        </w:rPr>
        <w:t>报价一经涂改，应在涂改处加盖单位公章或者由法定代表人或授权委托人签字，否则其投标作无效标处理。</w:t>
      </w:r>
    </w:p>
    <w:p w14:paraId="6133A82A">
      <w:pPr>
        <w:numPr>
          <w:ilvl w:val="0"/>
          <w:numId w:val="0"/>
        </w:numPr>
        <w:spacing w:beforeLines="0" w:afterLines="0" w:line="400" w:lineRule="exact"/>
        <w:ind w:firstLine="210" w:firstLineChars="100"/>
        <w:jc w:val="left"/>
        <w:rPr>
          <w:rFonts w:hint="eastAsia" w:ascii="宋体" w:hAnsi="宋体"/>
          <w:color w:val="auto"/>
          <w:sz w:val="21"/>
          <w:highlight w:val="none"/>
        </w:rPr>
      </w:pPr>
      <w:r>
        <w:rPr>
          <w:rFonts w:hint="eastAsia" w:ascii="宋体" w:hAnsi="宋体"/>
          <w:color w:val="auto"/>
          <w:sz w:val="21"/>
          <w:highlight w:val="none"/>
          <w:lang w:val="en-US" w:eastAsia="zh-CN"/>
        </w:rPr>
        <w:t>2、</w:t>
      </w:r>
      <w:r>
        <w:rPr>
          <w:rFonts w:hint="eastAsia" w:ascii="宋体" w:hAnsi="宋体"/>
          <w:color w:val="auto"/>
          <w:sz w:val="21"/>
          <w:highlight w:val="none"/>
        </w:rPr>
        <w:t>响应方报价应包括完成该项目所涉及的全部费</w:t>
      </w:r>
      <w:r>
        <w:rPr>
          <w:rFonts w:hint="eastAsia" w:ascii="宋体" w:hAnsi="宋体" w:eastAsia="宋体"/>
          <w:color w:val="auto"/>
          <w:sz w:val="21"/>
          <w:highlight w:val="none"/>
        </w:rPr>
        <w:t>用</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应包括货物、随配附件、材料、备品备件、厂家赠品、运抵指定交货地点费用、保险费、安装调试费、售后服务、培训及其他所有费用的总和。</w:t>
      </w:r>
    </w:p>
    <w:p w14:paraId="35A61C09">
      <w:pPr>
        <w:widowControl/>
        <w:spacing w:beforeLines="0" w:afterLines="0" w:line="480" w:lineRule="exact"/>
        <w:ind w:firstLine="210" w:firstLineChars="100"/>
        <w:rPr>
          <w:rFonts w:hint="eastAsia" w:ascii="宋体" w:hAnsi="宋体" w:eastAsia="宋体"/>
          <w:color w:val="auto"/>
          <w:sz w:val="21"/>
          <w:highlight w:val="none"/>
          <w:lang w:val="en-US" w:eastAsia="zh-CN"/>
        </w:rPr>
      </w:pPr>
      <w:r>
        <w:rPr>
          <w:rFonts w:hint="eastAsia" w:ascii="宋体" w:hAnsi="宋体"/>
          <w:color w:val="auto"/>
          <w:sz w:val="21"/>
          <w:highlight w:val="none"/>
          <w:lang w:val="en-US" w:eastAsia="zh-CN"/>
        </w:rPr>
        <w:t>3、以上报价应与投标报价明细表中的投标总价相一致。</w:t>
      </w:r>
    </w:p>
    <w:p w14:paraId="5CDB7993">
      <w:pPr>
        <w:widowControl/>
        <w:spacing w:beforeLines="0" w:afterLines="0" w:line="480" w:lineRule="exact"/>
        <w:ind w:firstLine="3360" w:firstLineChars="1600"/>
        <w:rPr>
          <w:rFonts w:hint="eastAsia" w:ascii="宋体" w:hAnsi="宋体"/>
          <w:color w:val="auto"/>
          <w:sz w:val="21"/>
          <w:highlight w:val="none"/>
        </w:rPr>
      </w:pPr>
    </w:p>
    <w:p w14:paraId="26697A22">
      <w:pPr>
        <w:widowControl/>
        <w:spacing w:beforeLines="0" w:afterLines="0" w:line="480" w:lineRule="exact"/>
        <w:ind w:firstLine="3360" w:firstLineChars="1600"/>
        <w:rPr>
          <w:rFonts w:hint="eastAsia" w:ascii="宋体" w:hAnsi="宋体"/>
          <w:color w:val="auto"/>
          <w:sz w:val="21"/>
          <w:highlight w:val="none"/>
        </w:rPr>
      </w:pPr>
    </w:p>
    <w:p w14:paraId="7F447D88">
      <w:pPr>
        <w:widowControl/>
        <w:spacing w:beforeLines="0" w:afterLines="0" w:line="480" w:lineRule="exact"/>
        <w:ind w:firstLine="3360" w:firstLineChars="1600"/>
        <w:rPr>
          <w:rFonts w:hint="eastAsia" w:ascii="宋体" w:hAnsi="宋体"/>
          <w:color w:val="auto"/>
          <w:sz w:val="21"/>
          <w:highlight w:val="none"/>
        </w:rPr>
      </w:pPr>
    </w:p>
    <w:p w14:paraId="601A1E11">
      <w:pPr>
        <w:widowControl/>
        <w:spacing w:beforeLines="0" w:afterLines="0" w:line="480" w:lineRule="exact"/>
        <w:ind w:firstLine="3360" w:firstLineChars="1600"/>
        <w:rPr>
          <w:rFonts w:hint="eastAsia" w:ascii="宋体" w:hAnsi="宋体"/>
          <w:color w:val="auto"/>
          <w:sz w:val="21"/>
          <w:highlight w:val="none"/>
        </w:rPr>
      </w:pPr>
    </w:p>
    <w:p w14:paraId="31213A3C">
      <w:pPr>
        <w:widowControl/>
        <w:spacing w:beforeLines="0" w:afterLines="0" w:line="480" w:lineRule="exact"/>
        <w:ind w:firstLine="3360" w:firstLineChars="1600"/>
        <w:rPr>
          <w:rFonts w:hint="eastAsia" w:ascii="宋体" w:hAnsi="宋体"/>
          <w:color w:val="auto"/>
          <w:sz w:val="21"/>
          <w:highlight w:val="none"/>
        </w:rPr>
      </w:pPr>
    </w:p>
    <w:p w14:paraId="263D6613">
      <w:pPr>
        <w:widowControl/>
        <w:spacing w:beforeLines="0" w:afterLines="0" w:line="480" w:lineRule="exact"/>
        <w:ind w:firstLine="3360" w:firstLineChars="1600"/>
        <w:rPr>
          <w:rFonts w:hint="eastAsia" w:ascii="宋体" w:hAnsi="宋体"/>
          <w:color w:val="auto"/>
          <w:sz w:val="21"/>
          <w:highlight w:val="none"/>
        </w:rPr>
      </w:pPr>
      <w:r>
        <w:rPr>
          <w:rFonts w:hint="eastAsia" w:ascii="宋体" w:hAnsi="宋体"/>
          <w:color w:val="auto"/>
          <w:sz w:val="21"/>
          <w:highlight w:val="none"/>
          <w:lang w:eastAsia="zh-CN"/>
        </w:rPr>
        <w:t>响应人</w:t>
      </w:r>
      <w:r>
        <w:rPr>
          <w:rFonts w:hint="eastAsia" w:ascii="宋体" w:hAnsi="宋体"/>
          <w:color w:val="auto"/>
          <w:sz w:val="21"/>
          <w:highlight w:val="none"/>
        </w:rPr>
        <w:t>名称（盖公章）：</w:t>
      </w:r>
      <w:r>
        <w:rPr>
          <w:rFonts w:hint="eastAsia" w:ascii="宋体" w:hAnsi="宋体"/>
          <w:color w:val="auto"/>
          <w:sz w:val="21"/>
          <w:highlight w:val="none"/>
          <w:u w:val="single"/>
        </w:rPr>
        <w:t xml:space="preserve">                    </w:t>
      </w:r>
      <w:r>
        <w:rPr>
          <w:rFonts w:hint="eastAsia" w:ascii="宋体" w:hAnsi="宋体"/>
          <w:color w:val="auto"/>
          <w:sz w:val="21"/>
          <w:highlight w:val="none"/>
        </w:rPr>
        <w:t xml:space="preserve">        </w:t>
      </w:r>
    </w:p>
    <w:p w14:paraId="0A97795C">
      <w:pPr>
        <w:spacing w:line="360" w:lineRule="auto"/>
        <w:ind w:firstLine="3360" w:firstLineChars="1600"/>
        <w:jc w:val="both"/>
        <w:rPr>
          <w:rFonts w:hint="eastAsia" w:ascii="宋体" w:hAnsi="宋体" w:eastAsia="宋体"/>
          <w:b/>
          <w:color w:val="auto"/>
          <w:kern w:val="0"/>
          <w:sz w:val="30"/>
          <w:highlight w:val="none"/>
          <w:lang w:eastAsia="zh-CN"/>
        </w:rPr>
      </w:pPr>
      <w:r>
        <w:rPr>
          <w:rFonts w:hint="default" w:ascii="宋体" w:hAnsi="宋体" w:eastAsia="宋体"/>
          <w:color w:val="auto"/>
          <w:sz w:val="21"/>
          <w:highlight w:val="none"/>
        </w:rPr>
        <w:t>日 期：  年  月  日</w:t>
      </w:r>
    </w:p>
    <w:p w14:paraId="3950B120">
      <w:pPr>
        <w:snapToGrid w:val="0"/>
        <w:spacing w:before="50" w:after="50" w:line="440" w:lineRule="exact"/>
        <w:ind w:firstLine="420" w:firstLineChars="200"/>
        <w:jc w:val="left"/>
        <w:rPr>
          <w:rFonts w:asciiTheme="minorEastAsia" w:hAnsiTheme="minorEastAsia" w:eastAsiaTheme="minorEastAsia" w:cstheme="minorEastAsia"/>
          <w:color w:val="auto"/>
          <w:highlight w:val="none"/>
        </w:rPr>
      </w:pPr>
    </w:p>
    <w:bookmarkEnd w:id="241"/>
    <w:bookmarkEnd w:id="242"/>
    <w:bookmarkEnd w:id="243"/>
    <w:bookmarkEnd w:id="244"/>
    <w:bookmarkEnd w:id="245"/>
    <w:p w14:paraId="690B6EDD">
      <w:pPr>
        <w:snapToGrid w:val="0"/>
        <w:spacing w:line="400" w:lineRule="exact"/>
        <w:jc w:val="center"/>
        <w:outlineLvl w:val="1"/>
        <w:rPr>
          <w:rFonts w:ascii="仿宋" w:hAnsi="仿宋" w:eastAsia="仿宋" w:cs="宋体"/>
          <w:b/>
          <w:color w:val="auto"/>
          <w:kern w:val="0"/>
          <w:sz w:val="30"/>
          <w:szCs w:val="30"/>
          <w:highlight w:val="none"/>
        </w:rPr>
      </w:pPr>
      <w:bookmarkStart w:id="260" w:name="_Toc335298323"/>
      <w:bookmarkStart w:id="261" w:name="_Toc335294213"/>
      <w:bookmarkStart w:id="262" w:name="_Toc335297855"/>
      <w:bookmarkStart w:id="263" w:name="_Toc424199706"/>
      <w:bookmarkStart w:id="264" w:name="_Toc336671807"/>
      <w:bookmarkStart w:id="265" w:name="_Toc392080818"/>
      <w:bookmarkStart w:id="266" w:name="_Toc335295013"/>
      <w:bookmarkStart w:id="267" w:name="_Toc393201766"/>
      <w:bookmarkStart w:id="268" w:name="_Toc433882684"/>
      <w:bookmarkStart w:id="269" w:name="_Toc387831539"/>
      <w:bookmarkStart w:id="270" w:name="_Toc340736224"/>
    </w:p>
    <w:p w14:paraId="399530DE">
      <w:pPr>
        <w:snapToGrid w:val="0"/>
        <w:spacing w:line="400" w:lineRule="exact"/>
        <w:jc w:val="center"/>
        <w:outlineLvl w:val="1"/>
        <w:rPr>
          <w:rFonts w:ascii="仿宋" w:hAnsi="仿宋" w:eastAsia="仿宋" w:cs="宋体"/>
          <w:b/>
          <w:color w:val="auto"/>
          <w:kern w:val="0"/>
          <w:sz w:val="30"/>
          <w:szCs w:val="30"/>
          <w:highlight w:val="none"/>
        </w:rPr>
      </w:pPr>
    </w:p>
    <w:p w14:paraId="29738C05">
      <w:pPr>
        <w:snapToGrid w:val="0"/>
        <w:spacing w:line="400" w:lineRule="exact"/>
        <w:jc w:val="center"/>
        <w:outlineLvl w:val="1"/>
        <w:rPr>
          <w:rFonts w:ascii="仿宋" w:hAnsi="仿宋" w:eastAsia="仿宋" w:cs="宋体"/>
          <w:b/>
          <w:color w:val="auto"/>
          <w:kern w:val="0"/>
          <w:sz w:val="30"/>
          <w:szCs w:val="30"/>
          <w:highlight w:val="none"/>
        </w:rPr>
      </w:pPr>
    </w:p>
    <w:p w14:paraId="44540F70">
      <w:pPr>
        <w:snapToGrid w:val="0"/>
        <w:spacing w:line="400" w:lineRule="exact"/>
        <w:jc w:val="center"/>
        <w:outlineLvl w:val="1"/>
        <w:rPr>
          <w:rFonts w:ascii="仿宋" w:hAnsi="仿宋" w:eastAsia="仿宋" w:cs="宋体"/>
          <w:b/>
          <w:color w:val="auto"/>
          <w:kern w:val="0"/>
          <w:sz w:val="30"/>
          <w:szCs w:val="30"/>
          <w:highlight w:val="none"/>
        </w:rPr>
      </w:pPr>
    </w:p>
    <w:p w14:paraId="25779614">
      <w:pPr>
        <w:snapToGrid w:val="0"/>
        <w:spacing w:line="400" w:lineRule="exact"/>
        <w:jc w:val="center"/>
        <w:outlineLvl w:val="1"/>
        <w:rPr>
          <w:rFonts w:ascii="仿宋" w:hAnsi="仿宋" w:eastAsia="仿宋" w:cs="宋体"/>
          <w:b/>
          <w:color w:val="auto"/>
          <w:kern w:val="0"/>
          <w:sz w:val="30"/>
          <w:szCs w:val="30"/>
          <w:highlight w:val="none"/>
        </w:rPr>
      </w:pPr>
    </w:p>
    <w:p w14:paraId="537473B3">
      <w:pPr>
        <w:snapToGrid w:val="0"/>
        <w:spacing w:line="400" w:lineRule="exact"/>
        <w:jc w:val="center"/>
        <w:outlineLvl w:val="1"/>
        <w:rPr>
          <w:rFonts w:ascii="仿宋" w:hAnsi="仿宋" w:eastAsia="仿宋" w:cs="宋体"/>
          <w:b/>
          <w:color w:val="auto"/>
          <w:kern w:val="0"/>
          <w:sz w:val="30"/>
          <w:szCs w:val="30"/>
          <w:highlight w:val="none"/>
        </w:rPr>
      </w:pPr>
    </w:p>
    <w:p w14:paraId="66435BDD">
      <w:pPr>
        <w:snapToGrid w:val="0"/>
        <w:spacing w:line="400" w:lineRule="exact"/>
        <w:jc w:val="center"/>
        <w:outlineLvl w:val="1"/>
        <w:rPr>
          <w:rFonts w:ascii="仿宋" w:hAnsi="仿宋" w:eastAsia="仿宋" w:cs="宋体"/>
          <w:b/>
          <w:color w:val="auto"/>
          <w:kern w:val="0"/>
          <w:sz w:val="30"/>
          <w:szCs w:val="30"/>
          <w:highlight w:val="none"/>
        </w:rPr>
      </w:pPr>
    </w:p>
    <w:bookmarkEnd w:id="260"/>
    <w:bookmarkEnd w:id="261"/>
    <w:bookmarkEnd w:id="262"/>
    <w:bookmarkEnd w:id="263"/>
    <w:bookmarkEnd w:id="264"/>
    <w:bookmarkEnd w:id="265"/>
    <w:bookmarkEnd w:id="266"/>
    <w:bookmarkEnd w:id="267"/>
    <w:bookmarkEnd w:id="268"/>
    <w:bookmarkEnd w:id="269"/>
    <w:bookmarkEnd w:id="270"/>
    <w:p w14:paraId="34C50269">
      <w:pPr>
        <w:snapToGrid w:val="0"/>
        <w:spacing w:beforeLines="0" w:afterLines="0" w:line="400" w:lineRule="exact"/>
        <w:jc w:val="both"/>
        <w:outlineLvl w:val="2"/>
        <w:rPr>
          <w:rFonts w:hint="eastAsia" w:ascii="宋体" w:hAnsi="宋体" w:eastAsia="宋体"/>
          <w:b/>
          <w:color w:val="auto"/>
          <w:kern w:val="0"/>
          <w:sz w:val="30"/>
          <w:highlight w:val="none"/>
          <w:lang w:eastAsia="zh-CN"/>
        </w:rPr>
      </w:pPr>
      <w:bookmarkStart w:id="271" w:name="_Toc15973049"/>
      <w:bookmarkStart w:id="272" w:name="_Toc15976939"/>
      <w:bookmarkStart w:id="273" w:name="_Toc15976769"/>
    </w:p>
    <w:p w14:paraId="12526E08">
      <w:pPr>
        <w:widowControl/>
        <w:numPr>
          <w:ilvl w:val="0"/>
          <w:numId w:val="0"/>
        </w:numPr>
        <w:spacing w:line="420" w:lineRule="atLeast"/>
        <w:jc w:val="center"/>
        <w:rPr>
          <w:rFonts w:hint="default" w:ascii="宋体" w:hAnsi="宋体" w:eastAsia="宋体"/>
          <w:b/>
          <w:color w:val="auto"/>
          <w:kern w:val="0"/>
          <w:sz w:val="30"/>
          <w:highlight w:val="none"/>
        </w:rPr>
      </w:pPr>
      <w:r>
        <w:rPr>
          <w:rFonts w:hint="eastAsia" w:ascii="宋体" w:hAnsi="宋体" w:eastAsia="宋体"/>
          <w:b/>
          <w:color w:val="auto"/>
          <w:kern w:val="0"/>
          <w:sz w:val="30"/>
          <w:highlight w:val="none"/>
          <w:lang w:eastAsia="zh-CN"/>
        </w:rPr>
        <w:br w:type="page"/>
      </w:r>
      <w:r>
        <w:rPr>
          <w:rFonts w:hint="default" w:ascii="宋体" w:hAnsi="宋体" w:eastAsia="宋体"/>
          <w:b/>
          <w:color w:val="auto"/>
          <w:kern w:val="0"/>
          <w:sz w:val="30"/>
          <w:highlight w:val="none"/>
        </w:rPr>
        <w:t>三、投标报价明细表</w:t>
      </w:r>
    </w:p>
    <w:p w14:paraId="29F305B1">
      <w:pPr>
        <w:pStyle w:val="29"/>
        <w:numPr>
          <w:ilvl w:val="0"/>
          <w:numId w:val="0"/>
        </w:numPr>
        <w:spacing w:beforeLines="0" w:afterLines="0"/>
        <w:ind w:left="0" w:leftChars="0" w:firstLine="0"/>
        <w:rPr>
          <w:rFonts w:hint="default"/>
          <w:color w:val="auto"/>
          <w:sz w:val="21"/>
          <w:highlight w:val="none"/>
        </w:rPr>
      </w:pPr>
    </w:p>
    <w:p w14:paraId="363BB977">
      <w:pPr>
        <w:pStyle w:val="15"/>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b w:val="0"/>
          <w:bCs/>
          <w:color w:val="auto"/>
          <w:sz w:val="21"/>
          <w:highlight w:val="none"/>
          <w:lang w:val="en-US" w:eastAsia="zh-CN"/>
        </w:rPr>
      </w:pPr>
      <w:r>
        <w:rPr>
          <w:rFonts w:hint="default" w:hAnsi="宋体"/>
          <w:b w:val="0"/>
          <w:bCs/>
          <w:color w:val="auto"/>
          <w:sz w:val="21"/>
          <w:highlight w:val="none"/>
        </w:rPr>
        <w:t>项目名称：                                  项目编号：</w:t>
      </w:r>
      <w:r>
        <w:rPr>
          <w:rFonts w:hint="eastAsia" w:hAnsi="宋体"/>
          <w:b w:val="0"/>
          <w:bCs/>
          <w:color w:val="auto"/>
          <w:sz w:val="21"/>
          <w:highlight w:val="none"/>
          <w:lang w:val="en-US" w:eastAsia="zh-CN"/>
        </w:rPr>
        <w:t xml:space="preserve">   金额单位：元</w:t>
      </w:r>
      <w:bookmarkStart w:id="274" w:name="OLE_LINK13"/>
    </w:p>
    <w:tbl>
      <w:tblPr>
        <w:tblStyle w:val="32"/>
        <w:tblpPr w:leftFromText="180" w:rightFromText="180" w:vertAnchor="text" w:horzAnchor="page" w:tblpX="1347" w:tblpY="3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959"/>
        <w:gridCol w:w="2268"/>
        <w:gridCol w:w="1655"/>
        <w:gridCol w:w="900"/>
        <w:gridCol w:w="1490"/>
      </w:tblGrid>
      <w:tr w14:paraId="50D6C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2D6B59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1959" w:type="dxa"/>
            <w:tcBorders>
              <w:top w:val="single" w:color="auto" w:sz="4" w:space="0"/>
              <w:left w:val="single" w:color="auto" w:sz="4" w:space="0"/>
              <w:bottom w:val="single" w:color="auto" w:sz="4" w:space="0"/>
              <w:right w:val="single" w:color="auto" w:sz="4" w:space="0"/>
            </w:tcBorders>
            <w:noWrap w:val="0"/>
            <w:vAlign w:val="center"/>
          </w:tcPr>
          <w:p w14:paraId="307DE6C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产品名称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A0168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eastAsia="zh-CN"/>
              </w:rPr>
              <w:t>内容及</w:t>
            </w:r>
            <w:r>
              <w:rPr>
                <w:rFonts w:hint="eastAsia" w:ascii="宋体" w:hAnsi="宋体" w:eastAsia="宋体" w:cs="宋体"/>
                <w:b w:val="0"/>
                <w:bCs/>
                <w:color w:val="auto"/>
                <w:kern w:val="0"/>
                <w:sz w:val="21"/>
                <w:szCs w:val="21"/>
                <w:highlight w:val="none"/>
              </w:rPr>
              <w:t>规格型号</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7DA9ED5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数量及单位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2CFE72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单价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565018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总价</w:t>
            </w:r>
          </w:p>
        </w:tc>
      </w:tr>
      <w:tr w14:paraId="4FFEA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13945C4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1B2D7A2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C1FA4D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6E9F402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E56B4CB">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0D35B400">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77B9A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0A4B611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4C97CA9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16C99D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67BB747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45C31AB">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69AE9D4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32A97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3DAB60F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08E32620">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CB72025">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3BCECD1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076010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37676F2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4187F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B398398">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1F25064">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37BB9B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6FA1B29A">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86867AC">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75FD7ADA">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5271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17A62D9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07A4C87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31395C2">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33B88658">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3951B44">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29FD522A">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2E61E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5CC147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1BC5A19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86E0C3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13F6DEC2">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C00703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025CB424">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3A76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926623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7CA3AA6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BA1E02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666F57D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8B0CD2">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496967D5">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1986E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30E0031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DC30C0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59D200C">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65C14824">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1CCC12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366E94F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531F7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0C1EC56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338E6D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6A36A54">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56FE6F7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19ADBBC">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26C4DBD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024B9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89C792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0988932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E3C791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455A5893">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9F703DC">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5DB2855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3046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05F7E4C">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41B9458A">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EE5488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4B0D7D9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38FB38">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7FC14D09">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3DD34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4BDEACB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F6BFC54">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5BBA92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4B985BC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3182B3F">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5DD1A98B">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35C1C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B530CB9">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w:t>
            </w:r>
          </w:p>
        </w:tc>
        <w:tc>
          <w:tcPr>
            <w:tcW w:w="1959" w:type="dxa"/>
            <w:tcBorders>
              <w:top w:val="single" w:color="auto" w:sz="4" w:space="0"/>
              <w:left w:val="single" w:color="auto" w:sz="4" w:space="0"/>
              <w:bottom w:val="single" w:color="auto" w:sz="4" w:space="0"/>
              <w:right w:val="single" w:color="auto" w:sz="4" w:space="0"/>
            </w:tcBorders>
            <w:noWrap w:val="0"/>
            <w:vAlign w:val="top"/>
          </w:tcPr>
          <w:p w14:paraId="652858D6">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A8F80D7">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top"/>
          </w:tcPr>
          <w:p w14:paraId="0835AF60">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DBD052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top"/>
          </w:tcPr>
          <w:p w14:paraId="4CA7EDFD">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12FF2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4A8BB26C">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14:paraId="6141A3DA">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专用耗材</w:t>
            </w:r>
          </w:p>
          <w:p w14:paraId="26420C4E">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（如有）</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EA9032">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3DADE4F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9840A7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E23A64A">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r w14:paraId="54B68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517" w:type="dxa"/>
            <w:gridSpan w:val="5"/>
            <w:tcBorders>
              <w:top w:val="single" w:color="auto" w:sz="4" w:space="0"/>
              <w:left w:val="single" w:color="auto" w:sz="4" w:space="0"/>
              <w:bottom w:val="single" w:color="auto" w:sz="4" w:space="0"/>
              <w:right w:val="single" w:color="auto" w:sz="4" w:space="0"/>
            </w:tcBorders>
            <w:noWrap w:val="0"/>
            <w:vAlign w:val="center"/>
          </w:tcPr>
          <w:p w14:paraId="51907CB8">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  标  总  价</w:t>
            </w:r>
          </w:p>
        </w:tc>
        <w:tc>
          <w:tcPr>
            <w:tcW w:w="1490" w:type="dxa"/>
            <w:tcBorders>
              <w:top w:val="single" w:color="auto" w:sz="4" w:space="0"/>
              <w:left w:val="single" w:color="auto" w:sz="4" w:space="0"/>
              <w:bottom w:val="single" w:color="auto" w:sz="4" w:space="0"/>
              <w:right w:val="single" w:color="auto" w:sz="4" w:space="0"/>
            </w:tcBorders>
            <w:noWrap w:val="0"/>
            <w:vAlign w:val="top"/>
          </w:tcPr>
          <w:p w14:paraId="6AAFC9A1">
            <w:pPr>
              <w:keepNext w:val="0"/>
              <w:keepLines w:val="0"/>
              <w:pageBreakBefore w:val="0"/>
              <w:widowControl w:val="0"/>
              <w:suppressLineNumbers w:val="0"/>
              <w:tabs>
                <w:tab w:val="left" w:pos="1418"/>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kern w:val="0"/>
                <w:sz w:val="21"/>
                <w:szCs w:val="21"/>
                <w:highlight w:val="none"/>
              </w:rPr>
            </w:pPr>
          </w:p>
        </w:tc>
      </w:tr>
    </w:tbl>
    <w:p w14:paraId="553FA528">
      <w:pPr>
        <w:spacing w:line="360" w:lineRule="auto"/>
        <w:ind w:left="758" w:hanging="720" w:hangingChars="343"/>
        <w:rPr>
          <w:rFonts w:hint="default" w:ascii="宋体" w:hAnsi="宋体" w:eastAsia="宋体"/>
          <w:b w:val="0"/>
          <w:bCs/>
          <w:color w:val="auto"/>
          <w:sz w:val="21"/>
          <w:highlight w:val="none"/>
        </w:rPr>
      </w:pPr>
      <w:r>
        <w:rPr>
          <w:rFonts w:hint="default" w:ascii="宋体" w:hAnsi="宋体" w:eastAsia="宋体"/>
          <w:b w:val="0"/>
          <w:bCs/>
          <w:color w:val="auto"/>
          <w:sz w:val="21"/>
          <w:highlight w:val="none"/>
        </w:rPr>
        <w:t>注：1. 总计价应与开标一览表中投标报价相一致。</w:t>
      </w:r>
    </w:p>
    <w:bookmarkEnd w:id="274"/>
    <w:p w14:paraId="7242908E">
      <w:pPr>
        <w:spacing w:line="360" w:lineRule="auto"/>
        <w:ind w:firstLine="421"/>
        <w:outlineLvl w:val="0"/>
        <w:rPr>
          <w:rFonts w:ascii="宋体" w:hAnsi="宋体" w:cs="宋体"/>
          <w:color w:val="auto"/>
          <w:highlight w:val="none"/>
        </w:rPr>
      </w:pPr>
      <w:bookmarkStart w:id="275" w:name="_Toc23937"/>
      <w:bookmarkStart w:id="276" w:name="_Toc21438"/>
      <w:bookmarkStart w:id="277" w:name="_Toc3929"/>
      <w:r>
        <w:rPr>
          <w:rFonts w:hint="eastAsia" w:ascii="宋体" w:hAnsi="宋体" w:cs="宋体"/>
          <w:color w:val="auto"/>
          <w:highlight w:val="none"/>
        </w:rPr>
        <w:t>2. 本表可在不改变格式的情况下根据具体需要自行增加。</w:t>
      </w:r>
      <w:bookmarkEnd w:id="275"/>
      <w:bookmarkEnd w:id="276"/>
      <w:bookmarkEnd w:id="277"/>
      <w:r>
        <w:rPr>
          <w:rFonts w:hint="eastAsia" w:ascii="宋体" w:hAnsi="宋体" w:cs="宋体"/>
          <w:color w:val="auto"/>
          <w:highlight w:val="none"/>
        </w:rPr>
        <w:t xml:space="preserve"> </w:t>
      </w:r>
    </w:p>
    <w:p w14:paraId="13667131">
      <w:pPr>
        <w:pStyle w:val="15"/>
        <w:spacing w:line="360" w:lineRule="auto"/>
        <w:rPr>
          <w:rFonts w:hint="default" w:hAnsi="宋体"/>
          <w:color w:val="auto"/>
          <w:sz w:val="24"/>
          <w:highlight w:val="none"/>
        </w:rPr>
      </w:pPr>
    </w:p>
    <w:p w14:paraId="7EA30935">
      <w:pPr>
        <w:spacing w:line="360" w:lineRule="auto"/>
        <w:jc w:val="center"/>
        <w:rPr>
          <w:rFonts w:hint="default" w:ascii="宋体" w:hAnsi="宋体" w:eastAsia="宋体"/>
          <w:color w:val="auto"/>
          <w:sz w:val="21"/>
          <w:highlight w:val="none"/>
        </w:rPr>
      </w:pPr>
      <w:r>
        <w:rPr>
          <w:rFonts w:hint="eastAsia" w:ascii="宋体" w:hAnsi="宋体"/>
          <w:color w:val="auto"/>
          <w:sz w:val="21"/>
          <w:highlight w:val="none"/>
          <w:lang w:val="en-US" w:eastAsia="zh-CN"/>
        </w:rPr>
        <w:t xml:space="preserve">                           </w:t>
      </w:r>
      <w:r>
        <w:rPr>
          <w:rFonts w:hint="eastAsia" w:ascii="宋体" w:hAnsi="宋体"/>
          <w:color w:val="auto"/>
          <w:sz w:val="21"/>
          <w:highlight w:val="none"/>
          <w:lang w:eastAsia="zh-CN"/>
        </w:rPr>
        <w:t>响应人</w:t>
      </w:r>
      <w:r>
        <w:rPr>
          <w:rFonts w:hint="eastAsia" w:ascii="宋体" w:hAnsi="宋体"/>
          <w:color w:val="auto"/>
          <w:sz w:val="21"/>
          <w:highlight w:val="none"/>
        </w:rPr>
        <w:t>名称（盖公章）：</w:t>
      </w:r>
      <w:r>
        <w:rPr>
          <w:rFonts w:hint="eastAsia" w:ascii="宋体" w:hAnsi="宋体"/>
          <w:color w:val="auto"/>
          <w:sz w:val="21"/>
          <w:highlight w:val="none"/>
          <w:u w:val="single"/>
        </w:rPr>
        <w:t xml:space="preserve">                    </w:t>
      </w:r>
      <w:r>
        <w:rPr>
          <w:rFonts w:hint="eastAsia" w:ascii="宋体" w:hAnsi="宋体"/>
          <w:color w:val="auto"/>
          <w:sz w:val="21"/>
          <w:highlight w:val="none"/>
        </w:rPr>
        <w:t xml:space="preserve">  </w:t>
      </w:r>
    </w:p>
    <w:p w14:paraId="0BCFE5EC">
      <w:pPr>
        <w:spacing w:line="360" w:lineRule="auto"/>
        <w:jc w:val="right"/>
        <w:rPr>
          <w:rFonts w:hint="eastAsia" w:ascii="宋体" w:hAnsi="宋体" w:eastAsia="宋体"/>
          <w:b/>
          <w:color w:val="auto"/>
          <w:kern w:val="0"/>
          <w:sz w:val="30"/>
          <w:highlight w:val="none"/>
          <w:lang w:eastAsia="zh-CN"/>
        </w:rPr>
      </w:pPr>
      <w:r>
        <w:rPr>
          <w:rFonts w:hint="default" w:ascii="宋体" w:hAnsi="宋体" w:eastAsia="宋体"/>
          <w:color w:val="auto"/>
          <w:sz w:val="21"/>
          <w:highlight w:val="none"/>
        </w:rPr>
        <w:t>日 期：  年  月  日</w:t>
      </w:r>
    </w:p>
    <w:p w14:paraId="23B7B95E">
      <w:pPr>
        <w:snapToGrid w:val="0"/>
        <w:spacing w:beforeLines="0" w:afterLines="0" w:line="400" w:lineRule="exact"/>
        <w:jc w:val="center"/>
        <w:outlineLvl w:val="2"/>
        <w:rPr>
          <w:rFonts w:hint="eastAsia" w:ascii="宋体" w:hAnsi="宋体" w:eastAsia="宋体"/>
          <w:b/>
          <w:color w:val="auto"/>
          <w:kern w:val="0"/>
          <w:sz w:val="30"/>
          <w:highlight w:val="none"/>
          <w:lang w:eastAsia="zh-CN"/>
        </w:rPr>
      </w:pPr>
    </w:p>
    <w:bookmarkEnd w:id="271"/>
    <w:bookmarkEnd w:id="272"/>
    <w:bookmarkEnd w:id="273"/>
    <w:p w14:paraId="2A20BEBC">
      <w:pPr>
        <w:snapToGrid w:val="0"/>
        <w:spacing w:line="400" w:lineRule="exact"/>
        <w:jc w:val="center"/>
        <w:outlineLvl w:val="2"/>
        <w:rPr>
          <w:rFonts w:hint="eastAsia" w:ascii="宋体" w:hAnsi="宋体" w:cs="宋体"/>
          <w:b/>
          <w:color w:val="auto"/>
          <w:kern w:val="0"/>
          <w:sz w:val="30"/>
          <w:szCs w:val="30"/>
          <w:highlight w:val="none"/>
        </w:rPr>
      </w:pPr>
    </w:p>
    <w:p w14:paraId="00679132">
      <w:pPr>
        <w:snapToGrid w:val="0"/>
        <w:spacing w:line="400" w:lineRule="exact"/>
        <w:jc w:val="center"/>
        <w:outlineLvl w:val="2"/>
        <w:rPr>
          <w:rFonts w:hint="eastAsia" w:ascii="宋体" w:hAnsi="宋体" w:cs="宋体"/>
          <w:b/>
          <w:color w:val="auto"/>
          <w:kern w:val="0"/>
          <w:sz w:val="30"/>
          <w:szCs w:val="30"/>
          <w:highlight w:val="none"/>
        </w:rPr>
      </w:pPr>
    </w:p>
    <w:p w14:paraId="6180366D">
      <w:pPr>
        <w:snapToGrid w:val="0"/>
        <w:spacing w:before="50" w:after="50"/>
        <w:jc w:val="center"/>
        <w:rPr>
          <w:rFonts w:ascii="宋体" w:cs="宋体"/>
          <w:b/>
          <w:bCs/>
          <w:color w:val="auto"/>
          <w:kern w:val="0"/>
          <w:sz w:val="30"/>
          <w:szCs w:val="30"/>
          <w:highlight w:val="none"/>
        </w:rPr>
      </w:pPr>
      <w:r>
        <w:rPr>
          <w:rFonts w:hint="eastAsia" w:ascii="宋体" w:hAnsi="宋体" w:cs="宋体"/>
          <w:b/>
          <w:color w:val="auto"/>
          <w:kern w:val="0"/>
          <w:sz w:val="30"/>
          <w:szCs w:val="30"/>
          <w:highlight w:val="none"/>
        </w:rPr>
        <w:t>四、</w:t>
      </w:r>
      <w:r>
        <w:rPr>
          <w:rFonts w:hint="eastAsia" w:ascii="宋体" w:hAnsi="宋体" w:cs="宋体"/>
          <w:b/>
          <w:bCs/>
          <w:color w:val="auto"/>
          <w:kern w:val="0"/>
          <w:sz w:val="30"/>
          <w:szCs w:val="30"/>
          <w:highlight w:val="none"/>
          <w:lang w:eastAsia="zh-CN"/>
        </w:rPr>
        <w:t>响应方</w:t>
      </w:r>
      <w:r>
        <w:rPr>
          <w:rFonts w:hint="eastAsia" w:ascii="宋体" w:hAnsi="宋体" w:cs="宋体"/>
          <w:b/>
          <w:bCs/>
          <w:color w:val="auto"/>
          <w:kern w:val="0"/>
          <w:sz w:val="30"/>
          <w:szCs w:val="30"/>
          <w:highlight w:val="none"/>
        </w:rPr>
        <w:t>需要说明的其他文件和说明</w:t>
      </w:r>
    </w:p>
    <w:p w14:paraId="4CCEAC55">
      <w:pPr>
        <w:pStyle w:val="2"/>
        <w:rPr>
          <w:rFonts w:ascii="黑体" w:hAnsi="宋体" w:eastAsia="黑体" w:cs="Times New Roman"/>
          <w:color w:val="auto"/>
          <w:sz w:val="32"/>
          <w:szCs w:val="32"/>
          <w:highlight w:val="none"/>
        </w:rPr>
      </w:pPr>
    </w:p>
    <w:p w14:paraId="55F9FE8E">
      <w:pPr>
        <w:rPr>
          <w:rFonts w:ascii="黑体" w:hAnsi="宋体" w:eastAsia="黑体" w:cs="Times New Roman"/>
          <w:color w:val="auto"/>
          <w:sz w:val="32"/>
          <w:szCs w:val="32"/>
          <w:highlight w:val="none"/>
        </w:rPr>
      </w:pPr>
    </w:p>
    <w:p w14:paraId="242A4F00">
      <w:pPr>
        <w:pStyle w:val="2"/>
        <w:rPr>
          <w:rFonts w:ascii="黑体" w:hAnsi="宋体" w:eastAsia="黑体" w:cs="Times New Roman"/>
          <w:color w:val="auto"/>
          <w:sz w:val="32"/>
          <w:szCs w:val="32"/>
          <w:highlight w:val="none"/>
        </w:rPr>
      </w:pPr>
    </w:p>
    <w:p w14:paraId="6EEC40B7">
      <w:pPr>
        <w:rPr>
          <w:rFonts w:ascii="黑体" w:hAnsi="宋体" w:eastAsia="黑体" w:cs="Times New Roman"/>
          <w:color w:val="auto"/>
          <w:sz w:val="32"/>
          <w:szCs w:val="32"/>
          <w:highlight w:val="none"/>
        </w:rPr>
      </w:pPr>
    </w:p>
    <w:p w14:paraId="1276A8DE">
      <w:pPr>
        <w:pStyle w:val="2"/>
        <w:rPr>
          <w:rFonts w:ascii="黑体" w:hAnsi="宋体" w:eastAsia="黑体" w:cs="Times New Roman"/>
          <w:color w:val="auto"/>
          <w:sz w:val="32"/>
          <w:szCs w:val="32"/>
          <w:highlight w:val="none"/>
        </w:rPr>
      </w:pPr>
    </w:p>
    <w:p w14:paraId="4EC01D7A">
      <w:pPr>
        <w:rPr>
          <w:rFonts w:ascii="黑体" w:hAnsi="宋体" w:eastAsia="黑体" w:cs="Times New Roman"/>
          <w:color w:val="auto"/>
          <w:sz w:val="32"/>
          <w:szCs w:val="32"/>
          <w:highlight w:val="none"/>
        </w:rPr>
      </w:pPr>
    </w:p>
    <w:p w14:paraId="49D30C92">
      <w:pPr>
        <w:pStyle w:val="2"/>
        <w:rPr>
          <w:rFonts w:ascii="黑体" w:hAnsi="宋体" w:eastAsia="黑体" w:cs="Times New Roman"/>
          <w:color w:val="auto"/>
          <w:sz w:val="32"/>
          <w:szCs w:val="32"/>
          <w:highlight w:val="none"/>
        </w:rPr>
      </w:pPr>
    </w:p>
    <w:p w14:paraId="62AFDE35">
      <w:pPr>
        <w:rPr>
          <w:rFonts w:ascii="黑体" w:hAnsi="宋体" w:eastAsia="黑体" w:cs="Times New Roman"/>
          <w:color w:val="auto"/>
          <w:sz w:val="32"/>
          <w:szCs w:val="32"/>
          <w:highlight w:val="none"/>
        </w:rPr>
      </w:pPr>
    </w:p>
    <w:p w14:paraId="14BBA8D5">
      <w:pPr>
        <w:pStyle w:val="2"/>
        <w:rPr>
          <w:rFonts w:ascii="黑体" w:hAnsi="宋体" w:eastAsia="黑体" w:cs="Times New Roman"/>
          <w:color w:val="auto"/>
          <w:sz w:val="32"/>
          <w:szCs w:val="32"/>
          <w:highlight w:val="none"/>
        </w:rPr>
      </w:pPr>
    </w:p>
    <w:p w14:paraId="6B548D2E">
      <w:pPr>
        <w:rPr>
          <w:rFonts w:ascii="黑体" w:hAnsi="宋体" w:eastAsia="黑体" w:cs="Times New Roman"/>
          <w:color w:val="auto"/>
          <w:sz w:val="32"/>
          <w:szCs w:val="32"/>
          <w:highlight w:val="none"/>
        </w:rPr>
      </w:pPr>
    </w:p>
    <w:p w14:paraId="669186E2">
      <w:pPr>
        <w:pStyle w:val="2"/>
        <w:rPr>
          <w:rFonts w:ascii="黑体" w:hAnsi="宋体" w:eastAsia="黑体" w:cs="Times New Roman"/>
          <w:color w:val="auto"/>
          <w:sz w:val="32"/>
          <w:szCs w:val="32"/>
          <w:highlight w:val="none"/>
        </w:rPr>
      </w:pPr>
    </w:p>
    <w:p w14:paraId="1C94BB1B">
      <w:pPr>
        <w:rPr>
          <w:rFonts w:ascii="黑体" w:hAnsi="宋体" w:eastAsia="黑体" w:cs="Times New Roman"/>
          <w:color w:val="auto"/>
          <w:sz w:val="32"/>
          <w:szCs w:val="32"/>
          <w:highlight w:val="none"/>
        </w:rPr>
      </w:pPr>
    </w:p>
    <w:p w14:paraId="4B66C210">
      <w:pPr>
        <w:pStyle w:val="2"/>
        <w:rPr>
          <w:rFonts w:ascii="黑体" w:hAnsi="宋体" w:eastAsia="黑体" w:cs="Times New Roman"/>
          <w:color w:val="auto"/>
          <w:sz w:val="32"/>
          <w:szCs w:val="32"/>
          <w:highlight w:val="none"/>
        </w:rPr>
      </w:pPr>
    </w:p>
    <w:p w14:paraId="505A6955">
      <w:pPr>
        <w:rPr>
          <w:rFonts w:ascii="黑体" w:hAnsi="宋体" w:eastAsia="黑体" w:cs="Times New Roman"/>
          <w:color w:val="auto"/>
          <w:sz w:val="32"/>
          <w:szCs w:val="32"/>
          <w:highlight w:val="none"/>
        </w:rPr>
      </w:pPr>
    </w:p>
    <w:sectPr>
      <w:headerReference r:id="rId6" w:type="default"/>
      <w:footerReference r:id="rId7" w:type="default"/>
      <w:pgSz w:w="11906" w:h="16838"/>
      <w:pgMar w:top="1304" w:right="1304" w:bottom="1191" w:left="1304" w:header="851" w:footer="822" w:gutter="0"/>
      <w:pgBorders>
        <w:top w:val="none" w:sz="0" w:space="0"/>
        <w:left w:val="none" w:sz="0" w:space="0"/>
        <w:bottom w:val="none" w:sz="0" w:space="0"/>
        <w:right w:val="none" w:sz="0" w:space="0"/>
      </w:pgBorders>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B980">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6E0C9C">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YKMsBAACd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ZJHLc48cv3b5cfvy4/v5Jl&#10;tXqZJeoD1Jh5FzA3DW/9gIsz+wGdmfmgos1f5EQwjmjnq8BySETkR+vVel1hSGBsviA+e3geIqR3&#10;0luSjYZGnGARlp8+QBpT55RczflbbUyZonF/ORAze1jufewxW2nYDxOhvW/PyKfH4TfU4a5TYt47&#10;1Bb7S7MRZ2M/G8cQ9aEri5TrQXhzTNhE6S1XGGGnwji1wm7asLwWf95L1sNf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eW2CjLAQAAnQMAAA4AAAAAAAAAAQAgAAAAHgEAAGRycy9lMm9E&#10;b2MueG1sUEsFBgAAAAAGAAYAWQEAAFsFAAAAAA==&#10;">
              <v:fill on="f" focussize="0,0"/>
              <v:stroke on="f"/>
              <v:imagedata o:title=""/>
              <o:lock v:ext="edit" aspectratio="f"/>
              <v:textbox inset="0mm,0mm,0mm,0mm" style="mso-fit-shape-to-text:t;">
                <w:txbxContent>
                  <w:p w14:paraId="3A6E0C9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6C97">
    <w:pPr>
      <w:pStyle w:val="19"/>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8BCF17">
                          <w:pPr>
                            <w:pStyle w:val="19"/>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lqMsBAACd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b2kxHGLE7/8+H75+fvy6xtZ&#10;VqubLFEfoMbM+4C5aXjrB1yc2Q/ozMwHFW3+IieCcRT4fBVYDomI/Gi9Wq8rDAmMzRfEZw/PQ4T0&#10;TnpLstHQiBMswvLTB0hj6pySqzl/p40pUzTuLwdiZg/LvY89ZisN+2EitPftGfn0OPyGOtx1Ssx7&#10;h9rmPZmNOBv72TiGqA9dWaRcD8KbY8ImSm+5wgg7FcapFXbThuW1eHwvWQ9/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8R5ajLAQAAnQMAAA4AAAAAAAAAAQAgAAAAHgEAAGRycy9lMm9E&#10;b2MueG1sUEsFBgAAAAAGAAYAWQEAAFsFAAAAAA==&#10;">
              <v:fill on="f" focussize="0,0"/>
              <v:stroke on="f"/>
              <v:imagedata o:title=""/>
              <o:lock v:ext="edit" aspectratio="f"/>
              <v:textbox inset="0mm,0mm,0mm,0mm" style="mso-fit-shape-to-text:t;">
                <w:txbxContent>
                  <w:p w14:paraId="148BCF17">
                    <w:pPr>
                      <w:pStyle w:val="19"/>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769F">
    <w:pPr>
      <w:pStyle w:val="20"/>
      <w:pBdr>
        <w:bottom w:val="single" w:color="auto" w:sz="4" w:space="1"/>
      </w:pBdr>
      <w:jc w:val="center"/>
      <w:rPr>
        <w:rFonts w:hint="eastAsia" w:ascii="楷体" w:hAnsi="楷体" w:eastAsia="楷体" w:cs="楷体"/>
        <w:color w:val="auto"/>
        <w:lang w:val="en-US"/>
      </w:rPr>
    </w:pPr>
    <w:r>
      <w:rPr>
        <w:rFonts w:hint="eastAsia" w:ascii="楷体" w:hAnsi="楷体" w:eastAsia="楷体" w:cs="楷体"/>
        <w:color w:val="auto"/>
        <w:lang w:val="en-US" w:eastAsia="zh-CN"/>
      </w:rPr>
      <w:t>开化县钱江源共富农品精深加工项目——物联网数据系统和桐村畈基地水肥一体机（非政府采购）竞争性磋商文件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3EAB">
    <w:pPr>
      <w:pStyle w:val="20"/>
      <w:pBdr>
        <w:bottom w:val="single" w:color="auto" w:sz="4" w:space="1"/>
      </w:pBdr>
      <w:jc w:val="center"/>
      <w:rPr>
        <w:rFonts w:hint="eastAsia" w:ascii="楷体" w:hAnsi="楷体" w:eastAsia="楷体" w:cs="楷体"/>
        <w:color w:val="auto"/>
        <w:lang w:val="en-US"/>
      </w:rPr>
    </w:pPr>
    <w:r>
      <w:rPr>
        <w:rFonts w:hint="eastAsia" w:ascii="楷体" w:hAnsi="楷体" w:eastAsia="楷体" w:cs="楷体"/>
        <w:color w:val="auto"/>
        <w:lang w:val="en-US" w:eastAsia="zh-CN"/>
      </w:rPr>
      <w:t>开化县钱江源共富农品精深加工项目——物联网数据系统和桐村畈基地水肥一体机（非政府采购）竞争性磋商文件</w:t>
    </w:r>
  </w:p>
  <w:p w14:paraId="3CA3C1E8">
    <w:pPr>
      <w:pStyle w:val="20"/>
      <w:rPr>
        <w:rFonts w:hint="eastAsia"/>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DD6B">
    <w:pPr>
      <w:pStyle w:val="20"/>
      <w:pBdr>
        <w:bottom w:val="single" w:color="auto" w:sz="4" w:space="1"/>
      </w:pBdr>
      <w:jc w:val="center"/>
      <w:rPr>
        <w:rFonts w:hint="eastAsia" w:ascii="楷体" w:hAnsi="楷体" w:eastAsia="楷体" w:cs="楷体"/>
        <w:color w:val="auto"/>
        <w:lang w:val="en-US"/>
      </w:rPr>
    </w:pPr>
    <w:r>
      <w:rPr>
        <w:rFonts w:hint="eastAsia" w:ascii="楷体" w:hAnsi="楷体" w:eastAsia="楷体" w:cs="楷体"/>
        <w:color w:val="auto"/>
        <w:lang w:val="en-US" w:eastAsia="zh-CN"/>
      </w:rPr>
      <w:t>开化县钱江源共富农品精深加工项目——物联网数据系统和桐村畈基地水肥一体机（非政府采购）竞争性磋商文件</w:t>
    </w:r>
  </w:p>
  <w:p w14:paraId="4B88A8D1">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D6DB"/>
    <w:multiLevelType w:val="singleLevel"/>
    <w:tmpl w:val="BA8CD6DB"/>
    <w:lvl w:ilvl="0" w:tentative="0">
      <w:start w:val="1"/>
      <w:numFmt w:val="decimal"/>
      <w:suff w:val="nothing"/>
      <w:lvlText w:val="%1、"/>
      <w:lvlJc w:val="left"/>
    </w:lvl>
  </w:abstractNum>
  <w:abstractNum w:abstractNumId="1">
    <w:nsid w:val="C8067164"/>
    <w:multiLevelType w:val="singleLevel"/>
    <w:tmpl w:val="C8067164"/>
    <w:lvl w:ilvl="0" w:tentative="0">
      <w:start w:val="2"/>
      <w:numFmt w:val="chineseCounting"/>
      <w:suff w:val="nothing"/>
      <w:lvlText w:val="%1、"/>
      <w:lvlJc w:val="left"/>
      <w:rPr>
        <w:rFonts w:hint="eastAsia"/>
      </w:rPr>
    </w:lvl>
  </w:abstractNum>
  <w:abstractNum w:abstractNumId="2">
    <w:nsid w:val="E9B63B65"/>
    <w:multiLevelType w:val="singleLevel"/>
    <w:tmpl w:val="E9B63B65"/>
    <w:lvl w:ilvl="0" w:tentative="0">
      <w:start w:val="1"/>
      <w:numFmt w:val="decimal"/>
      <w:suff w:val="nothing"/>
      <w:lvlText w:val="%1、"/>
      <w:lvlJc w:val="left"/>
    </w:lvl>
  </w:abstractNum>
  <w:abstractNum w:abstractNumId="3">
    <w:nsid w:val="17A96D0F"/>
    <w:multiLevelType w:val="singleLevel"/>
    <w:tmpl w:val="17A96D0F"/>
    <w:lvl w:ilvl="0" w:tentative="0">
      <w:start w:val="1"/>
      <w:numFmt w:val="decimal"/>
      <w:suff w:val="nothing"/>
      <w:lvlText w:val="%1、"/>
      <w:lvlJc w:val="left"/>
    </w:lvl>
  </w:abstractNum>
  <w:abstractNum w:abstractNumId="4">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29EDC9ED"/>
    <w:multiLevelType w:val="singleLevel"/>
    <w:tmpl w:val="29EDC9ED"/>
    <w:lvl w:ilvl="0" w:tentative="0">
      <w:start w:val="1"/>
      <w:numFmt w:val="decimal"/>
      <w:suff w:val="nothing"/>
      <w:lvlText w:val="（%1）"/>
      <w:lvlJc w:val="left"/>
    </w:lvl>
  </w:abstractNum>
  <w:abstractNum w:abstractNumId="6">
    <w:nsid w:val="4AC1FE29"/>
    <w:multiLevelType w:val="singleLevel"/>
    <w:tmpl w:val="4AC1FE29"/>
    <w:lvl w:ilvl="0" w:tentative="0">
      <w:start w:val="3"/>
      <w:numFmt w:val="decimal"/>
      <w:suff w:val="nothing"/>
      <w:lvlText w:val="（%1）"/>
      <w:lvlJc w:val="left"/>
    </w:lvl>
  </w:abstractNum>
  <w:abstractNum w:abstractNumId="7">
    <w:nsid w:val="73BC0D81"/>
    <w:multiLevelType w:val="singleLevel"/>
    <w:tmpl w:val="73BC0D81"/>
    <w:lvl w:ilvl="0" w:tentative="0">
      <w:start w:val="3"/>
      <w:numFmt w:val="chineseCounting"/>
      <w:suff w:val="space"/>
      <w:lvlText w:val="第%1章"/>
      <w:lvlJc w:val="left"/>
      <w:rPr>
        <w:rFonts w:hint="eastAsia"/>
      </w:rPr>
    </w:lvl>
  </w:abstractNum>
  <w:abstractNum w:abstractNumId="8">
    <w:nsid w:val="781F8E27"/>
    <w:multiLevelType w:val="singleLevel"/>
    <w:tmpl w:val="781F8E27"/>
    <w:lvl w:ilvl="0" w:tentative="0">
      <w:start w:val="1"/>
      <w:numFmt w:val="decimal"/>
      <w:suff w:val="space"/>
      <w:lvlText w:val="（%1）"/>
      <w:lvlJc w:val="left"/>
    </w:lvl>
  </w:abstractNum>
  <w:num w:numId="1">
    <w:abstractNumId w:val="4"/>
  </w:num>
  <w:num w:numId="2">
    <w:abstractNumId w:val="6"/>
  </w:num>
  <w:num w:numId="3">
    <w:abstractNumId w:val="8"/>
  </w:num>
  <w:num w:numId="4">
    <w:abstractNumId w:val="2"/>
  </w:num>
  <w:num w:numId="5">
    <w:abstractNumId w:val="5"/>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NotTrackMoves/>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2NkMjVjMWUxMDEzNmYzOGQyMGRmZjRmMDk4NzkifQ=="/>
  </w:docVars>
  <w:rsids>
    <w:rsidRoot w:val="00172A27"/>
    <w:rsid w:val="00001E7E"/>
    <w:rsid w:val="00027A4F"/>
    <w:rsid w:val="00037EE5"/>
    <w:rsid w:val="00086D3D"/>
    <w:rsid w:val="000C3AD8"/>
    <w:rsid w:val="00100327"/>
    <w:rsid w:val="00114464"/>
    <w:rsid w:val="001207EC"/>
    <w:rsid w:val="001422F3"/>
    <w:rsid w:val="00172C38"/>
    <w:rsid w:val="001D4B73"/>
    <w:rsid w:val="001F0413"/>
    <w:rsid w:val="001F58D0"/>
    <w:rsid w:val="0021442B"/>
    <w:rsid w:val="0027536B"/>
    <w:rsid w:val="002770DF"/>
    <w:rsid w:val="002B0DC1"/>
    <w:rsid w:val="002C0517"/>
    <w:rsid w:val="002F131C"/>
    <w:rsid w:val="002F4D9C"/>
    <w:rsid w:val="003066F9"/>
    <w:rsid w:val="0032063E"/>
    <w:rsid w:val="003216B0"/>
    <w:rsid w:val="00347588"/>
    <w:rsid w:val="00352C94"/>
    <w:rsid w:val="00397184"/>
    <w:rsid w:val="003A3BC0"/>
    <w:rsid w:val="003A68F3"/>
    <w:rsid w:val="003B29C5"/>
    <w:rsid w:val="003C55E9"/>
    <w:rsid w:val="003C61CC"/>
    <w:rsid w:val="0041034F"/>
    <w:rsid w:val="00454176"/>
    <w:rsid w:val="00467D36"/>
    <w:rsid w:val="00486CC6"/>
    <w:rsid w:val="004B554A"/>
    <w:rsid w:val="004B7F2B"/>
    <w:rsid w:val="00504C64"/>
    <w:rsid w:val="00513BC3"/>
    <w:rsid w:val="00527DB1"/>
    <w:rsid w:val="00534EA5"/>
    <w:rsid w:val="005710D7"/>
    <w:rsid w:val="005B318D"/>
    <w:rsid w:val="005D1E9A"/>
    <w:rsid w:val="005E0616"/>
    <w:rsid w:val="005E6A1C"/>
    <w:rsid w:val="00607458"/>
    <w:rsid w:val="006269ED"/>
    <w:rsid w:val="006B3463"/>
    <w:rsid w:val="006E78DE"/>
    <w:rsid w:val="006F2A32"/>
    <w:rsid w:val="007104DF"/>
    <w:rsid w:val="00716B66"/>
    <w:rsid w:val="0073088C"/>
    <w:rsid w:val="007538EF"/>
    <w:rsid w:val="007756C4"/>
    <w:rsid w:val="007D11D9"/>
    <w:rsid w:val="007E3FCA"/>
    <w:rsid w:val="007F7EBA"/>
    <w:rsid w:val="0080140A"/>
    <w:rsid w:val="00802182"/>
    <w:rsid w:val="008843EC"/>
    <w:rsid w:val="008C7676"/>
    <w:rsid w:val="008E3C82"/>
    <w:rsid w:val="00912D03"/>
    <w:rsid w:val="00913F4B"/>
    <w:rsid w:val="00933AE7"/>
    <w:rsid w:val="009B6625"/>
    <w:rsid w:val="009B7745"/>
    <w:rsid w:val="009D484B"/>
    <w:rsid w:val="009D71B8"/>
    <w:rsid w:val="00A03E2D"/>
    <w:rsid w:val="00A0516C"/>
    <w:rsid w:val="00A6150C"/>
    <w:rsid w:val="00A625C9"/>
    <w:rsid w:val="00AB1BA5"/>
    <w:rsid w:val="00AE656F"/>
    <w:rsid w:val="00AF23A0"/>
    <w:rsid w:val="00AF79B5"/>
    <w:rsid w:val="00B05C79"/>
    <w:rsid w:val="00B13833"/>
    <w:rsid w:val="00B16502"/>
    <w:rsid w:val="00B441A2"/>
    <w:rsid w:val="00B76005"/>
    <w:rsid w:val="00B7737C"/>
    <w:rsid w:val="00BB6E09"/>
    <w:rsid w:val="00C04527"/>
    <w:rsid w:val="00C13AA1"/>
    <w:rsid w:val="00C31D8C"/>
    <w:rsid w:val="00C3238E"/>
    <w:rsid w:val="00C36A14"/>
    <w:rsid w:val="00C555F9"/>
    <w:rsid w:val="00C708BC"/>
    <w:rsid w:val="00C96031"/>
    <w:rsid w:val="00CD21D2"/>
    <w:rsid w:val="00CF2085"/>
    <w:rsid w:val="00CF240A"/>
    <w:rsid w:val="00CF36E5"/>
    <w:rsid w:val="00D1213F"/>
    <w:rsid w:val="00D470E1"/>
    <w:rsid w:val="00D535FA"/>
    <w:rsid w:val="00D80096"/>
    <w:rsid w:val="00DA249B"/>
    <w:rsid w:val="00E42D08"/>
    <w:rsid w:val="00E4516A"/>
    <w:rsid w:val="00E860F1"/>
    <w:rsid w:val="00EA0D17"/>
    <w:rsid w:val="00EA553D"/>
    <w:rsid w:val="00EB7B19"/>
    <w:rsid w:val="00ED434E"/>
    <w:rsid w:val="00F0671C"/>
    <w:rsid w:val="00F1685B"/>
    <w:rsid w:val="00F547DF"/>
    <w:rsid w:val="00FA7EAE"/>
    <w:rsid w:val="00FC6595"/>
    <w:rsid w:val="00FF5833"/>
    <w:rsid w:val="01013D96"/>
    <w:rsid w:val="01086D63"/>
    <w:rsid w:val="010F45B3"/>
    <w:rsid w:val="01100422"/>
    <w:rsid w:val="011B64EC"/>
    <w:rsid w:val="01340268"/>
    <w:rsid w:val="0134380D"/>
    <w:rsid w:val="0134483A"/>
    <w:rsid w:val="014F1ADA"/>
    <w:rsid w:val="015D61B4"/>
    <w:rsid w:val="017813F1"/>
    <w:rsid w:val="018B0C9C"/>
    <w:rsid w:val="018C2B88"/>
    <w:rsid w:val="019B4BD4"/>
    <w:rsid w:val="01A85634"/>
    <w:rsid w:val="01AE77ED"/>
    <w:rsid w:val="01B329B2"/>
    <w:rsid w:val="01B83D0B"/>
    <w:rsid w:val="01C840FA"/>
    <w:rsid w:val="01C977F3"/>
    <w:rsid w:val="01D02F86"/>
    <w:rsid w:val="01D47565"/>
    <w:rsid w:val="01E103A1"/>
    <w:rsid w:val="01EA1042"/>
    <w:rsid w:val="01F524F1"/>
    <w:rsid w:val="01F676FE"/>
    <w:rsid w:val="01FB31A6"/>
    <w:rsid w:val="01FF3511"/>
    <w:rsid w:val="020179D0"/>
    <w:rsid w:val="0205625E"/>
    <w:rsid w:val="02071510"/>
    <w:rsid w:val="02077E07"/>
    <w:rsid w:val="020A5CB9"/>
    <w:rsid w:val="02167121"/>
    <w:rsid w:val="021E4AAE"/>
    <w:rsid w:val="02244075"/>
    <w:rsid w:val="022B3392"/>
    <w:rsid w:val="02306B47"/>
    <w:rsid w:val="023361B1"/>
    <w:rsid w:val="023A70A9"/>
    <w:rsid w:val="023D4BD4"/>
    <w:rsid w:val="02496D62"/>
    <w:rsid w:val="02583AB6"/>
    <w:rsid w:val="025A0925"/>
    <w:rsid w:val="0265023E"/>
    <w:rsid w:val="02660B9B"/>
    <w:rsid w:val="027431B7"/>
    <w:rsid w:val="027718CF"/>
    <w:rsid w:val="027C6388"/>
    <w:rsid w:val="027E7769"/>
    <w:rsid w:val="0287523E"/>
    <w:rsid w:val="0295315E"/>
    <w:rsid w:val="02993B86"/>
    <w:rsid w:val="02A23F62"/>
    <w:rsid w:val="02B218EB"/>
    <w:rsid w:val="02B341EA"/>
    <w:rsid w:val="02BD7451"/>
    <w:rsid w:val="02C411A6"/>
    <w:rsid w:val="02D16383"/>
    <w:rsid w:val="02D3553A"/>
    <w:rsid w:val="02E17ABA"/>
    <w:rsid w:val="02F06D76"/>
    <w:rsid w:val="02F17EED"/>
    <w:rsid w:val="02F870E8"/>
    <w:rsid w:val="030D662D"/>
    <w:rsid w:val="03143FFF"/>
    <w:rsid w:val="0319647D"/>
    <w:rsid w:val="03213C2F"/>
    <w:rsid w:val="03374899"/>
    <w:rsid w:val="033E00E0"/>
    <w:rsid w:val="034163BA"/>
    <w:rsid w:val="034C051E"/>
    <w:rsid w:val="034F57EF"/>
    <w:rsid w:val="03543A5F"/>
    <w:rsid w:val="035559E2"/>
    <w:rsid w:val="03580FA1"/>
    <w:rsid w:val="03583BED"/>
    <w:rsid w:val="03584C4F"/>
    <w:rsid w:val="0359303C"/>
    <w:rsid w:val="03665B57"/>
    <w:rsid w:val="03806C21"/>
    <w:rsid w:val="038C340C"/>
    <w:rsid w:val="039029E5"/>
    <w:rsid w:val="0394658D"/>
    <w:rsid w:val="03951E56"/>
    <w:rsid w:val="03981DFF"/>
    <w:rsid w:val="039832D1"/>
    <w:rsid w:val="03A11451"/>
    <w:rsid w:val="03A41F86"/>
    <w:rsid w:val="03A856A7"/>
    <w:rsid w:val="03AD58A1"/>
    <w:rsid w:val="03AE3E41"/>
    <w:rsid w:val="03AF7B33"/>
    <w:rsid w:val="03B20046"/>
    <w:rsid w:val="03B31BC3"/>
    <w:rsid w:val="03B35D6E"/>
    <w:rsid w:val="03C85A02"/>
    <w:rsid w:val="03C87F96"/>
    <w:rsid w:val="03D050B4"/>
    <w:rsid w:val="03D414B2"/>
    <w:rsid w:val="03D74DCF"/>
    <w:rsid w:val="03DB049D"/>
    <w:rsid w:val="03E10AFA"/>
    <w:rsid w:val="03E64947"/>
    <w:rsid w:val="03F12E00"/>
    <w:rsid w:val="03F61477"/>
    <w:rsid w:val="04143381"/>
    <w:rsid w:val="041D05B7"/>
    <w:rsid w:val="042856FD"/>
    <w:rsid w:val="04296FDF"/>
    <w:rsid w:val="04304184"/>
    <w:rsid w:val="043455C3"/>
    <w:rsid w:val="043816E1"/>
    <w:rsid w:val="043A2978"/>
    <w:rsid w:val="04487A38"/>
    <w:rsid w:val="044B4F71"/>
    <w:rsid w:val="04510DC2"/>
    <w:rsid w:val="0453480E"/>
    <w:rsid w:val="04734437"/>
    <w:rsid w:val="04784355"/>
    <w:rsid w:val="047B4F56"/>
    <w:rsid w:val="047D0653"/>
    <w:rsid w:val="048249DD"/>
    <w:rsid w:val="04930DA5"/>
    <w:rsid w:val="04AB5CBC"/>
    <w:rsid w:val="04B02E6F"/>
    <w:rsid w:val="04B52E18"/>
    <w:rsid w:val="04C64286"/>
    <w:rsid w:val="04C656F5"/>
    <w:rsid w:val="04CB2517"/>
    <w:rsid w:val="04CB475B"/>
    <w:rsid w:val="04CB5320"/>
    <w:rsid w:val="04D810D1"/>
    <w:rsid w:val="04DE4AA4"/>
    <w:rsid w:val="04DF5025"/>
    <w:rsid w:val="04E62621"/>
    <w:rsid w:val="04E63CBE"/>
    <w:rsid w:val="04E90CDF"/>
    <w:rsid w:val="04F11603"/>
    <w:rsid w:val="04FD412B"/>
    <w:rsid w:val="05080764"/>
    <w:rsid w:val="050E384C"/>
    <w:rsid w:val="05111757"/>
    <w:rsid w:val="051428BE"/>
    <w:rsid w:val="05167229"/>
    <w:rsid w:val="05194415"/>
    <w:rsid w:val="0519537F"/>
    <w:rsid w:val="052551D9"/>
    <w:rsid w:val="05390CA9"/>
    <w:rsid w:val="053F2A8F"/>
    <w:rsid w:val="054B166E"/>
    <w:rsid w:val="055E08C3"/>
    <w:rsid w:val="056B58C5"/>
    <w:rsid w:val="056E092B"/>
    <w:rsid w:val="056F4E5E"/>
    <w:rsid w:val="0571293C"/>
    <w:rsid w:val="05764D75"/>
    <w:rsid w:val="057A48CB"/>
    <w:rsid w:val="057E7E6F"/>
    <w:rsid w:val="059418E1"/>
    <w:rsid w:val="05A05923"/>
    <w:rsid w:val="05A21430"/>
    <w:rsid w:val="05A33F43"/>
    <w:rsid w:val="05B12228"/>
    <w:rsid w:val="05C457B1"/>
    <w:rsid w:val="05CD6914"/>
    <w:rsid w:val="05DF6DBC"/>
    <w:rsid w:val="05FA3EF3"/>
    <w:rsid w:val="06116DFF"/>
    <w:rsid w:val="06144324"/>
    <w:rsid w:val="061E4453"/>
    <w:rsid w:val="0624108C"/>
    <w:rsid w:val="062607E2"/>
    <w:rsid w:val="062A3920"/>
    <w:rsid w:val="063236A4"/>
    <w:rsid w:val="06373ABD"/>
    <w:rsid w:val="063B324C"/>
    <w:rsid w:val="06461D1D"/>
    <w:rsid w:val="06481AD4"/>
    <w:rsid w:val="06497845"/>
    <w:rsid w:val="064E3A7C"/>
    <w:rsid w:val="065465CB"/>
    <w:rsid w:val="065B1F66"/>
    <w:rsid w:val="065F2FD1"/>
    <w:rsid w:val="06646F26"/>
    <w:rsid w:val="067902AF"/>
    <w:rsid w:val="067E63E6"/>
    <w:rsid w:val="06890860"/>
    <w:rsid w:val="068A0BD2"/>
    <w:rsid w:val="068A3061"/>
    <w:rsid w:val="069529D6"/>
    <w:rsid w:val="069A008B"/>
    <w:rsid w:val="069D5B61"/>
    <w:rsid w:val="06A24994"/>
    <w:rsid w:val="06AE17E8"/>
    <w:rsid w:val="06B5487C"/>
    <w:rsid w:val="06C85FD7"/>
    <w:rsid w:val="06D15E55"/>
    <w:rsid w:val="06D86F7A"/>
    <w:rsid w:val="06E4767F"/>
    <w:rsid w:val="06E57FC4"/>
    <w:rsid w:val="06F41079"/>
    <w:rsid w:val="070A4273"/>
    <w:rsid w:val="07154905"/>
    <w:rsid w:val="0733037D"/>
    <w:rsid w:val="07387849"/>
    <w:rsid w:val="074F758D"/>
    <w:rsid w:val="075C2FC4"/>
    <w:rsid w:val="075F2816"/>
    <w:rsid w:val="076C1FCA"/>
    <w:rsid w:val="076D4537"/>
    <w:rsid w:val="078E56D7"/>
    <w:rsid w:val="07973A24"/>
    <w:rsid w:val="079F7DE8"/>
    <w:rsid w:val="07A60C9A"/>
    <w:rsid w:val="07A925C8"/>
    <w:rsid w:val="07BD1C65"/>
    <w:rsid w:val="07CA6DC4"/>
    <w:rsid w:val="07E043B2"/>
    <w:rsid w:val="07F222E5"/>
    <w:rsid w:val="080954BE"/>
    <w:rsid w:val="080C562F"/>
    <w:rsid w:val="080D5A12"/>
    <w:rsid w:val="08185412"/>
    <w:rsid w:val="08365E65"/>
    <w:rsid w:val="083667B1"/>
    <w:rsid w:val="083D7F0F"/>
    <w:rsid w:val="083E025F"/>
    <w:rsid w:val="08432893"/>
    <w:rsid w:val="084655D1"/>
    <w:rsid w:val="08475DD1"/>
    <w:rsid w:val="084C67F6"/>
    <w:rsid w:val="085312EA"/>
    <w:rsid w:val="085360FB"/>
    <w:rsid w:val="085B4399"/>
    <w:rsid w:val="08632999"/>
    <w:rsid w:val="086B3FFE"/>
    <w:rsid w:val="086B5F90"/>
    <w:rsid w:val="08717316"/>
    <w:rsid w:val="087272BE"/>
    <w:rsid w:val="087277C8"/>
    <w:rsid w:val="08732F94"/>
    <w:rsid w:val="08741D48"/>
    <w:rsid w:val="08742CD0"/>
    <w:rsid w:val="08785ADB"/>
    <w:rsid w:val="087F16BF"/>
    <w:rsid w:val="08877423"/>
    <w:rsid w:val="088B1BB5"/>
    <w:rsid w:val="088D48BE"/>
    <w:rsid w:val="08915BA7"/>
    <w:rsid w:val="089A766D"/>
    <w:rsid w:val="08A27699"/>
    <w:rsid w:val="08B24922"/>
    <w:rsid w:val="08B63055"/>
    <w:rsid w:val="08BC1B04"/>
    <w:rsid w:val="08BD2901"/>
    <w:rsid w:val="08C414F8"/>
    <w:rsid w:val="08CA5204"/>
    <w:rsid w:val="08CB596A"/>
    <w:rsid w:val="08D129B1"/>
    <w:rsid w:val="08D235B5"/>
    <w:rsid w:val="08D77F9A"/>
    <w:rsid w:val="08DD5E34"/>
    <w:rsid w:val="08E41C02"/>
    <w:rsid w:val="08F03598"/>
    <w:rsid w:val="08F12A95"/>
    <w:rsid w:val="08FF2936"/>
    <w:rsid w:val="090212B8"/>
    <w:rsid w:val="09045401"/>
    <w:rsid w:val="09120704"/>
    <w:rsid w:val="09223893"/>
    <w:rsid w:val="092C1AFB"/>
    <w:rsid w:val="092D1D2C"/>
    <w:rsid w:val="093342EC"/>
    <w:rsid w:val="093F66E0"/>
    <w:rsid w:val="09434CDD"/>
    <w:rsid w:val="09444DF1"/>
    <w:rsid w:val="094A010C"/>
    <w:rsid w:val="09542D12"/>
    <w:rsid w:val="095A2027"/>
    <w:rsid w:val="095E4BA4"/>
    <w:rsid w:val="097058D4"/>
    <w:rsid w:val="097C1A9F"/>
    <w:rsid w:val="09882830"/>
    <w:rsid w:val="09887009"/>
    <w:rsid w:val="098F0B0A"/>
    <w:rsid w:val="09903C29"/>
    <w:rsid w:val="09A86E39"/>
    <w:rsid w:val="09AB5B05"/>
    <w:rsid w:val="09AD37EC"/>
    <w:rsid w:val="09B33FF7"/>
    <w:rsid w:val="09B51C40"/>
    <w:rsid w:val="09C44AA0"/>
    <w:rsid w:val="09CF6409"/>
    <w:rsid w:val="09D04E8A"/>
    <w:rsid w:val="09D15D3A"/>
    <w:rsid w:val="09D84B78"/>
    <w:rsid w:val="09DB259B"/>
    <w:rsid w:val="09DF1B25"/>
    <w:rsid w:val="09E137E9"/>
    <w:rsid w:val="09EF210D"/>
    <w:rsid w:val="0A0A5B01"/>
    <w:rsid w:val="0A1801D1"/>
    <w:rsid w:val="0A2768F6"/>
    <w:rsid w:val="0A2D00E7"/>
    <w:rsid w:val="0A357FDF"/>
    <w:rsid w:val="0A385FAB"/>
    <w:rsid w:val="0A3867F8"/>
    <w:rsid w:val="0A454A11"/>
    <w:rsid w:val="0A46373E"/>
    <w:rsid w:val="0A555529"/>
    <w:rsid w:val="0A63116D"/>
    <w:rsid w:val="0A6A6EAE"/>
    <w:rsid w:val="0A6E67EF"/>
    <w:rsid w:val="0A7D7A17"/>
    <w:rsid w:val="0A890842"/>
    <w:rsid w:val="0ABD6210"/>
    <w:rsid w:val="0ACD53EF"/>
    <w:rsid w:val="0AD727CA"/>
    <w:rsid w:val="0AD81C1D"/>
    <w:rsid w:val="0ADC3261"/>
    <w:rsid w:val="0ADF2529"/>
    <w:rsid w:val="0AE35F05"/>
    <w:rsid w:val="0AF852A4"/>
    <w:rsid w:val="0AFB1076"/>
    <w:rsid w:val="0B004616"/>
    <w:rsid w:val="0B053EF0"/>
    <w:rsid w:val="0B0822C7"/>
    <w:rsid w:val="0B0A145B"/>
    <w:rsid w:val="0B0F50F1"/>
    <w:rsid w:val="0B126846"/>
    <w:rsid w:val="0B140AE2"/>
    <w:rsid w:val="0B232F7C"/>
    <w:rsid w:val="0B2B50BD"/>
    <w:rsid w:val="0B2B6778"/>
    <w:rsid w:val="0B3F631C"/>
    <w:rsid w:val="0B481665"/>
    <w:rsid w:val="0B4C340E"/>
    <w:rsid w:val="0B4E3E3C"/>
    <w:rsid w:val="0B520687"/>
    <w:rsid w:val="0B554E9E"/>
    <w:rsid w:val="0B5F269F"/>
    <w:rsid w:val="0B611265"/>
    <w:rsid w:val="0B663828"/>
    <w:rsid w:val="0B772020"/>
    <w:rsid w:val="0B826006"/>
    <w:rsid w:val="0B844390"/>
    <w:rsid w:val="0B860543"/>
    <w:rsid w:val="0B92490C"/>
    <w:rsid w:val="0B9339D4"/>
    <w:rsid w:val="0B93791B"/>
    <w:rsid w:val="0B9510F4"/>
    <w:rsid w:val="0B9A18D9"/>
    <w:rsid w:val="0BA126D0"/>
    <w:rsid w:val="0BB41E26"/>
    <w:rsid w:val="0BB77C32"/>
    <w:rsid w:val="0BBB2773"/>
    <w:rsid w:val="0BF56C48"/>
    <w:rsid w:val="0BFD0C78"/>
    <w:rsid w:val="0BFD2422"/>
    <w:rsid w:val="0C127E0E"/>
    <w:rsid w:val="0C1A6CDC"/>
    <w:rsid w:val="0C1F6159"/>
    <w:rsid w:val="0C2C7CA8"/>
    <w:rsid w:val="0C304F6F"/>
    <w:rsid w:val="0C345395"/>
    <w:rsid w:val="0C375DE1"/>
    <w:rsid w:val="0C3D2E74"/>
    <w:rsid w:val="0C47008D"/>
    <w:rsid w:val="0C4A099B"/>
    <w:rsid w:val="0C5441AC"/>
    <w:rsid w:val="0C657EF9"/>
    <w:rsid w:val="0C7002DE"/>
    <w:rsid w:val="0C8E623E"/>
    <w:rsid w:val="0C945523"/>
    <w:rsid w:val="0C962674"/>
    <w:rsid w:val="0CAA598D"/>
    <w:rsid w:val="0CB40392"/>
    <w:rsid w:val="0CB43667"/>
    <w:rsid w:val="0CB90F9A"/>
    <w:rsid w:val="0CC32FAD"/>
    <w:rsid w:val="0CC824A3"/>
    <w:rsid w:val="0CD65F7C"/>
    <w:rsid w:val="0CD85789"/>
    <w:rsid w:val="0CDC3B6F"/>
    <w:rsid w:val="0D061389"/>
    <w:rsid w:val="0D0C0816"/>
    <w:rsid w:val="0D0F07D5"/>
    <w:rsid w:val="0D11404C"/>
    <w:rsid w:val="0D20716B"/>
    <w:rsid w:val="0D243569"/>
    <w:rsid w:val="0D2C5C06"/>
    <w:rsid w:val="0D2D1403"/>
    <w:rsid w:val="0D3275B0"/>
    <w:rsid w:val="0D405BBB"/>
    <w:rsid w:val="0D446941"/>
    <w:rsid w:val="0D51729D"/>
    <w:rsid w:val="0D5D0F56"/>
    <w:rsid w:val="0D6151BA"/>
    <w:rsid w:val="0D6478E2"/>
    <w:rsid w:val="0D696CFB"/>
    <w:rsid w:val="0D6B1D99"/>
    <w:rsid w:val="0D6F59B4"/>
    <w:rsid w:val="0D7C5FD9"/>
    <w:rsid w:val="0D87687E"/>
    <w:rsid w:val="0D995B81"/>
    <w:rsid w:val="0D9B26F6"/>
    <w:rsid w:val="0D9B5784"/>
    <w:rsid w:val="0D9F1A6C"/>
    <w:rsid w:val="0DA77C21"/>
    <w:rsid w:val="0DB86976"/>
    <w:rsid w:val="0DBA12E6"/>
    <w:rsid w:val="0DCF02DA"/>
    <w:rsid w:val="0DE117B9"/>
    <w:rsid w:val="0DE2374D"/>
    <w:rsid w:val="0DF83CCE"/>
    <w:rsid w:val="0DF9736E"/>
    <w:rsid w:val="0E02647E"/>
    <w:rsid w:val="0E06691C"/>
    <w:rsid w:val="0E0C7CE4"/>
    <w:rsid w:val="0E0E15AE"/>
    <w:rsid w:val="0E225824"/>
    <w:rsid w:val="0E24616F"/>
    <w:rsid w:val="0E3B4F86"/>
    <w:rsid w:val="0E3F3014"/>
    <w:rsid w:val="0E3F39B1"/>
    <w:rsid w:val="0E3F7CED"/>
    <w:rsid w:val="0E4B3D89"/>
    <w:rsid w:val="0E5A138F"/>
    <w:rsid w:val="0E5B19BC"/>
    <w:rsid w:val="0E5D39F0"/>
    <w:rsid w:val="0E606D09"/>
    <w:rsid w:val="0E775E48"/>
    <w:rsid w:val="0E7A0D06"/>
    <w:rsid w:val="0E8E1FFE"/>
    <w:rsid w:val="0E9950F6"/>
    <w:rsid w:val="0EB2255C"/>
    <w:rsid w:val="0EC33B90"/>
    <w:rsid w:val="0EC860FE"/>
    <w:rsid w:val="0ECD49F7"/>
    <w:rsid w:val="0ED61926"/>
    <w:rsid w:val="0ED73ADF"/>
    <w:rsid w:val="0EDE36EE"/>
    <w:rsid w:val="0EFB062A"/>
    <w:rsid w:val="0F156375"/>
    <w:rsid w:val="0F18392D"/>
    <w:rsid w:val="0F1D62C7"/>
    <w:rsid w:val="0F250257"/>
    <w:rsid w:val="0F275BFB"/>
    <w:rsid w:val="0F2B1032"/>
    <w:rsid w:val="0F2D6380"/>
    <w:rsid w:val="0F34165C"/>
    <w:rsid w:val="0F3974D8"/>
    <w:rsid w:val="0F540CDA"/>
    <w:rsid w:val="0F5567B6"/>
    <w:rsid w:val="0F5C088B"/>
    <w:rsid w:val="0F61182E"/>
    <w:rsid w:val="0F6D2A1B"/>
    <w:rsid w:val="0F7049B3"/>
    <w:rsid w:val="0F706E27"/>
    <w:rsid w:val="0F757254"/>
    <w:rsid w:val="0FA7415B"/>
    <w:rsid w:val="0FB17563"/>
    <w:rsid w:val="0FB92FB9"/>
    <w:rsid w:val="0FC3014C"/>
    <w:rsid w:val="0FC545BA"/>
    <w:rsid w:val="0FC62723"/>
    <w:rsid w:val="0FCD69F1"/>
    <w:rsid w:val="0FD60402"/>
    <w:rsid w:val="0FD76A98"/>
    <w:rsid w:val="0FE031EC"/>
    <w:rsid w:val="0FE43129"/>
    <w:rsid w:val="0FEC4765"/>
    <w:rsid w:val="0FF713B4"/>
    <w:rsid w:val="0FF83769"/>
    <w:rsid w:val="1019432E"/>
    <w:rsid w:val="10212765"/>
    <w:rsid w:val="10284AB8"/>
    <w:rsid w:val="10305E0F"/>
    <w:rsid w:val="103807AD"/>
    <w:rsid w:val="103B1CC5"/>
    <w:rsid w:val="103F5B50"/>
    <w:rsid w:val="105351C4"/>
    <w:rsid w:val="10747C7E"/>
    <w:rsid w:val="107759B7"/>
    <w:rsid w:val="107C47B0"/>
    <w:rsid w:val="10831FBC"/>
    <w:rsid w:val="108A14BC"/>
    <w:rsid w:val="108E7317"/>
    <w:rsid w:val="10976C66"/>
    <w:rsid w:val="10B003BB"/>
    <w:rsid w:val="10B97E33"/>
    <w:rsid w:val="10C45F8D"/>
    <w:rsid w:val="10C61608"/>
    <w:rsid w:val="10CD7AD0"/>
    <w:rsid w:val="10DE196E"/>
    <w:rsid w:val="10F11E0F"/>
    <w:rsid w:val="10FD47F5"/>
    <w:rsid w:val="10FE0D1F"/>
    <w:rsid w:val="110344BB"/>
    <w:rsid w:val="11154139"/>
    <w:rsid w:val="11170035"/>
    <w:rsid w:val="111B790C"/>
    <w:rsid w:val="1120350A"/>
    <w:rsid w:val="11206C21"/>
    <w:rsid w:val="11227714"/>
    <w:rsid w:val="11265F3A"/>
    <w:rsid w:val="11272BC2"/>
    <w:rsid w:val="11273C8A"/>
    <w:rsid w:val="112A6FA5"/>
    <w:rsid w:val="11443A95"/>
    <w:rsid w:val="11480E15"/>
    <w:rsid w:val="114A715F"/>
    <w:rsid w:val="114C4712"/>
    <w:rsid w:val="11656A12"/>
    <w:rsid w:val="1170463E"/>
    <w:rsid w:val="11765797"/>
    <w:rsid w:val="11812F07"/>
    <w:rsid w:val="1184527A"/>
    <w:rsid w:val="11863E1A"/>
    <w:rsid w:val="118F29C2"/>
    <w:rsid w:val="1190687B"/>
    <w:rsid w:val="11932E27"/>
    <w:rsid w:val="1193381F"/>
    <w:rsid w:val="1193656A"/>
    <w:rsid w:val="119A0A99"/>
    <w:rsid w:val="119C2875"/>
    <w:rsid w:val="11A111B2"/>
    <w:rsid w:val="11A258FB"/>
    <w:rsid w:val="11A63AF5"/>
    <w:rsid w:val="11AD5396"/>
    <w:rsid w:val="11B6699D"/>
    <w:rsid w:val="11C72E1E"/>
    <w:rsid w:val="11CB5BE9"/>
    <w:rsid w:val="11D95BE7"/>
    <w:rsid w:val="11E423C5"/>
    <w:rsid w:val="11E672BE"/>
    <w:rsid w:val="11E7010B"/>
    <w:rsid w:val="11EC477B"/>
    <w:rsid w:val="11F570A5"/>
    <w:rsid w:val="11FE3B95"/>
    <w:rsid w:val="12007BFB"/>
    <w:rsid w:val="12030E85"/>
    <w:rsid w:val="12087AC5"/>
    <w:rsid w:val="121446C0"/>
    <w:rsid w:val="1218482D"/>
    <w:rsid w:val="121D1C01"/>
    <w:rsid w:val="121D7FE1"/>
    <w:rsid w:val="1224414D"/>
    <w:rsid w:val="12291DFF"/>
    <w:rsid w:val="12294ACE"/>
    <w:rsid w:val="1235564D"/>
    <w:rsid w:val="123935EC"/>
    <w:rsid w:val="123F393A"/>
    <w:rsid w:val="124617FA"/>
    <w:rsid w:val="12475E81"/>
    <w:rsid w:val="124850B5"/>
    <w:rsid w:val="124A2E47"/>
    <w:rsid w:val="124E1805"/>
    <w:rsid w:val="124F226C"/>
    <w:rsid w:val="125B745E"/>
    <w:rsid w:val="126629B1"/>
    <w:rsid w:val="12672B74"/>
    <w:rsid w:val="127067DA"/>
    <w:rsid w:val="127E640D"/>
    <w:rsid w:val="12812DF3"/>
    <w:rsid w:val="12882803"/>
    <w:rsid w:val="128871B8"/>
    <w:rsid w:val="128D2B7C"/>
    <w:rsid w:val="12901438"/>
    <w:rsid w:val="12990DA4"/>
    <w:rsid w:val="12991665"/>
    <w:rsid w:val="129C4FAF"/>
    <w:rsid w:val="12A03C83"/>
    <w:rsid w:val="12A53972"/>
    <w:rsid w:val="12AD5BB7"/>
    <w:rsid w:val="12B03441"/>
    <w:rsid w:val="12C0700A"/>
    <w:rsid w:val="12C1567D"/>
    <w:rsid w:val="12C91FE8"/>
    <w:rsid w:val="12CC343E"/>
    <w:rsid w:val="12E423ED"/>
    <w:rsid w:val="12E644D2"/>
    <w:rsid w:val="12E71080"/>
    <w:rsid w:val="12F70336"/>
    <w:rsid w:val="12F813C2"/>
    <w:rsid w:val="130A01BD"/>
    <w:rsid w:val="130A3A65"/>
    <w:rsid w:val="130C40D8"/>
    <w:rsid w:val="131011DB"/>
    <w:rsid w:val="1313794B"/>
    <w:rsid w:val="131A188F"/>
    <w:rsid w:val="131B51E3"/>
    <w:rsid w:val="132D3BBF"/>
    <w:rsid w:val="134932F8"/>
    <w:rsid w:val="134C2EDA"/>
    <w:rsid w:val="13552AF2"/>
    <w:rsid w:val="13565DAB"/>
    <w:rsid w:val="13677935"/>
    <w:rsid w:val="13735038"/>
    <w:rsid w:val="137B129A"/>
    <w:rsid w:val="1387388B"/>
    <w:rsid w:val="138A3A85"/>
    <w:rsid w:val="138E153B"/>
    <w:rsid w:val="138F7D25"/>
    <w:rsid w:val="139A25D7"/>
    <w:rsid w:val="139A2BE6"/>
    <w:rsid w:val="139E7C2A"/>
    <w:rsid w:val="13A02436"/>
    <w:rsid w:val="13A70841"/>
    <w:rsid w:val="13AB0089"/>
    <w:rsid w:val="13B7585D"/>
    <w:rsid w:val="13CE15A5"/>
    <w:rsid w:val="13D778B6"/>
    <w:rsid w:val="13DE04EE"/>
    <w:rsid w:val="13E376EA"/>
    <w:rsid w:val="13F441C9"/>
    <w:rsid w:val="13F70B14"/>
    <w:rsid w:val="14003349"/>
    <w:rsid w:val="1408033C"/>
    <w:rsid w:val="14171794"/>
    <w:rsid w:val="141F297C"/>
    <w:rsid w:val="14260A64"/>
    <w:rsid w:val="1429730E"/>
    <w:rsid w:val="142E15F9"/>
    <w:rsid w:val="14354106"/>
    <w:rsid w:val="1446439F"/>
    <w:rsid w:val="144953B3"/>
    <w:rsid w:val="14525825"/>
    <w:rsid w:val="145371BA"/>
    <w:rsid w:val="14575E8C"/>
    <w:rsid w:val="14606B8B"/>
    <w:rsid w:val="14650F9D"/>
    <w:rsid w:val="14675698"/>
    <w:rsid w:val="14730A65"/>
    <w:rsid w:val="147E6220"/>
    <w:rsid w:val="147F06B2"/>
    <w:rsid w:val="148A0469"/>
    <w:rsid w:val="14921A33"/>
    <w:rsid w:val="14A45545"/>
    <w:rsid w:val="14A64F4A"/>
    <w:rsid w:val="14BF6A8E"/>
    <w:rsid w:val="14C01B60"/>
    <w:rsid w:val="14CD39B4"/>
    <w:rsid w:val="14D43A20"/>
    <w:rsid w:val="14D52764"/>
    <w:rsid w:val="14DE0A71"/>
    <w:rsid w:val="14EC48A6"/>
    <w:rsid w:val="14EE4756"/>
    <w:rsid w:val="150505EB"/>
    <w:rsid w:val="15067A88"/>
    <w:rsid w:val="1509292F"/>
    <w:rsid w:val="1514142F"/>
    <w:rsid w:val="15200E67"/>
    <w:rsid w:val="15293E18"/>
    <w:rsid w:val="152E6BE3"/>
    <w:rsid w:val="15322057"/>
    <w:rsid w:val="153B0D9F"/>
    <w:rsid w:val="15473CF8"/>
    <w:rsid w:val="156C71E7"/>
    <w:rsid w:val="157254BF"/>
    <w:rsid w:val="157B146E"/>
    <w:rsid w:val="157B3CB9"/>
    <w:rsid w:val="157F746A"/>
    <w:rsid w:val="15887527"/>
    <w:rsid w:val="158E3702"/>
    <w:rsid w:val="15902B9F"/>
    <w:rsid w:val="159B40EB"/>
    <w:rsid w:val="159E03A0"/>
    <w:rsid w:val="15AA2DD7"/>
    <w:rsid w:val="15AD14C5"/>
    <w:rsid w:val="15B14CCF"/>
    <w:rsid w:val="15C62455"/>
    <w:rsid w:val="15C97FB6"/>
    <w:rsid w:val="15CC5D00"/>
    <w:rsid w:val="15CF7614"/>
    <w:rsid w:val="15D9555B"/>
    <w:rsid w:val="15DA229D"/>
    <w:rsid w:val="15E02946"/>
    <w:rsid w:val="15EB6D7E"/>
    <w:rsid w:val="15ED14D4"/>
    <w:rsid w:val="15F22E90"/>
    <w:rsid w:val="15F30DD5"/>
    <w:rsid w:val="15F42192"/>
    <w:rsid w:val="15FF062D"/>
    <w:rsid w:val="1603441E"/>
    <w:rsid w:val="160D7132"/>
    <w:rsid w:val="16173D8D"/>
    <w:rsid w:val="162A49AA"/>
    <w:rsid w:val="162B78B1"/>
    <w:rsid w:val="1637639D"/>
    <w:rsid w:val="163911A2"/>
    <w:rsid w:val="1640713D"/>
    <w:rsid w:val="16464694"/>
    <w:rsid w:val="16484E33"/>
    <w:rsid w:val="164F234B"/>
    <w:rsid w:val="165D6CA0"/>
    <w:rsid w:val="16701CCC"/>
    <w:rsid w:val="16715727"/>
    <w:rsid w:val="16800029"/>
    <w:rsid w:val="1683380E"/>
    <w:rsid w:val="16871580"/>
    <w:rsid w:val="16893A21"/>
    <w:rsid w:val="168F19F2"/>
    <w:rsid w:val="168F4362"/>
    <w:rsid w:val="169A1E61"/>
    <w:rsid w:val="16A563C1"/>
    <w:rsid w:val="16A778F0"/>
    <w:rsid w:val="16AA7E82"/>
    <w:rsid w:val="16B0181E"/>
    <w:rsid w:val="16B1759D"/>
    <w:rsid w:val="16B6280A"/>
    <w:rsid w:val="16B929D0"/>
    <w:rsid w:val="16BC79B5"/>
    <w:rsid w:val="16D04910"/>
    <w:rsid w:val="16D35E19"/>
    <w:rsid w:val="16D87F1F"/>
    <w:rsid w:val="16FD14F8"/>
    <w:rsid w:val="16FF3379"/>
    <w:rsid w:val="17145EB7"/>
    <w:rsid w:val="17291FAD"/>
    <w:rsid w:val="173215F1"/>
    <w:rsid w:val="17384A4F"/>
    <w:rsid w:val="1745310A"/>
    <w:rsid w:val="174B7132"/>
    <w:rsid w:val="174F5EE6"/>
    <w:rsid w:val="17500AC0"/>
    <w:rsid w:val="17503053"/>
    <w:rsid w:val="175F0A7F"/>
    <w:rsid w:val="17610BE2"/>
    <w:rsid w:val="17660349"/>
    <w:rsid w:val="17682C99"/>
    <w:rsid w:val="17806960"/>
    <w:rsid w:val="178C49EE"/>
    <w:rsid w:val="17923B09"/>
    <w:rsid w:val="17966422"/>
    <w:rsid w:val="17A1131E"/>
    <w:rsid w:val="17AF16CA"/>
    <w:rsid w:val="17B85A41"/>
    <w:rsid w:val="17CC2C29"/>
    <w:rsid w:val="17DF709E"/>
    <w:rsid w:val="17E41AA0"/>
    <w:rsid w:val="17E647D8"/>
    <w:rsid w:val="17E97B67"/>
    <w:rsid w:val="17EB3B87"/>
    <w:rsid w:val="18031773"/>
    <w:rsid w:val="180B4CD6"/>
    <w:rsid w:val="18110375"/>
    <w:rsid w:val="181B3026"/>
    <w:rsid w:val="181F53EE"/>
    <w:rsid w:val="18216406"/>
    <w:rsid w:val="1823231A"/>
    <w:rsid w:val="182851FE"/>
    <w:rsid w:val="182B3E13"/>
    <w:rsid w:val="183636EE"/>
    <w:rsid w:val="183937A6"/>
    <w:rsid w:val="18410617"/>
    <w:rsid w:val="18411B45"/>
    <w:rsid w:val="184366DA"/>
    <w:rsid w:val="184766C9"/>
    <w:rsid w:val="184C6FDF"/>
    <w:rsid w:val="18503F4C"/>
    <w:rsid w:val="185A7002"/>
    <w:rsid w:val="187D12D7"/>
    <w:rsid w:val="188B16C1"/>
    <w:rsid w:val="18964AF9"/>
    <w:rsid w:val="189C59AC"/>
    <w:rsid w:val="18A7447C"/>
    <w:rsid w:val="18B80869"/>
    <w:rsid w:val="18B91E29"/>
    <w:rsid w:val="18BB55C0"/>
    <w:rsid w:val="18BB7131"/>
    <w:rsid w:val="18BD0028"/>
    <w:rsid w:val="18BF3F02"/>
    <w:rsid w:val="18CE3AFA"/>
    <w:rsid w:val="18DA5DA0"/>
    <w:rsid w:val="18F00E44"/>
    <w:rsid w:val="18F34737"/>
    <w:rsid w:val="18F4756E"/>
    <w:rsid w:val="18F558C8"/>
    <w:rsid w:val="18FE51A3"/>
    <w:rsid w:val="18FE7F41"/>
    <w:rsid w:val="19026156"/>
    <w:rsid w:val="19033F6D"/>
    <w:rsid w:val="19285866"/>
    <w:rsid w:val="19475063"/>
    <w:rsid w:val="194C2202"/>
    <w:rsid w:val="195261ED"/>
    <w:rsid w:val="19674D3A"/>
    <w:rsid w:val="197467A1"/>
    <w:rsid w:val="197A1F78"/>
    <w:rsid w:val="197B1B52"/>
    <w:rsid w:val="199E1D53"/>
    <w:rsid w:val="19AC7A7A"/>
    <w:rsid w:val="19B15746"/>
    <w:rsid w:val="19B25769"/>
    <w:rsid w:val="19B32F1A"/>
    <w:rsid w:val="19B64296"/>
    <w:rsid w:val="19BC611A"/>
    <w:rsid w:val="19BE4C75"/>
    <w:rsid w:val="19C86081"/>
    <w:rsid w:val="19CB14DE"/>
    <w:rsid w:val="19D03761"/>
    <w:rsid w:val="19D30687"/>
    <w:rsid w:val="19D339A4"/>
    <w:rsid w:val="19DC6298"/>
    <w:rsid w:val="19E27746"/>
    <w:rsid w:val="19E57F4C"/>
    <w:rsid w:val="19F3413D"/>
    <w:rsid w:val="19F80E4E"/>
    <w:rsid w:val="19F937F5"/>
    <w:rsid w:val="1A041C77"/>
    <w:rsid w:val="1A051304"/>
    <w:rsid w:val="1A096710"/>
    <w:rsid w:val="1A11143B"/>
    <w:rsid w:val="1A155A9E"/>
    <w:rsid w:val="1A1E54AC"/>
    <w:rsid w:val="1A1F4C54"/>
    <w:rsid w:val="1A2F6BF4"/>
    <w:rsid w:val="1A310609"/>
    <w:rsid w:val="1A421658"/>
    <w:rsid w:val="1A4A5EB7"/>
    <w:rsid w:val="1A57481F"/>
    <w:rsid w:val="1A5A1A76"/>
    <w:rsid w:val="1A6565C6"/>
    <w:rsid w:val="1A6D09EF"/>
    <w:rsid w:val="1A791D13"/>
    <w:rsid w:val="1A82491A"/>
    <w:rsid w:val="1A8B2BA4"/>
    <w:rsid w:val="1A9F4365"/>
    <w:rsid w:val="1AA07478"/>
    <w:rsid w:val="1AA3449A"/>
    <w:rsid w:val="1AB04AF5"/>
    <w:rsid w:val="1AB94309"/>
    <w:rsid w:val="1AC24076"/>
    <w:rsid w:val="1AC61254"/>
    <w:rsid w:val="1ACB68E1"/>
    <w:rsid w:val="1AD16FED"/>
    <w:rsid w:val="1AD93EC5"/>
    <w:rsid w:val="1AEA6CCA"/>
    <w:rsid w:val="1AEE0062"/>
    <w:rsid w:val="1AF01E64"/>
    <w:rsid w:val="1B065044"/>
    <w:rsid w:val="1B166C96"/>
    <w:rsid w:val="1B183E03"/>
    <w:rsid w:val="1B1C19F8"/>
    <w:rsid w:val="1B1D2B47"/>
    <w:rsid w:val="1B267890"/>
    <w:rsid w:val="1B354054"/>
    <w:rsid w:val="1B394312"/>
    <w:rsid w:val="1B3E3930"/>
    <w:rsid w:val="1B477401"/>
    <w:rsid w:val="1B521FB5"/>
    <w:rsid w:val="1B68712F"/>
    <w:rsid w:val="1B6D1CF3"/>
    <w:rsid w:val="1B7661BC"/>
    <w:rsid w:val="1B797ECE"/>
    <w:rsid w:val="1B7A0321"/>
    <w:rsid w:val="1B7E6195"/>
    <w:rsid w:val="1B8C2D7B"/>
    <w:rsid w:val="1B923654"/>
    <w:rsid w:val="1B92609C"/>
    <w:rsid w:val="1B9522F9"/>
    <w:rsid w:val="1B9901C1"/>
    <w:rsid w:val="1BA23459"/>
    <w:rsid w:val="1BAF0D22"/>
    <w:rsid w:val="1BBB4A6C"/>
    <w:rsid w:val="1BBC107A"/>
    <w:rsid w:val="1BC02FC5"/>
    <w:rsid w:val="1BCB0C13"/>
    <w:rsid w:val="1BCD6B37"/>
    <w:rsid w:val="1BCE2D72"/>
    <w:rsid w:val="1BDA6314"/>
    <w:rsid w:val="1BDB3E50"/>
    <w:rsid w:val="1BDB7F54"/>
    <w:rsid w:val="1BE46573"/>
    <w:rsid w:val="1BE93967"/>
    <w:rsid w:val="1BED13A2"/>
    <w:rsid w:val="1BEF3274"/>
    <w:rsid w:val="1BF239D4"/>
    <w:rsid w:val="1BF55A3C"/>
    <w:rsid w:val="1BF7204E"/>
    <w:rsid w:val="1C032463"/>
    <w:rsid w:val="1C062E3D"/>
    <w:rsid w:val="1C0D1E07"/>
    <w:rsid w:val="1C1C565B"/>
    <w:rsid w:val="1C237A5C"/>
    <w:rsid w:val="1C312907"/>
    <w:rsid w:val="1C377263"/>
    <w:rsid w:val="1C3C29CC"/>
    <w:rsid w:val="1C434BCB"/>
    <w:rsid w:val="1C4A50F5"/>
    <w:rsid w:val="1C4C5B80"/>
    <w:rsid w:val="1C4E54BA"/>
    <w:rsid w:val="1C5B27CF"/>
    <w:rsid w:val="1C5F14C4"/>
    <w:rsid w:val="1C65060B"/>
    <w:rsid w:val="1C6A03CB"/>
    <w:rsid w:val="1C6B00E9"/>
    <w:rsid w:val="1C6F23C4"/>
    <w:rsid w:val="1C81045D"/>
    <w:rsid w:val="1C867395"/>
    <w:rsid w:val="1C8F4ABB"/>
    <w:rsid w:val="1C952AB3"/>
    <w:rsid w:val="1C956BC8"/>
    <w:rsid w:val="1C9C67A2"/>
    <w:rsid w:val="1CAA7D51"/>
    <w:rsid w:val="1CB05319"/>
    <w:rsid w:val="1CBD7190"/>
    <w:rsid w:val="1CC3340E"/>
    <w:rsid w:val="1CC546AE"/>
    <w:rsid w:val="1CCF02CC"/>
    <w:rsid w:val="1CD31305"/>
    <w:rsid w:val="1CD421CB"/>
    <w:rsid w:val="1CDF10D7"/>
    <w:rsid w:val="1CE2035C"/>
    <w:rsid w:val="1CEB0397"/>
    <w:rsid w:val="1CEE19CF"/>
    <w:rsid w:val="1CF14289"/>
    <w:rsid w:val="1CF856EE"/>
    <w:rsid w:val="1CFB5BE1"/>
    <w:rsid w:val="1D1627D8"/>
    <w:rsid w:val="1D24084E"/>
    <w:rsid w:val="1D257F3B"/>
    <w:rsid w:val="1D296BA9"/>
    <w:rsid w:val="1D2E200C"/>
    <w:rsid w:val="1D362F5F"/>
    <w:rsid w:val="1D3A2841"/>
    <w:rsid w:val="1D3C508E"/>
    <w:rsid w:val="1D4D24B3"/>
    <w:rsid w:val="1D5151A7"/>
    <w:rsid w:val="1D5C3400"/>
    <w:rsid w:val="1D677EE4"/>
    <w:rsid w:val="1D6B23A8"/>
    <w:rsid w:val="1D7934CE"/>
    <w:rsid w:val="1D8B7974"/>
    <w:rsid w:val="1D901CCD"/>
    <w:rsid w:val="1D942025"/>
    <w:rsid w:val="1DA71F47"/>
    <w:rsid w:val="1DAA50FC"/>
    <w:rsid w:val="1DB07F4E"/>
    <w:rsid w:val="1DB14B01"/>
    <w:rsid w:val="1DB14E68"/>
    <w:rsid w:val="1DBA66BC"/>
    <w:rsid w:val="1DBC080D"/>
    <w:rsid w:val="1DC25201"/>
    <w:rsid w:val="1DC55B33"/>
    <w:rsid w:val="1DCA41FB"/>
    <w:rsid w:val="1DD55EB7"/>
    <w:rsid w:val="1DD74991"/>
    <w:rsid w:val="1DE4706D"/>
    <w:rsid w:val="1DF27D69"/>
    <w:rsid w:val="1DF3687A"/>
    <w:rsid w:val="1DFC1159"/>
    <w:rsid w:val="1DFD3206"/>
    <w:rsid w:val="1DFD5117"/>
    <w:rsid w:val="1DFE2117"/>
    <w:rsid w:val="1E087A39"/>
    <w:rsid w:val="1E095C8F"/>
    <w:rsid w:val="1E0F3D4E"/>
    <w:rsid w:val="1E120081"/>
    <w:rsid w:val="1E154A9C"/>
    <w:rsid w:val="1E214248"/>
    <w:rsid w:val="1E2823D7"/>
    <w:rsid w:val="1E2B7111"/>
    <w:rsid w:val="1E2F69E1"/>
    <w:rsid w:val="1E3235D1"/>
    <w:rsid w:val="1E333E27"/>
    <w:rsid w:val="1E3C56C7"/>
    <w:rsid w:val="1E400281"/>
    <w:rsid w:val="1E4346AE"/>
    <w:rsid w:val="1E4449B6"/>
    <w:rsid w:val="1E480D17"/>
    <w:rsid w:val="1E492E65"/>
    <w:rsid w:val="1E4D539F"/>
    <w:rsid w:val="1E4F49AE"/>
    <w:rsid w:val="1E567B72"/>
    <w:rsid w:val="1E581A00"/>
    <w:rsid w:val="1E586961"/>
    <w:rsid w:val="1E5C7688"/>
    <w:rsid w:val="1E626576"/>
    <w:rsid w:val="1E6A6661"/>
    <w:rsid w:val="1E7B7095"/>
    <w:rsid w:val="1E7D440E"/>
    <w:rsid w:val="1E7F4130"/>
    <w:rsid w:val="1E805E80"/>
    <w:rsid w:val="1E852FB9"/>
    <w:rsid w:val="1E8A4A19"/>
    <w:rsid w:val="1E8D3A35"/>
    <w:rsid w:val="1E8F2D24"/>
    <w:rsid w:val="1E9271ED"/>
    <w:rsid w:val="1E960C24"/>
    <w:rsid w:val="1E9B5F97"/>
    <w:rsid w:val="1EA2147E"/>
    <w:rsid w:val="1EA8545F"/>
    <w:rsid w:val="1EAD2567"/>
    <w:rsid w:val="1EB0620D"/>
    <w:rsid w:val="1EB61478"/>
    <w:rsid w:val="1EB718F8"/>
    <w:rsid w:val="1EBD0D53"/>
    <w:rsid w:val="1EC42035"/>
    <w:rsid w:val="1EC803D7"/>
    <w:rsid w:val="1ECB1AAB"/>
    <w:rsid w:val="1ECC6010"/>
    <w:rsid w:val="1ED156AB"/>
    <w:rsid w:val="1EE55B6A"/>
    <w:rsid w:val="1EF05139"/>
    <w:rsid w:val="1EF62798"/>
    <w:rsid w:val="1EFB54AE"/>
    <w:rsid w:val="1EFF4B2F"/>
    <w:rsid w:val="1F045698"/>
    <w:rsid w:val="1F047C64"/>
    <w:rsid w:val="1F1269A6"/>
    <w:rsid w:val="1F143189"/>
    <w:rsid w:val="1F17234F"/>
    <w:rsid w:val="1F211CF0"/>
    <w:rsid w:val="1F24392E"/>
    <w:rsid w:val="1F295EF2"/>
    <w:rsid w:val="1F2B3907"/>
    <w:rsid w:val="1F2D424B"/>
    <w:rsid w:val="1F2E774A"/>
    <w:rsid w:val="1F313039"/>
    <w:rsid w:val="1F332ED6"/>
    <w:rsid w:val="1F367904"/>
    <w:rsid w:val="1F3F63C8"/>
    <w:rsid w:val="1F480663"/>
    <w:rsid w:val="1F49071C"/>
    <w:rsid w:val="1F4D5DEF"/>
    <w:rsid w:val="1F575EBF"/>
    <w:rsid w:val="1F625DB9"/>
    <w:rsid w:val="1F685B79"/>
    <w:rsid w:val="1F6C05BE"/>
    <w:rsid w:val="1F6C11FB"/>
    <w:rsid w:val="1F736C5F"/>
    <w:rsid w:val="1F743FB9"/>
    <w:rsid w:val="1F8E3BC8"/>
    <w:rsid w:val="1F903920"/>
    <w:rsid w:val="1F943E0D"/>
    <w:rsid w:val="1F9A406B"/>
    <w:rsid w:val="1FA07CBB"/>
    <w:rsid w:val="1FA12C16"/>
    <w:rsid w:val="1FA629B9"/>
    <w:rsid w:val="1FAA324D"/>
    <w:rsid w:val="1FB13BD9"/>
    <w:rsid w:val="1FC165E2"/>
    <w:rsid w:val="1FC91768"/>
    <w:rsid w:val="1FCF69B8"/>
    <w:rsid w:val="1FD10B20"/>
    <w:rsid w:val="1FD11643"/>
    <w:rsid w:val="1FD761C2"/>
    <w:rsid w:val="1FDE3383"/>
    <w:rsid w:val="1FE62B24"/>
    <w:rsid w:val="1FE67C99"/>
    <w:rsid w:val="1FE850F1"/>
    <w:rsid w:val="1FEB6E1C"/>
    <w:rsid w:val="1FEB7530"/>
    <w:rsid w:val="1FEC6ABF"/>
    <w:rsid w:val="1FF33CFB"/>
    <w:rsid w:val="1FF75ECC"/>
    <w:rsid w:val="1FFE2344"/>
    <w:rsid w:val="1FFF7FC2"/>
    <w:rsid w:val="200F0D3F"/>
    <w:rsid w:val="20150AF2"/>
    <w:rsid w:val="201A47F7"/>
    <w:rsid w:val="2022352E"/>
    <w:rsid w:val="20237EAB"/>
    <w:rsid w:val="20251086"/>
    <w:rsid w:val="20282602"/>
    <w:rsid w:val="20286583"/>
    <w:rsid w:val="202B622B"/>
    <w:rsid w:val="202E1F81"/>
    <w:rsid w:val="20414994"/>
    <w:rsid w:val="2044637D"/>
    <w:rsid w:val="204C708B"/>
    <w:rsid w:val="20545F0F"/>
    <w:rsid w:val="20655E69"/>
    <w:rsid w:val="20671B32"/>
    <w:rsid w:val="206E665F"/>
    <w:rsid w:val="207655DF"/>
    <w:rsid w:val="20981239"/>
    <w:rsid w:val="20A40DCE"/>
    <w:rsid w:val="20B860E0"/>
    <w:rsid w:val="20BC234F"/>
    <w:rsid w:val="20CA4E2E"/>
    <w:rsid w:val="20D03B58"/>
    <w:rsid w:val="20E65D43"/>
    <w:rsid w:val="20ED7529"/>
    <w:rsid w:val="20EF3AFF"/>
    <w:rsid w:val="20F052B2"/>
    <w:rsid w:val="20F17F92"/>
    <w:rsid w:val="20FB4A48"/>
    <w:rsid w:val="210117C5"/>
    <w:rsid w:val="21047605"/>
    <w:rsid w:val="21091262"/>
    <w:rsid w:val="21107053"/>
    <w:rsid w:val="21186874"/>
    <w:rsid w:val="211E63BC"/>
    <w:rsid w:val="2120692E"/>
    <w:rsid w:val="21296D97"/>
    <w:rsid w:val="21365594"/>
    <w:rsid w:val="21366E27"/>
    <w:rsid w:val="21404FC4"/>
    <w:rsid w:val="2149264A"/>
    <w:rsid w:val="2149452E"/>
    <w:rsid w:val="21501D18"/>
    <w:rsid w:val="215522BF"/>
    <w:rsid w:val="21556E90"/>
    <w:rsid w:val="21595545"/>
    <w:rsid w:val="216033A3"/>
    <w:rsid w:val="216438B5"/>
    <w:rsid w:val="216D46E2"/>
    <w:rsid w:val="216F24AC"/>
    <w:rsid w:val="21701033"/>
    <w:rsid w:val="2172058A"/>
    <w:rsid w:val="218850A2"/>
    <w:rsid w:val="21885265"/>
    <w:rsid w:val="21A0144E"/>
    <w:rsid w:val="21A949EC"/>
    <w:rsid w:val="21AF239F"/>
    <w:rsid w:val="21B22166"/>
    <w:rsid w:val="21B87609"/>
    <w:rsid w:val="21BB5804"/>
    <w:rsid w:val="21BF30F9"/>
    <w:rsid w:val="21C6018C"/>
    <w:rsid w:val="21C952B1"/>
    <w:rsid w:val="21CB34F6"/>
    <w:rsid w:val="21DC001C"/>
    <w:rsid w:val="21DD670C"/>
    <w:rsid w:val="21DE4DAB"/>
    <w:rsid w:val="21DE5922"/>
    <w:rsid w:val="21E05C78"/>
    <w:rsid w:val="21EF3531"/>
    <w:rsid w:val="21F46074"/>
    <w:rsid w:val="22012448"/>
    <w:rsid w:val="22056652"/>
    <w:rsid w:val="220E06F7"/>
    <w:rsid w:val="22191C76"/>
    <w:rsid w:val="222E33D3"/>
    <w:rsid w:val="223A2512"/>
    <w:rsid w:val="223B4EAA"/>
    <w:rsid w:val="22414480"/>
    <w:rsid w:val="224156DA"/>
    <w:rsid w:val="22591886"/>
    <w:rsid w:val="225966ED"/>
    <w:rsid w:val="2260796F"/>
    <w:rsid w:val="226D4215"/>
    <w:rsid w:val="226F3B34"/>
    <w:rsid w:val="22702C66"/>
    <w:rsid w:val="22793A51"/>
    <w:rsid w:val="227C098D"/>
    <w:rsid w:val="22835FCB"/>
    <w:rsid w:val="22837BD7"/>
    <w:rsid w:val="22934AF3"/>
    <w:rsid w:val="22983618"/>
    <w:rsid w:val="22990403"/>
    <w:rsid w:val="22A25CBE"/>
    <w:rsid w:val="22AF54FE"/>
    <w:rsid w:val="22B93B33"/>
    <w:rsid w:val="22BC161D"/>
    <w:rsid w:val="22C01653"/>
    <w:rsid w:val="22FE3762"/>
    <w:rsid w:val="23044E1C"/>
    <w:rsid w:val="231A0CEA"/>
    <w:rsid w:val="231D6C02"/>
    <w:rsid w:val="231F6A45"/>
    <w:rsid w:val="232834E9"/>
    <w:rsid w:val="232E3B37"/>
    <w:rsid w:val="233314DF"/>
    <w:rsid w:val="233609E3"/>
    <w:rsid w:val="233628D5"/>
    <w:rsid w:val="234C7254"/>
    <w:rsid w:val="234D52B5"/>
    <w:rsid w:val="235177E9"/>
    <w:rsid w:val="23530438"/>
    <w:rsid w:val="236512A0"/>
    <w:rsid w:val="23714E4C"/>
    <w:rsid w:val="23741900"/>
    <w:rsid w:val="237B3CC9"/>
    <w:rsid w:val="239763D6"/>
    <w:rsid w:val="23A06BEB"/>
    <w:rsid w:val="23A35012"/>
    <w:rsid w:val="23C41A47"/>
    <w:rsid w:val="23C76655"/>
    <w:rsid w:val="23D65777"/>
    <w:rsid w:val="23D745BA"/>
    <w:rsid w:val="23DF6070"/>
    <w:rsid w:val="23EF43FF"/>
    <w:rsid w:val="23FA028D"/>
    <w:rsid w:val="23FE4EAD"/>
    <w:rsid w:val="240B4874"/>
    <w:rsid w:val="240D070C"/>
    <w:rsid w:val="240D7437"/>
    <w:rsid w:val="24136912"/>
    <w:rsid w:val="2423276B"/>
    <w:rsid w:val="24283AF2"/>
    <w:rsid w:val="24297CE0"/>
    <w:rsid w:val="24371EF7"/>
    <w:rsid w:val="243F0C18"/>
    <w:rsid w:val="244346AA"/>
    <w:rsid w:val="244539B9"/>
    <w:rsid w:val="244F27B6"/>
    <w:rsid w:val="24506E7F"/>
    <w:rsid w:val="24610DE7"/>
    <w:rsid w:val="246304AF"/>
    <w:rsid w:val="24632E3A"/>
    <w:rsid w:val="24644286"/>
    <w:rsid w:val="247843F2"/>
    <w:rsid w:val="247E7B6C"/>
    <w:rsid w:val="24845687"/>
    <w:rsid w:val="2489369A"/>
    <w:rsid w:val="24903B53"/>
    <w:rsid w:val="24943E2E"/>
    <w:rsid w:val="24AD5406"/>
    <w:rsid w:val="24AE46D7"/>
    <w:rsid w:val="24CF4092"/>
    <w:rsid w:val="24CF521F"/>
    <w:rsid w:val="24E41333"/>
    <w:rsid w:val="24E7164C"/>
    <w:rsid w:val="24EB6192"/>
    <w:rsid w:val="25027793"/>
    <w:rsid w:val="25032ED2"/>
    <w:rsid w:val="251B093B"/>
    <w:rsid w:val="25313AD0"/>
    <w:rsid w:val="25404C87"/>
    <w:rsid w:val="254E24A3"/>
    <w:rsid w:val="25632921"/>
    <w:rsid w:val="256F704A"/>
    <w:rsid w:val="257401F8"/>
    <w:rsid w:val="257C35DA"/>
    <w:rsid w:val="25913A1E"/>
    <w:rsid w:val="25956267"/>
    <w:rsid w:val="2596525F"/>
    <w:rsid w:val="25965A14"/>
    <w:rsid w:val="25A04E96"/>
    <w:rsid w:val="25A71CF8"/>
    <w:rsid w:val="25B12D8D"/>
    <w:rsid w:val="25B67607"/>
    <w:rsid w:val="25C44FD8"/>
    <w:rsid w:val="25D3542A"/>
    <w:rsid w:val="25D55DC4"/>
    <w:rsid w:val="25D63E91"/>
    <w:rsid w:val="25D8483A"/>
    <w:rsid w:val="25DA1D82"/>
    <w:rsid w:val="25DD07DA"/>
    <w:rsid w:val="25E5277F"/>
    <w:rsid w:val="25E77590"/>
    <w:rsid w:val="25F800AB"/>
    <w:rsid w:val="25FB77AD"/>
    <w:rsid w:val="25FC334E"/>
    <w:rsid w:val="25FE7724"/>
    <w:rsid w:val="2600164D"/>
    <w:rsid w:val="261220B7"/>
    <w:rsid w:val="26202902"/>
    <w:rsid w:val="26235B5A"/>
    <w:rsid w:val="262B3423"/>
    <w:rsid w:val="262F4698"/>
    <w:rsid w:val="26347232"/>
    <w:rsid w:val="26362AF4"/>
    <w:rsid w:val="26412199"/>
    <w:rsid w:val="264145FC"/>
    <w:rsid w:val="264810DC"/>
    <w:rsid w:val="264B4835"/>
    <w:rsid w:val="265866D3"/>
    <w:rsid w:val="26594A61"/>
    <w:rsid w:val="265C3B50"/>
    <w:rsid w:val="267576E6"/>
    <w:rsid w:val="267A4CCD"/>
    <w:rsid w:val="267E46DD"/>
    <w:rsid w:val="26A368E2"/>
    <w:rsid w:val="26A717B5"/>
    <w:rsid w:val="26AC741C"/>
    <w:rsid w:val="26B056AF"/>
    <w:rsid w:val="26B219AC"/>
    <w:rsid w:val="26CC3ADC"/>
    <w:rsid w:val="26CC7E59"/>
    <w:rsid w:val="26CD5829"/>
    <w:rsid w:val="26DB64CD"/>
    <w:rsid w:val="26E147BC"/>
    <w:rsid w:val="26E47D8D"/>
    <w:rsid w:val="26FF6113"/>
    <w:rsid w:val="270E407A"/>
    <w:rsid w:val="2710459F"/>
    <w:rsid w:val="27142E29"/>
    <w:rsid w:val="27145C1A"/>
    <w:rsid w:val="27222C85"/>
    <w:rsid w:val="27456E88"/>
    <w:rsid w:val="274F0811"/>
    <w:rsid w:val="27605865"/>
    <w:rsid w:val="27613D33"/>
    <w:rsid w:val="27615587"/>
    <w:rsid w:val="27693816"/>
    <w:rsid w:val="276D1566"/>
    <w:rsid w:val="278E2202"/>
    <w:rsid w:val="2793564B"/>
    <w:rsid w:val="279369D8"/>
    <w:rsid w:val="279B21F2"/>
    <w:rsid w:val="279D0BD8"/>
    <w:rsid w:val="27A4391A"/>
    <w:rsid w:val="27A6071D"/>
    <w:rsid w:val="27A634EB"/>
    <w:rsid w:val="27B02F09"/>
    <w:rsid w:val="27B1626C"/>
    <w:rsid w:val="27C85780"/>
    <w:rsid w:val="27DE38C3"/>
    <w:rsid w:val="27E11CF3"/>
    <w:rsid w:val="27E4477D"/>
    <w:rsid w:val="27EA35C8"/>
    <w:rsid w:val="27F043F2"/>
    <w:rsid w:val="27F1767E"/>
    <w:rsid w:val="27F80B6E"/>
    <w:rsid w:val="28113954"/>
    <w:rsid w:val="28163E36"/>
    <w:rsid w:val="281962F8"/>
    <w:rsid w:val="281B1346"/>
    <w:rsid w:val="281B5731"/>
    <w:rsid w:val="281D1994"/>
    <w:rsid w:val="281E039D"/>
    <w:rsid w:val="2821615A"/>
    <w:rsid w:val="282955D1"/>
    <w:rsid w:val="28313102"/>
    <w:rsid w:val="28366ACE"/>
    <w:rsid w:val="283709C0"/>
    <w:rsid w:val="283B6759"/>
    <w:rsid w:val="28415631"/>
    <w:rsid w:val="28506D76"/>
    <w:rsid w:val="28736253"/>
    <w:rsid w:val="287871DB"/>
    <w:rsid w:val="2879458D"/>
    <w:rsid w:val="28906184"/>
    <w:rsid w:val="28947465"/>
    <w:rsid w:val="289E646D"/>
    <w:rsid w:val="28AE4A34"/>
    <w:rsid w:val="28AF5828"/>
    <w:rsid w:val="28B127F5"/>
    <w:rsid w:val="28BA4B87"/>
    <w:rsid w:val="28CD15CD"/>
    <w:rsid w:val="28D41021"/>
    <w:rsid w:val="28DD1C09"/>
    <w:rsid w:val="28EF46FA"/>
    <w:rsid w:val="28F506AE"/>
    <w:rsid w:val="28F80B30"/>
    <w:rsid w:val="28F831CE"/>
    <w:rsid w:val="28FF4D61"/>
    <w:rsid w:val="2902671B"/>
    <w:rsid w:val="290F77CE"/>
    <w:rsid w:val="291277E2"/>
    <w:rsid w:val="291C2789"/>
    <w:rsid w:val="29254D87"/>
    <w:rsid w:val="292B1120"/>
    <w:rsid w:val="292C2047"/>
    <w:rsid w:val="292D7719"/>
    <w:rsid w:val="29321722"/>
    <w:rsid w:val="29376198"/>
    <w:rsid w:val="294321AF"/>
    <w:rsid w:val="29447BA6"/>
    <w:rsid w:val="2945103F"/>
    <w:rsid w:val="294C6E76"/>
    <w:rsid w:val="295238F6"/>
    <w:rsid w:val="29607648"/>
    <w:rsid w:val="296248B4"/>
    <w:rsid w:val="29694B10"/>
    <w:rsid w:val="298D600B"/>
    <w:rsid w:val="299601E9"/>
    <w:rsid w:val="29A05404"/>
    <w:rsid w:val="29AF237A"/>
    <w:rsid w:val="29B11BC7"/>
    <w:rsid w:val="29BD73F6"/>
    <w:rsid w:val="29BE21E2"/>
    <w:rsid w:val="29D435BA"/>
    <w:rsid w:val="29DA31CC"/>
    <w:rsid w:val="29DD515A"/>
    <w:rsid w:val="29EA41FF"/>
    <w:rsid w:val="29ED6C85"/>
    <w:rsid w:val="29FC05F8"/>
    <w:rsid w:val="29FD3522"/>
    <w:rsid w:val="2A000BBA"/>
    <w:rsid w:val="2A00129D"/>
    <w:rsid w:val="2A0848FE"/>
    <w:rsid w:val="2A0A399E"/>
    <w:rsid w:val="2A0B6155"/>
    <w:rsid w:val="2A0B7941"/>
    <w:rsid w:val="2A0C1190"/>
    <w:rsid w:val="2A1F117C"/>
    <w:rsid w:val="2A1F27A5"/>
    <w:rsid w:val="2A200944"/>
    <w:rsid w:val="2A2E7D51"/>
    <w:rsid w:val="2A344D6E"/>
    <w:rsid w:val="2A395F26"/>
    <w:rsid w:val="2A595771"/>
    <w:rsid w:val="2A5B0295"/>
    <w:rsid w:val="2A60103C"/>
    <w:rsid w:val="2A66736B"/>
    <w:rsid w:val="2A6724C6"/>
    <w:rsid w:val="2A735624"/>
    <w:rsid w:val="2A7B2AC1"/>
    <w:rsid w:val="2A894D3E"/>
    <w:rsid w:val="2A904B8F"/>
    <w:rsid w:val="2AAF5AC1"/>
    <w:rsid w:val="2AB313D1"/>
    <w:rsid w:val="2AB5390D"/>
    <w:rsid w:val="2AB9422C"/>
    <w:rsid w:val="2ABF6BEC"/>
    <w:rsid w:val="2AC16FE3"/>
    <w:rsid w:val="2AC92F5B"/>
    <w:rsid w:val="2AD435BE"/>
    <w:rsid w:val="2AD5133C"/>
    <w:rsid w:val="2ADC6D2B"/>
    <w:rsid w:val="2ADD6438"/>
    <w:rsid w:val="2AE060A5"/>
    <w:rsid w:val="2AE30B82"/>
    <w:rsid w:val="2AEB0D01"/>
    <w:rsid w:val="2AEB77CD"/>
    <w:rsid w:val="2AFE0F41"/>
    <w:rsid w:val="2B087775"/>
    <w:rsid w:val="2B104A8F"/>
    <w:rsid w:val="2B1234AC"/>
    <w:rsid w:val="2B134D23"/>
    <w:rsid w:val="2B137F31"/>
    <w:rsid w:val="2B162707"/>
    <w:rsid w:val="2B1763E8"/>
    <w:rsid w:val="2B234F45"/>
    <w:rsid w:val="2B2C22CD"/>
    <w:rsid w:val="2B30453E"/>
    <w:rsid w:val="2B3D6701"/>
    <w:rsid w:val="2B405D02"/>
    <w:rsid w:val="2B42022D"/>
    <w:rsid w:val="2B4C657B"/>
    <w:rsid w:val="2B4D620C"/>
    <w:rsid w:val="2B743D1D"/>
    <w:rsid w:val="2B7644F6"/>
    <w:rsid w:val="2B826277"/>
    <w:rsid w:val="2B8320A3"/>
    <w:rsid w:val="2B8A61A1"/>
    <w:rsid w:val="2B8C61BB"/>
    <w:rsid w:val="2B8E2DAA"/>
    <w:rsid w:val="2B8F2464"/>
    <w:rsid w:val="2B9165DE"/>
    <w:rsid w:val="2B9A1C37"/>
    <w:rsid w:val="2B9F2DEB"/>
    <w:rsid w:val="2BA54612"/>
    <w:rsid w:val="2BAE70BF"/>
    <w:rsid w:val="2BB403C9"/>
    <w:rsid w:val="2BBA6442"/>
    <w:rsid w:val="2BC466F4"/>
    <w:rsid w:val="2BC9055B"/>
    <w:rsid w:val="2BCE094F"/>
    <w:rsid w:val="2BD26A12"/>
    <w:rsid w:val="2BE07659"/>
    <w:rsid w:val="2BE52092"/>
    <w:rsid w:val="2BF76B8E"/>
    <w:rsid w:val="2BF83124"/>
    <w:rsid w:val="2C01276B"/>
    <w:rsid w:val="2C1F6DBF"/>
    <w:rsid w:val="2C2349AC"/>
    <w:rsid w:val="2C2E6CF3"/>
    <w:rsid w:val="2C344030"/>
    <w:rsid w:val="2C3A71D3"/>
    <w:rsid w:val="2C3F5021"/>
    <w:rsid w:val="2C48200F"/>
    <w:rsid w:val="2C4B5BE8"/>
    <w:rsid w:val="2C550383"/>
    <w:rsid w:val="2C65636A"/>
    <w:rsid w:val="2C667873"/>
    <w:rsid w:val="2C6C08EC"/>
    <w:rsid w:val="2C7605FC"/>
    <w:rsid w:val="2C854F81"/>
    <w:rsid w:val="2C866474"/>
    <w:rsid w:val="2C8803ED"/>
    <w:rsid w:val="2C960A6A"/>
    <w:rsid w:val="2C981A8D"/>
    <w:rsid w:val="2CA25B64"/>
    <w:rsid w:val="2CB62571"/>
    <w:rsid w:val="2CB82A3D"/>
    <w:rsid w:val="2CBA763A"/>
    <w:rsid w:val="2CBB3CE3"/>
    <w:rsid w:val="2CC63EFE"/>
    <w:rsid w:val="2CCA3998"/>
    <w:rsid w:val="2CD9461D"/>
    <w:rsid w:val="2CDD5941"/>
    <w:rsid w:val="2CE65D39"/>
    <w:rsid w:val="2CED3E98"/>
    <w:rsid w:val="2CED47FF"/>
    <w:rsid w:val="2CEE7FE9"/>
    <w:rsid w:val="2CFE15C3"/>
    <w:rsid w:val="2D0547E8"/>
    <w:rsid w:val="2D124A45"/>
    <w:rsid w:val="2D1B17F9"/>
    <w:rsid w:val="2D1D1DB3"/>
    <w:rsid w:val="2D2D2866"/>
    <w:rsid w:val="2D2D2F6A"/>
    <w:rsid w:val="2D3E11C9"/>
    <w:rsid w:val="2D406FBC"/>
    <w:rsid w:val="2D453E76"/>
    <w:rsid w:val="2D5A1AE0"/>
    <w:rsid w:val="2D5E0C36"/>
    <w:rsid w:val="2D681703"/>
    <w:rsid w:val="2D682D77"/>
    <w:rsid w:val="2D774DD8"/>
    <w:rsid w:val="2D7A32D3"/>
    <w:rsid w:val="2D9143B8"/>
    <w:rsid w:val="2D921205"/>
    <w:rsid w:val="2DA848E3"/>
    <w:rsid w:val="2DBA5BB0"/>
    <w:rsid w:val="2DC13BD5"/>
    <w:rsid w:val="2DC67A4A"/>
    <w:rsid w:val="2DC87B07"/>
    <w:rsid w:val="2DCA2769"/>
    <w:rsid w:val="2DD5581D"/>
    <w:rsid w:val="2DE306E2"/>
    <w:rsid w:val="2DEE4499"/>
    <w:rsid w:val="2DF133AE"/>
    <w:rsid w:val="2DF3327C"/>
    <w:rsid w:val="2E0E33F9"/>
    <w:rsid w:val="2E121BEB"/>
    <w:rsid w:val="2E1906B9"/>
    <w:rsid w:val="2E202325"/>
    <w:rsid w:val="2E2B2415"/>
    <w:rsid w:val="2E2E4BCE"/>
    <w:rsid w:val="2E2F26EB"/>
    <w:rsid w:val="2E4C3696"/>
    <w:rsid w:val="2E4F72DE"/>
    <w:rsid w:val="2E6C6A33"/>
    <w:rsid w:val="2E6D4110"/>
    <w:rsid w:val="2E753222"/>
    <w:rsid w:val="2E7A7CB1"/>
    <w:rsid w:val="2E7F5D86"/>
    <w:rsid w:val="2E9066AF"/>
    <w:rsid w:val="2EA37237"/>
    <w:rsid w:val="2EA84BF2"/>
    <w:rsid w:val="2EAA1AD0"/>
    <w:rsid w:val="2EAC5C40"/>
    <w:rsid w:val="2EB011EC"/>
    <w:rsid w:val="2EB05842"/>
    <w:rsid w:val="2EB66431"/>
    <w:rsid w:val="2EB735A9"/>
    <w:rsid w:val="2ECC0F67"/>
    <w:rsid w:val="2ECC1DE7"/>
    <w:rsid w:val="2ECF195C"/>
    <w:rsid w:val="2ED44507"/>
    <w:rsid w:val="2ED776D7"/>
    <w:rsid w:val="2EDA7062"/>
    <w:rsid w:val="2EDD0C91"/>
    <w:rsid w:val="2EF02C01"/>
    <w:rsid w:val="2EF04710"/>
    <w:rsid w:val="2EF56E81"/>
    <w:rsid w:val="2F060F54"/>
    <w:rsid w:val="2F064CB7"/>
    <w:rsid w:val="2F1E002F"/>
    <w:rsid w:val="2F21419F"/>
    <w:rsid w:val="2F245E39"/>
    <w:rsid w:val="2F2D02A8"/>
    <w:rsid w:val="2F306727"/>
    <w:rsid w:val="2F357A11"/>
    <w:rsid w:val="2F4C25F7"/>
    <w:rsid w:val="2F6960F9"/>
    <w:rsid w:val="2F6D5B97"/>
    <w:rsid w:val="2F7E2F02"/>
    <w:rsid w:val="2F961524"/>
    <w:rsid w:val="2F9C7047"/>
    <w:rsid w:val="2FA272F3"/>
    <w:rsid w:val="2FA64336"/>
    <w:rsid w:val="2FA7314F"/>
    <w:rsid w:val="2FA843B8"/>
    <w:rsid w:val="2FAF269D"/>
    <w:rsid w:val="2FB06DDD"/>
    <w:rsid w:val="2FB52FDD"/>
    <w:rsid w:val="2FB6169F"/>
    <w:rsid w:val="2FBA4E94"/>
    <w:rsid w:val="2FBD41EE"/>
    <w:rsid w:val="2FC321C8"/>
    <w:rsid w:val="2FD516FD"/>
    <w:rsid w:val="2FD87D82"/>
    <w:rsid w:val="2FEB1E9F"/>
    <w:rsid w:val="2FED0C50"/>
    <w:rsid w:val="2FFD5E22"/>
    <w:rsid w:val="300A1030"/>
    <w:rsid w:val="301272EB"/>
    <w:rsid w:val="30175BF1"/>
    <w:rsid w:val="301A3A70"/>
    <w:rsid w:val="30216188"/>
    <w:rsid w:val="30284E78"/>
    <w:rsid w:val="302C657B"/>
    <w:rsid w:val="303A3EBD"/>
    <w:rsid w:val="303F6891"/>
    <w:rsid w:val="30455BCF"/>
    <w:rsid w:val="3047694D"/>
    <w:rsid w:val="30556E1D"/>
    <w:rsid w:val="305A6FA0"/>
    <w:rsid w:val="305F0FBB"/>
    <w:rsid w:val="30735573"/>
    <w:rsid w:val="30780926"/>
    <w:rsid w:val="307910F0"/>
    <w:rsid w:val="30860ED9"/>
    <w:rsid w:val="30922A8B"/>
    <w:rsid w:val="30942A4F"/>
    <w:rsid w:val="30A315D0"/>
    <w:rsid w:val="30A8761B"/>
    <w:rsid w:val="30B241F8"/>
    <w:rsid w:val="30B945E2"/>
    <w:rsid w:val="30EA3852"/>
    <w:rsid w:val="30F024AC"/>
    <w:rsid w:val="30F11151"/>
    <w:rsid w:val="31012E47"/>
    <w:rsid w:val="31020853"/>
    <w:rsid w:val="31035BE8"/>
    <w:rsid w:val="3113711D"/>
    <w:rsid w:val="312671FB"/>
    <w:rsid w:val="312B4316"/>
    <w:rsid w:val="313D7139"/>
    <w:rsid w:val="31441466"/>
    <w:rsid w:val="31471E27"/>
    <w:rsid w:val="314E34B0"/>
    <w:rsid w:val="315C6FBD"/>
    <w:rsid w:val="315F198E"/>
    <w:rsid w:val="31600F98"/>
    <w:rsid w:val="316437CC"/>
    <w:rsid w:val="31707887"/>
    <w:rsid w:val="31744352"/>
    <w:rsid w:val="318219F4"/>
    <w:rsid w:val="318E29B1"/>
    <w:rsid w:val="31903F88"/>
    <w:rsid w:val="319C5890"/>
    <w:rsid w:val="31B26DE1"/>
    <w:rsid w:val="31BB5152"/>
    <w:rsid w:val="31D3034A"/>
    <w:rsid w:val="31DB1C29"/>
    <w:rsid w:val="31E33A48"/>
    <w:rsid w:val="31E60CFE"/>
    <w:rsid w:val="31EC0213"/>
    <w:rsid w:val="31F40EBF"/>
    <w:rsid w:val="31FA7AE4"/>
    <w:rsid w:val="31FC2134"/>
    <w:rsid w:val="31FC3BA3"/>
    <w:rsid w:val="31FF6C94"/>
    <w:rsid w:val="32000541"/>
    <w:rsid w:val="32037175"/>
    <w:rsid w:val="32147E64"/>
    <w:rsid w:val="321605D6"/>
    <w:rsid w:val="321E1CCD"/>
    <w:rsid w:val="32201EB1"/>
    <w:rsid w:val="32204D8F"/>
    <w:rsid w:val="32285D0E"/>
    <w:rsid w:val="32295F0C"/>
    <w:rsid w:val="322F2FA1"/>
    <w:rsid w:val="32327C9B"/>
    <w:rsid w:val="32385D9A"/>
    <w:rsid w:val="324004E7"/>
    <w:rsid w:val="32533B90"/>
    <w:rsid w:val="32695D76"/>
    <w:rsid w:val="32716F47"/>
    <w:rsid w:val="32815CDC"/>
    <w:rsid w:val="32894C60"/>
    <w:rsid w:val="328C0346"/>
    <w:rsid w:val="329D4BAF"/>
    <w:rsid w:val="32B10D88"/>
    <w:rsid w:val="32B700A5"/>
    <w:rsid w:val="32C64066"/>
    <w:rsid w:val="32CF1F8C"/>
    <w:rsid w:val="32D524DF"/>
    <w:rsid w:val="32D637E5"/>
    <w:rsid w:val="32DD4096"/>
    <w:rsid w:val="32E21F5C"/>
    <w:rsid w:val="32EE2A7C"/>
    <w:rsid w:val="32F30BD9"/>
    <w:rsid w:val="32F43194"/>
    <w:rsid w:val="32F5755F"/>
    <w:rsid w:val="33062612"/>
    <w:rsid w:val="330812C9"/>
    <w:rsid w:val="331002B4"/>
    <w:rsid w:val="3312325A"/>
    <w:rsid w:val="33227F58"/>
    <w:rsid w:val="332D4F12"/>
    <w:rsid w:val="33371FF3"/>
    <w:rsid w:val="333726AC"/>
    <w:rsid w:val="334005F0"/>
    <w:rsid w:val="33470D22"/>
    <w:rsid w:val="33504770"/>
    <w:rsid w:val="33555462"/>
    <w:rsid w:val="33617365"/>
    <w:rsid w:val="3366492B"/>
    <w:rsid w:val="33664D8B"/>
    <w:rsid w:val="336925B2"/>
    <w:rsid w:val="33762148"/>
    <w:rsid w:val="3383188D"/>
    <w:rsid w:val="338F73C7"/>
    <w:rsid w:val="33BE2D7C"/>
    <w:rsid w:val="33D1362B"/>
    <w:rsid w:val="33D8164E"/>
    <w:rsid w:val="33DF56D3"/>
    <w:rsid w:val="33DF6B01"/>
    <w:rsid w:val="33DF75A0"/>
    <w:rsid w:val="33E27654"/>
    <w:rsid w:val="33E349B8"/>
    <w:rsid w:val="33E72FCB"/>
    <w:rsid w:val="33EF1DED"/>
    <w:rsid w:val="33F2140B"/>
    <w:rsid w:val="33F437B7"/>
    <w:rsid w:val="33F85FC9"/>
    <w:rsid w:val="33FF49A2"/>
    <w:rsid w:val="340C4AC9"/>
    <w:rsid w:val="341262AE"/>
    <w:rsid w:val="341F1A30"/>
    <w:rsid w:val="342668A5"/>
    <w:rsid w:val="342E6630"/>
    <w:rsid w:val="343334AC"/>
    <w:rsid w:val="343879D0"/>
    <w:rsid w:val="3439314A"/>
    <w:rsid w:val="343E0FBB"/>
    <w:rsid w:val="34403A44"/>
    <w:rsid w:val="34562C09"/>
    <w:rsid w:val="345A6FE9"/>
    <w:rsid w:val="34612406"/>
    <w:rsid w:val="346E73FC"/>
    <w:rsid w:val="347316A2"/>
    <w:rsid w:val="34802B3D"/>
    <w:rsid w:val="34953A04"/>
    <w:rsid w:val="34982DFD"/>
    <w:rsid w:val="34A0749C"/>
    <w:rsid w:val="34A15869"/>
    <w:rsid w:val="34A92DFF"/>
    <w:rsid w:val="34AF3832"/>
    <w:rsid w:val="34B17CAA"/>
    <w:rsid w:val="34B66B76"/>
    <w:rsid w:val="34BA6D44"/>
    <w:rsid w:val="34CA51DA"/>
    <w:rsid w:val="34CC7195"/>
    <w:rsid w:val="34D10023"/>
    <w:rsid w:val="34D649FA"/>
    <w:rsid w:val="34DE5B29"/>
    <w:rsid w:val="34DE7331"/>
    <w:rsid w:val="34E30CD9"/>
    <w:rsid w:val="34E31F70"/>
    <w:rsid w:val="34E33DD5"/>
    <w:rsid w:val="34E341B2"/>
    <w:rsid w:val="34EE2084"/>
    <w:rsid w:val="34F91BB5"/>
    <w:rsid w:val="34FD1993"/>
    <w:rsid w:val="350439E0"/>
    <w:rsid w:val="3507729A"/>
    <w:rsid w:val="35192B91"/>
    <w:rsid w:val="351B287B"/>
    <w:rsid w:val="3524430A"/>
    <w:rsid w:val="352D2404"/>
    <w:rsid w:val="352F215C"/>
    <w:rsid w:val="353436AE"/>
    <w:rsid w:val="353F0A1C"/>
    <w:rsid w:val="35416C31"/>
    <w:rsid w:val="355030F7"/>
    <w:rsid w:val="355E3681"/>
    <w:rsid w:val="355F614C"/>
    <w:rsid w:val="35686634"/>
    <w:rsid w:val="35694C0F"/>
    <w:rsid w:val="356D5162"/>
    <w:rsid w:val="35715820"/>
    <w:rsid w:val="357423CB"/>
    <w:rsid w:val="3578559C"/>
    <w:rsid w:val="357F5C75"/>
    <w:rsid w:val="358022F1"/>
    <w:rsid w:val="35802679"/>
    <w:rsid w:val="35885C28"/>
    <w:rsid w:val="358D2DD5"/>
    <w:rsid w:val="35D06592"/>
    <w:rsid w:val="35D4059F"/>
    <w:rsid w:val="35DB3448"/>
    <w:rsid w:val="35DC2577"/>
    <w:rsid w:val="35E33AC1"/>
    <w:rsid w:val="35EA3592"/>
    <w:rsid w:val="35FB3C7A"/>
    <w:rsid w:val="35FC68AF"/>
    <w:rsid w:val="36033620"/>
    <w:rsid w:val="360337E6"/>
    <w:rsid w:val="36035715"/>
    <w:rsid w:val="360B0C81"/>
    <w:rsid w:val="360E0DAB"/>
    <w:rsid w:val="36176A1A"/>
    <w:rsid w:val="3619666E"/>
    <w:rsid w:val="361D1595"/>
    <w:rsid w:val="361E3272"/>
    <w:rsid w:val="36255B69"/>
    <w:rsid w:val="36276CA7"/>
    <w:rsid w:val="36294F81"/>
    <w:rsid w:val="362E13CA"/>
    <w:rsid w:val="36383DCF"/>
    <w:rsid w:val="363C4EA0"/>
    <w:rsid w:val="363D6A73"/>
    <w:rsid w:val="364632D5"/>
    <w:rsid w:val="364843D5"/>
    <w:rsid w:val="3652617C"/>
    <w:rsid w:val="36546567"/>
    <w:rsid w:val="365D5FE6"/>
    <w:rsid w:val="366570F7"/>
    <w:rsid w:val="366A0349"/>
    <w:rsid w:val="3675224A"/>
    <w:rsid w:val="36756DF9"/>
    <w:rsid w:val="368C3573"/>
    <w:rsid w:val="36936857"/>
    <w:rsid w:val="369F25E5"/>
    <w:rsid w:val="36A77E02"/>
    <w:rsid w:val="36AF78C9"/>
    <w:rsid w:val="36B14D27"/>
    <w:rsid w:val="36B22808"/>
    <w:rsid w:val="36C565F7"/>
    <w:rsid w:val="36C74F90"/>
    <w:rsid w:val="36CA0E23"/>
    <w:rsid w:val="36D9508E"/>
    <w:rsid w:val="36E11F07"/>
    <w:rsid w:val="36F27CC4"/>
    <w:rsid w:val="36FA64BE"/>
    <w:rsid w:val="37045A7D"/>
    <w:rsid w:val="37096587"/>
    <w:rsid w:val="370A6345"/>
    <w:rsid w:val="371C513B"/>
    <w:rsid w:val="371F6089"/>
    <w:rsid w:val="37240372"/>
    <w:rsid w:val="37290B8B"/>
    <w:rsid w:val="37340428"/>
    <w:rsid w:val="3743288F"/>
    <w:rsid w:val="37470BC4"/>
    <w:rsid w:val="374D62E6"/>
    <w:rsid w:val="3754662E"/>
    <w:rsid w:val="376904C3"/>
    <w:rsid w:val="37690531"/>
    <w:rsid w:val="3773597D"/>
    <w:rsid w:val="37766721"/>
    <w:rsid w:val="37772F2B"/>
    <w:rsid w:val="377A149C"/>
    <w:rsid w:val="377F0D0E"/>
    <w:rsid w:val="378A672E"/>
    <w:rsid w:val="379D211A"/>
    <w:rsid w:val="379D4807"/>
    <w:rsid w:val="379E09C2"/>
    <w:rsid w:val="37A752F6"/>
    <w:rsid w:val="37AA27A7"/>
    <w:rsid w:val="37AB4059"/>
    <w:rsid w:val="37AE474D"/>
    <w:rsid w:val="37B043DC"/>
    <w:rsid w:val="37B37ED1"/>
    <w:rsid w:val="37B55F3C"/>
    <w:rsid w:val="37B55FE8"/>
    <w:rsid w:val="37BD3EBD"/>
    <w:rsid w:val="37CE60D7"/>
    <w:rsid w:val="37E17697"/>
    <w:rsid w:val="37EA3230"/>
    <w:rsid w:val="37ED4DF0"/>
    <w:rsid w:val="37F25B05"/>
    <w:rsid w:val="37F61EA2"/>
    <w:rsid w:val="37FC2195"/>
    <w:rsid w:val="380E2BE8"/>
    <w:rsid w:val="38153EC9"/>
    <w:rsid w:val="381649B9"/>
    <w:rsid w:val="381F2660"/>
    <w:rsid w:val="382361BE"/>
    <w:rsid w:val="38272CB3"/>
    <w:rsid w:val="382B190D"/>
    <w:rsid w:val="382F7DD9"/>
    <w:rsid w:val="3830741F"/>
    <w:rsid w:val="383430F6"/>
    <w:rsid w:val="38385C8E"/>
    <w:rsid w:val="38492A12"/>
    <w:rsid w:val="384D5CD6"/>
    <w:rsid w:val="38590130"/>
    <w:rsid w:val="38652F10"/>
    <w:rsid w:val="38692DC2"/>
    <w:rsid w:val="386E7865"/>
    <w:rsid w:val="38710F80"/>
    <w:rsid w:val="38854931"/>
    <w:rsid w:val="38876662"/>
    <w:rsid w:val="38A856AE"/>
    <w:rsid w:val="38A913DF"/>
    <w:rsid w:val="38B61F16"/>
    <w:rsid w:val="38B83CC2"/>
    <w:rsid w:val="38C263D5"/>
    <w:rsid w:val="38CF6F59"/>
    <w:rsid w:val="38D9610A"/>
    <w:rsid w:val="38E012A6"/>
    <w:rsid w:val="38EB5B4E"/>
    <w:rsid w:val="38F265C1"/>
    <w:rsid w:val="38F3141E"/>
    <w:rsid w:val="38FC0896"/>
    <w:rsid w:val="38FF383F"/>
    <w:rsid w:val="39051112"/>
    <w:rsid w:val="39193EEF"/>
    <w:rsid w:val="391D0413"/>
    <w:rsid w:val="39222C6C"/>
    <w:rsid w:val="39303757"/>
    <w:rsid w:val="393C3933"/>
    <w:rsid w:val="393E7AFF"/>
    <w:rsid w:val="394A08DF"/>
    <w:rsid w:val="39540564"/>
    <w:rsid w:val="3958186D"/>
    <w:rsid w:val="395E59EA"/>
    <w:rsid w:val="39623F6A"/>
    <w:rsid w:val="396B3238"/>
    <w:rsid w:val="397B51C6"/>
    <w:rsid w:val="39815A0D"/>
    <w:rsid w:val="39920034"/>
    <w:rsid w:val="39923F4F"/>
    <w:rsid w:val="39946C1A"/>
    <w:rsid w:val="39965487"/>
    <w:rsid w:val="399B6515"/>
    <w:rsid w:val="399C2E82"/>
    <w:rsid w:val="39B573C9"/>
    <w:rsid w:val="39BB4354"/>
    <w:rsid w:val="39D45A96"/>
    <w:rsid w:val="39DD1893"/>
    <w:rsid w:val="39E80AD3"/>
    <w:rsid w:val="39EE7E69"/>
    <w:rsid w:val="39FC1B8D"/>
    <w:rsid w:val="3A044468"/>
    <w:rsid w:val="3A0F4B50"/>
    <w:rsid w:val="3A0F5361"/>
    <w:rsid w:val="3A16079B"/>
    <w:rsid w:val="3A1D3F5D"/>
    <w:rsid w:val="3A2013D8"/>
    <w:rsid w:val="3A4045BF"/>
    <w:rsid w:val="3A421264"/>
    <w:rsid w:val="3A4829FF"/>
    <w:rsid w:val="3A517C08"/>
    <w:rsid w:val="3A5E74E3"/>
    <w:rsid w:val="3A63286A"/>
    <w:rsid w:val="3A7A7125"/>
    <w:rsid w:val="3A8474CB"/>
    <w:rsid w:val="3A8B1822"/>
    <w:rsid w:val="3A8D4FA2"/>
    <w:rsid w:val="3A917BDF"/>
    <w:rsid w:val="3A972235"/>
    <w:rsid w:val="3A9F60B0"/>
    <w:rsid w:val="3AA36500"/>
    <w:rsid w:val="3AA77216"/>
    <w:rsid w:val="3AAB4A2F"/>
    <w:rsid w:val="3AAD7FA8"/>
    <w:rsid w:val="3AB25874"/>
    <w:rsid w:val="3AB30469"/>
    <w:rsid w:val="3AB574C9"/>
    <w:rsid w:val="3AC60B38"/>
    <w:rsid w:val="3AC70D44"/>
    <w:rsid w:val="3ACE3DC8"/>
    <w:rsid w:val="3AD6560D"/>
    <w:rsid w:val="3AD71199"/>
    <w:rsid w:val="3ADF7E46"/>
    <w:rsid w:val="3AE76D1F"/>
    <w:rsid w:val="3AEE5E4E"/>
    <w:rsid w:val="3AF20562"/>
    <w:rsid w:val="3AF642A7"/>
    <w:rsid w:val="3AF77E9E"/>
    <w:rsid w:val="3AFB7C6B"/>
    <w:rsid w:val="3B005D39"/>
    <w:rsid w:val="3B0277D2"/>
    <w:rsid w:val="3B073E93"/>
    <w:rsid w:val="3B120DF1"/>
    <w:rsid w:val="3B124F8D"/>
    <w:rsid w:val="3B2C5D00"/>
    <w:rsid w:val="3B385E12"/>
    <w:rsid w:val="3B456F34"/>
    <w:rsid w:val="3B4B41C9"/>
    <w:rsid w:val="3B523060"/>
    <w:rsid w:val="3B5D50F9"/>
    <w:rsid w:val="3B5F41EE"/>
    <w:rsid w:val="3B672946"/>
    <w:rsid w:val="3B6C320A"/>
    <w:rsid w:val="3B6C3950"/>
    <w:rsid w:val="3B712133"/>
    <w:rsid w:val="3B8B7C9A"/>
    <w:rsid w:val="3B9A1857"/>
    <w:rsid w:val="3BA343B0"/>
    <w:rsid w:val="3BA75BF3"/>
    <w:rsid w:val="3BA87966"/>
    <w:rsid w:val="3BB524E1"/>
    <w:rsid w:val="3BBA7FBF"/>
    <w:rsid w:val="3BBC1DF4"/>
    <w:rsid w:val="3BBF56C8"/>
    <w:rsid w:val="3BBF5C68"/>
    <w:rsid w:val="3BC06023"/>
    <w:rsid w:val="3BC369E8"/>
    <w:rsid w:val="3BCC1641"/>
    <w:rsid w:val="3BDF69B4"/>
    <w:rsid w:val="3BE7184E"/>
    <w:rsid w:val="3C115781"/>
    <w:rsid w:val="3C1367BD"/>
    <w:rsid w:val="3C1676A3"/>
    <w:rsid w:val="3C185B84"/>
    <w:rsid w:val="3C2239FF"/>
    <w:rsid w:val="3C3E46FA"/>
    <w:rsid w:val="3C4661A3"/>
    <w:rsid w:val="3C4749EB"/>
    <w:rsid w:val="3C5535EC"/>
    <w:rsid w:val="3C682163"/>
    <w:rsid w:val="3C8750C1"/>
    <w:rsid w:val="3C8A5FFE"/>
    <w:rsid w:val="3C955F92"/>
    <w:rsid w:val="3C96708B"/>
    <w:rsid w:val="3CA42C7D"/>
    <w:rsid w:val="3CB31F74"/>
    <w:rsid w:val="3CB509EF"/>
    <w:rsid w:val="3CC746A3"/>
    <w:rsid w:val="3CCA6C4E"/>
    <w:rsid w:val="3CD17C3D"/>
    <w:rsid w:val="3CF4787E"/>
    <w:rsid w:val="3D040EBB"/>
    <w:rsid w:val="3D0E2B9E"/>
    <w:rsid w:val="3D126922"/>
    <w:rsid w:val="3D1C5F57"/>
    <w:rsid w:val="3D22507F"/>
    <w:rsid w:val="3D2E1F29"/>
    <w:rsid w:val="3D411577"/>
    <w:rsid w:val="3D4272C4"/>
    <w:rsid w:val="3D470C74"/>
    <w:rsid w:val="3D49282B"/>
    <w:rsid w:val="3D496987"/>
    <w:rsid w:val="3D4B7AF5"/>
    <w:rsid w:val="3D4C0A1A"/>
    <w:rsid w:val="3D4C39CC"/>
    <w:rsid w:val="3D56594E"/>
    <w:rsid w:val="3D6B65F6"/>
    <w:rsid w:val="3D6F475A"/>
    <w:rsid w:val="3D713608"/>
    <w:rsid w:val="3D7701A0"/>
    <w:rsid w:val="3D78424E"/>
    <w:rsid w:val="3D8B6FE3"/>
    <w:rsid w:val="3D940238"/>
    <w:rsid w:val="3D9833CE"/>
    <w:rsid w:val="3D9B5082"/>
    <w:rsid w:val="3DB525A0"/>
    <w:rsid w:val="3DC079A3"/>
    <w:rsid w:val="3DCE05EE"/>
    <w:rsid w:val="3DD024E6"/>
    <w:rsid w:val="3DD21338"/>
    <w:rsid w:val="3DD91A60"/>
    <w:rsid w:val="3DE2199A"/>
    <w:rsid w:val="3DE40378"/>
    <w:rsid w:val="3DF7034B"/>
    <w:rsid w:val="3DFB441D"/>
    <w:rsid w:val="3E1A2467"/>
    <w:rsid w:val="3E2143F9"/>
    <w:rsid w:val="3E272866"/>
    <w:rsid w:val="3E2944B3"/>
    <w:rsid w:val="3E2F2956"/>
    <w:rsid w:val="3E31273D"/>
    <w:rsid w:val="3E3A1A77"/>
    <w:rsid w:val="3E457049"/>
    <w:rsid w:val="3E492FED"/>
    <w:rsid w:val="3E4C5E37"/>
    <w:rsid w:val="3E625D19"/>
    <w:rsid w:val="3E7E69A2"/>
    <w:rsid w:val="3E835DCC"/>
    <w:rsid w:val="3E9E523D"/>
    <w:rsid w:val="3EB14609"/>
    <w:rsid w:val="3EBD2A6C"/>
    <w:rsid w:val="3EBE387E"/>
    <w:rsid w:val="3EC638C8"/>
    <w:rsid w:val="3EC7BA1D"/>
    <w:rsid w:val="3EDF2B9E"/>
    <w:rsid w:val="3EE207AE"/>
    <w:rsid w:val="3EE50194"/>
    <w:rsid w:val="3EE92838"/>
    <w:rsid w:val="3EEB00AB"/>
    <w:rsid w:val="3EED2218"/>
    <w:rsid w:val="3EEE5A25"/>
    <w:rsid w:val="3EFE150C"/>
    <w:rsid w:val="3EFF15A9"/>
    <w:rsid w:val="3F0B6FCF"/>
    <w:rsid w:val="3F155627"/>
    <w:rsid w:val="3F1718FD"/>
    <w:rsid w:val="3F2910A7"/>
    <w:rsid w:val="3F30039C"/>
    <w:rsid w:val="3F350AFB"/>
    <w:rsid w:val="3F367683"/>
    <w:rsid w:val="3F3A4ADF"/>
    <w:rsid w:val="3F3F17C3"/>
    <w:rsid w:val="3F4507E3"/>
    <w:rsid w:val="3F477D92"/>
    <w:rsid w:val="3F4E59AB"/>
    <w:rsid w:val="3F692368"/>
    <w:rsid w:val="3F723239"/>
    <w:rsid w:val="3F757288"/>
    <w:rsid w:val="3F867444"/>
    <w:rsid w:val="3F872F26"/>
    <w:rsid w:val="3F8A770C"/>
    <w:rsid w:val="3F9361A0"/>
    <w:rsid w:val="3F971E04"/>
    <w:rsid w:val="3F9C0DD8"/>
    <w:rsid w:val="3F9E0E59"/>
    <w:rsid w:val="3F9F449E"/>
    <w:rsid w:val="3FA05B97"/>
    <w:rsid w:val="3FB31BB8"/>
    <w:rsid w:val="3FB34CCA"/>
    <w:rsid w:val="3FB84B5C"/>
    <w:rsid w:val="3FCA764B"/>
    <w:rsid w:val="3FCC1562"/>
    <w:rsid w:val="3FE130D8"/>
    <w:rsid w:val="3FEA3965"/>
    <w:rsid w:val="3FEE3737"/>
    <w:rsid w:val="3FF21D03"/>
    <w:rsid w:val="3FF96283"/>
    <w:rsid w:val="40035F32"/>
    <w:rsid w:val="40063829"/>
    <w:rsid w:val="400845A5"/>
    <w:rsid w:val="400A26F9"/>
    <w:rsid w:val="40111CBE"/>
    <w:rsid w:val="40123638"/>
    <w:rsid w:val="401408D0"/>
    <w:rsid w:val="402A77D0"/>
    <w:rsid w:val="403209AD"/>
    <w:rsid w:val="40416887"/>
    <w:rsid w:val="40455626"/>
    <w:rsid w:val="40474188"/>
    <w:rsid w:val="405C72A2"/>
    <w:rsid w:val="406478FA"/>
    <w:rsid w:val="406B7573"/>
    <w:rsid w:val="406D2109"/>
    <w:rsid w:val="40747A76"/>
    <w:rsid w:val="407D7C33"/>
    <w:rsid w:val="40800996"/>
    <w:rsid w:val="40881A2C"/>
    <w:rsid w:val="40907EA2"/>
    <w:rsid w:val="40B84FEE"/>
    <w:rsid w:val="40B878A1"/>
    <w:rsid w:val="40C878F7"/>
    <w:rsid w:val="40D0556B"/>
    <w:rsid w:val="40D52441"/>
    <w:rsid w:val="40E60C95"/>
    <w:rsid w:val="40EA2436"/>
    <w:rsid w:val="40F064BA"/>
    <w:rsid w:val="40F34588"/>
    <w:rsid w:val="410560D4"/>
    <w:rsid w:val="41087A8E"/>
    <w:rsid w:val="4110070A"/>
    <w:rsid w:val="41103B79"/>
    <w:rsid w:val="41104931"/>
    <w:rsid w:val="41196FA3"/>
    <w:rsid w:val="412274DF"/>
    <w:rsid w:val="41390FE3"/>
    <w:rsid w:val="414609CE"/>
    <w:rsid w:val="414B61A3"/>
    <w:rsid w:val="41547BF2"/>
    <w:rsid w:val="416C04BF"/>
    <w:rsid w:val="41744F72"/>
    <w:rsid w:val="417A4FAC"/>
    <w:rsid w:val="41900C6E"/>
    <w:rsid w:val="41923271"/>
    <w:rsid w:val="419D7695"/>
    <w:rsid w:val="41A22AC5"/>
    <w:rsid w:val="41A81BA3"/>
    <w:rsid w:val="41AB76F5"/>
    <w:rsid w:val="41B05696"/>
    <w:rsid w:val="41B25AE3"/>
    <w:rsid w:val="41B8279D"/>
    <w:rsid w:val="41BE5422"/>
    <w:rsid w:val="41CB713C"/>
    <w:rsid w:val="41CE1D93"/>
    <w:rsid w:val="41D2291E"/>
    <w:rsid w:val="41DB5140"/>
    <w:rsid w:val="41DC5414"/>
    <w:rsid w:val="41E9706A"/>
    <w:rsid w:val="41EC6896"/>
    <w:rsid w:val="41FA32F9"/>
    <w:rsid w:val="41FE2DB3"/>
    <w:rsid w:val="41FF49CB"/>
    <w:rsid w:val="420E7A3F"/>
    <w:rsid w:val="423456A2"/>
    <w:rsid w:val="42352613"/>
    <w:rsid w:val="42385FB8"/>
    <w:rsid w:val="423A63B1"/>
    <w:rsid w:val="424C1BF3"/>
    <w:rsid w:val="42507954"/>
    <w:rsid w:val="4254247B"/>
    <w:rsid w:val="4256426A"/>
    <w:rsid w:val="425A06E3"/>
    <w:rsid w:val="42605BEB"/>
    <w:rsid w:val="4262689E"/>
    <w:rsid w:val="42687900"/>
    <w:rsid w:val="426D4CD7"/>
    <w:rsid w:val="427208A6"/>
    <w:rsid w:val="42762602"/>
    <w:rsid w:val="427F5004"/>
    <w:rsid w:val="428760C2"/>
    <w:rsid w:val="428D44BE"/>
    <w:rsid w:val="429D06DD"/>
    <w:rsid w:val="42A00190"/>
    <w:rsid w:val="42A66DC4"/>
    <w:rsid w:val="42A961FC"/>
    <w:rsid w:val="42B333EE"/>
    <w:rsid w:val="42B96507"/>
    <w:rsid w:val="42BD465F"/>
    <w:rsid w:val="42C61D58"/>
    <w:rsid w:val="42D642FC"/>
    <w:rsid w:val="42DC6E02"/>
    <w:rsid w:val="42DE33A8"/>
    <w:rsid w:val="42E000A1"/>
    <w:rsid w:val="42E5446F"/>
    <w:rsid w:val="42EE1830"/>
    <w:rsid w:val="42FF3B42"/>
    <w:rsid w:val="430200DB"/>
    <w:rsid w:val="430D70AE"/>
    <w:rsid w:val="4318259D"/>
    <w:rsid w:val="431D5EA7"/>
    <w:rsid w:val="431E00EC"/>
    <w:rsid w:val="4320226C"/>
    <w:rsid w:val="43255FDF"/>
    <w:rsid w:val="432648EC"/>
    <w:rsid w:val="43281EEE"/>
    <w:rsid w:val="432D2DA3"/>
    <w:rsid w:val="4335468F"/>
    <w:rsid w:val="43385011"/>
    <w:rsid w:val="4350603F"/>
    <w:rsid w:val="435447AE"/>
    <w:rsid w:val="43623003"/>
    <w:rsid w:val="43655275"/>
    <w:rsid w:val="43666411"/>
    <w:rsid w:val="436B1317"/>
    <w:rsid w:val="43780E1A"/>
    <w:rsid w:val="4379098C"/>
    <w:rsid w:val="437C437F"/>
    <w:rsid w:val="43815F36"/>
    <w:rsid w:val="43827139"/>
    <w:rsid w:val="438304AE"/>
    <w:rsid w:val="438B1A71"/>
    <w:rsid w:val="438D0C62"/>
    <w:rsid w:val="43A02015"/>
    <w:rsid w:val="43AD0613"/>
    <w:rsid w:val="43B04AF5"/>
    <w:rsid w:val="43B223CA"/>
    <w:rsid w:val="43B525EA"/>
    <w:rsid w:val="43BC6A95"/>
    <w:rsid w:val="43C1278A"/>
    <w:rsid w:val="43C449B2"/>
    <w:rsid w:val="43C867BD"/>
    <w:rsid w:val="43E43392"/>
    <w:rsid w:val="43E60D92"/>
    <w:rsid w:val="43E94B92"/>
    <w:rsid w:val="44026BA6"/>
    <w:rsid w:val="440E749A"/>
    <w:rsid w:val="441537CD"/>
    <w:rsid w:val="44160FFE"/>
    <w:rsid w:val="441E1BE8"/>
    <w:rsid w:val="442C6934"/>
    <w:rsid w:val="443679F9"/>
    <w:rsid w:val="443C6F99"/>
    <w:rsid w:val="444B2C7B"/>
    <w:rsid w:val="444B67CF"/>
    <w:rsid w:val="444D531B"/>
    <w:rsid w:val="4455304D"/>
    <w:rsid w:val="44560FD6"/>
    <w:rsid w:val="445C1054"/>
    <w:rsid w:val="446241F9"/>
    <w:rsid w:val="448036D3"/>
    <w:rsid w:val="44812D65"/>
    <w:rsid w:val="448575B5"/>
    <w:rsid w:val="448F6DA0"/>
    <w:rsid w:val="44903EB4"/>
    <w:rsid w:val="44A257EC"/>
    <w:rsid w:val="44B13C5A"/>
    <w:rsid w:val="44B35056"/>
    <w:rsid w:val="44B7469E"/>
    <w:rsid w:val="44C33BDD"/>
    <w:rsid w:val="44CC68F8"/>
    <w:rsid w:val="44D824DB"/>
    <w:rsid w:val="44D86010"/>
    <w:rsid w:val="44D86FE0"/>
    <w:rsid w:val="44DC43F4"/>
    <w:rsid w:val="44E13A9C"/>
    <w:rsid w:val="44F1005C"/>
    <w:rsid w:val="44F2725A"/>
    <w:rsid w:val="450515FF"/>
    <w:rsid w:val="450E44D2"/>
    <w:rsid w:val="4511207B"/>
    <w:rsid w:val="45156316"/>
    <w:rsid w:val="451A56BA"/>
    <w:rsid w:val="452528DF"/>
    <w:rsid w:val="452A0DFC"/>
    <w:rsid w:val="453341A8"/>
    <w:rsid w:val="453365AD"/>
    <w:rsid w:val="453513D9"/>
    <w:rsid w:val="454E30FE"/>
    <w:rsid w:val="45573124"/>
    <w:rsid w:val="456A07D0"/>
    <w:rsid w:val="456D693A"/>
    <w:rsid w:val="45731B3A"/>
    <w:rsid w:val="4575649F"/>
    <w:rsid w:val="457629E4"/>
    <w:rsid w:val="45881F68"/>
    <w:rsid w:val="45986889"/>
    <w:rsid w:val="45AA57DF"/>
    <w:rsid w:val="45AC6EE2"/>
    <w:rsid w:val="45AF7433"/>
    <w:rsid w:val="45BD54AA"/>
    <w:rsid w:val="45CE2F83"/>
    <w:rsid w:val="45D3371D"/>
    <w:rsid w:val="45D65CA7"/>
    <w:rsid w:val="45D97A24"/>
    <w:rsid w:val="45E575B9"/>
    <w:rsid w:val="45E77C9B"/>
    <w:rsid w:val="45EA23DF"/>
    <w:rsid w:val="45EC15A7"/>
    <w:rsid w:val="45EF1700"/>
    <w:rsid w:val="45F20990"/>
    <w:rsid w:val="45F73E00"/>
    <w:rsid w:val="45FC42FE"/>
    <w:rsid w:val="46064297"/>
    <w:rsid w:val="46082CDF"/>
    <w:rsid w:val="460918A2"/>
    <w:rsid w:val="460F40E6"/>
    <w:rsid w:val="46162F9D"/>
    <w:rsid w:val="461A2AA6"/>
    <w:rsid w:val="46231422"/>
    <w:rsid w:val="462314CB"/>
    <w:rsid w:val="46255291"/>
    <w:rsid w:val="46327CBF"/>
    <w:rsid w:val="46420F3F"/>
    <w:rsid w:val="4643528B"/>
    <w:rsid w:val="4647031D"/>
    <w:rsid w:val="46481E89"/>
    <w:rsid w:val="464B39AA"/>
    <w:rsid w:val="464D64AC"/>
    <w:rsid w:val="466405CE"/>
    <w:rsid w:val="46645A59"/>
    <w:rsid w:val="46672A82"/>
    <w:rsid w:val="466B2CE0"/>
    <w:rsid w:val="466E309D"/>
    <w:rsid w:val="467658C4"/>
    <w:rsid w:val="467676D8"/>
    <w:rsid w:val="468A764A"/>
    <w:rsid w:val="46956D61"/>
    <w:rsid w:val="4697357F"/>
    <w:rsid w:val="469E5F49"/>
    <w:rsid w:val="46A80977"/>
    <w:rsid w:val="46B51967"/>
    <w:rsid w:val="46B532A5"/>
    <w:rsid w:val="46B73860"/>
    <w:rsid w:val="46BA3535"/>
    <w:rsid w:val="46C06900"/>
    <w:rsid w:val="46CC73B9"/>
    <w:rsid w:val="46ED62C8"/>
    <w:rsid w:val="46FA769C"/>
    <w:rsid w:val="46FD6D15"/>
    <w:rsid w:val="47067B0D"/>
    <w:rsid w:val="47163FCD"/>
    <w:rsid w:val="471D1C3F"/>
    <w:rsid w:val="47205D8A"/>
    <w:rsid w:val="4732340F"/>
    <w:rsid w:val="47420BBA"/>
    <w:rsid w:val="47584802"/>
    <w:rsid w:val="475F0772"/>
    <w:rsid w:val="476A1FFE"/>
    <w:rsid w:val="476C2769"/>
    <w:rsid w:val="4771159A"/>
    <w:rsid w:val="4771514F"/>
    <w:rsid w:val="47814C87"/>
    <w:rsid w:val="47820ED4"/>
    <w:rsid w:val="478D7324"/>
    <w:rsid w:val="479025D8"/>
    <w:rsid w:val="479D0560"/>
    <w:rsid w:val="47A83D42"/>
    <w:rsid w:val="47A8668E"/>
    <w:rsid w:val="47AF0734"/>
    <w:rsid w:val="47B07C20"/>
    <w:rsid w:val="47B21171"/>
    <w:rsid w:val="47B43662"/>
    <w:rsid w:val="47B50725"/>
    <w:rsid w:val="47CD2147"/>
    <w:rsid w:val="47D01AF4"/>
    <w:rsid w:val="47DB64C9"/>
    <w:rsid w:val="47DE385A"/>
    <w:rsid w:val="480C36CC"/>
    <w:rsid w:val="48104118"/>
    <w:rsid w:val="481761C7"/>
    <w:rsid w:val="481A533B"/>
    <w:rsid w:val="4820176A"/>
    <w:rsid w:val="48443C90"/>
    <w:rsid w:val="48511CF3"/>
    <w:rsid w:val="48550880"/>
    <w:rsid w:val="485536EB"/>
    <w:rsid w:val="48565E3F"/>
    <w:rsid w:val="485E7CC8"/>
    <w:rsid w:val="48663546"/>
    <w:rsid w:val="48725D20"/>
    <w:rsid w:val="4880042B"/>
    <w:rsid w:val="488469BC"/>
    <w:rsid w:val="48962A53"/>
    <w:rsid w:val="489803FA"/>
    <w:rsid w:val="489A151D"/>
    <w:rsid w:val="489E7E2A"/>
    <w:rsid w:val="48A12C3C"/>
    <w:rsid w:val="48A67818"/>
    <w:rsid w:val="48A72F17"/>
    <w:rsid w:val="48A83600"/>
    <w:rsid w:val="48AB2ECD"/>
    <w:rsid w:val="48AC2C1D"/>
    <w:rsid w:val="48AF53EA"/>
    <w:rsid w:val="48B365DE"/>
    <w:rsid w:val="48B9796B"/>
    <w:rsid w:val="48CA1632"/>
    <w:rsid w:val="48CA44FF"/>
    <w:rsid w:val="48D70C09"/>
    <w:rsid w:val="48E1539E"/>
    <w:rsid w:val="48E32F61"/>
    <w:rsid w:val="48ED63AC"/>
    <w:rsid w:val="48F12978"/>
    <w:rsid w:val="48F74793"/>
    <w:rsid w:val="4904365A"/>
    <w:rsid w:val="490D0572"/>
    <w:rsid w:val="491A6A16"/>
    <w:rsid w:val="492E6B80"/>
    <w:rsid w:val="494F782A"/>
    <w:rsid w:val="49576645"/>
    <w:rsid w:val="495F224E"/>
    <w:rsid w:val="496A6945"/>
    <w:rsid w:val="496F384F"/>
    <w:rsid w:val="497A30FC"/>
    <w:rsid w:val="4982095B"/>
    <w:rsid w:val="49936616"/>
    <w:rsid w:val="49981344"/>
    <w:rsid w:val="499E605A"/>
    <w:rsid w:val="49A0700B"/>
    <w:rsid w:val="49A10BAB"/>
    <w:rsid w:val="49AA45AB"/>
    <w:rsid w:val="49B07AE2"/>
    <w:rsid w:val="49CD3DD2"/>
    <w:rsid w:val="49E27E21"/>
    <w:rsid w:val="49E56E7D"/>
    <w:rsid w:val="49E86D0F"/>
    <w:rsid w:val="49EF3714"/>
    <w:rsid w:val="49F021BB"/>
    <w:rsid w:val="49F214EF"/>
    <w:rsid w:val="49FC4DB5"/>
    <w:rsid w:val="49FD6FDA"/>
    <w:rsid w:val="4A017A3D"/>
    <w:rsid w:val="4A213573"/>
    <w:rsid w:val="4A233F84"/>
    <w:rsid w:val="4A254BBF"/>
    <w:rsid w:val="4A27538E"/>
    <w:rsid w:val="4A2B4339"/>
    <w:rsid w:val="4A321F9C"/>
    <w:rsid w:val="4A39282B"/>
    <w:rsid w:val="4A434479"/>
    <w:rsid w:val="4A4464A7"/>
    <w:rsid w:val="4A4C4157"/>
    <w:rsid w:val="4A5676E6"/>
    <w:rsid w:val="4A5F3945"/>
    <w:rsid w:val="4A7A05AA"/>
    <w:rsid w:val="4A7B59C1"/>
    <w:rsid w:val="4A7E212F"/>
    <w:rsid w:val="4A837C67"/>
    <w:rsid w:val="4A8D2253"/>
    <w:rsid w:val="4A9D076B"/>
    <w:rsid w:val="4AB459E6"/>
    <w:rsid w:val="4AB53F04"/>
    <w:rsid w:val="4AB92A9B"/>
    <w:rsid w:val="4ABB635B"/>
    <w:rsid w:val="4ABC6AA8"/>
    <w:rsid w:val="4ABE4A89"/>
    <w:rsid w:val="4AC40C07"/>
    <w:rsid w:val="4AE65473"/>
    <w:rsid w:val="4AE72B75"/>
    <w:rsid w:val="4AFC036F"/>
    <w:rsid w:val="4AFE2523"/>
    <w:rsid w:val="4B1A2A77"/>
    <w:rsid w:val="4B256D82"/>
    <w:rsid w:val="4B277483"/>
    <w:rsid w:val="4B3073D3"/>
    <w:rsid w:val="4B3479F6"/>
    <w:rsid w:val="4B384224"/>
    <w:rsid w:val="4B467EF0"/>
    <w:rsid w:val="4B4E5EF2"/>
    <w:rsid w:val="4B56076F"/>
    <w:rsid w:val="4B563112"/>
    <w:rsid w:val="4B601F65"/>
    <w:rsid w:val="4B730DEF"/>
    <w:rsid w:val="4B77256B"/>
    <w:rsid w:val="4B8150DA"/>
    <w:rsid w:val="4B8E761E"/>
    <w:rsid w:val="4B914B84"/>
    <w:rsid w:val="4B926B22"/>
    <w:rsid w:val="4B983E5C"/>
    <w:rsid w:val="4BA10F7A"/>
    <w:rsid w:val="4BA97CC9"/>
    <w:rsid w:val="4BAF3394"/>
    <w:rsid w:val="4BCA16D2"/>
    <w:rsid w:val="4BD16405"/>
    <w:rsid w:val="4BD97E3F"/>
    <w:rsid w:val="4BE31E95"/>
    <w:rsid w:val="4BEB540D"/>
    <w:rsid w:val="4BEC3F94"/>
    <w:rsid w:val="4BF21C49"/>
    <w:rsid w:val="4BF5487E"/>
    <w:rsid w:val="4BFB060E"/>
    <w:rsid w:val="4BFB38F0"/>
    <w:rsid w:val="4C014402"/>
    <w:rsid w:val="4C0851EF"/>
    <w:rsid w:val="4C0A301F"/>
    <w:rsid w:val="4C0A3EDE"/>
    <w:rsid w:val="4C0F7E75"/>
    <w:rsid w:val="4C126DD5"/>
    <w:rsid w:val="4C17694B"/>
    <w:rsid w:val="4C2A4C80"/>
    <w:rsid w:val="4C460819"/>
    <w:rsid w:val="4C4A5F38"/>
    <w:rsid w:val="4C591820"/>
    <w:rsid w:val="4C5C10A5"/>
    <w:rsid w:val="4C5C34C7"/>
    <w:rsid w:val="4C7661CD"/>
    <w:rsid w:val="4C7908E3"/>
    <w:rsid w:val="4C7B06CE"/>
    <w:rsid w:val="4C8C4471"/>
    <w:rsid w:val="4C8F662F"/>
    <w:rsid w:val="4C911DC8"/>
    <w:rsid w:val="4C931DA8"/>
    <w:rsid w:val="4C93605B"/>
    <w:rsid w:val="4C955D9D"/>
    <w:rsid w:val="4C9B6CA9"/>
    <w:rsid w:val="4CAB04DB"/>
    <w:rsid w:val="4CAB3EDA"/>
    <w:rsid w:val="4CAD50B1"/>
    <w:rsid w:val="4CB057BC"/>
    <w:rsid w:val="4CB61B37"/>
    <w:rsid w:val="4CB8338E"/>
    <w:rsid w:val="4CD77E1B"/>
    <w:rsid w:val="4CD8164E"/>
    <w:rsid w:val="4CDC6B89"/>
    <w:rsid w:val="4D036FA2"/>
    <w:rsid w:val="4D1457CB"/>
    <w:rsid w:val="4D2014FA"/>
    <w:rsid w:val="4D270653"/>
    <w:rsid w:val="4D2A61D5"/>
    <w:rsid w:val="4D2E5D47"/>
    <w:rsid w:val="4D493B9D"/>
    <w:rsid w:val="4D5035B5"/>
    <w:rsid w:val="4D50675A"/>
    <w:rsid w:val="4D57147E"/>
    <w:rsid w:val="4D5B63A5"/>
    <w:rsid w:val="4D5B6D3A"/>
    <w:rsid w:val="4D5E4210"/>
    <w:rsid w:val="4D765C85"/>
    <w:rsid w:val="4D772C70"/>
    <w:rsid w:val="4D77400B"/>
    <w:rsid w:val="4DA5531C"/>
    <w:rsid w:val="4DAC5535"/>
    <w:rsid w:val="4DB05A80"/>
    <w:rsid w:val="4DBA4141"/>
    <w:rsid w:val="4DBF14B8"/>
    <w:rsid w:val="4DC0296C"/>
    <w:rsid w:val="4DC02F32"/>
    <w:rsid w:val="4DC341CE"/>
    <w:rsid w:val="4DC56314"/>
    <w:rsid w:val="4DC92BCA"/>
    <w:rsid w:val="4DCE7CB9"/>
    <w:rsid w:val="4DD013CF"/>
    <w:rsid w:val="4DD359B4"/>
    <w:rsid w:val="4DD43C82"/>
    <w:rsid w:val="4DD671B5"/>
    <w:rsid w:val="4DD83353"/>
    <w:rsid w:val="4DE7548D"/>
    <w:rsid w:val="4DE831BC"/>
    <w:rsid w:val="4DFA7CC5"/>
    <w:rsid w:val="4E05476B"/>
    <w:rsid w:val="4E0662D9"/>
    <w:rsid w:val="4E073D13"/>
    <w:rsid w:val="4E107799"/>
    <w:rsid w:val="4E143F87"/>
    <w:rsid w:val="4E1C2C3B"/>
    <w:rsid w:val="4E272122"/>
    <w:rsid w:val="4E284E1A"/>
    <w:rsid w:val="4E2C3DE8"/>
    <w:rsid w:val="4E534135"/>
    <w:rsid w:val="4E55208B"/>
    <w:rsid w:val="4E612956"/>
    <w:rsid w:val="4E650259"/>
    <w:rsid w:val="4E796118"/>
    <w:rsid w:val="4E7C3B66"/>
    <w:rsid w:val="4E854898"/>
    <w:rsid w:val="4E9455A2"/>
    <w:rsid w:val="4E9D3659"/>
    <w:rsid w:val="4E9F3A03"/>
    <w:rsid w:val="4EA01D5C"/>
    <w:rsid w:val="4EAA7184"/>
    <w:rsid w:val="4EAE5AE6"/>
    <w:rsid w:val="4EC06424"/>
    <w:rsid w:val="4EC3721A"/>
    <w:rsid w:val="4EE22C35"/>
    <w:rsid w:val="4EE337C4"/>
    <w:rsid w:val="4EE97E2E"/>
    <w:rsid w:val="4EEF6C93"/>
    <w:rsid w:val="4EF76852"/>
    <w:rsid w:val="4EFB49A8"/>
    <w:rsid w:val="4EFF6855"/>
    <w:rsid w:val="4F042822"/>
    <w:rsid w:val="4F0D10B9"/>
    <w:rsid w:val="4F16669D"/>
    <w:rsid w:val="4F1B0EDE"/>
    <w:rsid w:val="4F1F794F"/>
    <w:rsid w:val="4F271309"/>
    <w:rsid w:val="4F2E36DB"/>
    <w:rsid w:val="4F3113E5"/>
    <w:rsid w:val="4F3B1851"/>
    <w:rsid w:val="4F412DF9"/>
    <w:rsid w:val="4F5F0CC9"/>
    <w:rsid w:val="4F5F10EB"/>
    <w:rsid w:val="4F7A31C1"/>
    <w:rsid w:val="4F806D3A"/>
    <w:rsid w:val="4F8353A9"/>
    <w:rsid w:val="4F863E49"/>
    <w:rsid w:val="4F864327"/>
    <w:rsid w:val="4F8664E6"/>
    <w:rsid w:val="4F8E0153"/>
    <w:rsid w:val="4F9123BA"/>
    <w:rsid w:val="4F9E1B3A"/>
    <w:rsid w:val="4FA44B83"/>
    <w:rsid w:val="4FA605A6"/>
    <w:rsid w:val="4FA64965"/>
    <w:rsid w:val="4FA95E57"/>
    <w:rsid w:val="4FB00C62"/>
    <w:rsid w:val="4FB80DDD"/>
    <w:rsid w:val="4FD76FAF"/>
    <w:rsid w:val="4FDC1D0B"/>
    <w:rsid w:val="4FDE2207"/>
    <w:rsid w:val="4FE83A7D"/>
    <w:rsid w:val="4FF879C7"/>
    <w:rsid w:val="50026E65"/>
    <w:rsid w:val="500A6ACF"/>
    <w:rsid w:val="500B3954"/>
    <w:rsid w:val="50183CDA"/>
    <w:rsid w:val="50366467"/>
    <w:rsid w:val="503737A6"/>
    <w:rsid w:val="503C580B"/>
    <w:rsid w:val="50453AE9"/>
    <w:rsid w:val="504607EA"/>
    <w:rsid w:val="504774E9"/>
    <w:rsid w:val="50482B34"/>
    <w:rsid w:val="504F621D"/>
    <w:rsid w:val="50563037"/>
    <w:rsid w:val="506A205B"/>
    <w:rsid w:val="506D7517"/>
    <w:rsid w:val="506F1C65"/>
    <w:rsid w:val="50872332"/>
    <w:rsid w:val="508E01DC"/>
    <w:rsid w:val="508F44C3"/>
    <w:rsid w:val="50A755CC"/>
    <w:rsid w:val="50B04EEC"/>
    <w:rsid w:val="50B45F87"/>
    <w:rsid w:val="50B762E2"/>
    <w:rsid w:val="50C633C0"/>
    <w:rsid w:val="50D53873"/>
    <w:rsid w:val="50DA0369"/>
    <w:rsid w:val="50E57FAB"/>
    <w:rsid w:val="50E67C23"/>
    <w:rsid w:val="50F4253E"/>
    <w:rsid w:val="50F971EB"/>
    <w:rsid w:val="51025D03"/>
    <w:rsid w:val="510C43EE"/>
    <w:rsid w:val="51112274"/>
    <w:rsid w:val="511931B2"/>
    <w:rsid w:val="511A75E2"/>
    <w:rsid w:val="513323C6"/>
    <w:rsid w:val="513C591A"/>
    <w:rsid w:val="513C5B6A"/>
    <w:rsid w:val="513D4289"/>
    <w:rsid w:val="51425190"/>
    <w:rsid w:val="51465FA9"/>
    <w:rsid w:val="51482FEA"/>
    <w:rsid w:val="51650F4B"/>
    <w:rsid w:val="51653A6E"/>
    <w:rsid w:val="51653F57"/>
    <w:rsid w:val="51697153"/>
    <w:rsid w:val="516B14C3"/>
    <w:rsid w:val="517372F5"/>
    <w:rsid w:val="518076FC"/>
    <w:rsid w:val="5195636A"/>
    <w:rsid w:val="51960AD2"/>
    <w:rsid w:val="519947F8"/>
    <w:rsid w:val="519A093C"/>
    <w:rsid w:val="51A24227"/>
    <w:rsid w:val="51A33CC1"/>
    <w:rsid w:val="51A55BB9"/>
    <w:rsid w:val="51AE448C"/>
    <w:rsid w:val="51B37A55"/>
    <w:rsid w:val="51BF3016"/>
    <w:rsid w:val="51C44F4A"/>
    <w:rsid w:val="51C62BC4"/>
    <w:rsid w:val="51D04721"/>
    <w:rsid w:val="51DB4589"/>
    <w:rsid w:val="51E6359F"/>
    <w:rsid w:val="51EC7024"/>
    <w:rsid w:val="51EE5101"/>
    <w:rsid w:val="51F75326"/>
    <w:rsid w:val="51FE7C18"/>
    <w:rsid w:val="52013495"/>
    <w:rsid w:val="52040016"/>
    <w:rsid w:val="520B03E6"/>
    <w:rsid w:val="52182175"/>
    <w:rsid w:val="521A0758"/>
    <w:rsid w:val="522950FD"/>
    <w:rsid w:val="522A060B"/>
    <w:rsid w:val="522D6E3D"/>
    <w:rsid w:val="522F1F0D"/>
    <w:rsid w:val="52336900"/>
    <w:rsid w:val="52352C34"/>
    <w:rsid w:val="523B6476"/>
    <w:rsid w:val="523E5BEE"/>
    <w:rsid w:val="5252515F"/>
    <w:rsid w:val="52576514"/>
    <w:rsid w:val="526810FF"/>
    <w:rsid w:val="526B17A1"/>
    <w:rsid w:val="526E2F9C"/>
    <w:rsid w:val="526E563E"/>
    <w:rsid w:val="526F516B"/>
    <w:rsid w:val="527205D0"/>
    <w:rsid w:val="52765094"/>
    <w:rsid w:val="5284617D"/>
    <w:rsid w:val="52906522"/>
    <w:rsid w:val="52922B96"/>
    <w:rsid w:val="5297032F"/>
    <w:rsid w:val="52A17705"/>
    <w:rsid w:val="52B337B8"/>
    <w:rsid w:val="52B81D51"/>
    <w:rsid w:val="52C3270D"/>
    <w:rsid w:val="52D6332C"/>
    <w:rsid w:val="52EB1A17"/>
    <w:rsid w:val="52F20018"/>
    <w:rsid w:val="53055F02"/>
    <w:rsid w:val="53112A2C"/>
    <w:rsid w:val="531A0149"/>
    <w:rsid w:val="53222C5B"/>
    <w:rsid w:val="53283A96"/>
    <w:rsid w:val="533C3C0D"/>
    <w:rsid w:val="533D4D33"/>
    <w:rsid w:val="533F1619"/>
    <w:rsid w:val="534643BE"/>
    <w:rsid w:val="534A2ACE"/>
    <w:rsid w:val="534B2879"/>
    <w:rsid w:val="53595B25"/>
    <w:rsid w:val="535C2128"/>
    <w:rsid w:val="536D4964"/>
    <w:rsid w:val="5382777D"/>
    <w:rsid w:val="5390692A"/>
    <w:rsid w:val="539A77F4"/>
    <w:rsid w:val="53AB4604"/>
    <w:rsid w:val="53B359D6"/>
    <w:rsid w:val="53BF7315"/>
    <w:rsid w:val="53CC67DD"/>
    <w:rsid w:val="53DD586D"/>
    <w:rsid w:val="53E1766B"/>
    <w:rsid w:val="53E35042"/>
    <w:rsid w:val="53E44531"/>
    <w:rsid w:val="53E57664"/>
    <w:rsid w:val="53E81EC2"/>
    <w:rsid w:val="53E94107"/>
    <w:rsid w:val="53EE4B7C"/>
    <w:rsid w:val="53F34ADB"/>
    <w:rsid w:val="53F46F96"/>
    <w:rsid w:val="53F751BB"/>
    <w:rsid w:val="53FF79F7"/>
    <w:rsid w:val="54100030"/>
    <w:rsid w:val="54117CB7"/>
    <w:rsid w:val="541C0A0E"/>
    <w:rsid w:val="542412B2"/>
    <w:rsid w:val="542C55A5"/>
    <w:rsid w:val="54316C36"/>
    <w:rsid w:val="54380BCE"/>
    <w:rsid w:val="544743D5"/>
    <w:rsid w:val="54607BB9"/>
    <w:rsid w:val="546A5FFA"/>
    <w:rsid w:val="546C2393"/>
    <w:rsid w:val="54743BB8"/>
    <w:rsid w:val="54755ADB"/>
    <w:rsid w:val="54782E02"/>
    <w:rsid w:val="547B00D9"/>
    <w:rsid w:val="54850626"/>
    <w:rsid w:val="548574CA"/>
    <w:rsid w:val="549065B1"/>
    <w:rsid w:val="54A9332B"/>
    <w:rsid w:val="54AA3F91"/>
    <w:rsid w:val="54AB7757"/>
    <w:rsid w:val="54B17A4E"/>
    <w:rsid w:val="54B417BF"/>
    <w:rsid w:val="54B61F65"/>
    <w:rsid w:val="54B92B8C"/>
    <w:rsid w:val="54D45DB6"/>
    <w:rsid w:val="54E063D0"/>
    <w:rsid w:val="54E417E4"/>
    <w:rsid w:val="54E503CE"/>
    <w:rsid w:val="54E91774"/>
    <w:rsid w:val="54ED0EDC"/>
    <w:rsid w:val="54EE236D"/>
    <w:rsid w:val="54F72D64"/>
    <w:rsid w:val="55036D3C"/>
    <w:rsid w:val="55062A5D"/>
    <w:rsid w:val="550E03D9"/>
    <w:rsid w:val="550E7DED"/>
    <w:rsid w:val="550F4910"/>
    <w:rsid w:val="55130773"/>
    <w:rsid w:val="55186324"/>
    <w:rsid w:val="55186D60"/>
    <w:rsid w:val="551878BB"/>
    <w:rsid w:val="55191695"/>
    <w:rsid w:val="55255918"/>
    <w:rsid w:val="552F6782"/>
    <w:rsid w:val="55441216"/>
    <w:rsid w:val="55470967"/>
    <w:rsid w:val="554B430F"/>
    <w:rsid w:val="555036FC"/>
    <w:rsid w:val="5558020B"/>
    <w:rsid w:val="55590643"/>
    <w:rsid w:val="55623EE0"/>
    <w:rsid w:val="556751C7"/>
    <w:rsid w:val="556A7249"/>
    <w:rsid w:val="557403E9"/>
    <w:rsid w:val="557960CD"/>
    <w:rsid w:val="559C62B2"/>
    <w:rsid w:val="559E4824"/>
    <w:rsid w:val="55A40BEA"/>
    <w:rsid w:val="55B17AD6"/>
    <w:rsid w:val="55B21F45"/>
    <w:rsid w:val="55BC45BC"/>
    <w:rsid w:val="55C363DC"/>
    <w:rsid w:val="55C546B3"/>
    <w:rsid w:val="55CC65DB"/>
    <w:rsid w:val="55CE0F95"/>
    <w:rsid w:val="55D00080"/>
    <w:rsid w:val="55D368E3"/>
    <w:rsid w:val="55DA0CF1"/>
    <w:rsid w:val="55DB188D"/>
    <w:rsid w:val="55E25BDB"/>
    <w:rsid w:val="55E7555D"/>
    <w:rsid w:val="55EB7334"/>
    <w:rsid w:val="55F54030"/>
    <w:rsid w:val="55FC0337"/>
    <w:rsid w:val="560550E5"/>
    <w:rsid w:val="560E37ED"/>
    <w:rsid w:val="561072C2"/>
    <w:rsid w:val="561B281D"/>
    <w:rsid w:val="561F5112"/>
    <w:rsid w:val="56214362"/>
    <w:rsid w:val="56224D2A"/>
    <w:rsid w:val="56264A9B"/>
    <w:rsid w:val="56304DFF"/>
    <w:rsid w:val="5636509A"/>
    <w:rsid w:val="563D6C70"/>
    <w:rsid w:val="56512623"/>
    <w:rsid w:val="56665134"/>
    <w:rsid w:val="567A4C53"/>
    <w:rsid w:val="568752BD"/>
    <w:rsid w:val="56881A91"/>
    <w:rsid w:val="568A6695"/>
    <w:rsid w:val="56951949"/>
    <w:rsid w:val="56977E33"/>
    <w:rsid w:val="569B1245"/>
    <w:rsid w:val="569E1491"/>
    <w:rsid w:val="56A34905"/>
    <w:rsid w:val="56A442A3"/>
    <w:rsid w:val="56C60A8B"/>
    <w:rsid w:val="56CB6D63"/>
    <w:rsid w:val="56CC2488"/>
    <w:rsid w:val="56DB5784"/>
    <w:rsid w:val="56DF6994"/>
    <w:rsid w:val="57007C61"/>
    <w:rsid w:val="57063394"/>
    <w:rsid w:val="570856E4"/>
    <w:rsid w:val="570A0625"/>
    <w:rsid w:val="570C2F2C"/>
    <w:rsid w:val="57120853"/>
    <w:rsid w:val="5714060E"/>
    <w:rsid w:val="57194202"/>
    <w:rsid w:val="571D20C4"/>
    <w:rsid w:val="572B4CD4"/>
    <w:rsid w:val="57304353"/>
    <w:rsid w:val="5734105A"/>
    <w:rsid w:val="57392524"/>
    <w:rsid w:val="573F2D26"/>
    <w:rsid w:val="574E1592"/>
    <w:rsid w:val="575276D4"/>
    <w:rsid w:val="575D0E75"/>
    <w:rsid w:val="575F6E42"/>
    <w:rsid w:val="57615769"/>
    <w:rsid w:val="576D1E09"/>
    <w:rsid w:val="57716A78"/>
    <w:rsid w:val="57773DDA"/>
    <w:rsid w:val="578041B9"/>
    <w:rsid w:val="57847D55"/>
    <w:rsid w:val="57B75FCC"/>
    <w:rsid w:val="57B773DB"/>
    <w:rsid w:val="57B9589A"/>
    <w:rsid w:val="57CA0E73"/>
    <w:rsid w:val="57CD7072"/>
    <w:rsid w:val="57D52965"/>
    <w:rsid w:val="57D66329"/>
    <w:rsid w:val="57D949E3"/>
    <w:rsid w:val="57E274F8"/>
    <w:rsid w:val="57E40975"/>
    <w:rsid w:val="57E4206A"/>
    <w:rsid w:val="57ED5E1B"/>
    <w:rsid w:val="57F43379"/>
    <w:rsid w:val="57F6121B"/>
    <w:rsid w:val="57FF3FB5"/>
    <w:rsid w:val="58170ECA"/>
    <w:rsid w:val="58197BC6"/>
    <w:rsid w:val="581D1DF2"/>
    <w:rsid w:val="58293053"/>
    <w:rsid w:val="583465A4"/>
    <w:rsid w:val="583758E5"/>
    <w:rsid w:val="583A111F"/>
    <w:rsid w:val="583E798C"/>
    <w:rsid w:val="58466D8D"/>
    <w:rsid w:val="584928FB"/>
    <w:rsid w:val="585323A9"/>
    <w:rsid w:val="58554973"/>
    <w:rsid w:val="585D0F89"/>
    <w:rsid w:val="585F4ACA"/>
    <w:rsid w:val="58601CE7"/>
    <w:rsid w:val="58626561"/>
    <w:rsid w:val="58662BC9"/>
    <w:rsid w:val="5874766E"/>
    <w:rsid w:val="588671B5"/>
    <w:rsid w:val="5888560B"/>
    <w:rsid w:val="58897AB4"/>
    <w:rsid w:val="588D15F3"/>
    <w:rsid w:val="58907A5F"/>
    <w:rsid w:val="5892040D"/>
    <w:rsid w:val="589F4B3F"/>
    <w:rsid w:val="58A84EC9"/>
    <w:rsid w:val="58B23280"/>
    <w:rsid w:val="58BE704C"/>
    <w:rsid w:val="58BE77A9"/>
    <w:rsid w:val="58C11564"/>
    <w:rsid w:val="58C811DD"/>
    <w:rsid w:val="58F108CA"/>
    <w:rsid w:val="58F550F6"/>
    <w:rsid w:val="58FE4A98"/>
    <w:rsid w:val="590C32BF"/>
    <w:rsid w:val="591036CA"/>
    <w:rsid w:val="591307AA"/>
    <w:rsid w:val="59185396"/>
    <w:rsid w:val="592C071B"/>
    <w:rsid w:val="59371711"/>
    <w:rsid w:val="59374AE6"/>
    <w:rsid w:val="59507174"/>
    <w:rsid w:val="595B07A7"/>
    <w:rsid w:val="595F349F"/>
    <w:rsid w:val="59616890"/>
    <w:rsid w:val="59637D65"/>
    <w:rsid w:val="596F64AC"/>
    <w:rsid w:val="597C16DF"/>
    <w:rsid w:val="599E0798"/>
    <w:rsid w:val="59A114E3"/>
    <w:rsid w:val="59AC0B68"/>
    <w:rsid w:val="59B24062"/>
    <w:rsid w:val="59B4496B"/>
    <w:rsid w:val="59B9382B"/>
    <w:rsid w:val="59BB5187"/>
    <w:rsid w:val="59BB59E8"/>
    <w:rsid w:val="59BC2B89"/>
    <w:rsid w:val="59BC2C8E"/>
    <w:rsid w:val="59C02441"/>
    <w:rsid w:val="59CB7ACC"/>
    <w:rsid w:val="59D22A99"/>
    <w:rsid w:val="59D975DA"/>
    <w:rsid w:val="59E06FAB"/>
    <w:rsid w:val="59E14693"/>
    <w:rsid w:val="59E33926"/>
    <w:rsid w:val="5A0561AA"/>
    <w:rsid w:val="5A1156A5"/>
    <w:rsid w:val="5A261B1C"/>
    <w:rsid w:val="5A367300"/>
    <w:rsid w:val="5A4D27CD"/>
    <w:rsid w:val="5A506C31"/>
    <w:rsid w:val="5A524A17"/>
    <w:rsid w:val="5A552CC2"/>
    <w:rsid w:val="5A556906"/>
    <w:rsid w:val="5A5E2DCD"/>
    <w:rsid w:val="5A605873"/>
    <w:rsid w:val="5A703197"/>
    <w:rsid w:val="5A7832EA"/>
    <w:rsid w:val="5A7907C0"/>
    <w:rsid w:val="5A7A4442"/>
    <w:rsid w:val="5A7F7219"/>
    <w:rsid w:val="5A8650F4"/>
    <w:rsid w:val="5A8729DD"/>
    <w:rsid w:val="5A884478"/>
    <w:rsid w:val="5A8C684C"/>
    <w:rsid w:val="5A8D3EC5"/>
    <w:rsid w:val="5A9967BA"/>
    <w:rsid w:val="5AAE0C6C"/>
    <w:rsid w:val="5AB45B4F"/>
    <w:rsid w:val="5AB55BCF"/>
    <w:rsid w:val="5ABC5CAA"/>
    <w:rsid w:val="5ACF2070"/>
    <w:rsid w:val="5AD30B30"/>
    <w:rsid w:val="5AD57ED4"/>
    <w:rsid w:val="5ADA226F"/>
    <w:rsid w:val="5ADF65D4"/>
    <w:rsid w:val="5AE31479"/>
    <w:rsid w:val="5AEB5094"/>
    <w:rsid w:val="5AEC03FD"/>
    <w:rsid w:val="5AEF00B4"/>
    <w:rsid w:val="5AF43BAB"/>
    <w:rsid w:val="5AFA22BB"/>
    <w:rsid w:val="5AFA4E48"/>
    <w:rsid w:val="5B0623FF"/>
    <w:rsid w:val="5B0639BD"/>
    <w:rsid w:val="5B0C09B7"/>
    <w:rsid w:val="5B0F7C02"/>
    <w:rsid w:val="5B1C6E96"/>
    <w:rsid w:val="5B2E1C92"/>
    <w:rsid w:val="5B331ABB"/>
    <w:rsid w:val="5B3C2163"/>
    <w:rsid w:val="5B443576"/>
    <w:rsid w:val="5B4817C4"/>
    <w:rsid w:val="5B576F21"/>
    <w:rsid w:val="5B6338DC"/>
    <w:rsid w:val="5B751975"/>
    <w:rsid w:val="5B75296E"/>
    <w:rsid w:val="5B797FAA"/>
    <w:rsid w:val="5B7E127D"/>
    <w:rsid w:val="5B7F0855"/>
    <w:rsid w:val="5B825EE7"/>
    <w:rsid w:val="5B845EE3"/>
    <w:rsid w:val="5B876165"/>
    <w:rsid w:val="5B8C07DF"/>
    <w:rsid w:val="5BAE1B49"/>
    <w:rsid w:val="5BD13F86"/>
    <w:rsid w:val="5BD22018"/>
    <w:rsid w:val="5BD3533E"/>
    <w:rsid w:val="5BD72CB1"/>
    <w:rsid w:val="5BD8613E"/>
    <w:rsid w:val="5BEB2715"/>
    <w:rsid w:val="5BF07771"/>
    <w:rsid w:val="5BFF0F75"/>
    <w:rsid w:val="5BFF6DC4"/>
    <w:rsid w:val="5C091207"/>
    <w:rsid w:val="5C0B1133"/>
    <w:rsid w:val="5C0B621A"/>
    <w:rsid w:val="5C1A6E94"/>
    <w:rsid w:val="5C2A3FFA"/>
    <w:rsid w:val="5C2D3C7A"/>
    <w:rsid w:val="5C344B3A"/>
    <w:rsid w:val="5C3E4A16"/>
    <w:rsid w:val="5C4176F0"/>
    <w:rsid w:val="5C46721B"/>
    <w:rsid w:val="5C5E76DF"/>
    <w:rsid w:val="5C63383C"/>
    <w:rsid w:val="5C6556BC"/>
    <w:rsid w:val="5C696877"/>
    <w:rsid w:val="5C703388"/>
    <w:rsid w:val="5C7250C0"/>
    <w:rsid w:val="5C8C78D9"/>
    <w:rsid w:val="5C98055C"/>
    <w:rsid w:val="5C995EAD"/>
    <w:rsid w:val="5CB24B00"/>
    <w:rsid w:val="5CB629D3"/>
    <w:rsid w:val="5CBA6FBE"/>
    <w:rsid w:val="5CBE06FC"/>
    <w:rsid w:val="5CC201FD"/>
    <w:rsid w:val="5CC34E04"/>
    <w:rsid w:val="5CCB639C"/>
    <w:rsid w:val="5CD4387D"/>
    <w:rsid w:val="5CD45288"/>
    <w:rsid w:val="5CD85714"/>
    <w:rsid w:val="5CDE3A50"/>
    <w:rsid w:val="5CE24AF6"/>
    <w:rsid w:val="5CE53322"/>
    <w:rsid w:val="5CEB7E0F"/>
    <w:rsid w:val="5CEC202D"/>
    <w:rsid w:val="5CF56507"/>
    <w:rsid w:val="5CF9377E"/>
    <w:rsid w:val="5CFD4027"/>
    <w:rsid w:val="5D0601FD"/>
    <w:rsid w:val="5D0B07E3"/>
    <w:rsid w:val="5D1F120E"/>
    <w:rsid w:val="5D2B4149"/>
    <w:rsid w:val="5D2E5954"/>
    <w:rsid w:val="5D385B29"/>
    <w:rsid w:val="5D3D7497"/>
    <w:rsid w:val="5D412D7D"/>
    <w:rsid w:val="5D4C012C"/>
    <w:rsid w:val="5D4E5FAB"/>
    <w:rsid w:val="5D5C6D82"/>
    <w:rsid w:val="5D624780"/>
    <w:rsid w:val="5D725F26"/>
    <w:rsid w:val="5D766B1C"/>
    <w:rsid w:val="5D7B0EA3"/>
    <w:rsid w:val="5D8C0909"/>
    <w:rsid w:val="5D975305"/>
    <w:rsid w:val="5D9C44DF"/>
    <w:rsid w:val="5DA20216"/>
    <w:rsid w:val="5DAA4061"/>
    <w:rsid w:val="5DB174A6"/>
    <w:rsid w:val="5DB949F9"/>
    <w:rsid w:val="5DD465F2"/>
    <w:rsid w:val="5DE96BD1"/>
    <w:rsid w:val="5E024823"/>
    <w:rsid w:val="5E035B38"/>
    <w:rsid w:val="5E1B0B22"/>
    <w:rsid w:val="5E1C02F4"/>
    <w:rsid w:val="5E1F4FFF"/>
    <w:rsid w:val="5E21071B"/>
    <w:rsid w:val="5E4625D0"/>
    <w:rsid w:val="5E4E0AE5"/>
    <w:rsid w:val="5E513323"/>
    <w:rsid w:val="5E6716D1"/>
    <w:rsid w:val="5E7026A6"/>
    <w:rsid w:val="5E714A25"/>
    <w:rsid w:val="5E8268C7"/>
    <w:rsid w:val="5E8425FB"/>
    <w:rsid w:val="5E843F9A"/>
    <w:rsid w:val="5E9627E8"/>
    <w:rsid w:val="5E9639C0"/>
    <w:rsid w:val="5EA42AAE"/>
    <w:rsid w:val="5EA435B2"/>
    <w:rsid w:val="5EA703D6"/>
    <w:rsid w:val="5EB079C5"/>
    <w:rsid w:val="5EC4167D"/>
    <w:rsid w:val="5ECF3889"/>
    <w:rsid w:val="5ED01333"/>
    <w:rsid w:val="5ED147E8"/>
    <w:rsid w:val="5EDE701F"/>
    <w:rsid w:val="5EE65B7B"/>
    <w:rsid w:val="5EF317BF"/>
    <w:rsid w:val="5EF47950"/>
    <w:rsid w:val="5EF63549"/>
    <w:rsid w:val="5EF66B9F"/>
    <w:rsid w:val="5EFD351C"/>
    <w:rsid w:val="5F0C6679"/>
    <w:rsid w:val="5F0D117F"/>
    <w:rsid w:val="5F113A90"/>
    <w:rsid w:val="5F172417"/>
    <w:rsid w:val="5F1F4F79"/>
    <w:rsid w:val="5F250C5E"/>
    <w:rsid w:val="5F2737C8"/>
    <w:rsid w:val="5F293E44"/>
    <w:rsid w:val="5F295F84"/>
    <w:rsid w:val="5F310FA8"/>
    <w:rsid w:val="5F313A6B"/>
    <w:rsid w:val="5F33795B"/>
    <w:rsid w:val="5F3D7CF7"/>
    <w:rsid w:val="5F41148B"/>
    <w:rsid w:val="5F502572"/>
    <w:rsid w:val="5F5242E9"/>
    <w:rsid w:val="5F5A3D16"/>
    <w:rsid w:val="5F61334B"/>
    <w:rsid w:val="5F6413AC"/>
    <w:rsid w:val="5F6F613D"/>
    <w:rsid w:val="5F830D18"/>
    <w:rsid w:val="5F9527D0"/>
    <w:rsid w:val="5F9740DE"/>
    <w:rsid w:val="5FA330A8"/>
    <w:rsid w:val="5FA36A71"/>
    <w:rsid w:val="5FAE79D0"/>
    <w:rsid w:val="5FB3695E"/>
    <w:rsid w:val="5FB938DE"/>
    <w:rsid w:val="5FB94DE5"/>
    <w:rsid w:val="5FBA122B"/>
    <w:rsid w:val="5FC02A4C"/>
    <w:rsid w:val="5FC726B7"/>
    <w:rsid w:val="5FE009E7"/>
    <w:rsid w:val="5FE900A4"/>
    <w:rsid w:val="5FEB63EE"/>
    <w:rsid w:val="5FF34631"/>
    <w:rsid w:val="5FFA758E"/>
    <w:rsid w:val="600855A2"/>
    <w:rsid w:val="601135B8"/>
    <w:rsid w:val="6013347C"/>
    <w:rsid w:val="60245E59"/>
    <w:rsid w:val="603219A9"/>
    <w:rsid w:val="60326508"/>
    <w:rsid w:val="60340A3A"/>
    <w:rsid w:val="603D2B23"/>
    <w:rsid w:val="60401644"/>
    <w:rsid w:val="60424915"/>
    <w:rsid w:val="60425591"/>
    <w:rsid w:val="60433E58"/>
    <w:rsid w:val="604438C5"/>
    <w:rsid w:val="604C0AC7"/>
    <w:rsid w:val="605440A6"/>
    <w:rsid w:val="60612521"/>
    <w:rsid w:val="606730FE"/>
    <w:rsid w:val="607F363B"/>
    <w:rsid w:val="608553B7"/>
    <w:rsid w:val="6089513D"/>
    <w:rsid w:val="608E7ECB"/>
    <w:rsid w:val="609358DB"/>
    <w:rsid w:val="60981A6D"/>
    <w:rsid w:val="609D46B7"/>
    <w:rsid w:val="60A571D7"/>
    <w:rsid w:val="60AE1D30"/>
    <w:rsid w:val="60C741BE"/>
    <w:rsid w:val="60D46890"/>
    <w:rsid w:val="60E35522"/>
    <w:rsid w:val="60F7165E"/>
    <w:rsid w:val="60F77E35"/>
    <w:rsid w:val="60FF4DB3"/>
    <w:rsid w:val="610B7CFD"/>
    <w:rsid w:val="610C15AD"/>
    <w:rsid w:val="6113643C"/>
    <w:rsid w:val="611603B4"/>
    <w:rsid w:val="611E6F96"/>
    <w:rsid w:val="61205267"/>
    <w:rsid w:val="6129468F"/>
    <w:rsid w:val="612C3EDE"/>
    <w:rsid w:val="613711E6"/>
    <w:rsid w:val="613C2540"/>
    <w:rsid w:val="614215EB"/>
    <w:rsid w:val="614D1E63"/>
    <w:rsid w:val="61534C19"/>
    <w:rsid w:val="61574898"/>
    <w:rsid w:val="61585F64"/>
    <w:rsid w:val="61591AE0"/>
    <w:rsid w:val="616F0FAB"/>
    <w:rsid w:val="61716A4B"/>
    <w:rsid w:val="6173794E"/>
    <w:rsid w:val="619831A2"/>
    <w:rsid w:val="61AF4B8B"/>
    <w:rsid w:val="61B15343"/>
    <w:rsid w:val="61BA7CF8"/>
    <w:rsid w:val="61DE10BB"/>
    <w:rsid w:val="61DE7E9B"/>
    <w:rsid w:val="61DF7014"/>
    <w:rsid w:val="61EF70A5"/>
    <w:rsid w:val="6200176E"/>
    <w:rsid w:val="62090BDF"/>
    <w:rsid w:val="620A779F"/>
    <w:rsid w:val="620C1A66"/>
    <w:rsid w:val="621023E0"/>
    <w:rsid w:val="62107873"/>
    <w:rsid w:val="62114CE4"/>
    <w:rsid w:val="62124F1F"/>
    <w:rsid w:val="62274B4C"/>
    <w:rsid w:val="622F617E"/>
    <w:rsid w:val="623321C4"/>
    <w:rsid w:val="62357DDC"/>
    <w:rsid w:val="623C0423"/>
    <w:rsid w:val="623F0083"/>
    <w:rsid w:val="62406400"/>
    <w:rsid w:val="62446E4A"/>
    <w:rsid w:val="62485EE6"/>
    <w:rsid w:val="625708C7"/>
    <w:rsid w:val="6264598A"/>
    <w:rsid w:val="6274638B"/>
    <w:rsid w:val="62762EE2"/>
    <w:rsid w:val="627838A4"/>
    <w:rsid w:val="627D12EF"/>
    <w:rsid w:val="62800ED5"/>
    <w:rsid w:val="62837395"/>
    <w:rsid w:val="62897BFA"/>
    <w:rsid w:val="628B2A4E"/>
    <w:rsid w:val="628D17D4"/>
    <w:rsid w:val="62910DE2"/>
    <w:rsid w:val="62940069"/>
    <w:rsid w:val="62994A35"/>
    <w:rsid w:val="62A866AC"/>
    <w:rsid w:val="62BA70CA"/>
    <w:rsid w:val="62BD6D5E"/>
    <w:rsid w:val="62C92951"/>
    <w:rsid w:val="62CA186F"/>
    <w:rsid w:val="62ED46E5"/>
    <w:rsid w:val="62FA1420"/>
    <w:rsid w:val="62FD779C"/>
    <w:rsid w:val="62FF3463"/>
    <w:rsid w:val="62FF6F70"/>
    <w:rsid w:val="63067EB7"/>
    <w:rsid w:val="63084225"/>
    <w:rsid w:val="630B32EB"/>
    <w:rsid w:val="630D7AC0"/>
    <w:rsid w:val="631A5549"/>
    <w:rsid w:val="631B059F"/>
    <w:rsid w:val="63277247"/>
    <w:rsid w:val="633078DD"/>
    <w:rsid w:val="63376CA9"/>
    <w:rsid w:val="634519A5"/>
    <w:rsid w:val="634D0EEA"/>
    <w:rsid w:val="63577A9E"/>
    <w:rsid w:val="63610B07"/>
    <w:rsid w:val="63642F66"/>
    <w:rsid w:val="63695DD3"/>
    <w:rsid w:val="636F68FD"/>
    <w:rsid w:val="63733EF2"/>
    <w:rsid w:val="637A5377"/>
    <w:rsid w:val="638B5A75"/>
    <w:rsid w:val="63976722"/>
    <w:rsid w:val="63BB060D"/>
    <w:rsid w:val="63BB7FE6"/>
    <w:rsid w:val="63C048E6"/>
    <w:rsid w:val="63C26BD5"/>
    <w:rsid w:val="63D16D88"/>
    <w:rsid w:val="63D30159"/>
    <w:rsid w:val="63D41F56"/>
    <w:rsid w:val="63D9562D"/>
    <w:rsid w:val="63DB3676"/>
    <w:rsid w:val="63DC1753"/>
    <w:rsid w:val="63E04816"/>
    <w:rsid w:val="63E9154F"/>
    <w:rsid w:val="63F32FAC"/>
    <w:rsid w:val="63F74857"/>
    <w:rsid w:val="63FC5320"/>
    <w:rsid w:val="64097560"/>
    <w:rsid w:val="640E7D56"/>
    <w:rsid w:val="64137F41"/>
    <w:rsid w:val="64223F84"/>
    <w:rsid w:val="642848BF"/>
    <w:rsid w:val="642E6A3B"/>
    <w:rsid w:val="642F6944"/>
    <w:rsid w:val="64370D8C"/>
    <w:rsid w:val="643B1954"/>
    <w:rsid w:val="64500359"/>
    <w:rsid w:val="645244F7"/>
    <w:rsid w:val="645A23C1"/>
    <w:rsid w:val="645D35F7"/>
    <w:rsid w:val="64624FBE"/>
    <w:rsid w:val="64625D51"/>
    <w:rsid w:val="64680BE1"/>
    <w:rsid w:val="64681A40"/>
    <w:rsid w:val="646A637F"/>
    <w:rsid w:val="64796AD4"/>
    <w:rsid w:val="647E3B81"/>
    <w:rsid w:val="64811CF5"/>
    <w:rsid w:val="64826780"/>
    <w:rsid w:val="64901669"/>
    <w:rsid w:val="649F720E"/>
    <w:rsid w:val="64A21612"/>
    <w:rsid w:val="64A532CB"/>
    <w:rsid w:val="64AB4799"/>
    <w:rsid w:val="64AF1113"/>
    <w:rsid w:val="64B41A24"/>
    <w:rsid w:val="64BF764B"/>
    <w:rsid w:val="64C56939"/>
    <w:rsid w:val="64CF1B65"/>
    <w:rsid w:val="64D00416"/>
    <w:rsid w:val="64EA7E11"/>
    <w:rsid w:val="64F3622A"/>
    <w:rsid w:val="65017878"/>
    <w:rsid w:val="650A21D6"/>
    <w:rsid w:val="65154EAF"/>
    <w:rsid w:val="651E0385"/>
    <w:rsid w:val="65265A34"/>
    <w:rsid w:val="6527620B"/>
    <w:rsid w:val="652B494A"/>
    <w:rsid w:val="65377E20"/>
    <w:rsid w:val="654255C7"/>
    <w:rsid w:val="655914AD"/>
    <w:rsid w:val="6559633B"/>
    <w:rsid w:val="656D30DA"/>
    <w:rsid w:val="65831215"/>
    <w:rsid w:val="6583757C"/>
    <w:rsid w:val="6585332A"/>
    <w:rsid w:val="658D1617"/>
    <w:rsid w:val="658D4B8A"/>
    <w:rsid w:val="659151AA"/>
    <w:rsid w:val="65963D36"/>
    <w:rsid w:val="659C3AAC"/>
    <w:rsid w:val="659D3AA7"/>
    <w:rsid w:val="659D7787"/>
    <w:rsid w:val="659E3A44"/>
    <w:rsid w:val="65A13EA9"/>
    <w:rsid w:val="65A60C9F"/>
    <w:rsid w:val="65A877E9"/>
    <w:rsid w:val="65AF0874"/>
    <w:rsid w:val="65C95DC6"/>
    <w:rsid w:val="65D17E60"/>
    <w:rsid w:val="65DD1C0A"/>
    <w:rsid w:val="65E31E6B"/>
    <w:rsid w:val="65E417EE"/>
    <w:rsid w:val="65EC7ED8"/>
    <w:rsid w:val="65F07BA5"/>
    <w:rsid w:val="65F13CDE"/>
    <w:rsid w:val="65F73063"/>
    <w:rsid w:val="66197204"/>
    <w:rsid w:val="662E4151"/>
    <w:rsid w:val="66330FBA"/>
    <w:rsid w:val="663B2E86"/>
    <w:rsid w:val="664F5327"/>
    <w:rsid w:val="66620612"/>
    <w:rsid w:val="666727F5"/>
    <w:rsid w:val="66742070"/>
    <w:rsid w:val="667E4F50"/>
    <w:rsid w:val="66822C7A"/>
    <w:rsid w:val="668F11BD"/>
    <w:rsid w:val="66902D20"/>
    <w:rsid w:val="66936068"/>
    <w:rsid w:val="669B028A"/>
    <w:rsid w:val="669C24AC"/>
    <w:rsid w:val="669C3554"/>
    <w:rsid w:val="66A21884"/>
    <w:rsid w:val="66A477E6"/>
    <w:rsid w:val="66B4012B"/>
    <w:rsid w:val="66B42825"/>
    <w:rsid w:val="66BB23F5"/>
    <w:rsid w:val="66D34E3B"/>
    <w:rsid w:val="66EA4073"/>
    <w:rsid w:val="66F23C81"/>
    <w:rsid w:val="66F43B8F"/>
    <w:rsid w:val="66F934D1"/>
    <w:rsid w:val="670157C0"/>
    <w:rsid w:val="67073CD6"/>
    <w:rsid w:val="67136A95"/>
    <w:rsid w:val="672114BE"/>
    <w:rsid w:val="67290773"/>
    <w:rsid w:val="672F53C8"/>
    <w:rsid w:val="673A6B06"/>
    <w:rsid w:val="67420E26"/>
    <w:rsid w:val="67444BAD"/>
    <w:rsid w:val="67450B84"/>
    <w:rsid w:val="67452B44"/>
    <w:rsid w:val="67481D9E"/>
    <w:rsid w:val="67664E48"/>
    <w:rsid w:val="676E5F3A"/>
    <w:rsid w:val="676F079B"/>
    <w:rsid w:val="678B5546"/>
    <w:rsid w:val="678F2304"/>
    <w:rsid w:val="67962E34"/>
    <w:rsid w:val="679775CC"/>
    <w:rsid w:val="67AA6F08"/>
    <w:rsid w:val="67AB4FE2"/>
    <w:rsid w:val="67B71CDF"/>
    <w:rsid w:val="67B74248"/>
    <w:rsid w:val="67CC3E5B"/>
    <w:rsid w:val="67DA435C"/>
    <w:rsid w:val="67E9707F"/>
    <w:rsid w:val="68027EF8"/>
    <w:rsid w:val="68033C5D"/>
    <w:rsid w:val="680D211F"/>
    <w:rsid w:val="680E6A60"/>
    <w:rsid w:val="68167FCB"/>
    <w:rsid w:val="683E429F"/>
    <w:rsid w:val="68492D41"/>
    <w:rsid w:val="6873332F"/>
    <w:rsid w:val="687401F4"/>
    <w:rsid w:val="68744C4C"/>
    <w:rsid w:val="68816CB6"/>
    <w:rsid w:val="68817FF0"/>
    <w:rsid w:val="68921846"/>
    <w:rsid w:val="68A51664"/>
    <w:rsid w:val="68A723B7"/>
    <w:rsid w:val="68AA489D"/>
    <w:rsid w:val="68B114F8"/>
    <w:rsid w:val="68B3607B"/>
    <w:rsid w:val="68BB218F"/>
    <w:rsid w:val="68C81BE3"/>
    <w:rsid w:val="68D21AAA"/>
    <w:rsid w:val="68D45E02"/>
    <w:rsid w:val="68ED1A51"/>
    <w:rsid w:val="68ED6610"/>
    <w:rsid w:val="68F16A39"/>
    <w:rsid w:val="68F93E38"/>
    <w:rsid w:val="68FC0791"/>
    <w:rsid w:val="6904051A"/>
    <w:rsid w:val="690C269F"/>
    <w:rsid w:val="69112FFC"/>
    <w:rsid w:val="69151CD8"/>
    <w:rsid w:val="6916020B"/>
    <w:rsid w:val="691E343E"/>
    <w:rsid w:val="69347D64"/>
    <w:rsid w:val="694233C0"/>
    <w:rsid w:val="6950161F"/>
    <w:rsid w:val="695B2EBC"/>
    <w:rsid w:val="695F3908"/>
    <w:rsid w:val="69696A47"/>
    <w:rsid w:val="696F77A1"/>
    <w:rsid w:val="698F3B91"/>
    <w:rsid w:val="69941325"/>
    <w:rsid w:val="69941885"/>
    <w:rsid w:val="69950E6A"/>
    <w:rsid w:val="69956D29"/>
    <w:rsid w:val="699770FD"/>
    <w:rsid w:val="69A03DED"/>
    <w:rsid w:val="69C12D7E"/>
    <w:rsid w:val="69C757DE"/>
    <w:rsid w:val="69CE4284"/>
    <w:rsid w:val="69D67D7E"/>
    <w:rsid w:val="69FA2524"/>
    <w:rsid w:val="6A05604F"/>
    <w:rsid w:val="6A061CFA"/>
    <w:rsid w:val="6A12543B"/>
    <w:rsid w:val="6A146134"/>
    <w:rsid w:val="6A1572D6"/>
    <w:rsid w:val="6A181CBB"/>
    <w:rsid w:val="6A1A161A"/>
    <w:rsid w:val="6A1C41E3"/>
    <w:rsid w:val="6A1E27E4"/>
    <w:rsid w:val="6A1E6E36"/>
    <w:rsid w:val="6A20004D"/>
    <w:rsid w:val="6A213010"/>
    <w:rsid w:val="6A2662E2"/>
    <w:rsid w:val="6A2D4080"/>
    <w:rsid w:val="6A3568F0"/>
    <w:rsid w:val="6A4E1ECE"/>
    <w:rsid w:val="6A500C51"/>
    <w:rsid w:val="6A567CD9"/>
    <w:rsid w:val="6A587827"/>
    <w:rsid w:val="6A5F31CD"/>
    <w:rsid w:val="6A632D31"/>
    <w:rsid w:val="6A654314"/>
    <w:rsid w:val="6A666190"/>
    <w:rsid w:val="6A674840"/>
    <w:rsid w:val="6A7A6354"/>
    <w:rsid w:val="6A7B0761"/>
    <w:rsid w:val="6A8002D2"/>
    <w:rsid w:val="6A846CA1"/>
    <w:rsid w:val="6A900ADE"/>
    <w:rsid w:val="6A917AEB"/>
    <w:rsid w:val="6A931DF0"/>
    <w:rsid w:val="6A975AF6"/>
    <w:rsid w:val="6A9825A6"/>
    <w:rsid w:val="6AA311ED"/>
    <w:rsid w:val="6AA401E8"/>
    <w:rsid w:val="6AA41437"/>
    <w:rsid w:val="6AAA3DE0"/>
    <w:rsid w:val="6AC63468"/>
    <w:rsid w:val="6ACF79CC"/>
    <w:rsid w:val="6AD052BB"/>
    <w:rsid w:val="6AD4145D"/>
    <w:rsid w:val="6AD64886"/>
    <w:rsid w:val="6AF10CE3"/>
    <w:rsid w:val="6AF503DD"/>
    <w:rsid w:val="6AF57F8A"/>
    <w:rsid w:val="6AF723A7"/>
    <w:rsid w:val="6AFE2190"/>
    <w:rsid w:val="6AFF4130"/>
    <w:rsid w:val="6B0024D3"/>
    <w:rsid w:val="6B0A5C12"/>
    <w:rsid w:val="6B100CDB"/>
    <w:rsid w:val="6B1128D6"/>
    <w:rsid w:val="6B122F73"/>
    <w:rsid w:val="6B2278E3"/>
    <w:rsid w:val="6B276653"/>
    <w:rsid w:val="6B43085E"/>
    <w:rsid w:val="6B4F53CD"/>
    <w:rsid w:val="6B570452"/>
    <w:rsid w:val="6B652F06"/>
    <w:rsid w:val="6B703744"/>
    <w:rsid w:val="6B713583"/>
    <w:rsid w:val="6B733DFF"/>
    <w:rsid w:val="6B7875C4"/>
    <w:rsid w:val="6B7D3DA1"/>
    <w:rsid w:val="6B812AD7"/>
    <w:rsid w:val="6B9863E2"/>
    <w:rsid w:val="6B9C7EE2"/>
    <w:rsid w:val="6B9F1B88"/>
    <w:rsid w:val="6BA36FA1"/>
    <w:rsid w:val="6BAF3F47"/>
    <w:rsid w:val="6BBB2A7F"/>
    <w:rsid w:val="6BBD7E4E"/>
    <w:rsid w:val="6BC12BC3"/>
    <w:rsid w:val="6BC255FB"/>
    <w:rsid w:val="6BCB759E"/>
    <w:rsid w:val="6BCC7390"/>
    <w:rsid w:val="6BD74A13"/>
    <w:rsid w:val="6BDA7198"/>
    <w:rsid w:val="6BDD32F6"/>
    <w:rsid w:val="6BE54DFB"/>
    <w:rsid w:val="6BE555A9"/>
    <w:rsid w:val="6BEA2D0C"/>
    <w:rsid w:val="6BEA4999"/>
    <w:rsid w:val="6BEB0FFD"/>
    <w:rsid w:val="6BEE1755"/>
    <w:rsid w:val="6BFA5780"/>
    <w:rsid w:val="6C11340F"/>
    <w:rsid w:val="6C1D7C66"/>
    <w:rsid w:val="6C2447D8"/>
    <w:rsid w:val="6C2515A1"/>
    <w:rsid w:val="6C253AA6"/>
    <w:rsid w:val="6C293D29"/>
    <w:rsid w:val="6C2B0ACB"/>
    <w:rsid w:val="6C2D107A"/>
    <w:rsid w:val="6C365799"/>
    <w:rsid w:val="6C446AF9"/>
    <w:rsid w:val="6C485A2A"/>
    <w:rsid w:val="6C4E4249"/>
    <w:rsid w:val="6C5035B0"/>
    <w:rsid w:val="6C515D11"/>
    <w:rsid w:val="6C592976"/>
    <w:rsid w:val="6C5B6323"/>
    <w:rsid w:val="6C6235A6"/>
    <w:rsid w:val="6C676F99"/>
    <w:rsid w:val="6C737494"/>
    <w:rsid w:val="6C8F008A"/>
    <w:rsid w:val="6C923F39"/>
    <w:rsid w:val="6C9A5A5B"/>
    <w:rsid w:val="6C9D55CD"/>
    <w:rsid w:val="6C9E21D0"/>
    <w:rsid w:val="6CAF118B"/>
    <w:rsid w:val="6CB07024"/>
    <w:rsid w:val="6CBB0582"/>
    <w:rsid w:val="6CBC1181"/>
    <w:rsid w:val="6CCF39D0"/>
    <w:rsid w:val="6CD1141C"/>
    <w:rsid w:val="6CD15DDA"/>
    <w:rsid w:val="6CD20E6D"/>
    <w:rsid w:val="6CD23CAF"/>
    <w:rsid w:val="6CD94B7B"/>
    <w:rsid w:val="6CFC1D76"/>
    <w:rsid w:val="6D0C1551"/>
    <w:rsid w:val="6D0C4181"/>
    <w:rsid w:val="6D226635"/>
    <w:rsid w:val="6D226CC2"/>
    <w:rsid w:val="6D355F92"/>
    <w:rsid w:val="6D3D5B10"/>
    <w:rsid w:val="6D453D9B"/>
    <w:rsid w:val="6D4F7FD3"/>
    <w:rsid w:val="6D573C38"/>
    <w:rsid w:val="6D594CC1"/>
    <w:rsid w:val="6D5A20D2"/>
    <w:rsid w:val="6D6467DB"/>
    <w:rsid w:val="6D6F4695"/>
    <w:rsid w:val="6D7157F8"/>
    <w:rsid w:val="6D72206F"/>
    <w:rsid w:val="6D8076BB"/>
    <w:rsid w:val="6D821F2F"/>
    <w:rsid w:val="6D884A4B"/>
    <w:rsid w:val="6D8D3C33"/>
    <w:rsid w:val="6D90329E"/>
    <w:rsid w:val="6D952E30"/>
    <w:rsid w:val="6D9E4BE6"/>
    <w:rsid w:val="6D9F3272"/>
    <w:rsid w:val="6DA27E97"/>
    <w:rsid w:val="6DA91751"/>
    <w:rsid w:val="6DA97BEB"/>
    <w:rsid w:val="6DAD51F8"/>
    <w:rsid w:val="6DB84EE2"/>
    <w:rsid w:val="6DB97DE8"/>
    <w:rsid w:val="6DBC4ABE"/>
    <w:rsid w:val="6DC128FE"/>
    <w:rsid w:val="6DC20F14"/>
    <w:rsid w:val="6DC44326"/>
    <w:rsid w:val="6DC47752"/>
    <w:rsid w:val="6DC512ED"/>
    <w:rsid w:val="6DCD1409"/>
    <w:rsid w:val="6DD63F1B"/>
    <w:rsid w:val="6DDA2D93"/>
    <w:rsid w:val="6DDD59CA"/>
    <w:rsid w:val="6DED296D"/>
    <w:rsid w:val="6DF939BC"/>
    <w:rsid w:val="6E030193"/>
    <w:rsid w:val="6E042FA6"/>
    <w:rsid w:val="6E1B0C61"/>
    <w:rsid w:val="6E1C2025"/>
    <w:rsid w:val="6E315BD0"/>
    <w:rsid w:val="6E37072C"/>
    <w:rsid w:val="6E3C5DA9"/>
    <w:rsid w:val="6E600037"/>
    <w:rsid w:val="6E6E21D1"/>
    <w:rsid w:val="6E755681"/>
    <w:rsid w:val="6E766F97"/>
    <w:rsid w:val="6E81246E"/>
    <w:rsid w:val="6E8A201D"/>
    <w:rsid w:val="6E943CC4"/>
    <w:rsid w:val="6E964983"/>
    <w:rsid w:val="6E9827DD"/>
    <w:rsid w:val="6EA3004B"/>
    <w:rsid w:val="6EA32F06"/>
    <w:rsid w:val="6EAD25F7"/>
    <w:rsid w:val="6EB16F7D"/>
    <w:rsid w:val="6EBC7157"/>
    <w:rsid w:val="6EBD3E61"/>
    <w:rsid w:val="6ED362C2"/>
    <w:rsid w:val="6ED644AD"/>
    <w:rsid w:val="6EE9736C"/>
    <w:rsid w:val="6EF3357D"/>
    <w:rsid w:val="6EF4457E"/>
    <w:rsid w:val="6EF61839"/>
    <w:rsid w:val="6EF867E4"/>
    <w:rsid w:val="6EFF10D8"/>
    <w:rsid w:val="6F0A77A0"/>
    <w:rsid w:val="6F1C5F49"/>
    <w:rsid w:val="6F2F0386"/>
    <w:rsid w:val="6F334171"/>
    <w:rsid w:val="6F3465BF"/>
    <w:rsid w:val="6F3E4F0F"/>
    <w:rsid w:val="6F4B6208"/>
    <w:rsid w:val="6F5F67D2"/>
    <w:rsid w:val="6F6D30E5"/>
    <w:rsid w:val="6F785B4B"/>
    <w:rsid w:val="6F7B4E62"/>
    <w:rsid w:val="6F804FB1"/>
    <w:rsid w:val="6F832A27"/>
    <w:rsid w:val="6F8433A5"/>
    <w:rsid w:val="6F8C1F6F"/>
    <w:rsid w:val="6F8C3DAA"/>
    <w:rsid w:val="6F8D0FF2"/>
    <w:rsid w:val="6F8E1EA5"/>
    <w:rsid w:val="6F985883"/>
    <w:rsid w:val="6FA46F61"/>
    <w:rsid w:val="6FAC6610"/>
    <w:rsid w:val="6FB847FE"/>
    <w:rsid w:val="6FBA7BD6"/>
    <w:rsid w:val="6FCA7FA9"/>
    <w:rsid w:val="6FCF3587"/>
    <w:rsid w:val="6FDD42E6"/>
    <w:rsid w:val="6FE36B28"/>
    <w:rsid w:val="6FE54F33"/>
    <w:rsid w:val="6FF4702D"/>
    <w:rsid w:val="6FFA71B2"/>
    <w:rsid w:val="700D145E"/>
    <w:rsid w:val="700D32F2"/>
    <w:rsid w:val="70134CF8"/>
    <w:rsid w:val="701A40A3"/>
    <w:rsid w:val="702E7F70"/>
    <w:rsid w:val="70336FDC"/>
    <w:rsid w:val="703411AB"/>
    <w:rsid w:val="704149D2"/>
    <w:rsid w:val="704C5088"/>
    <w:rsid w:val="7053242A"/>
    <w:rsid w:val="705C2C33"/>
    <w:rsid w:val="7061760C"/>
    <w:rsid w:val="70657406"/>
    <w:rsid w:val="70762000"/>
    <w:rsid w:val="707E108A"/>
    <w:rsid w:val="707F5CB2"/>
    <w:rsid w:val="70813500"/>
    <w:rsid w:val="708E3F12"/>
    <w:rsid w:val="709A1488"/>
    <w:rsid w:val="70A12499"/>
    <w:rsid w:val="70A539A4"/>
    <w:rsid w:val="70A56F39"/>
    <w:rsid w:val="70AB29FC"/>
    <w:rsid w:val="70B302E3"/>
    <w:rsid w:val="70C4450F"/>
    <w:rsid w:val="70C82EEC"/>
    <w:rsid w:val="70C834EE"/>
    <w:rsid w:val="70F42453"/>
    <w:rsid w:val="70FB7D38"/>
    <w:rsid w:val="71126824"/>
    <w:rsid w:val="712054A9"/>
    <w:rsid w:val="71334A7F"/>
    <w:rsid w:val="713D2C19"/>
    <w:rsid w:val="71405F56"/>
    <w:rsid w:val="714E37F7"/>
    <w:rsid w:val="71546E15"/>
    <w:rsid w:val="71550581"/>
    <w:rsid w:val="715857A3"/>
    <w:rsid w:val="715E1524"/>
    <w:rsid w:val="716F7956"/>
    <w:rsid w:val="716F7D84"/>
    <w:rsid w:val="71712C3F"/>
    <w:rsid w:val="71725FF4"/>
    <w:rsid w:val="717E37B5"/>
    <w:rsid w:val="717E5BA3"/>
    <w:rsid w:val="717F4EF4"/>
    <w:rsid w:val="71806C15"/>
    <w:rsid w:val="718161BD"/>
    <w:rsid w:val="71897764"/>
    <w:rsid w:val="718D654C"/>
    <w:rsid w:val="71907619"/>
    <w:rsid w:val="719146C4"/>
    <w:rsid w:val="71931A05"/>
    <w:rsid w:val="719851E0"/>
    <w:rsid w:val="719A1DAE"/>
    <w:rsid w:val="719F121A"/>
    <w:rsid w:val="71A650E9"/>
    <w:rsid w:val="71A97795"/>
    <w:rsid w:val="71B72208"/>
    <w:rsid w:val="71C6676E"/>
    <w:rsid w:val="71C7491F"/>
    <w:rsid w:val="71CF584A"/>
    <w:rsid w:val="71D00D58"/>
    <w:rsid w:val="71DA3A81"/>
    <w:rsid w:val="71E668B9"/>
    <w:rsid w:val="71EF5B86"/>
    <w:rsid w:val="71FA0310"/>
    <w:rsid w:val="71FA03A4"/>
    <w:rsid w:val="71FC042B"/>
    <w:rsid w:val="7203475A"/>
    <w:rsid w:val="720C50A4"/>
    <w:rsid w:val="721867C9"/>
    <w:rsid w:val="72340E14"/>
    <w:rsid w:val="723E2270"/>
    <w:rsid w:val="724F4761"/>
    <w:rsid w:val="72552748"/>
    <w:rsid w:val="7257734C"/>
    <w:rsid w:val="726C3CB4"/>
    <w:rsid w:val="7288268C"/>
    <w:rsid w:val="728C0F4F"/>
    <w:rsid w:val="72923FE8"/>
    <w:rsid w:val="729942E8"/>
    <w:rsid w:val="72BC7B1C"/>
    <w:rsid w:val="72E17E12"/>
    <w:rsid w:val="72E93268"/>
    <w:rsid w:val="72F65229"/>
    <w:rsid w:val="7307279A"/>
    <w:rsid w:val="730B4688"/>
    <w:rsid w:val="7310150F"/>
    <w:rsid w:val="731659A5"/>
    <w:rsid w:val="73217A9C"/>
    <w:rsid w:val="733F2EB7"/>
    <w:rsid w:val="733F37B2"/>
    <w:rsid w:val="73422ACE"/>
    <w:rsid w:val="734F47B4"/>
    <w:rsid w:val="735029F8"/>
    <w:rsid w:val="73565BA5"/>
    <w:rsid w:val="73656511"/>
    <w:rsid w:val="736D4B5E"/>
    <w:rsid w:val="73705C26"/>
    <w:rsid w:val="737566AB"/>
    <w:rsid w:val="73797AB5"/>
    <w:rsid w:val="73797DAC"/>
    <w:rsid w:val="738B2FC3"/>
    <w:rsid w:val="738B3884"/>
    <w:rsid w:val="738C6FDD"/>
    <w:rsid w:val="73AE7E8F"/>
    <w:rsid w:val="73B205FF"/>
    <w:rsid w:val="73BD5682"/>
    <w:rsid w:val="73C2465C"/>
    <w:rsid w:val="73C64E21"/>
    <w:rsid w:val="73CE373A"/>
    <w:rsid w:val="73D627D9"/>
    <w:rsid w:val="73DF1C04"/>
    <w:rsid w:val="73E100AA"/>
    <w:rsid w:val="73E17EBC"/>
    <w:rsid w:val="73E93C80"/>
    <w:rsid w:val="73E96378"/>
    <w:rsid w:val="73EB1642"/>
    <w:rsid w:val="73EB5CC6"/>
    <w:rsid w:val="73EE3508"/>
    <w:rsid w:val="73F4154E"/>
    <w:rsid w:val="73F73087"/>
    <w:rsid w:val="73FF566D"/>
    <w:rsid w:val="74056267"/>
    <w:rsid w:val="740B3B3C"/>
    <w:rsid w:val="74184967"/>
    <w:rsid w:val="741E6EC9"/>
    <w:rsid w:val="742D396E"/>
    <w:rsid w:val="7430265E"/>
    <w:rsid w:val="74381571"/>
    <w:rsid w:val="743A7459"/>
    <w:rsid w:val="743B5ED5"/>
    <w:rsid w:val="744B1037"/>
    <w:rsid w:val="746167EE"/>
    <w:rsid w:val="746C429A"/>
    <w:rsid w:val="746F0C65"/>
    <w:rsid w:val="74747F7D"/>
    <w:rsid w:val="74770CC5"/>
    <w:rsid w:val="747B4742"/>
    <w:rsid w:val="747E47AC"/>
    <w:rsid w:val="747E5A14"/>
    <w:rsid w:val="74803E68"/>
    <w:rsid w:val="74817139"/>
    <w:rsid w:val="74A044FB"/>
    <w:rsid w:val="74A2465F"/>
    <w:rsid w:val="74B712E4"/>
    <w:rsid w:val="74D65BE1"/>
    <w:rsid w:val="74E219ED"/>
    <w:rsid w:val="74E821C4"/>
    <w:rsid w:val="74FA2A27"/>
    <w:rsid w:val="75164D6C"/>
    <w:rsid w:val="75193A74"/>
    <w:rsid w:val="751D432A"/>
    <w:rsid w:val="752C15DF"/>
    <w:rsid w:val="752C60A4"/>
    <w:rsid w:val="753C6901"/>
    <w:rsid w:val="75484B95"/>
    <w:rsid w:val="754D436C"/>
    <w:rsid w:val="75583C85"/>
    <w:rsid w:val="755C5A2D"/>
    <w:rsid w:val="755F66A1"/>
    <w:rsid w:val="75654035"/>
    <w:rsid w:val="75670565"/>
    <w:rsid w:val="75690083"/>
    <w:rsid w:val="756C538B"/>
    <w:rsid w:val="75710D0E"/>
    <w:rsid w:val="75710D1F"/>
    <w:rsid w:val="75733756"/>
    <w:rsid w:val="757777FF"/>
    <w:rsid w:val="757A3468"/>
    <w:rsid w:val="757D3E94"/>
    <w:rsid w:val="75867D0A"/>
    <w:rsid w:val="758D33DD"/>
    <w:rsid w:val="75940013"/>
    <w:rsid w:val="75A235DA"/>
    <w:rsid w:val="75AC09D7"/>
    <w:rsid w:val="75B47DE6"/>
    <w:rsid w:val="75BA4742"/>
    <w:rsid w:val="75C12948"/>
    <w:rsid w:val="75DF389B"/>
    <w:rsid w:val="75EA5D09"/>
    <w:rsid w:val="75F03E87"/>
    <w:rsid w:val="75F3343E"/>
    <w:rsid w:val="75FA5D2E"/>
    <w:rsid w:val="75FE1585"/>
    <w:rsid w:val="76033C84"/>
    <w:rsid w:val="76073BE5"/>
    <w:rsid w:val="761546D9"/>
    <w:rsid w:val="76213A6C"/>
    <w:rsid w:val="7646768D"/>
    <w:rsid w:val="76482C7A"/>
    <w:rsid w:val="76492816"/>
    <w:rsid w:val="764A52F9"/>
    <w:rsid w:val="76667A6D"/>
    <w:rsid w:val="766D05FF"/>
    <w:rsid w:val="766D33E0"/>
    <w:rsid w:val="76763D35"/>
    <w:rsid w:val="767E2368"/>
    <w:rsid w:val="76870533"/>
    <w:rsid w:val="768918F1"/>
    <w:rsid w:val="76913341"/>
    <w:rsid w:val="76A40C48"/>
    <w:rsid w:val="76AC7CAF"/>
    <w:rsid w:val="76CA0A5B"/>
    <w:rsid w:val="76D31ADA"/>
    <w:rsid w:val="76D47F28"/>
    <w:rsid w:val="76DC2944"/>
    <w:rsid w:val="76DC2C9B"/>
    <w:rsid w:val="76DE7A91"/>
    <w:rsid w:val="76E0158B"/>
    <w:rsid w:val="76E63B1C"/>
    <w:rsid w:val="76EF132A"/>
    <w:rsid w:val="76FA0759"/>
    <w:rsid w:val="76FF7081"/>
    <w:rsid w:val="77146149"/>
    <w:rsid w:val="77153ECA"/>
    <w:rsid w:val="771B19D9"/>
    <w:rsid w:val="772B06F3"/>
    <w:rsid w:val="772B29EC"/>
    <w:rsid w:val="77331554"/>
    <w:rsid w:val="77497F70"/>
    <w:rsid w:val="774E16D7"/>
    <w:rsid w:val="77506C3F"/>
    <w:rsid w:val="7752759B"/>
    <w:rsid w:val="77582AC2"/>
    <w:rsid w:val="77686BE1"/>
    <w:rsid w:val="776920A5"/>
    <w:rsid w:val="776D0E49"/>
    <w:rsid w:val="776E252B"/>
    <w:rsid w:val="7771226C"/>
    <w:rsid w:val="777A6424"/>
    <w:rsid w:val="777B241F"/>
    <w:rsid w:val="777B4DC0"/>
    <w:rsid w:val="778D489B"/>
    <w:rsid w:val="77953D5C"/>
    <w:rsid w:val="77990964"/>
    <w:rsid w:val="77A7092E"/>
    <w:rsid w:val="77B73D31"/>
    <w:rsid w:val="77C410C1"/>
    <w:rsid w:val="77D070DE"/>
    <w:rsid w:val="77D25514"/>
    <w:rsid w:val="77DF0DAE"/>
    <w:rsid w:val="77E23AE2"/>
    <w:rsid w:val="77FB5518"/>
    <w:rsid w:val="780C3A7E"/>
    <w:rsid w:val="78120E54"/>
    <w:rsid w:val="781A18B0"/>
    <w:rsid w:val="781C73F0"/>
    <w:rsid w:val="781F178A"/>
    <w:rsid w:val="782942F2"/>
    <w:rsid w:val="783508FE"/>
    <w:rsid w:val="784548FD"/>
    <w:rsid w:val="784C137E"/>
    <w:rsid w:val="784E5DC5"/>
    <w:rsid w:val="78594907"/>
    <w:rsid w:val="785E6B7A"/>
    <w:rsid w:val="7860333A"/>
    <w:rsid w:val="78657301"/>
    <w:rsid w:val="78683CC1"/>
    <w:rsid w:val="786C7F30"/>
    <w:rsid w:val="786F385F"/>
    <w:rsid w:val="787C51E8"/>
    <w:rsid w:val="788003A8"/>
    <w:rsid w:val="788460C1"/>
    <w:rsid w:val="788818A2"/>
    <w:rsid w:val="788B7C30"/>
    <w:rsid w:val="78AA232E"/>
    <w:rsid w:val="78B452F9"/>
    <w:rsid w:val="78B950CC"/>
    <w:rsid w:val="78C645BA"/>
    <w:rsid w:val="78CD2AA6"/>
    <w:rsid w:val="78CF133C"/>
    <w:rsid w:val="78CF65C6"/>
    <w:rsid w:val="78D10508"/>
    <w:rsid w:val="78DD58A2"/>
    <w:rsid w:val="78E044E3"/>
    <w:rsid w:val="78E079A9"/>
    <w:rsid w:val="78E42F40"/>
    <w:rsid w:val="78E44605"/>
    <w:rsid w:val="78EF0A82"/>
    <w:rsid w:val="78F35CFF"/>
    <w:rsid w:val="78F95E1B"/>
    <w:rsid w:val="790276D7"/>
    <w:rsid w:val="79174294"/>
    <w:rsid w:val="79222611"/>
    <w:rsid w:val="792867F0"/>
    <w:rsid w:val="792B4828"/>
    <w:rsid w:val="792E53C8"/>
    <w:rsid w:val="79306B09"/>
    <w:rsid w:val="7933487A"/>
    <w:rsid w:val="79376126"/>
    <w:rsid w:val="794940A8"/>
    <w:rsid w:val="794E37C9"/>
    <w:rsid w:val="794F6637"/>
    <w:rsid w:val="7951058E"/>
    <w:rsid w:val="79530577"/>
    <w:rsid w:val="7956593C"/>
    <w:rsid w:val="79592104"/>
    <w:rsid w:val="795B1465"/>
    <w:rsid w:val="796410B7"/>
    <w:rsid w:val="79732EBC"/>
    <w:rsid w:val="797D05D4"/>
    <w:rsid w:val="797F5554"/>
    <w:rsid w:val="79850083"/>
    <w:rsid w:val="79871188"/>
    <w:rsid w:val="79A0111D"/>
    <w:rsid w:val="79AA434A"/>
    <w:rsid w:val="79BB1073"/>
    <w:rsid w:val="79D528A5"/>
    <w:rsid w:val="79D971BD"/>
    <w:rsid w:val="79DE702E"/>
    <w:rsid w:val="79E67672"/>
    <w:rsid w:val="79FC0095"/>
    <w:rsid w:val="79FD2C2C"/>
    <w:rsid w:val="7A0064E7"/>
    <w:rsid w:val="7A096696"/>
    <w:rsid w:val="7A0C3E33"/>
    <w:rsid w:val="7A1632C1"/>
    <w:rsid w:val="7A19682C"/>
    <w:rsid w:val="7A1B61F3"/>
    <w:rsid w:val="7A2675DF"/>
    <w:rsid w:val="7A2A3E2D"/>
    <w:rsid w:val="7A2C45FD"/>
    <w:rsid w:val="7A3951D3"/>
    <w:rsid w:val="7A395E1D"/>
    <w:rsid w:val="7A3C0051"/>
    <w:rsid w:val="7A4662FA"/>
    <w:rsid w:val="7A486F99"/>
    <w:rsid w:val="7A4F78E1"/>
    <w:rsid w:val="7A5C1B12"/>
    <w:rsid w:val="7A615624"/>
    <w:rsid w:val="7A670209"/>
    <w:rsid w:val="7A685FCD"/>
    <w:rsid w:val="7A6E2D6A"/>
    <w:rsid w:val="7A741842"/>
    <w:rsid w:val="7A802450"/>
    <w:rsid w:val="7A802C00"/>
    <w:rsid w:val="7A984841"/>
    <w:rsid w:val="7A9C05FF"/>
    <w:rsid w:val="7AA60DF2"/>
    <w:rsid w:val="7AA96B50"/>
    <w:rsid w:val="7AAF7E3C"/>
    <w:rsid w:val="7AB36F5E"/>
    <w:rsid w:val="7ABD7B1E"/>
    <w:rsid w:val="7ACD490D"/>
    <w:rsid w:val="7ACF4FC7"/>
    <w:rsid w:val="7AE35956"/>
    <w:rsid w:val="7AE81AD9"/>
    <w:rsid w:val="7AEF3C15"/>
    <w:rsid w:val="7AF30918"/>
    <w:rsid w:val="7AF37FB3"/>
    <w:rsid w:val="7AF63A0D"/>
    <w:rsid w:val="7AFF477E"/>
    <w:rsid w:val="7B182FCF"/>
    <w:rsid w:val="7B1B0762"/>
    <w:rsid w:val="7B1B4C17"/>
    <w:rsid w:val="7B2C07EB"/>
    <w:rsid w:val="7B2C3522"/>
    <w:rsid w:val="7B345490"/>
    <w:rsid w:val="7B51696C"/>
    <w:rsid w:val="7B543440"/>
    <w:rsid w:val="7B561BC2"/>
    <w:rsid w:val="7B565550"/>
    <w:rsid w:val="7B577705"/>
    <w:rsid w:val="7B5D174C"/>
    <w:rsid w:val="7B600C5F"/>
    <w:rsid w:val="7B6B4F2D"/>
    <w:rsid w:val="7B6F7A45"/>
    <w:rsid w:val="7B707F5B"/>
    <w:rsid w:val="7B723232"/>
    <w:rsid w:val="7B83180A"/>
    <w:rsid w:val="7B8B3801"/>
    <w:rsid w:val="7B9333AA"/>
    <w:rsid w:val="7B97175E"/>
    <w:rsid w:val="7B9E1F3D"/>
    <w:rsid w:val="7BA52C97"/>
    <w:rsid w:val="7BAB48E3"/>
    <w:rsid w:val="7BBE2151"/>
    <w:rsid w:val="7BC501CD"/>
    <w:rsid w:val="7BCF732F"/>
    <w:rsid w:val="7BD703C3"/>
    <w:rsid w:val="7BD85920"/>
    <w:rsid w:val="7BDD5515"/>
    <w:rsid w:val="7BEF2F2F"/>
    <w:rsid w:val="7BF27C14"/>
    <w:rsid w:val="7BF50DB4"/>
    <w:rsid w:val="7BFA059B"/>
    <w:rsid w:val="7BFB3744"/>
    <w:rsid w:val="7BFC1E65"/>
    <w:rsid w:val="7C153D59"/>
    <w:rsid w:val="7C171845"/>
    <w:rsid w:val="7C210FF5"/>
    <w:rsid w:val="7C2132B7"/>
    <w:rsid w:val="7C2950F5"/>
    <w:rsid w:val="7C2A6CD4"/>
    <w:rsid w:val="7C2D2E72"/>
    <w:rsid w:val="7C32209B"/>
    <w:rsid w:val="7C374AF8"/>
    <w:rsid w:val="7C387BE9"/>
    <w:rsid w:val="7C3D2071"/>
    <w:rsid w:val="7C3E5E53"/>
    <w:rsid w:val="7C4B6D42"/>
    <w:rsid w:val="7C4F5666"/>
    <w:rsid w:val="7C5F3C06"/>
    <w:rsid w:val="7C6007C4"/>
    <w:rsid w:val="7C6E6ED6"/>
    <w:rsid w:val="7C6F7C26"/>
    <w:rsid w:val="7C734128"/>
    <w:rsid w:val="7C751082"/>
    <w:rsid w:val="7C7B4686"/>
    <w:rsid w:val="7C892FBF"/>
    <w:rsid w:val="7C9948C9"/>
    <w:rsid w:val="7C9B46EA"/>
    <w:rsid w:val="7CA24CEA"/>
    <w:rsid w:val="7CA83EC0"/>
    <w:rsid w:val="7CB453F5"/>
    <w:rsid w:val="7CC043D1"/>
    <w:rsid w:val="7CC4616C"/>
    <w:rsid w:val="7CCE7013"/>
    <w:rsid w:val="7CCF4C20"/>
    <w:rsid w:val="7CD70682"/>
    <w:rsid w:val="7CE6444B"/>
    <w:rsid w:val="7CFB6359"/>
    <w:rsid w:val="7D0800A4"/>
    <w:rsid w:val="7D0843BE"/>
    <w:rsid w:val="7D0D4982"/>
    <w:rsid w:val="7D10299D"/>
    <w:rsid w:val="7D1A3B5A"/>
    <w:rsid w:val="7D1F12D6"/>
    <w:rsid w:val="7D234D47"/>
    <w:rsid w:val="7D2F7723"/>
    <w:rsid w:val="7D411E3A"/>
    <w:rsid w:val="7D5236A2"/>
    <w:rsid w:val="7D56745F"/>
    <w:rsid w:val="7D5E34FA"/>
    <w:rsid w:val="7D6074DC"/>
    <w:rsid w:val="7D637899"/>
    <w:rsid w:val="7D6A30FD"/>
    <w:rsid w:val="7D7168A8"/>
    <w:rsid w:val="7D7A262A"/>
    <w:rsid w:val="7D8109C3"/>
    <w:rsid w:val="7D826DFA"/>
    <w:rsid w:val="7D8455F2"/>
    <w:rsid w:val="7D854EA5"/>
    <w:rsid w:val="7D8857A8"/>
    <w:rsid w:val="7D8C7512"/>
    <w:rsid w:val="7D944D3F"/>
    <w:rsid w:val="7D947959"/>
    <w:rsid w:val="7D97314F"/>
    <w:rsid w:val="7D9B662B"/>
    <w:rsid w:val="7DA0773D"/>
    <w:rsid w:val="7DA6231E"/>
    <w:rsid w:val="7DA67A80"/>
    <w:rsid w:val="7DB12689"/>
    <w:rsid w:val="7DB83977"/>
    <w:rsid w:val="7DC41624"/>
    <w:rsid w:val="7DC919DC"/>
    <w:rsid w:val="7DC92406"/>
    <w:rsid w:val="7DC94D99"/>
    <w:rsid w:val="7DD07698"/>
    <w:rsid w:val="7DD33925"/>
    <w:rsid w:val="7DD862D6"/>
    <w:rsid w:val="7DE84DBF"/>
    <w:rsid w:val="7DED4D65"/>
    <w:rsid w:val="7DF76FAB"/>
    <w:rsid w:val="7E012BCB"/>
    <w:rsid w:val="7E0D2E06"/>
    <w:rsid w:val="7E0D732A"/>
    <w:rsid w:val="7E0F25B4"/>
    <w:rsid w:val="7E0F2BEE"/>
    <w:rsid w:val="7E152F02"/>
    <w:rsid w:val="7E1626EC"/>
    <w:rsid w:val="7E162F12"/>
    <w:rsid w:val="7E170211"/>
    <w:rsid w:val="7E1A37A0"/>
    <w:rsid w:val="7E254484"/>
    <w:rsid w:val="7E2A7D6A"/>
    <w:rsid w:val="7E3D417B"/>
    <w:rsid w:val="7E3F622C"/>
    <w:rsid w:val="7E4039C6"/>
    <w:rsid w:val="7E4F1A67"/>
    <w:rsid w:val="7E56237B"/>
    <w:rsid w:val="7E5A34F3"/>
    <w:rsid w:val="7E7E1B20"/>
    <w:rsid w:val="7E7F1921"/>
    <w:rsid w:val="7E7F5672"/>
    <w:rsid w:val="7E8356F4"/>
    <w:rsid w:val="7E8B4420"/>
    <w:rsid w:val="7E966B5D"/>
    <w:rsid w:val="7E9676F7"/>
    <w:rsid w:val="7E9A331D"/>
    <w:rsid w:val="7EAD335B"/>
    <w:rsid w:val="7EAE48B0"/>
    <w:rsid w:val="7EB14319"/>
    <w:rsid w:val="7EBC4A1F"/>
    <w:rsid w:val="7EC31832"/>
    <w:rsid w:val="7EC95F6F"/>
    <w:rsid w:val="7EE76EDF"/>
    <w:rsid w:val="7EF02D00"/>
    <w:rsid w:val="7EF55F7E"/>
    <w:rsid w:val="7EF8767E"/>
    <w:rsid w:val="7EF96C4D"/>
    <w:rsid w:val="7EFE5788"/>
    <w:rsid w:val="7F023BBC"/>
    <w:rsid w:val="7F086613"/>
    <w:rsid w:val="7F0A156B"/>
    <w:rsid w:val="7F106804"/>
    <w:rsid w:val="7F1A0CDE"/>
    <w:rsid w:val="7F1E626D"/>
    <w:rsid w:val="7F237701"/>
    <w:rsid w:val="7F2620DB"/>
    <w:rsid w:val="7F2F21D9"/>
    <w:rsid w:val="7F317AD7"/>
    <w:rsid w:val="7F3E0247"/>
    <w:rsid w:val="7F3E3325"/>
    <w:rsid w:val="7F3E4202"/>
    <w:rsid w:val="7F453DC2"/>
    <w:rsid w:val="7F5333A6"/>
    <w:rsid w:val="7F566C11"/>
    <w:rsid w:val="7F615561"/>
    <w:rsid w:val="7F6622EF"/>
    <w:rsid w:val="7F6D4D25"/>
    <w:rsid w:val="7F6D6F90"/>
    <w:rsid w:val="7F6F02C8"/>
    <w:rsid w:val="7F735F63"/>
    <w:rsid w:val="7F7440CE"/>
    <w:rsid w:val="7F8C57E7"/>
    <w:rsid w:val="7F983D64"/>
    <w:rsid w:val="7F9902BB"/>
    <w:rsid w:val="7F9F6650"/>
    <w:rsid w:val="7FA10378"/>
    <w:rsid w:val="7FA52767"/>
    <w:rsid w:val="7FA66D11"/>
    <w:rsid w:val="7FB31D8F"/>
    <w:rsid w:val="7FB72394"/>
    <w:rsid w:val="7FC123FF"/>
    <w:rsid w:val="7FC30633"/>
    <w:rsid w:val="7FC93EBA"/>
    <w:rsid w:val="7FD30686"/>
    <w:rsid w:val="7FD50876"/>
    <w:rsid w:val="7FD94377"/>
    <w:rsid w:val="7FD949BD"/>
    <w:rsid w:val="7FDF36DE"/>
    <w:rsid w:val="7FE24E06"/>
    <w:rsid w:val="7FE770E5"/>
    <w:rsid w:val="7FE8788A"/>
    <w:rsid w:val="7FF2723A"/>
    <w:rsid w:val="7FF369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6"/>
    <w:qFormat/>
    <w:uiPriority w:val="99"/>
    <w:pPr>
      <w:keepNext/>
      <w:keepLines/>
      <w:spacing w:line="416" w:lineRule="auto"/>
      <w:outlineLvl w:val="2"/>
    </w:pPr>
    <w:rPr>
      <w:b/>
      <w:bCs/>
      <w:sz w:val="32"/>
      <w:szCs w:val="32"/>
    </w:rPr>
  </w:style>
  <w:style w:type="paragraph" w:styleId="5">
    <w:name w:val="heading 6"/>
    <w:basedOn w:val="1"/>
    <w:next w:val="1"/>
    <w:qFormat/>
    <w:locked/>
    <w:uiPriority w:val="99"/>
    <w:pPr>
      <w:keepNext/>
      <w:keepLines/>
      <w:spacing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rPr>
  </w:style>
  <w:style w:type="paragraph" w:styleId="7">
    <w:name w:val="Normal Indent"/>
    <w:basedOn w:val="1"/>
    <w:qFormat/>
    <w:uiPriority w:val="99"/>
    <w:pPr>
      <w:spacing w:line="440" w:lineRule="exact"/>
      <w:ind w:firstLine="420" w:firstLineChars="200"/>
    </w:pPr>
    <w:rPr>
      <w:sz w:val="24"/>
      <w:szCs w:val="24"/>
    </w:rPr>
  </w:style>
  <w:style w:type="paragraph" w:styleId="8">
    <w:name w:val="caption"/>
    <w:basedOn w:val="1"/>
    <w:next w:val="1"/>
    <w:unhideWhenUsed/>
    <w:qFormat/>
    <w:locked/>
    <w:uiPriority w:val="0"/>
    <w:pPr>
      <w:spacing w:before="152" w:after="160"/>
    </w:pPr>
    <w:rPr>
      <w:rFonts w:ascii="Arial" w:hAnsi="Arial" w:eastAsia="黑体" w:cs="Arial"/>
      <w:sz w:val="20"/>
      <w:szCs w:val="20"/>
    </w:rPr>
  </w:style>
  <w:style w:type="paragraph" w:styleId="9">
    <w:name w:val="annotation text"/>
    <w:basedOn w:val="1"/>
    <w:link w:val="67"/>
    <w:semiHidden/>
    <w:qFormat/>
    <w:uiPriority w:val="99"/>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
    <w:qFormat/>
    <w:uiPriority w:val="0"/>
  </w:style>
  <w:style w:type="paragraph" w:styleId="12">
    <w:name w:val="Body Text Indent"/>
    <w:basedOn w:val="1"/>
    <w:next w:val="7"/>
    <w:link w:val="47"/>
    <w:qFormat/>
    <w:uiPriority w:val="99"/>
    <w:pPr>
      <w:ind w:left="420" w:leftChars="200"/>
    </w:pPr>
  </w:style>
  <w:style w:type="paragraph" w:styleId="13">
    <w:name w:val="Block Text"/>
    <w:basedOn w:val="1"/>
    <w:unhideWhenUsed/>
    <w:qFormat/>
    <w:uiPriority w:val="0"/>
    <w:pPr>
      <w:spacing w:beforeLines="0" w:afterLines="0"/>
      <w:ind w:left="1200" w:right="-72" w:hanging="30"/>
    </w:pPr>
    <w:rPr>
      <w:rFonts w:hint="default" w:ascii="Arial" w:hAnsi="Arial" w:eastAsia="幼圆" w:cs="Arial"/>
      <w:sz w:val="22"/>
      <w:szCs w:val="20"/>
    </w:rPr>
  </w:style>
  <w:style w:type="paragraph" w:styleId="14">
    <w:name w:val="toc 3"/>
    <w:basedOn w:val="1"/>
    <w:next w:val="1"/>
    <w:unhideWhenUsed/>
    <w:qFormat/>
    <w:uiPriority w:val="39"/>
    <w:pPr>
      <w:ind w:left="840" w:leftChars="400"/>
    </w:pPr>
  </w:style>
  <w:style w:type="paragraph" w:styleId="15">
    <w:name w:val="Plain Text"/>
    <w:basedOn w:val="1"/>
    <w:next w:val="7"/>
    <w:link w:val="48"/>
    <w:qFormat/>
    <w:uiPriority w:val="99"/>
    <w:rPr>
      <w:rFonts w:ascii="宋体" w:hAnsi="Courier New" w:cs="宋体"/>
    </w:rPr>
  </w:style>
  <w:style w:type="paragraph" w:styleId="16">
    <w:name w:val="Date"/>
    <w:basedOn w:val="1"/>
    <w:next w:val="1"/>
    <w:unhideWhenUsed/>
    <w:qFormat/>
    <w:uiPriority w:val="99"/>
    <w:pPr>
      <w:ind w:left="2500" w:leftChars="2500"/>
    </w:pPr>
    <w:rPr>
      <w:rFonts w:eastAsia="楷体_GB2312"/>
      <w:sz w:val="32"/>
      <w:szCs w:val="20"/>
    </w:rPr>
  </w:style>
  <w:style w:type="paragraph" w:styleId="17">
    <w:name w:val="Body Text Indent 2"/>
    <w:basedOn w:val="1"/>
    <w:link w:val="49"/>
    <w:qFormat/>
    <w:uiPriority w:val="99"/>
    <w:pPr>
      <w:spacing w:line="480" w:lineRule="auto"/>
      <w:ind w:left="420" w:leftChars="200"/>
    </w:pPr>
  </w:style>
  <w:style w:type="paragraph" w:styleId="18">
    <w:name w:val="Balloon Text"/>
    <w:basedOn w:val="1"/>
    <w:link w:val="69"/>
    <w:semiHidden/>
    <w:qFormat/>
    <w:uiPriority w:val="99"/>
    <w:rPr>
      <w:sz w:val="18"/>
      <w:szCs w:val="18"/>
    </w:rPr>
  </w:style>
  <w:style w:type="paragraph" w:styleId="19">
    <w:name w:val="footer"/>
    <w:basedOn w:val="1"/>
    <w:link w:val="50"/>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1"/>
    <w:basedOn w:val="1"/>
    <w:next w:val="1"/>
    <w:semiHidden/>
    <w:qFormat/>
    <w:uiPriority w:val="99"/>
  </w:style>
  <w:style w:type="paragraph" w:styleId="22">
    <w:name w:val="toc 6"/>
    <w:basedOn w:val="1"/>
    <w:next w:val="1"/>
    <w:qFormat/>
    <w:uiPriority w:val="39"/>
    <w:pPr>
      <w:ind w:left="1200"/>
      <w:jc w:val="left"/>
    </w:pPr>
    <w:rPr>
      <w:sz w:val="18"/>
      <w:szCs w:val="18"/>
    </w:rPr>
  </w:style>
  <w:style w:type="paragraph" w:styleId="23">
    <w:name w:val="Body Text Indent 3"/>
    <w:basedOn w:val="1"/>
    <w:unhideWhenUsed/>
    <w:qFormat/>
    <w:uiPriority w:val="99"/>
    <w:pPr>
      <w:ind w:firstLine="435"/>
    </w:pPr>
  </w:style>
  <w:style w:type="paragraph" w:styleId="24">
    <w:name w:val="toc 2"/>
    <w:basedOn w:val="1"/>
    <w:next w:val="1"/>
    <w:semiHidden/>
    <w:qFormat/>
    <w:uiPriority w:val="99"/>
    <w:pPr>
      <w:ind w:left="420" w:leftChars="200"/>
    </w:pPr>
  </w:style>
  <w:style w:type="paragraph" w:styleId="25">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6">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7">
    <w:name w:val="annotation subject"/>
    <w:basedOn w:val="9"/>
    <w:next w:val="9"/>
    <w:link w:val="68"/>
    <w:semiHidden/>
    <w:qFormat/>
    <w:uiPriority w:val="99"/>
    <w:rPr>
      <w:b/>
      <w:bCs/>
    </w:rPr>
  </w:style>
  <w:style w:type="paragraph" w:styleId="28">
    <w:name w:val="Body Text First Indent"/>
    <w:basedOn w:val="11"/>
    <w:next w:val="1"/>
    <w:qFormat/>
    <w:uiPriority w:val="0"/>
    <w:pPr>
      <w:spacing w:line="360" w:lineRule="auto"/>
      <w:ind w:firstLine="200" w:firstLineChars="200"/>
    </w:pPr>
    <w:rPr>
      <w:rFonts w:ascii="仿宋_GB2312" w:hAnsi="Calibri" w:eastAsia="仿宋_GB2312"/>
      <w:bCs/>
      <w:kern w:val="0"/>
      <w:sz w:val="30"/>
      <w:szCs w:val="24"/>
    </w:rPr>
  </w:style>
  <w:style w:type="paragraph" w:styleId="29">
    <w:name w:val="Body Text First Indent 2"/>
    <w:basedOn w:val="12"/>
    <w:next w:val="30"/>
    <w:qFormat/>
    <w:uiPriority w:val="0"/>
    <w:pPr>
      <w:spacing w:after="120"/>
      <w:ind w:firstLine="420" w:firstLineChars="200"/>
    </w:pPr>
  </w:style>
  <w:style w:type="paragraph" w:customStyle="1" w:styleId="30">
    <w:name w:val="文章正文"/>
    <w:basedOn w:val="1"/>
    <w:next w:val="31"/>
    <w:qFormat/>
    <w:uiPriority w:val="0"/>
    <w:pPr>
      <w:spacing w:line="360" w:lineRule="auto"/>
      <w:ind w:firstLine="200" w:firstLineChars="200"/>
    </w:pPr>
    <w:rPr>
      <w:rFonts w:ascii="Times New Roman" w:hAnsi="Times New Roman" w:cs="Times New Roman"/>
      <w:snapToGrid/>
      <w:sz w:val="24"/>
      <w:szCs w:val="24"/>
    </w:rPr>
  </w:style>
  <w:style w:type="paragraph" w:customStyle="1" w:styleId="31">
    <w:name w:val="公式样式 变量"/>
    <w:qFormat/>
    <w:uiPriority w:val="0"/>
    <w:rPr>
      <w:rFonts w:ascii="Times New Roman" w:hAnsi="Times New Roman" w:eastAsia="宋体" w:cs="Times New Roman"/>
      <w:i/>
      <w:lang w:val="en-US" w:eastAsia="zh-CN" w:bidi="ar-SA"/>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locked/>
    <w:uiPriority w:val="0"/>
    <w:rPr>
      <w:b/>
      <w:bCs/>
    </w:rPr>
  </w:style>
  <w:style w:type="character" w:styleId="36">
    <w:name w:val="page number"/>
    <w:basedOn w:val="34"/>
    <w:qFormat/>
    <w:uiPriority w:val="0"/>
  </w:style>
  <w:style w:type="character" w:styleId="37">
    <w:name w:val="Hyperlink"/>
    <w:basedOn w:val="34"/>
    <w:qFormat/>
    <w:uiPriority w:val="99"/>
    <w:rPr>
      <w:color w:val="auto"/>
      <w:u w:val="single"/>
    </w:rPr>
  </w:style>
  <w:style w:type="character" w:styleId="38">
    <w:name w:val="annotation reference"/>
    <w:basedOn w:val="34"/>
    <w:semiHidden/>
    <w:qFormat/>
    <w:uiPriority w:val="99"/>
    <w:rPr>
      <w:sz w:val="21"/>
      <w:szCs w:val="21"/>
    </w:rPr>
  </w:style>
  <w:style w:type="paragraph" w:customStyle="1" w:styleId="3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样式 表格正文 + 两端对齐"/>
    <w:basedOn w:val="1"/>
    <w:next w:val="41"/>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41">
    <w:name w:val="正文1"/>
    <w:basedOn w:val="1"/>
    <w:next w:val="42"/>
    <w:qFormat/>
    <w:uiPriority w:val="0"/>
    <w:pPr>
      <w:widowControl/>
      <w:spacing w:line="360" w:lineRule="auto"/>
      <w:ind w:firstLine="200" w:firstLineChars="200"/>
      <w:jc w:val="left"/>
    </w:pPr>
    <w:rPr>
      <w:color w:val="000000"/>
      <w:sz w:val="24"/>
    </w:rPr>
  </w:style>
  <w:style w:type="paragraph" w:customStyle="1" w:styleId="42">
    <w:name w:val="自动更正"/>
    <w:next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xl39"/>
    <w:basedOn w:val="1"/>
    <w:next w:val="44"/>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46">
    <w:name w:val="标题 3 Char"/>
    <w:basedOn w:val="34"/>
    <w:link w:val="4"/>
    <w:semiHidden/>
    <w:qFormat/>
    <w:uiPriority w:val="9"/>
    <w:rPr>
      <w:rFonts w:ascii="Calibri" w:hAnsi="Calibri" w:cs="Calibri"/>
      <w:b/>
      <w:bCs/>
      <w:sz w:val="32"/>
      <w:szCs w:val="32"/>
    </w:rPr>
  </w:style>
  <w:style w:type="character" w:customStyle="1" w:styleId="47">
    <w:name w:val="正文文本缩进 Char"/>
    <w:basedOn w:val="34"/>
    <w:link w:val="12"/>
    <w:semiHidden/>
    <w:qFormat/>
    <w:uiPriority w:val="99"/>
    <w:rPr>
      <w:rFonts w:ascii="Calibri" w:hAnsi="Calibri" w:cs="Calibri"/>
      <w:szCs w:val="21"/>
    </w:rPr>
  </w:style>
  <w:style w:type="character" w:customStyle="1" w:styleId="48">
    <w:name w:val="纯文本 Char"/>
    <w:basedOn w:val="34"/>
    <w:link w:val="15"/>
    <w:semiHidden/>
    <w:qFormat/>
    <w:uiPriority w:val="99"/>
    <w:rPr>
      <w:rFonts w:ascii="宋体" w:hAnsi="Courier New" w:cs="Courier New"/>
      <w:szCs w:val="21"/>
    </w:rPr>
  </w:style>
  <w:style w:type="character" w:customStyle="1" w:styleId="49">
    <w:name w:val="正文文本缩进 2 Char"/>
    <w:basedOn w:val="34"/>
    <w:link w:val="17"/>
    <w:semiHidden/>
    <w:qFormat/>
    <w:uiPriority w:val="99"/>
    <w:rPr>
      <w:rFonts w:ascii="Calibri" w:hAnsi="Calibri" w:cs="Calibri"/>
      <w:szCs w:val="21"/>
    </w:rPr>
  </w:style>
  <w:style w:type="character" w:customStyle="1" w:styleId="50">
    <w:name w:val="页脚 Char"/>
    <w:basedOn w:val="34"/>
    <w:link w:val="19"/>
    <w:semiHidden/>
    <w:qFormat/>
    <w:uiPriority w:val="99"/>
    <w:rPr>
      <w:rFonts w:ascii="Calibri" w:hAnsi="Calibri" w:cs="Calibri"/>
      <w:sz w:val="18"/>
      <w:szCs w:val="18"/>
    </w:rPr>
  </w:style>
  <w:style w:type="character" w:customStyle="1" w:styleId="51">
    <w:name w:val="页眉 Char"/>
    <w:basedOn w:val="34"/>
    <w:link w:val="20"/>
    <w:semiHidden/>
    <w:qFormat/>
    <w:uiPriority w:val="99"/>
    <w:rPr>
      <w:rFonts w:ascii="Calibri" w:hAnsi="Calibri" w:cs="Calibri"/>
      <w:sz w:val="18"/>
      <w:szCs w:val="18"/>
    </w:rPr>
  </w:style>
  <w:style w:type="paragraph" w:customStyle="1" w:styleId="52">
    <w:name w:val="正文文字"/>
    <w:basedOn w:val="1"/>
    <w:qFormat/>
    <w:uiPriority w:val="99"/>
    <w:pPr>
      <w:spacing w:line="351" w:lineRule="atLeast"/>
      <w:ind w:firstLine="419"/>
    </w:pPr>
  </w:style>
  <w:style w:type="paragraph" w:customStyle="1" w:styleId="53">
    <w:name w:val="p0"/>
    <w:basedOn w:val="1"/>
    <w:qFormat/>
    <w:uiPriority w:val="99"/>
    <w:pPr>
      <w:widowControl/>
    </w:pPr>
    <w:rPr>
      <w:kern w:val="0"/>
    </w:rPr>
  </w:style>
  <w:style w:type="paragraph" w:customStyle="1" w:styleId="54">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5">
    <w:name w:val="font21"/>
    <w:basedOn w:val="34"/>
    <w:qFormat/>
    <w:uiPriority w:val="99"/>
    <w:rPr>
      <w:rFonts w:ascii="宋体" w:hAnsi="宋体" w:eastAsia="宋体" w:cs="宋体"/>
      <w:color w:val="000000"/>
      <w:sz w:val="21"/>
      <w:szCs w:val="21"/>
      <w:u w:val="none"/>
    </w:rPr>
  </w:style>
  <w:style w:type="character" w:customStyle="1" w:styleId="56">
    <w:name w:val="font11"/>
    <w:basedOn w:val="34"/>
    <w:qFormat/>
    <w:uiPriority w:val="99"/>
    <w:rPr>
      <w:rFonts w:ascii="宋体" w:hAnsi="宋体" w:eastAsia="宋体" w:cs="宋体"/>
      <w:color w:val="000000"/>
      <w:sz w:val="24"/>
      <w:szCs w:val="24"/>
      <w:u w:val="none"/>
    </w:rPr>
  </w:style>
  <w:style w:type="character" w:customStyle="1" w:styleId="57">
    <w:name w:val="font41"/>
    <w:basedOn w:val="34"/>
    <w:qFormat/>
    <w:uiPriority w:val="99"/>
    <w:rPr>
      <w:rFonts w:ascii="宋体" w:hAnsi="宋体" w:eastAsia="宋体" w:cs="宋体"/>
      <w:color w:val="FF0000"/>
      <w:sz w:val="24"/>
      <w:szCs w:val="24"/>
      <w:u w:val="none"/>
    </w:rPr>
  </w:style>
  <w:style w:type="character" w:customStyle="1" w:styleId="58">
    <w:name w:val="font61"/>
    <w:qFormat/>
    <w:uiPriority w:val="99"/>
    <w:rPr>
      <w:rFonts w:ascii="宋体" w:hAnsi="宋体" w:eastAsia="宋体" w:cs="宋体"/>
      <w:b/>
      <w:bCs/>
      <w:color w:val="000000"/>
      <w:sz w:val="21"/>
      <w:szCs w:val="21"/>
      <w:u w:val="none"/>
    </w:rPr>
  </w:style>
  <w:style w:type="character" w:customStyle="1" w:styleId="59">
    <w:name w:val="font81"/>
    <w:basedOn w:val="34"/>
    <w:qFormat/>
    <w:uiPriority w:val="99"/>
    <w:rPr>
      <w:rFonts w:ascii="宋体" w:hAnsi="宋体" w:eastAsia="宋体" w:cs="宋体"/>
      <w:color w:val="000000"/>
      <w:sz w:val="21"/>
      <w:szCs w:val="21"/>
      <w:u w:val="none"/>
    </w:rPr>
  </w:style>
  <w:style w:type="paragraph" w:customStyle="1" w:styleId="60">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1">
    <w:name w:val="_Style 1"/>
    <w:basedOn w:val="1"/>
    <w:qFormat/>
    <w:uiPriority w:val="99"/>
    <w:pPr>
      <w:ind w:firstLine="420" w:firstLineChars="200"/>
    </w:pPr>
  </w:style>
  <w:style w:type="paragraph" w:customStyle="1" w:styleId="62">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4">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正文段"/>
    <w:basedOn w:val="1"/>
    <w:qFormat/>
    <w:uiPriority w:val="99"/>
    <w:pPr>
      <w:widowControl/>
      <w:snapToGrid w:val="0"/>
      <w:spacing w:afterLines="50"/>
      <w:ind w:firstLine="200" w:firstLineChars="200"/>
    </w:pPr>
    <w:rPr>
      <w:kern w:val="0"/>
      <w:sz w:val="24"/>
      <w:szCs w:val="24"/>
    </w:rPr>
  </w:style>
  <w:style w:type="paragraph" w:customStyle="1" w:styleId="66">
    <w:name w:val="_Style 2"/>
    <w:basedOn w:val="1"/>
    <w:qFormat/>
    <w:uiPriority w:val="99"/>
    <w:pPr>
      <w:ind w:left="720"/>
    </w:pPr>
  </w:style>
  <w:style w:type="character" w:customStyle="1" w:styleId="67">
    <w:name w:val="批注文字 Char"/>
    <w:basedOn w:val="34"/>
    <w:link w:val="9"/>
    <w:semiHidden/>
    <w:qFormat/>
    <w:uiPriority w:val="99"/>
    <w:rPr>
      <w:rFonts w:ascii="Calibri" w:hAnsi="Calibri" w:cs="Calibri"/>
      <w:szCs w:val="21"/>
    </w:rPr>
  </w:style>
  <w:style w:type="character" w:customStyle="1" w:styleId="68">
    <w:name w:val="批注主题 Char"/>
    <w:basedOn w:val="67"/>
    <w:link w:val="27"/>
    <w:semiHidden/>
    <w:qFormat/>
    <w:uiPriority w:val="99"/>
    <w:rPr>
      <w:b/>
      <w:bCs/>
    </w:rPr>
  </w:style>
  <w:style w:type="character" w:customStyle="1" w:styleId="69">
    <w:name w:val="批注框文本 Char"/>
    <w:basedOn w:val="34"/>
    <w:link w:val="18"/>
    <w:semiHidden/>
    <w:qFormat/>
    <w:uiPriority w:val="99"/>
    <w:rPr>
      <w:rFonts w:ascii="Calibri" w:hAnsi="Calibri" w:cs="Calibri"/>
      <w:sz w:val="0"/>
      <w:szCs w:val="0"/>
    </w:rPr>
  </w:style>
  <w:style w:type="paragraph" w:customStyle="1" w:styleId="70">
    <w:name w:val="p17"/>
    <w:basedOn w:val="1"/>
    <w:qFormat/>
    <w:uiPriority w:val="99"/>
    <w:pPr>
      <w:widowControl/>
    </w:pPr>
    <w:rPr>
      <w:rFonts w:ascii="宋体" w:hAnsi="宋体" w:cs="宋体"/>
      <w:kern w:val="0"/>
    </w:rPr>
  </w:style>
  <w:style w:type="paragraph" w:customStyle="1" w:styleId="71">
    <w:name w:val="列出段落1"/>
    <w:basedOn w:val="1"/>
    <w:qFormat/>
    <w:uiPriority w:val="0"/>
    <w:pPr>
      <w:ind w:firstLine="420" w:firstLineChars="200"/>
    </w:pPr>
    <w:rPr>
      <w:rFonts w:cs="Times New Roman"/>
      <w:szCs w:val="22"/>
    </w:rPr>
  </w:style>
  <w:style w:type="paragraph" w:customStyle="1" w:styleId="72">
    <w:name w:val="List Paragraph1"/>
    <w:basedOn w:val="1"/>
    <w:qFormat/>
    <w:uiPriority w:val="99"/>
    <w:pPr>
      <w:ind w:firstLine="420" w:firstLineChars="200"/>
    </w:pPr>
    <w:rPr>
      <w:rFonts w:cs="Times New Roman"/>
      <w:szCs w:val="22"/>
    </w:rPr>
  </w:style>
  <w:style w:type="paragraph" w:customStyle="1" w:styleId="7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4">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5">
    <w:name w:val="font31"/>
    <w:basedOn w:val="34"/>
    <w:qFormat/>
    <w:uiPriority w:val="0"/>
    <w:rPr>
      <w:rFonts w:hint="eastAsia" w:ascii="宋体" w:hAnsi="宋体" w:eastAsia="宋体" w:cs="宋体"/>
      <w:b/>
      <w:color w:val="000000"/>
      <w:sz w:val="24"/>
      <w:szCs w:val="24"/>
      <w:u w:val="none"/>
    </w:rPr>
  </w:style>
  <w:style w:type="paragraph" w:customStyle="1" w:styleId="76">
    <w:name w:val="*正文"/>
    <w:basedOn w:val="1"/>
    <w:qFormat/>
    <w:uiPriority w:val="0"/>
    <w:pPr>
      <w:spacing w:line="360" w:lineRule="auto"/>
      <w:ind w:firstLine="200" w:firstLineChars="200"/>
    </w:pPr>
    <w:rPr>
      <w:rFonts w:ascii="宋体" w:hAnsi="宋体"/>
      <w:sz w:val="22"/>
      <w:szCs w:val="20"/>
    </w:rPr>
  </w:style>
  <w:style w:type="paragraph" w:customStyle="1" w:styleId="77">
    <w:name w:val="List Paragraph"/>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8">
    <w:name w:val="style21"/>
    <w:unhideWhenUsed/>
    <w:qFormat/>
    <w:uiPriority w:val="99"/>
    <w:rPr>
      <w:rFonts w:hint="default"/>
      <w:sz w:val="22"/>
    </w:rPr>
  </w:style>
  <w:style w:type="paragraph" w:customStyle="1" w:styleId="79">
    <w:name w:val="Default"/>
    <w:unhideWhenUsed/>
    <w:qFormat/>
    <w:uiPriority w:val="0"/>
    <w:pPr>
      <w:widowControl w:val="0"/>
      <w:autoSpaceDE w:val="0"/>
      <w:autoSpaceDN w:val="0"/>
      <w:adjustRightInd w:val="0"/>
      <w:spacing w:beforeLines="0" w:afterLines="0"/>
    </w:pPr>
    <w:rPr>
      <w:rFonts w:hint="eastAsia" w:ascii="仿宋" w:hAnsi="仿宋" w:eastAsia="仿宋" w:cs="Times New Roman"/>
      <w:color w:val="000000"/>
      <w:sz w:val="24"/>
      <w:lang w:val="en-US" w:eastAsia="zh-CN"/>
    </w:rPr>
  </w:style>
  <w:style w:type="paragraph" w:customStyle="1" w:styleId="80">
    <w:name w:val="正文首行缩进 21"/>
    <w:basedOn w:val="1"/>
    <w:unhideWhenUsed/>
    <w:qFormat/>
    <w:uiPriority w:val="0"/>
    <w:pPr>
      <w:spacing w:beforeLines="0" w:after="120" w:afterLines="0"/>
      <w:ind w:left="420" w:leftChars="200"/>
    </w:pPr>
    <w:rPr>
      <w:rFonts w:hint="default"/>
      <w:sz w:val="21"/>
    </w:rPr>
  </w:style>
  <w:style w:type="paragraph" w:customStyle="1" w:styleId="81">
    <w:name w:val="TOC 标题1"/>
    <w:basedOn w:val="2"/>
    <w:next w:val="1"/>
    <w:unhideWhenUsed/>
    <w:qFormat/>
    <w:uiPriority w:val="39"/>
    <w:pPr>
      <w:tabs>
        <w:tab w:val="left" w:pos="1800"/>
      </w:tabs>
      <w:spacing w:before="480" w:beforeLines="0" w:afterLines="0" w:line="276" w:lineRule="auto"/>
      <w:outlineLvl w:val="9"/>
    </w:pPr>
    <w:rPr>
      <w:rFonts w:hint="eastAsia" w:ascii="仿宋" w:hAnsi="仿宋" w:eastAsia="仿宋"/>
      <w:kern w:val="0"/>
      <w:sz w:val="32"/>
    </w:rPr>
  </w:style>
  <w:style w:type="paragraph" w:customStyle="1" w:styleId="82">
    <w:name w:val="Table Paragraph"/>
    <w:basedOn w:val="1"/>
    <w:unhideWhenUsed/>
    <w:qFormat/>
    <w:uiPriority w:val="1"/>
    <w:rPr>
      <w:rFonts w:hint="default" w:ascii="宋体" w:hAnsi="宋体" w:eastAsia="宋体"/>
      <w:sz w:val="21"/>
      <w:lang w:val="zh-CN"/>
    </w:rPr>
  </w:style>
  <w:style w:type="character" w:customStyle="1" w:styleId="83">
    <w:name w:val="font01"/>
    <w:basedOn w:val="34"/>
    <w:qFormat/>
    <w:uiPriority w:val="0"/>
    <w:rPr>
      <w:rFonts w:hint="eastAsia" w:ascii="宋体" w:hAnsi="宋体" w:eastAsia="宋体" w:cs="宋体"/>
      <w:color w:val="000000"/>
      <w:sz w:val="24"/>
      <w:szCs w:val="24"/>
      <w:u w:val="none"/>
    </w:rPr>
  </w:style>
  <w:style w:type="paragraph" w:customStyle="1" w:styleId="84">
    <w:name w:val="Heading2"/>
    <w:basedOn w:val="1"/>
    <w:next w:val="1"/>
    <w:qFormat/>
    <w:uiPriority w:val="0"/>
    <w:pPr>
      <w:keepNext/>
      <w:keepLines/>
      <w:spacing w:before="340" w:after="340" w:line="415" w:lineRule="auto"/>
      <w:textAlignment w:val="baseline"/>
    </w:pPr>
    <w:rPr>
      <w:rFonts w:ascii="Arial" w:hAnsi="Arial" w:eastAsia="黑体" w:cs="Times New Roman"/>
      <w:b/>
      <w:bCs/>
      <w:sz w:val="32"/>
      <w:szCs w:val="32"/>
    </w:rPr>
  </w:style>
  <w:style w:type="character" w:customStyle="1" w:styleId="85">
    <w:name w:val="NormalCharacter"/>
    <w:qFormat/>
    <w:uiPriority w:val="0"/>
    <w:rPr>
      <w:rFonts w:ascii="Times New Roman" w:hAnsi="Times New Roman"/>
      <w:kern w:val="2"/>
      <w:sz w:val="21"/>
      <w:lang w:val="en-US" w:eastAsia="zh-CN" w:bidi="ar-SA"/>
    </w:rPr>
  </w:style>
  <w:style w:type="character" w:customStyle="1" w:styleId="86">
    <w:name w:val="font51"/>
    <w:basedOn w:val="34"/>
    <w:qFormat/>
    <w:uiPriority w:val="0"/>
    <w:rPr>
      <w:rFonts w:hint="eastAsia" w:ascii="宋体" w:hAnsi="宋体" w:eastAsia="宋体" w:cs="宋体"/>
      <w:color w:val="000000"/>
      <w:sz w:val="22"/>
      <w:szCs w:val="22"/>
      <w:u w:val="none"/>
    </w:rPr>
  </w:style>
  <w:style w:type="paragraph" w:customStyle="1" w:styleId="87">
    <w:name w:val="表格文字"/>
    <w:basedOn w:val="1"/>
    <w:next w:val="11"/>
    <w:qFormat/>
    <w:uiPriority w:val="0"/>
    <w:pPr>
      <w:spacing w:beforeLines="0"/>
      <w:jc w:val="left"/>
      <w:textAlignment w:val="top"/>
    </w:pPr>
    <w:rPr>
      <w:sz w:val="18"/>
      <w:szCs w:val="24"/>
    </w:rPr>
  </w:style>
  <w:style w:type="paragraph" w:customStyle="1" w:styleId="88">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89">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90">
    <w:name w:val="正文_0"/>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91">
    <w:name w:val="**正文"/>
    <w:basedOn w:val="1"/>
    <w:qFormat/>
    <w:uiPriority w:val="99"/>
    <w:pPr>
      <w:ind w:firstLine="480" w:firstLineChars="200"/>
    </w:pPr>
    <w:rPr>
      <w:rFonts w:ascii="Calibri" w:hAnsi="Calibri" w:eastAsia="仿宋_GB2312"/>
      <w:kern w:val="0"/>
      <w:sz w:val="24"/>
      <w:szCs w:val="32"/>
    </w:rPr>
  </w:style>
  <w:style w:type="table" w:customStyle="1" w:styleId="92">
    <w:name w:val="Table Normal"/>
    <w:semiHidden/>
    <w:unhideWhenUsed/>
    <w:qFormat/>
    <w:uiPriority w:val="0"/>
    <w:tblPr>
      <w:tblCellMar>
        <w:top w:w="0" w:type="dxa"/>
        <w:left w:w="0" w:type="dxa"/>
        <w:bottom w:w="0" w:type="dxa"/>
        <w:right w:w="0" w:type="dxa"/>
      </w:tblCellMar>
    </w:tblPr>
  </w:style>
  <w:style w:type="paragraph" w:customStyle="1" w:styleId="9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32603</Words>
  <Characters>34702</Characters>
  <Lines>207</Lines>
  <Paragraphs>58</Paragraphs>
  <TotalTime>0</TotalTime>
  <ScaleCrop>false</ScaleCrop>
  <LinksUpToDate>false</LinksUpToDate>
  <CharactersWithSpaces>37378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2017-08-12T15:17:00Z</dcterms:created>
  <dc:creator>Administrator</dc:creator>
  <cp:lastModifiedBy>叶子</cp:lastModifiedBy>
  <cp:lastPrinted>2024-08-08T01:44:00Z</cp:lastPrinted>
  <dcterms:modified xsi:type="dcterms:W3CDTF">2024-08-17T12:15:57Z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11AEF9D3A90D41C2BADCF2E21F118CDB_13</vt:lpwstr>
  </property>
</Properties>
</file>