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AFA07">
      <w:pPr>
        <w:pStyle w:val="5"/>
        <w:widowControl/>
        <w:jc w:val="center"/>
        <w:rPr>
          <w:sz w:val="18"/>
          <w:szCs w:val="18"/>
        </w:rPr>
      </w:pPr>
    </w:p>
    <w:p w14:paraId="7766AEB7">
      <w:pPr>
        <w:pStyle w:val="5"/>
        <w:widowControl/>
        <w:jc w:val="center"/>
        <w:rPr>
          <w:sz w:val="18"/>
          <w:szCs w:val="18"/>
        </w:rPr>
      </w:pPr>
    </w:p>
    <w:p w14:paraId="394989F5">
      <w:pPr>
        <w:pStyle w:val="5"/>
        <w:widowControl/>
        <w:jc w:val="center"/>
        <w:rPr>
          <w:sz w:val="18"/>
          <w:szCs w:val="18"/>
        </w:rPr>
      </w:pPr>
    </w:p>
    <w:p w14:paraId="553E4FFF">
      <w:pPr>
        <w:pStyle w:val="5"/>
        <w:widowControl/>
        <w:jc w:val="center"/>
        <w:rPr>
          <w:sz w:val="18"/>
          <w:szCs w:val="18"/>
        </w:rPr>
      </w:pPr>
    </w:p>
    <w:p w14:paraId="528FDB3A">
      <w:pPr>
        <w:jc w:val="center"/>
        <w:rPr>
          <w:rFonts w:ascii="仿宋" w:hAnsi="仿宋" w:eastAsia="仿宋_GB2312" w:cs="黑体"/>
          <w:b/>
          <w:bCs/>
          <w:sz w:val="52"/>
          <w:szCs w:val="52"/>
        </w:rPr>
      </w:pPr>
      <w:r>
        <w:rPr>
          <w:rFonts w:hint="eastAsia" w:ascii="仿宋" w:hAnsi="仿宋" w:eastAsia="仿宋_GB2312" w:cs="黑体"/>
          <w:b/>
          <w:bCs/>
          <w:sz w:val="52"/>
          <w:szCs w:val="52"/>
        </w:rPr>
        <w:t>杭州城市大脑西湖平台（物联感知一张网）运维服务项目</w:t>
      </w:r>
    </w:p>
    <w:p w14:paraId="73DA27FE">
      <w:pPr>
        <w:ind w:firstLine="1044"/>
        <w:jc w:val="center"/>
        <w:rPr>
          <w:rFonts w:ascii="仿宋" w:hAnsi="仿宋" w:eastAsia="仿宋_GB2312" w:cs="黑体"/>
          <w:b/>
          <w:bCs/>
          <w:sz w:val="52"/>
          <w:szCs w:val="52"/>
        </w:rPr>
      </w:pPr>
    </w:p>
    <w:p w14:paraId="133D3902">
      <w:pPr>
        <w:ind w:firstLine="1044"/>
        <w:jc w:val="center"/>
        <w:rPr>
          <w:rFonts w:ascii="仿宋" w:hAnsi="仿宋" w:eastAsia="仿宋_GB2312" w:cs="黑体"/>
          <w:b/>
          <w:bCs/>
          <w:sz w:val="52"/>
          <w:szCs w:val="52"/>
        </w:rPr>
      </w:pPr>
    </w:p>
    <w:p w14:paraId="2EC0AD69">
      <w:pPr>
        <w:jc w:val="center"/>
        <w:rPr>
          <w:rFonts w:ascii="仿宋" w:hAnsi="仿宋" w:eastAsia="仿宋_GB2312" w:cs="仿宋"/>
          <w:b/>
          <w:bCs/>
          <w:sz w:val="52"/>
          <w:szCs w:val="52"/>
        </w:rPr>
      </w:pPr>
      <w:r>
        <w:rPr>
          <w:rFonts w:hint="eastAsia" w:ascii="仿宋" w:hAnsi="仿宋" w:eastAsia="仿宋_GB2312" w:cs="仿宋_GB2312"/>
          <w:b/>
          <w:bCs/>
          <w:sz w:val="52"/>
          <w:szCs w:val="52"/>
          <w:lang w:bidi="ar"/>
        </w:rPr>
        <w:t>建</w:t>
      </w:r>
    </w:p>
    <w:p w14:paraId="30C96B03">
      <w:pPr>
        <w:jc w:val="center"/>
        <w:rPr>
          <w:rFonts w:ascii="仿宋" w:hAnsi="仿宋" w:eastAsia="仿宋_GB2312" w:cs="仿宋"/>
          <w:b/>
          <w:bCs/>
          <w:sz w:val="52"/>
          <w:szCs w:val="52"/>
        </w:rPr>
      </w:pPr>
      <w:r>
        <w:rPr>
          <w:rFonts w:hint="eastAsia" w:ascii="仿宋" w:hAnsi="仿宋" w:eastAsia="仿宋_GB2312" w:cs="仿宋_GB2312"/>
          <w:b/>
          <w:bCs/>
          <w:sz w:val="52"/>
          <w:szCs w:val="52"/>
          <w:lang w:bidi="ar"/>
        </w:rPr>
        <w:t>设</w:t>
      </w:r>
    </w:p>
    <w:p w14:paraId="3A1B3213">
      <w:pPr>
        <w:jc w:val="center"/>
        <w:rPr>
          <w:rFonts w:ascii="仿宋" w:hAnsi="仿宋" w:eastAsia="仿宋_GB2312" w:cs="仿宋"/>
          <w:b/>
          <w:bCs/>
          <w:sz w:val="52"/>
          <w:szCs w:val="52"/>
        </w:rPr>
      </w:pPr>
      <w:r>
        <w:rPr>
          <w:rFonts w:hint="eastAsia" w:ascii="仿宋" w:hAnsi="仿宋" w:eastAsia="仿宋_GB2312" w:cs="仿宋_GB2312"/>
          <w:b/>
          <w:bCs/>
          <w:sz w:val="52"/>
          <w:szCs w:val="52"/>
          <w:lang w:bidi="ar"/>
        </w:rPr>
        <w:t>方</w:t>
      </w:r>
    </w:p>
    <w:p w14:paraId="405CD087">
      <w:pPr>
        <w:jc w:val="center"/>
        <w:rPr>
          <w:rFonts w:ascii="仿宋" w:hAnsi="仿宋" w:eastAsia="仿宋_GB2312" w:cs="仿宋"/>
          <w:sz w:val="52"/>
          <w:szCs w:val="52"/>
        </w:rPr>
      </w:pPr>
      <w:r>
        <w:rPr>
          <w:rFonts w:hint="eastAsia" w:ascii="仿宋" w:hAnsi="仿宋" w:eastAsia="仿宋_GB2312" w:cs="仿宋_GB2312"/>
          <w:b/>
          <w:bCs/>
          <w:sz w:val="52"/>
          <w:szCs w:val="52"/>
          <w:lang w:bidi="ar"/>
        </w:rPr>
        <w:t>案</w:t>
      </w:r>
    </w:p>
    <w:p w14:paraId="43B8ABC7">
      <w:pPr>
        <w:ind w:firstLine="560"/>
        <w:rPr>
          <w:rFonts w:ascii="仿宋" w:hAnsi="仿宋" w:eastAsia="仿宋_GB2312" w:cs="仿宋"/>
          <w:color w:val="000000"/>
          <w:szCs w:val="28"/>
        </w:rPr>
      </w:pPr>
    </w:p>
    <w:p w14:paraId="1EA2B7E1">
      <w:pPr>
        <w:ind w:firstLine="560"/>
        <w:rPr>
          <w:rFonts w:ascii="仿宋" w:hAnsi="仿宋" w:eastAsia="仿宋_GB2312" w:cs="仿宋"/>
          <w:color w:val="000000"/>
          <w:szCs w:val="28"/>
        </w:rPr>
      </w:pPr>
    </w:p>
    <w:p w14:paraId="6374EA42">
      <w:pPr>
        <w:ind w:firstLine="560"/>
        <w:rPr>
          <w:rFonts w:ascii="仿宋" w:hAnsi="仿宋" w:eastAsia="仿宋_GB2312" w:cs="仿宋"/>
          <w:color w:val="000000"/>
          <w:szCs w:val="28"/>
        </w:rPr>
      </w:pPr>
    </w:p>
    <w:p w14:paraId="174BD6AC">
      <w:pPr>
        <w:pStyle w:val="4"/>
        <w:widowControl/>
        <w:ind w:firstLine="560"/>
      </w:pPr>
    </w:p>
    <w:p w14:paraId="53773F27">
      <w:pPr>
        <w:pStyle w:val="4"/>
        <w:widowControl/>
        <w:rPr>
          <w:szCs w:val="28"/>
        </w:rPr>
      </w:pPr>
    </w:p>
    <w:p w14:paraId="20BE9DA0">
      <w:pPr>
        <w:widowControl/>
        <w:tabs>
          <w:tab w:val="center" w:pos="4156"/>
          <w:tab w:val="left" w:pos="7167"/>
        </w:tabs>
        <w:jc w:val="center"/>
        <w:rPr>
          <w:rFonts w:ascii="仿宋" w:hAnsi="仿宋" w:eastAsia="仿宋_GB2312" w:cs="宋体"/>
          <w:kern w:val="0"/>
          <w:szCs w:val="28"/>
        </w:rPr>
      </w:pPr>
      <w:r>
        <w:rPr>
          <w:rFonts w:hint="eastAsia" w:ascii="仿宋" w:hAnsi="仿宋" w:eastAsia="仿宋_GB2312" w:cs="宋体"/>
          <w:kern w:val="0"/>
          <w:sz w:val="32"/>
          <w:szCs w:val="28"/>
          <w:lang w:bidi="ar"/>
        </w:rPr>
        <w:t>编制单位：杭州市西湖区数据资源局</w:t>
      </w:r>
    </w:p>
    <w:p w14:paraId="4BB1D087">
      <w:pPr>
        <w:adjustRightInd w:val="0"/>
        <w:snapToGrid w:val="0"/>
        <w:spacing w:line="400" w:lineRule="exact"/>
        <w:jc w:val="center"/>
        <w:rPr>
          <w:rFonts w:ascii="仿宋" w:hAnsi="仿宋" w:eastAsia="仿宋_GB2312" w:cs="宋体"/>
          <w:kern w:val="0"/>
          <w:szCs w:val="28"/>
        </w:rPr>
      </w:pPr>
      <w:r>
        <w:rPr>
          <w:rFonts w:hint="eastAsia" w:ascii="仿宋" w:hAnsi="仿宋" w:eastAsia="仿宋_GB2312" w:cs="宋体"/>
          <w:kern w:val="0"/>
          <w:sz w:val="32"/>
          <w:szCs w:val="28"/>
          <w:lang w:bidi="ar"/>
        </w:rPr>
        <w:t>编制日期：二Ｏ二四年</w:t>
      </w:r>
      <w:r>
        <w:rPr>
          <w:rFonts w:hint="eastAsia" w:ascii="仿宋" w:hAnsi="仿宋" w:eastAsia="仿宋_GB2312" w:cs="宋体"/>
          <w:kern w:val="0"/>
          <w:sz w:val="32"/>
          <w:szCs w:val="28"/>
          <w:lang w:val="en-US" w:eastAsia="zh-CN" w:bidi="ar"/>
        </w:rPr>
        <w:t>九</w:t>
      </w:r>
      <w:r>
        <w:rPr>
          <w:rFonts w:hint="eastAsia" w:ascii="仿宋" w:hAnsi="仿宋" w:eastAsia="仿宋_GB2312" w:cs="宋体"/>
          <w:kern w:val="0"/>
          <w:sz w:val="32"/>
          <w:szCs w:val="28"/>
          <w:lang w:bidi="ar"/>
        </w:rPr>
        <w:t>月</w:t>
      </w:r>
    </w:p>
    <w:p w14:paraId="7F9996DE">
      <w:pPr>
        <w:pStyle w:val="5"/>
        <w:widowControl/>
        <w:jc w:val="center"/>
        <w:rPr>
          <w:sz w:val="18"/>
          <w:szCs w:val="18"/>
        </w:rPr>
      </w:pPr>
    </w:p>
    <w:p w14:paraId="423DBBF5">
      <w:pPr>
        <w:pStyle w:val="5"/>
        <w:widowControl/>
        <w:jc w:val="center"/>
        <w:rPr>
          <w:sz w:val="18"/>
          <w:szCs w:val="18"/>
        </w:rPr>
      </w:pPr>
    </w:p>
    <w:p w14:paraId="556082D7">
      <w:pPr>
        <w:pStyle w:val="5"/>
        <w:widowControl/>
        <w:jc w:val="center"/>
        <w:rPr>
          <w:sz w:val="18"/>
          <w:szCs w:val="18"/>
        </w:rPr>
      </w:pPr>
    </w:p>
    <w:p w14:paraId="72884DF7">
      <w:pPr>
        <w:pStyle w:val="5"/>
        <w:widowControl/>
        <w:jc w:val="center"/>
        <w:rPr>
          <w:sz w:val="18"/>
          <w:szCs w:val="18"/>
        </w:rPr>
      </w:pPr>
    </w:p>
    <w:p w14:paraId="7223F117">
      <w:pPr>
        <w:pStyle w:val="5"/>
        <w:widowControl/>
        <w:jc w:val="center"/>
        <w:rPr>
          <w:sz w:val="18"/>
          <w:szCs w:val="18"/>
        </w:rPr>
      </w:pPr>
    </w:p>
    <w:p w14:paraId="67E50301">
      <w:pPr>
        <w:pStyle w:val="5"/>
        <w:widowControl/>
        <w:jc w:val="center"/>
        <w:rPr>
          <w:sz w:val="18"/>
          <w:szCs w:val="18"/>
        </w:rPr>
      </w:pPr>
    </w:p>
    <w:p w14:paraId="57B11CBF">
      <w:pPr>
        <w:pStyle w:val="5"/>
        <w:widowControl/>
        <w:jc w:val="center"/>
        <w:rPr>
          <w:sz w:val="18"/>
          <w:szCs w:val="18"/>
        </w:rPr>
      </w:pPr>
    </w:p>
    <w:p w14:paraId="40A8ADFE">
      <w:pPr>
        <w:pStyle w:val="5"/>
        <w:widowControl/>
        <w:jc w:val="center"/>
        <w:rPr>
          <w:sz w:val="18"/>
          <w:szCs w:val="18"/>
        </w:rPr>
      </w:pPr>
    </w:p>
    <w:p w14:paraId="2227C49D">
      <w:pPr>
        <w:pStyle w:val="5"/>
        <w:widowControl/>
        <w:jc w:val="center"/>
        <w:rPr>
          <w:sz w:val="18"/>
          <w:szCs w:val="18"/>
        </w:rPr>
      </w:pPr>
    </w:p>
    <w:p w14:paraId="6AAE7E9E">
      <w:pPr>
        <w:pStyle w:val="5"/>
        <w:widowControl/>
        <w:jc w:val="center"/>
        <w:rPr>
          <w:sz w:val="18"/>
          <w:szCs w:val="18"/>
        </w:rPr>
      </w:pPr>
    </w:p>
    <w:p w14:paraId="433C6D75">
      <w:pPr>
        <w:pStyle w:val="5"/>
        <w:widowControl/>
        <w:jc w:val="center"/>
        <w:rPr>
          <w:sz w:val="18"/>
          <w:szCs w:val="18"/>
        </w:rPr>
      </w:pPr>
    </w:p>
    <w:p w14:paraId="003FF73A">
      <w:pPr>
        <w:pStyle w:val="5"/>
        <w:widowControl/>
        <w:jc w:val="center"/>
        <w:rPr>
          <w:sz w:val="18"/>
          <w:szCs w:val="18"/>
        </w:rPr>
      </w:pPr>
    </w:p>
    <w:p w14:paraId="30FC17C1">
      <w:pPr>
        <w:pStyle w:val="5"/>
        <w:widowControl/>
        <w:jc w:val="center"/>
        <w:rPr>
          <w:sz w:val="18"/>
          <w:szCs w:val="18"/>
        </w:rPr>
      </w:pPr>
    </w:p>
    <w:p w14:paraId="52281CFB">
      <w:pPr>
        <w:pStyle w:val="5"/>
        <w:widowControl/>
        <w:jc w:val="center"/>
        <w:rPr>
          <w:sz w:val="18"/>
          <w:szCs w:val="18"/>
        </w:rPr>
      </w:pPr>
    </w:p>
    <w:p w14:paraId="67ECB78D">
      <w:pPr>
        <w:pStyle w:val="5"/>
        <w:widowControl/>
        <w:jc w:val="center"/>
        <w:rPr>
          <w:sz w:val="18"/>
          <w:szCs w:val="18"/>
        </w:rPr>
      </w:pPr>
    </w:p>
    <w:p w14:paraId="7F4A8B6A">
      <w:pPr>
        <w:pStyle w:val="5"/>
        <w:widowControl/>
        <w:jc w:val="center"/>
        <w:rPr>
          <w:sz w:val="18"/>
          <w:szCs w:val="18"/>
        </w:rPr>
      </w:pPr>
    </w:p>
    <w:p w14:paraId="69D350A0">
      <w:pPr>
        <w:pStyle w:val="5"/>
        <w:widowControl/>
        <w:jc w:val="center"/>
        <w:rPr>
          <w:sz w:val="18"/>
          <w:szCs w:val="18"/>
        </w:rPr>
      </w:pPr>
    </w:p>
    <w:p w14:paraId="6AC8F259">
      <w:pPr>
        <w:pStyle w:val="5"/>
        <w:widowControl/>
        <w:jc w:val="center"/>
        <w:rPr>
          <w:sz w:val="18"/>
          <w:szCs w:val="18"/>
        </w:rPr>
      </w:pPr>
    </w:p>
    <w:p w14:paraId="3A063393">
      <w:pPr>
        <w:pStyle w:val="5"/>
        <w:widowControl/>
        <w:jc w:val="center"/>
        <w:rPr>
          <w:sz w:val="18"/>
          <w:szCs w:val="18"/>
        </w:rPr>
      </w:pPr>
    </w:p>
    <w:p w14:paraId="1AF54FF8">
      <w:pPr>
        <w:pStyle w:val="5"/>
        <w:widowControl/>
        <w:jc w:val="center"/>
        <w:rPr>
          <w:sz w:val="18"/>
          <w:szCs w:val="18"/>
        </w:rPr>
      </w:pPr>
    </w:p>
    <w:p w14:paraId="50098E19">
      <w:pPr>
        <w:pStyle w:val="5"/>
        <w:widowControl/>
        <w:jc w:val="center"/>
        <w:rPr>
          <w:sz w:val="18"/>
          <w:szCs w:val="18"/>
        </w:rPr>
      </w:pPr>
    </w:p>
    <w:p w14:paraId="199D26FB">
      <w:pPr>
        <w:pStyle w:val="5"/>
        <w:widowControl/>
        <w:jc w:val="center"/>
        <w:rPr>
          <w:sz w:val="18"/>
          <w:szCs w:val="18"/>
        </w:rPr>
      </w:pPr>
    </w:p>
    <w:p w14:paraId="3CED331E">
      <w:pPr>
        <w:pStyle w:val="5"/>
        <w:widowControl/>
        <w:jc w:val="center"/>
        <w:rPr>
          <w:sz w:val="18"/>
          <w:szCs w:val="18"/>
        </w:rPr>
      </w:pPr>
    </w:p>
    <w:p w14:paraId="72CEC7C2">
      <w:pPr>
        <w:pStyle w:val="5"/>
        <w:widowControl/>
        <w:jc w:val="center"/>
        <w:rPr>
          <w:sz w:val="18"/>
          <w:szCs w:val="18"/>
        </w:rPr>
      </w:pPr>
    </w:p>
    <w:p w14:paraId="01D250B8">
      <w:pPr>
        <w:pStyle w:val="12"/>
        <w:numPr>
          <w:ilvl w:val="0"/>
          <w:numId w:val="2"/>
        </w:numPr>
        <w:adjustRightInd w:val="0"/>
        <w:snapToGrid w:val="0"/>
        <w:spacing w:line="560" w:lineRule="exact"/>
        <w:ind w:firstLineChars="0"/>
        <w:jc w:val="center"/>
        <w:rPr>
          <w:rFonts w:eastAsia="黑体"/>
          <w:sz w:val="32"/>
          <w:szCs w:val="48"/>
        </w:rPr>
      </w:pPr>
      <w:r>
        <w:rPr>
          <w:rFonts w:hint="eastAsia" w:eastAsia="黑体"/>
          <w:sz w:val="32"/>
          <w:szCs w:val="48"/>
        </w:rPr>
        <w:t>项目概述</w:t>
      </w:r>
    </w:p>
    <w:p w14:paraId="7C6F6467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（一）项目名称：</w:t>
      </w:r>
      <w:r>
        <w:rPr>
          <w:rFonts w:hint="eastAsia" w:ascii="仿宋_GB2312" w:eastAsia="仿宋_GB2312"/>
          <w:sz w:val="32"/>
          <w:szCs w:val="48"/>
        </w:rPr>
        <w:t>杭州城市大脑西湖平台（物联感知一张网）运维服务项目</w:t>
      </w:r>
    </w:p>
    <w:p w14:paraId="586BC126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（二）项目性质：</w:t>
      </w:r>
      <w:r>
        <w:rPr>
          <w:rFonts w:hint="eastAsia" w:ascii="仿宋_GB2312" w:eastAsia="仿宋_GB2312"/>
          <w:sz w:val="32"/>
          <w:szCs w:val="48"/>
        </w:rPr>
        <w:t>新运维</w:t>
      </w:r>
    </w:p>
    <w:p w14:paraId="38DDB7C8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（三）实施单位项目负责人及联系人</w:t>
      </w:r>
    </w:p>
    <w:p w14:paraId="2CE0397E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项目实施单位：区数据资源局</w:t>
      </w:r>
    </w:p>
    <w:p w14:paraId="310A5557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项目负责人：杨</w:t>
      </w:r>
      <w:r>
        <w:rPr>
          <w:rFonts w:hint="eastAsia" w:ascii="仿宋_GB2312" w:hAnsi="仿宋_GB2312" w:eastAsia="仿宋_GB2312" w:cs="仿宋_GB2312"/>
          <w:sz w:val="32"/>
          <w:szCs w:val="48"/>
        </w:rPr>
        <w:t>旸</w:t>
      </w:r>
      <w:r>
        <w:rPr>
          <w:rFonts w:hint="eastAsia" w:ascii="仿宋_GB2312" w:eastAsia="仿宋_GB2312"/>
          <w:sz w:val="32"/>
          <w:szCs w:val="48"/>
        </w:rPr>
        <w:t>（副局长）</w:t>
      </w:r>
    </w:p>
    <w:p w14:paraId="7478B7C7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项目联系人：孙慧洁（数据服务中心副主任）</w:t>
      </w:r>
    </w:p>
    <w:p w14:paraId="562F50F1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（四）项目维护的目标、规模、模式（包括自行运维、部分外包、完全外包）、周期</w:t>
      </w:r>
    </w:p>
    <w:p w14:paraId="70410CEF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1.维护目标</w:t>
      </w:r>
    </w:p>
    <w:p w14:paraId="3DAEB5DF">
      <w:p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按照区委区政府国产化替代工作，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推进</w:t>
      </w:r>
      <w:r>
        <w:rPr>
          <w:rFonts w:hint="eastAsia" w:ascii="仿宋_GB2312" w:eastAsia="仿宋_GB2312"/>
          <w:sz w:val="32"/>
          <w:szCs w:val="48"/>
          <w:highlight w:val="none"/>
        </w:rPr>
        <w:t>杭州城市大脑西湖平台（物联感知一张网）系统的信创改造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和运维工作</w:t>
      </w:r>
      <w:r>
        <w:rPr>
          <w:rFonts w:hint="eastAsia" w:ascii="仿宋_GB2312" w:eastAsia="仿宋_GB2312"/>
          <w:sz w:val="32"/>
          <w:szCs w:val="48"/>
          <w:highlight w:val="none"/>
        </w:rPr>
        <w:t>。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完成</w:t>
      </w:r>
      <w:r>
        <w:rPr>
          <w:rFonts w:hint="eastAsia" w:ascii="仿宋_GB2312" w:eastAsia="仿宋_GB2312"/>
          <w:sz w:val="32"/>
          <w:szCs w:val="48"/>
          <w:highlight w:val="none"/>
        </w:rPr>
        <w:t>信创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服务器迁移改造工作后</w:t>
      </w:r>
      <w:r>
        <w:rPr>
          <w:rFonts w:hint="eastAsia" w:ascii="仿宋_GB2312" w:eastAsia="仿宋_GB2312"/>
          <w:sz w:val="32"/>
          <w:szCs w:val="48"/>
          <w:highlight w:val="none"/>
        </w:rPr>
        <w:t>进入一年运维服务期，以保障物联感知系统的正常运行。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项目需符合区数据资源局</w:t>
      </w:r>
      <w:r>
        <w:rPr>
          <w:rFonts w:hint="eastAsia" w:ascii="仿宋_GB2312" w:eastAsia="仿宋_GB2312"/>
          <w:sz w:val="32"/>
          <w:szCs w:val="48"/>
          <w:highlight w:val="none"/>
        </w:rPr>
        <w:t>“一单位一平台”工作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相关</w:t>
      </w:r>
      <w:r>
        <w:rPr>
          <w:rFonts w:hint="eastAsia" w:ascii="仿宋_GB2312" w:eastAsia="仿宋_GB2312"/>
          <w:sz w:val="32"/>
          <w:szCs w:val="48"/>
          <w:highlight w:val="none"/>
        </w:rPr>
        <w:t>要求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。</w:t>
      </w:r>
    </w:p>
    <w:p w14:paraId="534ECA4C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2.规模</w:t>
      </w:r>
    </w:p>
    <w:p w14:paraId="10B3AF90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面向全区各单位。</w:t>
      </w:r>
    </w:p>
    <w:p w14:paraId="5862D4A5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</w:rPr>
        <w:t>3</w:t>
      </w:r>
      <w:r>
        <w:rPr>
          <w:rFonts w:ascii="仿宋_GB2312" w:eastAsia="仿宋_GB2312"/>
          <w:sz w:val="32"/>
          <w:szCs w:val="48"/>
        </w:rPr>
        <w:t>.</w:t>
      </w:r>
      <w:r>
        <w:rPr>
          <w:rFonts w:hint="eastAsia" w:ascii="仿宋_GB2312" w:eastAsia="仿宋_GB2312"/>
          <w:sz w:val="32"/>
          <w:szCs w:val="48"/>
        </w:rPr>
        <w:t>模式</w:t>
      </w:r>
    </w:p>
    <w:p w14:paraId="628493A8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采取完全外包的模式进行信创改造和项目运维。</w:t>
      </w:r>
    </w:p>
    <w:p w14:paraId="13218C72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4</w:t>
      </w:r>
      <w:r>
        <w:rPr>
          <w:rFonts w:ascii="仿宋_GB2312" w:eastAsia="仿宋_GB2312"/>
          <w:sz w:val="32"/>
          <w:szCs w:val="48"/>
          <w:highlight w:val="none"/>
        </w:rPr>
        <w:t>.</w:t>
      </w:r>
      <w:r>
        <w:rPr>
          <w:rFonts w:hint="eastAsia" w:ascii="仿宋_GB2312" w:eastAsia="仿宋_GB2312"/>
          <w:sz w:val="32"/>
          <w:szCs w:val="48"/>
          <w:highlight w:val="none"/>
        </w:rPr>
        <w:t>周期</w:t>
      </w:r>
    </w:p>
    <w:p w14:paraId="74993853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周期为一年。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（信创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改造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验收之日起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开始运维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）</w:t>
      </w:r>
    </w:p>
    <w:p w14:paraId="1DCB375B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  <w:highlight w:val="none"/>
        </w:rPr>
      </w:pPr>
      <w:r>
        <w:rPr>
          <w:rFonts w:hint="eastAsia" w:ascii="楷体_GB2312" w:eastAsia="楷体_GB2312"/>
          <w:sz w:val="32"/>
          <w:szCs w:val="48"/>
          <w:highlight w:val="none"/>
        </w:rPr>
        <w:t>（五）总投资及来源</w:t>
      </w:r>
    </w:p>
    <w:p w14:paraId="18176BB0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项目总投资50万元，来源区财政</w:t>
      </w:r>
      <w:r>
        <w:rPr>
          <w:rFonts w:ascii="仿宋_GB2312" w:eastAsia="仿宋_GB2312"/>
          <w:sz w:val="32"/>
          <w:szCs w:val="48"/>
          <w:highlight w:val="none"/>
        </w:rPr>
        <w:t>。</w:t>
      </w:r>
    </w:p>
    <w:p w14:paraId="558AF94E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（六）总体情况</w:t>
      </w:r>
    </w:p>
    <w:p w14:paraId="4F8B1248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"/>
        <w:gridCol w:w="823"/>
        <w:gridCol w:w="882"/>
        <w:gridCol w:w="1378"/>
        <w:gridCol w:w="1647"/>
        <w:gridCol w:w="1416"/>
        <w:gridCol w:w="899"/>
        <w:gridCol w:w="997"/>
      </w:tblGrid>
      <w:tr w14:paraId="221F5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</w:tcPr>
          <w:p w14:paraId="2549320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序号</w:t>
            </w:r>
          </w:p>
        </w:tc>
        <w:tc>
          <w:tcPr>
            <w:tcW w:w="823" w:type="dxa"/>
          </w:tcPr>
          <w:p w14:paraId="04119A5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运维项目名称</w:t>
            </w:r>
          </w:p>
        </w:tc>
        <w:tc>
          <w:tcPr>
            <w:tcW w:w="882" w:type="dxa"/>
          </w:tcPr>
          <w:p w14:paraId="325A4330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预算金额（万元）</w:t>
            </w:r>
          </w:p>
        </w:tc>
        <w:tc>
          <w:tcPr>
            <w:tcW w:w="1378" w:type="dxa"/>
          </w:tcPr>
          <w:p w14:paraId="4BD04488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服务起止时间</w:t>
            </w:r>
          </w:p>
        </w:tc>
        <w:tc>
          <w:tcPr>
            <w:tcW w:w="1647" w:type="dxa"/>
          </w:tcPr>
          <w:p w14:paraId="0FE1E2CF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与原供应商签订运维合同情况</w:t>
            </w:r>
          </w:p>
        </w:tc>
        <w:tc>
          <w:tcPr>
            <w:tcW w:w="1416" w:type="dxa"/>
          </w:tcPr>
          <w:p w14:paraId="67C6EB0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原运维合同服务起止时间</w:t>
            </w:r>
          </w:p>
        </w:tc>
        <w:tc>
          <w:tcPr>
            <w:tcW w:w="899" w:type="dxa"/>
          </w:tcPr>
          <w:p w14:paraId="55333E7D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原运维合同金额（万元）</w:t>
            </w:r>
          </w:p>
        </w:tc>
        <w:tc>
          <w:tcPr>
            <w:tcW w:w="997" w:type="dxa"/>
          </w:tcPr>
          <w:p w14:paraId="29F11E2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黑体" w:hAnsi="黑体" w:eastAsia="黑体"/>
                <w:sz w:val="22"/>
                <w:szCs w:val="36"/>
              </w:rPr>
            </w:pPr>
            <w:r>
              <w:rPr>
                <w:rFonts w:hint="eastAsia" w:ascii="黑体" w:hAnsi="黑体" w:eastAsia="黑体"/>
                <w:sz w:val="22"/>
                <w:szCs w:val="36"/>
              </w:rPr>
              <w:t>原运维合同已执行金额（万元）</w:t>
            </w:r>
          </w:p>
        </w:tc>
      </w:tr>
      <w:tr w14:paraId="65044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</w:tcPr>
          <w:p w14:paraId="26BB53DD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</w:rPr>
            </w:pPr>
            <w:r>
              <w:rPr>
                <w:rFonts w:hint="eastAsia" w:ascii="仿宋_GB2312" w:eastAsia="仿宋_GB2312"/>
                <w:sz w:val="24"/>
                <w:szCs w:val="40"/>
              </w:rPr>
              <w:t>1</w:t>
            </w:r>
          </w:p>
        </w:tc>
        <w:tc>
          <w:tcPr>
            <w:tcW w:w="823" w:type="dxa"/>
          </w:tcPr>
          <w:p w14:paraId="7B8CFBC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  <w:highlight w:val="none"/>
              </w:rPr>
            </w:pP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杭州城市大脑西湖平台（物联感知一张网）运维服务</w:t>
            </w:r>
          </w:p>
        </w:tc>
        <w:tc>
          <w:tcPr>
            <w:tcW w:w="882" w:type="dxa"/>
          </w:tcPr>
          <w:p w14:paraId="6AA31D5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t>50</w:t>
            </w:r>
          </w:p>
        </w:tc>
        <w:tc>
          <w:tcPr>
            <w:tcW w:w="1378" w:type="dxa"/>
          </w:tcPr>
          <w:p w14:paraId="0EA960C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  <w:highlight w:val="none"/>
              </w:rPr>
            </w:pPr>
            <w:r>
              <w:rPr>
                <w:rFonts w:hint="default" w:ascii="仿宋_GB2312" w:eastAsia="仿宋_GB2312"/>
                <w:sz w:val="24"/>
                <w:szCs w:val="40"/>
                <w:highlight w:val="none"/>
                <w:lang w:val="en-US" w:eastAsia="zh-CN"/>
              </w:rPr>
              <w:t>信创改造验收之日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  <w:lang w:val="en-US" w:eastAsia="zh-CN"/>
              </w:rPr>
              <w:t>起进入一年</w:t>
            </w:r>
            <w:r>
              <w:rPr>
                <w:rFonts w:hint="default" w:ascii="仿宋_GB2312" w:eastAsia="仿宋_GB2312"/>
                <w:sz w:val="24"/>
                <w:szCs w:val="40"/>
                <w:highlight w:val="none"/>
                <w:lang w:val="en-US" w:eastAsia="zh-CN"/>
              </w:rPr>
              <w:t>运维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  <w:lang w:val="en-US" w:eastAsia="zh-CN"/>
              </w:rPr>
              <w:t>服务期</w:t>
            </w:r>
          </w:p>
        </w:tc>
        <w:tc>
          <w:tcPr>
            <w:tcW w:w="1647" w:type="dxa"/>
          </w:tcPr>
          <w:p w14:paraId="12F1B74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  <w:highlight w:val="none"/>
              </w:rPr>
            </w:pP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2</w:t>
            </w:r>
            <w:r>
              <w:rPr>
                <w:rFonts w:hint="default" w:ascii="仿宋_GB2312" w:eastAsia="仿宋_GB2312"/>
                <w:sz w:val="24"/>
                <w:szCs w:val="40"/>
                <w:highlight w:val="none"/>
              </w:rPr>
              <w:t>021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年9月2</w:t>
            </w:r>
            <w:r>
              <w:rPr>
                <w:rFonts w:hint="default" w:ascii="仿宋_GB2312" w:eastAsia="仿宋_GB2312"/>
                <w:sz w:val="24"/>
                <w:szCs w:val="40"/>
                <w:highlight w:val="none"/>
              </w:rPr>
              <w:t>3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日与供应商签订《杭州城市大脑西湖平台（物联感知一张网）采购项目合同》，于2</w:t>
            </w:r>
            <w:r>
              <w:rPr>
                <w:rFonts w:hint="default" w:ascii="仿宋_GB2312" w:eastAsia="仿宋_GB2312"/>
                <w:sz w:val="24"/>
                <w:szCs w:val="40"/>
                <w:highlight w:val="none"/>
              </w:rPr>
              <w:t>022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年5月2</w:t>
            </w:r>
            <w:r>
              <w:rPr>
                <w:rFonts w:hint="default" w:ascii="仿宋_GB2312" w:eastAsia="仿宋_GB2312"/>
                <w:sz w:val="24"/>
                <w:szCs w:val="40"/>
                <w:highlight w:val="none"/>
              </w:rPr>
              <w:t>8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日完成终验，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  <w:lang w:val="en-US" w:eastAsia="zh-CN"/>
              </w:rPr>
              <w:t>进入一年运维期</w:t>
            </w:r>
            <w:r>
              <w:rPr>
                <w:rFonts w:hint="eastAsia" w:ascii="仿宋_GB2312" w:eastAsia="仿宋_GB2312"/>
                <w:sz w:val="24"/>
                <w:szCs w:val="40"/>
                <w:highlight w:val="none"/>
              </w:rPr>
              <w:t>。</w:t>
            </w:r>
          </w:p>
        </w:tc>
        <w:tc>
          <w:tcPr>
            <w:tcW w:w="1416" w:type="dxa"/>
          </w:tcPr>
          <w:p w14:paraId="5E105570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32"/>
                <w:szCs w:val="48"/>
              </w:rPr>
            </w:pPr>
            <w:r>
              <w:rPr>
                <w:rFonts w:hint="eastAsia" w:ascii="仿宋_GB2312" w:eastAsia="仿宋_GB2312"/>
                <w:sz w:val="24"/>
                <w:szCs w:val="40"/>
              </w:rPr>
              <w:t>2</w:t>
            </w:r>
            <w:r>
              <w:rPr>
                <w:rFonts w:hint="default" w:ascii="仿宋_GB2312" w:eastAsia="仿宋_GB2312"/>
                <w:sz w:val="24"/>
                <w:szCs w:val="40"/>
              </w:rPr>
              <w:t>021</w:t>
            </w:r>
            <w:r>
              <w:rPr>
                <w:rFonts w:hint="eastAsia" w:ascii="仿宋_GB2312" w:eastAsia="仿宋_GB2312"/>
                <w:sz w:val="24"/>
                <w:szCs w:val="40"/>
              </w:rPr>
              <w:t>.</w:t>
            </w:r>
            <w:r>
              <w:rPr>
                <w:rFonts w:hint="default" w:ascii="仿宋_GB2312" w:eastAsia="仿宋_GB2312"/>
                <w:sz w:val="24"/>
                <w:szCs w:val="40"/>
              </w:rPr>
              <w:t>9.23-2023.5.27</w:t>
            </w:r>
          </w:p>
        </w:tc>
        <w:tc>
          <w:tcPr>
            <w:tcW w:w="899" w:type="dxa"/>
          </w:tcPr>
          <w:p w14:paraId="33AA8A3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</w:rPr>
            </w:pPr>
            <w:r>
              <w:rPr>
                <w:rFonts w:hint="eastAsia" w:ascii="仿宋_GB2312" w:eastAsia="仿宋_GB2312"/>
                <w:sz w:val="24"/>
                <w:szCs w:val="40"/>
              </w:rPr>
              <w:t>2</w:t>
            </w:r>
            <w:r>
              <w:rPr>
                <w:rFonts w:hint="default" w:ascii="仿宋_GB2312" w:eastAsia="仿宋_GB2312"/>
                <w:sz w:val="24"/>
                <w:szCs w:val="40"/>
              </w:rPr>
              <w:t>52</w:t>
            </w:r>
          </w:p>
        </w:tc>
        <w:tc>
          <w:tcPr>
            <w:tcW w:w="997" w:type="dxa"/>
          </w:tcPr>
          <w:p w14:paraId="30847835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4"/>
                <w:szCs w:val="40"/>
              </w:rPr>
            </w:pPr>
            <w:r>
              <w:rPr>
                <w:rFonts w:hint="eastAsia" w:ascii="仿宋_GB2312" w:eastAsia="仿宋_GB2312"/>
                <w:sz w:val="24"/>
                <w:szCs w:val="40"/>
              </w:rPr>
              <w:t>2</w:t>
            </w:r>
            <w:r>
              <w:rPr>
                <w:rFonts w:hint="default" w:ascii="仿宋_GB2312" w:eastAsia="仿宋_GB2312"/>
                <w:sz w:val="24"/>
                <w:szCs w:val="40"/>
              </w:rPr>
              <w:t>52</w:t>
            </w:r>
          </w:p>
        </w:tc>
      </w:tr>
    </w:tbl>
    <w:p w14:paraId="75B15E2C"/>
    <w:p w14:paraId="3076BEA3"/>
    <w:p w14:paraId="567C4868"/>
    <w:p w14:paraId="78F2ABC6">
      <w:pPr>
        <w:pStyle w:val="12"/>
        <w:numPr>
          <w:ilvl w:val="0"/>
          <w:numId w:val="2"/>
        </w:numPr>
        <w:adjustRightInd w:val="0"/>
        <w:snapToGrid w:val="0"/>
        <w:spacing w:line="560" w:lineRule="exact"/>
        <w:ind w:firstLineChars="0"/>
        <w:jc w:val="center"/>
        <w:rPr>
          <w:rFonts w:ascii="黑体" w:hAnsi="黑体" w:eastAsia="黑体"/>
          <w:sz w:val="32"/>
          <w:szCs w:val="48"/>
        </w:rPr>
      </w:pPr>
      <w:r>
        <w:rPr>
          <w:rFonts w:hint="eastAsia" w:ascii="黑体" w:hAnsi="黑体" w:eastAsia="黑体"/>
          <w:sz w:val="32"/>
          <w:szCs w:val="48"/>
        </w:rPr>
        <w:t>需求分析</w:t>
      </w:r>
    </w:p>
    <w:p w14:paraId="10B4BDA6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（一）项目运维对象基本情况及运维现状</w:t>
      </w:r>
    </w:p>
    <w:p w14:paraId="00DC4062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1.项目建设情况</w:t>
      </w:r>
    </w:p>
    <w:p w14:paraId="4D20BC20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杭州城市大脑西湖平台（物联感知一张网）项目，</w:t>
      </w:r>
      <w:r>
        <w:rPr>
          <w:rFonts w:ascii="仿宋_GB2312" w:eastAsia="仿宋_GB2312"/>
          <w:sz w:val="32"/>
          <w:szCs w:val="48"/>
          <w:highlight w:val="none"/>
        </w:rPr>
        <w:t>2021</w:t>
      </w:r>
      <w:r>
        <w:rPr>
          <w:rFonts w:hint="eastAsia" w:ascii="仿宋_GB2312" w:eastAsia="仿宋_GB2312"/>
          <w:sz w:val="32"/>
          <w:szCs w:val="48"/>
          <w:highlight w:val="none"/>
        </w:rPr>
        <w:t>年</w:t>
      </w:r>
      <w:r>
        <w:rPr>
          <w:rFonts w:ascii="仿宋_GB2312" w:eastAsia="仿宋_GB2312"/>
          <w:sz w:val="32"/>
          <w:szCs w:val="48"/>
          <w:highlight w:val="none"/>
        </w:rPr>
        <w:t>8月由</w:t>
      </w:r>
      <w:r>
        <w:rPr>
          <w:rFonts w:hint="eastAsia" w:ascii="仿宋_GB2312" w:eastAsia="仿宋_GB2312"/>
          <w:sz w:val="32"/>
          <w:szCs w:val="48"/>
          <w:highlight w:val="none"/>
        </w:rPr>
        <w:t>杭州西湖新基建数字技术</w:t>
      </w:r>
      <w:r>
        <w:rPr>
          <w:rFonts w:ascii="仿宋_GB2312" w:eastAsia="仿宋_GB2312"/>
          <w:sz w:val="32"/>
          <w:szCs w:val="48"/>
          <w:highlight w:val="none"/>
        </w:rPr>
        <w:t>有限公司中标</w:t>
      </w:r>
      <w:r>
        <w:rPr>
          <w:rFonts w:hint="eastAsia" w:ascii="仿宋_GB2312" w:eastAsia="仿宋_GB2312"/>
          <w:sz w:val="32"/>
          <w:szCs w:val="48"/>
          <w:highlight w:val="none"/>
        </w:rPr>
        <w:t>，于2</w:t>
      </w:r>
      <w:r>
        <w:rPr>
          <w:rFonts w:ascii="仿宋_GB2312" w:eastAsia="仿宋_GB2312"/>
          <w:sz w:val="32"/>
          <w:szCs w:val="48"/>
          <w:highlight w:val="none"/>
        </w:rPr>
        <w:t>021</w:t>
      </w:r>
      <w:r>
        <w:rPr>
          <w:rFonts w:hint="eastAsia" w:ascii="仿宋_GB2312" w:eastAsia="仿宋_GB2312"/>
          <w:sz w:val="32"/>
          <w:szCs w:val="48"/>
          <w:highlight w:val="none"/>
        </w:rPr>
        <w:t>年9月2</w:t>
      </w:r>
      <w:r>
        <w:rPr>
          <w:rFonts w:ascii="仿宋_GB2312" w:eastAsia="仿宋_GB2312"/>
          <w:sz w:val="32"/>
          <w:szCs w:val="48"/>
          <w:highlight w:val="none"/>
        </w:rPr>
        <w:t>3</w:t>
      </w:r>
      <w:r>
        <w:rPr>
          <w:rFonts w:hint="eastAsia" w:ascii="仿宋_GB2312" w:eastAsia="仿宋_GB2312"/>
          <w:sz w:val="32"/>
          <w:szCs w:val="48"/>
          <w:highlight w:val="none"/>
        </w:rPr>
        <w:t>日完成合同签订，正式进入</w:t>
      </w:r>
      <w:r>
        <w:rPr>
          <w:rFonts w:ascii="仿宋_GB2312" w:eastAsia="仿宋_GB2312"/>
          <w:sz w:val="32"/>
          <w:szCs w:val="48"/>
          <w:highlight w:val="none"/>
        </w:rPr>
        <w:t>项目开发建设，建设费用252万元</w:t>
      </w:r>
      <w:r>
        <w:rPr>
          <w:rFonts w:hint="eastAsia" w:ascii="仿宋_GB2312" w:eastAsia="仿宋_GB2312"/>
          <w:sz w:val="32"/>
          <w:szCs w:val="48"/>
          <w:highlight w:val="none"/>
        </w:rPr>
        <w:t>，</w:t>
      </w:r>
      <w:r>
        <w:rPr>
          <w:rFonts w:ascii="仿宋_GB2312" w:eastAsia="仿宋_GB2312"/>
          <w:sz w:val="32"/>
          <w:szCs w:val="48"/>
          <w:highlight w:val="none"/>
        </w:rPr>
        <w:t>2022年5月28日通过</w:t>
      </w:r>
      <w:r>
        <w:rPr>
          <w:rFonts w:hint="eastAsia" w:ascii="仿宋_GB2312" w:eastAsia="仿宋_GB2312"/>
          <w:sz w:val="32"/>
          <w:szCs w:val="48"/>
          <w:highlight w:val="none"/>
        </w:rPr>
        <w:t>终验并</w:t>
      </w:r>
      <w:r>
        <w:rPr>
          <w:rFonts w:ascii="仿宋_GB2312" w:eastAsia="仿宋_GB2312"/>
          <w:sz w:val="32"/>
          <w:szCs w:val="48"/>
          <w:highlight w:val="none"/>
        </w:rPr>
        <w:t>正式上线运营</w:t>
      </w:r>
      <w:r>
        <w:rPr>
          <w:rFonts w:hint="eastAsia" w:ascii="仿宋_GB2312" w:eastAsia="仿宋_GB2312"/>
          <w:sz w:val="32"/>
          <w:szCs w:val="48"/>
          <w:highlight w:val="none"/>
        </w:rPr>
        <w:t>，维保期为一年</w:t>
      </w:r>
      <w:r>
        <w:rPr>
          <w:rFonts w:ascii="仿宋_GB2312" w:eastAsia="仿宋_GB2312"/>
          <w:sz w:val="32"/>
          <w:szCs w:val="48"/>
          <w:highlight w:val="none"/>
        </w:rPr>
        <w:t>。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按照市数据局城市物联感知体系建设要求，本平台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负责西湖区物联感知设备及数据的归集、治理、共享、开放和安全管理，对设备进行统一化管理、统一化服务。支持数据目录、数据汇聚、数据处理、数据存储、数据转换、数据治理、数据交换、数据共享等功能，实现全区物联感知设备“一本账”管理。并按照数据开放规范，供区级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部门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申请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使用。同时，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根据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市物联平台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接入标准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，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将符合要求的区级物联设备数据进行向上推送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。</w:t>
      </w:r>
    </w:p>
    <w:p w14:paraId="0A0BC8A9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2．云资源</w:t>
      </w:r>
    </w:p>
    <w:p w14:paraId="011DC0BF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杭州城市大脑西湖平台（物联感知一张网）</w:t>
      </w:r>
      <w:r>
        <w:rPr>
          <w:rFonts w:ascii="仿宋_GB2312" w:eastAsia="仿宋_GB2312"/>
          <w:sz w:val="32"/>
          <w:szCs w:val="48"/>
        </w:rPr>
        <w:t>依据省政务云</w:t>
      </w:r>
      <w:r>
        <w:rPr>
          <w:rFonts w:hint="eastAsia" w:ascii="仿宋_GB2312" w:eastAsia="仿宋_GB2312"/>
          <w:sz w:val="32"/>
          <w:szCs w:val="48"/>
        </w:rPr>
        <w:t>资源</w:t>
      </w:r>
      <w:r>
        <w:rPr>
          <w:rFonts w:ascii="仿宋_GB2312" w:eastAsia="仿宋_GB2312"/>
          <w:sz w:val="32"/>
          <w:szCs w:val="48"/>
        </w:rPr>
        <w:t>为</w:t>
      </w:r>
      <w:r>
        <w:rPr>
          <w:rFonts w:hint="eastAsia" w:ascii="仿宋_GB2312" w:eastAsia="仿宋_GB2312"/>
          <w:sz w:val="32"/>
          <w:szCs w:val="48"/>
        </w:rPr>
        <w:t>系统</w:t>
      </w:r>
      <w:r>
        <w:rPr>
          <w:rFonts w:ascii="仿宋_GB2312" w:eastAsia="仿宋_GB2312"/>
          <w:sz w:val="32"/>
          <w:szCs w:val="48"/>
        </w:rPr>
        <w:t>所需云资源提供支撑，包括云计算服务器、存储、数据库、负载均衡和安全服务等基础资源</w:t>
      </w:r>
      <w:r>
        <w:rPr>
          <w:rFonts w:hint="eastAsia" w:ascii="仿宋_GB2312" w:eastAsia="仿宋_GB2312"/>
          <w:sz w:val="32"/>
          <w:szCs w:val="48"/>
        </w:rPr>
        <w:t>，共申请8台政务云资源，其中1台应用服务器，2台数据库服务器，</w:t>
      </w:r>
      <w:r>
        <w:rPr>
          <w:rFonts w:ascii="仿宋_GB2312" w:eastAsia="仿宋_GB2312"/>
          <w:sz w:val="32"/>
          <w:szCs w:val="48"/>
        </w:rPr>
        <w:t>2</w:t>
      </w:r>
      <w:r>
        <w:rPr>
          <w:rFonts w:hint="eastAsia" w:ascii="仿宋_GB2312" w:eastAsia="仿宋_GB2312"/>
          <w:sz w:val="32"/>
          <w:szCs w:val="48"/>
        </w:rPr>
        <w:t>台备用机，1台redis</w:t>
      </w:r>
      <w:r>
        <w:rPr>
          <w:rFonts w:ascii="仿宋_GB2312" w:eastAsia="仿宋_GB2312"/>
          <w:sz w:val="32"/>
          <w:szCs w:val="48"/>
        </w:rPr>
        <w:t>,2</w:t>
      </w:r>
      <w:r>
        <w:rPr>
          <w:rFonts w:hint="eastAsia" w:ascii="仿宋_GB2312" w:eastAsia="仿宋_GB2312"/>
          <w:sz w:val="32"/>
          <w:szCs w:val="48"/>
        </w:rPr>
        <w:t>台消息中间件。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2136"/>
        <w:gridCol w:w="1742"/>
        <w:gridCol w:w="1275"/>
        <w:gridCol w:w="1244"/>
        <w:gridCol w:w="1250"/>
      </w:tblGrid>
      <w:tr w14:paraId="4B8FB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shd w:val="clear" w:color="auto" w:fill="A5A5A5" w:themeFill="accent3"/>
            <w:vAlign w:val="center"/>
          </w:tcPr>
          <w:p w14:paraId="6D7803D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</w:rPr>
              <w:t>序号</w:t>
            </w:r>
          </w:p>
        </w:tc>
        <w:tc>
          <w:tcPr>
            <w:tcW w:w="2136" w:type="dxa"/>
            <w:shd w:val="clear" w:color="auto" w:fill="A5A5A5" w:themeFill="accent3"/>
            <w:vAlign w:val="center"/>
          </w:tcPr>
          <w:p w14:paraId="303823E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</w:rPr>
              <w:t>I</w:t>
            </w:r>
            <w:r>
              <w:rPr>
                <w:rFonts w:hint="default" w:ascii="仿宋_GB2312" w:eastAsia="仿宋_GB2312"/>
                <w:b/>
                <w:bCs/>
                <w:sz w:val="28"/>
                <w:szCs w:val="44"/>
              </w:rPr>
              <w:t>P</w:t>
            </w:r>
          </w:p>
        </w:tc>
        <w:tc>
          <w:tcPr>
            <w:tcW w:w="1742" w:type="dxa"/>
            <w:shd w:val="clear" w:color="auto" w:fill="A5A5A5" w:themeFill="accent3"/>
          </w:tcPr>
          <w:p w14:paraId="74C5A1E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b/>
                <w:bCs/>
                <w:sz w:val="28"/>
                <w:szCs w:val="44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</w:rPr>
              <w:t>操作系统</w:t>
            </w:r>
          </w:p>
        </w:tc>
        <w:tc>
          <w:tcPr>
            <w:tcW w:w="1275" w:type="dxa"/>
            <w:shd w:val="clear" w:color="auto" w:fill="A5A5A5" w:themeFill="accent3"/>
            <w:vAlign w:val="center"/>
          </w:tcPr>
          <w:p w14:paraId="5CE08D48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</w:rPr>
              <w:t>C</w:t>
            </w:r>
            <w:r>
              <w:rPr>
                <w:rFonts w:hint="default" w:ascii="仿宋_GB2312" w:eastAsia="仿宋_GB2312"/>
                <w:b/>
                <w:bCs/>
                <w:sz w:val="28"/>
                <w:szCs w:val="44"/>
              </w:rPr>
              <w:t>PU</w:t>
            </w:r>
          </w:p>
        </w:tc>
        <w:tc>
          <w:tcPr>
            <w:tcW w:w="1244" w:type="dxa"/>
            <w:shd w:val="clear" w:color="auto" w:fill="A5A5A5" w:themeFill="accent3"/>
            <w:vAlign w:val="center"/>
          </w:tcPr>
          <w:p w14:paraId="2D98DAE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</w:rPr>
              <w:t>内存</w:t>
            </w:r>
          </w:p>
        </w:tc>
        <w:tc>
          <w:tcPr>
            <w:tcW w:w="1250" w:type="dxa"/>
            <w:shd w:val="clear" w:color="auto" w:fill="A5A5A5" w:themeFill="accent3"/>
          </w:tcPr>
          <w:p w14:paraId="5C1277EE">
            <w:pPr>
              <w:keepNext w:val="0"/>
              <w:keepLines w:val="0"/>
              <w:suppressLineNumbers w:val="0"/>
              <w:tabs>
                <w:tab w:val="left" w:pos="28"/>
              </w:tabs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b/>
                <w:bCs/>
                <w:sz w:val="28"/>
                <w:szCs w:val="44"/>
              </w:rPr>
            </w:pPr>
            <w:r>
              <w:rPr>
                <w:rFonts w:hint="default" w:ascii="仿宋_GB2312" w:eastAsia="仿宋_GB2312"/>
                <w:b/>
                <w:bCs/>
                <w:sz w:val="28"/>
                <w:szCs w:val="44"/>
              </w:rPr>
              <w:tab/>
            </w:r>
            <w:r>
              <w:rPr>
                <w:rFonts w:hint="eastAsia" w:ascii="仿宋_GB2312" w:eastAsia="仿宋_GB2312"/>
                <w:b/>
                <w:bCs/>
                <w:sz w:val="28"/>
                <w:szCs w:val="44"/>
              </w:rPr>
              <w:t>数据盘</w:t>
            </w:r>
          </w:p>
        </w:tc>
      </w:tr>
      <w:tr w14:paraId="4E244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64A4FEE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1</w:t>
            </w:r>
          </w:p>
        </w:tc>
        <w:tc>
          <w:tcPr>
            <w:tcW w:w="2136" w:type="dxa"/>
            <w:vAlign w:val="center"/>
          </w:tcPr>
          <w:p w14:paraId="28D3C58D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10.71.119.76</w:t>
            </w:r>
          </w:p>
        </w:tc>
        <w:tc>
          <w:tcPr>
            <w:tcW w:w="1742" w:type="dxa"/>
          </w:tcPr>
          <w:p w14:paraId="5F4E7FB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6185C8D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6476157A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2122C675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高效磁盘_200</w:t>
            </w:r>
          </w:p>
        </w:tc>
      </w:tr>
      <w:tr w14:paraId="1D16E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60E6404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2</w:t>
            </w:r>
          </w:p>
        </w:tc>
        <w:tc>
          <w:tcPr>
            <w:tcW w:w="2136" w:type="dxa"/>
            <w:vAlign w:val="center"/>
          </w:tcPr>
          <w:p w14:paraId="7C3BDC5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10.71.119.77</w:t>
            </w:r>
          </w:p>
        </w:tc>
        <w:tc>
          <w:tcPr>
            <w:tcW w:w="1742" w:type="dxa"/>
          </w:tcPr>
          <w:p w14:paraId="1F80266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124E3DE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5EAA4DEA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467BF94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高效磁盘_200</w:t>
            </w:r>
          </w:p>
        </w:tc>
      </w:tr>
      <w:tr w14:paraId="7F70C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12E2F3F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3</w:t>
            </w:r>
          </w:p>
        </w:tc>
        <w:tc>
          <w:tcPr>
            <w:tcW w:w="2136" w:type="dxa"/>
            <w:vAlign w:val="center"/>
          </w:tcPr>
          <w:p w14:paraId="27B6D0D5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10.71.119.78</w:t>
            </w:r>
          </w:p>
        </w:tc>
        <w:tc>
          <w:tcPr>
            <w:tcW w:w="1742" w:type="dxa"/>
          </w:tcPr>
          <w:p w14:paraId="2B763D6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721E002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03F8449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666D054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高效磁盘_200</w:t>
            </w:r>
          </w:p>
        </w:tc>
      </w:tr>
      <w:tr w14:paraId="41133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23CD477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</w:t>
            </w:r>
          </w:p>
        </w:tc>
        <w:tc>
          <w:tcPr>
            <w:tcW w:w="2136" w:type="dxa"/>
            <w:vAlign w:val="center"/>
          </w:tcPr>
          <w:p w14:paraId="153C79E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10.71.119.79</w:t>
            </w:r>
          </w:p>
        </w:tc>
        <w:tc>
          <w:tcPr>
            <w:tcW w:w="1742" w:type="dxa"/>
          </w:tcPr>
          <w:p w14:paraId="4C1C5CB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771CD5BA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2840423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44385B4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高效磁盘_200</w:t>
            </w:r>
          </w:p>
        </w:tc>
      </w:tr>
      <w:tr w14:paraId="49025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1871F71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5</w:t>
            </w:r>
          </w:p>
        </w:tc>
        <w:tc>
          <w:tcPr>
            <w:tcW w:w="2136" w:type="dxa"/>
            <w:vAlign w:val="center"/>
          </w:tcPr>
          <w:p w14:paraId="672176C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10.71.119.80</w:t>
            </w:r>
          </w:p>
        </w:tc>
        <w:tc>
          <w:tcPr>
            <w:tcW w:w="1742" w:type="dxa"/>
          </w:tcPr>
          <w:p w14:paraId="09D5FA4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70EF045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1C85ED80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58F4F90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高效磁盘_100</w:t>
            </w:r>
          </w:p>
        </w:tc>
      </w:tr>
      <w:tr w14:paraId="0B28B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7AD76C0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6</w:t>
            </w:r>
          </w:p>
        </w:tc>
        <w:tc>
          <w:tcPr>
            <w:tcW w:w="2136" w:type="dxa"/>
            <w:vAlign w:val="center"/>
          </w:tcPr>
          <w:p w14:paraId="35574D3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10.71.119.81</w:t>
            </w:r>
          </w:p>
        </w:tc>
        <w:tc>
          <w:tcPr>
            <w:tcW w:w="1742" w:type="dxa"/>
          </w:tcPr>
          <w:p w14:paraId="7139EB5A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5606DA9F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5FFDFA9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2D82BA10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高效磁盘_100</w:t>
            </w:r>
          </w:p>
        </w:tc>
      </w:tr>
      <w:tr w14:paraId="500D7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3411B29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7</w:t>
            </w:r>
          </w:p>
        </w:tc>
        <w:tc>
          <w:tcPr>
            <w:tcW w:w="2136" w:type="dxa"/>
            <w:vAlign w:val="center"/>
          </w:tcPr>
          <w:p w14:paraId="25FDAE4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10.71.119.82</w:t>
            </w:r>
          </w:p>
        </w:tc>
        <w:tc>
          <w:tcPr>
            <w:tcW w:w="1742" w:type="dxa"/>
          </w:tcPr>
          <w:p w14:paraId="101324E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497B35E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16CF375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268B7B7F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高效磁盘_100</w:t>
            </w:r>
          </w:p>
        </w:tc>
      </w:tr>
      <w:tr w14:paraId="4FDC0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 w14:paraId="30A8593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</w:p>
        </w:tc>
        <w:tc>
          <w:tcPr>
            <w:tcW w:w="2136" w:type="dxa"/>
            <w:vAlign w:val="center"/>
          </w:tcPr>
          <w:p w14:paraId="45734CD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10.71.119.83</w:t>
            </w:r>
          </w:p>
        </w:tc>
        <w:tc>
          <w:tcPr>
            <w:tcW w:w="1742" w:type="dxa"/>
          </w:tcPr>
          <w:p w14:paraId="73571D2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CentOS 7.6 64位</w:t>
            </w:r>
          </w:p>
        </w:tc>
        <w:tc>
          <w:tcPr>
            <w:tcW w:w="1275" w:type="dxa"/>
            <w:vAlign w:val="center"/>
          </w:tcPr>
          <w:p w14:paraId="7007687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4核</w:t>
            </w:r>
          </w:p>
        </w:tc>
        <w:tc>
          <w:tcPr>
            <w:tcW w:w="1244" w:type="dxa"/>
            <w:vAlign w:val="center"/>
          </w:tcPr>
          <w:p w14:paraId="673EA545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eastAsia" w:ascii="仿宋_GB2312" w:eastAsia="仿宋_GB2312"/>
                <w:sz w:val="28"/>
                <w:szCs w:val="44"/>
              </w:rPr>
              <w:t>8</w:t>
            </w:r>
            <w:r>
              <w:rPr>
                <w:rFonts w:hint="default" w:ascii="仿宋_GB2312" w:eastAsia="仿宋_GB2312"/>
                <w:sz w:val="28"/>
                <w:szCs w:val="44"/>
              </w:rPr>
              <w:t>G</w:t>
            </w:r>
          </w:p>
        </w:tc>
        <w:tc>
          <w:tcPr>
            <w:tcW w:w="1250" w:type="dxa"/>
            <w:vAlign w:val="bottom"/>
          </w:tcPr>
          <w:p w14:paraId="69572965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</w:rPr>
            </w:pPr>
            <w:r>
              <w:rPr>
                <w:rFonts w:hint="default" w:ascii="仿宋_GB2312" w:eastAsia="仿宋_GB2312"/>
                <w:sz w:val="28"/>
                <w:szCs w:val="44"/>
              </w:rPr>
              <w:t>高效磁盘_100</w:t>
            </w:r>
          </w:p>
        </w:tc>
      </w:tr>
    </w:tbl>
    <w:p w14:paraId="46DFD119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本次运维项目将完成服务器的信创适配改造。</w:t>
      </w:r>
    </w:p>
    <w:p w14:paraId="13657969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（二）需求分析</w:t>
      </w:r>
    </w:p>
    <w:p w14:paraId="50C04D56">
      <w:p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color w:val="auto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1</w:t>
      </w:r>
      <w:r>
        <w:rPr>
          <w:rFonts w:ascii="仿宋_GB2312" w:eastAsia="仿宋_GB2312"/>
          <w:sz w:val="32"/>
          <w:szCs w:val="48"/>
          <w:highlight w:val="none"/>
        </w:rPr>
        <w:t>.信创改造</w:t>
      </w:r>
      <w:r>
        <w:rPr>
          <w:rFonts w:hint="eastAsia" w:ascii="仿宋_GB2312" w:eastAsia="仿宋_GB2312"/>
          <w:sz w:val="32"/>
          <w:szCs w:val="48"/>
          <w:highlight w:val="none"/>
        </w:rPr>
        <w:t>：</w:t>
      </w:r>
      <w:r>
        <w:rPr>
          <w:rFonts w:ascii="仿宋_GB2312" w:eastAsia="仿宋_GB2312"/>
          <w:sz w:val="32"/>
          <w:szCs w:val="48"/>
          <w:highlight w:val="none"/>
        </w:rPr>
        <w:t>根据区委办政务系统</w:t>
      </w:r>
      <w:r>
        <w:rPr>
          <w:rFonts w:hint="eastAsia" w:ascii="仿宋_GB2312" w:eastAsia="仿宋_GB2312"/>
          <w:sz w:val="32"/>
          <w:szCs w:val="48"/>
          <w:highlight w:val="none"/>
        </w:rPr>
        <w:t>国产化</w:t>
      </w:r>
      <w:r>
        <w:rPr>
          <w:rFonts w:ascii="仿宋_GB2312" w:eastAsia="仿宋_GB2312"/>
          <w:sz w:val="32"/>
          <w:szCs w:val="48"/>
          <w:highlight w:val="none"/>
        </w:rPr>
        <w:t>替代计划，2024年完成对</w:t>
      </w:r>
      <w:r>
        <w:rPr>
          <w:rFonts w:hint="eastAsia" w:ascii="仿宋_GB2312" w:eastAsia="仿宋_GB2312"/>
          <w:sz w:val="32"/>
          <w:szCs w:val="48"/>
          <w:highlight w:val="none"/>
        </w:rPr>
        <w:t>物联感知一张网的</w:t>
      </w:r>
      <w:r>
        <w:rPr>
          <w:rFonts w:ascii="仿宋_GB2312" w:eastAsia="仿宋_GB2312"/>
          <w:sz w:val="32"/>
          <w:szCs w:val="48"/>
          <w:highlight w:val="none"/>
        </w:rPr>
        <w:t>信创改造升级</w:t>
      </w:r>
      <w:r>
        <w:rPr>
          <w:rFonts w:hint="eastAsia" w:ascii="仿宋_GB2312" w:eastAsia="仿宋_GB2312"/>
          <w:sz w:val="32"/>
          <w:szCs w:val="48"/>
          <w:highlight w:val="none"/>
        </w:rPr>
        <w:t>，主要包括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数据采集模块、平台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改造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、信息处理模块、数据共享模块适配改造，</w:t>
      </w:r>
      <w:r>
        <w:rPr>
          <w:rFonts w:hint="eastAsia" w:ascii="仿宋_GB2312" w:eastAsia="仿宋_GB2312"/>
          <w:sz w:val="32"/>
          <w:szCs w:val="48"/>
          <w:highlight w:val="none"/>
        </w:rPr>
        <w:t>国产浏览器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适配及</w:t>
      </w:r>
      <w:r>
        <w:rPr>
          <w:rFonts w:hint="eastAsia" w:ascii="仿宋_GB2312" w:eastAsia="仿宋_GB2312"/>
          <w:sz w:val="32"/>
          <w:szCs w:val="48"/>
          <w:highlight w:val="none"/>
        </w:rPr>
        <w:t>与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原</w:t>
      </w:r>
      <w:r>
        <w:rPr>
          <w:rFonts w:hint="eastAsia" w:ascii="仿宋_GB2312" w:eastAsia="仿宋_GB2312"/>
          <w:sz w:val="32"/>
          <w:szCs w:val="48"/>
          <w:highlight w:val="none"/>
        </w:rPr>
        <w:t>设备厂商数据对接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工作</w:t>
      </w:r>
      <w:r>
        <w:rPr>
          <w:rFonts w:hint="eastAsia" w:ascii="仿宋_GB2312" w:eastAsia="仿宋_GB2312"/>
          <w:sz w:val="32"/>
          <w:szCs w:val="48"/>
          <w:highlight w:val="none"/>
        </w:rPr>
        <w:t>。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同时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将原物联感知一张网中的相关数据整体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迁移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至符合信创要求的物联感知一张网平台。</w:t>
      </w:r>
    </w:p>
    <w:p w14:paraId="5B061A29">
      <w:p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48"/>
          <w:highlight w:val="none"/>
          <w:lang w:eastAsia="zh-CN"/>
        </w:rPr>
      </w:pP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2</w:t>
      </w:r>
      <w:r>
        <w:rPr>
          <w:rFonts w:ascii="仿宋_GB2312" w:eastAsia="仿宋_GB2312"/>
          <w:sz w:val="32"/>
          <w:szCs w:val="48"/>
          <w:highlight w:val="none"/>
        </w:rPr>
        <w:t>.</w:t>
      </w:r>
      <w:r>
        <w:rPr>
          <w:rFonts w:hint="eastAsia" w:ascii="仿宋_GB2312" w:eastAsia="仿宋_GB2312"/>
          <w:sz w:val="32"/>
          <w:szCs w:val="48"/>
          <w:highlight w:val="none"/>
        </w:rPr>
        <w:t>项目运维：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（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）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日常维护：</w:t>
      </w:r>
      <w:r>
        <w:rPr>
          <w:rFonts w:hint="eastAsia" w:ascii="仿宋_GB2312" w:eastAsia="仿宋_GB2312"/>
          <w:sz w:val="32"/>
          <w:szCs w:val="48"/>
          <w:highlight w:val="none"/>
        </w:rPr>
        <w:t>在信创改造完成后，技术公司对系统软件进行日常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运行</w:t>
      </w:r>
      <w:r>
        <w:rPr>
          <w:rFonts w:hint="eastAsia" w:ascii="仿宋_GB2312" w:eastAsia="仿宋_GB2312"/>
          <w:sz w:val="32"/>
          <w:szCs w:val="48"/>
          <w:highlight w:val="none"/>
        </w:rPr>
        <w:t>维护，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涉及</w:t>
      </w:r>
      <w:r>
        <w:rPr>
          <w:rFonts w:hint="eastAsia" w:ascii="仿宋_GB2312" w:eastAsia="仿宋_GB2312"/>
          <w:sz w:val="32"/>
          <w:szCs w:val="48"/>
          <w:highlight w:val="none"/>
        </w:rPr>
        <w:t>数据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治理和</w:t>
      </w:r>
      <w:r>
        <w:rPr>
          <w:rFonts w:hint="eastAsia" w:ascii="仿宋_GB2312" w:eastAsia="仿宋_GB2312"/>
          <w:sz w:val="32"/>
          <w:szCs w:val="48"/>
          <w:highlight w:val="none"/>
        </w:rPr>
        <w:t>数据共享；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（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）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平台对接：</w:t>
      </w:r>
      <w:r>
        <w:rPr>
          <w:rFonts w:hint="eastAsia" w:ascii="仿宋_GB2312" w:eastAsia="仿宋_GB2312"/>
          <w:sz w:val="32"/>
          <w:szCs w:val="48"/>
          <w:highlight w:val="none"/>
        </w:rPr>
        <w:t>与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事件中心</w:t>
      </w:r>
      <w:r>
        <w:rPr>
          <w:rFonts w:hint="eastAsia" w:ascii="仿宋_GB2312" w:eastAsia="仿宋_GB2312"/>
          <w:sz w:val="32"/>
          <w:szCs w:val="48"/>
          <w:highlight w:val="none"/>
        </w:rPr>
        <w:t>的对接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与海康视频平台对接，</w:t>
      </w:r>
      <w:r>
        <w:rPr>
          <w:rFonts w:hint="eastAsia" w:ascii="仿宋_GB2312" w:eastAsia="仿宋_GB2312"/>
          <w:sz w:val="32"/>
          <w:szCs w:val="48"/>
          <w:highlight w:val="none"/>
        </w:rPr>
        <w:t>与各部门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管理</w:t>
      </w:r>
      <w:r>
        <w:rPr>
          <w:rFonts w:hint="eastAsia" w:ascii="仿宋_GB2312" w:eastAsia="仿宋_GB2312"/>
          <w:sz w:val="32"/>
          <w:szCs w:val="48"/>
          <w:highlight w:val="none"/>
        </w:rPr>
        <w:t>平台对接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与政务中台对接，与区地理信息中心对接，与市物联平台对接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；（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）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安全保障：做好数据库账号保护；配合做好安全审计整改工作，对在审计中发现的堡垒机违规登录、数据违规下载、API 接口调用异常等问题进行及时整改；配合做好每月进行的漏洞扫描工作，如有漏洞及时修复并提供漏洞整改报告；做好信创</w:t>
      </w:r>
      <w:r>
        <w:rPr>
          <w:rFonts w:hint="eastAsia" w:ascii="仿宋_GB2312" w:eastAsia="仿宋_GB2312"/>
          <w:sz w:val="32"/>
          <w:szCs w:val="48"/>
          <w:highlight w:val="none"/>
        </w:rPr>
        <w:t>测评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工作</w:t>
      </w:r>
      <w:r>
        <w:rPr>
          <w:rFonts w:hint="eastAsia" w:ascii="仿宋_GB2312" w:eastAsia="仿宋_GB2312"/>
          <w:sz w:val="32"/>
          <w:szCs w:val="48"/>
          <w:highlight w:val="none"/>
        </w:rPr>
        <w:t>，配合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做好等保测评及其他</w:t>
      </w:r>
      <w:r>
        <w:rPr>
          <w:rFonts w:hint="eastAsia" w:ascii="仿宋_GB2312" w:eastAsia="仿宋_GB2312"/>
          <w:sz w:val="32"/>
          <w:szCs w:val="48"/>
          <w:highlight w:val="none"/>
        </w:rPr>
        <w:t>安全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相关工作</w:t>
      </w:r>
      <w:r>
        <w:rPr>
          <w:rFonts w:hint="eastAsia" w:ascii="仿宋_GB2312" w:eastAsia="仿宋_GB2312"/>
          <w:sz w:val="32"/>
          <w:szCs w:val="48"/>
          <w:highlight w:val="none"/>
        </w:rPr>
        <w:t>，及时解决安全隐患，提供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安全</w:t>
      </w:r>
      <w:r>
        <w:rPr>
          <w:rFonts w:hint="eastAsia" w:ascii="仿宋_GB2312" w:eastAsia="仿宋_GB2312"/>
          <w:sz w:val="32"/>
          <w:szCs w:val="48"/>
          <w:highlight w:val="none"/>
        </w:rPr>
        <w:t>文档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。</w:t>
      </w:r>
    </w:p>
    <w:p w14:paraId="5284E759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3</w:t>
      </w:r>
      <w:r>
        <w:rPr>
          <w:rFonts w:ascii="仿宋_GB2312" w:eastAsia="仿宋_GB2312"/>
          <w:sz w:val="32"/>
          <w:szCs w:val="48"/>
          <w:highlight w:val="none"/>
        </w:rPr>
        <w:t>.</w:t>
      </w:r>
      <w:r>
        <w:rPr>
          <w:rFonts w:hint="eastAsia" w:ascii="仿宋_GB2312" w:eastAsia="仿宋_GB2312"/>
          <w:sz w:val="32"/>
          <w:szCs w:val="48"/>
          <w:highlight w:val="none"/>
        </w:rPr>
        <w:t>服务要求：</w:t>
      </w:r>
    </w:p>
    <w:p w14:paraId="4FAC19BF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1）针对本项目建立专门的技术支持服务小组，要</w:t>
      </w:r>
      <w:r>
        <w:rPr>
          <w:rFonts w:hint="eastAsia" w:ascii="仿宋_GB2312" w:eastAsia="仿宋_GB2312"/>
          <w:sz w:val="32"/>
          <w:szCs w:val="48"/>
        </w:rPr>
        <w:t>求</w:t>
      </w:r>
      <w:r>
        <w:rPr>
          <w:rFonts w:ascii="仿宋_GB2312" w:eastAsia="仿宋_GB2312"/>
          <w:sz w:val="32"/>
          <w:szCs w:val="48"/>
        </w:rPr>
        <w:t>由</w:t>
      </w:r>
      <w:r>
        <w:rPr>
          <w:rFonts w:hint="eastAsia" w:ascii="仿宋_GB2312" w:eastAsia="仿宋_GB2312"/>
          <w:sz w:val="32"/>
          <w:szCs w:val="48"/>
        </w:rPr>
        <w:t>技术公司项目</w:t>
      </w:r>
      <w:r>
        <w:rPr>
          <w:rFonts w:ascii="仿宋_GB2312" w:eastAsia="仿宋_GB2312"/>
          <w:sz w:val="32"/>
          <w:szCs w:val="48"/>
        </w:rPr>
        <w:t>经验丰富的</w:t>
      </w:r>
      <w:r>
        <w:rPr>
          <w:rFonts w:hint="eastAsia" w:ascii="仿宋_GB2312" w:eastAsia="仿宋_GB2312"/>
          <w:sz w:val="32"/>
          <w:szCs w:val="48"/>
        </w:rPr>
        <w:t>成员担任组长或项目经理；</w:t>
      </w:r>
    </w:p>
    <w:p w14:paraId="18649B1E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2）服务期内，向采购人提供统一的维护电话号码，提供7</w:t>
      </w:r>
      <w:r>
        <w:rPr>
          <w:rFonts w:hint="eastAsia" w:ascii="仿宋_GB2312" w:eastAsia="仿宋_GB2312"/>
          <w:sz w:val="32"/>
          <w:szCs w:val="48"/>
        </w:rPr>
        <w:t>×</w:t>
      </w:r>
      <w:r>
        <w:rPr>
          <w:rFonts w:ascii="仿宋_GB2312" w:eastAsia="仿宋_GB2312"/>
          <w:sz w:val="32"/>
          <w:szCs w:val="48"/>
        </w:rPr>
        <w:t>24的有关系统问题的电话咨询和故障报修服务，接受采购人</w:t>
      </w:r>
      <w:r>
        <w:rPr>
          <w:rFonts w:hint="eastAsia" w:ascii="仿宋_GB2312" w:eastAsia="仿宋_GB2312"/>
          <w:sz w:val="32"/>
          <w:szCs w:val="48"/>
        </w:rPr>
        <w:t>线上咨询，并及时</w:t>
      </w:r>
      <w:r>
        <w:rPr>
          <w:rFonts w:ascii="仿宋_GB2312" w:eastAsia="仿宋_GB2312"/>
          <w:sz w:val="32"/>
          <w:szCs w:val="48"/>
        </w:rPr>
        <w:t>提供回复；</w:t>
      </w:r>
    </w:p>
    <w:p w14:paraId="669F827F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3）当本系统出现故障时，</w:t>
      </w:r>
      <w:r>
        <w:rPr>
          <w:rFonts w:hint="eastAsia" w:ascii="仿宋_GB2312" w:eastAsia="仿宋_GB2312"/>
          <w:sz w:val="32"/>
          <w:szCs w:val="48"/>
        </w:rPr>
        <w:t>要求技术公司在获得通知起</w:t>
      </w:r>
      <w:r>
        <w:rPr>
          <w:rFonts w:ascii="仿宋_GB2312" w:eastAsia="仿宋_GB2312"/>
          <w:sz w:val="32"/>
          <w:szCs w:val="48"/>
        </w:rPr>
        <w:t xml:space="preserve"> 2 小时内</w:t>
      </w:r>
      <w:r>
        <w:rPr>
          <w:rFonts w:hint="eastAsia" w:ascii="仿宋_GB2312" w:eastAsia="仿宋_GB2312"/>
          <w:sz w:val="32"/>
          <w:szCs w:val="48"/>
        </w:rPr>
        <w:t>响应，</w:t>
      </w:r>
      <w:r>
        <w:rPr>
          <w:rFonts w:ascii="仿宋_GB2312" w:eastAsia="仿宋_GB2312"/>
          <w:sz w:val="32"/>
          <w:szCs w:val="48"/>
        </w:rPr>
        <w:t>排除故障</w:t>
      </w:r>
      <w:r>
        <w:rPr>
          <w:rFonts w:hint="eastAsia" w:ascii="仿宋_GB2312" w:eastAsia="仿宋_GB2312"/>
          <w:sz w:val="32"/>
          <w:szCs w:val="48"/>
        </w:rPr>
        <w:t>及时</w:t>
      </w:r>
      <w:r>
        <w:rPr>
          <w:rFonts w:ascii="仿宋_GB2312" w:eastAsia="仿宋_GB2312"/>
          <w:sz w:val="32"/>
          <w:szCs w:val="48"/>
        </w:rPr>
        <w:t>恢复系统正常运行，</w:t>
      </w:r>
      <w:r>
        <w:rPr>
          <w:rFonts w:hint="eastAsia" w:ascii="仿宋_GB2312" w:eastAsia="仿宋_GB2312"/>
          <w:sz w:val="32"/>
          <w:szCs w:val="48"/>
        </w:rPr>
        <w:t>技术公司在故障解决后2</w:t>
      </w:r>
      <w:r>
        <w:rPr>
          <w:rFonts w:ascii="仿宋_GB2312" w:eastAsia="仿宋_GB2312"/>
          <w:sz w:val="32"/>
          <w:szCs w:val="48"/>
        </w:rPr>
        <w:t>4小时</w:t>
      </w:r>
      <w:r>
        <w:rPr>
          <w:rFonts w:hint="eastAsia" w:ascii="仿宋_GB2312" w:eastAsia="仿宋_GB2312"/>
          <w:sz w:val="32"/>
          <w:szCs w:val="48"/>
        </w:rPr>
        <w:t>内，向采购人提交故障报告，对故障原因进行分析、说明处理过程，并提出类似故障的防范措施并实施；当设备数据在对接过程中出现问题时，要求技术公司及时与对接人进行沟通，完成对接事宜。</w:t>
      </w:r>
    </w:p>
    <w:p w14:paraId="105E2F9C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4）要求</w:t>
      </w:r>
      <w:r>
        <w:rPr>
          <w:rFonts w:hint="eastAsia" w:ascii="仿宋_GB2312" w:eastAsia="仿宋_GB2312"/>
          <w:sz w:val="32"/>
          <w:szCs w:val="48"/>
        </w:rPr>
        <w:t>技术公司</w:t>
      </w:r>
      <w:r>
        <w:rPr>
          <w:rFonts w:ascii="仿宋_GB2312" w:eastAsia="仿宋_GB2312"/>
          <w:sz w:val="32"/>
          <w:szCs w:val="48"/>
        </w:rPr>
        <w:t>在本项目实施过程中做详细的工作台账，并根据采购人要</w:t>
      </w:r>
      <w:r>
        <w:rPr>
          <w:rFonts w:hint="eastAsia" w:ascii="仿宋_GB2312" w:eastAsia="仿宋_GB2312"/>
          <w:sz w:val="32"/>
          <w:szCs w:val="48"/>
        </w:rPr>
        <w:t>求作分类、汇总及统计分析；</w:t>
      </w:r>
    </w:p>
    <w:p w14:paraId="0855359D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5）做好维护</w:t>
      </w:r>
      <w:r>
        <w:rPr>
          <w:rFonts w:hint="eastAsia" w:ascii="仿宋_GB2312" w:eastAsia="仿宋_GB2312"/>
          <w:sz w:val="32"/>
          <w:szCs w:val="48"/>
        </w:rPr>
        <w:t>台账</w:t>
      </w:r>
      <w:r>
        <w:rPr>
          <w:rFonts w:ascii="仿宋_GB2312" w:eastAsia="仿宋_GB2312"/>
          <w:sz w:val="32"/>
          <w:szCs w:val="48"/>
        </w:rPr>
        <w:t>工作</w:t>
      </w:r>
      <w:r>
        <w:rPr>
          <w:rFonts w:hint="eastAsia" w:ascii="仿宋_GB2312" w:eastAsia="仿宋_GB2312"/>
          <w:sz w:val="32"/>
          <w:szCs w:val="48"/>
        </w:rPr>
        <w:t>。</w:t>
      </w:r>
    </w:p>
    <w:p w14:paraId="47F67584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4.服务文档要求：</w:t>
      </w:r>
      <w:r>
        <w:rPr>
          <w:rFonts w:hint="eastAsia" w:ascii="仿宋_GB2312" w:eastAsia="仿宋_GB2312"/>
          <w:sz w:val="32"/>
          <w:szCs w:val="48"/>
        </w:rPr>
        <w:t>设备对接统计文档、</w:t>
      </w:r>
      <w:r>
        <w:rPr>
          <w:rFonts w:ascii="仿宋_GB2312" w:eastAsia="仿宋_GB2312"/>
          <w:sz w:val="32"/>
          <w:szCs w:val="48"/>
        </w:rPr>
        <w:t>巡检报告</w:t>
      </w:r>
      <w:r>
        <w:rPr>
          <w:rFonts w:hint="eastAsia" w:ascii="仿宋_GB2312" w:eastAsia="仿宋_GB2312"/>
          <w:sz w:val="32"/>
          <w:szCs w:val="48"/>
        </w:rPr>
        <w:t>、</w:t>
      </w:r>
      <w:r>
        <w:rPr>
          <w:rFonts w:ascii="仿宋_GB2312" w:eastAsia="仿宋_GB2312"/>
          <w:sz w:val="32"/>
          <w:szCs w:val="48"/>
        </w:rPr>
        <w:t>故障处理报告、故障统计</w:t>
      </w:r>
      <w:r>
        <w:rPr>
          <w:rFonts w:hint="eastAsia" w:ascii="仿宋_GB2312" w:eastAsia="仿宋_GB2312"/>
          <w:sz w:val="32"/>
          <w:szCs w:val="48"/>
        </w:rPr>
        <w:t>汇总报告（服务期内）等。</w:t>
      </w:r>
    </w:p>
    <w:p w14:paraId="55072C9B">
      <w:pPr>
        <w:adjustRightInd w:val="0"/>
        <w:snapToGrid w:val="0"/>
        <w:spacing w:line="560" w:lineRule="exact"/>
        <w:ind w:firstLine="640" w:firstLineChars="200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（三）项目成效</w:t>
      </w:r>
    </w:p>
    <w:p w14:paraId="0F47267B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1．物联数据全量归集</w:t>
      </w:r>
    </w:p>
    <w:p w14:paraId="379BECF0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</w:rPr>
        <w:t>杭州城市大脑西湖平台（物联感知一张网）系统是全区统一的物联设备归集平台，有效推进了区级物联感知体系的建设，切实提升了全区物联设备管理水平。平台目前已汇聚</w:t>
      </w:r>
      <w:r>
        <w:rPr>
          <w:rFonts w:ascii="仿宋_GB2312" w:eastAsia="仿宋_GB2312"/>
          <w:sz w:val="32"/>
          <w:szCs w:val="48"/>
        </w:rPr>
        <w:t>10</w:t>
      </w:r>
      <w:r>
        <w:rPr>
          <w:rFonts w:hint="eastAsia" w:ascii="仿宋_GB2312" w:eastAsia="仿宋_GB2312"/>
          <w:sz w:val="32"/>
          <w:szCs w:val="48"/>
        </w:rPr>
        <w:t>余个</w:t>
      </w:r>
      <w:r>
        <w:rPr>
          <w:rFonts w:ascii="仿宋_GB2312" w:eastAsia="仿宋_GB2312"/>
          <w:sz w:val="32"/>
          <w:szCs w:val="48"/>
        </w:rPr>
        <w:t>委办部门25大类</w:t>
      </w:r>
      <w:r>
        <w:rPr>
          <w:rFonts w:hint="eastAsia" w:ascii="仿宋_GB2312" w:eastAsia="仿宋_GB2312"/>
          <w:sz w:val="32"/>
          <w:szCs w:val="48"/>
        </w:rPr>
        <w:t>的</w:t>
      </w:r>
      <w:r>
        <w:rPr>
          <w:rFonts w:ascii="仿宋_GB2312" w:eastAsia="仿宋_GB2312"/>
          <w:sz w:val="32"/>
          <w:szCs w:val="48"/>
        </w:rPr>
        <w:t>物联设备，设备数共计30万余个，主要包括应急三件套、民政康养设备、雨水情监测设备、电梯、门磁等设备，</w:t>
      </w:r>
      <w:r>
        <w:rPr>
          <w:rFonts w:hint="eastAsia" w:ascii="仿宋_GB2312" w:eastAsia="仿宋_GB2312"/>
          <w:sz w:val="32"/>
          <w:szCs w:val="48"/>
        </w:rPr>
        <w:t>设备数据规模达</w:t>
      </w:r>
      <w:r>
        <w:rPr>
          <w:rFonts w:ascii="仿宋_GB2312" w:eastAsia="仿宋_GB2312"/>
          <w:sz w:val="32"/>
          <w:szCs w:val="48"/>
        </w:rPr>
        <w:t>2582万</w:t>
      </w:r>
      <w:r>
        <w:rPr>
          <w:rFonts w:hint="eastAsia" w:ascii="仿宋_GB2312" w:eastAsia="仿宋_GB2312"/>
          <w:sz w:val="32"/>
          <w:szCs w:val="48"/>
        </w:rPr>
        <w:t>余</w:t>
      </w:r>
      <w:r>
        <w:rPr>
          <w:rFonts w:ascii="仿宋_GB2312" w:eastAsia="仿宋_GB2312"/>
          <w:sz w:val="32"/>
          <w:szCs w:val="48"/>
        </w:rPr>
        <w:t>条，日更</w:t>
      </w:r>
      <w:r>
        <w:rPr>
          <w:rFonts w:ascii="仿宋_GB2312" w:eastAsia="仿宋_GB2312"/>
          <w:sz w:val="32"/>
          <w:szCs w:val="48"/>
          <w:highlight w:val="none"/>
        </w:rPr>
        <w:t>数据</w:t>
      </w:r>
      <w:r>
        <w:rPr>
          <w:rFonts w:hint="eastAsia" w:ascii="仿宋_GB2312" w:eastAsia="仿宋_GB2312"/>
          <w:sz w:val="32"/>
          <w:szCs w:val="48"/>
          <w:highlight w:val="none"/>
        </w:rPr>
        <w:t>4</w:t>
      </w:r>
      <w:r>
        <w:rPr>
          <w:rFonts w:ascii="仿宋_GB2312" w:eastAsia="仿宋_GB2312"/>
          <w:sz w:val="32"/>
          <w:szCs w:val="48"/>
          <w:highlight w:val="none"/>
        </w:rPr>
        <w:t>万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余</w:t>
      </w:r>
      <w:r>
        <w:rPr>
          <w:rFonts w:ascii="仿宋_GB2312" w:eastAsia="仿宋_GB2312"/>
          <w:sz w:val="32"/>
          <w:szCs w:val="48"/>
          <w:highlight w:val="none"/>
        </w:rPr>
        <w:t>条。同时，根据市物联平台考核要求，</w:t>
      </w:r>
      <w:r>
        <w:rPr>
          <w:rFonts w:hint="eastAsia" w:ascii="仿宋_GB2312" w:eastAsia="仿宋_GB2312"/>
          <w:sz w:val="32"/>
          <w:szCs w:val="48"/>
          <w:highlight w:val="none"/>
        </w:rPr>
        <w:t>共</w:t>
      </w:r>
      <w:r>
        <w:rPr>
          <w:rFonts w:ascii="仿宋_GB2312" w:eastAsia="仿宋_GB2312"/>
          <w:sz w:val="32"/>
          <w:szCs w:val="48"/>
          <w:highlight w:val="none"/>
        </w:rPr>
        <w:t>向市平台推送了烟感、温感等19类设备。</w:t>
      </w:r>
      <w:r>
        <w:rPr>
          <w:rFonts w:ascii="仿宋_GB2312" w:eastAsia="仿宋_GB2312"/>
          <w:sz w:val="32"/>
          <w:szCs w:val="48"/>
          <w:highlight w:val="none"/>
        </w:rPr>
        <w:cr/>
      </w:r>
      <w:r>
        <w:rPr>
          <w:rFonts w:ascii="仿宋_GB2312" w:eastAsia="仿宋_GB2312"/>
          <w:sz w:val="32"/>
          <w:szCs w:val="48"/>
          <w:highlight w:val="none"/>
        </w:rPr>
        <w:t xml:space="preserve">    </w:t>
      </w:r>
      <w:r>
        <w:rPr>
          <w:rFonts w:hint="eastAsia" w:ascii="仿宋_GB2312" w:eastAsia="仿宋_GB2312"/>
          <w:sz w:val="32"/>
          <w:szCs w:val="48"/>
          <w:highlight w:val="none"/>
        </w:rPr>
        <w:t>2.感知数据共建共享</w:t>
      </w:r>
    </w:p>
    <w:p w14:paraId="73DD8C20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物联感知平台已为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西湖区</w:t>
      </w:r>
      <w:r>
        <w:rPr>
          <w:rFonts w:ascii="仿宋_GB2312" w:eastAsia="仿宋_GB2312"/>
          <w:sz w:val="32"/>
          <w:szCs w:val="48"/>
          <w:highlight w:val="none"/>
        </w:rPr>
        <w:t>上保、嘉绿苑、之江家园等未来社区，以及台讯卫士、数智转塘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、消防工作综合平台</w:t>
      </w:r>
      <w:r>
        <w:rPr>
          <w:rFonts w:ascii="仿宋_GB2312" w:eastAsia="仿宋_GB2312"/>
          <w:sz w:val="32"/>
          <w:szCs w:val="48"/>
          <w:highlight w:val="none"/>
        </w:rPr>
        <w:t>等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12个单位的场景建设</w:t>
      </w:r>
      <w:r>
        <w:rPr>
          <w:rFonts w:ascii="仿宋_GB2312" w:eastAsia="仿宋_GB2312"/>
          <w:sz w:val="32"/>
          <w:szCs w:val="48"/>
          <w:highlight w:val="none"/>
        </w:rPr>
        <w:t>做好</w:t>
      </w:r>
      <w:r>
        <w:rPr>
          <w:rFonts w:hint="eastAsia" w:ascii="仿宋_GB2312" w:eastAsia="仿宋_GB2312"/>
          <w:sz w:val="32"/>
          <w:szCs w:val="48"/>
          <w:highlight w:val="none"/>
        </w:rPr>
        <w:t>物联</w:t>
      </w:r>
      <w:r>
        <w:rPr>
          <w:rFonts w:ascii="仿宋_GB2312" w:eastAsia="仿宋_GB2312"/>
          <w:sz w:val="32"/>
          <w:szCs w:val="48"/>
          <w:highlight w:val="none"/>
        </w:rPr>
        <w:t>数据支撑</w:t>
      </w:r>
      <w:r>
        <w:rPr>
          <w:rFonts w:hint="eastAsia" w:ascii="仿宋_GB2312" w:eastAsia="仿宋_GB2312"/>
          <w:sz w:val="32"/>
          <w:szCs w:val="48"/>
          <w:highlight w:val="none"/>
        </w:rPr>
        <w:t>，并同步将物联设备点位信息共享至区地理信息中心，丰富西湖区图层资源；将设备产生的告警事件推送至区事件中心，丰富全区事件来源，有效辅助各部门的业务开展；按照市数据局要求，向上级平台推送设备数据，共建杭州城市物联感知体系。</w:t>
      </w:r>
    </w:p>
    <w:p w14:paraId="155598C5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因此物联感知一张网系统具有继续运维的必要性。</w:t>
      </w:r>
    </w:p>
    <w:p w14:paraId="0FD27BD6">
      <w:pPr>
        <w:adjustRightInd w:val="0"/>
        <w:snapToGrid w:val="0"/>
        <w:spacing w:line="360" w:lineRule="auto"/>
        <w:ind w:firstLine="640" w:firstLineChars="200"/>
        <w:rPr>
          <w:rFonts w:ascii="仿宋_GB2312" w:eastAsia="仿宋_GB2312"/>
          <w:sz w:val="32"/>
          <w:szCs w:val="48"/>
        </w:rPr>
      </w:pPr>
    </w:p>
    <w:p w14:paraId="18E5720C">
      <w:pPr>
        <w:pStyle w:val="12"/>
        <w:numPr>
          <w:ilvl w:val="0"/>
          <w:numId w:val="2"/>
        </w:numPr>
        <w:adjustRightInd w:val="0"/>
        <w:snapToGrid w:val="0"/>
        <w:spacing w:line="560" w:lineRule="exact"/>
        <w:ind w:firstLineChars="0"/>
        <w:jc w:val="center"/>
        <w:rPr>
          <w:rFonts w:ascii="黑体" w:hAnsi="黑体" w:eastAsia="黑体"/>
          <w:sz w:val="32"/>
          <w:szCs w:val="48"/>
        </w:rPr>
      </w:pPr>
      <w:r>
        <w:rPr>
          <w:rFonts w:hint="eastAsia" w:ascii="黑体" w:hAnsi="黑体" w:eastAsia="黑体"/>
          <w:sz w:val="32"/>
          <w:szCs w:val="48"/>
          <w:lang w:val="en-US" w:eastAsia="zh-CN"/>
        </w:rPr>
        <w:t>运维的</w:t>
      </w:r>
      <w:r>
        <w:rPr>
          <w:rFonts w:hint="eastAsia" w:ascii="黑体" w:hAnsi="黑体" w:eastAsia="黑体"/>
          <w:sz w:val="32"/>
          <w:szCs w:val="48"/>
        </w:rPr>
        <w:t>主要内容</w:t>
      </w:r>
    </w:p>
    <w:p w14:paraId="3554FDC4">
      <w:pPr>
        <w:pStyle w:val="12"/>
        <w:numPr>
          <w:ilvl w:val="0"/>
          <w:numId w:val="3"/>
        </w:numPr>
        <w:adjustRightInd w:val="0"/>
        <w:snapToGrid w:val="0"/>
        <w:spacing w:line="560" w:lineRule="exact"/>
        <w:ind w:firstLineChars="0"/>
        <w:rPr>
          <w:rFonts w:ascii="楷体_GB2312" w:eastAsia="楷体_GB2312"/>
          <w:sz w:val="32"/>
          <w:szCs w:val="48"/>
          <w:highlight w:val="none"/>
        </w:rPr>
      </w:pPr>
      <w:r>
        <w:rPr>
          <w:rFonts w:hint="eastAsia" w:ascii="楷体_GB2312" w:eastAsia="楷体_GB2312"/>
          <w:sz w:val="32"/>
          <w:szCs w:val="48"/>
          <w:highlight w:val="none"/>
        </w:rPr>
        <w:t>整体概况</w:t>
      </w:r>
    </w:p>
    <w:p w14:paraId="5FD3F4BA">
      <w:p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杭州城市大脑西湖平台（物联感知一张网）运维服务主要包括信创改造</w:t>
      </w:r>
      <w:r>
        <w:rPr>
          <w:rFonts w:hint="eastAsia" w:ascii="仿宋_GB2312" w:eastAsia="仿宋_GB2312"/>
          <w:sz w:val="32"/>
          <w:szCs w:val="48"/>
          <w:highlight w:val="none"/>
          <w:lang w:eastAsia="zh-CN"/>
        </w:rPr>
        <w:t>、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日常维护等内容</w:t>
      </w:r>
      <w:r>
        <w:rPr>
          <w:rFonts w:hint="eastAsia" w:ascii="仿宋_GB2312" w:eastAsia="仿宋_GB2312"/>
          <w:sz w:val="32"/>
          <w:szCs w:val="48"/>
          <w:highlight w:val="none"/>
        </w:rPr>
        <w:t>。2024年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根据工作部署开展</w:t>
      </w:r>
      <w:r>
        <w:rPr>
          <w:rFonts w:hint="eastAsia" w:ascii="仿宋_GB2312" w:eastAsia="仿宋_GB2312"/>
          <w:sz w:val="32"/>
          <w:szCs w:val="48"/>
          <w:highlight w:val="none"/>
        </w:rPr>
        <w:t>物联感知一张网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系统</w:t>
      </w:r>
      <w:r>
        <w:rPr>
          <w:rFonts w:hint="eastAsia" w:ascii="仿宋_GB2312" w:eastAsia="仿宋_GB2312"/>
          <w:sz w:val="32"/>
          <w:szCs w:val="48"/>
          <w:highlight w:val="none"/>
        </w:rPr>
        <w:t>的国产化改造，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主要</w:t>
      </w:r>
      <w:r>
        <w:rPr>
          <w:rFonts w:hint="eastAsia" w:ascii="仿宋_GB2312" w:eastAsia="仿宋_GB2312"/>
          <w:sz w:val="32"/>
          <w:szCs w:val="48"/>
          <w:highlight w:val="none"/>
        </w:rPr>
        <w:t>包括关键模块的适配和数据迁移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等工作</w:t>
      </w:r>
      <w:r>
        <w:rPr>
          <w:rFonts w:hint="eastAsia" w:ascii="仿宋_GB2312" w:eastAsia="仿宋_GB2312"/>
          <w:sz w:val="32"/>
          <w:szCs w:val="48"/>
          <w:highlight w:val="none"/>
        </w:rPr>
        <w:t>。</w:t>
      </w:r>
      <w:r>
        <w:rPr>
          <w:rFonts w:hint="default" w:ascii="仿宋_GB2312" w:eastAsia="仿宋_GB2312"/>
          <w:sz w:val="32"/>
          <w:szCs w:val="48"/>
          <w:highlight w:val="none"/>
        </w:rPr>
        <w:t>信创改造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完成</w:t>
      </w:r>
      <w:r>
        <w:rPr>
          <w:rFonts w:hint="default" w:ascii="仿宋_GB2312" w:eastAsia="仿宋_GB2312"/>
          <w:sz w:val="32"/>
          <w:szCs w:val="48"/>
          <w:highlight w:val="none"/>
        </w:rPr>
        <w:t>后，进行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日常运行</w:t>
      </w:r>
      <w:r>
        <w:rPr>
          <w:rFonts w:hint="default" w:ascii="仿宋_GB2312" w:eastAsia="仿宋_GB2312"/>
          <w:sz w:val="32"/>
          <w:szCs w:val="48"/>
          <w:highlight w:val="none"/>
        </w:rPr>
        <w:t>维护、多平台对接以及安全保障工作，确保系统的稳定运行与数据安全。</w:t>
      </w:r>
    </w:p>
    <w:p w14:paraId="1FF72AD1">
      <w:pPr>
        <w:pStyle w:val="12"/>
        <w:numPr>
          <w:ilvl w:val="0"/>
          <w:numId w:val="3"/>
        </w:numPr>
        <w:adjustRightInd w:val="0"/>
        <w:snapToGrid w:val="0"/>
        <w:spacing w:line="560" w:lineRule="exact"/>
        <w:ind w:firstLineChars="0"/>
        <w:rPr>
          <w:rFonts w:ascii="楷体_GB2312" w:eastAsia="楷体_GB2312"/>
          <w:sz w:val="32"/>
          <w:szCs w:val="48"/>
          <w:highlight w:val="none"/>
        </w:rPr>
      </w:pPr>
      <w:r>
        <w:rPr>
          <w:rFonts w:hint="eastAsia" w:ascii="楷体_GB2312" w:eastAsia="楷体_GB2312"/>
          <w:sz w:val="32"/>
          <w:szCs w:val="48"/>
          <w:highlight w:val="none"/>
        </w:rPr>
        <w:t xml:space="preserve">基础设施维护 </w:t>
      </w:r>
    </w:p>
    <w:p w14:paraId="683252B7">
      <w:pPr>
        <w:adjustRightInd w:val="0"/>
        <w:snapToGrid w:val="0"/>
        <w:spacing w:line="560" w:lineRule="exact"/>
        <w:ind w:left="64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无。</w:t>
      </w:r>
    </w:p>
    <w:p w14:paraId="6D9C188F">
      <w:pPr>
        <w:pStyle w:val="12"/>
        <w:numPr>
          <w:ilvl w:val="0"/>
          <w:numId w:val="3"/>
        </w:numPr>
        <w:adjustRightInd w:val="0"/>
        <w:snapToGrid w:val="0"/>
        <w:spacing w:line="560" w:lineRule="exact"/>
        <w:ind w:firstLineChars="0"/>
        <w:rPr>
          <w:rFonts w:ascii="楷体_GB2312" w:eastAsia="楷体_GB2312"/>
          <w:sz w:val="32"/>
          <w:szCs w:val="48"/>
          <w:highlight w:val="none"/>
        </w:rPr>
      </w:pPr>
      <w:r>
        <w:rPr>
          <w:rFonts w:hint="eastAsia" w:ascii="楷体_GB2312" w:eastAsia="楷体_GB2312"/>
          <w:sz w:val="32"/>
          <w:szCs w:val="48"/>
          <w:highlight w:val="none"/>
        </w:rPr>
        <w:t>软件及信息资源维护</w:t>
      </w:r>
    </w:p>
    <w:p w14:paraId="18671D3D">
      <w:pPr>
        <w:pStyle w:val="12"/>
        <w:widowControl/>
        <w:numPr>
          <w:ilvl w:val="0"/>
          <w:numId w:val="4"/>
        </w:numPr>
        <w:spacing w:line="560" w:lineRule="exact"/>
        <w:ind w:firstLineChars="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应用系统维护</w:t>
      </w:r>
    </w:p>
    <w:p w14:paraId="46D9673B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  <w:highlight w:val="none"/>
          <w14:ligatures w14:val="none"/>
        </w:rPr>
        <w:t>杭州城市大脑西湖平台（物联感知一张网）</w:t>
      </w:r>
      <w:r>
        <w:rPr>
          <w:rFonts w:hint="eastAsia" w:ascii="仿宋_GB2312" w:eastAsia="仿宋_GB2312"/>
          <w:sz w:val="32"/>
          <w:szCs w:val="48"/>
          <w:highlight w:val="none"/>
        </w:rPr>
        <w:t>系统建成于</w:t>
      </w:r>
      <w:r>
        <w:rPr>
          <w:rFonts w:ascii="仿宋_GB2312" w:eastAsia="仿宋_GB2312"/>
          <w:sz w:val="32"/>
          <w:szCs w:val="48"/>
          <w:highlight w:val="none"/>
        </w:rPr>
        <w:t>2022年，使用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对象</w:t>
      </w:r>
      <w:r>
        <w:rPr>
          <w:rFonts w:ascii="仿宋_GB2312" w:eastAsia="仿宋_GB2312"/>
          <w:sz w:val="32"/>
          <w:szCs w:val="48"/>
          <w:highlight w:val="none"/>
        </w:rPr>
        <w:t>主要为西湖区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相关部门及业务</w:t>
      </w:r>
      <w:r>
        <w:rPr>
          <w:rFonts w:ascii="仿宋_GB2312" w:eastAsia="仿宋_GB2312"/>
          <w:sz w:val="32"/>
          <w:szCs w:val="48"/>
          <w:highlight w:val="none"/>
        </w:rPr>
        <w:t>单位等。</w:t>
      </w:r>
    </w:p>
    <w:p w14:paraId="1D5A1382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业务运行要求：在</w:t>
      </w:r>
      <w:r>
        <w:rPr>
          <w:rFonts w:ascii="仿宋_GB2312" w:eastAsia="仿宋_GB2312"/>
          <w:sz w:val="32"/>
          <w:szCs w:val="48"/>
          <w:highlight w:val="none"/>
        </w:rPr>
        <w:t>PC操作终端上</w:t>
      </w:r>
      <w:r>
        <w:rPr>
          <w:rFonts w:hint="eastAsia" w:ascii="仿宋_GB2312" w:eastAsia="仿宋_GB2312"/>
          <w:sz w:val="32"/>
          <w:szCs w:val="48"/>
          <w:highlight w:val="none"/>
        </w:rPr>
        <w:t>使用</w:t>
      </w:r>
      <w:r>
        <w:rPr>
          <w:rFonts w:ascii="仿宋_GB2312" w:eastAsia="仿宋_GB2312"/>
          <w:sz w:val="32"/>
          <w:szCs w:val="48"/>
          <w:highlight w:val="none"/>
        </w:rPr>
        <w:t>浏览器可高速运行本系统，</w:t>
      </w:r>
      <w:r>
        <w:rPr>
          <w:rFonts w:hint="eastAsia" w:ascii="仿宋_GB2312" w:eastAsia="仿宋_GB2312"/>
          <w:sz w:val="32"/>
          <w:szCs w:val="48"/>
          <w:highlight w:val="none"/>
        </w:rPr>
        <w:t>各种操作不出现让操作人员无法承受的等待现象</w:t>
      </w:r>
      <w:r>
        <w:rPr>
          <w:rFonts w:ascii="仿宋_GB2312" w:eastAsia="仿宋_GB2312"/>
          <w:sz w:val="32"/>
          <w:szCs w:val="48"/>
          <w:highlight w:val="none"/>
        </w:rPr>
        <w:t>。</w:t>
      </w:r>
    </w:p>
    <w:p w14:paraId="23AB2A3C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基于</w:t>
      </w:r>
      <w:r>
        <w:rPr>
          <w:rFonts w:ascii="仿宋_GB2312" w:eastAsia="仿宋_GB2312"/>
          <w:sz w:val="32"/>
          <w:szCs w:val="48"/>
        </w:rPr>
        <w:t>B/S结构在50M 带宽10用户并发操作条件下，</w:t>
      </w:r>
      <w:r>
        <w:rPr>
          <w:rFonts w:hint="eastAsia" w:ascii="仿宋_GB2312" w:eastAsia="仿宋_GB2312"/>
          <w:sz w:val="32"/>
          <w:szCs w:val="48"/>
        </w:rPr>
        <w:t>查询设备数据和</w:t>
      </w:r>
      <w:r>
        <w:rPr>
          <w:rFonts w:ascii="仿宋_GB2312" w:eastAsia="仿宋_GB2312"/>
          <w:sz w:val="32"/>
          <w:szCs w:val="48"/>
        </w:rPr>
        <w:t>调</w:t>
      </w:r>
      <w:r>
        <w:rPr>
          <w:rFonts w:hint="eastAsia" w:ascii="仿宋_GB2312" w:eastAsia="仿宋_GB2312"/>
          <w:sz w:val="32"/>
          <w:szCs w:val="48"/>
        </w:rPr>
        <w:t>用监控实时画面时，各用户均能在</w:t>
      </w:r>
      <w:r>
        <w:rPr>
          <w:rFonts w:ascii="仿宋_GB2312" w:eastAsia="仿宋_GB2312"/>
          <w:sz w:val="32"/>
          <w:szCs w:val="48"/>
        </w:rPr>
        <w:t>5</w:t>
      </w:r>
      <w:r>
        <w:rPr>
          <w:rFonts w:hint="eastAsia" w:ascii="仿宋_GB2312" w:eastAsia="仿宋_GB2312"/>
          <w:sz w:val="32"/>
          <w:szCs w:val="48"/>
        </w:rPr>
        <w:t>秒内完成。</w:t>
      </w:r>
    </w:p>
    <w:p w14:paraId="788008A0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业务数据基本操作少于</w:t>
      </w:r>
      <w:r>
        <w:rPr>
          <w:rFonts w:ascii="仿宋_GB2312" w:eastAsia="仿宋_GB2312"/>
          <w:sz w:val="32"/>
          <w:szCs w:val="48"/>
        </w:rPr>
        <w:t>3秒；业务数据单条信息页面显</w:t>
      </w:r>
      <w:r>
        <w:rPr>
          <w:rFonts w:hint="eastAsia" w:ascii="仿宋_GB2312" w:eastAsia="仿宋_GB2312"/>
          <w:sz w:val="32"/>
          <w:szCs w:val="48"/>
        </w:rPr>
        <w:t>示时间少于</w:t>
      </w:r>
      <w:r>
        <w:rPr>
          <w:rFonts w:ascii="仿宋_GB2312" w:eastAsia="仿宋_GB2312"/>
          <w:sz w:val="32"/>
          <w:szCs w:val="48"/>
        </w:rPr>
        <w:t>5秒，复杂检索结果的页面显示时间少于10 秒。</w:t>
      </w:r>
    </w:p>
    <w:p w14:paraId="62D7D13E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排除人为误操作因素，由应用系统自身原因导致的系统错误故障</w:t>
      </w:r>
      <w:r>
        <w:rPr>
          <w:rFonts w:ascii="仿宋_GB2312" w:eastAsia="仿宋_GB2312"/>
          <w:sz w:val="32"/>
          <w:szCs w:val="48"/>
        </w:rPr>
        <w:t>,平均无故障时间（MTBF）应大于100天，平均修</w:t>
      </w:r>
      <w:r>
        <w:rPr>
          <w:rFonts w:hint="eastAsia" w:ascii="仿宋_GB2312" w:eastAsia="仿宋_GB2312"/>
          <w:sz w:val="32"/>
          <w:szCs w:val="48"/>
        </w:rPr>
        <w:t>复时间（</w:t>
      </w:r>
      <w:r>
        <w:rPr>
          <w:rFonts w:ascii="仿宋_GB2312" w:eastAsia="仿宋_GB2312"/>
          <w:sz w:val="32"/>
          <w:szCs w:val="48"/>
        </w:rPr>
        <w:t>MTTR）应小于2</w:t>
      </w:r>
      <w:r>
        <w:rPr>
          <w:rFonts w:hint="eastAsia" w:ascii="仿宋_GB2312" w:eastAsia="仿宋_GB2312"/>
          <w:sz w:val="32"/>
          <w:szCs w:val="48"/>
        </w:rPr>
        <w:t>天</w:t>
      </w:r>
      <w:r>
        <w:rPr>
          <w:rFonts w:ascii="仿宋_GB2312" w:eastAsia="仿宋_GB2312"/>
          <w:sz w:val="32"/>
          <w:szCs w:val="48"/>
        </w:rPr>
        <w:t>。</w:t>
      </w:r>
    </w:p>
    <w:p w14:paraId="0C831FC1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</w:rPr>
        <w:t>应用系统必须支持连续</w:t>
      </w:r>
      <w:r>
        <w:rPr>
          <w:rFonts w:ascii="仿宋_GB2312" w:eastAsia="仿宋_GB2312"/>
          <w:sz w:val="32"/>
          <w:szCs w:val="48"/>
        </w:rPr>
        <w:t>7×24小时不间断地工作，应用</w:t>
      </w:r>
      <w:r>
        <w:rPr>
          <w:rFonts w:hint="eastAsia" w:ascii="仿宋_GB2312" w:eastAsia="仿宋_GB2312"/>
          <w:sz w:val="32"/>
          <w:szCs w:val="48"/>
        </w:rPr>
        <w:t>系统中的任一构件更新、加载时，在不更新与上下构件的接口的</w:t>
      </w:r>
      <w:r>
        <w:rPr>
          <w:rFonts w:hint="eastAsia" w:ascii="仿宋_GB2312" w:eastAsia="仿宋_GB2312"/>
          <w:sz w:val="32"/>
          <w:szCs w:val="48"/>
          <w:highlight w:val="none"/>
        </w:rPr>
        <w:t>前提下，不影响业务运转和服务。</w:t>
      </w:r>
    </w:p>
    <w:p w14:paraId="1D65D5A1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应用系统必须支持负载均衡能力，支持应用部署在多台服务器上，避免应用系统的单点故障。</w:t>
      </w:r>
    </w:p>
    <w:p w14:paraId="66C142E6">
      <w:pPr>
        <w:widowControl/>
        <w:spacing w:line="560" w:lineRule="exact"/>
        <w:ind w:left="64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  <w:highlight w:val="none"/>
          <w14:ligatures w14:val="none"/>
        </w:rPr>
        <w:t>杭州城市大脑西湖平台（物联感知一张网）</w:t>
      </w:r>
      <w:r>
        <w:rPr>
          <w:rFonts w:hint="eastAsia" w:ascii="仿宋_GB2312" w:eastAsia="仿宋_GB2312"/>
          <w:sz w:val="32"/>
          <w:szCs w:val="48"/>
          <w:highlight w:val="none"/>
        </w:rPr>
        <w:t>系统的运</w:t>
      </w:r>
    </w:p>
    <w:p w14:paraId="1F30615A">
      <w:pPr>
        <w:widowControl/>
        <w:spacing w:line="560" w:lineRule="exact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维工作主要分为三部分：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日常维护</w:t>
      </w:r>
      <w:r>
        <w:rPr>
          <w:rFonts w:hint="eastAsia" w:ascii="仿宋_GB2312" w:eastAsia="仿宋_GB2312"/>
          <w:sz w:val="32"/>
          <w:szCs w:val="48"/>
          <w:highlight w:val="none"/>
        </w:rPr>
        <w:t>、平台对接、安全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保障</w:t>
      </w:r>
      <w:r>
        <w:rPr>
          <w:rFonts w:hint="eastAsia" w:ascii="仿宋_GB2312" w:eastAsia="仿宋_GB2312"/>
          <w:sz w:val="32"/>
          <w:szCs w:val="48"/>
          <w:highlight w:val="none"/>
        </w:rPr>
        <w:t>。</w:t>
      </w:r>
    </w:p>
    <w:p w14:paraId="1E136D79">
      <w:pPr>
        <w:widowControl/>
        <w:spacing w:line="560" w:lineRule="exact"/>
        <w:jc w:val="left"/>
        <w:rPr>
          <w:rFonts w:hint="default" w:ascii="仿宋_GB2312" w:eastAsia="仿宋_GB2312"/>
          <w:b/>
          <w:bCs/>
          <w:sz w:val="32"/>
          <w:szCs w:val="48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 xml:space="preserve"> </w:t>
      </w:r>
      <w:r>
        <w:rPr>
          <w:rFonts w:ascii="仿宋_GB2312" w:eastAsia="仿宋_GB2312"/>
          <w:sz w:val="32"/>
          <w:szCs w:val="48"/>
          <w:highlight w:val="none"/>
        </w:rPr>
        <w:t xml:space="preserve">  </w:t>
      </w:r>
      <w:r>
        <w:rPr>
          <w:rFonts w:hint="eastAsia" w:ascii="仿宋_GB2312" w:eastAsia="仿宋_GB2312"/>
          <w:sz w:val="32"/>
          <w:szCs w:val="48"/>
          <w:highlight w:val="none"/>
        </w:rPr>
        <w:t>（1）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日常维护</w:t>
      </w:r>
    </w:p>
    <w:p w14:paraId="6A5B8223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1）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信创改造完成后</w:t>
      </w:r>
      <w:r>
        <w:rPr>
          <w:rFonts w:ascii="仿宋_GB2312" w:eastAsia="仿宋_GB2312"/>
          <w:sz w:val="32"/>
          <w:szCs w:val="48"/>
          <w:highlight w:val="none"/>
        </w:rPr>
        <w:t>提供一年运维服务，完成全区各部门物联设备接入、物联数据共享咨询、评</w:t>
      </w:r>
      <w:r>
        <w:rPr>
          <w:rFonts w:ascii="仿宋_GB2312" w:eastAsia="仿宋_GB2312"/>
          <w:sz w:val="32"/>
          <w:szCs w:val="48"/>
        </w:rPr>
        <w:t>估和具体对接实施，协助解决对接过程中的问题</w:t>
      </w:r>
      <w:r>
        <w:rPr>
          <w:rFonts w:hint="eastAsia" w:ascii="仿宋_GB2312" w:eastAsia="仿宋_GB2312"/>
          <w:sz w:val="32"/>
          <w:szCs w:val="48"/>
        </w:rPr>
        <w:t>。按照西湖区数据归集标准归集设备数据，</w:t>
      </w:r>
      <w:r>
        <w:rPr>
          <w:rFonts w:ascii="仿宋_GB2312" w:eastAsia="仿宋_GB2312"/>
          <w:sz w:val="32"/>
          <w:szCs w:val="48"/>
        </w:rPr>
        <w:t>确保数据安全接入和共享。</w:t>
      </w:r>
    </w:p>
    <w:p w14:paraId="539C67FC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2</w:t>
      </w:r>
      <w:r>
        <w:rPr>
          <w:rFonts w:hint="eastAsia" w:ascii="仿宋_GB2312" w:eastAsia="仿宋_GB2312"/>
          <w:sz w:val="32"/>
          <w:szCs w:val="48"/>
        </w:rPr>
        <w:t>）</w:t>
      </w:r>
      <w:r>
        <w:rPr>
          <w:rFonts w:ascii="仿宋_GB2312" w:eastAsia="仿宋_GB2312"/>
          <w:sz w:val="32"/>
          <w:szCs w:val="48"/>
        </w:rPr>
        <w:t>提供定期的系统巡检，包括系统界面、接口状态、功能配置等是否正常，输出巡检报告。</w:t>
      </w:r>
    </w:p>
    <w:p w14:paraId="324DFE46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3</w:t>
      </w:r>
      <w:r>
        <w:rPr>
          <w:rFonts w:hint="eastAsia" w:ascii="仿宋_GB2312" w:eastAsia="仿宋_GB2312"/>
          <w:sz w:val="32"/>
          <w:szCs w:val="48"/>
        </w:rPr>
        <w:t>）</w:t>
      </w:r>
      <w:r>
        <w:rPr>
          <w:rFonts w:ascii="仿宋_GB2312" w:eastAsia="仿宋_GB2312"/>
          <w:sz w:val="32"/>
          <w:szCs w:val="48"/>
        </w:rPr>
        <w:t>部门需求调整后（如设备类型、数量、范围调整），提供配套接口调试开发。</w:t>
      </w:r>
    </w:p>
    <w:p w14:paraId="75208118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  <w:highlight w:val="none"/>
        </w:rPr>
      </w:pPr>
      <w:r>
        <w:rPr>
          <w:rFonts w:ascii="仿宋_GB2312" w:eastAsia="仿宋_GB2312"/>
          <w:sz w:val="32"/>
          <w:szCs w:val="48"/>
        </w:rPr>
        <w:t>4</w:t>
      </w:r>
      <w:r>
        <w:rPr>
          <w:rFonts w:hint="eastAsia" w:ascii="仿宋_GB2312" w:eastAsia="仿宋_GB2312"/>
          <w:sz w:val="32"/>
          <w:szCs w:val="48"/>
        </w:rPr>
        <w:t>）</w:t>
      </w:r>
      <w:r>
        <w:rPr>
          <w:rFonts w:ascii="仿宋_GB2312" w:eastAsia="仿宋_GB2312"/>
          <w:sz w:val="32"/>
          <w:szCs w:val="48"/>
        </w:rPr>
        <w:t>根据</w:t>
      </w:r>
      <w:r>
        <w:rPr>
          <w:rFonts w:ascii="仿宋_GB2312" w:eastAsia="仿宋_GB2312"/>
          <w:sz w:val="32"/>
          <w:szCs w:val="48"/>
          <w:highlight w:val="none"/>
        </w:rPr>
        <w:t>省、市、区相关要求做好系统的支撑工作，例如根据市数据局要求完成网络数据安全专项检查工作、</w:t>
      </w:r>
      <w:r>
        <w:rPr>
          <w:rFonts w:hint="eastAsia" w:ascii="仿宋_GB2312" w:eastAsia="仿宋_GB2312"/>
          <w:sz w:val="32"/>
          <w:szCs w:val="48"/>
          <w:highlight w:val="none"/>
        </w:rPr>
        <w:t>按照省</w:t>
      </w:r>
      <w:r>
        <w:rPr>
          <w:rFonts w:ascii="仿宋_GB2312" w:eastAsia="仿宋_GB2312"/>
          <w:sz w:val="32"/>
          <w:szCs w:val="48"/>
          <w:highlight w:val="none"/>
        </w:rPr>
        <w:t>IRS</w:t>
      </w:r>
      <w:r>
        <w:rPr>
          <w:rFonts w:hint="eastAsia" w:ascii="仿宋_GB2312" w:eastAsia="仿宋_GB2312"/>
          <w:sz w:val="32"/>
          <w:szCs w:val="48"/>
          <w:highlight w:val="none"/>
        </w:rPr>
        <w:t>规范</w:t>
      </w:r>
      <w:r>
        <w:rPr>
          <w:rFonts w:ascii="仿宋_GB2312" w:eastAsia="仿宋_GB2312"/>
          <w:sz w:val="32"/>
          <w:szCs w:val="48"/>
          <w:highlight w:val="none"/>
        </w:rPr>
        <w:t>做好应用资源</w:t>
      </w:r>
      <w:r>
        <w:rPr>
          <w:rFonts w:hint="eastAsia" w:ascii="仿宋_GB2312" w:eastAsia="仿宋_GB2312"/>
          <w:sz w:val="32"/>
          <w:szCs w:val="48"/>
          <w:highlight w:val="none"/>
        </w:rPr>
        <w:t>的</w:t>
      </w:r>
      <w:r>
        <w:rPr>
          <w:rFonts w:ascii="仿宋_GB2312" w:eastAsia="仿宋_GB2312"/>
          <w:sz w:val="32"/>
          <w:szCs w:val="48"/>
          <w:highlight w:val="none"/>
        </w:rPr>
        <w:t>编目工作等。</w:t>
      </w:r>
    </w:p>
    <w:p w14:paraId="7B05625D">
      <w:pPr>
        <w:widowControl/>
        <w:spacing w:line="560" w:lineRule="exact"/>
        <w:ind w:firstLine="480" w:firstLineChars="150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（2）平台对接</w:t>
      </w:r>
    </w:p>
    <w:p w14:paraId="189B7250">
      <w:pPr>
        <w:widowControl/>
        <w:spacing w:line="560" w:lineRule="exact"/>
        <w:ind w:firstLine="648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ascii="仿宋_GB2312" w:eastAsia="仿宋_GB2312"/>
          <w:sz w:val="32"/>
          <w:szCs w:val="48"/>
          <w:highlight w:val="none"/>
        </w:rPr>
        <w:t>1</w:t>
      </w:r>
      <w:r>
        <w:rPr>
          <w:rFonts w:hint="eastAsia" w:ascii="仿宋_GB2312" w:eastAsia="仿宋_GB2312"/>
          <w:sz w:val="32"/>
          <w:szCs w:val="48"/>
          <w:highlight w:val="none"/>
        </w:rPr>
        <w:t>）</w:t>
      </w:r>
      <w:r>
        <w:rPr>
          <w:rFonts w:ascii="仿宋_GB2312" w:eastAsia="仿宋_GB2312"/>
          <w:sz w:val="32"/>
          <w:szCs w:val="48"/>
          <w:highlight w:val="none"/>
        </w:rPr>
        <w:t>与区事件中心对接，按照</w:t>
      </w:r>
      <w:r>
        <w:rPr>
          <w:rFonts w:hint="eastAsia" w:ascii="仿宋_GB2312" w:eastAsia="仿宋_GB2312"/>
          <w:sz w:val="32"/>
          <w:szCs w:val="48"/>
          <w:highlight w:val="none"/>
        </w:rPr>
        <w:t>事件中心统一接口</w:t>
      </w:r>
      <w:r>
        <w:rPr>
          <w:rFonts w:ascii="仿宋_GB2312" w:eastAsia="仿宋_GB2312"/>
          <w:sz w:val="32"/>
          <w:szCs w:val="48"/>
          <w:highlight w:val="none"/>
        </w:rPr>
        <w:t>推送事件，协同处理事件上报和推送问题。</w:t>
      </w:r>
    </w:p>
    <w:p w14:paraId="1E7D2987">
      <w:pPr>
        <w:widowControl/>
        <w:spacing w:line="560" w:lineRule="exact"/>
        <w:ind w:firstLine="648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ascii="仿宋_GB2312" w:eastAsia="仿宋_GB2312"/>
          <w:sz w:val="32"/>
          <w:szCs w:val="48"/>
          <w:highlight w:val="none"/>
        </w:rPr>
        <w:t>2</w:t>
      </w:r>
      <w:r>
        <w:rPr>
          <w:rFonts w:hint="eastAsia" w:ascii="仿宋_GB2312" w:eastAsia="仿宋_GB2312"/>
          <w:sz w:val="32"/>
          <w:szCs w:val="48"/>
          <w:highlight w:val="none"/>
        </w:rPr>
        <w:t>）</w:t>
      </w:r>
      <w:r>
        <w:rPr>
          <w:rFonts w:ascii="仿宋_GB2312" w:eastAsia="仿宋_GB2312"/>
          <w:sz w:val="32"/>
          <w:szCs w:val="48"/>
          <w:highlight w:val="none"/>
        </w:rPr>
        <w:t>与海康视频平台对接；与各部门已有管理平台对接获取物联相关数据。</w:t>
      </w:r>
    </w:p>
    <w:p w14:paraId="42AED7F1">
      <w:pPr>
        <w:widowControl/>
        <w:spacing w:line="560" w:lineRule="exact"/>
        <w:ind w:firstLine="648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ascii="仿宋_GB2312" w:eastAsia="仿宋_GB2312"/>
          <w:sz w:val="32"/>
          <w:szCs w:val="48"/>
          <w:highlight w:val="none"/>
        </w:rPr>
        <w:t>3</w:t>
      </w:r>
      <w:r>
        <w:rPr>
          <w:rFonts w:hint="eastAsia" w:ascii="仿宋_GB2312" w:eastAsia="仿宋_GB2312"/>
          <w:sz w:val="32"/>
          <w:szCs w:val="48"/>
          <w:highlight w:val="none"/>
        </w:rPr>
        <w:t>）</w:t>
      </w:r>
      <w:r>
        <w:rPr>
          <w:rFonts w:ascii="仿宋_GB2312" w:eastAsia="仿宋_GB2312"/>
          <w:sz w:val="32"/>
          <w:szCs w:val="48"/>
          <w:highlight w:val="none"/>
        </w:rPr>
        <w:t>与政务中台对接，在政务中台搭建物联平台的入口，实现单点登录。</w:t>
      </w:r>
    </w:p>
    <w:p w14:paraId="489EFF5C">
      <w:pPr>
        <w:widowControl/>
        <w:spacing w:line="560" w:lineRule="exact"/>
        <w:ind w:firstLine="648"/>
        <w:jc w:val="left"/>
        <w:rPr>
          <w:rFonts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  <w:highlight w:val="none"/>
        </w:rPr>
        <w:t>4</w:t>
      </w:r>
      <w:r>
        <w:rPr>
          <w:rFonts w:hint="eastAsia" w:ascii="仿宋_GB2312" w:eastAsia="仿宋_GB2312"/>
          <w:sz w:val="32"/>
          <w:szCs w:val="48"/>
          <w:highlight w:val="none"/>
        </w:rPr>
        <w:t>）</w:t>
      </w:r>
      <w:r>
        <w:rPr>
          <w:rFonts w:ascii="仿宋_GB2312" w:eastAsia="仿宋_GB2312"/>
          <w:sz w:val="32"/>
          <w:szCs w:val="48"/>
          <w:highlight w:val="none"/>
        </w:rPr>
        <w:t>与区地理信息中心对接，</w:t>
      </w:r>
      <w:r>
        <w:rPr>
          <w:rFonts w:ascii="仿宋_GB2312" w:eastAsia="仿宋_GB2312"/>
          <w:sz w:val="32"/>
          <w:szCs w:val="48"/>
        </w:rPr>
        <w:t>提供物联资源点位信息。</w:t>
      </w:r>
    </w:p>
    <w:p w14:paraId="16B738DA">
      <w:pPr>
        <w:widowControl/>
        <w:spacing w:line="560" w:lineRule="exact"/>
        <w:ind w:firstLine="648"/>
        <w:jc w:val="left"/>
        <w:rPr>
          <w:rFonts w:hint="eastAsia" w:ascii="仿宋_GB2312" w:eastAsia="仿宋_GB2312"/>
          <w:sz w:val="32"/>
          <w:szCs w:val="48"/>
        </w:rPr>
      </w:pPr>
      <w:r>
        <w:rPr>
          <w:rFonts w:ascii="仿宋_GB2312" w:eastAsia="仿宋_GB2312"/>
          <w:sz w:val="32"/>
          <w:szCs w:val="48"/>
        </w:rPr>
        <w:t>5</w:t>
      </w:r>
      <w:r>
        <w:rPr>
          <w:rFonts w:hint="eastAsia" w:ascii="仿宋_GB2312" w:eastAsia="仿宋_GB2312"/>
          <w:sz w:val="32"/>
          <w:szCs w:val="48"/>
        </w:rPr>
        <w:t>）与</w:t>
      </w:r>
      <w:r>
        <w:rPr>
          <w:rFonts w:ascii="仿宋_GB2312" w:eastAsia="仿宋_GB2312"/>
          <w:sz w:val="32"/>
          <w:szCs w:val="48"/>
        </w:rPr>
        <w:t>市物联平台对接，完成向上级部门推送设备数据</w:t>
      </w:r>
      <w:r>
        <w:rPr>
          <w:rFonts w:hint="eastAsia" w:ascii="仿宋_GB2312" w:eastAsia="仿宋_GB2312"/>
          <w:sz w:val="32"/>
          <w:szCs w:val="48"/>
        </w:rPr>
        <w:t>。</w:t>
      </w:r>
    </w:p>
    <w:p w14:paraId="0E0CC12A">
      <w:pPr>
        <w:widowControl/>
        <w:spacing w:line="560" w:lineRule="exact"/>
        <w:ind w:firstLine="480" w:firstLineChars="15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（3）安全策略</w:t>
      </w:r>
    </w:p>
    <w:p w14:paraId="5CD6B40D">
      <w:pPr>
        <w:widowControl/>
        <w:spacing w:line="560" w:lineRule="exact"/>
        <w:ind w:firstLine="648"/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</w:pP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1）做好数据库账号保护，数据库超级账号由部门管理 人员管理，针对运维、开发人员采取访问控制、授权管理 等安全措施严格数据管理，建立安全的数据资产访问通道。</w:t>
      </w:r>
    </w:p>
    <w:p w14:paraId="3582DE9D">
      <w:pPr>
        <w:widowControl/>
        <w:spacing w:line="560" w:lineRule="exact"/>
        <w:ind w:firstLine="648"/>
        <w:rPr>
          <w:rFonts w:ascii="仿宋_GB2312" w:eastAsia="仿宋_GB2312"/>
          <w:sz w:val="32"/>
          <w:szCs w:val="4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1"/>
          <w:szCs w:val="31"/>
          <w:lang w:val="en-US" w:eastAsia="zh-CN"/>
        </w:rPr>
        <w:t>2）</w:t>
      </w:r>
      <w:r>
        <w:rPr>
          <w:rFonts w:hint="eastAsia" w:ascii="仿宋_GB2312" w:eastAsia="仿宋_GB2312"/>
          <w:sz w:val="32"/>
          <w:szCs w:val="48"/>
          <w:lang w:val="en-US" w:eastAsia="zh-CN"/>
        </w:rPr>
        <w:t>配合区数据局做好安全审</w:t>
      </w:r>
      <w:r>
        <w:rPr>
          <w:rFonts w:ascii="仿宋_GB2312" w:eastAsia="仿宋_GB2312"/>
          <w:sz w:val="32"/>
          <w:szCs w:val="48"/>
        </w:rPr>
        <w:t>计整改工作，对在审计中发现的堡垒机违规登录、数据违规下载、API接口调用异常等问题进行及时整改；配合区数据局做好每月进行的漏洞扫描工作，如有漏洞及时修复并提供漏洞整改报告。</w:t>
      </w:r>
    </w:p>
    <w:p w14:paraId="78A30958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2．信息资源维护</w:t>
      </w:r>
    </w:p>
    <w:p w14:paraId="21AA6CC8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48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  <w14:ligatures w14:val="none"/>
        </w:rPr>
        <w:t>杭州城市大脑西湖平台（物联感知一张网）</w:t>
      </w:r>
      <w:r>
        <w:rPr>
          <w:rFonts w:hint="eastAsia" w:ascii="仿宋_GB2312" w:eastAsia="仿宋_GB2312"/>
          <w:sz w:val="32"/>
          <w:szCs w:val="48"/>
        </w:rPr>
        <w:t>系统数据资源从</w:t>
      </w:r>
      <w:r>
        <w:rPr>
          <w:rFonts w:ascii="仿宋_GB2312" w:eastAsia="仿宋_GB2312"/>
          <w:sz w:val="32"/>
          <w:szCs w:val="48"/>
        </w:rPr>
        <w:t>2021年</w:t>
      </w:r>
      <w:r>
        <w:rPr>
          <w:rFonts w:hint="eastAsia" w:ascii="仿宋_GB2312" w:eastAsia="仿宋_GB2312"/>
          <w:sz w:val="32"/>
          <w:szCs w:val="48"/>
        </w:rPr>
        <w:t>开始对接至今，主要包括设备基础信息、设备运行数据、设备告警事件等，业务数据量共计约</w:t>
      </w:r>
      <w:r>
        <w:rPr>
          <w:rFonts w:ascii="仿宋_GB2312" w:eastAsia="仿宋_GB2312"/>
          <w:sz w:val="32"/>
          <w:szCs w:val="48"/>
        </w:rPr>
        <w:t>2582万条</w:t>
      </w:r>
      <w:r>
        <w:rPr>
          <w:rFonts w:hint="eastAsia" w:ascii="仿宋_GB2312" w:eastAsia="仿宋_GB2312"/>
          <w:sz w:val="32"/>
          <w:szCs w:val="48"/>
        </w:rPr>
        <w:t>。设备基础数据归集至区一体化平台，数据目录上架至省</w:t>
      </w:r>
      <w:r>
        <w:rPr>
          <w:rFonts w:ascii="仿宋_GB2312" w:eastAsia="仿宋_GB2312"/>
          <w:sz w:val="32"/>
          <w:szCs w:val="48"/>
        </w:rPr>
        <w:t>IRS</w:t>
      </w:r>
      <w:r>
        <w:rPr>
          <w:rFonts w:hint="eastAsia" w:ascii="仿宋_GB2312" w:eastAsia="仿宋_GB2312"/>
          <w:sz w:val="32"/>
          <w:szCs w:val="48"/>
        </w:rPr>
        <w:t>平台</w:t>
      </w:r>
      <w:r>
        <w:rPr>
          <w:rFonts w:ascii="仿宋_GB2312" w:eastAsia="仿宋_GB2312"/>
          <w:sz w:val="32"/>
          <w:szCs w:val="48"/>
        </w:rPr>
        <w:t>。</w:t>
      </w:r>
    </w:p>
    <w:p w14:paraId="221BF938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数据维护内容包括物联设备数据接入、数据传输、数据处理、数据存储、数据共享等。</w:t>
      </w:r>
    </w:p>
    <w:p w14:paraId="2634948A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</w:rPr>
        <w:t>（</w:t>
      </w:r>
      <w:r>
        <w:rPr>
          <w:rFonts w:ascii="仿宋_GB2312" w:eastAsia="仿宋_GB2312"/>
          <w:sz w:val="32"/>
          <w:szCs w:val="48"/>
        </w:rPr>
        <w:t>1）数</w:t>
      </w:r>
      <w:r>
        <w:rPr>
          <w:rFonts w:ascii="仿宋_GB2312" w:eastAsia="仿宋_GB2312"/>
          <w:sz w:val="32"/>
          <w:szCs w:val="48"/>
          <w:highlight w:val="none"/>
        </w:rPr>
        <w:t>据</w:t>
      </w:r>
      <w:r>
        <w:rPr>
          <w:rFonts w:hint="eastAsia" w:ascii="仿宋_GB2312" w:eastAsia="仿宋_GB2312"/>
          <w:sz w:val="32"/>
          <w:szCs w:val="48"/>
          <w:highlight w:val="none"/>
        </w:rPr>
        <w:t>接入</w:t>
      </w:r>
    </w:p>
    <w:p w14:paraId="4A3338A4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根据业务需求与设备厂商进行对接，将物联设备数据按照统一标准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接口</w:t>
      </w:r>
      <w:r>
        <w:rPr>
          <w:rFonts w:hint="eastAsia" w:ascii="仿宋_GB2312" w:eastAsia="仿宋_GB2312"/>
          <w:sz w:val="32"/>
          <w:szCs w:val="48"/>
          <w:highlight w:val="none"/>
        </w:rPr>
        <w:t>接入区物联感知一张网平台。</w:t>
      </w:r>
    </w:p>
    <w:p w14:paraId="2A10C27F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（</w:t>
      </w:r>
      <w:r>
        <w:rPr>
          <w:rFonts w:ascii="仿宋_GB2312" w:eastAsia="仿宋_GB2312"/>
          <w:sz w:val="32"/>
          <w:szCs w:val="48"/>
          <w:highlight w:val="none"/>
        </w:rPr>
        <w:t>2）数据</w:t>
      </w:r>
      <w:r>
        <w:rPr>
          <w:rFonts w:hint="eastAsia" w:ascii="仿宋_GB2312" w:eastAsia="仿宋_GB2312"/>
          <w:sz w:val="32"/>
          <w:szCs w:val="48"/>
          <w:highlight w:val="none"/>
        </w:rPr>
        <w:t>传输</w:t>
      </w:r>
    </w:p>
    <w:p w14:paraId="60025096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</w:rPr>
        <w:t>通</w:t>
      </w:r>
      <w:r>
        <w:rPr>
          <w:rFonts w:hint="eastAsia" w:ascii="仿宋_GB2312" w:eastAsia="仿宋_GB2312"/>
          <w:sz w:val="32"/>
          <w:szCs w:val="48"/>
          <w:highlight w:val="none"/>
        </w:rPr>
        <w:t>过http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s</w:t>
      </w:r>
      <w:r>
        <w:rPr>
          <w:rFonts w:hint="eastAsia" w:ascii="仿宋_GB2312" w:eastAsia="仿宋_GB2312"/>
          <w:sz w:val="32"/>
          <w:szCs w:val="48"/>
          <w:highlight w:val="none"/>
        </w:rPr>
        <w:t>协议传输将设备数据入库，要求数据实时传输。</w:t>
      </w:r>
    </w:p>
    <w:p w14:paraId="53DA6B26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（</w:t>
      </w:r>
      <w:r>
        <w:rPr>
          <w:rFonts w:ascii="仿宋_GB2312" w:eastAsia="仿宋_GB2312"/>
          <w:sz w:val="32"/>
          <w:szCs w:val="48"/>
          <w:highlight w:val="none"/>
        </w:rPr>
        <w:t>3）</w:t>
      </w:r>
      <w:r>
        <w:rPr>
          <w:rFonts w:hint="eastAsia" w:ascii="仿宋_GB2312" w:eastAsia="仿宋_GB2312"/>
          <w:sz w:val="32"/>
          <w:szCs w:val="48"/>
          <w:highlight w:val="none"/>
        </w:rPr>
        <w:t>数据治理</w:t>
      </w:r>
    </w:p>
    <w:p w14:paraId="13314084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对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接入的</w:t>
      </w:r>
      <w:r>
        <w:rPr>
          <w:rFonts w:hint="eastAsia" w:ascii="仿宋_GB2312" w:eastAsia="仿宋_GB2312"/>
          <w:sz w:val="32"/>
          <w:szCs w:val="48"/>
          <w:highlight w:val="none"/>
        </w:rPr>
        <w:t>设备数据进行数据治理，确保数据的质量、一致性和准确性。</w:t>
      </w:r>
    </w:p>
    <w:p w14:paraId="1FD2B8AA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（</w:t>
      </w:r>
      <w:r>
        <w:rPr>
          <w:rFonts w:ascii="仿宋_GB2312" w:eastAsia="仿宋_GB2312"/>
          <w:sz w:val="32"/>
          <w:szCs w:val="48"/>
          <w:highlight w:val="none"/>
        </w:rPr>
        <w:t>4）数据</w:t>
      </w:r>
      <w:r>
        <w:rPr>
          <w:rFonts w:hint="eastAsia" w:ascii="仿宋_GB2312" w:eastAsia="仿宋_GB2312"/>
          <w:sz w:val="32"/>
          <w:szCs w:val="48"/>
          <w:highlight w:val="none"/>
        </w:rPr>
        <w:t>存储</w:t>
      </w:r>
    </w:p>
    <w:p w14:paraId="72031BB6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将处理好的数据按不同类型存储至相应的数据库表中，如设备基础信息表、设备运行数据表、设备告警信息表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等</w:t>
      </w:r>
      <w:r>
        <w:rPr>
          <w:rFonts w:hint="eastAsia" w:ascii="仿宋_GB2312" w:eastAsia="仿宋_GB2312"/>
          <w:sz w:val="32"/>
          <w:szCs w:val="48"/>
          <w:highlight w:val="none"/>
        </w:rPr>
        <w:t>。</w:t>
      </w:r>
    </w:p>
    <w:p w14:paraId="7C4AF9AB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（</w:t>
      </w:r>
      <w:r>
        <w:rPr>
          <w:rFonts w:ascii="仿宋_GB2312" w:eastAsia="仿宋_GB2312"/>
          <w:sz w:val="32"/>
          <w:szCs w:val="48"/>
          <w:highlight w:val="none"/>
        </w:rPr>
        <w:t>5）数据</w:t>
      </w:r>
      <w:r>
        <w:rPr>
          <w:rFonts w:hint="eastAsia" w:ascii="仿宋_GB2312" w:eastAsia="仿宋_GB2312"/>
          <w:sz w:val="32"/>
          <w:szCs w:val="48"/>
          <w:highlight w:val="none"/>
        </w:rPr>
        <w:t>共享</w:t>
      </w:r>
    </w:p>
    <w:p w14:paraId="499F546C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物联设备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及</w:t>
      </w:r>
      <w:r>
        <w:rPr>
          <w:rFonts w:hint="eastAsia" w:ascii="仿宋_GB2312" w:eastAsia="仿宋_GB2312"/>
          <w:sz w:val="32"/>
          <w:szCs w:val="48"/>
          <w:highlight w:val="none"/>
        </w:rPr>
        <w:t>数据归集至区一体化公共数据平台，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按照数据使用要求</w:t>
      </w:r>
      <w:r>
        <w:rPr>
          <w:rFonts w:hint="eastAsia" w:ascii="仿宋_GB2312" w:eastAsia="仿宋_GB2312"/>
          <w:sz w:val="32"/>
          <w:szCs w:val="48"/>
          <w:highlight w:val="none"/>
        </w:rPr>
        <w:t>开放给部门使用；设备告警信息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共享给</w:t>
      </w:r>
      <w:r>
        <w:rPr>
          <w:rFonts w:hint="eastAsia" w:ascii="仿宋_GB2312" w:eastAsia="仿宋_GB2312"/>
          <w:sz w:val="32"/>
          <w:szCs w:val="48"/>
          <w:highlight w:val="none"/>
        </w:rPr>
        <w:t>区事件中心，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补充事件数据</w:t>
      </w:r>
      <w:r>
        <w:rPr>
          <w:rFonts w:hint="eastAsia" w:ascii="仿宋_GB2312" w:eastAsia="仿宋_GB2312"/>
          <w:sz w:val="32"/>
          <w:szCs w:val="48"/>
          <w:highlight w:val="none"/>
        </w:rPr>
        <w:t>；提供设备点位信息至区地理信息中心，丰富图层资源。</w:t>
      </w:r>
    </w:p>
    <w:p w14:paraId="6A3AF26A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  <w:highlight w:val="none"/>
        </w:rPr>
      </w:pPr>
      <w:r>
        <w:rPr>
          <w:rFonts w:hint="eastAsia" w:ascii="仿宋_GB2312" w:eastAsia="仿宋_GB2312"/>
          <w:sz w:val="32"/>
          <w:szCs w:val="48"/>
          <w:highlight w:val="none"/>
        </w:rPr>
        <w:t>3</w:t>
      </w:r>
      <w:r>
        <w:rPr>
          <w:rFonts w:ascii="仿宋_GB2312" w:eastAsia="仿宋_GB2312"/>
          <w:sz w:val="32"/>
          <w:szCs w:val="48"/>
          <w:highlight w:val="none"/>
        </w:rPr>
        <w:t>.</w:t>
      </w:r>
      <w:r>
        <w:rPr>
          <w:rFonts w:hint="eastAsia" w:ascii="仿宋_GB2312" w:eastAsia="仿宋_GB2312"/>
          <w:sz w:val="32"/>
          <w:szCs w:val="48"/>
          <w:highlight w:val="none"/>
        </w:rPr>
        <w:t>系统软件、工具软件维护</w:t>
      </w:r>
    </w:p>
    <w:p w14:paraId="7272CF08"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48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  <w:highlight w:val="none"/>
          <w14:ligatures w14:val="none"/>
        </w:rPr>
        <w:t>杭州城市大脑西湖平台（物联感知一张网）</w:t>
      </w:r>
      <w:r>
        <w:rPr>
          <w:rFonts w:hint="eastAsia" w:ascii="仿宋_GB2312" w:eastAsia="仿宋_GB2312"/>
          <w:sz w:val="32"/>
          <w:szCs w:val="48"/>
          <w:highlight w:val="none"/>
        </w:rPr>
        <w:t>系统服务器设施由西湖区数据局提供，2</w:t>
      </w:r>
      <w:r>
        <w:rPr>
          <w:rFonts w:ascii="仿宋_GB2312" w:eastAsia="仿宋_GB2312"/>
          <w:sz w:val="32"/>
          <w:szCs w:val="48"/>
          <w:highlight w:val="none"/>
        </w:rPr>
        <w:t>024</w:t>
      </w:r>
      <w:r>
        <w:rPr>
          <w:rFonts w:hint="eastAsia" w:ascii="仿宋_GB2312" w:eastAsia="仿宋_GB2312"/>
          <w:sz w:val="32"/>
          <w:szCs w:val="48"/>
          <w:highlight w:val="none"/>
        </w:rPr>
        <w:t>年将根据要求改造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迁移至</w:t>
      </w:r>
      <w:r>
        <w:rPr>
          <w:rFonts w:hint="eastAsia" w:ascii="仿宋_GB2312" w:eastAsia="仿宋_GB2312"/>
          <w:sz w:val="32"/>
          <w:szCs w:val="48"/>
          <w:highlight w:val="none"/>
        </w:rPr>
        <w:t>信创云资源。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信创改造工作包括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数据采集模块、平台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改造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、信息处理模块、数据共享模块适配改造，</w:t>
      </w:r>
      <w:r>
        <w:rPr>
          <w:rFonts w:hint="eastAsia" w:ascii="仿宋_GB2312" w:eastAsia="仿宋_GB2312"/>
          <w:sz w:val="32"/>
          <w:szCs w:val="48"/>
          <w:highlight w:val="none"/>
        </w:rPr>
        <w:t>国产浏览器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适配及</w:t>
      </w:r>
      <w:r>
        <w:rPr>
          <w:rFonts w:hint="eastAsia" w:ascii="仿宋_GB2312" w:eastAsia="仿宋_GB2312"/>
          <w:sz w:val="32"/>
          <w:szCs w:val="48"/>
          <w:highlight w:val="none"/>
        </w:rPr>
        <w:t>与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原</w:t>
      </w:r>
      <w:r>
        <w:rPr>
          <w:rFonts w:hint="eastAsia" w:ascii="仿宋_GB2312" w:eastAsia="仿宋_GB2312"/>
          <w:sz w:val="32"/>
          <w:szCs w:val="48"/>
          <w:highlight w:val="none"/>
        </w:rPr>
        <w:t>设备厂商数据对接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工作</w:t>
      </w:r>
      <w:r>
        <w:rPr>
          <w:rFonts w:hint="eastAsia" w:ascii="仿宋_GB2312" w:eastAsia="仿宋_GB2312"/>
          <w:sz w:val="32"/>
          <w:szCs w:val="48"/>
          <w:highlight w:val="none"/>
        </w:rPr>
        <w:t>。</w:t>
      </w:r>
      <w:r>
        <w:rPr>
          <w:rFonts w:hint="eastAsia" w:ascii="仿宋_GB2312" w:eastAsia="仿宋_GB2312"/>
          <w:sz w:val="32"/>
          <w:szCs w:val="48"/>
          <w:highlight w:val="none"/>
          <w:lang w:val="en-US" w:eastAsia="zh-CN"/>
        </w:rPr>
        <w:t>同时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将原物联感知一张网中的相关数据整体</w:t>
      </w:r>
      <w:r>
        <w:rPr>
          <w:rFonts w:hint="eastAsia" w:ascii="仿宋_GB2312" w:eastAsia="仿宋_GB2312"/>
          <w:color w:val="auto"/>
          <w:sz w:val="32"/>
          <w:szCs w:val="48"/>
          <w:highlight w:val="none"/>
        </w:rPr>
        <w:t>迁移</w:t>
      </w:r>
      <w:r>
        <w:rPr>
          <w:rFonts w:hint="eastAsia" w:ascii="仿宋_GB2312" w:eastAsia="仿宋_GB2312"/>
          <w:color w:val="auto"/>
          <w:sz w:val="32"/>
          <w:szCs w:val="48"/>
          <w:highlight w:val="none"/>
          <w:lang w:val="en-US" w:eastAsia="zh-CN"/>
        </w:rPr>
        <w:t>至符合信创要求的物联感知一张网平台。</w:t>
      </w:r>
      <w:r>
        <w:rPr>
          <w:rFonts w:hint="eastAsia" w:ascii="仿宋_GB2312" w:eastAsia="仿宋_GB2312"/>
          <w:sz w:val="32"/>
          <w:szCs w:val="48"/>
          <w:highlight w:val="none"/>
        </w:rPr>
        <w:t>所有数据全部运行在国产服务器、中间件、网络设备之上，提高了自主可控能力和系</w:t>
      </w:r>
      <w:r>
        <w:rPr>
          <w:rFonts w:hint="eastAsia" w:ascii="仿宋_GB2312" w:eastAsia="仿宋_GB2312"/>
          <w:sz w:val="32"/>
          <w:szCs w:val="48"/>
        </w:rPr>
        <w:t>统性能与用户体验，同时也有利于保障信息安全。</w:t>
      </w:r>
    </w:p>
    <w:p w14:paraId="484B1DC5"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48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260"/>
        <w:gridCol w:w="3311"/>
      </w:tblGrid>
      <w:tr w14:paraId="7DEB2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951" w:type="dxa"/>
            <w:shd w:val="clear" w:color="auto" w:fill="A5A5A5" w:themeFill="accent3"/>
            <w:vAlign w:val="center"/>
          </w:tcPr>
          <w:p w14:paraId="397D4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  <w:highlight w:val="none"/>
              </w:rPr>
            </w:pPr>
            <w:bookmarkStart w:id="0" w:name="_Hlk154129760"/>
            <w:r>
              <w:rPr>
                <w:rFonts w:hint="eastAsia" w:ascii="仿宋_GB2312" w:eastAsia="仿宋_GB2312"/>
                <w:b/>
                <w:bCs/>
                <w:sz w:val="28"/>
                <w:szCs w:val="44"/>
                <w:highlight w:val="none"/>
              </w:rPr>
              <w:t>类型</w:t>
            </w:r>
          </w:p>
        </w:tc>
        <w:tc>
          <w:tcPr>
            <w:tcW w:w="3260" w:type="dxa"/>
            <w:shd w:val="clear" w:color="auto" w:fill="A5A5A5" w:themeFill="accent3"/>
            <w:vAlign w:val="center"/>
          </w:tcPr>
          <w:p w14:paraId="176A787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  <w:highlight w:val="none"/>
              </w:rPr>
              <w:t>信创改造前</w:t>
            </w:r>
          </w:p>
        </w:tc>
        <w:tc>
          <w:tcPr>
            <w:tcW w:w="3311" w:type="dxa"/>
            <w:shd w:val="clear" w:color="auto" w:fill="A5A5A5" w:themeFill="accent3"/>
            <w:vAlign w:val="center"/>
          </w:tcPr>
          <w:p w14:paraId="6A9C01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b/>
                <w:bCs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44"/>
                <w:highlight w:val="none"/>
              </w:rPr>
              <w:t>信创改造后</w:t>
            </w:r>
          </w:p>
        </w:tc>
      </w:tr>
      <w:tr w14:paraId="451E7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15B8BC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操作系统</w:t>
            </w:r>
          </w:p>
        </w:tc>
        <w:tc>
          <w:tcPr>
            <w:tcW w:w="3260" w:type="dxa"/>
            <w:vAlign w:val="center"/>
          </w:tcPr>
          <w:p w14:paraId="700F02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default" w:ascii="仿宋_GB2312" w:eastAsia="仿宋_GB2312"/>
                <w:sz w:val="28"/>
                <w:szCs w:val="44"/>
                <w:highlight w:val="none"/>
              </w:rPr>
              <w:t>CentOS 7.6 64位</w:t>
            </w:r>
          </w:p>
        </w:tc>
        <w:tc>
          <w:tcPr>
            <w:tcW w:w="3311" w:type="dxa"/>
            <w:vAlign w:val="center"/>
          </w:tcPr>
          <w:p w14:paraId="0AD91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_GB2312" w:eastAsia="仿宋_GB2312"/>
                <w:sz w:val="28"/>
                <w:szCs w:val="44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银河麒麟V10</w:t>
            </w:r>
            <w:r>
              <w:rPr>
                <w:rFonts w:hint="eastAsia" w:ascii="仿宋_GB2312" w:eastAsia="仿宋_GB2312"/>
                <w:sz w:val="28"/>
                <w:szCs w:val="44"/>
                <w:highlight w:val="none"/>
                <w:lang w:val="en-US" w:eastAsia="zh-CN"/>
              </w:rPr>
              <w:t>及以上</w:t>
            </w:r>
          </w:p>
        </w:tc>
      </w:tr>
      <w:tr w14:paraId="7EF84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3D5629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数据库</w:t>
            </w:r>
          </w:p>
        </w:tc>
        <w:tc>
          <w:tcPr>
            <w:tcW w:w="3260" w:type="dxa"/>
            <w:vAlign w:val="center"/>
          </w:tcPr>
          <w:p w14:paraId="2D7D32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My</w:t>
            </w:r>
            <w:r>
              <w:rPr>
                <w:rFonts w:hint="default" w:ascii="仿宋_GB2312" w:eastAsia="仿宋_GB2312"/>
                <w:sz w:val="28"/>
                <w:szCs w:val="44"/>
                <w:highlight w:val="none"/>
              </w:rPr>
              <w:t>SQL</w:t>
            </w:r>
          </w:p>
        </w:tc>
        <w:tc>
          <w:tcPr>
            <w:tcW w:w="3311" w:type="dxa"/>
            <w:vAlign w:val="center"/>
          </w:tcPr>
          <w:p w14:paraId="371A172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_GB2312" w:eastAsia="仿宋_GB2312"/>
                <w:sz w:val="28"/>
                <w:szCs w:val="44"/>
                <w:highlight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  <w:highlight w:val="none"/>
              </w:rPr>
              <w:t>达梦 V8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及以上</w:t>
            </w:r>
          </w:p>
        </w:tc>
      </w:tr>
      <w:tr w14:paraId="04E96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611B62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中间件</w:t>
            </w:r>
          </w:p>
        </w:tc>
        <w:tc>
          <w:tcPr>
            <w:tcW w:w="3260" w:type="dxa"/>
            <w:vAlign w:val="center"/>
          </w:tcPr>
          <w:p w14:paraId="40862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default" w:ascii="仿宋_GB2312" w:eastAsia="仿宋_GB2312"/>
                <w:sz w:val="28"/>
                <w:szCs w:val="44"/>
                <w:highlight w:val="none"/>
              </w:rPr>
              <w:t>tomcat</w:t>
            </w:r>
          </w:p>
        </w:tc>
        <w:tc>
          <w:tcPr>
            <w:tcW w:w="3311" w:type="dxa"/>
            <w:vAlign w:val="center"/>
          </w:tcPr>
          <w:p w14:paraId="749EA33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_GB2312" w:eastAsia="仿宋_GB2312"/>
                <w:sz w:val="28"/>
                <w:szCs w:val="44"/>
                <w:highlight w:val="none"/>
                <w:lang w:val="en-US" w:eastAsia="zh-CN"/>
              </w:rPr>
            </w:pPr>
            <w:r>
              <w:rPr>
                <w:rFonts w:hint="default" w:ascii="仿宋_GB2312" w:eastAsia="仿宋_GB2312"/>
                <w:sz w:val="28"/>
                <w:szCs w:val="44"/>
                <w:highlight w:val="none"/>
              </w:rPr>
              <w:t>tongweb7.0</w:t>
            </w:r>
            <w:r>
              <w:rPr>
                <w:rFonts w:hint="eastAsia" w:ascii="仿宋_GB2312" w:eastAsia="仿宋_GB2312"/>
                <w:sz w:val="28"/>
                <w:szCs w:val="44"/>
                <w:highlight w:val="none"/>
                <w:lang w:val="en-US" w:eastAsia="zh-CN"/>
              </w:rPr>
              <w:t>及以上</w:t>
            </w:r>
          </w:p>
        </w:tc>
      </w:tr>
      <w:tr w14:paraId="3173E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9B2F5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浏览器</w:t>
            </w:r>
          </w:p>
        </w:tc>
        <w:tc>
          <w:tcPr>
            <w:tcW w:w="3260" w:type="dxa"/>
            <w:vAlign w:val="center"/>
          </w:tcPr>
          <w:p w14:paraId="3190073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兼容主流的浏览器，如谷歌浏览器、火狐浏览器、safari浏览器</w:t>
            </w:r>
          </w:p>
        </w:tc>
        <w:tc>
          <w:tcPr>
            <w:tcW w:w="3311" w:type="dxa"/>
            <w:vAlign w:val="center"/>
          </w:tcPr>
          <w:p w14:paraId="7D72A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适配国产浏览器，如360浏览器</w:t>
            </w:r>
          </w:p>
        </w:tc>
      </w:tr>
      <w:tr w14:paraId="5CA1E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79E845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等保安全等级</w:t>
            </w:r>
          </w:p>
        </w:tc>
        <w:tc>
          <w:tcPr>
            <w:tcW w:w="3260" w:type="dxa"/>
            <w:vAlign w:val="center"/>
          </w:tcPr>
          <w:p w14:paraId="27482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等保二级</w:t>
            </w:r>
          </w:p>
        </w:tc>
        <w:tc>
          <w:tcPr>
            <w:tcW w:w="3311" w:type="dxa"/>
            <w:vAlign w:val="center"/>
          </w:tcPr>
          <w:p w14:paraId="16051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/>
                <w:sz w:val="28"/>
                <w:szCs w:val="44"/>
                <w:highlight w:val="none"/>
              </w:rPr>
            </w:pPr>
            <w:r>
              <w:rPr>
                <w:rFonts w:hint="eastAsia" w:ascii="仿宋_GB2312" w:eastAsia="仿宋_GB2312"/>
                <w:sz w:val="28"/>
                <w:szCs w:val="44"/>
                <w:highlight w:val="none"/>
              </w:rPr>
              <w:t>等保二级</w:t>
            </w:r>
          </w:p>
        </w:tc>
      </w:tr>
      <w:bookmarkEnd w:id="0"/>
    </w:tbl>
    <w:p w14:paraId="4A8B478E">
      <w:pPr>
        <w:widowControl/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bookmarkStart w:id="1" w:name="_Hlk154129777"/>
      <w:r>
        <w:rPr>
          <w:rFonts w:hint="eastAsia" w:ascii="仿宋_GB2312" w:eastAsia="仿宋_GB2312"/>
          <w:sz w:val="32"/>
          <w:szCs w:val="32"/>
          <w:highlight w:val="none"/>
        </w:rPr>
        <w:t>所需信创云资源情况：</w:t>
      </w:r>
    </w:p>
    <w:bookmarkEnd w:id="1"/>
    <w:tbl>
      <w:tblPr>
        <w:tblStyle w:val="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"/>
        <w:gridCol w:w="853"/>
        <w:gridCol w:w="892"/>
        <w:gridCol w:w="769"/>
        <w:gridCol w:w="878"/>
        <w:gridCol w:w="1025"/>
        <w:gridCol w:w="2644"/>
        <w:gridCol w:w="1024"/>
      </w:tblGrid>
      <w:tr w14:paraId="052E3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8" w:hRule="atLeast"/>
        </w:trPr>
        <w:tc>
          <w:tcPr>
            <w:tcW w:w="2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5C44FC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bookmarkStart w:id="2" w:name="_Hlk148536364"/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序号</w:t>
            </w: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5D98E7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资源名称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4DF495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CPU</w:t>
            </w:r>
          </w:p>
          <w:p w14:paraId="3B295D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核数</w:t>
            </w:r>
          </w:p>
        </w:tc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3CEE0F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内存（G）</w:t>
            </w:r>
          </w:p>
        </w:tc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13C312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数据盘大小（G）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3DB510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操作系统版本</w:t>
            </w:r>
          </w:p>
        </w:tc>
        <w:tc>
          <w:tcPr>
            <w:tcW w:w="1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66376FD0">
            <w:pPr>
              <w:keepNext w:val="0"/>
              <w:keepLines w:val="0"/>
              <w:suppressLineNumbers w:val="0"/>
              <w:tabs>
                <w:tab w:val="left" w:pos="380"/>
              </w:tabs>
              <w:spacing w:before="0" w:beforeAutospacing="0" w:after="0" w:afterAutospacing="0"/>
              <w:ind w:left="0" w:right="0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性能及存储需求原因说明</w:t>
            </w:r>
          </w:p>
        </w:tc>
        <w:tc>
          <w:tcPr>
            <w:tcW w:w="6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77C96B81">
            <w:pPr>
              <w:keepNext w:val="0"/>
              <w:keepLines w:val="0"/>
              <w:suppressLineNumbers w:val="0"/>
              <w:tabs>
                <w:tab w:val="left" w:pos="38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_GB2312"/>
                <w:b/>
                <w:bCs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2"/>
                <w:szCs w:val="16"/>
              </w:rPr>
              <w:t>网络类型</w:t>
            </w:r>
          </w:p>
        </w:tc>
      </w:tr>
      <w:tr w14:paraId="2ED18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26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B7A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1</w:t>
            </w:r>
          </w:p>
        </w:tc>
        <w:tc>
          <w:tcPr>
            <w:tcW w:w="5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831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基础应用服务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3D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965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4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278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200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623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银河麒麟V10</w:t>
            </w:r>
          </w:p>
        </w:tc>
        <w:tc>
          <w:tcPr>
            <w:tcW w:w="1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0FB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nginx、html5静态资源。每个服务最多占用2G内存，并需预留30%性能和空间以确保服务器和程序稳定工作。程序和日志已占用50G左右容量，每年递增日志30G，满足未来一年的增量。</w:t>
            </w:r>
          </w:p>
        </w:tc>
        <w:tc>
          <w:tcPr>
            <w:tcW w:w="6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6AC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政务外网VPN1</w:t>
            </w:r>
          </w:p>
        </w:tc>
      </w:tr>
      <w:tr w14:paraId="4178D0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6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E9E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B60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系统应用服务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218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AED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49E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200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3B3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银河麒麟V10</w:t>
            </w:r>
          </w:p>
        </w:tc>
        <w:tc>
          <w:tcPr>
            <w:tcW w:w="1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7C5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后端服务共5个。每个服务最多占用2G内存。程序和日志已占用50G左右容量，每年递增日志100G，满足未来一年的增量。</w:t>
            </w:r>
          </w:p>
        </w:tc>
        <w:tc>
          <w:tcPr>
            <w:tcW w:w="6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3A3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  <w14:ligatures w14:val="none"/>
              </w:rPr>
              <w:t>政务外网VPN1</w:t>
            </w:r>
          </w:p>
        </w:tc>
      </w:tr>
      <w:tr w14:paraId="4B0C1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6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59B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3</w:t>
            </w:r>
          </w:p>
        </w:tc>
        <w:tc>
          <w:tcPr>
            <w:tcW w:w="5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B5C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数据转发服务器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5ED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47B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4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C3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200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3D2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kern w:val="0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银河麒麟V10</w:t>
            </w:r>
          </w:p>
        </w:tc>
        <w:tc>
          <w:tcPr>
            <w:tcW w:w="1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B7A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数据服务最多占用2G内存。程序和日志已占用50G左右容量，每年递增日志100G，满足未来一年的增量。</w:t>
            </w:r>
          </w:p>
        </w:tc>
        <w:tc>
          <w:tcPr>
            <w:tcW w:w="6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B4A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eastAsia="仿宋_GB2312"/>
                <w:sz w:val="22"/>
              </w:rPr>
              <w:t>政务外网VPN2</w:t>
            </w:r>
          </w:p>
        </w:tc>
      </w:tr>
      <w:tr w14:paraId="5C6CA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6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A24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</w:pPr>
            <w:r>
              <w:rPr>
                <w:rFonts w:hint="eastAsia" w:ascii="仿宋_GB2312" w:hAnsi="仿宋" w:eastAsia="仿宋_GB2312" w:cs="仿宋"/>
                <w:kern w:val="0"/>
                <w:sz w:val="22"/>
                <w:szCs w:val="16"/>
              </w:rPr>
              <w:t>4</w:t>
            </w:r>
          </w:p>
        </w:tc>
        <w:tc>
          <w:tcPr>
            <w:tcW w:w="5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2F2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  <w14:ligatures w14:val="none"/>
              </w:rPr>
              <w:t>数据库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D56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</w:pPr>
            <w:r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D11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</w:pPr>
            <w:r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  <w:t>4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52C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</w:pPr>
            <w:r>
              <w:rPr>
                <w:rFonts w:hint="default" w:ascii="仿宋_GB2312" w:hAnsi="仿宋" w:eastAsia="仿宋_GB2312" w:cs="仿宋"/>
                <w:kern w:val="0"/>
                <w:sz w:val="22"/>
                <w:szCs w:val="16"/>
              </w:rPr>
              <w:t>256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A2A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default" w:ascii="仿宋_GB2312" w:hAnsi="仿宋" w:eastAsia="仿宋_GB2312"/>
                <w:sz w:val="22"/>
                <w:szCs w:val="16"/>
              </w:rPr>
              <w:t>达梦 V8</w:t>
            </w:r>
          </w:p>
        </w:tc>
        <w:tc>
          <w:tcPr>
            <w:tcW w:w="1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C755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" w:eastAsia="仿宋_GB2312" w:cs="Tahoma"/>
                <w:kern w:val="0"/>
                <w:sz w:val="22"/>
                <w:szCs w:val="16"/>
              </w:rPr>
            </w:pPr>
            <w:r>
              <w:rPr>
                <w:rFonts w:hint="eastAsia" w:ascii="仿宋_GB2312" w:hAnsi="仿宋" w:eastAsia="仿宋_GB2312" w:cs="Tahoma"/>
                <w:kern w:val="0"/>
                <w:sz w:val="22"/>
                <w:szCs w:val="16"/>
              </w:rPr>
              <w:t>用于存储关系型数据库数据，存储系统的各种业务数据，申请的数据量为</w:t>
            </w:r>
            <w:r>
              <w:rPr>
                <w:rFonts w:hint="default" w:ascii="仿宋_GB2312" w:hAnsi="仿宋" w:eastAsia="仿宋_GB2312" w:cs="Tahoma"/>
                <w:kern w:val="0"/>
                <w:sz w:val="22"/>
                <w:szCs w:val="16"/>
              </w:rPr>
              <w:t>256G为满足未来</w:t>
            </w:r>
            <w:r>
              <w:rPr>
                <w:rFonts w:hint="eastAsia" w:ascii="仿宋_GB2312" w:hAnsi="仿宋" w:eastAsia="仿宋_GB2312" w:cs="Tahoma"/>
                <w:kern w:val="0"/>
                <w:sz w:val="22"/>
                <w:szCs w:val="16"/>
              </w:rPr>
              <w:t>一</w:t>
            </w:r>
            <w:r>
              <w:rPr>
                <w:rFonts w:hint="default" w:ascii="仿宋_GB2312" w:hAnsi="仿宋" w:eastAsia="仿宋_GB2312" w:cs="Tahoma"/>
                <w:kern w:val="0"/>
                <w:sz w:val="22"/>
                <w:szCs w:val="16"/>
              </w:rPr>
              <w:t>年的需求。</w:t>
            </w:r>
          </w:p>
        </w:tc>
        <w:tc>
          <w:tcPr>
            <w:tcW w:w="6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527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  <w14:ligatures w14:val="none"/>
              </w:rPr>
              <w:t>政务外网VPN1</w:t>
            </w:r>
          </w:p>
        </w:tc>
      </w:tr>
      <w:tr w14:paraId="655EB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5000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EF5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hAnsi="仿宋" w:eastAsia="仿宋_GB2312"/>
                <w:sz w:val="22"/>
                <w:szCs w:val="16"/>
              </w:rPr>
              <w:t>说明：</w:t>
            </w:r>
          </w:p>
          <w:p w14:paraId="432DBC50">
            <w:pPr>
              <w:keepNext w:val="0"/>
              <w:keepLines w:val="0"/>
              <w:suppressLineNumbers w:val="0"/>
              <w:spacing w:before="0" w:beforeAutospacing="0" w:after="0" w:afterAutospacing="0"/>
              <w:ind w:left="36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hAnsi="仿宋" w:eastAsia="仿宋_GB2312"/>
                <w:sz w:val="22"/>
                <w:szCs w:val="16"/>
              </w:rPr>
              <w:t>1.云主机C盘默认分配40G空间；性能及存储需求说明中需根据系统实际需求填写，阐明为何需要该配置的云资源；</w:t>
            </w:r>
          </w:p>
          <w:p w14:paraId="4C9E290C">
            <w:pPr>
              <w:keepNext w:val="0"/>
              <w:keepLines w:val="0"/>
              <w:suppressLineNumbers w:val="0"/>
              <w:spacing w:before="0" w:beforeAutospacing="0" w:after="0" w:afterAutospacing="0"/>
              <w:ind w:left="36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hAnsi="仿宋" w:eastAsia="仿宋_GB2312"/>
                <w:sz w:val="22"/>
                <w:szCs w:val="16"/>
              </w:rPr>
              <w:t>2.云主机操作系统仅支持银河麒麟V10、统信V20；</w:t>
            </w:r>
          </w:p>
          <w:p w14:paraId="6A997EFC">
            <w:pPr>
              <w:keepNext w:val="0"/>
              <w:keepLines w:val="0"/>
              <w:suppressLineNumbers w:val="0"/>
              <w:spacing w:before="0" w:beforeAutospacing="0" w:after="0" w:afterAutospacing="0"/>
              <w:ind w:left="36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hAnsi="仿宋" w:eastAsia="仿宋_GB2312"/>
                <w:sz w:val="22"/>
                <w:szCs w:val="16"/>
              </w:rPr>
              <w:t>3.数据库仅支持</w:t>
            </w:r>
            <w:r>
              <w:rPr>
                <w:rFonts w:hint="eastAsia" w:ascii="仿宋_GB2312" w:hAnsi="仿宋" w:eastAsia="仿宋_GB2312"/>
                <w:kern w:val="0"/>
                <w:sz w:val="22"/>
                <w:szCs w:val="16"/>
              </w:rPr>
              <w:t>达梦V8、神通V7.0，中间件仅支持东方通tongweb7.0、中创V10.0，</w:t>
            </w:r>
            <w:r>
              <w:rPr>
                <w:rFonts w:hint="eastAsia" w:ascii="仿宋_GB2312" w:hAnsi="仿宋" w:eastAsia="仿宋_GB2312"/>
                <w:sz w:val="22"/>
                <w:szCs w:val="16"/>
              </w:rPr>
              <w:t>其他版本需沟通后再定；</w:t>
            </w:r>
          </w:p>
          <w:p w14:paraId="1DA96A48">
            <w:pPr>
              <w:keepNext w:val="0"/>
              <w:keepLines w:val="0"/>
              <w:suppressLineNumbers w:val="0"/>
              <w:spacing w:before="0" w:beforeAutospacing="0" w:after="0" w:afterAutospacing="0"/>
              <w:ind w:left="36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hAnsi="仿宋" w:eastAsia="仿宋_GB2312"/>
                <w:sz w:val="22"/>
                <w:szCs w:val="16"/>
              </w:rPr>
              <w:t>4.云资源远程控制需通过VPN网络和堡垒机访问；</w:t>
            </w:r>
          </w:p>
          <w:p w14:paraId="075F12BE">
            <w:pPr>
              <w:keepNext w:val="0"/>
              <w:keepLines w:val="0"/>
              <w:suppressLineNumbers w:val="0"/>
              <w:spacing w:before="0" w:beforeAutospacing="0" w:after="0" w:afterAutospacing="0"/>
              <w:ind w:left="360" w:right="0"/>
              <w:jc w:val="left"/>
              <w:rPr>
                <w:rFonts w:hint="default" w:ascii="仿宋_GB2312" w:hAnsi="仿宋" w:eastAsia="仿宋_GB2312"/>
                <w:sz w:val="22"/>
                <w:szCs w:val="16"/>
              </w:rPr>
            </w:pPr>
            <w:r>
              <w:rPr>
                <w:rFonts w:hint="eastAsia" w:ascii="仿宋_GB2312" w:hAnsi="仿宋" w:eastAsia="仿宋_GB2312"/>
                <w:sz w:val="22"/>
                <w:szCs w:val="16"/>
              </w:rPr>
              <w:t>5.网络类型：政务外网VPN1（互联网）；政务外网VPN2。</w:t>
            </w:r>
          </w:p>
        </w:tc>
      </w:tr>
      <w:bookmarkEnd w:id="2"/>
    </w:tbl>
    <w:p w14:paraId="00326DBA">
      <w:pPr>
        <w:pStyle w:val="12"/>
        <w:widowControl/>
        <w:numPr>
          <w:ilvl w:val="0"/>
          <w:numId w:val="3"/>
        </w:numPr>
        <w:spacing w:line="560" w:lineRule="exact"/>
        <w:ind w:firstLineChars="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  <w14:ligatures w14:val="none"/>
        </w:rPr>
      </w:pPr>
      <w:r>
        <w:rPr>
          <w:rFonts w:hint="eastAsia" w:ascii="楷体_GB2312" w:eastAsia="楷体_GB2312"/>
          <w:sz w:val="32"/>
          <w:szCs w:val="48"/>
        </w:rPr>
        <w:t>运维人力服务</w:t>
      </w:r>
    </w:p>
    <w:p w14:paraId="4648AD78">
      <w:pPr>
        <w:widowControl/>
        <w:spacing w:line="560" w:lineRule="exact"/>
        <w:ind w:firstLine="640" w:firstLineChars="200"/>
        <w:jc w:val="left"/>
        <w:rPr>
          <w:rFonts w:ascii="仿宋_GB2312" w:hAnsi="仿宋" w:eastAsia="仿宋_GB2312" w:cs="宋体"/>
          <w:color w:val="000000"/>
          <w:kern w:val="0"/>
          <w:sz w:val="32"/>
          <w:szCs w:val="32"/>
          <w14:ligatures w14:val="none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  <w14:ligatures w14:val="none"/>
        </w:rPr>
        <w:t>西湖区数据资源局组织物联管理团队，将在本运维项目中投入业务水平高、技术能力强的部门管理人员指导业务，系统运维具体实施由外包运维单位完成。</w:t>
      </w:r>
    </w:p>
    <w:p w14:paraId="6D33B71F">
      <w:pPr>
        <w:pStyle w:val="12"/>
        <w:widowControl/>
        <w:numPr>
          <w:ilvl w:val="0"/>
          <w:numId w:val="3"/>
        </w:numPr>
        <w:spacing w:line="560" w:lineRule="exact"/>
        <w:ind w:firstLineChars="0"/>
        <w:jc w:val="left"/>
        <w:rPr>
          <w:rFonts w:ascii="楷体_GB2312" w:eastAsia="楷体_GB2312"/>
          <w:sz w:val="32"/>
          <w:szCs w:val="48"/>
        </w:rPr>
      </w:pPr>
      <w:r>
        <w:rPr>
          <w:rFonts w:hint="eastAsia" w:ascii="楷体_GB2312" w:eastAsia="楷体_GB2312"/>
          <w:sz w:val="32"/>
          <w:szCs w:val="48"/>
        </w:rPr>
        <w:t>管理和其他服务</w:t>
      </w:r>
    </w:p>
    <w:p w14:paraId="74051AFE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为保障信息系统的正常运行，本项目将</w:t>
      </w:r>
      <w:r>
        <w:rPr>
          <w:rFonts w:hint="eastAsia" w:ascii="仿宋_GB2312" w:eastAsia="仿宋_GB2312"/>
          <w:sz w:val="32"/>
          <w:szCs w:val="48"/>
          <w:lang w:val="en-US" w:eastAsia="zh-CN"/>
        </w:rPr>
        <w:t>完成</w:t>
      </w:r>
      <w:r>
        <w:rPr>
          <w:rFonts w:hint="eastAsia" w:ascii="仿宋_GB2312" w:eastAsia="仿宋_GB2312"/>
          <w:sz w:val="32"/>
          <w:szCs w:val="48"/>
        </w:rPr>
        <w:t>第三方信创测评</w:t>
      </w:r>
      <w:r>
        <w:rPr>
          <w:rFonts w:hint="eastAsia" w:ascii="仿宋_GB2312" w:eastAsia="仿宋_GB2312"/>
          <w:sz w:val="32"/>
          <w:szCs w:val="48"/>
          <w:lang w:val="en-US" w:eastAsia="zh-CN"/>
        </w:rPr>
        <w:t>工作</w:t>
      </w:r>
      <w:r>
        <w:rPr>
          <w:rFonts w:hint="eastAsia" w:ascii="仿宋_GB2312" w:eastAsia="仿宋_GB2312"/>
          <w:sz w:val="32"/>
          <w:szCs w:val="48"/>
        </w:rPr>
        <w:t>，提供测评报告。</w:t>
      </w:r>
    </w:p>
    <w:p w14:paraId="02E9707F">
      <w:pPr>
        <w:widowControl/>
        <w:spacing w:line="560" w:lineRule="exact"/>
        <w:jc w:val="left"/>
        <w:rPr>
          <w:rFonts w:ascii="仿宋_GB2312" w:eastAsia="仿宋_GB2312"/>
          <w:sz w:val="32"/>
          <w:szCs w:val="48"/>
        </w:rPr>
      </w:pPr>
    </w:p>
    <w:p w14:paraId="508D731B">
      <w:pPr>
        <w:widowControl/>
        <w:spacing w:line="560" w:lineRule="exact"/>
        <w:jc w:val="center"/>
        <w:rPr>
          <w:rFonts w:ascii="黑体" w:hAnsi="黑体" w:eastAsia="黑体"/>
          <w:sz w:val="32"/>
          <w:szCs w:val="48"/>
        </w:rPr>
      </w:pPr>
      <w:r>
        <w:rPr>
          <w:rFonts w:hint="eastAsia" w:ascii="黑体" w:hAnsi="黑体" w:eastAsia="黑体"/>
          <w:sz w:val="32"/>
          <w:szCs w:val="48"/>
        </w:rPr>
        <w:t>四、安全与运维保障</w:t>
      </w:r>
    </w:p>
    <w:p w14:paraId="5D85AAC6">
      <w:pPr>
        <w:widowControl/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48"/>
        </w:rPr>
      </w:pPr>
      <w:r>
        <w:rPr>
          <w:rFonts w:hint="eastAsia" w:ascii="楷体_GB2312" w:hAnsi="楷体_GB2312" w:eastAsia="楷体_GB2312" w:cs="楷体_GB2312"/>
          <w:sz w:val="32"/>
          <w:szCs w:val="48"/>
        </w:rPr>
        <w:t>（一）安全管理</w:t>
      </w:r>
    </w:p>
    <w:p w14:paraId="6BF56836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建立健全安全管理机构，明确各个岗位的安全责任；</w:t>
      </w:r>
    </w:p>
    <w:p w14:paraId="40ABCA3E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制定并执行安全管理制度，包括但不限于：安全策略、操作规程、应急响应预案等；</w:t>
      </w:r>
    </w:p>
    <w:p w14:paraId="197A7249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对相关人员进行定期的安全培训；</w:t>
      </w:r>
    </w:p>
    <w:p w14:paraId="097F121F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建立完整的系统建设、运维、变更及废弃过程中的安全管理流程。</w:t>
      </w:r>
    </w:p>
    <w:p w14:paraId="6AE6DA31">
      <w:pPr>
        <w:widowControl/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48"/>
        </w:rPr>
      </w:pPr>
      <w:r>
        <w:rPr>
          <w:rFonts w:hint="eastAsia" w:ascii="楷体_GB2312" w:hAnsi="楷体_GB2312" w:eastAsia="楷体_GB2312" w:cs="楷体_GB2312"/>
          <w:sz w:val="32"/>
          <w:szCs w:val="48"/>
        </w:rPr>
        <w:t>（二）技术防护措施</w:t>
      </w:r>
    </w:p>
    <w:p w14:paraId="354D8D13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边界防护：设置防火墙或其他边界防护设备，对进出流量进行控制和审计；</w:t>
      </w:r>
    </w:p>
    <w:p w14:paraId="7B29F4BB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访问控制：实现用户身份鉴别、权限管理和访问控制；</w:t>
      </w:r>
    </w:p>
    <w:p w14:paraId="139E9A2E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系统安全防护：安装防病毒软件，定期更新补丁，防范恶意代码攻击；</w:t>
      </w:r>
    </w:p>
    <w:p w14:paraId="468D8E15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应用安全：对应用系统进行必要的安全配置，如弱口令检查、输入验证等；</w:t>
      </w:r>
    </w:p>
    <w:p w14:paraId="3F909E62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系统备份与恢复：定期进行数据备份，并具备在特定情况下快速恢复数据和业务的能力。</w:t>
      </w:r>
    </w:p>
    <w:p w14:paraId="2A18FEE1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楷体_GB2312" w:hAnsi="楷体_GB2312" w:eastAsia="楷体_GB2312" w:cs="楷体_GB2312"/>
          <w:sz w:val="32"/>
          <w:szCs w:val="48"/>
        </w:rPr>
        <w:t>（三）物理与环境安全</w:t>
      </w:r>
    </w:p>
    <w:p w14:paraId="1BF6B916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保障机房设施的安全运行，包括电力供应、温湿度控制、防火防水、防静电等；</w:t>
      </w:r>
    </w:p>
    <w:p w14:paraId="63272F12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</w:pPr>
      <w:r>
        <w:rPr>
          <w:rFonts w:hint="eastAsia" w:ascii="仿宋_GB2312" w:eastAsia="仿宋_GB2312"/>
          <w:sz w:val="32"/>
          <w:szCs w:val="48"/>
        </w:rPr>
        <w:t>实体访问控制：对关键区域和设备实行严格的访问控制，防止非法入侵和破坏。</w:t>
      </w:r>
    </w:p>
    <w:p w14:paraId="7145BA93">
      <w:pPr>
        <w:widowControl/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48"/>
        </w:rPr>
      </w:pPr>
      <w:r>
        <w:rPr>
          <w:rFonts w:hint="eastAsia" w:ascii="楷体_GB2312" w:hAnsi="楷体_GB2312" w:eastAsia="楷体_GB2312" w:cs="楷体_GB2312"/>
          <w:sz w:val="32"/>
          <w:szCs w:val="48"/>
        </w:rPr>
        <w:t>（四）等级测评与整改</w:t>
      </w:r>
    </w:p>
    <w:p w14:paraId="237A4874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48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  <w:r>
        <w:rPr>
          <w:rFonts w:hint="eastAsia" w:ascii="仿宋_GB2312" w:eastAsia="仿宋_GB2312"/>
          <w:sz w:val="32"/>
          <w:szCs w:val="48"/>
        </w:rPr>
        <w:t>按照等保二级的要求，在信创改造完成后开展等级测评工作，发现问题及时整改，确保系统持续符合等保二级标准。等保测评服务由区数据局统筹提供，不计入项目总投资。</w:t>
      </w:r>
    </w:p>
    <w:p w14:paraId="5860736B">
      <w:pPr>
        <w:pStyle w:val="12"/>
        <w:adjustRightInd w:val="0"/>
        <w:snapToGrid w:val="0"/>
        <w:spacing w:line="560" w:lineRule="exact"/>
        <w:ind w:left="640" w:firstLine="0" w:firstLineChars="0"/>
        <w:jc w:val="center"/>
        <w:rPr>
          <w:rFonts w:ascii="黑体" w:hAnsi="黑体" w:eastAsia="黑体"/>
          <w:sz w:val="32"/>
          <w:szCs w:val="48"/>
        </w:rPr>
      </w:pPr>
      <w:r>
        <w:rPr>
          <w:rFonts w:hint="eastAsia" w:ascii="黑体" w:hAnsi="黑体" w:eastAsia="黑体"/>
          <w:sz w:val="32"/>
          <w:szCs w:val="48"/>
        </w:rPr>
        <w:t>五、项目投资概算</w:t>
      </w:r>
    </w:p>
    <w:p w14:paraId="0738B9F9">
      <w:pPr>
        <w:pStyle w:val="12"/>
        <w:numPr>
          <w:ilvl w:val="0"/>
          <w:numId w:val="5"/>
        </w:numPr>
        <w:adjustRightInd w:val="0"/>
        <w:snapToGrid w:val="0"/>
        <w:spacing w:line="560" w:lineRule="exact"/>
        <w:ind w:firstLineChars="0"/>
        <w:rPr>
          <w:rFonts w:ascii="楷体_GB2312" w:hAnsi="黑体" w:eastAsia="楷体_GB2312"/>
          <w:sz w:val="32"/>
          <w:szCs w:val="48"/>
        </w:rPr>
      </w:pPr>
      <w:r>
        <w:rPr>
          <w:rFonts w:hint="eastAsia" w:ascii="楷体_GB2312" w:hAnsi="黑体" w:eastAsia="楷体_GB2312"/>
          <w:sz w:val="32"/>
          <w:szCs w:val="48"/>
        </w:rPr>
        <w:t>总投资概算</w:t>
      </w:r>
    </w:p>
    <w:p w14:paraId="264340BA">
      <w:pPr>
        <w:pStyle w:val="12"/>
        <w:spacing w:line="560" w:lineRule="exact"/>
        <w:ind w:left="1077" w:firstLine="0" w:firstLineChars="0"/>
        <w:rPr>
          <w:rFonts w:ascii="仿宋_GB2312" w:eastAsia="仿宋_GB2312" w:hAnsiTheme="minorEastAsia"/>
          <w:bCs/>
          <w:snapToGrid w:val="0"/>
          <w:kern w:val="0"/>
          <w:sz w:val="32"/>
          <w:szCs w:val="28"/>
        </w:rPr>
      </w:pPr>
      <w:r>
        <w:rPr>
          <w:rFonts w:hint="eastAsia" w:ascii="仿宋_GB2312" w:eastAsia="仿宋_GB2312" w:hAnsiTheme="minorEastAsia"/>
          <w:bCs/>
          <w:snapToGrid w:val="0"/>
          <w:kern w:val="0"/>
          <w:sz w:val="32"/>
          <w:szCs w:val="28"/>
        </w:rPr>
        <w:t>项目总投资为50万元，项目资金来源于财政拨款。</w:t>
      </w:r>
    </w:p>
    <w:p w14:paraId="7D16ED0B">
      <w:pPr>
        <w:pStyle w:val="12"/>
        <w:numPr>
          <w:ilvl w:val="0"/>
          <w:numId w:val="5"/>
        </w:numPr>
        <w:adjustRightInd w:val="0"/>
        <w:snapToGrid w:val="0"/>
        <w:spacing w:line="560" w:lineRule="exact"/>
        <w:ind w:firstLineChars="0"/>
        <w:rPr>
          <w:rFonts w:ascii="楷体_GB2312" w:hAnsi="黑体" w:eastAsia="楷体_GB2312"/>
          <w:sz w:val="32"/>
          <w:szCs w:val="48"/>
        </w:rPr>
      </w:pPr>
      <w:r>
        <w:rPr>
          <w:rFonts w:hint="eastAsia" w:ascii="楷体_GB2312" w:hAnsi="黑体" w:eastAsia="楷体_GB2312"/>
          <w:sz w:val="32"/>
          <w:szCs w:val="48"/>
        </w:rPr>
        <w:t>业务系统云平台迁移概算</w:t>
      </w:r>
    </w:p>
    <w:tbl>
      <w:tblPr>
        <w:tblStyle w:val="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989"/>
        <w:gridCol w:w="1415"/>
        <w:gridCol w:w="8655"/>
        <w:gridCol w:w="1281"/>
        <w:gridCol w:w="1301"/>
      </w:tblGrid>
      <w:tr w14:paraId="2736AF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0B8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5A5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内容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851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分项内容</w:t>
            </w:r>
          </w:p>
        </w:tc>
        <w:tc>
          <w:tcPr>
            <w:tcW w:w="30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DA6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说明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0D191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工作量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（8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00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元/人天）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101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费用估算（万元）</w:t>
            </w:r>
          </w:p>
        </w:tc>
      </w:tr>
      <w:tr w14:paraId="702E12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A29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34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23C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信创改造</w:t>
            </w:r>
          </w:p>
        </w:tc>
        <w:tc>
          <w:tcPr>
            <w:tcW w:w="49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07C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软件开发改造</w:t>
            </w: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7AE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据采集模块：中间件替换，替换成中间件东方通tongweb7.0或中创V10.0；弹性云计算服务器适配改造，包括国产服务器芯片、国产操作系统；内置库适配国产化数据库改造，内置库适配国产化数据库改造；适配数据库达梦V8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DE02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30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07E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2.4</w:t>
            </w:r>
          </w:p>
        </w:tc>
      </w:tr>
      <w:tr w14:paraId="78028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226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E1D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088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B04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管理平台后端：中间件替换，替换成中间件东方通tongweb7.0或中创V10.0；数据源对接国产化数据库改造：包括国产服务器芯片、国产操作系统银河麒麟V10；弹性云计算服务器适配改造，兼容数据资源池sql开发与任务调度能力；内置库适配国产化数据库改造；适配数据库达梦V8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29A1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38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1A2B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3.04</w:t>
            </w:r>
          </w:p>
        </w:tc>
      </w:tr>
      <w:tr w14:paraId="5685C3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6DD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BB6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C53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0E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信息处理模块：中间件替换，替换成中间件东方通tongweb7.0或中创V10.0；数据源对接国产化数据库改造：包括国产服务器芯片、国产操作系统；弹性云计算服务器适配改造，包括国产服务器芯片、国产操作系统银河麒麟V10；内置库适配国产化数据库改造；适配数据库达梦V8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527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35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944E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2.8</w:t>
            </w:r>
          </w:p>
        </w:tc>
      </w:tr>
      <w:tr w14:paraId="3FF907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CA7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18F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C77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519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据共享模块：中间件替换，替换成中间件东方通tongweb7.0或中创V10.0；数据源对接和表转服务国产化数据库改造：兼容能够提供数据管理、应用管理、接口管理等功能；弹性云计算服务器适配改造，包括国产服务器芯片、国产操作系统银河麒麟V10；内置库适配国产化数据库改造；适配数据库达梦V8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152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30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6F11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2.4</w:t>
            </w:r>
          </w:p>
        </w:tc>
      </w:tr>
      <w:tr w14:paraId="33137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1FF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23A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ACB6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145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杭州城市大脑西湖平台（物联感知一张网）平台对外提供的操作界面主要是浏览器，因此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前端页面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需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根据国产浏览器的具体性能特点进行有针对性的适配优化，保障前端页面正常显示，操作正常响应。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8F0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22BF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0.96</w:t>
            </w:r>
          </w:p>
        </w:tc>
      </w:tr>
      <w:tr w14:paraId="0636A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FC6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308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BD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数据及服务迁移</w:t>
            </w: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8EE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数据采集模块：完成</w:t>
            </w:r>
            <w:bookmarkStart w:id="3" w:name="_Hlk153979709"/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数据对接节点</w:t>
            </w:r>
            <w:bookmarkEnd w:id="3"/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迁移、数据对接任务迁移。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C78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36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22E8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2.88</w:t>
            </w:r>
          </w:p>
        </w:tc>
      </w:tr>
      <w:tr w14:paraId="2910A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B6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E6C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14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CF0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信息处理模块：完成信息处理服务节点迁移、数据清洗作业迁移。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AB9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37.5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557F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</w:tr>
      <w:tr w14:paraId="61ACC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4E5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D7D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A6C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D33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管理平台模块：完成管理平台服务节点迁移、管理平台调度任务迁移。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834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37.5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58C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</w:tr>
      <w:tr w14:paraId="1A9F98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CC1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3ED1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8C8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7AD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数据共享模块：完成数据共享模块服务节点迁移和新服务节点接口开发、发布。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B7B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37.5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7A3D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</w:tr>
      <w:tr w14:paraId="59655B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86E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D7D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C1B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30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D8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资源池迁移服务：完成数据资源池整理备份，数据库89张表分批数据迁移。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69B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31.5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A13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2.52</w:t>
            </w:r>
          </w:p>
        </w:tc>
      </w:tr>
      <w:tr w14:paraId="0F5246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4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6E9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小计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B11A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26</w:t>
            </w:r>
          </w:p>
        </w:tc>
      </w:tr>
    </w:tbl>
    <w:p w14:paraId="626FA688">
      <w:pPr>
        <w:pStyle w:val="12"/>
        <w:numPr>
          <w:ilvl w:val="0"/>
          <w:numId w:val="5"/>
        </w:numPr>
        <w:adjustRightInd w:val="0"/>
        <w:snapToGrid w:val="0"/>
        <w:spacing w:line="560" w:lineRule="exact"/>
        <w:ind w:firstLineChars="0"/>
        <w:rPr>
          <w:rFonts w:ascii="楷体_GB2312" w:hAnsi="黑体" w:eastAsia="楷体_GB2312"/>
          <w:sz w:val="32"/>
          <w:szCs w:val="48"/>
        </w:rPr>
      </w:pPr>
      <w:r>
        <w:rPr>
          <w:rFonts w:hint="eastAsia" w:ascii="楷体_GB2312" w:hAnsi="黑体" w:eastAsia="楷体_GB2312"/>
          <w:sz w:val="32"/>
          <w:szCs w:val="48"/>
        </w:rPr>
        <w:t>软件及信息资源维护资金概算</w:t>
      </w:r>
    </w:p>
    <w:tbl>
      <w:tblPr>
        <w:tblStyle w:val="9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951"/>
        <w:gridCol w:w="1417"/>
        <w:gridCol w:w="8505"/>
        <w:gridCol w:w="1418"/>
        <w:gridCol w:w="1308"/>
      </w:tblGrid>
      <w:tr w14:paraId="476823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  <w:jc w:val="center"/>
        </w:trPr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49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B8F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内容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2B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分项内容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B97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说明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B74F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工作量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（8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00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元/人天）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0E1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费用估算（万元）</w:t>
            </w:r>
          </w:p>
        </w:tc>
      </w:tr>
      <w:tr w14:paraId="4EAD5E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  <w:jc w:val="center"/>
        </w:trPr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44B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9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01C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运维工作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A8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eastAsia="zh-CN" w:bidi="ar"/>
              </w:rPr>
            </w:pPr>
            <w:bookmarkStart w:id="4" w:name="_Hlk153980170"/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日常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val="en-US" w:eastAsia="zh-CN" w:bidi="ar"/>
              </w:rPr>
              <w:t>维护</w:t>
            </w:r>
            <w:bookmarkEnd w:id="4"/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D05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1、信创改造完成后提供一年运维服务，完成全区各部门物联设备接入、物联数据共享咨询、评估和具体对接实施，协助解决对接过程中的问题，确保数据安全接入和共享。按照西湖区数据归集标准归集设备数据，确保数据规范、安全接入和共享。</w:t>
            </w:r>
          </w:p>
          <w:p w14:paraId="54E60B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、提供定期的系统巡检，包括系统界面、接口状态、功能配置等是否正常，输出巡检报告。</w:t>
            </w:r>
          </w:p>
          <w:p w14:paraId="184B45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、部门需求调整后（如设备类型、数量、范围调整），提供配套接口调试开发。</w:t>
            </w:r>
          </w:p>
          <w:p w14:paraId="1AAFC3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、根据省、市、区相关要求做好系统的支撑工作，例如根据市数据局要求完成网络数据安全专项检查工作、配合做好应用资源编目工作等。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DBE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8C05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8</w:t>
            </w:r>
          </w:p>
        </w:tc>
      </w:tr>
      <w:tr w14:paraId="6CD0B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  <w:jc w:val="center"/>
        </w:trPr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46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9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DE2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6E3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平台对接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33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1、与区事</w:t>
            </w:r>
            <w:bookmarkStart w:id="5" w:name="_GoBack"/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件中心对接，按照事件中心统一接口推送事件，协同处理事件上报和推送问题。</w:t>
            </w:r>
          </w:p>
          <w:p w14:paraId="521352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2、与海康视频平台对接；与各部门已有管理平台对接获取物联相关数据。</w:t>
            </w:r>
          </w:p>
          <w:p w14:paraId="4A5CE8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highlight w:val="none"/>
                <w:lang w:bidi="ar"/>
              </w:rPr>
              <w:t>、与政务中台对接，在政务中台搭建物联平台的入口，实现单点登录。</w:t>
            </w:r>
          </w:p>
          <w:bookmarkEnd w:id="5"/>
          <w:p w14:paraId="6961A7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、与区地理信息中心对接，提供物联资源点位信息。</w:t>
            </w:r>
          </w:p>
          <w:p w14:paraId="14BA49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5、与市物联平台对接，完成向上级部门推送设备数据。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9195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112.5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2AF3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9</w:t>
            </w:r>
          </w:p>
        </w:tc>
      </w:tr>
      <w:tr w14:paraId="77F456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  <w:jc w:val="center"/>
        </w:trPr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DE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9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F50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AF5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安全策略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22D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1、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做好数据库账号保护，数据库超级账号由部门管理人员管理，针 对运维、开发人员采取访问控制、授权管理等安全措施严格数据管 理，建立安全的数据资产访问通道。</w:t>
            </w:r>
          </w:p>
          <w:p w14:paraId="79B950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2、配合区数据局做好安全审计整改工作，对在审计中发现的堡垒机违规登录、数据违规下载、A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PI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接口调用异常等问题进行及时整改；配合区数据局做好每月进行的漏洞扫描工作，如有漏洞及时修复并提供漏洞整改报告。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542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37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  <w:t>.5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D81D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</w:t>
            </w:r>
          </w:p>
        </w:tc>
      </w:tr>
      <w:tr w14:paraId="6A5ACD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  <w:jc w:val="center"/>
        </w:trPr>
        <w:tc>
          <w:tcPr>
            <w:tcW w:w="1286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126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小计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561B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</w:t>
            </w:r>
          </w:p>
        </w:tc>
      </w:tr>
    </w:tbl>
    <w:p w14:paraId="23255702"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48"/>
        </w:rPr>
      </w:pPr>
    </w:p>
    <w:p w14:paraId="41771691">
      <w:pPr>
        <w:pStyle w:val="12"/>
        <w:adjustRightInd w:val="0"/>
        <w:snapToGrid w:val="0"/>
        <w:spacing w:line="560" w:lineRule="exact"/>
        <w:ind w:left="0" w:leftChars="0" w:firstLine="0" w:firstLineChars="0"/>
        <w:jc w:val="both"/>
        <w:rPr>
          <w:rFonts w:ascii="黑体" w:hAnsi="黑体" w:eastAsia="黑体"/>
          <w:sz w:val="32"/>
          <w:szCs w:val="48"/>
        </w:rPr>
      </w:pPr>
    </w:p>
    <w:p w14:paraId="4D62D579">
      <w:pPr>
        <w:pStyle w:val="12"/>
        <w:adjustRightInd w:val="0"/>
        <w:snapToGrid w:val="0"/>
        <w:spacing w:line="560" w:lineRule="exact"/>
        <w:ind w:left="1360" w:firstLine="0" w:firstLineChars="0"/>
        <w:jc w:val="center"/>
        <w:rPr>
          <w:rFonts w:ascii="黑体" w:hAnsi="黑体" w:eastAsia="黑体"/>
          <w:sz w:val="32"/>
          <w:szCs w:val="48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linePitch="312" w:charSpace="0"/>
        </w:sectPr>
      </w:pPr>
    </w:p>
    <w:p w14:paraId="543E656F">
      <w:pPr>
        <w:pStyle w:val="12"/>
        <w:numPr>
          <w:ilvl w:val="0"/>
          <w:numId w:val="5"/>
        </w:numPr>
        <w:adjustRightInd w:val="0"/>
        <w:snapToGrid w:val="0"/>
        <w:spacing w:line="560" w:lineRule="exact"/>
        <w:ind w:firstLineChars="0"/>
        <w:rPr>
          <w:rFonts w:ascii="楷体_GB2312" w:hAnsi="黑体" w:eastAsia="楷体_GB2312"/>
          <w:sz w:val="32"/>
          <w:szCs w:val="48"/>
        </w:rPr>
      </w:pPr>
      <w:r>
        <w:rPr>
          <w:rFonts w:hint="eastAsia" w:ascii="楷体_GB2312" w:hAnsi="黑体" w:eastAsia="楷体_GB2312"/>
          <w:sz w:val="32"/>
          <w:szCs w:val="48"/>
        </w:rPr>
        <w:t>其他内容与服务资金概算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2176"/>
        <w:gridCol w:w="912"/>
        <w:gridCol w:w="850"/>
        <w:gridCol w:w="1985"/>
      </w:tblGrid>
      <w:tr w14:paraId="5DCD1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vAlign w:val="center"/>
          </w:tcPr>
          <w:p w14:paraId="78C6400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0" w:type="auto"/>
            <w:noWrap/>
            <w:vAlign w:val="center"/>
          </w:tcPr>
          <w:p w14:paraId="6893D55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内容</w:t>
            </w:r>
          </w:p>
        </w:tc>
        <w:tc>
          <w:tcPr>
            <w:tcW w:w="912" w:type="dxa"/>
            <w:vAlign w:val="center"/>
          </w:tcPr>
          <w:p w14:paraId="0A6C417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说明</w:t>
            </w:r>
          </w:p>
        </w:tc>
        <w:tc>
          <w:tcPr>
            <w:tcW w:w="850" w:type="dxa"/>
            <w:noWrap/>
            <w:vAlign w:val="center"/>
          </w:tcPr>
          <w:p w14:paraId="7617A04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数量</w:t>
            </w:r>
          </w:p>
        </w:tc>
        <w:tc>
          <w:tcPr>
            <w:tcW w:w="1985" w:type="dxa"/>
            <w:vAlign w:val="center"/>
          </w:tcPr>
          <w:p w14:paraId="036BE8C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金额（万元）</w:t>
            </w:r>
          </w:p>
        </w:tc>
      </w:tr>
      <w:tr w14:paraId="16C23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vAlign w:val="center"/>
          </w:tcPr>
          <w:p w14:paraId="206346E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noWrap/>
          </w:tcPr>
          <w:p w14:paraId="1BA3002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信创第三方测评</w:t>
            </w:r>
          </w:p>
        </w:tc>
        <w:tc>
          <w:tcPr>
            <w:tcW w:w="912" w:type="dxa"/>
            <w:vAlign w:val="center"/>
          </w:tcPr>
          <w:p w14:paraId="574AA16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850" w:type="dxa"/>
            <w:noWrap/>
            <w:vAlign w:val="center"/>
          </w:tcPr>
          <w:p w14:paraId="651ECB3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14:paraId="69665B1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  <w:t>4</w:t>
            </w:r>
          </w:p>
        </w:tc>
      </w:tr>
      <w:tr w14:paraId="30926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vAlign w:val="center"/>
          </w:tcPr>
          <w:p w14:paraId="34BD584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noWrap/>
          </w:tcPr>
          <w:p w14:paraId="5EF03EEF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等保二级测评</w:t>
            </w:r>
          </w:p>
        </w:tc>
        <w:tc>
          <w:tcPr>
            <w:tcW w:w="912" w:type="dxa"/>
            <w:vAlign w:val="center"/>
          </w:tcPr>
          <w:p w14:paraId="41AB37E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850" w:type="dxa"/>
            <w:noWrap/>
            <w:vAlign w:val="center"/>
          </w:tcPr>
          <w:p w14:paraId="608D8EE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14:paraId="31AF63BF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0</w:t>
            </w:r>
          </w:p>
        </w:tc>
      </w:tr>
      <w:tr w14:paraId="1043B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714" w:type="dxa"/>
            <w:gridSpan w:val="4"/>
            <w:vAlign w:val="center"/>
          </w:tcPr>
          <w:p w14:paraId="7ADD0A4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小计：</w:t>
            </w:r>
          </w:p>
        </w:tc>
        <w:tc>
          <w:tcPr>
            <w:tcW w:w="1985" w:type="dxa"/>
            <w:vAlign w:val="center"/>
          </w:tcPr>
          <w:p w14:paraId="0CE0345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仿宋_GB2312" w:eastAsia="仿宋_GB2312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hAnsiTheme="minorEastAsia"/>
                <w:kern w:val="0"/>
                <w:sz w:val="28"/>
                <w:szCs w:val="28"/>
              </w:rPr>
              <w:t>4</w:t>
            </w:r>
          </w:p>
        </w:tc>
      </w:tr>
    </w:tbl>
    <w:p w14:paraId="10F306C4">
      <w:pPr>
        <w:pStyle w:val="12"/>
        <w:adjustRightInd w:val="0"/>
        <w:snapToGrid w:val="0"/>
        <w:spacing w:line="560" w:lineRule="exact"/>
        <w:ind w:left="1360" w:firstLine="0" w:firstLineChars="0"/>
        <w:jc w:val="center"/>
        <w:rPr>
          <w:rFonts w:ascii="黑体" w:hAnsi="黑体" w:eastAsia="黑体"/>
          <w:sz w:val="32"/>
          <w:szCs w:val="48"/>
        </w:rPr>
      </w:pPr>
    </w:p>
    <w:p w14:paraId="56574B9E">
      <w:pPr>
        <w:pStyle w:val="12"/>
        <w:adjustRightInd w:val="0"/>
        <w:snapToGrid w:val="0"/>
        <w:spacing w:line="560" w:lineRule="exact"/>
        <w:ind w:left="640" w:firstLine="0" w:firstLineChars="0"/>
        <w:jc w:val="center"/>
        <w:rPr>
          <w:rFonts w:ascii="黑体" w:hAnsi="黑体" w:eastAsia="黑体"/>
          <w:sz w:val="32"/>
          <w:szCs w:val="48"/>
        </w:rPr>
      </w:pPr>
      <w:r>
        <w:rPr>
          <w:rFonts w:hint="eastAsia" w:ascii="黑体" w:hAnsi="黑体" w:eastAsia="黑体"/>
          <w:sz w:val="32"/>
          <w:szCs w:val="48"/>
        </w:rPr>
        <w:t>六、本单位信息系统运行的保障机制</w:t>
      </w:r>
    </w:p>
    <w:p w14:paraId="6DFCD200">
      <w:pPr>
        <w:pStyle w:val="12"/>
        <w:adjustRightInd w:val="0"/>
        <w:snapToGrid w:val="0"/>
        <w:spacing w:line="560" w:lineRule="exact"/>
        <w:ind w:firstLine="0" w:firstLineChars="0"/>
        <w:rPr>
          <w:rFonts w:ascii="楷体_GB2312" w:hAnsi="黑体" w:eastAsia="楷体_GB2312"/>
          <w:sz w:val="32"/>
          <w:szCs w:val="48"/>
        </w:rPr>
      </w:pPr>
      <w:r>
        <w:rPr>
          <w:rFonts w:hint="eastAsia" w:ascii="楷体_GB2312" w:hAnsi="黑体" w:eastAsia="楷体_GB2312"/>
          <w:sz w:val="32"/>
          <w:szCs w:val="48"/>
        </w:rPr>
        <w:t xml:space="preserve">    （一）本单位管理团队</w:t>
      </w:r>
    </w:p>
    <w:p w14:paraId="17112F88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  <w:r>
        <w:rPr>
          <w:rFonts w:hint="eastAsia" w:ascii="仿宋_GB2312" w:hAnsi="黑体" w:eastAsia="仿宋_GB2312"/>
          <w:sz w:val="32"/>
          <w:szCs w:val="48"/>
        </w:rPr>
        <w:t>为及时响应问题和请求，本单位将设立对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  <w14:ligatures w14:val="none"/>
        </w:rPr>
        <w:t>杭州城市大脑西湖平台（物联感知一张网）系统</w:t>
      </w:r>
      <w:r>
        <w:rPr>
          <w:rFonts w:hint="eastAsia" w:ascii="仿宋_GB2312" w:hAnsi="黑体" w:eastAsia="仿宋_GB2312"/>
          <w:sz w:val="32"/>
          <w:szCs w:val="48"/>
        </w:rPr>
        <w:t>的运维管理团队。本单位的管理团队由数据资源服务中心员工和相关驻场人员组成，要求具备良好的沟通和解决问题的能力，主要负责系统信息安全责任，管理团队中的成员必须接受信息安全教育培训，提高信息安全意识。针对不同岗位，制定不同培训计划，并定期对各个岗位人员进行安全技能及安全认知考核。</w:t>
      </w:r>
    </w:p>
    <w:p w14:paraId="09592CAE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  <w:r>
        <w:rPr>
          <w:rFonts w:hint="eastAsia" w:ascii="仿宋_GB2312" w:hAnsi="黑体" w:eastAsia="仿宋_GB2312"/>
          <w:sz w:val="32"/>
          <w:szCs w:val="48"/>
        </w:rPr>
        <w:t>建立安全事件报告、事故应答和分类机制，确定报告可疑的和发生的信息安全事故的流程，并使所有的成员和相关方都能理解和执行事故处理流程，同时妥善保存安全事件的相关记录与证据。</w:t>
      </w:r>
    </w:p>
    <w:p w14:paraId="3D13D27F">
      <w:pPr>
        <w:pStyle w:val="12"/>
        <w:adjustRightInd w:val="0"/>
        <w:snapToGrid w:val="0"/>
        <w:spacing w:line="560" w:lineRule="exact"/>
        <w:ind w:firstLine="640"/>
        <w:rPr>
          <w:rFonts w:ascii="楷体_GB2312" w:hAnsi="黑体" w:eastAsia="楷体_GB2312"/>
          <w:sz w:val="32"/>
          <w:szCs w:val="48"/>
        </w:rPr>
      </w:pPr>
      <w:r>
        <w:rPr>
          <w:rFonts w:hint="eastAsia" w:ascii="楷体_GB2312" w:hAnsi="黑体" w:eastAsia="楷体_GB2312"/>
          <w:sz w:val="32"/>
          <w:szCs w:val="48"/>
        </w:rPr>
        <w:t>（二）运维执行团队</w:t>
      </w:r>
    </w:p>
    <w:p w14:paraId="3C7F3052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  <w:r>
        <w:rPr>
          <w:rFonts w:hint="eastAsia" w:ascii="仿宋_GB2312" w:hAnsi="黑体" w:eastAsia="仿宋_GB2312"/>
          <w:sz w:val="32"/>
          <w:szCs w:val="48"/>
        </w:rPr>
        <w:t>孙慧洁（西湖区数据资源服务中心副主任）为运维执行团队的负责人，主要负责本项目的项目预审前评估和项目绩效评估服务，协助人员蒋盛锵。</w:t>
      </w:r>
    </w:p>
    <w:p w14:paraId="766D9FFD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  <w:r>
        <w:rPr>
          <w:rFonts w:hint="eastAsia" w:ascii="仿宋_GB2312" w:hAnsi="黑体" w:eastAsia="仿宋_GB2312"/>
          <w:sz w:val="32"/>
          <w:szCs w:val="48"/>
        </w:rPr>
        <w:t>运维执行团队接收运维过程中的问题和请求，并进行分类、分派和跟踪。具体运维工作由技术公司承接。要求技术公司</w:t>
      </w:r>
      <w:r>
        <w:rPr>
          <w:rFonts w:ascii="仿宋_GB2312" w:hAnsi="黑体" w:eastAsia="仿宋_GB2312"/>
          <w:sz w:val="32"/>
          <w:szCs w:val="48"/>
        </w:rPr>
        <w:t>对</w:t>
      </w:r>
      <w:r>
        <w:rPr>
          <w:rFonts w:hint="eastAsia" w:ascii="仿宋_GB2312" w:hAnsi="黑体" w:eastAsia="仿宋_GB2312"/>
          <w:sz w:val="32"/>
          <w:szCs w:val="48"/>
        </w:rPr>
        <w:t>物联感知一张网</w:t>
      </w:r>
      <w:r>
        <w:rPr>
          <w:rFonts w:ascii="仿宋_GB2312" w:hAnsi="黑体" w:eastAsia="仿宋_GB2312"/>
          <w:sz w:val="32"/>
          <w:szCs w:val="48"/>
        </w:rPr>
        <w:t>系统运行维护管理，对系统运转情况进行定期巡检、维护、故障处理和变更管理。组织实施安全设备或系统各类事故（故障）的应急处理。定期对信息系统进行风险评估，并根据风险评估的结果采取相应措施进行风险控制。</w:t>
      </w:r>
    </w:p>
    <w:p w14:paraId="669FA3D2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155C9352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1B8C7713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76C0D5E9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5EDB4CD2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1E1EF3D3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247CAFD5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5E725179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62AC79A7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0DC3EEB0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30A88272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4BA12535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001D3B46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7C7797CF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1307E6ED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3132C43A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039EAC68">
      <w:pPr>
        <w:adjustRightInd w:val="0"/>
        <w:snapToGrid w:val="0"/>
        <w:spacing w:line="560" w:lineRule="exact"/>
        <w:ind w:firstLine="640" w:firstLineChars="200"/>
        <w:rPr>
          <w:rFonts w:ascii="仿宋_GB2312" w:hAnsi="黑体" w:eastAsia="仿宋_GB2312"/>
          <w:sz w:val="32"/>
          <w:szCs w:val="48"/>
        </w:rPr>
      </w:pPr>
    </w:p>
    <w:p w14:paraId="7948C242">
      <w:pPr>
        <w:adjustRightInd w:val="0"/>
        <w:snapToGrid w:val="0"/>
        <w:spacing w:line="560" w:lineRule="exact"/>
        <w:jc w:val="center"/>
        <w:rPr>
          <w:rFonts w:ascii="黑体" w:hAnsi="黑体" w:eastAsia="黑体"/>
          <w:sz w:val="32"/>
          <w:szCs w:val="48"/>
        </w:rPr>
      </w:pPr>
      <w:r>
        <w:rPr>
          <w:rFonts w:hint="eastAsia" w:ascii="黑体" w:hAnsi="黑体" w:eastAsia="黑体"/>
          <w:sz w:val="32"/>
          <w:szCs w:val="48"/>
        </w:rPr>
        <w:t>七、其他附件</w:t>
      </w:r>
    </w:p>
    <w:p w14:paraId="77514BD2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rPr>
          <w:rFonts w:hint="eastAsia" w:ascii="仿宋_GB2312" w:hAnsi="黑体" w:eastAsia="仿宋_GB2312"/>
          <w:sz w:val="32"/>
          <w:szCs w:val="48"/>
        </w:rPr>
        <w:t>《杭州城市大脑西湖平台（物联感知一张网）采购项目合同》</w:t>
      </w:r>
    </w:p>
    <w:p w14:paraId="04D69C39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223520</wp:posOffset>
            </wp:positionV>
            <wp:extent cx="5413375" cy="7399020"/>
            <wp:effectExtent l="0" t="0" r="0" b="0"/>
            <wp:wrapNone/>
            <wp:docPr id="1347462040" name="图片 1" descr="图形用户界面, 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62040" name="图片 1" descr="图形用户界面, 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3DD98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38C8F479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1057A126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0CCDE475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51C21214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1D3C5E3D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2FF7FCE3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57AD692E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32A8E5F3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148A65C2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1C6E8C16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5800DBD7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33FEBB9F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4E70878C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4E0CD5F5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5D78F883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04E291A2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02F9B7BE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410A96DE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4E4A87E2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1C4BD3A7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92710</wp:posOffset>
            </wp:positionV>
            <wp:extent cx="5803900" cy="7924800"/>
            <wp:effectExtent l="0" t="0" r="0" b="0"/>
            <wp:wrapTopAndBottom/>
            <wp:docPr id="134333355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33555" name="图片 1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36C63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3261C6B7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510540</wp:posOffset>
            </wp:positionV>
            <wp:extent cx="5734050" cy="8008620"/>
            <wp:effectExtent l="0" t="0" r="0" b="0"/>
            <wp:wrapTopAndBottom/>
            <wp:docPr id="1694634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34017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12F86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190500</wp:posOffset>
            </wp:positionV>
            <wp:extent cx="5547360" cy="7840980"/>
            <wp:effectExtent l="0" t="0" r="0" b="0"/>
            <wp:wrapTopAndBottom/>
            <wp:docPr id="104750011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00118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907BC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748AB267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213360</wp:posOffset>
            </wp:positionV>
            <wp:extent cx="5721985" cy="7703820"/>
            <wp:effectExtent l="0" t="0" r="0" b="0"/>
            <wp:wrapTopAndBottom/>
            <wp:docPr id="198971765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17658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B03F8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5E03FFF5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304800</wp:posOffset>
            </wp:positionV>
            <wp:extent cx="5513705" cy="7475220"/>
            <wp:effectExtent l="0" t="0" r="0" b="0"/>
            <wp:wrapTopAndBottom/>
            <wp:docPr id="114176116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61162" name="图片 1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F430D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p w14:paraId="5F3C3CE3">
      <w:pPr>
        <w:adjustRightInd w:val="0"/>
        <w:snapToGrid w:val="0"/>
        <w:spacing w:line="560" w:lineRule="exact"/>
        <w:rPr>
          <w:rFonts w:ascii="仿宋_GB2312" w:hAnsi="黑体" w:eastAsia="仿宋_GB2312"/>
          <w:sz w:val="32"/>
          <w:szCs w:val="48"/>
        </w:rPr>
      </w:pP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D43DD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84FF2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p2gc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584FF2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937A05"/>
    <w:multiLevelType w:val="multilevel"/>
    <w:tmpl w:val="2A937A05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1">
    <w:nsid w:val="2E7F785A"/>
    <w:multiLevelType w:val="multilevel"/>
    <w:tmpl w:val="2E7F785A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 w:eastAsia="仿宋_GB2312"/>
        <w:b/>
        <w:i w:val="0"/>
        <w:sz w:val="32"/>
      </w:rPr>
    </w:lvl>
    <w:lvl w:ilvl="1" w:tentative="0">
      <w:start w:val="1"/>
      <w:numFmt w:val="chineseCountingThousand"/>
      <w:pStyle w:val="3"/>
      <w:suff w:val="nothing"/>
      <w:lvlText w:val="（%2）"/>
      <w:lvlJc w:val="left"/>
      <w:pPr>
        <w:ind w:left="0" w:firstLine="0"/>
      </w:pPr>
      <w:rPr>
        <w:rFonts w:hint="eastAsia" w:eastAsia="仿宋_GB2312"/>
        <w:b/>
        <w:i w:val="0"/>
        <w:sz w:val="32"/>
      </w:rPr>
    </w:lvl>
    <w:lvl w:ilvl="2" w:tentative="0">
      <w:start w:val="1"/>
      <w:numFmt w:val="decimal"/>
      <w:suff w:val="nothing"/>
      <w:lvlText w:val="%3、"/>
      <w:lvlJc w:val="left"/>
      <w:pPr>
        <w:ind w:left="0" w:firstLine="0"/>
      </w:pPr>
      <w:rPr>
        <w:rFonts w:hint="eastAsia" w:eastAsia="仿宋_GB2312"/>
        <w:b/>
        <w:i w:val="0"/>
        <w:sz w:val="32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0"/>
      </w:pPr>
      <w:rPr>
        <w:rFonts w:hint="eastAsia" w:eastAsia="仿宋_GB2312"/>
        <w:b/>
        <w:i w:val="0"/>
        <w:sz w:val="32"/>
      </w:rPr>
    </w:lvl>
    <w:lvl w:ilvl="4" w:tentative="0">
      <w:start w:val="1"/>
      <w:numFmt w:val="upperRoman"/>
      <w:suff w:val="nothing"/>
      <w:lvlText w:val="%5"/>
      <w:lvlJc w:val="left"/>
      <w:pPr>
        <w:ind w:left="0" w:firstLine="0"/>
      </w:pPr>
      <w:rPr>
        <w:rFonts w:hint="eastAsia" w:eastAsia="仿宋_GB2312"/>
        <w:b/>
        <w:i w:val="0"/>
        <w:sz w:val="32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39FB04D2"/>
    <w:multiLevelType w:val="multilevel"/>
    <w:tmpl w:val="39FB04D2"/>
    <w:lvl w:ilvl="0" w:tentative="0">
      <w:start w:val="1"/>
      <w:numFmt w:val="japaneseCounting"/>
      <w:lvlText w:val="（%1）"/>
      <w:lvlJc w:val="left"/>
      <w:pPr>
        <w:ind w:left="171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3">
    <w:nsid w:val="53C62B83"/>
    <w:multiLevelType w:val="multilevel"/>
    <w:tmpl w:val="53C62B83"/>
    <w:lvl w:ilvl="0" w:tentative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6ACE3D33"/>
    <w:multiLevelType w:val="multilevel"/>
    <w:tmpl w:val="6ACE3D33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"/>
    </o:shapelayout>
  </w:hdrShapeDefaults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4MmUwNjQ3NGQxOTY1OTY3M2UxNzNlMjIzZmVkMzUifQ=="/>
  </w:docVars>
  <w:rsids>
    <w:rsidRoot w:val="00CF0465"/>
    <w:rsid w:val="000C118F"/>
    <w:rsid w:val="000C185C"/>
    <w:rsid w:val="000D6241"/>
    <w:rsid w:val="000E660F"/>
    <w:rsid w:val="001511E7"/>
    <w:rsid w:val="00151585"/>
    <w:rsid w:val="00156B78"/>
    <w:rsid w:val="0017192B"/>
    <w:rsid w:val="001D1C2A"/>
    <w:rsid w:val="001F6B2E"/>
    <w:rsid w:val="00217E16"/>
    <w:rsid w:val="002230B3"/>
    <w:rsid w:val="002A6961"/>
    <w:rsid w:val="002D3D25"/>
    <w:rsid w:val="002D7C51"/>
    <w:rsid w:val="00304B6D"/>
    <w:rsid w:val="003140A5"/>
    <w:rsid w:val="00314284"/>
    <w:rsid w:val="003350C2"/>
    <w:rsid w:val="003C38F5"/>
    <w:rsid w:val="00401651"/>
    <w:rsid w:val="00451BDA"/>
    <w:rsid w:val="0047199D"/>
    <w:rsid w:val="00486ED1"/>
    <w:rsid w:val="004A567F"/>
    <w:rsid w:val="0053776B"/>
    <w:rsid w:val="00563082"/>
    <w:rsid w:val="0058090C"/>
    <w:rsid w:val="00640454"/>
    <w:rsid w:val="00697924"/>
    <w:rsid w:val="006D1C58"/>
    <w:rsid w:val="006E73D8"/>
    <w:rsid w:val="00704F51"/>
    <w:rsid w:val="00733CA4"/>
    <w:rsid w:val="0075483F"/>
    <w:rsid w:val="00754E24"/>
    <w:rsid w:val="00775678"/>
    <w:rsid w:val="007D215A"/>
    <w:rsid w:val="007F0722"/>
    <w:rsid w:val="007F7F27"/>
    <w:rsid w:val="008267F1"/>
    <w:rsid w:val="008451F1"/>
    <w:rsid w:val="008A71F8"/>
    <w:rsid w:val="008E1AEE"/>
    <w:rsid w:val="008F1BC8"/>
    <w:rsid w:val="008F7FA6"/>
    <w:rsid w:val="00906283"/>
    <w:rsid w:val="00911762"/>
    <w:rsid w:val="009402C1"/>
    <w:rsid w:val="009542E3"/>
    <w:rsid w:val="00962691"/>
    <w:rsid w:val="00973C4E"/>
    <w:rsid w:val="009D5D32"/>
    <w:rsid w:val="009F650B"/>
    <w:rsid w:val="00A71EB7"/>
    <w:rsid w:val="00A835FB"/>
    <w:rsid w:val="00A9325D"/>
    <w:rsid w:val="00AD3180"/>
    <w:rsid w:val="00AE07A2"/>
    <w:rsid w:val="00B1717F"/>
    <w:rsid w:val="00B971EC"/>
    <w:rsid w:val="00BA372F"/>
    <w:rsid w:val="00BA423B"/>
    <w:rsid w:val="00BB2872"/>
    <w:rsid w:val="00BB7465"/>
    <w:rsid w:val="00C64D82"/>
    <w:rsid w:val="00C7276C"/>
    <w:rsid w:val="00C80A04"/>
    <w:rsid w:val="00C87837"/>
    <w:rsid w:val="00CA251D"/>
    <w:rsid w:val="00CD3897"/>
    <w:rsid w:val="00CD4608"/>
    <w:rsid w:val="00CD4D31"/>
    <w:rsid w:val="00CE12DB"/>
    <w:rsid w:val="00CE2CB4"/>
    <w:rsid w:val="00CE6EC6"/>
    <w:rsid w:val="00CF0465"/>
    <w:rsid w:val="00D27FF9"/>
    <w:rsid w:val="00D51167"/>
    <w:rsid w:val="00DB48FE"/>
    <w:rsid w:val="00DC7A89"/>
    <w:rsid w:val="00E34696"/>
    <w:rsid w:val="00E51311"/>
    <w:rsid w:val="00E86D5C"/>
    <w:rsid w:val="00E92369"/>
    <w:rsid w:val="00E92EDF"/>
    <w:rsid w:val="00EE2D8E"/>
    <w:rsid w:val="00EE6DF3"/>
    <w:rsid w:val="00F16B3E"/>
    <w:rsid w:val="00F25342"/>
    <w:rsid w:val="00F30054"/>
    <w:rsid w:val="00F513A4"/>
    <w:rsid w:val="00F55B94"/>
    <w:rsid w:val="00F66E60"/>
    <w:rsid w:val="00FB6593"/>
    <w:rsid w:val="00FD192F"/>
    <w:rsid w:val="043378E0"/>
    <w:rsid w:val="05280385"/>
    <w:rsid w:val="140921C5"/>
    <w:rsid w:val="1EB411AE"/>
    <w:rsid w:val="201B09E7"/>
    <w:rsid w:val="32B73A64"/>
    <w:rsid w:val="39CE2236"/>
    <w:rsid w:val="3F76398F"/>
    <w:rsid w:val="4EAE2A18"/>
    <w:rsid w:val="52DB2BCD"/>
    <w:rsid w:val="57F146C4"/>
    <w:rsid w:val="5D800A0C"/>
    <w:rsid w:val="5FD717F3"/>
    <w:rsid w:val="663D7DDD"/>
    <w:rsid w:val="706F3B99"/>
    <w:rsid w:val="7E4B6801"/>
    <w:rsid w:val="7E74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1"/>
    <w:semiHidden/>
    <w:unhideWhenUsed/>
    <w:qFormat/>
    <w:uiPriority w:val="99"/>
    <w:pPr>
      <w:spacing w:after="120"/>
    </w:pPr>
    <w:rPr>
      <w:rFonts w:ascii="Times New Roman" w:hAnsi="Times New Roman" w:eastAsia="仿宋_GB2312" w:cs="Times New Roman"/>
      <w:sz w:val="32"/>
      <w:szCs w:val="24"/>
    </w:rPr>
  </w:style>
  <w:style w:type="paragraph" w:styleId="5">
    <w:name w:val="endnote text"/>
    <w:basedOn w:val="1"/>
    <w:link w:val="18"/>
    <w:semiHidden/>
    <w:unhideWhenUsed/>
    <w:qFormat/>
    <w:uiPriority w:val="99"/>
    <w:rPr>
      <w:rFonts w:ascii="Calibri" w:hAnsi="Calibri" w:eastAsia="方正仿宋_GB2312" w:cs="Times New Roman"/>
      <w:sz w:val="20"/>
      <w:szCs w:val="20"/>
    </w:rPr>
  </w:style>
  <w:style w:type="paragraph" w:styleId="6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页眉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autoRedefine/>
    <w:qFormat/>
    <w:uiPriority w:val="99"/>
    <w:rPr>
      <w:sz w:val="18"/>
      <w:szCs w:val="18"/>
    </w:rPr>
  </w:style>
  <w:style w:type="paragraph" w:customStyle="1" w:styleId="15">
    <w:name w:val="UserStyle_175"/>
    <w:basedOn w:val="1"/>
    <w:autoRedefine/>
    <w:qFormat/>
    <w:uiPriority w:val="0"/>
    <w:pPr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6">
    <w:name w:val="NormalCharacter"/>
    <w:autoRedefine/>
    <w:qFormat/>
    <w:uiPriority w:val="0"/>
  </w:style>
  <w:style w:type="paragraph" w:styleId="17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18">
    <w:name w:val="尾注文本 字符"/>
    <w:basedOn w:val="11"/>
    <w:link w:val="5"/>
    <w:autoRedefine/>
    <w:qFormat/>
    <w:uiPriority w:val="0"/>
    <w:rPr>
      <w:rFonts w:hint="default" w:ascii="Calibri" w:hAnsi="Calibri" w:eastAsia="方正仿宋_GB2312" w:cs="Calibri"/>
      <w:kern w:val="2"/>
    </w:rPr>
  </w:style>
  <w:style w:type="character" w:customStyle="1" w:styleId="19">
    <w:name w:val="页眉 字符1"/>
    <w:basedOn w:val="11"/>
    <w:qFormat/>
    <w:uiPriority w:val="0"/>
    <w:rPr>
      <w:rFonts w:hint="default" w:ascii="Calibri" w:hAnsi="Calibri" w:eastAsia="方正仿宋_GB2312" w:cs="Calibri"/>
      <w:kern w:val="2"/>
      <w:sz w:val="18"/>
      <w:szCs w:val="18"/>
    </w:rPr>
  </w:style>
  <w:style w:type="character" w:customStyle="1" w:styleId="20">
    <w:name w:val="标题 1 字符"/>
    <w:basedOn w:val="11"/>
    <w:link w:val="2"/>
    <w:autoRedefine/>
    <w:qFormat/>
    <w:uiPriority w:val="0"/>
    <w:rPr>
      <w:rFonts w:hint="default" w:ascii="Calibri" w:hAnsi="Calibri" w:eastAsia="方正仿宋_GB2312" w:cs="Calibri"/>
      <w:b/>
      <w:bCs/>
      <w:kern w:val="44"/>
      <w:sz w:val="44"/>
      <w:szCs w:val="44"/>
    </w:rPr>
  </w:style>
  <w:style w:type="character" w:customStyle="1" w:styleId="21">
    <w:name w:val="正文文本 字符"/>
    <w:basedOn w:val="11"/>
    <w:link w:val="4"/>
    <w:qFormat/>
    <w:uiPriority w:val="0"/>
    <w:rPr>
      <w:rFonts w:hint="default" w:ascii="Times New Roman" w:hAnsi="Times New Roman" w:eastAsia="仿宋_GB2312" w:cs="Times New Roman"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1261AE-AD01-4AFC-B9BA-CF7962EC8B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7421</Words>
  <Characters>7977</Characters>
  <Lines>58</Lines>
  <Paragraphs>16</Paragraphs>
  <TotalTime>10</TotalTime>
  <ScaleCrop>false</ScaleCrop>
  <LinksUpToDate>false</LinksUpToDate>
  <CharactersWithSpaces>8019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2023-12-19T07:44:00Z</dcterms:created>
  <dc:creator>whoe</dc:creator>
  <cp:lastModifiedBy>夜幕下的似水流年</cp:lastModifiedBy>
  <cp:lastPrinted>2024-09-20T01:15:05Z</cp:lastPrinted>
  <dcterms:modified xsi:type="dcterms:W3CDTF">2024-09-20T01:17:50Z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3F267B74F9154B0496CBFB9888302D89_13</vt:lpwstr>
  </property>
</Properties>
</file>