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E7658">
      <w:pPr>
        <w:adjustRightInd/>
        <w:spacing w:line="360" w:lineRule="auto"/>
        <w:jc w:val="center"/>
        <w:rPr>
          <w:rStyle w:val="938"/>
          <w:rFonts w:hint="eastAsia" w:eastAsia="宋体"/>
          <w:color w:val="auto"/>
          <w:highlight w:val="none"/>
          <w:lang w:eastAsia="zh-CN"/>
        </w:rPr>
      </w:pPr>
    </w:p>
    <w:p w14:paraId="42E34606">
      <w:pPr>
        <w:adjustRightInd/>
        <w:spacing w:line="360" w:lineRule="auto"/>
        <w:jc w:val="center"/>
        <w:rPr>
          <w:rFonts w:hint="eastAsia" w:ascii="仿宋" w:hAnsi="仿宋" w:eastAsia="仿宋" w:cs="仿宋"/>
          <w:color w:val="auto"/>
          <w:sz w:val="48"/>
          <w:szCs w:val="48"/>
          <w:highlight w:val="none"/>
          <w:lang w:eastAsia="zh-CN"/>
        </w:rPr>
      </w:pPr>
    </w:p>
    <w:p w14:paraId="3AD3EC07">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强制隔离戒毒所消防整改项目</w:t>
      </w:r>
    </w:p>
    <w:p w14:paraId="7A3C4320">
      <w:pPr>
        <w:adjustRightInd/>
        <w:spacing w:line="360" w:lineRule="auto"/>
        <w:jc w:val="center"/>
        <w:rPr>
          <w:rFonts w:ascii="仿宋" w:eastAsia="仿宋" w:cs="仿宋"/>
          <w:color w:val="auto"/>
          <w:highlight w:val="none"/>
        </w:rPr>
      </w:pPr>
    </w:p>
    <w:p w14:paraId="54768C77">
      <w:pPr>
        <w:adjustRightInd/>
        <w:spacing w:line="360" w:lineRule="auto"/>
        <w:jc w:val="center"/>
        <w:rPr>
          <w:rFonts w:ascii="仿宋" w:eastAsia="仿宋" w:cs="仿宋"/>
          <w:color w:val="auto"/>
          <w:highlight w:val="none"/>
        </w:rPr>
      </w:pPr>
    </w:p>
    <w:p w14:paraId="34B5DD1B">
      <w:pPr>
        <w:adjustRightInd/>
        <w:spacing w:line="360" w:lineRule="auto"/>
        <w:jc w:val="center"/>
        <w:rPr>
          <w:rFonts w:ascii="仿宋" w:eastAsia="仿宋" w:cs="仿宋"/>
          <w:color w:val="auto"/>
          <w:highlight w:val="none"/>
        </w:rPr>
      </w:pPr>
    </w:p>
    <w:p w14:paraId="5F18DCB4">
      <w:pPr>
        <w:adjustRightInd/>
        <w:spacing w:line="360" w:lineRule="auto"/>
        <w:jc w:val="center"/>
        <w:rPr>
          <w:rFonts w:ascii="仿宋" w:eastAsia="仿宋" w:cs="仿宋"/>
          <w:color w:val="auto"/>
          <w:highlight w:val="none"/>
        </w:rPr>
      </w:pPr>
    </w:p>
    <w:p w14:paraId="25D9896D">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z w:val="48"/>
          <w:szCs w:val="48"/>
          <w:highlight w:val="none"/>
        </w:rPr>
        <w:t>竞争性磋商文件</w:t>
      </w:r>
    </w:p>
    <w:p w14:paraId="25B54011">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（电子交易）</w:t>
      </w:r>
    </w:p>
    <w:p w14:paraId="7880BA3B">
      <w:pPr>
        <w:snapToGrid w:val="0"/>
        <w:spacing w:line="360" w:lineRule="auto"/>
        <w:jc w:val="center"/>
        <w:rPr>
          <w:rFonts w:ascii="仿宋" w:hAnsi="仿宋" w:eastAsia="仿宋" w:cs="仿宋"/>
          <w:color w:val="auto"/>
          <w:sz w:val="30"/>
          <w:szCs w:val="30"/>
          <w:highlight w:val="none"/>
        </w:rPr>
      </w:pPr>
    </w:p>
    <w:p w14:paraId="102AB7BF">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 xml:space="preserve">编号: </w:t>
      </w:r>
      <w:r>
        <w:rPr>
          <w:rFonts w:hint="eastAsia" w:ascii="仿宋" w:hAnsi="仿宋" w:eastAsia="仿宋" w:cs="仿宋"/>
          <w:color w:val="auto"/>
          <w:sz w:val="30"/>
          <w:szCs w:val="30"/>
          <w:highlight w:val="none"/>
          <w:lang w:eastAsia="zh-CN"/>
        </w:rPr>
        <w:t>HZSGAJ-2024-24（代)</w:t>
      </w:r>
    </w:p>
    <w:p w14:paraId="15CBEBC9">
      <w:pPr>
        <w:adjustRightInd/>
        <w:spacing w:line="360" w:lineRule="auto"/>
        <w:rPr>
          <w:rFonts w:ascii="仿宋" w:hAnsi="仿宋" w:eastAsia="仿宋" w:cs="仿宋"/>
          <w:color w:val="auto"/>
          <w:sz w:val="28"/>
          <w:szCs w:val="20"/>
          <w:highlight w:val="none"/>
        </w:rPr>
      </w:pPr>
    </w:p>
    <w:p w14:paraId="629785DA">
      <w:pPr>
        <w:spacing w:line="360" w:lineRule="auto"/>
        <w:rPr>
          <w:rFonts w:ascii="仿宋" w:hAnsi="仿宋" w:eastAsia="仿宋" w:cs="仿宋"/>
          <w:color w:val="auto"/>
          <w:sz w:val="32"/>
          <w:szCs w:val="32"/>
          <w:highlight w:val="none"/>
        </w:rPr>
      </w:pPr>
    </w:p>
    <w:p w14:paraId="38287B51">
      <w:pPr>
        <w:adjustRightInd/>
        <w:spacing w:line="360" w:lineRule="auto"/>
        <w:jc w:val="center"/>
        <w:rPr>
          <w:color w:val="auto"/>
          <w:highlight w:val="none"/>
        </w:rPr>
      </w:pPr>
    </w:p>
    <w:p w14:paraId="145D6901">
      <w:pPr>
        <w:adjustRightInd/>
        <w:spacing w:line="360" w:lineRule="auto"/>
        <w:jc w:val="center"/>
        <w:rPr>
          <w:color w:val="auto"/>
          <w:highlight w:val="none"/>
        </w:rPr>
      </w:pPr>
    </w:p>
    <w:p w14:paraId="08047C22">
      <w:pPr>
        <w:adjustRightInd/>
        <w:spacing w:line="360" w:lineRule="auto"/>
        <w:jc w:val="center"/>
        <w:rPr>
          <w:color w:val="auto"/>
          <w:highlight w:val="none"/>
        </w:rPr>
      </w:pPr>
    </w:p>
    <w:p w14:paraId="54E0B126">
      <w:pPr>
        <w:adjustRightInd/>
        <w:spacing w:line="360" w:lineRule="auto"/>
        <w:jc w:val="center"/>
        <w:rPr>
          <w:color w:val="auto"/>
          <w:highlight w:val="none"/>
        </w:rPr>
      </w:pPr>
    </w:p>
    <w:p w14:paraId="775F51D1">
      <w:pPr>
        <w:adjustRightInd/>
        <w:spacing w:line="360" w:lineRule="auto"/>
        <w:jc w:val="center"/>
        <w:rPr>
          <w:color w:val="auto"/>
          <w:highlight w:val="none"/>
        </w:rPr>
      </w:pPr>
    </w:p>
    <w:p w14:paraId="4AA24711">
      <w:pPr>
        <w:spacing w:line="360" w:lineRule="auto"/>
        <w:rPr>
          <w:rFonts w:ascii="仿宋" w:hAnsi="仿宋" w:eastAsia="仿宋" w:cs="仿宋"/>
          <w:color w:val="auto"/>
          <w:sz w:val="32"/>
          <w:szCs w:val="32"/>
          <w:highlight w:val="none"/>
        </w:rPr>
      </w:pPr>
    </w:p>
    <w:p w14:paraId="03372A93">
      <w:pPr>
        <w:spacing w:line="360" w:lineRule="auto"/>
        <w:jc w:val="center"/>
        <w:rPr>
          <w:rFonts w:ascii="仿宋" w:hAnsi="仿宋" w:eastAsia="仿宋" w:cs="仿宋"/>
          <w:color w:val="auto"/>
          <w:sz w:val="32"/>
          <w:szCs w:val="32"/>
          <w:highlight w:val="none"/>
        </w:rPr>
      </w:pPr>
    </w:p>
    <w:p w14:paraId="4437A699">
      <w:pPr>
        <w:pStyle w:val="79"/>
        <w:rPr>
          <w:color w:val="auto"/>
          <w:highlight w:val="none"/>
        </w:rPr>
      </w:pPr>
    </w:p>
    <w:p w14:paraId="71A51131">
      <w:pPr>
        <w:spacing w:line="360" w:lineRule="auto"/>
        <w:jc w:val="center"/>
        <w:rPr>
          <w:rFonts w:ascii="仿宋" w:hAnsi="仿宋" w:eastAsia="仿宋" w:cs="仿宋"/>
          <w:color w:val="auto"/>
          <w:sz w:val="32"/>
          <w:szCs w:val="32"/>
          <w:highlight w:val="none"/>
        </w:rPr>
      </w:pPr>
    </w:p>
    <w:p w14:paraId="23282CF1">
      <w:pPr>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杭州市公安局监所管理支队</w:t>
      </w:r>
    </w:p>
    <w:p w14:paraId="27C231B2">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color w:val="auto"/>
          <w:sz w:val="32"/>
          <w:szCs w:val="32"/>
          <w:highlight w:val="none"/>
        </w:rPr>
        <w:t>采购代理机构：</w:t>
      </w:r>
      <w:r>
        <w:rPr>
          <w:rFonts w:hint="eastAsia" w:ascii="仿宋" w:hAnsi="仿宋" w:eastAsia="仿宋" w:cs="仿宋"/>
          <w:color w:val="auto"/>
          <w:sz w:val="32"/>
          <w:szCs w:val="32"/>
          <w:highlight w:val="none"/>
          <w:lang w:eastAsia="zh-CN"/>
        </w:rPr>
        <w:t>浙江信达咨询监理有限公司</w:t>
      </w:r>
    </w:p>
    <w:p w14:paraId="430D5AAC">
      <w:pPr>
        <w:snapToGrid w:val="0"/>
        <w:spacing w:line="360" w:lineRule="auto"/>
        <w:jc w:val="center"/>
        <w:rPr>
          <w:rFonts w:ascii="仿宋" w:hAnsi="仿宋" w:eastAsia="仿宋" w:cs="仿宋"/>
          <w:b/>
          <w:color w:val="auto"/>
          <w:sz w:val="48"/>
          <w:szCs w:val="48"/>
          <w:highlight w:val="none"/>
        </w:rPr>
      </w:pPr>
      <w:r>
        <w:rPr>
          <w:rFonts w:hint="eastAsia" w:ascii="仿宋" w:hAnsi="仿宋" w:eastAsia="仿宋" w:cs="仿宋"/>
          <w:bCs/>
          <w:color w:val="auto"/>
          <w:sz w:val="32"/>
          <w:szCs w:val="32"/>
          <w:highlight w:val="none"/>
        </w:rPr>
        <w:t>二〇二四年</w:t>
      </w:r>
      <w:r>
        <w:rPr>
          <w:rFonts w:hint="eastAsia" w:ascii="仿宋" w:hAnsi="仿宋" w:eastAsia="仿宋" w:cs="仿宋"/>
          <w:bCs/>
          <w:color w:val="auto"/>
          <w:sz w:val="32"/>
          <w:szCs w:val="32"/>
          <w:highlight w:val="none"/>
          <w:lang w:val="en-US" w:eastAsia="zh-CN"/>
        </w:rPr>
        <w:t>11</w:t>
      </w:r>
      <w:r>
        <w:rPr>
          <w:rFonts w:hint="eastAsia" w:ascii="仿宋" w:hAnsi="仿宋" w:eastAsia="仿宋" w:cs="仿宋"/>
          <w:bCs/>
          <w:color w:val="auto"/>
          <w:sz w:val="32"/>
          <w:szCs w:val="32"/>
          <w:highlight w:val="none"/>
        </w:rPr>
        <w:t>月</w:t>
      </w:r>
      <w:bookmarkStart w:id="0" w:name="_Hlt67893495"/>
      <w:bookmarkEnd w:id="0"/>
      <w:r>
        <w:rPr>
          <w:rFonts w:ascii="仿宋" w:hAnsi="仿宋" w:eastAsia="仿宋" w:cs="仿宋"/>
          <w:b/>
          <w:color w:val="auto"/>
          <w:sz w:val="48"/>
          <w:szCs w:val="48"/>
          <w:highlight w:val="none"/>
        </w:rPr>
        <w:br w:type="page"/>
      </w:r>
    </w:p>
    <w:p w14:paraId="4BCE25F6">
      <w:pPr>
        <w:spacing w:line="360" w:lineRule="auto"/>
        <w:jc w:val="center"/>
        <w:rPr>
          <w:rFonts w:hint="eastAsia" w:ascii="仿宋" w:hAnsi="仿宋" w:eastAsia="仿宋" w:cs="仿宋"/>
          <w:b/>
          <w:color w:val="auto"/>
          <w:sz w:val="48"/>
          <w:szCs w:val="48"/>
          <w:highlight w:val="none"/>
        </w:rPr>
      </w:pPr>
    </w:p>
    <w:p w14:paraId="12394CE1">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5EA71975">
      <w:pPr>
        <w:spacing w:line="360" w:lineRule="auto"/>
        <w:rPr>
          <w:rFonts w:ascii="仿宋" w:hAnsi="仿宋" w:eastAsia="仿宋" w:cs="仿宋"/>
          <w:color w:val="auto"/>
          <w:sz w:val="32"/>
          <w:szCs w:val="32"/>
          <w:highlight w:val="none"/>
        </w:rPr>
      </w:pPr>
    </w:p>
    <w:p w14:paraId="2519210B">
      <w:pPr>
        <w:spacing w:line="360" w:lineRule="auto"/>
        <w:rPr>
          <w:rFonts w:ascii="仿宋" w:hAnsi="仿宋" w:eastAsia="仿宋" w:cs="仿宋"/>
          <w:color w:val="auto"/>
          <w:sz w:val="32"/>
          <w:szCs w:val="32"/>
          <w:highlight w:val="none"/>
        </w:rPr>
      </w:pPr>
    </w:p>
    <w:p w14:paraId="3D6F519E">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竞争性磋商公告</w:t>
      </w:r>
    </w:p>
    <w:p w14:paraId="7810F3F8">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供应商须知</w:t>
      </w:r>
    </w:p>
    <w:p w14:paraId="7FF205A8">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082E048F">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评审办法</w:t>
      </w:r>
    </w:p>
    <w:p w14:paraId="58A5FC18">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58CCBEAC">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5D4EBFA6">
      <w:pPr>
        <w:spacing w:line="360" w:lineRule="auto"/>
        <w:ind w:firstLine="1280" w:firstLineChars="400"/>
        <w:rPr>
          <w:rFonts w:ascii="仿宋" w:hAnsi="仿宋" w:eastAsia="仿宋" w:cs="仿宋"/>
          <w:color w:val="auto"/>
          <w:sz w:val="32"/>
          <w:szCs w:val="32"/>
          <w:highlight w:val="none"/>
        </w:rPr>
      </w:pPr>
    </w:p>
    <w:p w14:paraId="4491CA66">
      <w:pPr>
        <w:spacing w:line="360" w:lineRule="auto"/>
        <w:rPr>
          <w:rFonts w:ascii="仿宋" w:hAnsi="仿宋" w:eastAsia="仿宋" w:cs="仿宋"/>
          <w:color w:val="auto"/>
          <w:sz w:val="24"/>
          <w:highlight w:val="none"/>
        </w:rPr>
      </w:pPr>
      <w:bookmarkStart w:id="1" w:name="_Hlt91233176"/>
      <w:bookmarkEnd w:id="1"/>
      <w:bookmarkStart w:id="2" w:name="_Toc91899869"/>
    </w:p>
    <w:p w14:paraId="6116AF49">
      <w:pPr>
        <w:adjustRightInd/>
        <w:spacing w:line="360" w:lineRule="auto"/>
        <w:jc w:val="center"/>
        <w:outlineLvl w:val="0"/>
        <w:rPr>
          <w:rFonts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竞争性磋商公告</w:t>
      </w:r>
    </w:p>
    <w:p w14:paraId="5F7DFB1A">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0617C81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强制隔离戒毒所消防整改项目</w:t>
      </w:r>
      <w:r>
        <w:rPr>
          <w:rFonts w:hint="eastAsia" w:ascii="仿宋" w:hAnsi="仿宋" w:eastAsia="仿宋" w:cs="仿宋"/>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"https://www.zcygov.cn/）获取（下载）采购文件，并于2024年04月26日09点30分00秒" </w:instrText>
      </w:r>
      <w:r>
        <w:rPr>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https://www.zcygov.cn/）获取（下载）采购文件，并于2024年</w:t>
      </w:r>
      <w:r>
        <w:rPr>
          <w:rStyle w:val="76"/>
          <w:rFonts w:hint="eastAsia" w:ascii="仿宋" w:hAnsi="仿宋" w:eastAsia="仿宋" w:cs="仿宋"/>
          <w:snapToGrid/>
          <w:color w:val="auto"/>
          <w:kern w:val="2"/>
          <w:sz w:val="24"/>
          <w:szCs w:val="24"/>
          <w:highlight w:val="none"/>
          <w:lang w:val="en-US" w:eastAsia="zh-CN"/>
        </w:rPr>
        <w:t>12</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2</w:t>
      </w:r>
      <w:r>
        <w:rPr>
          <w:rStyle w:val="76"/>
          <w:rFonts w:hint="eastAsia" w:ascii="仿宋" w:hAnsi="仿宋" w:eastAsia="仿宋" w:cs="仿宋"/>
          <w:snapToGrid/>
          <w:color w:val="auto"/>
          <w:kern w:val="2"/>
          <w:sz w:val="24"/>
          <w:szCs w:val="24"/>
          <w:highlight w:val="none"/>
        </w:rPr>
        <w:t>日09点</w:t>
      </w:r>
      <w:r>
        <w:rPr>
          <w:rStyle w:val="76"/>
          <w:rFonts w:hint="eastAsia" w:ascii="仿宋" w:hAnsi="仿宋" w:eastAsia="仿宋" w:cs="仿宋"/>
          <w:snapToGrid/>
          <w:color w:val="auto"/>
          <w:kern w:val="2"/>
          <w:sz w:val="24"/>
          <w:szCs w:val="24"/>
          <w:highlight w:val="none"/>
          <w:lang w:val="en-US" w:eastAsia="zh-CN"/>
        </w:rPr>
        <w:t>3</w:t>
      </w:r>
      <w:r>
        <w:rPr>
          <w:rStyle w:val="76"/>
          <w:rFonts w:hint="eastAsia" w:ascii="仿宋" w:hAnsi="仿宋" w:eastAsia="仿宋" w:cs="仿宋"/>
          <w:snapToGrid/>
          <w:color w:val="auto"/>
          <w:kern w:val="2"/>
          <w:sz w:val="24"/>
          <w:szCs w:val="24"/>
          <w:highlight w:val="none"/>
        </w:rPr>
        <w:t>0分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提交（上传）响应文件。</w:t>
      </w:r>
    </w:p>
    <w:p w14:paraId="35FA6D04">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4F302089">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项目编号：</w:t>
      </w:r>
      <w:r>
        <w:rPr>
          <w:rFonts w:hint="eastAsia" w:ascii="仿宋" w:hAnsi="仿宋" w:eastAsia="仿宋" w:cs="仿宋"/>
          <w:b w:val="0"/>
          <w:color w:val="auto"/>
          <w:sz w:val="24"/>
          <w:highlight w:val="none"/>
          <w:lang w:eastAsia="zh-CN"/>
        </w:rPr>
        <w:t>HZSGAJ-2024-24（代)</w:t>
      </w:r>
      <w:r>
        <w:rPr>
          <w:rFonts w:hint="eastAsia" w:ascii="仿宋" w:hAnsi="仿宋" w:eastAsia="仿宋" w:cs="仿宋"/>
          <w:b w:val="0"/>
          <w:color w:val="auto"/>
          <w:sz w:val="24"/>
          <w:highlight w:val="none"/>
        </w:rPr>
        <w:t xml:space="preserve"> </w:t>
      </w:r>
    </w:p>
    <w:p w14:paraId="5C4E5120">
      <w:pPr>
        <w:snapToGrid w:val="0"/>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强制隔离戒毒所消防整改项目</w:t>
      </w:r>
    </w:p>
    <w:p w14:paraId="69B6FC91">
      <w:pPr>
        <w:snapToGrid w:val="0"/>
        <w:spacing w:line="360" w:lineRule="auto"/>
        <w:ind w:firstLine="482" w:firstLineChars="20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1284755</w:t>
      </w:r>
      <w:r>
        <w:rPr>
          <w:rFonts w:hint="eastAsia" w:ascii="仿宋" w:hAnsi="仿宋" w:eastAsia="仿宋" w:cs="仿宋"/>
          <w:b/>
          <w:color w:val="auto"/>
          <w:sz w:val="24"/>
          <w:highlight w:val="none"/>
          <w:u w:val="none"/>
          <w:lang w:val="en-US" w:eastAsia="zh-CN"/>
        </w:rPr>
        <w:t>（其中2024年预算安排74万元）</w:t>
      </w:r>
    </w:p>
    <w:p w14:paraId="60CB933D">
      <w:pPr>
        <w:snapToGrid w:val="0"/>
        <w:spacing w:line="360" w:lineRule="auto"/>
        <w:ind w:firstLine="482" w:firstLineChars="20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1284578</w:t>
      </w:r>
    </w:p>
    <w:p w14:paraId="2B1EB2A6">
      <w:pPr>
        <w:snapToGrid w:val="0"/>
        <w:spacing w:line="360" w:lineRule="auto"/>
        <w:ind w:firstLine="420"/>
        <w:rPr>
          <w:rFonts w:ascii="仿宋" w:hAnsi="仿宋" w:eastAsia="仿宋" w:cs="仿宋"/>
          <w:color w:val="auto"/>
          <w:sz w:val="24"/>
          <w:highlight w:val="none"/>
          <w:u w:val="single"/>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rPr>
        <w:t>完成</w:t>
      </w:r>
      <w:r>
        <w:rPr>
          <w:rFonts w:hint="eastAsia" w:ascii="仿宋" w:hAnsi="仿宋" w:eastAsia="仿宋" w:cs="仿宋"/>
          <w:b w:val="0"/>
          <w:bCs/>
          <w:color w:val="auto"/>
          <w:sz w:val="24"/>
          <w:highlight w:val="none"/>
          <w:lang w:val="en-US" w:eastAsia="zh-CN"/>
        </w:rPr>
        <w:t>杭州市强制隔离戒毒所消防整改项目</w:t>
      </w:r>
      <w:r>
        <w:rPr>
          <w:rFonts w:hint="eastAsia" w:ascii="仿宋" w:hAnsi="仿宋" w:eastAsia="仿宋" w:cs="仿宋"/>
          <w:b w:val="0"/>
          <w:bCs/>
          <w:color w:val="auto"/>
          <w:sz w:val="24"/>
          <w:highlight w:val="none"/>
        </w:rPr>
        <w:t>，通过</w:t>
      </w:r>
      <w:r>
        <w:rPr>
          <w:rFonts w:hint="eastAsia" w:ascii="仿宋" w:hAnsi="仿宋" w:eastAsia="仿宋" w:cs="仿宋"/>
          <w:b w:val="0"/>
          <w:bCs/>
          <w:color w:val="auto"/>
          <w:sz w:val="24"/>
          <w:highlight w:val="none"/>
          <w:lang w:val="en-US" w:eastAsia="zh-CN"/>
        </w:rPr>
        <w:t>第三方技术服务机构</w:t>
      </w:r>
      <w:r>
        <w:rPr>
          <w:rFonts w:hint="eastAsia" w:ascii="仿宋" w:hAnsi="仿宋" w:eastAsia="仿宋" w:cs="仿宋"/>
          <w:b w:val="0"/>
          <w:bCs/>
          <w:color w:val="auto"/>
          <w:sz w:val="24"/>
          <w:highlight w:val="none"/>
        </w:rPr>
        <w:t>确认。</w:t>
      </w:r>
      <w:r>
        <w:rPr>
          <w:rFonts w:hint="eastAsia" w:ascii="仿宋" w:hAnsi="仿宋" w:eastAsia="仿宋" w:cs="仿宋"/>
          <w:b w:val="0"/>
          <w:bCs/>
          <w:color w:val="auto"/>
          <w:sz w:val="24"/>
          <w:highlight w:val="none"/>
          <w:lang w:val="en-US" w:eastAsia="zh-CN"/>
        </w:rPr>
        <w:t>本项目</w:t>
      </w:r>
      <w:r>
        <w:rPr>
          <w:rFonts w:hint="eastAsia" w:ascii="仿宋" w:hAnsi="仿宋" w:eastAsia="仿宋" w:cs="仿宋"/>
          <w:b w:val="0"/>
          <w:bCs/>
          <w:color w:val="auto"/>
          <w:sz w:val="24"/>
          <w:highlight w:val="none"/>
          <w:lang w:eastAsia="zh-CN"/>
        </w:rPr>
        <w:t>主要涉及</w:t>
      </w:r>
      <w:r>
        <w:rPr>
          <w:rFonts w:hint="eastAsia" w:ascii="仿宋" w:hAnsi="仿宋" w:eastAsia="仿宋" w:cs="仿宋"/>
          <w:b w:val="0"/>
          <w:bCs/>
          <w:color w:val="auto"/>
          <w:sz w:val="24"/>
          <w:highlight w:val="none"/>
          <w:lang w:val="en-US" w:eastAsia="zh-CN"/>
        </w:rPr>
        <w:t>消控室、新建</w:t>
      </w:r>
      <w:r>
        <w:rPr>
          <w:rFonts w:hint="eastAsia" w:ascii="仿宋" w:hAnsi="仿宋" w:eastAsia="仿宋" w:cs="仿宋"/>
          <w:b w:val="0"/>
          <w:bCs/>
          <w:color w:val="auto"/>
          <w:sz w:val="24"/>
          <w:highlight w:val="none"/>
          <w:lang w:eastAsia="zh-CN"/>
        </w:rPr>
        <w:t>消防水池及水泵房</w:t>
      </w:r>
      <w:r>
        <w:rPr>
          <w:rFonts w:hint="eastAsia" w:ascii="仿宋" w:hAnsi="仿宋" w:eastAsia="仿宋" w:cs="仿宋"/>
          <w:b w:val="0"/>
          <w:bCs/>
          <w:color w:val="auto"/>
          <w:sz w:val="24"/>
          <w:highlight w:val="none"/>
        </w:rPr>
        <w:t>室外消火栓、火灾报警控制器（联动型）、门窗封堵改动以及增添灭火器等内容。施工改造面积约10000㎡。具体详见采购需求、施工图及工程量清单。</w:t>
      </w:r>
    </w:p>
    <w:p w14:paraId="4CEAC246">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合同履约期限：</w:t>
      </w:r>
      <w:r>
        <w:rPr>
          <w:rFonts w:hint="eastAsia" w:ascii="仿宋" w:hAnsi="仿宋" w:eastAsia="仿宋" w:cs="仿宋"/>
          <w:color w:val="auto"/>
          <w:sz w:val="24"/>
          <w:highlight w:val="none"/>
          <w:lang w:eastAsia="zh-CN"/>
        </w:rPr>
        <w:t>合同签订后150日历天</w:t>
      </w:r>
      <w:r>
        <w:rPr>
          <w:rFonts w:hint="eastAsia" w:ascii="仿宋" w:hAnsi="仿宋" w:eastAsia="仿宋" w:cs="仿宋"/>
          <w:color w:val="auto"/>
          <w:sz w:val="24"/>
          <w:highlight w:val="none"/>
        </w:rPr>
        <w:t>内完成。</w:t>
      </w:r>
    </w:p>
    <w:p w14:paraId="5C24D691">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本项目接受联合体：</w:t>
      </w:r>
    </w:p>
    <w:p w14:paraId="6CEF0AB8">
      <w:pPr>
        <w:pStyle w:val="5"/>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是；</w:t>
      </w:r>
    </w:p>
    <w:p w14:paraId="4981C692">
      <w:pPr>
        <w:pStyle w:val="5"/>
        <w:spacing w:line="360" w:lineRule="auto"/>
        <w:ind w:firstLine="480" w:firstLineChars="200"/>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否</w:t>
      </w:r>
      <w:r>
        <w:rPr>
          <w:rFonts w:hint="eastAsia" w:ascii="仿宋" w:hAnsi="仿宋" w:eastAsia="仿宋" w:cs="仿宋"/>
          <w:color w:val="auto"/>
          <w:kern w:val="0"/>
          <w:sz w:val="24"/>
          <w:highlight w:val="none"/>
        </w:rPr>
        <w:t>，不接受联合体理由：/。</w:t>
      </w:r>
    </w:p>
    <w:p w14:paraId="03318151">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注：不得限制大中型企业与小微企业组成联合体参与。</w:t>
      </w:r>
    </w:p>
    <w:p w14:paraId="600D1076">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w:t>
      </w:r>
      <w:bookmarkStart w:id="11" w:name="_Hlk101132948"/>
      <w:r>
        <w:rPr>
          <w:rFonts w:hint="eastAsia" w:ascii="仿宋" w:hAnsi="仿宋" w:eastAsia="仿宋" w:cs="仿宋"/>
          <w:b/>
          <w:color w:val="auto"/>
          <w:sz w:val="24"/>
          <w:highlight w:val="none"/>
        </w:rPr>
        <w:t>申请人的资格要求</w:t>
      </w:r>
      <w:bookmarkEnd w:id="11"/>
      <w:r>
        <w:rPr>
          <w:rFonts w:hint="eastAsia" w:ascii="仿宋" w:hAnsi="仿宋" w:eastAsia="仿宋" w:cs="仿宋"/>
          <w:b/>
          <w:color w:val="auto"/>
          <w:sz w:val="24"/>
          <w:highlight w:val="none"/>
        </w:rPr>
        <w:t>：</w:t>
      </w:r>
    </w:p>
    <w:p w14:paraId="1D13A69F">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31135AB">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2.以联合体形式参与的，提供联合协议(本项目不接受联合体或者供应商不以联合体形式参与的，则不需要提供) ；</w:t>
      </w:r>
    </w:p>
    <w:p w14:paraId="35481B70">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5653607D">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p>
    <w:p w14:paraId="55C58F07">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745487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2234C27E">
      <w:pPr>
        <w:spacing w:line="360" w:lineRule="auto"/>
        <w:ind w:firstLine="897" w:firstLineChars="374"/>
        <w:rPr>
          <w:rFonts w:ascii="仿宋" w:hAnsi="仿宋" w:eastAsia="仿宋" w:cs="仿宋"/>
          <w:color w:val="auto"/>
          <w:sz w:val="24"/>
          <w:highlight w:val="none"/>
          <w:u w:val="single"/>
        </w:rPr>
      </w:pPr>
      <w:sdt>
        <w:sdtPr>
          <w:rPr>
            <w:rFonts w:hint="eastAsia" w:ascii="仿宋" w:hAnsi="仿宋" w:eastAsia="仿宋" w:cs="仿宋"/>
            <w:color w:val="auto"/>
            <w:kern w:val="0"/>
            <w:sz w:val="24"/>
            <w:highlight w:val="none"/>
          </w:rPr>
          <w:id w:val="14746100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color w:val="auto"/>
          <w:sz w:val="24"/>
          <w:highlight w:val="none"/>
        </w:rPr>
        <w:t>工程全部由符合政策要求的中小企业承建，提供中小企业声明函；</w:t>
      </w:r>
    </w:p>
    <w:p w14:paraId="085B5C39">
      <w:pPr>
        <w:spacing w:line="360" w:lineRule="auto"/>
        <w:ind w:firstLine="897" w:firstLineChars="374"/>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746032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sdt>
        <w:sdtPr>
          <w:rPr>
            <w:rFonts w:hint="eastAsia" w:ascii="仿宋" w:hAnsi="仿宋" w:eastAsia="仿宋" w:cs="仿宋"/>
            <w:color w:val="auto"/>
            <w:kern w:val="0"/>
            <w:sz w:val="24"/>
            <w:highlight w:val="none"/>
          </w:rPr>
          <w:id w:val="147460773"/>
          <w:showingPlcHdr/>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sz w:val="24"/>
          <w:highlight w:val="none"/>
        </w:rPr>
        <w:t>工程全部由符合政策要求的小微企业承建，提供中小企业声明函；</w:t>
      </w:r>
    </w:p>
    <w:p w14:paraId="554053FA">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747865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bookmarkStart w:id="12" w:name="_Hlk101132524"/>
        </w:sdtContent>
      </w:sdt>
      <w:r>
        <w:rPr>
          <w:rFonts w:hint="eastAsia" w:ascii="仿宋" w:hAnsi="仿宋" w:eastAsia="仿宋" w:cs="仿宋"/>
          <w:color w:val="auto"/>
          <w:sz w:val="24"/>
          <w:highlight w:val="none"/>
        </w:rPr>
        <w:t>要求以联合体形式参加，提供联合协议和中小企业声明函，联合协议中中小企业合同金额应当达到%，其中小微企业合同金额应当达到%;</w:t>
      </w:r>
      <w:r>
        <w:rPr>
          <w:rFonts w:hint="eastAsia" w:ascii="仿宋" w:hAnsi="仿宋" w:eastAsia="仿宋" w:cs="仿宋"/>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12"/>
    <w:p w14:paraId="212DC379">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 ，其中小微企业合同金额应当达到% ;</w:t>
      </w:r>
      <w:r>
        <w:rPr>
          <w:rFonts w:hint="eastAsia" w:ascii="仿宋" w:hAnsi="仿宋" w:eastAsia="仿宋" w:cs="仿宋"/>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1CE6DDBE">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4.本项目的特定资格要求：按《中华人民共和国建筑法》第二十六条“承包建筑工程的单位应当持有依法取得的资质证书，并在其资质等级许可的业务范围内承揽工程。”及</w:t>
      </w:r>
      <w:r>
        <w:rPr>
          <w:color w:val="auto"/>
          <w:highlight w:val="none"/>
        </w:rPr>
        <w:fldChar w:fldCharType="begin"/>
      </w:r>
      <w:r>
        <w:rPr>
          <w:color w:val="auto"/>
          <w:highlight w:val="none"/>
        </w:rPr>
        <w:instrText xml:space="preserve"> HYPERLINK "https://baike.so.com/doc/5566657-5781773.html" \t "https://baike.so.com/doc/_blank" </w:instrText>
      </w:r>
      <w:r>
        <w:rPr>
          <w:color w:val="auto"/>
          <w:highlight w:val="none"/>
        </w:rPr>
        <w:fldChar w:fldCharType="separate"/>
      </w:r>
      <w:r>
        <w:rPr>
          <w:rFonts w:hint="eastAsia" w:ascii="仿宋" w:hAnsi="仿宋" w:eastAsia="仿宋" w:cs="仿宋"/>
          <w:snapToGrid w:val="0"/>
          <w:color w:val="auto"/>
          <w:kern w:val="28"/>
          <w:sz w:val="24"/>
          <w:szCs w:val="20"/>
          <w:highlight w:val="none"/>
        </w:rPr>
        <w:t>中华人民共和国住房和城乡建设部</w:t>
      </w:r>
      <w:r>
        <w:rPr>
          <w:rFonts w:hint="eastAsia" w:ascii="仿宋" w:hAnsi="仿宋" w:eastAsia="仿宋" w:cs="仿宋"/>
          <w:snapToGrid w:val="0"/>
          <w:color w:val="auto"/>
          <w:kern w:val="28"/>
          <w:sz w:val="24"/>
          <w:szCs w:val="20"/>
          <w:highlight w:val="none"/>
        </w:rPr>
        <w:fldChar w:fldCharType="end"/>
      </w:r>
      <w:r>
        <w:rPr>
          <w:rFonts w:hint="eastAsia" w:ascii="仿宋" w:hAnsi="仿宋" w:eastAsia="仿宋" w:cs="仿宋"/>
          <w:snapToGrid w:val="0"/>
          <w:color w:val="auto"/>
          <w:kern w:val="28"/>
          <w:sz w:val="24"/>
          <w:szCs w:val="20"/>
          <w:highlight w:val="none"/>
        </w:rPr>
        <w:t>发布的《建筑业企业资质标准》；供应商具有建设行政主管部门核发有效期内的建筑工程施工总承包三级及以上资质，同时提供有效期内的安全生产许可证；按《中华人民共和国建筑法》第十二条“（二）有与其从事的建筑活动相适应的具有法定执业资格的专业技术人员；”项目负责人具有建筑工程专业二级及以上建造师资格证书且具有安全生产考核合格证书（B证）；</w:t>
      </w:r>
    </w:p>
    <w:p w14:paraId="2447FBE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0921645">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三、获取采购文件 </w:t>
      </w:r>
    </w:p>
    <w:p w14:paraId="5265843F">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459EDB4E">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147E0B6F">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54BC853A">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0765AFBA">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四、响应文件提交（上传）</w:t>
      </w:r>
    </w:p>
    <w:p w14:paraId="569C5E8D">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截止时间：</w:t>
      </w:r>
      <w:r>
        <w:rPr>
          <w:rFonts w:hint="eastAsia" w:ascii="仿宋" w:hAnsi="仿宋" w:eastAsia="仿宋" w:cs="仿宋"/>
          <w:color w:val="auto"/>
          <w:sz w:val="24"/>
          <w:highlight w:val="none"/>
          <w:u w:val="single"/>
        </w:rPr>
        <w:t xml:space="preserve"> 2024年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日09点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3A5F5F0B">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404211B8">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五、响应文件开启 </w:t>
      </w:r>
    </w:p>
    <w:p w14:paraId="454EE902">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开启时间：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日09点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p>
    <w:p w14:paraId="162E2CF6">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政采云平台（https://www.zcygov.cn/）</w:t>
      </w:r>
    </w:p>
    <w:p w14:paraId="6B8F155E">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14:paraId="4FA5EEB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自本公告发布之日起3个工作日。</w:t>
      </w:r>
    </w:p>
    <w:p w14:paraId="567696E1">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73EB59B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483CEAB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A3425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CC124E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3008090E">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14:paraId="475D227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02CC8B55">
      <w:pPr>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杭州市公安局监所管理支队</w:t>
      </w:r>
    </w:p>
    <w:p w14:paraId="086D61E5">
      <w:p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地    址：杭州市</w:t>
      </w:r>
      <w:r>
        <w:rPr>
          <w:rFonts w:hint="eastAsia" w:ascii="仿宋" w:hAnsi="仿宋" w:eastAsia="仿宋" w:cs="仿宋"/>
          <w:color w:val="auto"/>
          <w:sz w:val="24"/>
          <w:highlight w:val="none"/>
          <w:lang w:val="en-US" w:eastAsia="zh-CN"/>
        </w:rPr>
        <w:t>余杭区运溪路36号</w:t>
      </w:r>
    </w:p>
    <w:p w14:paraId="75FCEB3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3C8AFE9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项目联系人（询问）：吴佳俊</w:t>
      </w:r>
    </w:p>
    <w:p w14:paraId="74CF501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项目联系方式（询问）：0571-87285052</w:t>
      </w:r>
    </w:p>
    <w:p w14:paraId="4C56FE5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质疑联系人：闻静</w:t>
      </w:r>
    </w:p>
    <w:p w14:paraId="0BADA4E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质疑联系方式：0571-87285052</w:t>
      </w:r>
    </w:p>
    <w:p w14:paraId="565FEA6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p>
    <w:p w14:paraId="7E8F36EA">
      <w:pPr>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浙江信达咨询监理有限公司</w:t>
      </w:r>
    </w:p>
    <w:p w14:paraId="647716FC">
      <w:pPr>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地    址：杭州市拱墅区德胜路289号602</w:t>
      </w:r>
    </w:p>
    <w:p w14:paraId="7CB2AF4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传    真：/</w:t>
      </w:r>
    </w:p>
    <w:p w14:paraId="61B0974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项目联系人（询问）：朱祺、沈州</w:t>
      </w:r>
    </w:p>
    <w:p w14:paraId="05E0CB82">
      <w:pPr>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18057188023、0571-85116015</w:t>
      </w:r>
    </w:p>
    <w:p w14:paraId="0094DD8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质疑联系人：吴秀琴</w:t>
      </w:r>
    </w:p>
    <w:p w14:paraId="75904926">
      <w:pPr>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质疑联系方式：13588007576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0571-85118638</w:t>
      </w:r>
    </w:p>
    <w:p w14:paraId="652EC9E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3.同级政府采购</w:t>
      </w:r>
      <w:bookmarkStart w:id="13" w:name="OLE_LINK67"/>
      <w:r>
        <w:rPr>
          <w:rFonts w:hint="eastAsia" w:ascii="仿宋" w:hAnsi="仿宋" w:eastAsia="仿宋" w:cs="仿宋"/>
          <w:color w:val="auto"/>
          <w:sz w:val="24"/>
          <w:highlight w:val="none"/>
        </w:rPr>
        <w:t xml:space="preserve">监督管理部门 </w:t>
      </w:r>
      <w:bookmarkEnd w:id="13"/>
      <w:r>
        <w:rPr>
          <w:rFonts w:hint="eastAsia" w:ascii="仿宋" w:hAnsi="仿宋" w:eastAsia="仿宋" w:cs="仿宋"/>
          <w:color w:val="auto"/>
          <w:sz w:val="24"/>
          <w:highlight w:val="none"/>
        </w:rPr>
        <w:t xml:space="preserve">           </w:t>
      </w:r>
    </w:p>
    <w:p w14:paraId="6DFACFE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名    称：杭州市财政局政府采购监管处</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浙江省政府采购行政裁决服务中心（杭州）</w:t>
      </w:r>
    </w:p>
    <w:p w14:paraId="079263D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址：杭州市上城区清泰街549号城建综合大楼11楼（快递仅限ems或顺丰） </w:t>
      </w:r>
    </w:p>
    <w:p w14:paraId="6AF6D43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5F4F998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联系人 ：朱女士、王女士</w:t>
      </w:r>
    </w:p>
    <w:p w14:paraId="79ACEDB6">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监督投诉电话：0571-87227671,0571-87800218</w:t>
      </w:r>
    </w:p>
    <w:p w14:paraId="52E4B4C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若对项目采购电子交易系统操作有疑问，可登录政采云（https://www.zcygov.cn/），点击右侧咨询小采，获取采小蜜智能服务管家帮助，或拨打政采云服务热线95763获取热线服务帮助。</w:t>
      </w:r>
    </w:p>
    <w:p w14:paraId="3884C3A2">
      <w:pPr>
        <w:snapToGrid w:val="0"/>
        <w:spacing w:line="360" w:lineRule="auto"/>
        <w:ind w:firstLine="480" w:firstLineChars="200"/>
        <w:rPr>
          <w:rFonts w:ascii="仿宋" w:hAnsi="仿宋" w:eastAsia="仿宋" w:cs="仿宋"/>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417" w:bottom="1440" w:left="1474" w:header="851" w:footer="992" w:gutter="0"/>
          <w:pgNumType w:fmt="decimal"/>
          <w:cols w:space="720" w:num="1"/>
          <w:titlePg/>
          <w:docGrid w:linePitch="312" w:charSpace="0"/>
        </w:sectPr>
      </w:pPr>
      <w:r>
        <w:rPr>
          <w:rFonts w:hint="eastAsia" w:ascii="仿宋" w:hAnsi="仿宋" w:eastAsia="仿宋" w:cs="仿宋"/>
          <w:color w:val="auto"/>
          <w:sz w:val="24"/>
          <w:highlight w:val="none"/>
        </w:rPr>
        <w:t>CA问题联系电话（人工）：汇信CA 400-888-4636；天谷CA 400-087-8198。</w:t>
      </w:r>
    </w:p>
    <w:p w14:paraId="65BCD73A">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供应商须知</w:t>
      </w:r>
      <w:bookmarkEnd w:id="9"/>
    </w:p>
    <w:p w14:paraId="2D9356CD">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0923B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231597CC">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093" w:type="dxa"/>
            <w:vAlign w:val="center"/>
          </w:tcPr>
          <w:p w14:paraId="09C864FD">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927" w:type="dxa"/>
            <w:vAlign w:val="center"/>
          </w:tcPr>
          <w:p w14:paraId="4F05FD50">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2C41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426D062">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093" w:type="dxa"/>
            <w:vAlign w:val="center"/>
          </w:tcPr>
          <w:p w14:paraId="208DE015">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927" w:type="dxa"/>
            <w:vAlign w:val="center"/>
          </w:tcPr>
          <w:p w14:paraId="5AA8E731">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工程</w:t>
            </w:r>
            <w:r>
              <w:rPr>
                <w:rFonts w:hint="eastAsia" w:ascii="仿宋" w:hAnsi="仿宋" w:eastAsia="仿宋" w:cs="仿宋"/>
                <w:color w:val="auto"/>
                <w:sz w:val="24"/>
                <w:highlight w:val="none"/>
              </w:rPr>
              <w:t>类</w:t>
            </w:r>
          </w:p>
        </w:tc>
      </w:tr>
      <w:tr w14:paraId="0378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A132268">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2093" w:type="dxa"/>
            <w:vAlign w:val="center"/>
          </w:tcPr>
          <w:p w14:paraId="68D2FA8B">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927" w:type="dxa"/>
            <w:vAlign w:val="center"/>
          </w:tcPr>
          <w:p w14:paraId="55F98790">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lang w:eastAsia="zh-CN"/>
              </w:rPr>
              <w:t>强制隔离戒毒所消防整改项目</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建筑业 </w:t>
            </w:r>
            <w:r>
              <w:rPr>
                <w:rFonts w:hint="eastAsia" w:ascii="仿宋" w:hAnsi="仿宋" w:eastAsia="仿宋" w:cs="仿宋"/>
                <w:color w:val="auto"/>
                <w:kern w:val="0"/>
                <w:sz w:val="24"/>
                <w:highlight w:val="none"/>
              </w:rPr>
              <w:t>行业；</w:t>
            </w:r>
          </w:p>
        </w:tc>
      </w:tr>
      <w:tr w14:paraId="3ECE1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1C54C7A">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2093" w:type="dxa"/>
            <w:vAlign w:val="center"/>
          </w:tcPr>
          <w:p w14:paraId="7BE8538E">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927" w:type="dxa"/>
            <w:vAlign w:val="center"/>
          </w:tcPr>
          <w:p w14:paraId="660AC4F9">
            <w:pPr>
              <w:spacing w:line="360"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4746984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34B677DF">
            <w:pPr>
              <w:spacing w:line="360" w:lineRule="auto"/>
              <w:rPr>
                <w:rFonts w:ascii="仿宋" w:hAnsi="仿宋" w:eastAsia="仿宋" w:cs="仿宋"/>
                <w:color w:val="auto"/>
                <w:highlight w:val="none"/>
              </w:rPr>
            </w:pPr>
            <w:sdt>
              <w:sdtPr>
                <w:rPr>
                  <w:rFonts w:hint="eastAsia" w:ascii="仿宋" w:hAnsi="仿宋" w:eastAsia="仿宋" w:cs="仿宋"/>
                  <w:color w:val="auto"/>
                  <w:kern w:val="0"/>
                  <w:sz w:val="24"/>
                  <w:highlight w:val="none"/>
                </w:rPr>
                <w:id w:val="14748215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可以就采购进口产品。</w:t>
            </w:r>
          </w:p>
        </w:tc>
      </w:tr>
      <w:tr w14:paraId="7BA44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743658B">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2093" w:type="dxa"/>
            <w:vAlign w:val="center"/>
          </w:tcPr>
          <w:p w14:paraId="6C9DB033">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927" w:type="dxa"/>
            <w:vAlign w:val="center"/>
          </w:tcPr>
          <w:p w14:paraId="510CFF45">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7465203"/>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20211755"/>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7039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sdtContent>
                </w:sdt>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拆除工程 </w:t>
            </w:r>
            <w:r>
              <w:rPr>
                <w:rFonts w:hint="eastAsia" w:ascii="仿宋" w:hAnsi="仿宋" w:eastAsia="仿宋" w:cs="仿宋"/>
                <w:color w:val="auto"/>
                <w:sz w:val="24"/>
                <w:highlight w:val="none"/>
              </w:rPr>
              <w:t>工作分包。</w:t>
            </w:r>
          </w:p>
          <w:p w14:paraId="61F15B25">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7480738"/>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2021175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20211757"/>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36302735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sdtContent>
                    </w:sdt>
                  </w:sdtContent>
                </w:sdt>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27B2CFA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3001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5F380C3">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2093" w:type="dxa"/>
            <w:vAlign w:val="center"/>
          </w:tcPr>
          <w:p w14:paraId="63DA05EF">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磋商前答疑会或现场考察</w:t>
            </w:r>
          </w:p>
        </w:tc>
        <w:tc>
          <w:tcPr>
            <w:tcW w:w="6927" w:type="dxa"/>
            <w:vAlign w:val="center"/>
          </w:tcPr>
          <w:p w14:paraId="19B23C44">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745459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CFA13D5">
            <w:pPr>
              <w:spacing w:line="360" w:lineRule="auto"/>
              <w:rPr>
                <w:rFonts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5988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时间：,地点：，联系人：，联系方式：</w:t>
            </w:r>
            <w:r>
              <w:rPr>
                <w:rFonts w:hint="eastAsia" w:ascii="仿宋" w:hAnsi="仿宋" w:eastAsia="仿宋" w:cs="仿宋"/>
                <w:color w:val="auto"/>
                <w:sz w:val="24"/>
                <w:szCs w:val="20"/>
                <w:highlight w:val="none"/>
              </w:rPr>
              <w:t>。</w:t>
            </w:r>
          </w:p>
        </w:tc>
      </w:tr>
      <w:tr w14:paraId="1C07D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83C82EB">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2093" w:type="dxa"/>
            <w:vAlign w:val="center"/>
          </w:tcPr>
          <w:p w14:paraId="72773EAD">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927" w:type="dxa"/>
            <w:vAlign w:val="center"/>
          </w:tcPr>
          <w:p w14:paraId="4FF4313E">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7452972"/>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026831988"/>
                  </w:sdtPr>
                  <w:sdtEndPr>
                    <w:rPr>
                      <w:rFonts w:hint="eastAsia" w:ascii="仿宋" w:hAnsi="仿宋" w:eastAsia="仿宋" w:cs="仿宋"/>
                      <w:color w:val="auto"/>
                      <w:kern w:val="0"/>
                      <w:sz w:val="24"/>
                      <w:highlight w:val="none"/>
                    </w:rPr>
                  </w:sdtEndPr>
                  <w:sdtContent/>
                </w:sdt>
              </w:sdtContent>
            </w:sdt>
            <w:sdt>
              <w:sdtPr>
                <w:rPr>
                  <w:rFonts w:hint="eastAsia" w:ascii="仿宋" w:hAnsi="仿宋" w:eastAsia="仿宋" w:cs="仿宋"/>
                  <w:color w:val="auto"/>
                  <w:kern w:val="0"/>
                  <w:sz w:val="24"/>
                  <w:highlight w:val="none"/>
                </w:rPr>
                <w:id w:val="1385525479"/>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2119639970"/>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2052488700"/>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1079A659">
            <w:pPr>
              <w:spacing w:line="360"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4747207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26753668">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kern w:val="0"/>
                <w:sz w:val="24"/>
                <w:highlight w:val="none"/>
              </w:rPr>
              <w:t>；</w:t>
            </w:r>
          </w:p>
          <w:p w14:paraId="2605F3F6">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kern w:val="0"/>
                <w:sz w:val="24"/>
                <w:highlight w:val="none"/>
              </w:rPr>
              <w:t>；</w:t>
            </w:r>
          </w:p>
          <w:p w14:paraId="1FBFDC17">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评审办法</w:t>
            </w:r>
            <w:r>
              <w:rPr>
                <w:rFonts w:hint="eastAsia" w:ascii="仿宋" w:hAnsi="仿宋" w:eastAsia="仿宋" w:cs="仿宋"/>
                <w:color w:val="auto"/>
                <w:kern w:val="0"/>
                <w:sz w:val="24"/>
                <w:highlight w:val="none"/>
              </w:rPr>
              <w:t>；</w:t>
            </w:r>
          </w:p>
          <w:p w14:paraId="05FD0000">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w:t>
            </w:r>
          </w:p>
          <w:p w14:paraId="3EF6CDF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kern w:val="0"/>
                <w:sz w:val="24"/>
                <w:highlight w:val="none"/>
              </w:rPr>
              <w:t>；地点：；联系人</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rPr>
              <w:t>。请供应商在上述时间内提供样品并按规定位置安装完毕。超过截止时间的，采购人或采购代理机构将不予接收，并将清场并封闭样品现场。</w:t>
            </w:r>
          </w:p>
          <w:p w14:paraId="7107749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26C74B6B">
            <w:pPr>
              <w:spacing w:line="360" w:lineRule="auto"/>
              <w:rPr>
                <w:rFonts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（7）制作、运输、安装和保管样品所发生的一切费用由供应商自理。</w:t>
            </w:r>
          </w:p>
        </w:tc>
      </w:tr>
      <w:tr w14:paraId="77F2C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BDC4616">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2093" w:type="dxa"/>
            <w:vAlign w:val="center"/>
          </w:tcPr>
          <w:p w14:paraId="7A72657E">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927" w:type="dxa"/>
            <w:vAlign w:val="center"/>
          </w:tcPr>
          <w:p w14:paraId="1CDAA13D">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7458618"/>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1165800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09DD7AF">
            <w:pPr>
              <w:spacing w:line="360"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1CA08BFF">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（1）在评审时安排每个供应商进行方案讲解演示。每个供应商时间不超过</w:t>
            </w:r>
            <w:r>
              <w:rPr>
                <w:rFonts w:hint="eastAsia" w:ascii="仿宋" w:hAnsi="仿宋" w:eastAsia="仿宋" w:cs="仿宋"/>
                <w:color w:val="auto"/>
                <w:kern w:val="0"/>
                <w:sz w:val="24"/>
                <w:highlight w:val="none"/>
                <w:u w:val="single"/>
              </w:rPr>
              <w:t>20</w:t>
            </w:r>
            <w:r>
              <w:rPr>
                <w:rFonts w:hint="eastAsia" w:ascii="仿宋" w:hAnsi="仿宋" w:eastAsia="仿宋" w:cs="仿宋"/>
                <w:color w:val="auto"/>
                <w:kern w:val="0"/>
                <w:sz w:val="24"/>
                <w:highlight w:val="none"/>
              </w:rPr>
              <w:t>分钟，讲解次序以响应文件解密时间先后次序为准，讲解演示人员不超过</w:t>
            </w:r>
            <w:r>
              <w:rPr>
                <w:rFonts w:hint="eastAsia" w:ascii="仿宋" w:hAnsi="仿宋" w:eastAsia="仿宋" w:cs="仿宋"/>
                <w:color w:val="auto"/>
                <w:kern w:val="0"/>
                <w:sz w:val="24"/>
                <w:highlight w:val="none"/>
                <w:u w:val="single"/>
              </w:rPr>
              <w:t>3</w:t>
            </w:r>
            <w:r>
              <w:rPr>
                <w:rFonts w:hint="eastAsia" w:ascii="仿宋" w:hAnsi="仿宋" w:eastAsia="仿宋" w:cs="仿宋"/>
                <w:color w:val="auto"/>
                <w:kern w:val="0"/>
                <w:sz w:val="24"/>
                <w:highlight w:val="none"/>
              </w:rPr>
              <w:t>人。讲解演示结束后按要求解答磋商小组提问。</w:t>
            </w:r>
          </w:p>
          <w:p w14:paraId="33291827">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33CE9125">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方式一：政采云平台在线讲解演示。政采云平台在线讲解需供应商根据政采云平台操作要求做好准备工作，提前完善软硬件配置环境。</w:t>
            </w:r>
          </w:p>
          <w:p w14:paraId="53C18307">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方式二：现场讲解演示。现场讲解地点为，讲解演示所用电脑等设备由供应商自备。现场讲解演示人员进场时提供讲解人员名单（加盖公章或授权代表签名）及身份证明，否则不得讲解演示。</w:t>
            </w:r>
          </w:p>
          <w:p w14:paraId="79979B2F">
            <w:pPr>
              <w:snapToGrid w:val="0"/>
              <w:spacing w:line="360" w:lineRule="auto"/>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0B7C4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242F0968">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2093" w:type="dxa"/>
            <w:vMerge w:val="restart"/>
            <w:vAlign w:val="center"/>
          </w:tcPr>
          <w:p w14:paraId="738898FD">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6927" w:type="dxa"/>
            <w:vAlign w:val="center"/>
          </w:tcPr>
          <w:p w14:paraId="476BF8A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（1）资格证明文件：见采购文件第二部分11.1。</w:t>
            </w:r>
          </w:p>
          <w:p w14:paraId="4BE73E5A">
            <w:pPr>
              <w:spacing w:line="360" w:lineRule="auto"/>
              <w:rPr>
                <w:rFonts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供应商未提供有效的资格证明文件的，视为供应商不具备采购文件中规定的资格要求，响应文件无效。</w:t>
            </w:r>
          </w:p>
        </w:tc>
      </w:tr>
      <w:tr w14:paraId="78E9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41AF811B">
            <w:pPr>
              <w:snapToGrid w:val="0"/>
              <w:spacing w:line="360" w:lineRule="auto"/>
              <w:jc w:val="center"/>
              <w:rPr>
                <w:rFonts w:ascii="仿宋" w:hAnsi="仿宋" w:eastAsia="仿宋" w:cs="仿宋"/>
                <w:color w:val="auto"/>
                <w:sz w:val="24"/>
                <w:highlight w:val="none"/>
              </w:rPr>
            </w:pPr>
          </w:p>
        </w:tc>
        <w:tc>
          <w:tcPr>
            <w:tcW w:w="2093" w:type="dxa"/>
            <w:vMerge w:val="continue"/>
            <w:vAlign w:val="center"/>
          </w:tcPr>
          <w:p w14:paraId="08A34187">
            <w:pPr>
              <w:snapToGrid w:val="0"/>
              <w:spacing w:line="360" w:lineRule="auto"/>
              <w:jc w:val="center"/>
              <w:rPr>
                <w:rFonts w:ascii="仿宋" w:hAnsi="仿宋" w:eastAsia="仿宋" w:cs="仿宋"/>
                <w:b/>
                <w:color w:val="auto"/>
                <w:sz w:val="24"/>
                <w:highlight w:val="none"/>
              </w:rPr>
            </w:pPr>
          </w:p>
        </w:tc>
        <w:tc>
          <w:tcPr>
            <w:tcW w:w="6927" w:type="dxa"/>
            <w:vAlign w:val="center"/>
          </w:tcPr>
          <w:p w14:paraId="00856F3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（2）资信证明文件：根据采购文件第四部分评审标准提供。</w:t>
            </w:r>
          </w:p>
        </w:tc>
      </w:tr>
      <w:tr w14:paraId="4CAC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933F6E5">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2093" w:type="dxa"/>
            <w:vAlign w:val="center"/>
          </w:tcPr>
          <w:p w14:paraId="430145E6">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927" w:type="dxa"/>
            <w:vAlign w:val="center"/>
          </w:tcPr>
          <w:p w14:paraId="6BF861F9">
            <w:pPr>
              <w:snapToGrid w:val="0"/>
              <w:spacing w:line="360" w:lineRule="auto"/>
              <w:rPr>
                <w:rFonts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B00D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E68BFDF">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2093" w:type="dxa"/>
            <w:vAlign w:val="center"/>
          </w:tcPr>
          <w:p w14:paraId="436001D7">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927" w:type="dxa"/>
            <w:vAlign w:val="center"/>
          </w:tcPr>
          <w:p w14:paraId="35E72537">
            <w:pPr>
              <w:snapToGrid w:val="0"/>
              <w:spacing w:line="360" w:lineRule="auto"/>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w:t>
            </w:r>
            <w:r>
              <w:rPr>
                <w:rFonts w:hint="eastAsia" w:ascii="仿宋" w:hAnsi="仿宋" w:eastAsia="仿宋" w:cs="仿宋"/>
                <w:color w:val="auto"/>
                <w:sz w:val="24"/>
                <w:highlight w:val="none"/>
              </w:rPr>
              <w:t>所有费用（包括但不限于人工费、材料费、机械费、安全文明费、施工技术措施费、规费、管理费、税金等）均计入</w:t>
            </w:r>
            <w:r>
              <w:rPr>
                <w:rFonts w:hint="eastAsia" w:ascii="仿宋" w:hAnsi="仿宋" w:eastAsia="仿宋" w:cs="仿宋"/>
                <w:color w:val="auto"/>
                <w:kern w:val="0"/>
                <w:sz w:val="24"/>
                <w:highlight w:val="none"/>
                <w:lang w:val="zh-CN"/>
              </w:rPr>
              <w:t>报价。</w:t>
            </w:r>
            <w:r>
              <w:rPr>
                <w:rFonts w:hint="eastAsia" w:ascii="仿宋" w:hAnsi="仿宋" w:eastAsia="仿宋" w:cs="仿宋"/>
                <w:color w:val="auto"/>
                <w:sz w:val="24"/>
                <w:highlight w:val="none"/>
              </w:rPr>
              <w:t>报价单是报价的唯一载体</w:t>
            </w:r>
            <w:r>
              <w:rPr>
                <w:rFonts w:hint="eastAsia" w:ascii="仿宋" w:hAnsi="仿宋" w:eastAsia="仿宋" w:cs="仿宋"/>
                <w:color w:val="auto"/>
                <w:kern w:val="0"/>
                <w:sz w:val="24"/>
                <w:highlight w:val="none"/>
                <w:lang w:val="zh-CN"/>
              </w:rPr>
              <w:t>。响应文件中价格全部采用人民币报价。采购文件未列明，而供应商认为必需的费用也需列入报价。</w:t>
            </w:r>
            <w:r>
              <w:rPr>
                <w:rFonts w:hint="eastAsia" w:ascii="仿宋" w:hAnsi="仿宋" w:eastAsia="仿宋" w:cs="仿宋"/>
                <w:b/>
                <w:color w:val="auto"/>
                <w:kern w:val="0"/>
                <w:sz w:val="24"/>
                <w:highlight w:val="none"/>
                <w:lang w:val="zh-CN"/>
              </w:rPr>
              <w:t>提醒：验收时检测费用由采购人承担，不包含在总价中。</w:t>
            </w:r>
          </w:p>
          <w:p w14:paraId="1634F654">
            <w:pPr>
              <w:snapToGrid w:val="0"/>
              <w:spacing w:line="360" w:lineRule="auto"/>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最后报价出现下列情形的，响应文件无效：</w:t>
            </w:r>
          </w:p>
          <w:p w14:paraId="6FB86843">
            <w:pPr>
              <w:snapToGrid w:val="0"/>
              <w:spacing w:line="360" w:lineRule="auto"/>
              <w:ind w:firstLine="241" w:firstLineChars="1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响应文件出现不是唯一的、有选择性最后报价的；</w:t>
            </w:r>
          </w:p>
          <w:p w14:paraId="0B638446">
            <w:pPr>
              <w:snapToGrid w:val="0"/>
              <w:spacing w:line="360" w:lineRule="auto"/>
              <w:ind w:firstLine="241" w:firstLineChars="1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最后报价超过采购文件中规定的最高限价的;</w:t>
            </w:r>
          </w:p>
          <w:p w14:paraId="2B0FB332">
            <w:pPr>
              <w:spacing w:line="360"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4BFF85FC">
            <w:pPr>
              <w:spacing w:line="360" w:lineRule="auto"/>
              <w:ind w:firstLine="241" w:firstLineChars="100"/>
              <w:rPr>
                <w:rFonts w:ascii="仿宋" w:hAnsi="仿宋" w:eastAsia="仿宋" w:cs="仿宋"/>
                <w:color w:val="auto"/>
                <w:sz w:val="24"/>
                <w:highlight w:val="none"/>
              </w:rPr>
            </w:pPr>
            <w:r>
              <w:rPr>
                <w:rFonts w:hint="eastAsia" w:ascii="仿宋" w:hAnsi="仿宋" w:eastAsia="仿宋" w:cs="仿宋"/>
                <w:b/>
                <w:color w:val="auto"/>
                <w:kern w:val="0"/>
                <w:sz w:val="24"/>
                <w:highlight w:val="none"/>
              </w:rPr>
              <w:t>供应商对根据修正原则修正后的报价不确认的</w:t>
            </w:r>
            <w:r>
              <w:rPr>
                <w:rFonts w:hint="eastAsia" w:ascii="仿宋" w:hAnsi="仿宋" w:eastAsia="仿宋" w:cs="仿宋"/>
                <w:b/>
                <w:color w:val="auto"/>
                <w:sz w:val="24"/>
                <w:highlight w:val="none"/>
              </w:rPr>
              <w:t>。</w:t>
            </w:r>
          </w:p>
        </w:tc>
      </w:tr>
      <w:tr w14:paraId="296F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72" w:hRule="atLeast"/>
        </w:trPr>
        <w:tc>
          <w:tcPr>
            <w:tcW w:w="714" w:type="dxa"/>
            <w:vAlign w:val="center"/>
          </w:tcPr>
          <w:p w14:paraId="7F84EDB7">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2093" w:type="dxa"/>
            <w:vAlign w:val="center"/>
          </w:tcPr>
          <w:p w14:paraId="4830FF2B">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927" w:type="dxa"/>
            <w:vAlign w:val="center"/>
          </w:tcPr>
          <w:p w14:paraId="5FB6AC46">
            <w:pPr>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9E68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1BA8F92">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2093" w:type="dxa"/>
            <w:vAlign w:val="center"/>
          </w:tcPr>
          <w:p w14:paraId="34107ED5">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备份响应文件送达地点和签收人员</w:t>
            </w:r>
          </w:p>
        </w:tc>
        <w:tc>
          <w:tcPr>
            <w:tcW w:w="6927" w:type="dxa"/>
            <w:vAlign w:val="center"/>
          </w:tcPr>
          <w:p w14:paraId="406E2A39">
            <w:pPr>
              <w:pStyle w:val="34"/>
              <w:spacing w:line="360"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备份响应文件送达地点：</w:t>
            </w:r>
            <w:r>
              <w:rPr>
                <w:rFonts w:hint="eastAsia" w:ascii="仿宋" w:hAnsi="仿宋" w:eastAsia="仿宋" w:cs="仿宋"/>
                <w:color w:val="auto"/>
                <w:sz w:val="24"/>
                <w:highlight w:val="none"/>
              </w:rPr>
              <w:t>杭州市</w:t>
            </w:r>
            <w:r>
              <w:rPr>
                <w:rFonts w:hint="eastAsia" w:ascii="仿宋" w:hAnsi="仿宋" w:eastAsia="仿宋" w:cs="仿宋"/>
                <w:color w:val="auto"/>
                <w:sz w:val="24"/>
                <w:highlight w:val="none"/>
                <w:lang w:eastAsia="zh-CN"/>
              </w:rPr>
              <w:t>拱墅区德胜路289号2号楼602</w:t>
            </w:r>
            <w:r>
              <w:rPr>
                <w:rFonts w:hint="eastAsia" w:ascii="仿宋" w:hAnsi="仿宋" w:eastAsia="仿宋" w:cs="仿宋"/>
                <w:color w:val="auto"/>
                <w:kern w:val="28"/>
                <w:sz w:val="24"/>
                <w:szCs w:val="24"/>
                <w:highlight w:val="none"/>
              </w:rPr>
              <w:t>；</w:t>
            </w:r>
          </w:p>
          <w:p w14:paraId="3EDB8180">
            <w:pPr>
              <w:pStyle w:val="34"/>
              <w:spacing w:line="360" w:lineRule="auto"/>
              <w:rPr>
                <w:rFonts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备份响应文件签收人员联系电话：</w:t>
            </w:r>
            <w:r>
              <w:rPr>
                <w:rFonts w:hint="eastAsia" w:ascii="仿宋" w:hAnsi="仿宋" w:eastAsia="仿宋" w:cs="仿宋"/>
                <w:color w:val="auto"/>
                <w:kern w:val="28"/>
                <w:sz w:val="24"/>
                <w:szCs w:val="24"/>
                <w:highlight w:val="none"/>
                <w:lang w:val="en-US" w:eastAsia="zh-CN"/>
              </w:rPr>
              <w:t>朱祺</w:t>
            </w:r>
            <w:r>
              <w:rPr>
                <w:rFonts w:hint="eastAsia" w:ascii="仿宋" w:hAnsi="仿宋" w:eastAsia="仿宋" w:cs="仿宋"/>
                <w:color w:val="auto"/>
                <w:kern w:val="28"/>
                <w:sz w:val="24"/>
                <w:szCs w:val="24"/>
                <w:highlight w:val="none"/>
              </w:rPr>
              <w:t>，0571-</w:t>
            </w:r>
            <w:r>
              <w:rPr>
                <w:rFonts w:hint="eastAsia" w:ascii="仿宋" w:hAnsi="仿宋" w:eastAsia="仿宋" w:cs="仿宋"/>
                <w:color w:val="auto"/>
                <w:kern w:val="28"/>
                <w:sz w:val="24"/>
                <w:szCs w:val="24"/>
                <w:highlight w:val="none"/>
                <w:lang w:val="en-US" w:eastAsia="zh-CN"/>
              </w:rPr>
              <w:t>85116015</w:t>
            </w:r>
            <w:r>
              <w:rPr>
                <w:rFonts w:hint="eastAsia" w:ascii="仿宋" w:hAnsi="仿宋" w:eastAsia="仿宋" w:cs="仿宋"/>
                <w:color w:val="auto"/>
                <w:sz w:val="24"/>
                <w:szCs w:val="24"/>
                <w:highlight w:val="none"/>
              </w:rPr>
              <w:t>。</w:t>
            </w:r>
          </w:p>
          <w:p w14:paraId="366F4A19">
            <w:pPr>
              <w:pStyle w:val="34"/>
              <w:spacing w:line="360" w:lineRule="auto"/>
              <w:rPr>
                <w:rFonts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采购人、采购代理机构不强制或变相强制供应商提交备份响应文件。</w:t>
            </w:r>
          </w:p>
        </w:tc>
      </w:tr>
      <w:tr w14:paraId="054E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99BA71B">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2093" w:type="dxa"/>
            <w:vAlign w:val="center"/>
          </w:tcPr>
          <w:p w14:paraId="18628139">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其它说明</w:t>
            </w:r>
          </w:p>
        </w:tc>
        <w:tc>
          <w:tcPr>
            <w:tcW w:w="6927" w:type="dxa"/>
            <w:vAlign w:val="center"/>
          </w:tcPr>
          <w:p w14:paraId="3953EC43">
            <w:pPr>
              <w:spacing w:line="360" w:lineRule="auto"/>
              <w:rPr>
                <w:color w:val="auto"/>
                <w:highlight w:val="none"/>
              </w:rPr>
            </w:pPr>
            <w:r>
              <w:rPr>
                <w:rFonts w:hint="eastAsia" w:ascii="仿宋" w:hAnsi="仿宋" w:eastAsia="仿宋" w:cs="仿宋"/>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val="0"/>
                <w:bCs/>
                <w:color w:val="auto"/>
                <w:kern w:val="0"/>
                <w:sz w:val="24"/>
                <w:highlight w:val="none"/>
              </w:rPr>
              <w:t>。</w:t>
            </w:r>
          </w:p>
        </w:tc>
      </w:tr>
      <w:tr w14:paraId="3A0D1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14" w:type="dxa"/>
            <w:vAlign w:val="center"/>
          </w:tcPr>
          <w:p w14:paraId="444EFF56">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2093" w:type="dxa"/>
            <w:vAlign w:val="center"/>
          </w:tcPr>
          <w:p w14:paraId="4BDA88AB">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tc>
        <w:tc>
          <w:tcPr>
            <w:tcW w:w="6927" w:type="dxa"/>
            <w:vAlign w:val="center"/>
          </w:tcPr>
          <w:p w14:paraId="659681EA">
            <w:pPr>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由成交人在领取中标通知书时支付，采购代理服务费按照《关于杭州市招标代理服务收费管理有关问题的通知》(杭价费[2003]148号)文件下浮30%收取。</w:t>
            </w:r>
          </w:p>
        </w:tc>
      </w:tr>
      <w:bookmarkEnd w:id="10"/>
    </w:tbl>
    <w:p w14:paraId="0943C797">
      <w:pPr>
        <w:snapToGrid w:val="0"/>
        <w:spacing w:line="360" w:lineRule="auto"/>
        <w:jc w:val="center"/>
        <w:outlineLvl w:val="0"/>
        <w:rPr>
          <w:rFonts w:ascii="仿宋" w:hAnsi="仿宋" w:eastAsia="仿宋" w:cs="仿宋"/>
          <w:b/>
          <w:color w:val="auto"/>
          <w:sz w:val="32"/>
          <w:szCs w:val="20"/>
          <w:highlight w:val="none"/>
        </w:rPr>
      </w:pPr>
      <w:bookmarkStart w:id="14" w:name="_Toc164416483"/>
      <w:bookmarkStart w:id="15" w:name="第三部分"/>
      <w:r>
        <w:rPr>
          <w:rFonts w:hint="eastAsia" w:ascii="仿宋" w:hAnsi="仿宋" w:eastAsia="仿宋" w:cs="仿宋"/>
          <w:b/>
          <w:color w:val="auto"/>
          <w:sz w:val="32"/>
          <w:szCs w:val="20"/>
          <w:highlight w:val="none"/>
        </w:rPr>
        <w:br w:type="page"/>
      </w:r>
      <w:r>
        <w:rPr>
          <w:rFonts w:hint="eastAsia" w:ascii="仿宋" w:hAnsi="仿宋" w:eastAsia="仿宋" w:cs="仿宋"/>
          <w:b/>
          <w:color w:val="auto"/>
          <w:sz w:val="32"/>
          <w:szCs w:val="20"/>
          <w:highlight w:val="none"/>
        </w:rPr>
        <w:t>一、总则</w:t>
      </w:r>
    </w:p>
    <w:p w14:paraId="3F348576">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3CFE8A20">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5760ED7F">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3359830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“采购人”系指竞争性磋商公告中载明的本项目的采购人。</w:t>
      </w:r>
    </w:p>
    <w:p w14:paraId="5DC3B81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“采购代理机构”系指竞争性磋商公告中载明的本项目的采购代理机构。</w:t>
      </w:r>
    </w:p>
    <w:p w14:paraId="40724A4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“供应商”系指是指提交响应文件和报价、参与竞争性磋商采购活动的法人、其他组织或者自然人。</w:t>
      </w:r>
    </w:p>
    <w:p w14:paraId="61ECDB0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403E650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1056183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24D4E0B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2" w:char="0052"/>
              </w:r>
            </w:sdtContent>
          </w:sdt>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205095293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系指不适用本项目的要求，“※”系指磋商过程中可能实质性变动的内容。</w:t>
      </w:r>
    </w:p>
    <w:p w14:paraId="3857271E">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1A69E36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7617A19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55C7EDEE">
      <w:pPr>
        <w:snapToGrid w:val="0"/>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5FA09A9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23F7103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5694DB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B75743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3E58D1D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DEE2D5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2EB67AB3">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在政府采购活动中，供应商提供的工程符合下列情形的，享受中小企业扶持政策：</w:t>
      </w:r>
      <w:r>
        <w:rPr>
          <w:rFonts w:hint="eastAsia" w:ascii="仿宋" w:hAnsi="仿宋" w:eastAsia="仿宋" w:cs="仿宋"/>
          <w:color w:val="auto"/>
          <w:sz w:val="24"/>
          <w:highlight w:val="none"/>
        </w:rPr>
        <w:t>在工程采购项目中，工程由中小企业承建，即工程施工单位为中小企业</w:t>
      </w:r>
      <w:r>
        <w:rPr>
          <w:rFonts w:hint="eastAsia" w:ascii="仿宋" w:hAnsi="仿宋" w:eastAsia="仿宋" w:cs="仿宋"/>
          <w:color w:val="auto"/>
          <w:kern w:val="0"/>
          <w:sz w:val="24"/>
          <w:highlight w:val="none"/>
        </w:rPr>
        <w:t>。</w:t>
      </w:r>
    </w:p>
    <w:p w14:paraId="751738CA">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07F5D98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6"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6"/>
      <w:r>
        <w:rPr>
          <w:rFonts w:hint="eastAsia" w:ascii="仿宋" w:hAnsi="仿宋" w:eastAsia="仿宋" w:cs="仿宋"/>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57569EC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7AAC9DA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C52A42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0F54441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6B8287A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1863FA7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4100BE9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AB540D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3.4.3 采购人应当贯彻落实知识产权保护相关法律法规，应当采购使用正版软件。</w:t>
      </w:r>
    </w:p>
    <w:p w14:paraId="70CFE33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572D146D">
      <w:pPr>
        <w:snapToGrid w:val="0"/>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询问、质疑、投诉、补偿救济</w:t>
      </w:r>
    </w:p>
    <w:p w14:paraId="38C152B0">
      <w:pPr>
        <w:pStyle w:val="888"/>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rPr>
        <w:t>4.1在线询问、质疑、投诉</w:t>
      </w:r>
    </w:p>
    <w:p w14:paraId="11E7A0D9">
      <w:pPr>
        <w:pStyle w:val="888"/>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BA03DA">
      <w:pPr>
        <w:autoSpaceDE w:val="0"/>
        <w:autoSpaceDN w:val="0"/>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3C27AA6D">
      <w:pPr>
        <w:autoSpaceDE w:val="0"/>
        <w:autoSpaceDN w:val="0"/>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F464166">
      <w:pPr>
        <w:autoSpaceDE w:val="0"/>
        <w:autoSpaceDN w:val="0"/>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251C1B70">
      <w:pPr>
        <w:pStyle w:val="34"/>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.1提出质疑的供应商应当是参与所质疑项目采购活动的供应商。潜在供应商已依法获取其可质疑的采购文件的，可以对该文件提出质疑。</w:t>
      </w:r>
    </w:p>
    <w:p w14:paraId="41A80952">
      <w:pPr>
        <w:pStyle w:val="34"/>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62CA901">
      <w:pPr>
        <w:pStyle w:val="5"/>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4.3.2.1对采购文件提出质疑的，质疑期限为供应商获得采购文件之日或者采购文件公告期限届满之日起计算。</w:t>
      </w:r>
    </w:p>
    <w:p w14:paraId="35CA1CBE">
      <w:pPr>
        <w:pStyle w:val="34"/>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w:t>
      </w:r>
    </w:p>
    <w:p w14:paraId="3B8ACC79">
      <w:pPr>
        <w:pStyle w:val="34"/>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4.3.2.3对采购结果提出质疑的，质疑期限自采购结果公告期限届满之日起计算。</w:t>
      </w:r>
    </w:p>
    <w:p w14:paraId="4A8E4914">
      <w:pPr>
        <w:pStyle w:val="34"/>
        <w:snapToGrid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6EED45A1">
      <w:pPr>
        <w:pStyle w:val="34"/>
        <w:snapToGrid w:val="0"/>
        <w:spacing w:line="360" w:lineRule="auto"/>
        <w:ind w:firstLine="720" w:firstLineChars="3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4.3.3.1供应商的姓名或者名称、地址、邮编、联系人及联系电话；</w:t>
      </w:r>
    </w:p>
    <w:p w14:paraId="201096AD">
      <w:pPr>
        <w:pStyle w:val="34"/>
        <w:snapToGrid w:val="0"/>
        <w:spacing w:line="360" w:lineRule="auto"/>
        <w:ind w:firstLine="720" w:firstLineChars="3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4.3.3.2质疑项目的名称、编号；</w:t>
      </w:r>
    </w:p>
    <w:p w14:paraId="69A46E44">
      <w:pPr>
        <w:pStyle w:val="34"/>
        <w:snapToGrid w:val="0"/>
        <w:spacing w:line="360" w:lineRule="auto"/>
        <w:ind w:firstLine="720" w:firstLineChars="3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4.3.3.3具体、明确的质疑事项和与质疑事项相关的请求；</w:t>
      </w:r>
    </w:p>
    <w:p w14:paraId="255E8404">
      <w:pPr>
        <w:pStyle w:val="34"/>
        <w:snapToGrid w:val="0"/>
        <w:spacing w:line="360" w:lineRule="auto"/>
        <w:ind w:firstLine="720" w:firstLineChars="3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4.3.3.4事实依据；</w:t>
      </w:r>
    </w:p>
    <w:p w14:paraId="65665EDA">
      <w:pPr>
        <w:pStyle w:val="34"/>
        <w:snapToGrid w:val="0"/>
        <w:spacing w:line="360" w:lineRule="auto"/>
        <w:ind w:firstLine="720" w:firstLineChars="3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4.3.3.5必要的法律依据；</w:t>
      </w:r>
    </w:p>
    <w:p w14:paraId="54EA3E6A">
      <w:pPr>
        <w:pStyle w:val="34"/>
        <w:snapToGrid w:val="0"/>
        <w:spacing w:line="360" w:lineRule="auto"/>
        <w:ind w:firstLine="720" w:firstLineChars="3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4F355797">
      <w:pPr>
        <w:pStyle w:val="888"/>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8CF9678">
      <w:pPr>
        <w:pStyle w:val="888"/>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4D3B4EFF">
      <w:pPr>
        <w:pStyle w:val="888"/>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720EC3AC">
      <w:pPr>
        <w:pStyle w:val="888"/>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D4400A3">
      <w:pPr>
        <w:pStyle w:val="888"/>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58DC2905">
      <w:pPr>
        <w:pStyle w:val="888"/>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25D8D6DE">
      <w:pPr>
        <w:pStyle w:val="888"/>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3E11072">
      <w:pPr>
        <w:pStyle w:val="888"/>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29499239">
      <w:pPr>
        <w:pStyle w:val="888"/>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72B7EED8">
      <w:pPr>
        <w:pStyle w:val="888"/>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4ED8F891">
      <w:pPr>
        <w:pStyle w:val="888"/>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拱墅区、富阳区政府采购项目投诉材料可寄送至浙江省政府采购行政裁决服务中心（杭州），地址：杭州市杭州市上城区清泰街549号城建综合大楼11楼，收件人：朱女士、王女士，电话：0571-87227671,0571-87800218。</w:t>
      </w:r>
    </w:p>
    <w:p w14:paraId="7E22A46A">
      <w:pPr>
        <w:pStyle w:val="888"/>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rPr>
        <w:t>4.5 补偿救济</w:t>
      </w:r>
    </w:p>
    <w:p w14:paraId="31703948">
      <w:pPr>
        <w:pStyle w:val="888"/>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rPr>
        <w:t>采购人（行政机关）因政策变化、规划调整而不履行政府采购合同的，供应商可依据《杭州市涉企补偿救济实施办法（试行）》向采购人（行政机关）提起补偿申请。</w:t>
      </w:r>
    </w:p>
    <w:p w14:paraId="49DFDE6F">
      <w:pPr>
        <w:pStyle w:val="888"/>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74D7912D">
      <w:pPr>
        <w:pStyle w:val="130"/>
        <w:snapToGrid w:val="0"/>
        <w:spacing w:before="0"/>
        <w:ind w:firstLine="360"/>
        <w:rPr>
          <w:rFonts w:ascii="仿宋" w:hAnsi="仿宋" w:eastAsia="仿宋" w:cs="仿宋"/>
          <w:color w:val="auto"/>
          <w:sz w:val="18"/>
          <w:szCs w:val="18"/>
          <w:highlight w:val="none"/>
        </w:rPr>
      </w:pPr>
    </w:p>
    <w:p w14:paraId="2736B15F">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二、采购文件的构成、澄清、修改</w:t>
      </w:r>
    </w:p>
    <w:p w14:paraId="374A19E0">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5．采购文件的构成</w:t>
      </w:r>
    </w:p>
    <w:p w14:paraId="3E355639">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采购文件包括下列文件及附件：</w:t>
      </w:r>
    </w:p>
    <w:p w14:paraId="0B1533F2">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5.1.1竞争性磋商公告；</w:t>
      </w:r>
    </w:p>
    <w:p w14:paraId="775B39CE">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5.1.2供应商须知；</w:t>
      </w:r>
    </w:p>
    <w:p w14:paraId="0CAACCE2">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04E5852C">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5.1.4评审办法；</w:t>
      </w:r>
    </w:p>
    <w:p w14:paraId="61AEF6A6">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014C8ED1">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25B24C8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澄清或者修改的内容为采购文件的组成部分</w:t>
      </w:r>
      <w:r>
        <w:rPr>
          <w:rFonts w:hint="eastAsia" w:ascii="仿宋" w:hAnsi="仿宋" w:eastAsia="仿宋" w:cs="仿宋"/>
          <w:color w:val="auto"/>
          <w:sz w:val="24"/>
          <w:highlight w:val="none"/>
        </w:rPr>
        <w:t>。</w:t>
      </w:r>
    </w:p>
    <w:p w14:paraId="6DE211E4">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采购文件的澄清、修改</w:t>
      </w:r>
    </w:p>
    <w:p w14:paraId="54557229">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6.1已获取采购文件的潜在供应商，若有问题需要澄清，应于响应文件提交（上传）截止时间前，以书面形式向采购代理机构提出。</w:t>
      </w:r>
    </w:p>
    <w:p w14:paraId="0F02DC6F">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2837E7A1">
      <w:pPr>
        <w:pStyle w:val="23"/>
        <w:rPr>
          <w:rFonts w:ascii="仿宋" w:hAnsi="仿宋" w:eastAsia="仿宋" w:cs="仿宋"/>
          <w:color w:val="auto"/>
          <w:sz w:val="18"/>
          <w:szCs w:val="18"/>
          <w:highlight w:val="none"/>
          <w:lang w:val="en-US"/>
        </w:rPr>
      </w:pPr>
    </w:p>
    <w:p w14:paraId="2B71AB00">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三、提交响应文件</w:t>
      </w:r>
    </w:p>
    <w:p w14:paraId="585383BF">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采购文件的获取</w:t>
      </w:r>
    </w:p>
    <w:p w14:paraId="5F0977C9">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详见竞争性磋商公告中获取采购文件的时间期限、地点、方式及采购文件售价。</w:t>
      </w:r>
    </w:p>
    <w:p w14:paraId="3D2A71C6">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8.磋商前答疑会或现场考察</w:t>
      </w:r>
    </w:p>
    <w:p w14:paraId="2EE6ACD1">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采购人组织潜在供应商现场考察或者召开磋商前答疑会的，潜在供应商按第二部分供应商须知前附表的规定参加现场考察或者磋商前答疑会。</w:t>
      </w:r>
    </w:p>
    <w:p w14:paraId="7941CC7F">
      <w:pPr>
        <w:pStyle w:val="34"/>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9.磋商保证金</w:t>
      </w:r>
    </w:p>
    <w:p w14:paraId="65329426">
      <w:pPr>
        <w:pStyle w:val="5"/>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本项目不需缴纳磋商保证金。</w:t>
      </w:r>
    </w:p>
    <w:p w14:paraId="7B5268F9">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响应文件的语言</w:t>
      </w:r>
    </w:p>
    <w:p w14:paraId="2E9408C8">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响应文件及供应商与采购有关的来往通知、函件和文件均应使用中文。</w:t>
      </w:r>
    </w:p>
    <w:p w14:paraId="06FFEE88">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响应文件的组成</w:t>
      </w:r>
    </w:p>
    <w:p w14:paraId="609C8DC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482315C8">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68269230">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w:t>
      </w:r>
      <w:bookmarkStart w:id="17" w:name="_Hlk101259339"/>
      <w:r>
        <w:rPr>
          <w:rFonts w:hint="eastAsia" w:ascii="仿宋" w:hAnsi="仿宋" w:eastAsia="仿宋" w:cs="仿宋"/>
          <w:snapToGrid w:val="0"/>
          <w:color w:val="auto"/>
          <w:kern w:val="28"/>
          <w:sz w:val="24"/>
          <w:szCs w:val="20"/>
          <w:highlight w:val="none"/>
        </w:rPr>
        <w:t>联合协议</w:t>
      </w:r>
      <w:bookmarkStart w:id="18" w:name="_Hlk101257010"/>
      <w:r>
        <w:rPr>
          <w:rFonts w:hint="eastAsia" w:ascii="仿宋" w:hAnsi="仿宋" w:eastAsia="仿宋" w:cs="仿宋"/>
          <w:snapToGrid w:val="0"/>
          <w:color w:val="auto"/>
          <w:kern w:val="28"/>
          <w:sz w:val="24"/>
          <w:szCs w:val="20"/>
          <w:highlight w:val="none"/>
        </w:rPr>
        <w:t>（如果有)</w:t>
      </w:r>
      <w:bookmarkEnd w:id="17"/>
      <w:bookmarkEnd w:id="18"/>
      <w:r>
        <w:rPr>
          <w:rFonts w:hint="eastAsia" w:ascii="仿宋" w:hAnsi="仿宋" w:eastAsia="仿宋" w:cs="仿宋"/>
          <w:snapToGrid w:val="0"/>
          <w:color w:val="auto"/>
          <w:kern w:val="28"/>
          <w:sz w:val="24"/>
          <w:szCs w:val="20"/>
          <w:highlight w:val="none"/>
        </w:rPr>
        <w:t>；</w:t>
      </w:r>
    </w:p>
    <w:p w14:paraId="40693A2E">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p>
    <w:p w14:paraId="6FE84AC0">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p>
    <w:p w14:paraId="25206322">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5B5B5115">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11.2.1响应函；</w:t>
      </w:r>
    </w:p>
    <w:p w14:paraId="01167394">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73195EA0">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14:paraId="3BE35346">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1FFDFA15">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11.2.5评审标准相应的商务技术资料；</w:t>
      </w:r>
    </w:p>
    <w:p w14:paraId="531D4EB0">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11.2.6商务技术偏离表；</w:t>
      </w:r>
    </w:p>
    <w:p w14:paraId="7822025A">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p>
    <w:p w14:paraId="15A4578E">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rPr>
        <w:t>11.2.8承诺书</w:t>
      </w:r>
      <w:r>
        <w:rPr>
          <w:rFonts w:hint="eastAsia" w:ascii="仿宋" w:hAnsi="仿宋" w:eastAsia="仿宋" w:cs="仿宋"/>
          <w:color w:val="auto"/>
          <w:sz w:val="24"/>
          <w:highlight w:val="none"/>
          <w:lang w:val="zh-CN"/>
        </w:rPr>
        <w:t>；</w:t>
      </w:r>
    </w:p>
    <w:p w14:paraId="7CBA559D">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14:paraId="3A3DF50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11.3.1报价单；</w:t>
      </w:r>
    </w:p>
    <w:p w14:paraId="67B1AB4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11.3.2已标价工程量清单；</w:t>
      </w:r>
    </w:p>
    <w:p w14:paraId="4A40D7E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 报价情况说明（如供应商报价低于项目预算50%的，应当提交本文档，详细阐述不影响产品质量或者诚信履约的具体原因）。</w:t>
      </w:r>
    </w:p>
    <w:p w14:paraId="68F6D1FE">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响应文件含有采购人不能接受的附加条件的，响应文件无效；</w:t>
      </w:r>
    </w:p>
    <w:p w14:paraId="2B846DDD">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供应商提供虚假材料的，响应文件无效。</w:t>
      </w:r>
    </w:p>
    <w:p w14:paraId="40B92F14">
      <w:pPr>
        <w:spacing w:line="360" w:lineRule="auto"/>
        <w:ind w:firstLine="720" w:firstLineChars="300"/>
        <w:rPr>
          <w:rFonts w:ascii="仿宋" w:hAnsi="仿宋" w:eastAsia="仿宋" w:cs="仿宋"/>
          <w:b/>
          <w:color w:val="auto"/>
          <w:sz w:val="24"/>
          <w:highlight w:val="none"/>
        </w:rPr>
      </w:pPr>
      <w:r>
        <w:rPr>
          <w:rFonts w:hint="eastAsia" w:ascii="仿宋" w:hAnsi="仿宋" w:eastAsia="仿宋" w:cs="仿宋"/>
          <w:color w:val="auto"/>
          <w:sz w:val="24"/>
          <w:highlight w:val="none"/>
        </w:rPr>
        <w:t>供应商应对响应文件中材料的真实性、合法性负责。</w:t>
      </w:r>
    </w:p>
    <w:p w14:paraId="4020442B">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12. 响应文件的编制</w:t>
      </w:r>
    </w:p>
    <w:p w14:paraId="55456068">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64DCC825">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4D9DACE6">
      <w:pPr>
        <w:snapToGrid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B041019">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13.响应文件的签署、盖章</w:t>
      </w:r>
    </w:p>
    <w:p w14:paraId="6502561C">
      <w:pPr>
        <w:pStyle w:val="130"/>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13.1响应文件按照采购文件第六部分格式要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▲供应商的响应文件未按照采购文件要求签署、盖章的，其响应文件无效</w:t>
      </w:r>
      <w:r>
        <w:rPr>
          <w:rFonts w:hint="eastAsia" w:ascii="仿宋" w:hAnsi="仿宋" w:eastAsia="仿宋" w:cs="仿宋"/>
          <w:color w:val="auto"/>
          <w:szCs w:val="24"/>
          <w:highlight w:val="none"/>
        </w:rPr>
        <w:t>。</w:t>
      </w:r>
    </w:p>
    <w:p w14:paraId="0B09EA69">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251CBC75">
      <w:pPr>
        <w:pStyle w:val="13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13.3采购文件对响应文件签署、盖章的要求适用于电子签名。</w:t>
      </w:r>
    </w:p>
    <w:p w14:paraId="1E5D6FF3">
      <w:pPr>
        <w:pStyle w:val="130"/>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 响应文件的提交、补充、修改、撤回</w:t>
      </w:r>
    </w:p>
    <w:p w14:paraId="1E1FB7DC">
      <w:pPr>
        <w:pStyle w:val="13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5C8C8F3D">
      <w:pPr>
        <w:pStyle w:val="13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62015F8F">
      <w:pPr>
        <w:pStyle w:val="13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460F7068">
      <w:pPr>
        <w:pStyle w:val="34"/>
        <w:snapToGrid w:val="0"/>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15.备份响应文件</w:t>
      </w:r>
    </w:p>
    <w:p w14:paraId="061F202B">
      <w:pPr>
        <w:pStyle w:val="34"/>
        <w:snapToGrid w:val="0"/>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ascii="仿宋" w:hAnsi="仿宋" w:eastAsia="仿宋" w:cs="仿宋"/>
          <w:b/>
          <w:color w:val="auto"/>
          <w:sz w:val="24"/>
          <w:szCs w:val="24"/>
          <w:highlight w:val="none"/>
        </w:rPr>
        <w:t>但采购人、采购代理机构不强制或变相强制供应商提交备份响应文件。</w:t>
      </w:r>
    </w:p>
    <w:p w14:paraId="2A505446">
      <w:pPr>
        <w:pStyle w:val="34"/>
        <w:snapToGrid w:val="0"/>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15.2备份响应文件须在“政采云投标客户端”制作生成，并储存在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存储、密封规定的备份响应文件将被视为无效或者被拒绝接收。</w:t>
      </w:r>
    </w:p>
    <w:p w14:paraId="17AC47F5">
      <w:pPr>
        <w:pStyle w:val="34"/>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76C8E9A1">
      <w:pPr>
        <w:pStyle w:val="34"/>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ascii="仿宋" w:hAnsi="仿宋" w:eastAsia="仿宋" w:cs="仿宋"/>
          <w:snapToGrid/>
          <w:color w:val="auto"/>
          <w:sz w:val="24"/>
          <w:szCs w:val="24"/>
          <w:highlight w:val="none"/>
        </w:rPr>
        <w:t>采购文件第二部分供应商须知前附表规定的备份响应文件送达地点；</w:t>
      </w:r>
      <w:r>
        <w:rPr>
          <w:rFonts w:hint="eastAsia" w:ascii="仿宋" w:hAnsi="仿宋" w:eastAsia="仿宋" w:cs="仿宋"/>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042F4358">
      <w:pPr>
        <w:pStyle w:val="34"/>
        <w:snapToGrid w:val="0"/>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15.5供应商仅提交备份响应文件，未在电子交易平台传输递交响应文件的，响应文件无效。</w:t>
      </w:r>
    </w:p>
    <w:p w14:paraId="1E1DE06E">
      <w:pPr>
        <w:pStyle w:val="13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16.响应文件的无效处理</w:t>
      </w:r>
    </w:p>
    <w:p w14:paraId="60395800">
      <w:pPr>
        <w:pStyle w:val="26"/>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有采购文件第四部分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的情形之一的，响应文件无效：</w:t>
      </w:r>
    </w:p>
    <w:p w14:paraId="4B72DBBC">
      <w:pPr>
        <w:pStyle w:val="13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17.响应文件有效期</w:t>
      </w:r>
    </w:p>
    <w:p w14:paraId="7BACBAE4">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17.1响应文件有效期为从提交响应文件的截止之日起90天。▲</w:t>
      </w:r>
      <w:r>
        <w:rPr>
          <w:rFonts w:hint="eastAsia" w:ascii="仿宋" w:hAnsi="仿宋" w:eastAsia="仿宋" w:cs="仿宋"/>
          <w:b/>
          <w:color w:val="auto"/>
          <w:sz w:val="24"/>
          <w:szCs w:val="20"/>
          <w:highlight w:val="none"/>
        </w:rPr>
        <w:t>供应商的响应文件中承</w:t>
      </w:r>
      <w:r>
        <w:rPr>
          <w:rFonts w:hint="eastAsia" w:ascii="仿宋" w:hAnsi="仿宋" w:eastAsia="仿宋" w:cs="仿宋"/>
          <w:b/>
          <w:color w:val="auto"/>
          <w:sz w:val="24"/>
          <w:szCs w:val="21"/>
          <w:highlight w:val="none"/>
        </w:rPr>
        <w:t>诺的响应文件有效期少于采购文件中载明的响应文件有效期的，响应文件无效。</w:t>
      </w:r>
    </w:p>
    <w:p w14:paraId="4BB50D31">
      <w:pPr>
        <w:pStyle w:val="130"/>
        <w:spacing w:before="0"/>
        <w:ind w:firstLine="480"/>
        <w:rPr>
          <w:rFonts w:ascii="仿宋" w:hAnsi="仿宋" w:eastAsia="仿宋" w:cs="仿宋"/>
          <w:color w:val="auto"/>
          <w:highlight w:val="none"/>
        </w:rPr>
      </w:pPr>
      <w:r>
        <w:rPr>
          <w:rFonts w:hint="eastAsia" w:ascii="仿宋" w:hAnsi="仿宋" w:eastAsia="仿宋" w:cs="仿宋"/>
          <w:color w:val="auto"/>
          <w:highlight w:val="none"/>
        </w:rPr>
        <w:t>17.2响应文件合格投递后，自响应文件提交截止时间起，在响应文件有效期内有效。</w:t>
      </w:r>
    </w:p>
    <w:p w14:paraId="3F5AEBCB">
      <w:pPr>
        <w:pStyle w:val="130"/>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72F0FFF7">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四、响应文件开启、资格审查与信用信息查询</w:t>
      </w:r>
    </w:p>
    <w:p w14:paraId="14196051">
      <w:pPr>
        <w:pStyle w:val="556"/>
        <w:spacing w:before="0" w:line="360" w:lineRule="auto"/>
        <w:ind w:left="0" w:firstLine="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18.响应文件开启</w:t>
      </w:r>
    </w:p>
    <w:p w14:paraId="735C428A">
      <w:pPr>
        <w:pStyle w:val="556"/>
        <w:snapToGrid w:val="0"/>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18.1采购代理机构按照采购文件规定的时间通过电子交易平台组织响应文件开启，所有供应商均应当准时在线参加。供应商不足3家的，不得开启。</w:t>
      </w:r>
    </w:p>
    <w:p w14:paraId="64E5D0C2">
      <w:pPr>
        <w:pStyle w:val="556"/>
        <w:snapToGrid w:val="0"/>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14:paraId="681647F9">
      <w:pPr>
        <w:pStyle w:val="556"/>
        <w:snapToGrid w:val="0"/>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bCs/>
          <w:color w:val="auto"/>
          <w:sz w:val="24"/>
          <w:highlight w:val="none"/>
        </w:rPr>
        <w:t>响应文件未按时解密，供应商提供了备份响应文件的，以备份响应文件作为依据，否则视为响应文件撤回。响应文件已按时解密的，备份响应文件自动失效。</w:t>
      </w:r>
    </w:p>
    <w:p w14:paraId="44B07540">
      <w:pPr>
        <w:pStyle w:val="556"/>
        <w:spacing w:before="0" w:line="360" w:lineRule="auto"/>
        <w:ind w:left="0" w:firstLine="0"/>
        <w:contextualSpacing/>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19、资格审查</w:t>
      </w:r>
    </w:p>
    <w:p w14:paraId="59E13D8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采购人、采购代理机构或磋商小组依据法律法规和采购文件的规定，对供应商的资格进行审查。</w:t>
      </w:r>
    </w:p>
    <w:p w14:paraId="6F0C7CBE">
      <w:pPr>
        <w:pStyle w:val="13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19.2供应商未按照采购文件要求提供与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供应商不具备采购文件中规定的资格要求，其响应文件无效。</w:t>
      </w:r>
    </w:p>
    <w:p w14:paraId="1BBDC82F">
      <w:pPr>
        <w:pStyle w:val="13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3对未通过资格审查的供应商，采购人或采购代理机构告知其未通过的原因。</w:t>
      </w:r>
    </w:p>
    <w:p w14:paraId="78E22EF3">
      <w:pPr>
        <w:pStyle w:val="13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4合格供应商不足3家的，不再评审。</w:t>
      </w:r>
    </w:p>
    <w:p w14:paraId="6480EA51">
      <w:pPr>
        <w:pStyle w:val="130"/>
        <w:spacing w:before="0"/>
        <w:ind w:firstLine="480"/>
        <w:rPr>
          <w:rFonts w:ascii="仿宋" w:hAnsi="仿宋" w:eastAsia="仿宋" w:cs="仿宋"/>
          <w:color w:val="auto"/>
          <w:highlight w:val="none"/>
        </w:rPr>
      </w:pPr>
      <w:r>
        <w:rPr>
          <w:rFonts w:hint="eastAsia" w:ascii="仿宋" w:hAnsi="仿宋" w:eastAsia="仿宋" w:cs="仿宋"/>
          <w:color w:val="auto"/>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9C212B5">
      <w:pPr>
        <w:pStyle w:val="13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02B8D7C5">
      <w:pPr>
        <w:pStyle w:val="13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3863965F">
      <w:pPr>
        <w:pStyle w:val="13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20.2信用信息查询记录和证据留存的具体方式：现场查询的供应商的信用记录、查询结果经确认后将与采购文件一起存档。</w:t>
      </w:r>
    </w:p>
    <w:p w14:paraId="03618E9B">
      <w:pPr>
        <w:pStyle w:val="13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587A8A26">
      <w:pPr>
        <w:pStyle w:val="13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72FAA06B">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五、评审</w:t>
      </w:r>
    </w:p>
    <w:p w14:paraId="20E941B4">
      <w:pPr>
        <w:spacing w:line="360" w:lineRule="auto"/>
        <w:rPr>
          <w:rFonts w:ascii="仿宋" w:hAnsi="仿宋" w:eastAsia="仿宋" w:cs="仿宋"/>
          <w:b/>
          <w:color w:val="auto"/>
          <w:sz w:val="24"/>
          <w:highlight w:val="none"/>
        </w:rPr>
      </w:pPr>
      <w:bookmarkStart w:id="19" w:name="_Toc91899903"/>
      <w:r>
        <w:rPr>
          <w:rFonts w:hint="eastAsia" w:ascii="仿宋" w:hAnsi="仿宋" w:eastAsia="仿宋" w:cs="仿宋"/>
          <w:b/>
          <w:color w:val="auto"/>
          <w:sz w:val="24"/>
          <w:highlight w:val="none"/>
        </w:rPr>
        <w:t>21.磋商小组由采购人代表1人和政府采购咨询专家2人组成。其中政府采购咨询专家通过浙江政府采购网-政企云系统相关专业随机抽取产生。</w:t>
      </w:r>
      <w:r>
        <w:rPr>
          <w:rFonts w:hint="eastAsia" w:ascii="仿宋" w:hAnsi="仿宋" w:eastAsia="仿宋" w:cs="仿宋"/>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仿宋" w:hAnsi="仿宋" w:eastAsia="仿宋" w:cs="仿宋"/>
          <w:b/>
          <w:color w:val="auto"/>
          <w:sz w:val="24"/>
          <w:highlight w:val="none"/>
        </w:rPr>
        <w:t>详见采购文件第四部分评审办法。</w:t>
      </w:r>
    </w:p>
    <w:p w14:paraId="79000A7F">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六、成交供应商确定</w:t>
      </w:r>
    </w:p>
    <w:p w14:paraId="13580485">
      <w:pPr>
        <w:pStyle w:val="26"/>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 确定成交供应商</w:t>
      </w:r>
    </w:p>
    <w:p w14:paraId="030975B3">
      <w:pPr>
        <w:pStyle w:val="130"/>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9034001">
      <w:pPr>
        <w:pStyle w:val="130"/>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 成交通知与成交结果公告</w:t>
      </w:r>
    </w:p>
    <w:p w14:paraId="3A42114B">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23.1自成交供应商确定之日起1个工作日内，采购代理机构通过电子交易平台向成交供应商发出成交通知书，同时编制发布采购结果公告。采购代理机构也可以以纸质形式进行成交通知。</w:t>
      </w:r>
    </w:p>
    <w:p w14:paraId="5D0CB9A2">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成交人中小企业声明函。</w:t>
      </w:r>
    </w:p>
    <w:p w14:paraId="30F22435">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5192AF11">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23.4由于成交供应商原因导致重新采购的，应当承担支付代理费和专家评审费等费用在内的赔偿责任。</w:t>
      </w:r>
    </w:p>
    <w:p w14:paraId="66161B08">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七、合同授予</w:t>
      </w:r>
    </w:p>
    <w:p w14:paraId="0D9077C2">
      <w:pPr>
        <w:pStyle w:val="26"/>
        <w:snapToGrid w:val="0"/>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56229172">
      <w:pPr>
        <w:pStyle w:val="26"/>
        <w:snapToGrid w:val="0"/>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 合同的签订</w:t>
      </w:r>
    </w:p>
    <w:p w14:paraId="163AF7A8">
      <w:pPr>
        <w:widowControl/>
        <w:shd w:val="clear" w:color="auto" w:fill="FFFFFF"/>
        <w:snapToGrid w:val="0"/>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427C2CF4">
      <w:pPr>
        <w:pStyle w:val="130"/>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4E431EA9">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3D9880DA">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0BDB8EDE">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25.5采购合同由采购人与成交供应商根据采购文件、响应文件等内容通过政府采购电子交易平台在线签订，自动备案。</w:t>
      </w:r>
    </w:p>
    <w:p w14:paraId="02EAD50B">
      <w:pPr>
        <w:pStyle w:val="26"/>
        <w:snapToGrid w:val="0"/>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 履约保证金</w:t>
      </w:r>
    </w:p>
    <w:p w14:paraId="0F53161C">
      <w:pPr>
        <w:tabs>
          <w:tab w:val="left" w:pos="0"/>
        </w:tabs>
        <w:snapToGrid w:val="0"/>
        <w:spacing w:line="360" w:lineRule="auto"/>
        <w:ind w:firstLine="482"/>
        <w:rPr>
          <w:rFonts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缴纳比例为合同金额的1%，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14:paraId="7484500F">
      <w:pPr>
        <w:tabs>
          <w:tab w:val="left" w:pos="0"/>
        </w:tabs>
        <w:snapToGrid w:val="0"/>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7786CF6">
      <w:pPr>
        <w:pStyle w:val="26"/>
        <w:snapToGrid w:val="0"/>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27.预付款</w:t>
      </w:r>
    </w:p>
    <w:p w14:paraId="1F74BEC6">
      <w:pPr>
        <w:adjustRightInd/>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35B023C">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八、电子交易活动的中止</w:t>
      </w:r>
    </w:p>
    <w:p w14:paraId="4C52FA63">
      <w:pPr>
        <w:pStyle w:val="130"/>
        <w:snapToGrid w:val="0"/>
        <w:spacing w:before="0"/>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25B0919A">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38EA0300">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619D6CDA">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7EE0DE67">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0FB9A1CB">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651A3626">
      <w:pPr>
        <w:pStyle w:val="130"/>
        <w:snapToGrid w:val="0"/>
        <w:spacing w:before="0"/>
        <w:ind w:firstLine="0" w:firstLineChars="0"/>
        <w:rPr>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A78E109">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九、验收</w:t>
      </w:r>
    </w:p>
    <w:p w14:paraId="028CCEC1">
      <w:pPr>
        <w:pStyle w:val="26"/>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30.验收</w:t>
      </w:r>
    </w:p>
    <w:p w14:paraId="5B7FD330">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0326CE0">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30.2采购人可以邀请参加本项目的其他供应商或者第三方机构参与验收。参与验收的供应商或者第三方机构的意见作为验收书的参考资料一并存档。</w:t>
      </w:r>
    </w:p>
    <w:p w14:paraId="6CEC29C3">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30.3采购人按照《房屋建筑和市政基础设施工程竣工验收规定》（建质〔2013〕171号）、《关于贯彻《房屋建筑和市政基础设施工程竣工验收规定》的通知》(杭建工发【2015】192号)规定组织对中标人履约的验收。验收方成员由采购人1人、设计1人、监理1人、政府采购咨询专家2人，共5人组成（其中政府采购咨询专家通过浙江政府采购网-政企云系统相关专业随机抽取产生），验收方成员应当在验收书上签字，并承担相应的法律责任。如果发现与合同中要求不符，供应商须承担由此发生的一切损失和费用，并接受相应的处理。</w:t>
      </w:r>
    </w:p>
    <w:p w14:paraId="6054A11E">
      <w:pPr>
        <w:tabs>
          <w:tab w:val="left" w:pos="0"/>
        </w:tabs>
        <w:spacing w:line="360" w:lineRule="auto"/>
        <w:ind w:firstLine="480"/>
        <w:rPr>
          <w:rFonts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3967E9D5">
      <w:pPr>
        <w:tabs>
          <w:tab w:val="left" w:pos="0"/>
        </w:tabs>
        <w:spacing w:line="360" w:lineRule="auto"/>
        <w:ind w:firstLine="480"/>
        <w:rPr>
          <w:rFonts w:ascii="仿宋" w:hAnsi="仿宋" w:eastAsia="仿宋" w:cs="仿宋"/>
          <w:color w:val="auto"/>
          <w:kern w:val="0"/>
          <w:sz w:val="24"/>
          <w:highlight w:val="none"/>
        </w:rPr>
        <w:sectPr>
          <w:headerReference r:id="rId9" w:type="first"/>
          <w:footerReference r:id="rId11" w:type="first"/>
          <w:headerReference r:id="rId8" w:type="default"/>
          <w:footerReference r:id="rId10" w:type="default"/>
          <w:pgSz w:w="11906" w:h="16838"/>
          <w:pgMar w:top="1440" w:right="1080" w:bottom="1440" w:left="1080" w:header="851" w:footer="992" w:gutter="0"/>
          <w:cols w:space="720" w:num="1"/>
          <w:titlePg/>
          <w:docGrid w:linePitch="312" w:charSpace="0"/>
        </w:sectPr>
      </w:pPr>
      <w:bookmarkStart w:id="20" w:name="_Hlt68072990"/>
      <w:bookmarkEnd w:id="20"/>
      <w:bookmarkStart w:id="21" w:name="_Hlt75236101"/>
      <w:bookmarkEnd w:id="21"/>
      <w:bookmarkStart w:id="22" w:name="_Hlt68057669"/>
      <w:bookmarkEnd w:id="22"/>
      <w:bookmarkStart w:id="23" w:name="_Hlt68403820"/>
      <w:bookmarkEnd w:id="23"/>
      <w:bookmarkStart w:id="24" w:name="_Hlt74730295"/>
      <w:bookmarkEnd w:id="24"/>
      <w:bookmarkStart w:id="25" w:name="_Hlt74714665"/>
      <w:bookmarkEnd w:id="25"/>
      <w:bookmarkStart w:id="26" w:name="_Hlt75236290"/>
      <w:bookmarkEnd w:id="26"/>
      <w:bookmarkStart w:id="27" w:name="_Hlt74707468"/>
      <w:bookmarkEnd w:id="27"/>
      <w:bookmarkStart w:id="28" w:name="_Hlt68073093"/>
      <w:bookmarkEnd w:id="28"/>
      <w:bookmarkStart w:id="29" w:name="_Hlt74729768"/>
      <w:bookmarkEnd w:id="29"/>
      <w:bookmarkStart w:id="30" w:name="_Hlt75236011"/>
      <w:bookmarkEnd w:id="30"/>
      <w:bookmarkStart w:id="31" w:name="_Hlt68072998"/>
      <w:bookmarkEnd w:id="31"/>
      <w:r>
        <w:rPr>
          <w:rFonts w:hint="eastAsia" w:ascii="仿宋" w:hAnsi="仿宋" w:eastAsia="仿宋" w:cs="仿宋"/>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4"/>
    <w:bookmarkEnd w:id="15"/>
    <w:p w14:paraId="726DE3EF">
      <w:pPr>
        <w:adjustRightInd/>
        <w:spacing w:line="360" w:lineRule="auto"/>
        <w:jc w:val="center"/>
        <w:outlineLvl w:val="0"/>
        <w:rPr>
          <w:rFonts w:ascii="仿宋" w:hAnsi="仿宋" w:eastAsia="仿宋" w:cs="仿宋"/>
          <w:b/>
          <w:color w:val="auto"/>
          <w:sz w:val="36"/>
          <w:szCs w:val="20"/>
          <w:highlight w:val="none"/>
        </w:rPr>
      </w:pPr>
      <w:bookmarkStart w:id="32" w:name="第四部分"/>
      <w:r>
        <w:rPr>
          <w:rFonts w:hint="eastAsia" w:ascii="仿宋" w:hAnsi="仿宋" w:eastAsia="仿宋" w:cs="仿宋"/>
          <w:b/>
          <w:color w:val="auto"/>
          <w:sz w:val="36"/>
          <w:szCs w:val="20"/>
          <w:highlight w:val="none"/>
        </w:rPr>
        <w:t>第三部分 采购需求</w:t>
      </w:r>
    </w:p>
    <w:p w14:paraId="0D885D0C">
      <w:pPr>
        <w:snapToGrid w:val="0"/>
        <w:spacing w:line="360" w:lineRule="auto"/>
        <w:ind w:firstLine="241" w:firstLineChars="100"/>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（一）项目概况：</w:t>
      </w:r>
    </w:p>
    <w:p w14:paraId="79C57EB7">
      <w:pPr>
        <w:snapToGrid w:val="0"/>
        <w:spacing w:line="360" w:lineRule="auto"/>
        <w:ind w:firstLine="420"/>
        <w:rPr>
          <w:rFonts w:ascii="仿宋" w:hAnsi="仿宋" w:eastAsia="仿宋" w:cs="仿宋"/>
          <w:color w:val="auto"/>
          <w:sz w:val="24"/>
          <w:highlight w:val="none"/>
          <w:u w:val="single"/>
        </w:rPr>
      </w:pPr>
      <w:r>
        <w:rPr>
          <w:rFonts w:hint="eastAsia" w:ascii="仿宋" w:hAnsi="仿宋" w:eastAsia="仿宋" w:cs="仿宋"/>
          <w:b w:val="0"/>
          <w:bCs/>
          <w:color w:val="auto"/>
          <w:sz w:val="24"/>
          <w:highlight w:val="none"/>
        </w:rPr>
        <w:t>完成</w:t>
      </w:r>
      <w:r>
        <w:rPr>
          <w:rFonts w:hint="eastAsia" w:ascii="仿宋" w:hAnsi="仿宋" w:eastAsia="仿宋" w:cs="仿宋"/>
          <w:b w:val="0"/>
          <w:bCs/>
          <w:color w:val="auto"/>
          <w:sz w:val="24"/>
          <w:highlight w:val="none"/>
          <w:lang w:val="en-US" w:eastAsia="zh-CN"/>
        </w:rPr>
        <w:t>杭州市强制隔离戒毒所消防整改项目</w:t>
      </w:r>
      <w:r>
        <w:rPr>
          <w:rFonts w:hint="eastAsia" w:ascii="仿宋" w:hAnsi="仿宋" w:eastAsia="仿宋" w:cs="仿宋"/>
          <w:b w:val="0"/>
          <w:bCs/>
          <w:color w:val="auto"/>
          <w:sz w:val="24"/>
          <w:highlight w:val="none"/>
        </w:rPr>
        <w:t>，通过</w:t>
      </w:r>
      <w:r>
        <w:rPr>
          <w:rFonts w:hint="eastAsia" w:ascii="仿宋" w:hAnsi="仿宋" w:eastAsia="仿宋" w:cs="仿宋"/>
          <w:b w:val="0"/>
          <w:bCs/>
          <w:color w:val="auto"/>
          <w:sz w:val="24"/>
          <w:highlight w:val="none"/>
          <w:lang w:val="en-US" w:eastAsia="zh-CN"/>
        </w:rPr>
        <w:t>第三方技术服务机构</w:t>
      </w:r>
      <w:r>
        <w:rPr>
          <w:rFonts w:hint="eastAsia" w:ascii="仿宋" w:hAnsi="仿宋" w:eastAsia="仿宋" w:cs="仿宋"/>
          <w:b w:val="0"/>
          <w:bCs/>
          <w:color w:val="auto"/>
          <w:sz w:val="24"/>
          <w:highlight w:val="none"/>
        </w:rPr>
        <w:t>确认。</w:t>
      </w:r>
      <w:r>
        <w:rPr>
          <w:rFonts w:hint="eastAsia" w:ascii="仿宋" w:hAnsi="仿宋" w:eastAsia="仿宋" w:cs="仿宋"/>
          <w:b w:val="0"/>
          <w:bCs/>
          <w:color w:val="auto"/>
          <w:sz w:val="24"/>
          <w:highlight w:val="none"/>
          <w:lang w:val="en-US" w:eastAsia="zh-CN"/>
        </w:rPr>
        <w:t>本项目</w:t>
      </w:r>
      <w:r>
        <w:rPr>
          <w:rFonts w:hint="eastAsia" w:ascii="仿宋" w:hAnsi="仿宋" w:eastAsia="仿宋" w:cs="仿宋"/>
          <w:b w:val="0"/>
          <w:bCs/>
          <w:color w:val="auto"/>
          <w:sz w:val="24"/>
          <w:highlight w:val="none"/>
          <w:lang w:eastAsia="zh-CN"/>
        </w:rPr>
        <w:t>主要涉及</w:t>
      </w:r>
      <w:r>
        <w:rPr>
          <w:rFonts w:hint="eastAsia" w:ascii="仿宋" w:hAnsi="仿宋" w:eastAsia="仿宋" w:cs="仿宋"/>
          <w:b w:val="0"/>
          <w:bCs/>
          <w:color w:val="auto"/>
          <w:sz w:val="24"/>
          <w:highlight w:val="none"/>
          <w:lang w:val="en-US" w:eastAsia="zh-CN"/>
        </w:rPr>
        <w:t>消控室、新建</w:t>
      </w:r>
      <w:r>
        <w:rPr>
          <w:rFonts w:hint="eastAsia" w:ascii="仿宋" w:hAnsi="仿宋" w:eastAsia="仿宋" w:cs="仿宋"/>
          <w:b w:val="0"/>
          <w:bCs/>
          <w:color w:val="auto"/>
          <w:sz w:val="24"/>
          <w:highlight w:val="none"/>
          <w:lang w:eastAsia="zh-CN"/>
        </w:rPr>
        <w:t>消防水池及水泵房</w:t>
      </w:r>
      <w:r>
        <w:rPr>
          <w:rFonts w:hint="eastAsia" w:ascii="仿宋" w:hAnsi="仿宋" w:eastAsia="仿宋" w:cs="仿宋"/>
          <w:b w:val="0"/>
          <w:bCs/>
          <w:color w:val="auto"/>
          <w:sz w:val="24"/>
          <w:highlight w:val="none"/>
        </w:rPr>
        <w:t>室外消火栓、火灾报警控制器（联动型）、门窗封堵改动以及增添灭火器等内容。施工改造面积约10000㎡。具体详见采购需求、施工图及工程量清单。</w:t>
      </w:r>
    </w:p>
    <w:p w14:paraId="223EB480">
      <w:pPr>
        <w:snapToGrid w:val="0"/>
        <w:spacing w:line="360" w:lineRule="auto"/>
        <w:ind w:firstLine="482" w:firstLineChars="200"/>
        <w:rPr>
          <w:rFonts w:hint="default" w:ascii="仿宋" w:hAnsi="仿宋" w:eastAsia="仿宋" w:cs="仿宋"/>
          <w:b/>
          <w:color w:val="auto"/>
          <w:sz w:val="24"/>
          <w:highlight w:val="none"/>
          <w:lang w:val="en-US" w:eastAsia="zh-CN"/>
        </w:rPr>
      </w:pPr>
      <w:r>
        <w:rPr>
          <w:rFonts w:hint="eastAsia" w:ascii="仿宋" w:hAnsi="仿宋" w:eastAsia="仿宋" w:cs="仿宋"/>
          <w:b/>
          <w:bCs/>
          <w:color w:val="auto"/>
          <w:sz w:val="24"/>
          <w:highlight w:val="none"/>
          <w:u w:val="none"/>
        </w:rPr>
        <w:t>（二）预算金额（万元）</w:t>
      </w:r>
      <w:r>
        <w:rPr>
          <w:rFonts w:hint="eastAsia" w:ascii="仿宋" w:hAnsi="仿宋" w:eastAsia="仿宋" w:cs="仿宋"/>
          <w:b/>
          <w:color w:val="auto"/>
          <w:sz w:val="24"/>
          <w:highlight w:val="none"/>
          <w:u w:val="none"/>
        </w:rPr>
        <w:t>：</w:t>
      </w:r>
      <w:r>
        <w:rPr>
          <w:rFonts w:hint="eastAsia" w:ascii="仿宋" w:hAnsi="仿宋" w:eastAsia="仿宋" w:cs="仿宋"/>
          <w:b/>
          <w:color w:val="auto"/>
          <w:sz w:val="24"/>
          <w:highlight w:val="none"/>
          <w:u w:val="none"/>
          <w:lang w:val="en-US" w:eastAsia="zh-CN"/>
        </w:rPr>
        <w:t>128.4755（其中2024年预算安排74万元）</w:t>
      </w:r>
      <w:r>
        <w:rPr>
          <w:rFonts w:hint="eastAsia" w:ascii="仿宋" w:hAnsi="仿宋" w:eastAsia="仿宋" w:cs="仿宋"/>
          <w:b/>
          <w:color w:val="auto"/>
          <w:sz w:val="24"/>
          <w:highlight w:val="none"/>
          <w:u w:val="none"/>
        </w:rPr>
        <w:t>，最高限价（万元）：</w:t>
      </w:r>
      <w:r>
        <w:rPr>
          <w:rFonts w:hint="eastAsia" w:ascii="仿宋" w:hAnsi="仿宋" w:eastAsia="仿宋" w:cs="仿宋"/>
          <w:b/>
          <w:color w:val="auto"/>
          <w:sz w:val="24"/>
          <w:highlight w:val="none"/>
          <w:u w:val="none"/>
          <w:lang w:val="en-US" w:eastAsia="zh-CN"/>
        </w:rPr>
        <w:t>128.4578</w:t>
      </w:r>
      <w:bookmarkStart w:id="1011" w:name="_GoBack"/>
      <w:bookmarkEnd w:id="1011"/>
      <w:r>
        <w:rPr>
          <w:rFonts w:hint="eastAsia" w:ascii="仿宋" w:hAnsi="仿宋" w:eastAsia="仿宋" w:cs="仿宋"/>
          <w:b/>
          <w:color w:val="auto"/>
          <w:sz w:val="24"/>
          <w:highlight w:val="none"/>
          <w:lang w:val="en-US" w:eastAsia="zh-CN"/>
        </w:rPr>
        <w:t>；</w:t>
      </w:r>
    </w:p>
    <w:p w14:paraId="7577EA51">
      <w:pPr>
        <w:spacing w:line="360"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（三）需按照的政府采购政策目标和具体支持对象：</w:t>
      </w:r>
    </w:p>
    <w:p w14:paraId="3FDEEADC">
      <w:pPr>
        <w:spacing w:line="360" w:lineRule="auto"/>
        <w:ind w:firstLine="720" w:firstLineChars="300"/>
        <w:jc w:val="left"/>
        <w:rPr>
          <w:rFonts w:ascii="仿宋" w:hAnsi="仿宋" w:eastAsia="仿宋" w:cs="仿宋"/>
          <w:color w:val="auto"/>
          <w:sz w:val="24"/>
          <w:highlight w:val="none"/>
        </w:rPr>
      </w:pPr>
      <w:r>
        <w:rPr>
          <w:rFonts w:hint="eastAsia" w:ascii="仿宋" w:hAnsi="仿宋" w:eastAsia="仿宋" w:cs="仿宋"/>
          <w:color w:val="auto"/>
          <w:sz w:val="24"/>
          <w:highlight w:val="none"/>
        </w:rPr>
        <w:sym w:font="Wingdings 2" w:char="0052"/>
      </w:r>
      <w:r>
        <w:rPr>
          <w:rFonts w:hint="eastAsia" w:ascii="仿宋" w:hAnsi="仿宋" w:eastAsia="仿宋" w:cs="仿宋"/>
          <w:color w:val="auto"/>
          <w:sz w:val="24"/>
          <w:highlight w:val="none"/>
        </w:rPr>
        <w:t>扶持中小企业（专门面向小微企业）</w:t>
      </w:r>
      <w:r>
        <w:rPr>
          <w:rFonts w:hint="eastAsia" w:ascii="仿宋" w:hAnsi="仿宋" w:eastAsia="仿宋" w:cs="仿宋"/>
          <w:color w:val="auto"/>
          <w:sz w:val="24"/>
          <w:highlight w:val="none"/>
        </w:rPr>
        <w:sym w:font="Wingdings 2" w:char="00A3"/>
      </w:r>
      <w:r>
        <w:rPr>
          <w:rFonts w:hint="eastAsia" w:ascii="仿宋" w:hAnsi="仿宋" w:eastAsia="仿宋" w:cs="仿宋"/>
          <w:color w:val="auto"/>
          <w:sz w:val="24"/>
          <w:highlight w:val="none"/>
        </w:rPr>
        <w:t>节能环保</w:t>
      </w:r>
      <w:r>
        <w:rPr>
          <w:rFonts w:hint="eastAsia" w:ascii="仿宋" w:hAnsi="仿宋" w:eastAsia="仿宋" w:cs="仿宋"/>
          <w:color w:val="auto"/>
          <w:sz w:val="24"/>
          <w:highlight w:val="none"/>
        </w:rPr>
        <w:sym w:font="Wingdings 2" w:char="00A3"/>
      </w:r>
      <w:r>
        <w:rPr>
          <w:rFonts w:hint="eastAsia" w:ascii="仿宋" w:hAnsi="仿宋" w:eastAsia="仿宋" w:cs="仿宋"/>
          <w:color w:val="auto"/>
          <w:sz w:val="24"/>
          <w:highlight w:val="none"/>
        </w:rPr>
        <w:t>其他（）</w:t>
      </w:r>
    </w:p>
    <w:p w14:paraId="033E7842">
      <w:pPr>
        <w:spacing w:line="360" w:lineRule="auto"/>
        <w:ind w:firstLine="482" w:firstLineChars="200"/>
        <w:jc w:val="left"/>
        <w:rPr>
          <w:rFonts w:ascii="仿宋" w:hAnsi="仿宋" w:eastAsia="仿宋" w:cs="仿宋"/>
          <w:color w:val="auto"/>
          <w:sz w:val="24"/>
          <w:highlight w:val="none"/>
        </w:rPr>
      </w:pPr>
      <w:r>
        <w:rPr>
          <w:rFonts w:hint="eastAsia" w:ascii="仿宋" w:hAnsi="仿宋" w:eastAsia="仿宋" w:cs="仿宋"/>
          <w:b/>
          <w:bCs/>
          <w:color w:val="auto"/>
          <w:sz w:val="24"/>
          <w:highlight w:val="none"/>
        </w:rPr>
        <w:t>（四）采购标的是否进口产品：</w:t>
      </w:r>
      <w:r>
        <w:rPr>
          <w:rFonts w:hint="eastAsia" w:ascii="仿宋" w:hAnsi="仿宋" w:eastAsia="仿宋" w:cs="仿宋"/>
          <w:color w:val="auto"/>
          <w:sz w:val="24"/>
          <w:highlight w:val="none"/>
        </w:rPr>
        <w:sym w:font="Wingdings 2" w:char="00A3"/>
      </w:r>
      <w:r>
        <w:rPr>
          <w:rFonts w:hint="eastAsia" w:ascii="仿宋" w:hAnsi="仿宋" w:eastAsia="仿宋" w:cs="仿宋"/>
          <w:color w:val="auto"/>
          <w:sz w:val="24"/>
          <w:highlight w:val="none"/>
        </w:rPr>
        <w:t xml:space="preserve">进口 </w:t>
      </w:r>
      <w:r>
        <w:rPr>
          <w:rFonts w:ascii="Segoe UI Symbol" w:hAnsi="Segoe UI Symbol" w:eastAsia="仿宋" w:cs="Segoe UI Symbol"/>
          <w:color w:val="auto"/>
          <w:sz w:val="24"/>
          <w:highlight w:val="none"/>
        </w:rPr>
        <w:t>☑</w:t>
      </w:r>
      <w:r>
        <w:rPr>
          <w:rFonts w:hint="eastAsia" w:ascii="仿宋" w:hAnsi="仿宋" w:eastAsia="仿宋" w:cs="仿宋"/>
          <w:color w:val="auto"/>
          <w:sz w:val="24"/>
          <w:highlight w:val="none"/>
        </w:rPr>
        <w:t>国产</w:t>
      </w:r>
    </w:p>
    <w:p w14:paraId="64C4599A">
      <w:pPr>
        <w:spacing w:line="360"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（五）拟采购标的的技术要求：</w:t>
      </w:r>
    </w:p>
    <w:p w14:paraId="5D02A562">
      <w:pPr>
        <w:spacing w:line="360" w:lineRule="auto"/>
        <w:ind w:left="210" w:leftChars="100"/>
        <w:jc w:val="left"/>
        <w:rPr>
          <w:rFonts w:ascii="仿宋" w:hAnsi="仿宋" w:eastAsia="仿宋" w:cs="仿宋"/>
          <w:color w:val="auto"/>
          <w:sz w:val="24"/>
          <w:highlight w:val="none"/>
        </w:rPr>
      </w:pPr>
      <w:r>
        <w:rPr>
          <w:rFonts w:hint="eastAsia" w:ascii="仿宋" w:hAnsi="仿宋" w:eastAsia="仿宋" w:cs="仿宋"/>
          <w:color w:val="auto"/>
          <w:sz w:val="24"/>
          <w:highlight w:val="none"/>
        </w:rPr>
        <w:t>拟采购标的（1）</w:t>
      </w:r>
    </w:p>
    <w:tbl>
      <w:tblPr>
        <w:tblStyle w:val="62"/>
        <w:tblW w:w="4757" w:type="pct"/>
        <w:tblInd w:w="230" w:type="dxa"/>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autofit"/>
        <w:tblCellMar>
          <w:top w:w="0" w:type="dxa"/>
          <w:left w:w="108" w:type="dxa"/>
          <w:bottom w:w="0" w:type="dxa"/>
          <w:right w:w="108" w:type="dxa"/>
        </w:tblCellMar>
      </w:tblPr>
      <w:tblGrid>
        <w:gridCol w:w="1957"/>
        <w:gridCol w:w="7522"/>
      </w:tblGrid>
      <w:tr w14:paraId="2380BC5B">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032" w:type="pct"/>
            <w:vAlign w:val="center"/>
          </w:tcPr>
          <w:p w14:paraId="2B69D366">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标的内容</w:t>
            </w:r>
          </w:p>
        </w:tc>
        <w:tc>
          <w:tcPr>
            <w:tcW w:w="3967" w:type="pct"/>
            <w:vAlign w:val="center"/>
          </w:tcPr>
          <w:p w14:paraId="5B559375">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完成</w:t>
            </w:r>
            <w:r>
              <w:rPr>
                <w:rFonts w:hint="eastAsia" w:ascii="仿宋" w:hAnsi="仿宋" w:eastAsia="仿宋" w:cs="仿宋"/>
                <w:b w:val="0"/>
                <w:bCs/>
                <w:color w:val="auto"/>
                <w:sz w:val="24"/>
                <w:highlight w:val="none"/>
                <w:lang w:val="en-US" w:eastAsia="zh-CN"/>
              </w:rPr>
              <w:t>杭州市强制隔离戒毒所</w:t>
            </w:r>
            <w:r>
              <w:rPr>
                <w:rFonts w:hint="eastAsia" w:ascii="仿宋" w:hAnsi="仿宋" w:eastAsia="仿宋" w:cs="仿宋"/>
                <w:b w:val="0"/>
                <w:bCs/>
                <w:color w:val="auto"/>
                <w:sz w:val="24"/>
                <w:highlight w:val="none"/>
              </w:rPr>
              <w:t>消防改造</w:t>
            </w:r>
          </w:p>
        </w:tc>
      </w:tr>
      <w:tr w14:paraId="48576A8E">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108" w:type="dxa"/>
            <w:bottom w:w="0" w:type="dxa"/>
            <w:right w:w="108" w:type="dxa"/>
          </w:tblCellMar>
        </w:tblPrEx>
        <w:tc>
          <w:tcPr>
            <w:tcW w:w="1032" w:type="pct"/>
            <w:vAlign w:val="center"/>
          </w:tcPr>
          <w:p w14:paraId="2E233044">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功能和质量要求</w:t>
            </w:r>
          </w:p>
        </w:tc>
        <w:tc>
          <w:tcPr>
            <w:tcW w:w="3967" w:type="pct"/>
            <w:vAlign w:val="center"/>
          </w:tcPr>
          <w:p w14:paraId="09879259">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符合国家有关工程施工验收规范和标准的合格要求。</w:t>
            </w:r>
          </w:p>
        </w:tc>
      </w:tr>
    </w:tbl>
    <w:p w14:paraId="545EF357">
      <w:pPr>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（六）拟采购标的的商务要求</w:t>
      </w:r>
    </w:p>
    <w:p w14:paraId="0134D0FB">
      <w:pPr>
        <w:spacing w:line="360" w:lineRule="auto"/>
        <w:ind w:left="210" w:leftChars="10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1.交付（实施）的时间（期限）：</w:t>
      </w:r>
      <w:r>
        <w:rPr>
          <w:rFonts w:hint="eastAsia" w:ascii="仿宋" w:hAnsi="仿宋" w:eastAsia="仿宋" w:cs="仿宋"/>
          <w:color w:val="auto"/>
          <w:sz w:val="24"/>
          <w:highlight w:val="none"/>
          <w:u w:val="single"/>
          <w:lang w:eastAsia="zh-CN"/>
        </w:rPr>
        <w:t>合同签订后150日历天</w:t>
      </w:r>
      <w:r>
        <w:rPr>
          <w:rFonts w:hint="eastAsia" w:ascii="仿宋" w:hAnsi="仿宋" w:eastAsia="仿宋" w:cs="仿宋"/>
          <w:color w:val="auto"/>
          <w:sz w:val="24"/>
          <w:highlight w:val="none"/>
          <w:u w:val="single"/>
        </w:rPr>
        <w:t>内完成</w:t>
      </w:r>
      <w:r>
        <w:rPr>
          <w:rFonts w:hint="eastAsia" w:ascii="仿宋" w:hAnsi="仿宋" w:eastAsia="仿宋" w:cs="仿宋"/>
          <w:color w:val="auto"/>
          <w:sz w:val="24"/>
          <w:highlight w:val="none"/>
        </w:rPr>
        <w:t>。</w:t>
      </w:r>
    </w:p>
    <w:p w14:paraId="6ACE9716">
      <w:pPr>
        <w:spacing w:line="360" w:lineRule="auto"/>
        <w:ind w:left="210" w:leftChars="100"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2.交付（实施）的地点（范围）：</w:t>
      </w:r>
      <w:r>
        <w:rPr>
          <w:rFonts w:hint="eastAsia" w:ascii="仿宋" w:hAnsi="仿宋" w:eastAsia="仿宋" w:cs="仿宋"/>
          <w:color w:val="auto"/>
          <w:sz w:val="24"/>
          <w:highlight w:val="none"/>
          <w:u w:val="single"/>
        </w:rPr>
        <w:t>杭州市</w:t>
      </w:r>
      <w:r>
        <w:rPr>
          <w:rFonts w:hint="eastAsia" w:ascii="仿宋" w:hAnsi="仿宋" w:eastAsia="仿宋" w:cs="仿宋"/>
          <w:color w:val="auto"/>
          <w:sz w:val="24"/>
          <w:highlight w:val="none"/>
          <w:u w:val="single"/>
          <w:lang w:val="en-US" w:eastAsia="zh-CN"/>
        </w:rPr>
        <w:t>余杭区良渚街道瑶山路38号</w:t>
      </w:r>
      <w:r>
        <w:rPr>
          <w:rFonts w:hint="eastAsia" w:ascii="仿宋" w:hAnsi="仿宋" w:eastAsia="仿宋" w:cs="仿宋"/>
          <w:color w:val="auto"/>
          <w:sz w:val="24"/>
          <w:highlight w:val="none"/>
          <w:u w:val="single"/>
        </w:rPr>
        <w:t>。</w:t>
      </w:r>
    </w:p>
    <w:p w14:paraId="2836C304">
      <w:pPr>
        <w:spacing w:line="360" w:lineRule="auto"/>
        <w:ind w:left="210" w:leftChars="10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3.付款条件（进度和方式）</w:t>
      </w:r>
    </w:p>
    <w:tbl>
      <w:tblPr>
        <w:tblStyle w:val="62"/>
        <w:tblW w:w="9510" w:type="dxa"/>
        <w:tblInd w:w="23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145"/>
        <w:gridCol w:w="8365"/>
      </w:tblGrid>
      <w:tr w14:paraId="534D1D1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45" w:type="dxa"/>
            <w:vAlign w:val="center"/>
          </w:tcPr>
          <w:p w14:paraId="6C040F6C">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8365" w:type="dxa"/>
            <w:vAlign w:val="center"/>
          </w:tcPr>
          <w:p w14:paraId="38FA205D">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付款方式</w:t>
            </w:r>
          </w:p>
        </w:tc>
      </w:tr>
      <w:tr w14:paraId="6B3DEA0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1145" w:type="dxa"/>
            <w:vAlign w:val="center"/>
          </w:tcPr>
          <w:p w14:paraId="7C9F5C5D">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8365" w:type="dxa"/>
          </w:tcPr>
          <w:p w14:paraId="4A55C590">
            <w:pPr>
              <w:snapToGrid w:val="0"/>
              <w:spacing w:line="360" w:lineRule="auto"/>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合同签订后5个工作日内，项目具备实施条件后，采购人支付合同总价的</w:t>
            </w:r>
            <w:r>
              <w:rPr>
                <w:rFonts w:hint="eastAsia" w:ascii="仿宋" w:hAnsi="仿宋" w:eastAsia="仿宋" w:cs="仿宋"/>
                <w:bCs/>
                <w:color w:val="auto"/>
                <w:sz w:val="24"/>
                <w:highlight w:val="none"/>
                <w:lang w:val="en-US" w:eastAsia="zh-CN"/>
              </w:rPr>
              <w:t>70</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且不超过2024年预算安排74万元</w:t>
            </w:r>
            <w:r>
              <w:rPr>
                <w:rFonts w:hint="eastAsia" w:ascii="仿宋" w:hAnsi="仿宋" w:eastAsia="仿宋" w:cs="仿宋"/>
                <w:bCs/>
                <w:color w:val="auto"/>
                <w:sz w:val="24"/>
                <w:highlight w:val="none"/>
              </w:rPr>
              <w:t>，同时供应商缴纳合同总价1%的履约保证金（履约保证金缴纳形式：非现金形式的支票、汇票、本票或者金融机构、担保机构出具的保函）；</w:t>
            </w:r>
          </w:p>
        </w:tc>
      </w:tr>
      <w:tr w14:paraId="583BEF7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45" w:type="dxa"/>
            <w:vAlign w:val="center"/>
          </w:tcPr>
          <w:p w14:paraId="56C35E4A">
            <w:pPr>
              <w:snapToGrid w:val="0"/>
              <w:spacing w:line="360" w:lineRule="auto"/>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2</w:t>
            </w:r>
          </w:p>
        </w:tc>
        <w:tc>
          <w:tcPr>
            <w:tcW w:w="8365" w:type="dxa"/>
          </w:tcPr>
          <w:p w14:paraId="3FC63371">
            <w:pPr>
              <w:pStyle w:val="130"/>
              <w:snapToGrid w:val="0"/>
              <w:spacing w:before="0"/>
              <w:ind w:left="0" w:leftChars="0" w:firstLine="0" w:firstLineChars="0"/>
              <w:rPr>
                <w:rFonts w:hint="eastAsia" w:ascii="仿宋" w:hAnsi="仿宋" w:eastAsia="仿宋" w:cs="仿宋"/>
                <w:color w:val="auto"/>
                <w:highlight w:val="none"/>
                <w:u w:val="single"/>
                <w:lang w:eastAsia="zh-CN"/>
              </w:rPr>
            </w:pPr>
            <w:r>
              <w:rPr>
                <w:rFonts w:hint="eastAsia" w:ascii="仿宋" w:hAnsi="仿宋" w:eastAsia="仿宋" w:cs="仿宋"/>
                <w:b w:val="0"/>
                <w:bCs/>
                <w:color w:val="auto"/>
                <w:sz w:val="24"/>
                <w:highlight w:val="none"/>
              </w:rPr>
              <w:t>通过</w:t>
            </w:r>
            <w:r>
              <w:rPr>
                <w:rFonts w:hint="eastAsia" w:ascii="仿宋" w:hAnsi="仿宋" w:eastAsia="仿宋" w:cs="仿宋"/>
                <w:b w:val="0"/>
                <w:bCs/>
                <w:color w:val="auto"/>
                <w:sz w:val="24"/>
                <w:highlight w:val="none"/>
                <w:lang w:val="en-US" w:eastAsia="zh-CN"/>
              </w:rPr>
              <w:t>第三方技术服务机构</w:t>
            </w:r>
            <w:r>
              <w:rPr>
                <w:rFonts w:hint="eastAsia" w:ascii="仿宋" w:hAnsi="仿宋" w:eastAsia="仿宋" w:cs="仿宋"/>
                <w:b w:val="0"/>
                <w:bCs/>
                <w:color w:val="auto"/>
                <w:sz w:val="24"/>
                <w:highlight w:val="none"/>
              </w:rPr>
              <w:t>确认</w:t>
            </w:r>
            <w:r>
              <w:rPr>
                <w:rFonts w:hint="eastAsia" w:ascii="仿宋" w:hAnsi="仿宋" w:eastAsia="仿宋" w:cs="仿宋"/>
                <w:bCs/>
                <w:color w:val="auto"/>
                <w:sz w:val="24"/>
                <w:highlight w:val="none"/>
                <w:lang w:eastAsia="zh-CN"/>
              </w:rPr>
              <w:t>且</w:t>
            </w:r>
            <w:r>
              <w:rPr>
                <w:rFonts w:hint="eastAsia" w:ascii="仿宋" w:hAnsi="仿宋" w:eastAsia="仿宋" w:cs="仿宋"/>
                <w:bCs/>
                <w:color w:val="auto"/>
                <w:sz w:val="24"/>
                <w:highlight w:val="none"/>
              </w:rPr>
              <w:t>工程竣工验收合格，凭采购人、设计、监理、2名政府采购咨询专家共同签字盖章的竣工验收报告（包含工程质量竣工验收记录、工程竣工验收报告）、单位工程质量控制资料核查记录、单位工程安全和功能检验资料核查及主要功能抽查记录、隐蔽工程验收单及相关影像资料、施工方案（含工期、质量、安全文明保证措施方案）、材料运输计划方案、施工组织设计、施工进度计划、施工材料报验资料、竣工图纸等竣工资料、图纸会审纪要、设计（变更）联系单（如有）、工程联系单（如有）等设计技术资料、</w:t>
            </w:r>
            <w:r>
              <w:rPr>
                <w:rFonts w:hint="eastAsia" w:ascii="仿宋" w:hAnsi="仿宋" w:eastAsia="仿宋" w:cs="仿宋"/>
                <w:color w:val="auto"/>
                <w:sz w:val="24"/>
                <w:highlight w:val="none"/>
              </w:rPr>
              <w:t>项目组人员到位率、每日钉钉考勤打卡记录、项目负责人和技术负责人资质证书、工作经历</w:t>
            </w:r>
            <w:r>
              <w:rPr>
                <w:rFonts w:hint="eastAsia" w:ascii="仿宋" w:hAnsi="仿宋" w:eastAsia="仿宋" w:cs="仿宋"/>
                <w:color w:val="auto"/>
                <w:sz w:val="24"/>
                <w:highlight w:val="none"/>
                <w:lang w:eastAsia="zh-CN"/>
              </w:rPr>
              <w:t>证明</w:t>
            </w:r>
            <w:r>
              <w:rPr>
                <w:rFonts w:hint="eastAsia" w:ascii="仿宋" w:hAnsi="仿宋" w:eastAsia="仿宋" w:cs="仿宋"/>
                <w:bCs/>
                <w:color w:val="auto"/>
                <w:sz w:val="24"/>
                <w:highlight w:val="none"/>
              </w:rPr>
              <w:t>、社保缴纳证明、人员变更审批表（如有）、投入使用的机械设备清单、材料到货验收清单、单位保密协议、个人保密承诺、日常保密教育台账、</w:t>
            </w:r>
            <w:r>
              <w:rPr>
                <w:rFonts w:hint="eastAsia" w:ascii="仿宋" w:hAnsi="仿宋" w:eastAsia="仿宋" w:cs="仿宋"/>
                <w:bCs/>
                <w:color w:val="auto"/>
                <w:sz w:val="24"/>
                <w:highlight w:val="none"/>
                <w:lang w:eastAsia="zh-CN"/>
              </w:rPr>
              <w:t>小微</w:t>
            </w:r>
            <w:r>
              <w:rPr>
                <w:rFonts w:hint="eastAsia" w:ascii="仿宋" w:hAnsi="仿宋" w:eastAsia="仿宋" w:cs="仿宋"/>
                <w:bCs/>
                <w:color w:val="auto"/>
                <w:sz w:val="24"/>
                <w:highlight w:val="none"/>
              </w:rPr>
              <w:t>企业证明材料，且供应商另行缴纳完水电费后</w:t>
            </w:r>
            <w:r>
              <w:rPr>
                <w:rFonts w:hint="eastAsia" w:ascii="仿宋" w:hAnsi="仿宋" w:eastAsia="仿宋" w:cs="仿宋"/>
                <w:bCs/>
                <w:color w:val="auto"/>
                <w:sz w:val="24"/>
                <w:highlight w:val="none"/>
                <w:lang w:eastAsia="zh-CN"/>
              </w:rPr>
              <w:t>，</w:t>
            </w:r>
            <w:r>
              <w:rPr>
                <w:rFonts w:hint="eastAsia" w:ascii="仿宋" w:hAnsi="仿宋" w:eastAsia="仿宋" w:cs="仿宋"/>
                <w:color w:val="auto"/>
                <w:highlight w:val="none"/>
                <w:u w:val="none"/>
                <w:lang w:eastAsia="zh-CN"/>
              </w:rPr>
              <w:t>待财政资金到位后</w:t>
            </w:r>
            <w:r>
              <w:rPr>
                <w:rFonts w:hint="eastAsia" w:ascii="仿宋" w:hAnsi="仿宋" w:eastAsia="仿宋" w:cs="仿宋"/>
                <w:bCs/>
                <w:color w:val="auto"/>
                <w:sz w:val="24"/>
                <w:highlight w:val="none"/>
                <w:lang w:val="en-US" w:eastAsia="zh-CN"/>
              </w:rPr>
              <w:t>采购人支付至合同总价的85%（</w:t>
            </w:r>
            <w:r>
              <w:rPr>
                <w:rFonts w:hint="eastAsia" w:ascii="仿宋" w:hAnsi="仿宋" w:eastAsia="仿宋" w:cs="仿宋"/>
                <w:color w:val="auto"/>
                <w:highlight w:val="none"/>
                <w:u w:val="none"/>
                <w:lang w:eastAsia="zh-CN"/>
              </w:rPr>
              <w:t>含采购人已向供应商支付的</w:t>
            </w:r>
            <w:r>
              <w:rPr>
                <w:rFonts w:hint="eastAsia" w:ascii="仿宋" w:hAnsi="仿宋" w:eastAsia="仿宋" w:cs="仿宋"/>
                <w:color w:val="auto"/>
                <w:highlight w:val="none"/>
                <w:u w:val="none"/>
                <w:lang w:val="en-US" w:eastAsia="zh-CN"/>
              </w:rPr>
              <w:t>预付款</w:t>
            </w:r>
            <w:r>
              <w:rPr>
                <w:rFonts w:hint="eastAsia" w:ascii="仿宋" w:hAnsi="仿宋" w:eastAsia="仿宋" w:cs="仿宋"/>
                <w:bCs/>
                <w:color w:val="auto"/>
                <w:sz w:val="24"/>
                <w:highlight w:val="none"/>
                <w:u w:val="none"/>
                <w:lang w:val="en-US" w:eastAsia="zh-CN"/>
              </w:rPr>
              <w:t>）</w:t>
            </w:r>
            <w:r>
              <w:rPr>
                <w:rFonts w:hint="eastAsia" w:ascii="仿宋" w:hAnsi="仿宋" w:eastAsia="仿宋" w:cs="仿宋"/>
                <w:bCs/>
                <w:color w:val="auto"/>
                <w:sz w:val="24"/>
                <w:highlight w:val="none"/>
                <w:lang w:val="en-US" w:eastAsia="zh-CN"/>
              </w:rPr>
              <w:t>。</w:t>
            </w:r>
          </w:p>
        </w:tc>
      </w:tr>
      <w:tr w14:paraId="47BC8A3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90" w:hRule="atLeast"/>
        </w:trPr>
        <w:tc>
          <w:tcPr>
            <w:tcW w:w="1145" w:type="dxa"/>
            <w:vAlign w:val="center"/>
          </w:tcPr>
          <w:p w14:paraId="6FA1D959">
            <w:pPr>
              <w:snapToGrid w:val="0"/>
              <w:spacing w:line="360" w:lineRule="auto"/>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w:t>
            </w:r>
          </w:p>
        </w:tc>
        <w:tc>
          <w:tcPr>
            <w:tcW w:w="8365" w:type="dxa"/>
          </w:tcPr>
          <w:p w14:paraId="37CA6AC2">
            <w:pPr>
              <w:pStyle w:val="130"/>
              <w:snapToGrid w:val="0"/>
              <w:spacing w:before="0"/>
              <w:ind w:left="0" w:leftChars="0" w:firstLine="0" w:firstLineChars="0"/>
              <w:rPr>
                <w:rFonts w:hint="eastAsia" w:ascii="仿宋" w:hAnsi="仿宋" w:eastAsia="仿宋" w:cs="仿宋"/>
                <w:color w:val="auto"/>
                <w:highlight w:val="none"/>
                <w:u w:val="none"/>
                <w:lang w:eastAsia="zh-CN"/>
              </w:rPr>
            </w:pPr>
            <w:r>
              <w:rPr>
                <w:rFonts w:hint="eastAsia" w:ascii="仿宋" w:hAnsi="仿宋" w:eastAsia="仿宋" w:cs="仿宋"/>
                <w:color w:val="auto"/>
                <w:highlight w:val="none"/>
                <w:u w:val="none"/>
                <w:lang w:eastAsia="zh-CN"/>
              </w:rPr>
              <w:t>项目完成竣工结算，结算价格未超过合同总价且供应商缴纳结算价1.5%质量保证金，待财政资金到位后采购人支付至结算价的100%。同时一次性扣除供应商违约金，履约保证金予以无息退还。</w:t>
            </w:r>
          </w:p>
          <w:p w14:paraId="34850766">
            <w:pPr>
              <w:pStyle w:val="130"/>
              <w:snapToGrid w:val="0"/>
              <w:spacing w:before="0"/>
              <w:ind w:left="0" w:leftChars="0" w:firstLine="0" w:firstLineChars="0"/>
              <w:rPr>
                <w:rFonts w:hint="eastAsia" w:ascii="仿宋" w:hAnsi="仿宋" w:eastAsia="仿宋" w:cs="仿宋"/>
                <w:color w:val="auto"/>
                <w:highlight w:val="none"/>
                <w:u w:val="single"/>
                <w:lang w:eastAsia="zh-CN"/>
              </w:rPr>
            </w:pPr>
            <w:r>
              <w:rPr>
                <w:rFonts w:hint="eastAsia" w:ascii="仿宋" w:hAnsi="仿宋" w:eastAsia="仿宋" w:cs="仿宋"/>
                <w:color w:val="auto"/>
                <w:highlight w:val="none"/>
                <w:u w:val="none"/>
                <w:lang w:eastAsia="zh-CN"/>
              </w:rPr>
              <w:t>质量保证金待质保期满后，无质量问题，质量保证金予以无息退还。（质量保证金缴纳方式同履约保证金）</w:t>
            </w:r>
          </w:p>
        </w:tc>
      </w:tr>
      <w:tr w14:paraId="632E764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90" w:hRule="atLeast"/>
        </w:trPr>
        <w:tc>
          <w:tcPr>
            <w:tcW w:w="1145" w:type="dxa"/>
            <w:vAlign w:val="center"/>
          </w:tcPr>
          <w:p w14:paraId="1CC2A405">
            <w:pPr>
              <w:snapToGrid w:val="0"/>
              <w:spacing w:line="360" w:lineRule="auto"/>
              <w:jc w:val="center"/>
              <w:rPr>
                <w:rFonts w:hint="eastAsia" w:ascii="仿宋" w:hAnsi="仿宋" w:eastAsia="仿宋" w:cs="仿宋"/>
                <w:bCs/>
                <w:color w:val="auto"/>
                <w:sz w:val="24"/>
                <w:highlight w:val="none"/>
                <w:lang w:val="en-US" w:eastAsia="zh-CN"/>
              </w:rPr>
            </w:pPr>
          </w:p>
        </w:tc>
        <w:tc>
          <w:tcPr>
            <w:tcW w:w="8365" w:type="dxa"/>
          </w:tcPr>
          <w:p w14:paraId="271BCFCD">
            <w:pPr>
              <w:pStyle w:val="130"/>
              <w:snapToGrid w:val="0"/>
              <w:spacing w:before="0"/>
              <w:ind w:left="0" w:leftChars="0" w:firstLine="0" w:firstLineChars="0"/>
              <w:rPr>
                <w:rFonts w:hint="eastAsia" w:ascii="仿宋" w:hAnsi="仿宋" w:eastAsia="仿宋" w:cs="仿宋"/>
                <w:color w:val="auto"/>
                <w:highlight w:val="none"/>
                <w:u w:val="single"/>
                <w:lang w:eastAsia="zh-CN"/>
              </w:rPr>
            </w:pPr>
            <w:r>
              <w:rPr>
                <w:rFonts w:hint="eastAsia" w:ascii="仿宋" w:hAnsi="仿宋" w:eastAsia="仿宋" w:cs="仿宋"/>
                <w:bCs/>
                <w:color w:val="auto"/>
                <w:sz w:val="24"/>
                <w:szCs w:val="20"/>
                <w:highlight w:val="none"/>
                <w:lang w:val="en-US"/>
              </w:rPr>
              <w:t>注：双方</w:t>
            </w:r>
            <w:r>
              <w:rPr>
                <w:rFonts w:hint="eastAsia" w:ascii="仿宋" w:hAnsi="仿宋" w:eastAsia="仿宋" w:cs="仿宋"/>
                <w:bCs/>
                <w:color w:val="auto"/>
                <w:sz w:val="24"/>
                <w:szCs w:val="20"/>
                <w:highlight w:val="none"/>
                <w:lang w:val="zh-TW"/>
              </w:rPr>
              <w:t>在合同履约过程中，如发生施工内容变更，则按照合同变更约定条款进行结算，变更结算累计总额不能超过合同总价的10%</w:t>
            </w:r>
            <w:r>
              <w:rPr>
                <w:rFonts w:hint="eastAsia" w:ascii="仿宋" w:hAnsi="仿宋" w:eastAsia="仿宋" w:cs="仿宋"/>
                <w:bCs/>
                <w:color w:val="auto"/>
                <w:sz w:val="24"/>
                <w:highlight w:val="none"/>
              </w:rPr>
              <w:t>（结算价根据磋商时的最终报价与初始报价的下浮比例进行同比例调整）</w:t>
            </w:r>
            <w:r>
              <w:rPr>
                <w:rFonts w:hint="eastAsia" w:ascii="仿宋" w:hAnsi="仿宋" w:eastAsia="仿宋" w:cs="仿宋"/>
                <w:bCs/>
                <w:color w:val="auto"/>
                <w:sz w:val="24"/>
                <w:szCs w:val="20"/>
                <w:highlight w:val="none"/>
                <w:lang w:val="zh-TW"/>
              </w:rPr>
              <w:t>，且需另行签订补充合同后报财政备案。</w:t>
            </w:r>
          </w:p>
        </w:tc>
      </w:tr>
    </w:tbl>
    <w:p w14:paraId="2670D738">
      <w:pPr>
        <w:spacing w:line="360" w:lineRule="auto"/>
        <w:ind w:left="210" w:leftChars="10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4.工程保修期服务要求</w:t>
      </w:r>
    </w:p>
    <w:p w14:paraId="6F44EE89">
      <w:pPr>
        <w:snapToGrid w:val="0"/>
        <w:spacing w:line="360"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本工程缺陷责任期为 2年，涉及防水、防渗漏部分5年，缺陷责任期自工程竣工验收合格之日起计算。保修范围为本工程所有内容。属于保修范围、内容的项目，供应商应在收到通知后24小时内到达工程现场并修复缺陷或损坏。遇紧急情况需抢修的，应在收到通知后4小时内到达现场抢修，10小时内修复。供应商未在上述指定期限内派人维修或发生其他视为供应商未履行维修义务情形的，采购人有权委托第三方进行维修，所产生相关费用包括维修费等均由供应商承担。</w:t>
      </w:r>
    </w:p>
    <w:p w14:paraId="72C5F8FC">
      <w:pPr>
        <w:snapToGrid w:val="0"/>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（七）采购项目的其他要求</w:t>
      </w:r>
    </w:p>
    <w:p w14:paraId="01172120">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工程施工要求</w:t>
      </w:r>
    </w:p>
    <w:p w14:paraId="0F603823">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1.1供应商应按国家、省市现行有关技术规范进行施工，确保项目质量。</w:t>
      </w:r>
    </w:p>
    <w:p w14:paraId="4119B8E2">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1.2供应商应服从采购人的进程安排，及时进场并保证工期。如供应商因自身原因不能如期进场施工，造成工期的拖延，由此发生的经济损失，应由供应商负责承担。</w:t>
      </w:r>
    </w:p>
    <w:p w14:paraId="2AFAB52C">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1.3供应商应严格按本次项目采购的规定要求履行并承担自己的职责。</w:t>
      </w:r>
    </w:p>
    <w:p w14:paraId="1D4F6BD0">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1.4供应商应按采购人审定的图纸要求、合同条款、技术规范和工程量清单和材料的要求，承担项目的施工、建成及其后期缺陷修复工作。</w:t>
      </w:r>
    </w:p>
    <w:p w14:paraId="72E6459B">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1.5供应商有下列行为之一的，采购人有权终止合同。</w:t>
      </w:r>
    </w:p>
    <w:p w14:paraId="1D37F7A6">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A、不符合工程技术标准的；</w:t>
      </w:r>
    </w:p>
    <w:p w14:paraId="551B15C3">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B、偷工减料的；</w:t>
      </w:r>
    </w:p>
    <w:p w14:paraId="414DC6CE">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C、不按图施工的；</w:t>
      </w:r>
    </w:p>
    <w:p w14:paraId="6E3278DA">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D、造成重特大责任事故的；</w:t>
      </w:r>
    </w:p>
    <w:p w14:paraId="6E9EF218">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E、不文明安全施工的；</w:t>
      </w:r>
    </w:p>
    <w:p w14:paraId="706CEF5F">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F、不服从现场指挥的；</w:t>
      </w:r>
    </w:p>
    <w:p w14:paraId="3B3E27EE">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G、工程质量不合格、不符合国家有关工程施工验收规范和标准的合格要求。</w:t>
      </w:r>
    </w:p>
    <w:p w14:paraId="423AE03B">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1.6供应商对施工场地周边一定范围环境负有责任，如：施工中不得随意排放泥浆和其他浑浊废弃物，不得随意抛掷各类垃圾、建筑材料等杂物；运输建筑材料、垃圾的车辆应采取有效措施保证行驶途中不污染道路和环境等，以上费用由供应商承担，相关费用含在报价中。工程交接完成后，2天内应清除掉现场内所有不再需要的临时工程、设施、供应商的设备和多余材料、生活垃圾和废物，达到采购人满意的状态。如供应商交工2天后仍不清除、修复，采购人可自行完成，发生的费用由供应商承担。</w:t>
      </w:r>
    </w:p>
    <w:p w14:paraId="16AFDBBD">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1.7供应商在施工过程中，涉及水、电接口由供应商自理。施工区域临时及接水接电方案应事先获得采购人、监理同意，不得私拉乱接。采购人仅提供水电接口，供应商自行接表按实结算。相关水电费用在最终结算时另行缴纳。 </w:t>
      </w:r>
    </w:p>
    <w:p w14:paraId="469C94F1">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1.8施工现场区域围挡布置、机械设备根据项目实际场地情况有序合理布置，材料区、施工区合理布置、划分，在项目实施过程中，制定施工现场的防扬尘、防噪措施的施工方案的技术手段和措施。同时供应商须在进场施工前详细编排针对本项目的施工组织设计安排、施工进度安排、质量把控等具体施工服务措施及方案，投标时需提供详细的</w:t>
      </w:r>
      <w:r>
        <w:rPr>
          <w:rFonts w:hint="eastAsia" w:ascii="仿宋" w:hAnsi="仿宋" w:eastAsia="仿宋" w:cs="仿宋"/>
          <w:bCs/>
          <w:color w:val="auto"/>
          <w:sz w:val="24"/>
          <w:highlight w:val="none"/>
          <w:u w:val="single"/>
        </w:rPr>
        <w:t>施工方案（含工期、质量、安全文明保证措施方案）、施工组织设计、施工进度计划</w:t>
      </w:r>
      <w:r>
        <w:rPr>
          <w:rFonts w:hint="eastAsia" w:ascii="仿宋" w:hAnsi="仿宋" w:eastAsia="仿宋" w:cs="仿宋"/>
          <w:color w:val="auto"/>
          <w:sz w:val="24"/>
          <w:highlight w:val="none"/>
          <w:u w:val="single"/>
        </w:rPr>
        <w:t>。</w:t>
      </w:r>
    </w:p>
    <w:p w14:paraId="5B62658C">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1.9在施工过程中，各施工阶段所投入的各类机械设备数量、规格及型号应与</w:t>
      </w:r>
      <w:r>
        <w:rPr>
          <w:rFonts w:hint="eastAsia" w:ascii="仿宋" w:hAnsi="仿宋" w:eastAsia="仿宋" w:cs="仿宋"/>
          <w:color w:val="auto"/>
          <w:sz w:val="24"/>
          <w:highlight w:val="none"/>
          <w:u w:val="single"/>
          <w:lang w:eastAsia="zh-CN"/>
        </w:rPr>
        <w:t>响应</w:t>
      </w:r>
      <w:r>
        <w:rPr>
          <w:rFonts w:hint="eastAsia" w:ascii="仿宋" w:hAnsi="仿宋" w:eastAsia="仿宋" w:cs="仿宋"/>
          <w:color w:val="auto"/>
          <w:sz w:val="24"/>
          <w:highlight w:val="none"/>
          <w:u w:val="single"/>
        </w:rPr>
        <w:t>文件中所列的各类机械设备数量、规格及型号一致，如在实际施工过程中，</w:t>
      </w:r>
      <w:r>
        <w:rPr>
          <w:rFonts w:hint="eastAsia" w:ascii="仿宋" w:hAnsi="仿宋" w:eastAsia="仿宋" w:cs="仿宋"/>
          <w:color w:val="auto"/>
          <w:sz w:val="24"/>
          <w:highlight w:val="none"/>
          <w:u w:val="single"/>
          <w:lang w:eastAsia="zh-CN"/>
        </w:rPr>
        <w:t>响应</w:t>
      </w:r>
      <w:r>
        <w:rPr>
          <w:rFonts w:hint="eastAsia" w:ascii="仿宋" w:hAnsi="仿宋" w:eastAsia="仿宋" w:cs="仿宋"/>
          <w:color w:val="auto"/>
          <w:sz w:val="24"/>
          <w:highlight w:val="none"/>
          <w:u w:val="single"/>
        </w:rPr>
        <w:t>文件中所列机械设备不能满足施工需要的，供应商应无条件予以更换或增加；如需减少机械设备的，须报采购人、监理核实批准后，方可减少。否则，由此造成的工期延误和费用的增加均由供应商承担。</w:t>
      </w:r>
    </w:p>
    <w:p w14:paraId="23C079F2">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1.10项目实施期间，供应商进场后直至施工完成、竣工验收移交采购人之前，对施工区域内的消防安全、人身安全工作承担全部责任，现场施工按照杭州市当地建筑工地安全文明施工管理规定执行，供应商应教育其职工进行文明施工，配备必要的安全生产设施和劳动保护用具。供应商应对其管辖范围内的人员和设备（包括采购人的人员和设备）以及工程的安全负责，应负责做好其所辖人员的工作场所和施工区的安全保护工作。供应商必须注意保护工地周边人员、财产的安全，防止因施工安全防范措施不当使周边人员、财产遭受损失。供应商必须对施工现场的用电安全负责。施工现场用电必须遵照杭州市建委颁布的施工现场用电管理条例执行。在施工现场做好警戒告示牌和围栏等设施，作好警示安全工作。如在施工过程中，因供应商原因导致出现安全事故（包括导致其他第三方人员出现安全事故的），相应责任及赔偿由供应商全部承担。</w:t>
      </w:r>
    </w:p>
    <w:p w14:paraId="2CE8FF1E">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1.11供应商应明确本项目的项目班子人员组织结构，配备</w:t>
      </w:r>
      <w:r>
        <w:rPr>
          <w:rFonts w:hint="eastAsia" w:ascii="仿宋" w:hAnsi="仿宋" w:eastAsia="仿宋" w:cs="仿宋"/>
          <w:color w:val="auto"/>
          <w:sz w:val="24"/>
          <w:highlight w:val="none"/>
          <w:u w:val="single"/>
          <w:lang w:eastAsia="zh-CN"/>
        </w:rPr>
        <w:t>的</w:t>
      </w:r>
      <w:r>
        <w:rPr>
          <w:rFonts w:hint="eastAsia" w:ascii="仿宋" w:hAnsi="仿宋" w:eastAsia="仿宋" w:cs="仿宋"/>
          <w:color w:val="auto"/>
          <w:sz w:val="24"/>
          <w:highlight w:val="none"/>
          <w:u w:val="single"/>
        </w:rPr>
        <w:t>项目负责人</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项目技术负责人</w:t>
      </w:r>
      <w:r>
        <w:rPr>
          <w:rFonts w:ascii="仿宋" w:hAnsi="仿宋" w:eastAsia="仿宋" w:cs="仿宋"/>
          <w:color w:val="auto"/>
          <w:sz w:val="24"/>
          <w:highlight w:val="none"/>
          <w:u w:val="single"/>
        </w:rPr>
        <w:t>具有</w:t>
      </w:r>
      <w:r>
        <w:rPr>
          <w:rFonts w:hint="eastAsia" w:ascii="仿宋" w:hAnsi="仿宋" w:eastAsia="仿宋" w:cs="仿宋"/>
          <w:color w:val="auto"/>
          <w:sz w:val="24"/>
          <w:highlight w:val="none"/>
          <w:u w:val="single"/>
        </w:rPr>
        <w:t>房屋建筑修缮</w:t>
      </w:r>
      <w:r>
        <w:rPr>
          <w:rFonts w:hint="eastAsia" w:ascii="仿宋" w:hAnsi="仿宋" w:eastAsia="仿宋" w:cs="仿宋"/>
          <w:color w:val="auto"/>
          <w:sz w:val="24"/>
          <w:highlight w:val="none"/>
          <w:u w:val="single"/>
          <w:lang w:eastAsia="zh-CN"/>
        </w:rPr>
        <w:t>改造</w:t>
      </w:r>
      <w:r>
        <w:rPr>
          <w:rFonts w:hint="eastAsia" w:ascii="仿宋" w:hAnsi="仿宋" w:eastAsia="仿宋" w:cs="仿宋"/>
          <w:color w:val="auto"/>
          <w:sz w:val="24"/>
          <w:highlight w:val="none"/>
          <w:u w:val="single"/>
        </w:rPr>
        <w:t>类项目管理经验，其他项目组人员专业匹配，劳动力的投入满足施工进度要求，合理安排劳动力投入，保证项目按时竣工。其中项目负责人每月现场出勤时间至少达到本月施工时间的80%，即每月不少于24日历天，其他项目组人员每月现场出勤时间至少达到本月施工时间的90%，即每月不少于27日历天，供应商应为项目组人员缴纳社会保险，并提供相关社保缴纳证明。供应商在响应文件中承诺的项目组人员未经采购人同意，供应商不得调换和撤离，并按承诺及时到位。采购人有权要求供应商撤换工作不负责任、管理不力、贻误工期和造成严重的安全事故和工程质量事故、违法乱纪的人员，直至采购人满意为止。如需更换人员，供应商须提前3天告知采购人并征得采购人同意，采购人</w:t>
      </w:r>
      <w:r>
        <w:rPr>
          <w:rFonts w:hint="eastAsia" w:ascii="仿宋" w:hAnsi="仿宋" w:eastAsia="仿宋" w:cs="仿宋"/>
          <w:color w:val="auto"/>
          <w:sz w:val="24"/>
          <w:highlight w:val="none"/>
          <w:u w:val="single"/>
          <w:lang w:eastAsia="zh-CN"/>
        </w:rPr>
        <w:t>书面</w:t>
      </w:r>
      <w:r>
        <w:rPr>
          <w:rFonts w:hint="eastAsia" w:ascii="仿宋" w:hAnsi="仿宋" w:eastAsia="仿宋" w:cs="仿宋"/>
          <w:color w:val="auto"/>
          <w:sz w:val="24"/>
          <w:highlight w:val="none"/>
          <w:u w:val="single"/>
        </w:rPr>
        <w:t>同意后，供应商所更换人员须在</w:t>
      </w:r>
      <w:r>
        <w:rPr>
          <w:rFonts w:ascii="仿宋" w:hAnsi="仿宋" w:eastAsia="仿宋" w:cs="仿宋"/>
          <w:color w:val="auto"/>
          <w:sz w:val="24"/>
          <w:highlight w:val="none"/>
          <w:u w:val="single"/>
        </w:rPr>
        <w:t>24</w:t>
      </w:r>
      <w:r>
        <w:rPr>
          <w:rFonts w:hint="eastAsia" w:ascii="仿宋" w:hAnsi="仿宋" w:eastAsia="仿宋" w:cs="仿宋"/>
          <w:color w:val="auto"/>
          <w:sz w:val="24"/>
          <w:highlight w:val="none"/>
          <w:u w:val="single"/>
        </w:rPr>
        <w:t>小时内到岗。更换人员的人员到位率、资历、资质不得低于投标时标准，如相应资质的专业技术人员未按要求到位，视作违约，采购人有权单方面终止合同。</w:t>
      </w:r>
    </w:p>
    <w:p w14:paraId="0E47E9B5">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1.12在符合本项目总工期要求的前提下，合理安排材料供应计划，供应商需制定施工现场材料运输的计划方案，在运至现场卸运时，有专人负责监督、安排。</w:t>
      </w:r>
    </w:p>
    <w:p w14:paraId="523C1515">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1.13因特殊原因造成项目停工，供应商在3日内上报采购人、监理审批。经采购人批准后，工期顺延。停工期间，供应商应做好施工现场保护工作，如因供应商原因造成人员、财产损失的，相关责任由供应商全部承担，且不受合同总价限制。</w:t>
      </w:r>
    </w:p>
    <w:p w14:paraId="24ADF3E7">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1.14供应商现场施工应具有相应的质量控制措施和自检措施，如施工材料质量控制、所投入产品质量检验等。材料、产品运至现场后，采购人、供应商、监理根据现行相关规定对运至的材料、产品进行试验、试样、检测工作，验收合格后由采购人、供应商、监理在材料到货验收清单签字确认，当供应商必须开展与本合同有关的各种试验、试样、检测工作不符合现行有关规定（包括不及时开展相关工作），采购人有权直接指定符合有关规定的试验检测机构进行相关试验、试样检测工作，相关费用由供应商承担。如采购人对供应商提供的检测报告或检测结论有异议，认为需要重新检测时，供应商应无条件重新检测，重新检测的材料费由供应商承担，当检测合格时，检测费用由采购人承担；当检测不合格时，检测费用由供应商承担，并无条件更换已进场或已使用的材料同时承担由此产生的一切损失及费用（包括再次重新检测时发生的材料费、检测费等一切费用，直到检测合格为止）。</w:t>
      </w:r>
    </w:p>
    <w:p w14:paraId="27715FE0">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1.15在工程竣工验收交付前成品保护费用均由供应商承担；供应商应在做好自身范围内的成品保护工作的同时，还应配合做好对原有设施的保护工作，若因供应商原因破坏，则供应商应承担责任，并予以赔偿。如因为供应商原因造成项目或第三方人员、财产损失的，相关责任由供应商全部承担，且不受合同总价限制。</w:t>
      </w:r>
    </w:p>
    <w:p w14:paraId="4444189B">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1.16供应商应全权负责其劳务及职工的雇佣、工资的支付、房屋、膳食及运输的安排。</w:t>
      </w:r>
    </w:p>
    <w:p w14:paraId="5189C7A8">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1.17供应商应服从采购人、监理对施工质量、进度的监督、检查、并为监督、检查提供便利；如果发现工程质量未达到合同标准，供应商应按质量要求积极返工、整改、直到满足合同质量要求；如果进度未达到合同要求，供应商应提出加快进度的措施、方法，并积极实施，直到进度符合合同进度要求。</w:t>
      </w:r>
    </w:p>
    <w:p w14:paraId="7AC8D041">
      <w:pPr>
        <w:pStyle w:val="2"/>
        <w:rPr>
          <w:rFonts w:hint="default" w:ascii="仿宋" w:hAnsi="仿宋" w:eastAsia="仿宋" w:cs="仿宋"/>
          <w:color w:val="auto"/>
          <w:sz w:val="24"/>
          <w:highlight w:val="none"/>
          <w:u w:val="single"/>
          <w:lang w:val="en-US" w:eastAsia="zh-CN"/>
        </w:rPr>
      </w:pPr>
      <w:r>
        <w:rPr>
          <w:rFonts w:hint="eastAsia" w:ascii="仿宋" w:eastAsia="仿宋" w:cs="仿宋"/>
          <w:color w:val="auto"/>
          <w:sz w:val="24"/>
          <w:highlight w:val="none"/>
          <w:u w:val="single"/>
          <w:lang w:val="en-US" w:eastAsia="zh-CN"/>
        </w:rPr>
        <w:t xml:space="preserve">    1.18</w:t>
      </w:r>
      <w:r>
        <w:rPr>
          <w:rFonts w:hint="eastAsia" w:ascii="仿宋" w:hAnsi="仿宋" w:eastAsia="仿宋" w:cs="仿宋"/>
          <w:color w:val="auto"/>
          <w:sz w:val="24"/>
          <w:highlight w:val="none"/>
          <w:u w:val="single"/>
          <w:lang w:eastAsia="zh-CN"/>
        </w:rPr>
        <w:t>配合采购人完成</w:t>
      </w:r>
      <w:r>
        <w:rPr>
          <w:rFonts w:hint="eastAsia" w:ascii="仿宋" w:hAnsi="仿宋" w:eastAsia="仿宋" w:cs="仿宋"/>
          <w:color w:val="auto"/>
          <w:sz w:val="24"/>
          <w:highlight w:val="none"/>
          <w:u w:val="single"/>
          <w:lang w:val="en-US" w:eastAsia="zh-CN"/>
        </w:rPr>
        <w:t>第三方技术服务机构</w:t>
      </w:r>
      <w:r>
        <w:rPr>
          <w:rFonts w:hint="eastAsia" w:ascii="仿宋" w:hAnsi="仿宋" w:eastAsia="仿宋" w:cs="仿宋"/>
          <w:color w:val="auto"/>
          <w:sz w:val="24"/>
          <w:highlight w:val="none"/>
          <w:u w:val="single"/>
          <w:lang w:eastAsia="zh-CN"/>
        </w:rPr>
        <w:t>确认。</w:t>
      </w:r>
    </w:p>
    <w:p w14:paraId="7E4BF688">
      <w:pPr>
        <w:spacing w:line="360" w:lineRule="auto"/>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u w:val="single"/>
        </w:rPr>
        <w:t>1.1</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竣工验收前</w:t>
      </w:r>
      <w:r>
        <w:rPr>
          <w:rFonts w:hint="eastAsia" w:ascii="仿宋" w:hAnsi="仿宋" w:eastAsia="仿宋" w:cs="仿宋"/>
          <w:color w:val="auto"/>
          <w:sz w:val="24"/>
          <w:highlight w:val="none"/>
          <w:u w:val="single"/>
          <w:lang w:val="en-US" w:eastAsia="zh-CN"/>
        </w:rPr>
        <w:t>30日历天内</w:t>
      </w:r>
      <w:r>
        <w:rPr>
          <w:rFonts w:hint="eastAsia" w:ascii="仿宋" w:hAnsi="仿宋" w:eastAsia="仿宋" w:cs="仿宋"/>
          <w:color w:val="auto"/>
          <w:sz w:val="24"/>
          <w:highlight w:val="none"/>
          <w:u w:val="single"/>
        </w:rPr>
        <w:t>，应向采购人提供本项目的全套竣工资料，在工程验收合格后10天内，向采购人提供4份竣工结算报告书、竣工归档资料，相关费用包含在报价中。供应商提交的竣工资料符合国家工程验收有关规定</w:t>
      </w:r>
      <w:r>
        <w:rPr>
          <w:rFonts w:hint="eastAsia" w:ascii="仿宋" w:hAnsi="仿宋" w:eastAsia="仿宋" w:cs="仿宋"/>
          <w:color w:val="auto"/>
          <w:sz w:val="24"/>
          <w:highlight w:val="none"/>
          <w:u w:val="single"/>
          <w:lang w:eastAsia="zh-CN"/>
        </w:rPr>
        <w:t>。</w:t>
      </w:r>
    </w:p>
    <w:p w14:paraId="5A837923">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u w:val="single"/>
          <w:lang w:val="en-US" w:eastAsia="zh-CN"/>
        </w:rPr>
        <w:t>20</w:t>
      </w:r>
      <w:r>
        <w:rPr>
          <w:rFonts w:hint="eastAsia" w:ascii="仿宋" w:hAnsi="仿宋" w:eastAsia="仿宋" w:cs="仿宋"/>
          <w:color w:val="auto"/>
          <w:sz w:val="24"/>
          <w:highlight w:val="none"/>
          <w:u w:val="single"/>
        </w:rPr>
        <w:t>保密要求：</w:t>
      </w:r>
    </w:p>
    <w:p w14:paraId="30D47577">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（1）采购人应当对供应商及工作人员开展常态化安全保密教育，组织签订安全保密承诺书，明确具体安全管理内容、安全保密义务和责任；</w:t>
      </w:r>
    </w:p>
    <w:p w14:paraId="3D92557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2）供应商及工作人员违反安全管理要求，构成违法犯罪的，采购人应当及时报送本级政府采购和市场监督管理部门，提请列入政府采购严重违法失信行为记录名单、市场监督管理严重失信名单，并追究相关责任。</w:t>
      </w:r>
    </w:p>
    <w:p w14:paraId="00F5FEE1">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（3）供应商严格按照采购人规定使用、存储、处理文档资料和数据。合同终止时，应当交还全部资料和数据。</w:t>
      </w:r>
    </w:p>
    <w:p w14:paraId="3AA13FE3">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（4）供应商需与采购人签署保密协议，供应商对在项目实施期间所获得的采购人的情报和资料有保密义务（包括但不限于合同</w:t>
      </w:r>
      <w:r>
        <w:rPr>
          <w:rFonts w:hint="eastAsia" w:ascii="仿宋" w:hAnsi="仿宋" w:eastAsia="仿宋" w:cs="仿宋"/>
          <w:color w:val="auto"/>
          <w:sz w:val="24"/>
          <w:highlight w:val="none"/>
          <w:u w:val="single"/>
          <w:lang w:eastAsia="zh-CN"/>
        </w:rPr>
        <w:t>履约</w:t>
      </w:r>
      <w:r>
        <w:rPr>
          <w:rFonts w:hint="eastAsia" w:ascii="仿宋" w:hAnsi="仿宋" w:eastAsia="仿宋" w:cs="仿宋"/>
          <w:color w:val="auto"/>
          <w:sz w:val="24"/>
          <w:highlight w:val="none"/>
          <w:u w:val="single"/>
        </w:rPr>
        <w:t>期内），泄漏秘密应承担的责任。如有违反，按合同的违约条款向采购人支付违约金，造成采购人损失的应予赔偿，涉嫌犯罪的依法追究刑事责任。</w:t>
      </w:r>
    </w:p>
    <w:p w14:paraId="1EFFD57C">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（5）若项目涉及分包的，供应商须按照以上保密要求，与分包供应商签订单位保密协议、个人保密承诺书、开展日常保密教育等措施，确保分包供应商严格落实各项保密规定。</w:t>
      </w:r>
    </w:p>
    <w:p w14:paraId="267AD5E3">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2.工程主要材料（设备）要求:  </w:t>
      </w:r>
    </w:p>
    <w:p w14:paraId="564AF2A7">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2.1本项目各项由供应商提供的材料，必须是符合国家现行质量标准和环保要求的材料，相关材料采用中档以上材质、品牌，在采购前报采购人确认。</w:t>
      </w:r>
    </w:p>
    <w:p w14:paraId="13BE2614">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2.2▲绿色包装要求：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DFF7110">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2.3▲绿色建材要求：按《关于扩大政府采购支持绿色建材促进建筑品质提升政策实施范围的通知》（财库〔2022〕35号）执行。</w:t>
      </w:r>
    </w:p>
    <w:p w14:paraId="47F793FD">
      <w:pPr>
        <w:pStyle w:val="44"/>
        <w:spacing w:line="360" w:lineRule="auto"/>
        <w:ind w:firstLine="720" w:firstLineChars="3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▲为实质性技术要求，负偏离将会视为无效投标。</w:t>
      </w:r>
    </w:p>
    <w:p w14:paraId="5E2867DF">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3.本项目监理单位工作职责：</w:t>
      </w:r>
    </w:p>
    <w:p w14:paraId="796FDABF">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监理单位按采购人委托监理的范围、内容、职权和权限，代表采购人对工程的进度、质量、投资、安全、验收等实施监督控制工作，供应商应积极配合。监理单位向供应商发出的通知，以书面形式由项目总监签字后送交供应商实施，并抄送采购人。</w:t>
      </w:r>
    </w:p>
    <w:p w14:paraId="1BC3AAE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本项目磋商内容：供应商针对本项目的施工组织措施保证情况</w:t>
      </w:r>
      <w:r>
        <w:rPr>
          <w:rFonts w:hint="eastAsia" w:ascii="仿宋" w:hAnsi="仿宋" w:eastAsia="仿宋" w:cs="仿宋"/>
          <w:color w:val="auto"/>
          <w:sz w:val="24"/>
          <w:highlight w:val="none"/>
          <w:u w:val="single"/>
          <w:lang w:eastAsia="zh-CN"/>
        </w:rPr>
        <w:t>，配合采购人做好</w:t>
      </w:r>
      <w:r>
        <w:rPr>
          <w:rFonts w:hint="eastAsia" w:ascii="仿宋" w:hAnsi="仿宋" w:eastAsia="仿宋" w:cs="仿宋"/>
          <w:color w:val="auto"/>
          <w:sz w:val="24"/>
          <w:highlight w:val="none"/>
          <w:u w:val="single"/>
          <w:lang w:val="en-US" w:eastAsia="zh-CN"/>
        </w:rPr>
        <w:t>第三方技术服务机构</w:t>
      </w:r>
      <w:r>
        <w:rPr>
          <w:rFonts w:hint="eastAsia" w:ascii="仿宋" w:hAnsi="仿宋" w:eastAsia="仿宋" w:cs="仿宋"/>
          <w:color w:val="auto"/>
          <w:sz w:val="24"/>
          <w:highlight w:val="none"/>
          <w:u w:val="single"/>
          <w:lang w:eastAsia="zh-CN"/>
        </w:rPr>
        <w:t>确认的相关举措</w:t>
      </w:r>
      <w:r>
        <w:rPr>
          <w:rFonts w:hint="eastAsia" w:ascii="仿宋" w:hAnsi="仿宋" w:eastAsia="仿宋" w:cs="仿宋"/>
          <w:color w:val="auto"/>
          <w:sz w:val="24"/>
          <w:highlight w:val="none"/>
          <w:u w:val="single"/>
        </w:rPr>
        <w:t>。</w:t>
      </w:r>
    </w:p>
    <w:p w14:paraId="39AEAFF8">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（八）</w:t>
      </w:r>
      <w:r>
        <w:rPr>
          <w:rFonts w:hint="eastAsia" w:ascii="仿宋" w:hAnsi="仿宋" w:eastAsia="仿宋" w:cs="仿宋"/>
          <w:b/>
          <w:color w:val="auto"/>
          <w:sz w:val="24"/>
          <w:highlight w:val="none"/>
        </w:rPr>
        <w:t>验收方案</w:t>
      </w:r>
    </w:p>
    <w:p w14:paraId="1A845A24">
      <w:pPr>
        <w:widowControl/>
        <w:adjustRightIn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eastAsia="zh-CN"/>
        </w:rPr>
        <w:t>采购</w:t>
      </w:r>
      <w:r>
        <w:rPr>
          <w:rFonts w:hint="eastAsia" w:ascii="仿宋" w:hAnsi="仿宋" w:eastAsia="仿宋" w:cs="仿宋"/>
          <w:color w:val="auto"/>
          <w:kern w:val="0"/>
          <w:sz w:val="24"/>
          <w:highlight w:val="none"/>
        </w:rPr>
        <w:t>人按照《房屋建筑和市政基础设施工程竣工验收规定》（建质〔2013〕171号）、《关于贯彻《房屋建筑和市政基础设施工程竣工验收规定》的通知》(杭建工发【2015】192号)规定组织对中标人履约的验收。验收方成员由发包人1人、设计1人、监理1人、政府采购咨询专家2人，共5人组成（其中政府采购咨询专家通过浙江政府采购网-政企云系统相关专业随机抽取产生），验收方成员应当在验收书上签字，并承担相应的法律责任。如果发现与合同中要求不符，</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须承担由此发生的一切损失和费用，并接受相应的处理。</w:t>
      </w:r>
    </w:p>
    <w:p w14:paraId="75CA8EDF">
      <w:pPr>
        <w:widowControl/>
        <w:adjustRightIn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2.严格按照合同开展履约验收。</w:t>
      </w:r>
      <w:r>
        <w:rPr>
          <w:rFonts w:hint="eastAsia" w:ascii="仿宋" w:hAnsi="仿宋" w:eastAsia="仿宋" w:cs="仿宋"/>
          <w:color w:val="auto"/>
          <w:kern w:val="0"/>
          <w:sz w:val="24"/>
          <w:highlight w:val="none"/>
          <w:lang w:eastAsia="zh-CN"/>
        </w:rPr>
        <w:t>采购</w:t>
      </w:r>
      <w:r>
        <w:rPr>
          <w:rFonts w:hint="eastAsia" w:ascii="仿宋" w:hAnsi="仿宋" w:eastAsia="仿宋" w:cs="仿宋"/>
          <w:color w:val="auto"/>
          <w:kern w:val="0"/>
          <w:sz w:val="24"/>
          <w:highlight w:val="none"/>
        </w:rPr>
        <w:t>人成立验收小组，按照合同、施工图纸、清单的约定对</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履约情况进行验收，验收时，按照合同、施工图纸、清单的约定及工程相关验收标准对工程实施情况进行确认，出具验收报告并经验收小组全体成员签字。根据施工过程中发生的工程变更（如有），按照合同约定要求对变更实施情况进行确认及审核。</w:t>
      </w:r>
      <w:r>
        <w:rPr>
          <w:rFonts w:hint="eastAsia" w:ascii="仿宋" w:hAnsi="仿宋" w:eastAsia="仿宋" w:cs="仿宋"/>
          <w:color w:val="auto"/>
          <w:kern w:val="0"/>
          <w:sz w:val="24"/>
          <w:highlight w:val="none"/>
          <w:lang w:eastAsia="zh-CN"/>
        </w:rPr>
        <w:t>采购</w:t>
      </w:r>
      <w:r>
        <w:rPr>
          <w:rFonts w:hint="eastAsia" w:ascii="仿宋" w:hAnsi="仿宋" w:eastAsia="仿宋" w:cs="仿宋"/>
          <w:color w:val="auto"/>
          <w:kern w:val="0"/>
          <w:sz w:val="24"/>
          <w:highlight w:val="none"/>
        </w:rPr>
        <w:t>人根据验收报告形成验收意见并经</w:t>
      </w:r>
      <w:r>
        <w:rPr>
          <w:rFonts w:hint="eastAsia" w:ascii="仿宋" w:hAnsi="仿宋" w:eastAsia="仿宋" w:cs="仿宋"/>
          <w:color w:val="auto"/>
          <w:kern w:val="0"/>
          <w:sz w:val="24"/>
          <w:highlight w:val="none"/>
          <w:lang w:eastAsia="zh-CN"/>
        </w:rPr>
        <w:t>采购</w:t>
      </w:r>
      <w:r>
        <w:rPr>
          <w:rFonts w:hint="eastAsia" w:ascii="仿宋" w:hAnsi="仿宋" w:eastAsia="仿宋" w:cs="仿宋"/>
          <w:color w:val="auto"/>
          <w:kern w:val="0"/>
          <w:sz w:val="24"/>
          <w:highlight w:val="none"/>
        </w:rPr>
        <w:t>人与</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签字盖章，并在财政指定媒体上公示无异议后生效。验收结果与采购合同约定的资金支付及履约保证金返还条件挂钩。履约验收的各项资料应当存档备查。</w:t>
      </w:r>
    </w:p>
    <w:p w14:paraId="0A2D08A9">
      <w:pPr>
        <w:widowControl/>
        <w:adjustRightIn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3.验收合格的项目，</w:t>
      </w:r>
      <w:r>
        <w:rPr>
          <w:rFonts w:hint="eastAsia" w:ascii="仿宋" w:hAnsi="仿宋" w:eastAsia="仿宋" w:cs="仿宋"/>
          <w:color w:val="auto"/>
          <w:kern w:val="0"/>
          <w:sz w:val="24"/>
          <w:highlight w:val="none"/>
          <w:lang w:eastAsia="zh-CN"/>
        </w:rPr>
        <w:t>采购</w:t>
      </w:r>
      <w:r>
        <w:rPr>
          <w:rFonts w:hint="eastAsia" w:ascii="仿宋" w:hAnsi="仿宋" w:eastAsia="仿宋" w:cs="仿宋"/>
          <w:color w:val="auto"/>
          <w:kern w:val="0"/>
          <w:sz w:val="24"/>
          <w:highlight w:val="none"/>
        </w:rPr>
        <w:t>人将根据采购合同的约定及时向</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支付采购资金、退还履约保证金。验收不合格的项目，</w:t>
      </w:r>
      <w:r>
        <w:rPr>
          <w:rFonts w:hint="eastAsia" w:ascii="仿宋" w:hAnsi="仿宋" w:eastAsia="仿宋" w:cs="仿宋"/>
          <w:color w:val="auto"/>
          <w:kern w:val="0"/>
          <w:sz w:val="24"/>
          <w:highlight w:val="none"/>
          <w:lang w:eastAsia="zh-CN"/>
        </w:rPr>
        <w:t>采购</w:t>
      </w:r>
      <w:r>
        <w:rPr>
          <w:rFonts w:hint="eastAsia" w:ascii="仿宋" w:hAnsi="仿宋" w:eastAsia="仿宋" w:cs="仿宋"/>
          <w:color w:val="auto"/>
          <w:kern w:val="0"/>
          <w:sz w:val="24"/>
          <w:highlight w:val="none"/>
        </w:rPr>
        <w:t>人将依据合同约定及时处理。采购合同的履行、违约责任和解决争议的方式等适用《中华人民共和国民法典》。</w:t>
      </w:r>
    </w:p>
    <w:p w14:paraId="187CBE11">
      <w:pPr>
        <w:widowControl/>
        <w:adjustRightIn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4.验收产生的费用首次验收费用由</w:t>
      </w:r>
      <w:r>
        <w:rPr>
          <w:rFonts w:hint="eastAsia" w:ascii="仿宋" w:hAnsi="仿宋" w:eastAsia="仿宋" w:cs="仿宋"/>
          <w:color w:val="auto"/>
          <w:kern w:val="0"/>
          <w:sz w:val="24"/>
          <w:highlight w:val="none"/>
          <w:lang w:eastAsia="zh-CN"/>
        </w:rPr>
        <w:t>采购</w:t>
      </w:r>
      <w:r>
        <w:rPr>
          <w:rFonts w:hint="eastAsia" w:ascii="仿宋" w:hAnsi="仿宋" w:eastAsia="仿宋" w:cs="仿宋"/>
          <w:color w:val="auto"/>
          <w:kern w:val="0"/>
          <w:sz w:val="24"/>
          <w:highlight w:val="none"/>
        </w:rPr>
        <w:t>人承担，如首次验收不合格，后续验收费用由</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支付。</w:t>
      </w:r>
    </w:p>
    <w:p w14:paraId="4C5C16A8">
      <w:pPr>
        <w:widowControl/>
        <w:tabs>
          <w:tab w:val="left" w:pos="904"/>
        </w:tabs>
        <w:adjustRightInd/>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验收内容及资料要求：</w:t>
      </w:r>
    </w:p>
    <w:p w14:paraId="505431CF">
      <w:pPr>
        <w:widowControl/>
        <w:tabs>
          <w:tab w:val="left" w:pos="904"/>
        </w:tabs>
        <w:adjustRightInd/>
        <w:snapToGrid w:val="0"/>
        <w:spacing w:line="360" w:lineRule="auto"/>
        <w:ind w:firstLine="480" w:firstLineChars="200"/>
        <w:jc w:val="left"/>
        <w:rPr>
          <w:rFonts w:hint="eastAsia"/>
          <w:color w:val="auto"/>
          <w:highlight w:val="none"/>
        </w:rPr>
      </w:pPr>
      <w:r>
        <w:rPr>
          <w:rFonts w:hint="eastAsia" w:ascii="仿宋" w:hAnsi="仿宋" w:eastAsia="仿宋" w:cs="仿宋"/>
          <w:color w:val="auto"/>
          <w:sz w:val="24"/>
          <w:highlight w:val="none"/>
        </w:rPr>
        <w:t>工程验收应符合国家强制性规定、政策要求、安全标准、行业或企业有关标准等。</w:t>
      </w:r>
    </w:p>
    <w:p w14:paraId="027CAA1F">
      <w:pPr>
        <w:widowControl/>
        <w:tabs>
          <w:tab w:val="left" w:pos="904"/>
        </w:tabs>
        <w:adjustRightInd/>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5.1验收内容</w:t>
      </w:r>
    </w:p>
    <w:tbl>
      <w:tblPr>
        <w:tblStyle w:val="62"/>
        <w:tblW w:w="48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1946"/>
        <w:gridCol w:w="6708"/>
      </w:tblGrid>
      <w:tr w14:paraId="3CCF3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9" w:type="pct"/>
            <w:vAlign w:val="center"/>
          </w:tcPr>
          <w:p w14:paraId="6EE30FAC">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序号</w:t>
            </w:r>
          </w:p>
        </w:tc>
        <w:tc>
          <w:tcPr>
            <w:tcW w:w="1014" w:type="pct"/>
            <w:vAlign w:val="center"/>
          </w:tcPr>
          <w:p w14:paraId="24AD7C69">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验收内容</w:t>
            </w:r>
          </w:p>
        </w:tc>
        <w:tc>
          <w:tcPr>
            <w:tcW w:w="3495" w:type="pct"/>
            <w:vAlign w:val="center"/>
          </w:tcPr>
          <w:p w14:paraId="6050FAB9">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验收标准</w:t>
            </w:r>
          </w:p>
        </w:tc>
      </w:tr>
      <w:tr w14:paraId="148A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9" w:type="pct"/>
            <w:vAlign w:val="center"/>
          </w:tcPr>
          <w:p w14:paraId="29905018">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w:t>
            </w:r>
          </w:p>
        </w:tc>
        <w:tc>
          <w:tcPr>
            <w:tcW w:w="1014" w:type="pct"/>
            <w:vAlign w:val="center"/>
          </w:tcPr>
          <w:p w14:paraId="6CB16C8C">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施工质量</w:t>
            </w:r>
          </w:p>
        </w:tc>
        <w:tc>
          <w:tcPr>
            <w:tcW w:w="3495" w:type="pct"/>
            <w:vAlign w:val="center"/>
          </w:tcPr>
          <w:p w14:paraId="40C7A181">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符合现行国家有关工程施工验收规范和标准的合格要求</w:t>
            </w:r>
          </w:p>
        </w:tc>
      </w:tr>
      <w:tr w14:paraId="7306A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9" w:type="pct"/>
            <w:vAlign w:val="center"/>
          </w:tcPr>
          <w:p w14:paraId="2366C206">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w:t>
            </w:r>
          </w:p>
        </w:tc>
        <w:tc>
          <w:tcPr>
            <w:tcW w:w="1014" w:type="pct"/>
            <w:vAlign w:val="center"/>
          </w:tcPr>
          <w:p w14:paraId="4C481F7E">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施工进度</w:t>
            </w:r>
          </w:p>
        </w:tc>
        <w:tc>
          <w:tcPr>
            <w:tcW w:w="3495" w:type="pct"/>
            <w:vAlign w:val="center"/>
          </w:tcPr>
          <w:p w14:paraId="5BE0B4AC">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在合同工期内完工</w:t>
            </w:r>
            <w:r>
              <w:rPr>
                <w:rFonts w:hint="eastAsia" w:ascii="仿宋" w:hAnsi="仿宋" w:eastAsia="仿宋" w:cs="仿宋"/>
                <w:color w:val="auto"/>
                <w:sz w:val="24"/>
                <w:highlight w:val="none"/>
                <w:lang w:eastAsia="zh-CN"/>
              </w:rPr>
              <w:t>，并通过</w:t>
            </w:r>
            <w:r>
              <w:rPr>
                <w:rFonts w:hint="eastAsia" w:ascii="仿宋" w:hAnsi="仿宋" w:eastAsia="仿宋" w:cs="仿宋"/>
                <w:color w:val="auto"/>
                <w:sz w:val="24"/>
                <w:highlight w:val="none"/>
                <w:lang w:val="en-US" w:eastAsia="zh-CN"/>
              </w:rPr>
              <w:t>第三方技术服务机构</w:t>
            </w:r>
            <w:r>
              <w:rPr>
                <w:rFonts w:hint="eastAsia" w:ascii="仿宋" w:hAnsi="仿宋" w:eastAsia="仿宋" w:cs="仿宋"/>
                <w:color w:val="auto"/>
                <w:sz w:val="24"/>
                <w:highlight w:val="none"/>
                <w:lang w:eastAsia="zh-CN"/>
              </w:rPr>
              <w:t>确认</w:t>
            </w:r>
          </w:p>
        </w:tc>
      </w:tr>
      <w:tr w14:paraId="7942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9" w:type="pct"/>
            <w:vAlign w:val="center"/>
          </w:tcPr>
          <w:p w14:paraId="092B61EF">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w:t>
            </w:r>
          </w:p>
        </w:tc>
        <w:tc>
          <w:tcPr>
            <w:tcW w:w="1014" w:type="pct"/>
            <w:vAlign w:val="center"/>
          </w:tcPr>
          <w:p w14:paraId="64107B03">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安全文明施工</w:t>
            </w:r>
          </w:p>
        </w:tc>
        <w:tc>
          <w:tcPr>
            <w:tcW w:w="3495" w:type="pct"/>
            <w:vAlign w:val="center"/>
          </w:tcPr>
          <w:p w14:paraId="775F7A9D">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符合《建筑施工安全检查标准》要求</w:t>
            </w:r>
          </w:p>
        </w:tc>
      </w:tr>
      <w:tr w14:paraId="2066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9" w:type="pct"/>
            <w:vAlign w:val="center"/>
          </w:tcPr>
          <w:p w14:paraId="06CC1141">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1014" w:type="pct"/>
            <w:vAlign w:val="center"/>
          </w:tcPr>
          <w:p w14:paraId="03497474">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施工材料</w:t>
            </w:r>
          </w:p>
        </w:tc>
        <w:tc>
          <w:tcPr>
            <w:tcW w:w="3495" w:type="pct"/>
            <w:vAlign w:val="center"/>
          </w:tcPr>
          <w:p w14:paraId="700385F8">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符合</w:t>
            </w:r>
            <w:r>
              <w:rPr>
                <w:rFonts w:hint="eastAsia" w:ascii="仿宋" w:hAnsi="仿宋" w:eastAsia="仿宋" w:cs="仿宋"/>
                <w:color w:val="auto"/>
                <w:sz w:val="24"/>
                <w:highlight w:val="none"/>
                <w:lang w:eastAsia="zh-CN"/>
              </w:rPr>
              <w:t>磋商响应</w:t>
            </w:r>
            <w:r>
              <w:rPr>
                <w:rFonts w:hint="eastAsia" w:ascii="仿宋" w:hAnsi="仿宋" w:eastAsia="仿宋" w:cs="仿宋"/>
                <w:color w:val="auto"/>
                <w:sz w:val="24"/>
                <w:highlight w:val="none"/>
              </w:rPr>
              <w:t>文件品牌、型号要求</w:t>
            </w:r>
          </w:p>
        </w:tc>
      </w:tr>
      <w:tr w14:paraId="21AC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9" w:type="pct"/>
            <w:vAlign w:val="center"/>
          </w:tcPr>
          <w:p w14:paraId="6DB51249">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5</w:t>
            </w:r>
          </w:p>
        </w:tc>
        <w:tc>
          <w:tcPr>
            <w:tcW w:w="1014" w:type="pct"/>
            <w:vAlign w:val="center"/>
          </w:tcPr>
          <w:p w14:paraId="35751BD1">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隐蔽验收</w:t>
            </w:r>
          </w:p>
        </w:tc>
        <w:tc>
          <w:tcPr>
            <w:tcW w:w="3495" w:type="pct"/>
            <w:vAlign w:val="center"/>
          </w:tcPr>
          <w:p w14:paraId="5121745A">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符合工程隐蔽验收条件，达到工程隐蔽验收要求</w:t>
            </w:r>
          </w:p>
        </w:tc>
      </w:tr>
      <w:tr w14:paraId="7DE74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9" w:type="pct"/>
            <w:vAlign w:val="center"/>
          </w:tcPr>
          <w:p w14:paraId="4938F0A4">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6</w:t>
            </w:r>
          </w:p>
        </w:tc>
        <w:tc>
          <w:tcPr>
            <w:tcW w:w="1014" w:type="pct"/>
            <w:vAlign w:val="center"/>
          </w:tcPr>
          <w:p w14:paraId="6F91B8D0">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人员验收</w:t>
            </w:r>
          </w:p>
        </w:tc>
        <w:tc>
          <w:tcPr>
            <w:tcW w:w="3495" w:type="pct"/>
            <w:vAlign w:val="center"/>
          </w:tcPr>
          <w:p w14:paraId="5B50AE27">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人员资质、到位率符合合同约定的要求</w:t>
            </w:r>
          </w:p>
        </w:tc>
      </w:tr>
      <w:tr w14:paraId="0150E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9" w:type="pct"/>
            <w:vAlign w:val="center"/>
          </w:tcPr>
          <w:p w14:paraId="13D1EF86">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7</w:t>
            </w:r>
          </w:p>
        </w:tc>
        <w:tc>
          <w:tcPr>
            <w:tcW w:w="1014" w:type="pct"/>
            <w:vAlign w:val="center"/>
          </w:tcPr>
          <w:p w14:paraId="24AB0391">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保密要求</w:t>
            </w:r>
          </w:p>
        </w:tc>
        <w:tc>
          <w:tcPr>
            <w:tcW w:w="3495" w:type="pct"/>
            <w:vAlign w:val="center"/>
          </w:tcPr>
          <w:p w14:paraId="0D3D6CAF">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满足发包人的保密规定实施，签订单位保密协议及保密承诺书、开展</w:t>
            </w:r>
            <w:r>
              <w:rPr>
                <w:rFonts w:hint="eastAsia" w:ascii="仿宋" w:hAnsi="仿宋" w:eastAsia="仿宋" w:cs="仿宋"/>
                <w:color w:val="auto"/>
                <w:kern w:val="0"/>
                <w:sz w:val="24"/>
                <w:highlight w:val="none"/>
              </w:rPr>
              <w:t>日常保密教育</w:t>
            </w:r>
            <w:r>
              <w:rPr>
                <w:rFonts w:hint="eastAsia" w:ascii="仿宋" w:hAnsi="仿宋" w:eastAsia="仿宋" w:cs="仿宋"/>
                <w:color w:val="auto"/>
                <w:sz w:val="24"/>
                <w:highlight w:val="none"/>
              </w:rPr>
              <w:t>。</w:t>
            </w:r>
          </w:p>
        </w:tc>
      </w:tr>
      <w:tr w14:paraId="17B9B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9" w:type="pct"/>
            <w:vAlign w:val="center"/>
          </w:tcPr>
          <w:p w14:paraId="396B5746">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8</w:t>
            </w:r>
          </w:p>
        </w:tc>
        <w:tc>
          <w:tcPr>
            <w:tcW w:w="1014" w:type="pct"/>
            <w:vAlign w:val="center"/>
          </w:tcPr>
          <w:p w14:paraId="30577671">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其他资料</w:t>
            </w:r>
          </w:p>
        </w:tc>
        <w:tc>
          <w:tcPr>
            <w:tcW w:w="3495" w:type="pct"/>
            <w:vAlign w:val="center"/>
          </w:tcPr>
          <w:p w14:paraId="69F3DEB0">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符合杭州市工程竣工验收标准</w:t>
            </w:r>
          </w:p>
        </w:tc>
      </w:tr>
      <w:tr w14:paraId="19236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9" w:type="pct"/>
            <w:vAlign w:val="center"/>
          </w:tcPr>
          <w:p w14:paraId="521795FB">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9</w:t>
            </w:r>
          </w:p>
        </w:tc>
        <w:tc>
          <w:tcPr>
            <w:tcW w:w="1014" w:type="pct"/>
            <w:vAlign w:val="center"/>
          </w:tcPr>
          <w:p w14:paraId="3022D393">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施工变更</w:t>
            </w:r>
          </w:p>
        </w:tc>
        <w:tc>
          <w:tcPr>
            <w:tcW w:w="3495" w:type="pct"/>
            <w:vAlign w:val="center"/>
          </w:tcPr>
          <w:p w14:paraId="6B60A2D7">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符合合同约定的变更要求</w:t>
            </w:r>
          </w:p>
        </w:tc>
      </w:tr>
      <w:tr w14:paraId="5EA6E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9" w:type="pct"/>
            <w:vAlign w:val="center"/>
          </w:tcPr>
          <w:p w14:paraId="7840D237">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10</w:t>
            </w:r>
          </w:p>
        </w:tc>
        <w:tc>
          <w:tcPr>
            <w:tcW w:w="1014" w:type="pct"/>
            <w:vAlign w:val="center"/>
          </w:tcPr>
          <w:p w14:paraId="1F7C8C89">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中小</w:t>
            </w:r>
            <w:r>
              <w:rPr>
                <w:rFonts w:ascii="仿宋" w:hAnsi="仿宋" w:eastAsia="仿宋" w:cs="仿宋"/>
                <w:bCs/>
                <w:color w:val="auto"/>
                <w:kern w:val="0"/>
                <w:sz w:val="24"/>
                <w:highlight w:val="none"/>
              </w:rPr>
              <w:t>企业份额实际情况</w:t>
            </w:r>
          </w:p>
        </w:tc>
        <w:tc>
          <w:tcPr>
            <w:tcW w:w="3495" w:type="pct"/>
            <w:vAlign w:val="center"/>
          </w:tcPr>
          <w:p w14:paraId="4BF280AD">
            <w:pPr>
              <w:widowControl/>
              <w:spacing w:line="360" w:lineRule="auto"/>
              <w:jc w:val="center"/>
              <w:rPr>
                <w:rFonts w:hint="default" w:ascii="仿宋" w:hAnsi="仿宋" w:eastAsia="仿宋" w:cs="仿宋"/>
                <w:bCs/>
                <w:color w:val="auto"/>
                <w:kern w:val="0"/>
                <w:sz w:val="24"/>
                <w:highlight w:val="none"/>
                <w:lang w:val="en-US" w:eastAsia="zh-CN"/>
              </w:rPr>
            </w:pPr>
            <w:r>
              <w:rPr>
                <w:rFonts w:hint="default" w:ascii="仿宋" w:hAnsi="仿宋" w:eastAsia="仿宋" w:cs="仿宋"/>
                <w:bCs/>
                <w:color w:val="auto"/>
                <w:kern w:val="0"/>
                <w:sz w:val="24"/>
                <w:highlight w:val="none"/>
                <w:lang w:val="en-US" w:eastAsia="zh-CN"/>
              </w:rPr>
              <w:t>符合《杭州市财政局关于进一步支持中小企业参加政府采购活动的通知》(杭财采监〔2022〕7号)的要求，由符合政策要求的中小企业承接（小微企业100%）。</w:t>
            </w:r>
          </w:p>
        </w:tc>
      </w:tr>
    </w:tbl>
    <w:p w14:paraId="789BFAD0">
      <w:pPr>
        <w:widowControl/>
        <w:tabs>
          <w:tab w:val="left" w:pos="904"/>
        </w:tabs>
        <w:adjustRightInd/>
        <w:snapToGrid w:val="0"/>
        <w:spacing w:line="360" w:lineRule="auto"/>
        <w:ind w:firstLine="480" w:firstLineChars="200"/>
        <w:jc w:val="left"/>
        <w:rPr>
          <w:rFonts w:hint="eastAsia" w:ascii="仿宋" w:hAnsi="仿宋" w:eastAsia="仿宋" w:cs="仿宋"/>
          <w:color w:val="auto"/>
          <w:sz w:val="24"/>
          <w:highlight w:val="none"/>
        </w:rPr>
      </w:pPr>
    </w:p>
    <w:p w14:paraId="6AF1C66A">
      <w:pPr>
        <w:widowControl/>
        <w:tabs>
          <w:tab w:val="left" w:pos="904"/>
        </w:tabs>
        <w:adjustRightInd/>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5.2验收资料要求</w:t>
      </w:r>
    </w:p>
    <w:p w14:paraId="4CE7B178">
      <w:pPr>
        <w:widowControl/>
        <w:tabs>
          <w:tab w:val="left" w:pos="904"/>
        </w:tabs>
        <w:adjustRightInd/>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验收资料要求包括（不限于）以下内容：</w:t>
      </w:r>
    </w:p>
    <w:p w14:paraId="3ADE955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（1）竞争性磋商文件</w:t>
      </w:r>
    </w:p>
    <w:p w14:paraId="57B91F6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（2）响应文件</w:t>
      </w:r>
    </w:p>
    <w:p w14:paraId="18C5335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（3）合同</w:t>
      </w:r>
    </w:p>
    <w:p w14:paraId="6FAD4F7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工程竣工验收报告（包含工程质量竣工验收记录、工程竣工验收报告）、单位工程质量控制资料核查记录、单位工程安全和功能检验资料核查及主要功能抽查记录、隐蔽工程验收单及相关影像资料、施工方案（含工期、质量、安全文明保证措施方案）、材料运输计划方案、施工组织设计、施工进度计划、施工材料报验资料；</w:t>
      </w:r>
    </w:p>
    <w:p w14:paraId="6377ADC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（5）图纸会审纪要、设计（变更）联系单（如有）、工程联系单（如有）等设计技术资料；</w:t>
      </w:r>
    </w:p>
    <w:p w14:paraId="465B1A6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（6）项目组人员到位情况：项目组人员到位率、每日钉钉考勤打卡记录、项目负责人和技术负责人资质证书、工作经历</w:t>
      </w:r>
      <w:r>
        <w:rPr>
          <w:rFonts w:hint="eastAsia" w:ascii="仿宋" w:hAnsi="仿宋" w:eastAsia="仿宋" w:cs="仿宋"/>
          <w:color w:val="auto"/>
          <w:sz w:val="24"/>
          <w:highlight w:val="none"/>
          <w:lang w:eastAsia="zh-CN"/>
        </w:rPr>
        <w:t>证明</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eastAsia="zh-CN"/>
        </w:rPr>
        <w:t>社保缴纳证明、人员变更审批表（如有）</w:t>
      </w:r>
      <w:r>
        <w:rPr>
          <w:rFonts w:hint="eastAsia" w:ascii="仿宋" w:hAnsi="仿宋" w:eastAsia="仿宋" w:cs="仿宋"/>
          <w:color w:val="auto"/>
          <w:sz w:val="24"/>
          <w:highlight w:val="none"/>
        </w:rPr>
        <w:t>；</w:t>
      </w:r>
    </w:p>
    <w:p w14:paraId="58A5095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（7）投入使用的机械设备清单、材料到货验收清单；</w:t>
      </w:r>
    </w:p>
    <w:p w14:paraId="4996197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（8）其他需提供的相关材料：单位保密协议、个人保密承诺、日常保密教育台账；</w:t>
      </w:r>
    </w:p>
    <w:p w14:paraId="1A42F5A2">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（9）小</w:t>
      </w:r>
      <w:r>
        <w:rPr>
          <w:rFonts w:hint="eastAsia" w:ascii="仿宋" w:hAnsi="仿宋" w:eastAsia="仿宋" w:cs="仿宋"/>
          <w:color w:val="auto"/>
          <w:sz w:val="24"/>
          <w:highlight w:val="none"/>
          <w:lang w:eastAsia="zh-CN"/>
        </w:rPr>
        <w:t>微</w:t>
      </w:r>
      <w:r>
        <w:rPr>
          <w:rFonts w:hint="eastAsia" w:ascii="仿宋" w:hAnsi="仿宋" w:eastAsia="仿宋" w:cs="仿宋"/>
          <w:color w:val="auto"/>
          <w:sz w:val="24"/>
          <w:highlight w:val="none"/>
        </w:rPr>
        <w:t>企业证明材料。</w:t>
      </w:r>
    </w:p>
    <w:p w14:paraId="7DE8838E">
      <w:pPr>
        <w:ind w:firstLine="420" w:firstLineChars="200"/>
        <w:rPr>
          <w:rFonts w:hint="eastAsia" w:ascii="仿宋" w:hAnsi="仿宋" w:eastAsia="仿宋" w:cs="仿宋"/>
          <w:color w:val="auto"/>
          <w:highlight w:val="none"/>
          <w:lang w:eastAsia="zh-CN"/>
        </w:rPr>
      </w:pPr>
    </w:p>
    <w:p w14:paraId="2E7CB3C9">
      <w:pPr>
        <w:numPr>
          <w:ilvl w:val="0"/>
          <w:numId w:val="0"/>
        </w:numPr>
        <w:rPr>
          <w:rFonts w:hint="eastAsia" w:ascii="仿宋" w:hAnsi="仿宋" w:eastAsia="仿宋" w:cs="仿宋"/>
          <w:color w:val="auto"/>
          <w:highlight w:val="none"/>
          <w:lang w:eastAsia="zh-CN"/>
        </w:rPr>
      </w:pPr>
    </w:p>
    <w:p w14:paraId="03DFCD5E">
      <w:pPr>
        <w:pStyle w:val="79"/>
        <w:rPr>
          <w:color w:val="auto"/>
          <w:highlight w:val="none"/>
        </w:rPr>
      </w:pPr>
    </w:p>
    <w:p w14:paraId="4F8F5ED7">
      <w:pPr>
        <w:rPr>
          <w:rFonts w:ascii="仿宋" w:hAnsi="仿宋" w:eastAsia="仿宋" w:cs="仿宋"/>
          <w:color w:val="auto"/>
          <w:highlight w:val="none"/>
        </w:rPr>
      </w:pPr>
    </w:p>
    <w:p w14:paraId="24E3D49F">
      <w:pPr>
        <w:rPr>
          <w:rFonts w:ascii="仿宋" w:hAnsi="仿宋" w:eastAsia="仿宋" w:cs="仿宋"/>
          <w:color w:val="auto"/>
          <w:highlight w:val="none"/>
        </w:rPr>
      </w:pPr>
      <w:r>
        <w:rPr>
          <w:rFonts w:hint="eastAsia" w:ascii="仿宋" w:hAnsi="仿宋" w:eastAsia="仿宋" w:cs="仿宋"/>
          <w:color w:val="auto"/>
          <w:highlight w:val="none"/>
        </w:rPr>
        <w:br w:type="page"/>
      </w:r>
    </w:p>
    <w:p w14:paraId="3DFC6A29">
      <w:pPr>
        <w:rPr>
          <w:rFonts w:ascii="仿宋" w:hAnsi="仿宋" w:eastAsia="仿宋" w:cs="仿宋"/>
          <w:color w:val="auto"/>
          <w:highlight w:val="none"/>
        </w:rPr>
      </w:pPr>
    </w:p>
    <w:p w14:paraId="7B8C1B5D">
      <w:pPr>
        <w:ind w:left="247" w:right="137"/>
        <w:rPr>
          <w:rFonts w:ascii="仿宋" w:hAnsi="仿宋" w:eastAsia="仿宋" w:cs="仿宋"/>
          <w:color w:val="auto"/>
          <w:sz w:val="32"/>
          <w:highlight w:val="none"/>
        </w:rPr>
      </w:pPr>
      <w:r>
        <w:rPr>
          <w:rFonts w:hint="eastAsia" w:ascii="仿宋" w:hAnsi="仿宋" w:eastAsia="仿宋" w:cs="仿宋"/>
          <w:color w:val="auto"/>
          <w:sz w:val="32"/>
          <w:highlight w:val="none"/>
        </w:rPr>
        <w:t xml:space="preserve">附表1     </w:t>
      </w:r>
    </w:p>
    <w:p w14:paraId="1EDF8169">
      <w:pPr>
        <w:ind w:left="247" w:right="137"/>
        <w:jc w:val="center"/>
        <w:rPr>
          <w:rFonts w:ascii="仿宋" w:hAnsi="仿宋" w:eastAsia="仿宋" w:cs="仿宋"/>
          <w:color w:val="auto"/>
          <w:sz w:val="32"/>
          <w:highlight w:val="none"/>
        </w:rPr>
      </w:pPr>
      <w:r>
        <w:rPr>
          <w:rFonts w:hint="eastAsia" w:ascii="仿宋" w:hAnsi="仿宋" w:eastAsia="仿宋" w:cs="仿宋"/>
          <w:b/>
          <w:color w:val="auto"/>
          <w:sz w:val="36"/>
          <w:highlight w:val="none"/>
        </w:rPr>
        <w:t>工程质量竣工验收记录</w:t>
      </w:r>
    </w:p>
    <w:p w14:paraId="272916D8">
      <w:pPr>
        <w:ind w:left="247" w:right="137"/>
        <w:rPr>
          <w:rFonts w:ascii="仿宋" w:hAnsi="仿宋" w:eastAsia="仿宋" w:cs="仿宋"/>
          <w:color w:val="auto"/>
          <w:sz w:val="32"/>
          <w:highlight w:val="none"/>
        </w:rPr>
      </w:pPr>
    </w:p>
    <w:tbl>
      <w:tblPr>
        <w:tblStyle w:val="62"/>
        <w:tblW w:w="9179" w:type="dxa"/>
        <w:jc w:val="center"/>
        <w:tblLayout w:type="fixed"/>
        <w:tblCellMar>
          <w:top w:w="34" w:type="dxa"/>
          <w:left w:w="0" w:type="dxa"/>
          <w:bottom w:w="0" w:type="dxa"/>
          <w:right w:w="0" w:type="dxa"/>
        </w:tblCellMar>
      </w:tblPr>
      <w:tblGrid>
        <w:gridCol w:w="539"/>
        <w:gridCol w:w="540"/>
        <w:gridCol w:w="1801"/>
        <w:gridCol w:w="1260"/>
        <w:gridCol w:w="721"/>
        <w:gridCol w:w="1439"/>
        <w:gridCol w:w="549"/>
        <w:gridCol w:w="712"/>
        <w:gridCol w:w="1618"/>
      </w:tblGrid>
      <w:tr w14:paraId="5DBE0062">
        <w:tblPrEx>
          <w:tblCellMar>
            <w:top w:w="34" w:type="dxa"/>
            <w:left w:w="0" w:type="dxa"/>
            <w:bottom w:w="0" w:type="dxa"/>
            <w:right w:w="0" w:type="dxa"/>
          </w:tblCellMar>
        </w:tblPrEx>
        <w:trPr>
          <w:trHeight w:val="440" w:hRule="atLeast"/>
          <w:jc w:val="center"/>
        </w:trPr>
        <w:tc>
          <w:tcPr>
            <w:tcW w:w="1079" w:type="dxa"/>
            <w:gridSpan w:val="2"/>
            <w:tcBorders>
              <w:top w:val="single" w:color="000000" w:sz="16" w:space="0"/>
              <w:left w:val="single" w:color="000000" w:sz="16" w:space="0"/>
              <w:bottom w:val="single" w:color="000000" w:sz="4" w:space="0"/>
              <w:right w:val="single" w:color="000000" w:sz="4" w:space="0"/>
              <w:tl2br w:val="nil"/>
              <w:tr2bl w:val="nil"/>
            </w:tcBorders>
            <w:vAlign w:val="center"/>
          </w:tcPr>
          <w:p w14:paraId="48EF98F9">
            <w:pPr>
              <w:ind w:left="120"/>
              <w:jc w:val="center"/>
              <w:rPr>
                <w:rFonts w:ascii="仿宋" w:hAnsi="仿宋" w:eastAsia="仿宋" w:cs="仿宋"/>
                <w:color w:val="auto"/>
                <w:highlight w:val="none"/>
              </w:rPr>
            </w:pPr>
            <w:r>
              <w:rPr>
                <w:rFonts w:hint="eastAsia" w:ascii="仿宋" w:hAnsi="仿宋" w:eastAsia="仿宋" w:cs="仿宋"/>
                <w:color w:val="auto"/>
                <w:highlight w:val="none"/>
              </w:rPr>
              <w:t>工程名称</w:t>
            </w:r>
          </w:p>
        </w:tc>
        <w:tc>
          <w:tcPr>
            <w:tcW w:w="1801" w:type="dxa"/>
            <w:tcBorders>
              <w:top w:val="single" w:color="000000" w:sz="16" w:space="0"/>
              <w:left w:val="single" w:color="000000" w:sz="4" w:space="0"/>
              <w:bottom w:val="single" w:color="000000" w:sz="4" w:space="0"/>
              <w:right w:val="single" w:color="000000" w:sz="4" w:space="0"/>
              <w:tl2br w:val="nil"/>
              <w:tr2bl w:val="nil"/>
            </w:tcBorders>
            <w:vAlign w:val="center"/>
          </w:tcPr>
          <w:p w14:paraId="383DA52B">
            <w:pPr>
              <w:ind w:left="105"/>
              <w:jc w:val="center"/>
              <w:rPr>
                <w:rFonts w:ascii="仿宋" w:hAnsi="仿宋" w:eastAsia="仿宋" w:cs="仿宋"/>
                <w:color w:val="auto"/>
                <w:highlight w:val="none"/>
              </w:rPr>
            </w:pPr>
          </w:p>
        </w:tc>
        <w:tc>
          <w:tcPr>
            <w:tcW w:w="1260" w:type="dxa"/>
            <w:tcBorders>
              <w:top w:val="single" w:color="000000" w:sz="16" w:space="0"/>
              <w:left w:val="single" w:color="000000" w:sz="4" w:space="0"/>
              <w:bottom w:val="single" w:color="000000" w:sz="4" w:space="0"/>
              <w:right w:val="single" w:color="000000" w:sz="4" w:space="0"/>
              <w:tl2br w:val="nil"/>
              <w:tr2bl w:val="nil"/>
            </w:tcBorders>
            <w:vAlign w:val="center"/>
          </w:tcPr>
          <w:p w14:paraId="16C6F10B">
            <w:pPr>
              <w:jc w:val="center"/>
              <w:rPr>
                <w:rFonts w:ascii="仿宋" w:hAnsi="仿宋" w:eastAsia="仿宋" w:cs="仿宋"/>
                <w:color w:val="auto"/>
                <w:highlight w:val="none"/>
              </w:rPr>
            </w:pPr>
            <w:r>
              <w:rPr>
                <w:rFonts w:hint="eastAsia" w:ascii="仿宋" w:hAnsi="仿宋" w:eastAsia="仿宋" w:cs="仿宋"/>
                <w:color w:val="auto"/>
                <w:highlight w:val="none"/>
              </w:rPr>
              <w:t>结构类型</w:t>
            </w:r>
          </w:p>
        </w:tc>
        <w:tc>
          <w:tcPr>
            <w:tcW w:w="2160" w:type="dxa"/>
            <w:gridSpan w:val="2"/>
            <w:tcBorders>
              <w:top w:val="single" w:color="000000" w:sz="16" w:space="0"/>
              <w:left w:val="single" w:color="000000" w:sz="4" w:space="0"/>
              <w:bottom w:val="single" w:color="000000" w:sz="4" w:space="0"/>
              <w:right w:val="single" w:color="000000" w:sz="4" w:space="0"/>
              <w:tl2br w:val="nil"/>
              <w:tr2bl w:val="nil"/>
            </w:tcBorders>
            <w:vAlign w:val="center"/>
          </w:tcPr>
          <w:p w14:paraId="047DAB2C">
            <w:pPr>
              <w:ind w:left="106"/>
              <w:jc w:val="center"/>
              <w:rPr>
                <w:rFonts w:ascii="仿宋" w:hAnsi="仿宋" w:eastAsia="仿宋" w:cs="仿宋"/>
                <w:color w:val="auto"/>
                <w:highlight w:val="none"/>
              </w:rPr>
            </w:pPr>
          </w:p>
        </w:tc>
        <w:tc>
          <w:tcPr>
            <w:tcW w:w="1261" w:type="dxa"/>
            <w:gridSpan w:val="2"/>
            <w:tcBorders>
              <w:top w:val="single" w:color="000000" w:sz="16" w:space="0"/>
              <w:left w:val="single" w:color="000000" w:sz="4" w:space="0"/>
              <w:bottom w:val="single" w:color="000000" w:sz="4" w:space="0"/>
              <w:right w:val="single" w:color="000000" w:sz="4" w:space="0"/>
              <w:tl2br w:val="nil"/>
              <w:tr2bl w:val="nil"/>
            </w:tcBorders>
            <w:vAlign w:val="center"/>
          </w:tcPr>
          <w:p w14:paraId="5E5F5635">
            <w:pPr>
              <w:spacing w:after="34"/>
              <w:ind w:left="107"/>
              <w:jc w:val="center"/>
              <w:rPr>
                <w:rFonts w:ascii="仿宋" w:hAnsi="仿宋" w:eastAsia="仿宋" w:cs="仿宋"/>
                <w:color w:val="auto"/>
                <w:highlight w:val="none"/>
              </w:rPr>
            </w:pPr>
            <w:r>
              <w:rPr>
                <w:rFonts w:hint="eastAsia" w:ascii="仿宋" w:hAnsi="仿宋" w:eastAsia="仿宋" w:cs="仿宋"/>
                <w:color w:val="auto"/>
                <w:highlight w:val="none"/>
              </w:rPr>
              <w:t>层数/ 建筑面积</w:t>
            </w:r>
          </w:p>
        </w:tc>
        <w:tc>
          <w:tcPr>
            <w:tcW w:w="1618" w:type="dxa"/>
            <w:tcBorders>
              <w:top w:val="single" w:color="000000" w:sz="16" w:space="0"/>
              <w:left w:val="single" w:color="000000" w:sz="4" w:space="0"/>
              <w:bottom w:val="single" w:color="000000" w:sz="4" w:space="0"/>
              <w:right w:val="single" w:color="000000" w:sz="16" w:space="0"/>
              <w:tl2br w:val="nil"/>
              <w:tr2bl w:val="nil"/>
            </w:tcBorders>
            <w:vAlign w:val="center"/>
          </w:tcPr>
          <w:p w14:paraId="6A71F8B5">
            <w:pPr>
              <w:ind w:left="106"/>
              <w:jc w:val="center"/>
              <w:rPr>
                <w:rFonts w:ascii="仿宋" w:hAnsi="仿宋" w:eastAsia="仿宋" w:cs="仿宋"/>
                <w:color w:val="auto"/>
                <w:highlight w:val="none"/>
              </w:rPr>
            </w:pPr>
          </w:p>
        </w:tc>
      </w:tr>
      <w:tr w14:paraId="24B3BC0B">
        <w:tblPrEx>
          <w:tblCellMar>
            <w:top w:w="34" w:type="dxa"/>
            <w:left w:w="0" w:type="dxa"/>
            <w:bottom w:w="0" w:type="dxa"/>
            <w:right w:w="0" w:type="dxa"/>
          </w:tblCellMar>
        </w:tblPrEx>
        <w:trPr>
          <w:trHeight w:val="322" w:hRule="atLeast"/>
          <w:jc w:val="center"/>
        </w:trPr>
        <w:tc>
          <w:tcPr>
            <w:tcW w:w="1079" w:type="dxa"/>
            <w:gridSpan w:val="2"/>
            <w:tcBorders>
              <w:top w:val="single" w:color="000000" w:sz="4" w:space="0"/>
              <w:left w:val="single" w:color="000000" w:sz="16" w:space="0"/>
              <w:bottom w:val="single" w:color="000000" w:sz="4" w:space="0"/>
              <w:right w:val="single" w:color="000000" w:sz="4" w:space="0"/>
              <w:tl2br w:val="nil"/>
              <w:tr2bl w:val="nil"/>
            </w:tcBorders>
            <w:vAlign w:val="center"/>
          </w:tcPr>
          <w:p w14:paraId="5FC9F67A">
            <w:pPr>
              <w:ind w:left="120"/>
              <w:jc w:val="center"/>
              <w:rPr>
                <w:rFonts w:ascii="仿宋" w:hAnsi="仿宋" w:eastAsia="仿宋" w:cs="仿宋"/>
                <w:color w:val="auto"/>
                <w:highlight w:val="none"/>
              </w:rPr>
            </w:pPr>
            <w:r>
              <w:rPr>
                <w:rFonts w:hint="eastAsia" w:ascii="仿宋" w:hAnsi="仿宋" w:eastAsia="仿宋" w:cs="仿宋"/>
                <w:color w:val="auto"/>
                <w:highlight w:val="none"/>
              </w:rPr>
              <w:t>供应商</w:t>
            </w:r>
          </w:p>
        </w:tc>
        <w:tc>
          <w:tcPr>
            <w:tcW w:w="1801" w:type="dxa"/>
            <w:tcBorders>
              <w:top w:val="single" w:color="000000" w:sz="4" w:space="0"/>
              <w:left w:val="single" w:color="000000" w:sz="4" w:space="0"/>
              <w:bottom w:val="single" w:color="000000" w:sz="4" w:space="0"/>
              <w:right w:val="single" w:color="000000" w:sz="4" w:space="0"/>
              <w:tl2br w:val="nil"/>
              <w:tr2bl w:val="nil"/>
            </w:tcBorders>
            <w:vAlign w:val="center"/>
          </w:tcPr>
          <w:p w14:paraId="6C31D9D1">
            <w:pPr>
              <w:ind w:left="105"/>
              <w:jc w:val="center"/>
              <w:rPr>
                <w:rFonts w:ascii="仿宋" w:hAnsi="仿宋" w:eastAsia="仿宋" w:cs="仿宋"/>
                <w:color w:val="auto"/>
                <w:highlight w:val="none"/>
              </w:rPr>
            </w:pP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14:paraId="1182CD60">
            <w:pPr>
              <w:ind w:left="146"/>
              <w:jc w:val="center"/>
              <w:rPr>
                <w:rFonts w:ascii="仿宋" w:hAnsi="仿宋" w:eastAsia="仿宋" w:cs="仿宋"/>
                <w:color w:val="auto"/>
                <w:highlight w:val="none"/>
              </w:rPr>
            </w:pPr>
            <w:r>
              <w:rPr>
                <w:rFonts w:hint="eastAsia" w:ascii="仿宋" w:hAnsi="仿宋" w:eastAsia="仿宋" w:cs="仿宋"/>
                <w:color w:val="auto"/>
                <w:highlight w:val="none"/>
              </w:rPr>
              <w:t>技术负责人</w:t>
            </w: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65E73D11">
            <w:pPr>
              <w:ind w:left="106"/>
              <w:jc w:val="center"/>
              <w:rPr>
                <w:rFonts w:ascii="仿宋" w:hAnsi="仿宋" w:eastAsia="仿宋" w:cs="仿宋"/>
                <w:color w:val="auto"/>
                <w:highlight w:val="none"/>
              </w:rPr>
            </w:pPr>
          </w:p>
        </w:tc>
        <w:tc>
          <w:tcPr>
            <w:tcW w:w="126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25D84A29">
            <w:pPr>
              <w:ind w:left="264"/>
              <w:jc w:val="center"/>
              <w:rPr>
                <w:rFonts w:ascii="仿宋" w:hAnsi="仿宋" w:eastAsia="仿宋" w:cs="仿宋"/>
                <w:color w:val="auto"/>
                <w:highlight w:val="none"/>
              </w:rPr>
            </w:pPr>
            <w:r>
              <w:rPr>
                <w:rFonts w:hint="eastAsia" w:ascii="仿宋" w:hAnsi="仿宋" w:eastAsia="仿宋" w:cs="仿宋"/>
                <w:color w:val="auto"/>
                <w:highlight w:val="none"/>
              </w:rPr>
              <w:t>开工日期</w:t>
            </w:r>
          </w:p>
        </w:tc>
        <w:tc>
          <w:tcPr>
            <w:tcW w:w="1618" w:type="dxa"/>
            <w:tcBorders>
              <w:top w:val="single" w:color="000000" w:sz="4" w:space="0"/>
              <w:left w:val="single" w:color="000000" w:sz="4" w:space="0"/>
              <w:bottom w:val="single" w:color="000000" w:sz="4" w:space="0"/>
              <w:right w:val="single" w:color="000000" w:sz="16" w:space="0"/>
              <w:tl2br w:val="nil"/>
              <w:tr2bl w:val="nil"/>
            </w:tcBorders>
            <w:vAlign w:val="center"/>
          </w:tcPr>
          <w:p w14:paraId="235DC2CF">
            <w:pPr>
              <w:ind w:left="106"/>
              <w:jc w:val="center"/>
              <w:rPr>
                <w:rFonts w:ascii="仿宋" w:hAnsi="仿宋" w:eastAsia="仿宋" w:cs="仿宋"/>
                <w:color w:val="auto"/>
                <w:highlight w:val="none"/>
              </w:rPr>
            </w:pPr>
            <w:r>
              <w:rPr>
                <w:rFonts w:hint="eastAsia" w:ascii="仿宋" w:hAnsi="仿宋" w:eastAsia="仿宋" w:cs="仿宋"/>
                <w:color w:val="auto"/>
                <w:highlight w:val="none"/>
              </w:rPr>
              <w:t>年月日</w:t>
            </w:r>
          </w:p>
        </w:tc>
      </w:tr>
      <w:tr w14:paraId="4EEC8714">
        <w:tblPrEx>
          <w:tblCellMar>
            <w:top w:w="34" w:type="dxa"/>
            <w:left w:w="0" w:type="dxa"/>
            <w:bottom w:w="0" w:type="dxa"/>
            <w:right w:w="0" w:type="dxa"/>
          </w:tblCellMar>
        </w:tblPrEx>
        <w:trPr>
          <w:trHeight w:val="650" w:hRule="atLeast"/>
          <w:jc w:val="center"/>
        </w:trPr>
        <w:tc>
          <w:tcPr>
            <w:tcW w:w="1079" w:type="dxa"/>
            <w:gridSpan w:val="2"/>
            <w:tcBorders>
              <w:top w:val="single" w:color="000000" w:sz="4" w:space="0"/>
              <w:left w:val="single" w:color="000000" w:sz="16" w:space="0"/>
              <w:bottom w:val="single" w:color="000000" w:sz="16" w:space="0"/>
              <w:right w:val="single" w:color="000000" w:sz="4" w:space="0"/>
              <w:tl2br w:val="nil"/>
              <w:tr2bl w:val="nil"/>
            </w:tcBorders>
            <w:vAlign w:val="center"/>
          </w:tcPr>
          <w:p w14:paraId="47FE4570">
            <w:pPr>
              <w:ind w:left="14"/>
              <w:jc w:val="center"/>
              <w:rPr>
                <w:rFonts w:ascii="仿宋" w:hAnsi="仿宋" w:eastAsia="仿宋" w:cs="仿宋"/>
                <w:color w:val="auto"/>
                <w:highlight w:val="none"/>
              </w:rPr>
            </w:pPr>
            <w:r>
              <w:rPr>
                <w:rFonts w:hint="eastAsia" w:ascii="仿宋" w:hAnsi="仿宋" w:eastAsia="仿宋" w:cs="仿宋"/>
                <w:color w:val="auto"/>
                <w:highlight w:val="none"/>
              </w:rPr>
              <w:t>项目负责人</w:t>
            </w:r>
          </w:p>
        </w:tc>
        <w:tc>
          <w:tcPr>
            <w:tcW w:w="1801" w:type="dxa"/>
            <w:tcBorders>
              <w:top w:val="single" w:color="000000" w:sz="4" w:space="0"/>
              <w:left w:val="single" w:color="000000" w:sz="4" w:space="0"/>
              <w:bottom w:val="single" w:color="000000" w:sz="16" w:space="0"/>
              <w:right w:val="single" w:color="000000" w:sz="4" w:space="0"/>
              <w:tl2br w:val="nil"/>
              <w:tr2bl w:val="nil"/>
            </w:tcBorders>
            <w:vAlign w:val="center"/>
          </w:tcPr>
          <w:p w14:paraId="3265202D">
            <w:pPr>
              <w:ind w:left="-14"/>
              <w:jc w:val="center"/>
              <w:rPr>
                <w:rFonts w:ascii="仿宋" w:hAnsi="仿宋" w:eastAsia="仿宋" w:cs="仿宋"/>
                <w:color w:val="auto"/>
                <w:highlight w:val="none"/>
              </w:rPr>
            </w:pPr>
          </w:p>
        </w:tc>
        <w:tc>
          <w:tcPr>
            <w:tcW w:w="1260" w:type="dxa"/>
            <w:tcBorders>
              <w:top w:val="single" w:color="000000" w:sz="4" w:space="0"/>
              <w:left w:val="single" w:color="000000" w:sz="4" w:space="0"/>
              <w:bottom w:val="single" w:color="000000" w:sz="16" w:space="0"/>
              <w:right w:val="single" w:color="000000" w:sz="4" w:space="0"/>
              <w:tl2br w:val="nil"/>
              <w:tr2bl w:val="nil"/>
            </w:tcBorders>
            <w:vAlign w:val="center"/>
          </w:tcPr>
          <w:p w14:paraId="5DF72A9A">
            <w:pPr>
              <w:jc w:val="center"/>
              <w:rPr>
                <w:rFonts w:ascii="仿宋" w:hAnsi="仿宋" w:eastAsia="仿宋" w:cs="仿宋"/>
                <w:color w:val="auto"/>
                <w:highlight w:val="none"/>
              </w:rPr>
            </w:pPr>
            <w:r>
              <w:rPr>
                <w:rFonts w:hint="eastAsia" w:ascii="仿宋" w:hAnsi="仿宋" w:eastAsia="仿宋" w:cs="仿宋"/>
                <w:color w:val="auto"/>
                <w:highlight w:val="none"/>
              </w:rPr>
              <w:t>项目技术负责人</w:t>
            </w:r>
          </w:p>
        </w:tc>
        <w:tc>
          <w:tcPr>
            <w:tcW w:w="2160" w:type="dxa"/>
            <w:gridSpan w:val="2"/>
            <w:tcBorders>
              <w:top w:val="single" w:color="000000" w:sz="4" w:space="0"/>
              <w:left w:val="single" w:color="000000" w:sz="4" w:space="0"/>
              <w:bottom w:val="single" w:color="000000" w:sz="16" w:space="0"/>
              <w:right w:val="single" w:color="000000" w:sz="4" w:space="0"/>
              <w:tl2br w:val="nil"/>
              <w:tr2bl w:val="nil"/>
            </w:tcBorders>
            <w:vAlign w:val="center"/>
          </w:tcPr>
          <w:p w14:paraId="6AD36F78">
            <w:pPr>
              <w:ind w:left="106"/>
              <w:jc w:val="center"/>
              <w:rPr>
                <w:rFonts w:ascii="仿宋" w:hAnsi="仿宋" w:eastAsia="仿宋" w:cs="仿宋"/>
                <w:color w:val="auto"/>
                <w:highlight w:val="none"/>
              </w:rPr>
            </w:pPr>
          </w:p>
        </w:tc>
        <w:tc>
          <w:tcPr>
            <w:tcW w:w="1261" w:type="dxa"/>
            <w:gridSpan w:val="2"/>
            <w:tcBorders>
              <w:top w:val="single" w:color="000000" w:sz="4" w:space="0"/>
              <w:left w:val="single" w:color="000000" w:sz="4" w:space="0"/>
              <w:bottom w:val="single" w:color="000000" w:sz="16" w:space="0"/>
              <w:right w:val="single" w:color="000000" w:sz="4" w:space="0"/>
              <w:tl2br w:val="nil"/>
              <w:tr2bl w:val="nil"/>
            </w:tcBorders>
            <w:vAlign w:val="center"/>
          </w:tcPr>
          <w:p w14:paraId="70EE55B3">
            <w:pPr>
              <w:ind w:left="264"/>
              <w:jc w:val="center"/>
              <w:rPr>
                <w:rFonts w:ascii="仿宋" w:hAnsi="仿宋" w:eastAsia="仿宋" w:cs="仿宋"/>
                <w:color w:val="auto"/>
                <w:highlight w:val="none"/>
              </w:rPr>
            </w:pPr>
            <w:r>
              <w:rPr>
                <w:rFonts w:hint="eastAsia" w:ascii="仿宋" w:hAnsi="仿宋" w:eastAsia="仿宋" w:cs="仿宋"/>
                <w:color w:val="auto"/>
                <w:highlight w:val="none"/>
              </w:rPr>
              <w:t>完工日期</w:t>
            </w:r>
          </w:p>
        </w:tc>
        <w:tc>
          <w:tcPr>
            <w:tcW w:w="1618" w:type="dxa"/>
            <w:tcBorders>
              <w:top w:val="single" w:color="000000" w:sz="4" w:space="0"/>
              <w:left w:val="single" w:color="000000" w:sz="4" w:space="0"/>
              <w:bottom w:val="single" w:color="000000" w:sz="16" w:space="0"/>
              <w:right w:val="single" w:color="000000" w:sz="16" w:space="0"/>
              <w:tl2br w:val="nil"/>
              <w:tr2bl w:val="nil"/>
            </w:tcBorders>
            <w:vAlign w:val="center"/>
          </w:tcPr>
          <w:p w14:paraId="5F20EB5D">
            <w:pPr>
              <w:ind w:left="106" w:firstLine="420" w:firstLineChars="200"/>
              <w:rPr>
                <w:rFonts w:ascii="仿宋" w:hAnsi="仿宋" w:eastAsia="仿宋" w:cs="仿宋"/>
                <w:color w:val="auto"/>
                <w:highlight w:val="none"/>
              </w:rPr>
            </w:pPr>
            <w:r>
              <w:rPr>
                <w:rFonts w:hint="eastAsia" w:ascii="仿宋" w:hAnsi="仿宋" w:eastAsia="仿宋" w:cs="仿宋"/>
                <w:color w:val="auto"/>
                <w:highlight w:val="none"/>
              </w:rPr>
              <w:t>年月日</w:t>
            </w:r>
          </w:p>
        </w:tc>
      </w:tr>
      <w:tr w14:paraId="71E7ADE7">
        <w:tblPrEx>
          <w:tblCellMar>
            <w:top w:w="34" w:type="dxa"/>
            <w:left w:w="0" w:type="dxa"/>
            <w:bottom w:w="0" w:type="dxa"/>
            <w:right w:w="0" w:type="dxa"/>
          </w:tblCellMar>
        </w:tblPrEx>
        <w:trPr>
          <w:trHeight w:val="341" w:hRule="atLeast"/>
          <w:jc w:val="center"/>
        </w:trPr>
        <w:tc>
          <w:tcPr>
            <w:tcW w:w="539" w:type="dxa"/>
            <w:tcBorders>
              <w:top w:val="single" w:color="000000" w:sz="16" w:space="0"/>
              <w:left w:val="single" w:color="000000" w:sz="16" w:space="0"/>
              <w:bottom w:val="single" w:color="000000" w:sz="4" w:space="0"/>
              <w:right w:val="single" w:color="000000" w:sz="4" w:space="0"/>
              <w:tl2br w:val="nil"/>
              <w:tr2bl w:val="nil"/>
            </w:tcBorders>
          </w:tcPr>
          <w:p w14:paraId="6EDCA3D2">
            <w:pPr>
              <w:ind w:left="60"/>
              <w:rPr>
                <w:rFonts w:ascii="仿宋" w:hAnsi="仿宋" w:eastAsia="仿宋" w:cs="仿宋"/>
                <w:color w:val="auto"/>
                <w:highlight w:val="none"/>
              </w:rPr>
            </w:pPr>
            <w:r>
              <w:rPr>
                <w:rFonts w:hint="eastAsia" w:ascii="仿宋" w:hAnsi="仿宋" w:eastAsia="仿宋" w:cs="仿宋"/>
                <w:color w:val="auto"/>
                <w:highlight w:val="none"/>
              </w:rPr>
              <w:t>序号</w:t>
            </w:r>
          </w:p>
        </w:tc>
        <w:tc>
          <w:tcPr>
            <w:tcW w:w="2341" w:type="dxa"/>
            <w:gridSpan w:val="2"/>
            <w:tcBorders>
              <w:top w:val="single" w:color="000000" w:sz="16" w:space="0"/>
              <w:left w:val="single" w:color="000000" w:sz="4" w:space="0"/>
              <w:bottom w:val="single" w:color="000000" w:sz="4" w:space="0"/>
              <w:right w:val="single" w:color="000000" w:sz="4" w:space="0"/>
              <w:tl2br w:val="nil"/>
              <w:tr2bl w:val="nil"/>
            </w:tcBorders>
          </w:tcPr>
          <w:p w14:paraId="4901A9E4">
            <w:pPr>
              <w:ind w:right="1"/>
              <w:jc w:val="center"/>
              <w:rPr>
                <w:rFonts w:ascii="仿宋" w:hAnsi="仿宋" w:eastAsia="仿宋" w:cs="仿宋"/>
                <w:color w:val="auto"/>
                <w:highlight w:val="none"/>
              </w:rPr>
            </w:pPr>
            <w:r>
              <w:rPr>
                <w:rFonts w:hint="eastAsia" w:ascii="仿宋" w:hAnsi="仿宋" w:eastAsia="仿宋" w:cs="仿宋"/>
                <w:color w:val="auto"/>
                <w:highlight w:val="none"/>
              </w:rPr>
              <w:t xml:space="preserve">项   目 </w:t>
            </w:r>
          </w:p>
        </w:tc>
        <w:tc>
          <w:tcPr>
            <w:tcW w:w="3420" w:type="dxa"/>
            <w:gridSpan w:val="3"/>
            <w:tcBorders>
              <w:top w:val="single" w:color="000000" w:sz="16" w:space="0"/>
              <w:left w:val="single" w:color="000000" w:sz="4" w:space="0"/>
              <w:bottom w:val="single" w:color="000000" w:sz="4" w:space="0"/>
              <w:right w:val="single" w:color="000000" w:sz="4" w:space="0"/>
              <w:tl2br w:val="nil"/>
              <w:tr2bl w:val="nil"/>
            </w:tcBorders>
          </w:tcPr>
          <w:p w14:paraId="4C1832E8">
            <w:pPr>
              <w:ind w:left="2"/>
              <w:jc w:val="center"/>
              <w:rPr>
                <w:rFonts w:ascii="仿宋" w:hAnsi="仿宋" w:eastAsia="仿宋" w:cs="仿宋"/>
                <w:color w:val="auto"/>
                <w:highlight w:val="none"/>
              </w:rPr>
            </w:pPr>
            <w:r>
              <w:rPr>
                <w:rFonts w:hint="eastAsia" w:ascii="仿宋" w:hAnsi="仿宋" w:eastAsia="仿宋" w:cs="仿宋"/>
                <w:color w:val="auto"/>
                <w:highlight w:val="none"/>
              </w:rPr>
              <w:t xml:space="preserve">验  收  记  录 </w:t>
            </w:r>
          </w:p>
        </w:tc>
        <w:tc>
          <w:tcPr>
            <w:tcW w:w="2879" w:type="dxa"/>
            <w:gridSpan w:val="3"/>
            <w:tcBorders>
              <w:top w:val="single" w:color="000000" w:sz="16" w:space="0"/>
              <w:left w:val="single" w:color="000000" w:sz="4" w:space="0"/>
              <w:bottom w:val="single" w:color="000000" w:sz="4" w:space="0"/>
              <w:right w:val="single" w:color="000000" w:sz="16" w:space="0"/>
              <w:tl2br w:val="nil"/>
              <w:tr2bl w:val="nil"/>
            </w:tcBorders>
          </w:tcPr>
          <w:p w14:paraId="45A6C34C">
            <w:pPr>
              <w:ind w:left="2"/>
              <w:jc w:val="center"/>
              <w:rPr>
                <w:rFonts w:ascii="仿宋" w:hAnsi="仿宋" w:eastAsia="仿宋" w:cs="仿宋"/>
                <w:color w:val="auto"/>
                <w:highlight w:val="none"/>
              </w:rPr>
            </w:pPr>
            <w:r>
              <w:rPr>
                <w:rFonts w:hint="eastAsia" w:ascii="仿宋" w:hAnsi="仿宋" w:eastAsia="仿宋" w:cs="仿宋"/>
                <w:color w:val="auto"/>
                <w:highlight w:val="none"/>
              </w:rPr>
              <w:t xml:space="preserve">验  收  结  论 </w:t>
            </w:r>
          </w:p>
        </w:tc>
      </w:tr>
      <w:tr w14:paraId="55F90BF9">
        <w:tblPrEx>
          <w:tblCellMar>
            <w:top w:w="34" w:type="dxa"/>
            <w:left w:w="0" w:type="dxa"/>
            <w:bottom w:w="0" w:type="dxa"/>
            <w:right w:w="0" w:type="dxa"/>
          </w:tblCellMar>
        </w:tblPrEx>
        <w:trPr>
          <w:trHeight w:val="634" w:hRule="atLeast"/>
          <w:jc w:val="center"/>
        </w:trPr>
        <w:tc>
          <w:tcPr>
            <w:tcW w:w="539" w:type="dxa"/>
            <w:tcBorders>
              <w:top w:val="single" w:color="000000" w:sz="4" w:space="0"/>
              <w:left w:val="single" w:color="000000" w:sz="16" w:space="0"/>
              <w:bottom w:val="single" w:color="000000" w:sz="4" w:space="0"/>
              <w:right w:val="single" w:color="000000" w:sz="4" w:space="0"/>
              <w:tl2br w:val="nil"/>
              <w:tr2bl w:val="nil"/>
            </w:tcBorders>
            <w:vAlign w:val="center"/>
          </w:tcPr>
          <w:p w14:paraId="6C9DD02E">
            <w:pPr>
              <w:jc w:val="center"/>
              <w:rPr>
                <w:rFonts w:ascii="仿宋" w:hAnsi="仿宋" w:eastAsia="仿宋" w:cs="仿宋"/>
                <w:color w:val="auto"/>
                <w:highlight w:val="none"/>
              </w:rPr>
            </w:pPr>
            <w:r>
              <w:rPr>
                <w:rFonts w:hint="eastAsia" w:ascii="仿宋" w:hAnsi="仿宋" w:eastAsia="仿宋" w:cs="仿宋"/>
                <w:color w:val="auto"/>
                <w:highlight w:val="none"/>
              </w:rPr>
              <w:t xml:space="preserve">1 </w:t>
            </w:r>
          </w:p>
        </w:tc>
        <w:tc>
          <w:tcPr>
            <w:tcW w:w="234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6E366DCB">
            <w:pPr>
              <w:ind w:left="108"/>
              <w:rPr>
                <w:rFonts w:ascii="仿宋" w:hAnsi="仿宋" w:eastAsia="仿宋" w:cs="仿宋"/>
                <w:color w:val="auto"/>
                <w:highlight w:val="none"/>
              </w:rPr>
            </w:pPr>
            <w:r>
              <w:rPr>
                <w:rFonts w:hint="eastAsia" w:ascii="仿宋" w:hAnsi="仿宋" w:eastAsia="仿宋" w:cs="仿宋"/>
                <w:color w:val="auto"/>
                <w:highlight w:val="none"/>
              </w:rPr>
              <w:t>分部工程验收</w:t>
            </w:r>
          </w:p>
        </w:tc>
        <w:tc>
          <w:tcPr>
            <w:tcW w:w="3420" w:type="dxa"/>
            <w:gridSpan w:val="3"/>
            <w:tcBorders>
              <w:top w:val="single" w:color="000000" w:sz="4" w:space="0"/>
              <w:left w:val="single" w:color="000000" w:sz="4" w:space="0"/>
              <w:bottom w:val="single" w:color="000000" w:sz="4" w:space="0"/>
              <w:right w:val="single" w:color="000000" w:sz="4" w:space="0"/>
              <w:tl2br w:val="nil"/>
              <w:tr2bl w:val="nil"/>
            </w:tcBorders>
          </w:tcPr>
          <w:p w14:paraId="29589DC1">
            <w:pPr>
              <w:ind w:left="108"/>
              <w:rPr>
                <w:rFonts w:ascii="仿宋" w:hAnsi="仿宋" w:eastAsia="仿宋" w:cs="仿宋"/>
                <w:color w:val="auto"/>
                <w:highlight w:val="none"/>
              </w:rPr>
            </w:pPr>
            <w:r>
              <w:rPr>
                <w:rFonts w:hint="eastAsia" w:ascii="仿宋" w:hAnsi="仿宋" w:eastAsia="仿宋" w:cs="仿宋"/>
                <w:color w:val="auto"/>
                <w:highlight w:val="none"/>
              </w:rPr>
              <w:t xml:space="preserve">共    分部，经查符合设计及标准规定     分部 </w:t>
            </w:r>
          </w:p>
        </w:tc>
        <w:tc>
          <w:tcPr>
            <w:tcW w:w="2879" w:type="dxa"/>
            <w:gridSpan w:val="3"/>
            <w:tcBorders>
              <w:top w:val="single" w:color="000000" w:sz="4" w:space="0"/>
              <w:left w:val="single" w:color="000000" w:sz="4" w:space="0"/>
              <w:bottom w:val="single" w:color="000000" w:sz="4" w:space="0"/>
              <w:right w:val="single" w:color="000000" w:sz="16" w:space="0"/>
              <w:tl2br w:val="nil"/>
              <w:tr2bl w:val="nil"/>
            </w:tcBorders>
            <w:vAlign w:val="center"/>
          </w:tcPr>
          <w:p w14:paraId="447BD4CC">
            <w:pPr>
              <w:ind w:left="104"/>
              <w:jc w:val="center"/>
              <w:rPr>
                <w:rFonts w:ascii="仿宋" w:hAnsi="仿宋" w:eastAsia="仿宋" w:cs="仿宋"/>
                <w:color w:val="auto"/>
                <w:highlight w:val="none"/>
              </w:rPr>
            </w:pPr>
          </w:p>
        </w:tc>
      </w:tr>
      <w:tr w14:paraId="087140D9">
        <w:tblPrEx>
          <w:tblCellMar>
            <w:top w:w="34" w:type="dxa"/>
            <w:left w:w="0" w:type="dxa"/>
            <w:bottom w:w="0" w:type="dxa"/>
            <w:right w:w="0" w:type="dxa"/>
          </w:tblCellMar>
        </w:tblPrEx>
        <w:trPr>
          <w:trHeight w:val="617" w:hRule="atLeast"/>
          <w:jc w:val="center"/>
        </w:trPr>
        <w:tc>
          <w:tcPr>
            <w:tcW w:w="539" w:type="dxa"/>
            <w:tcBorders>
              <w:top w:val="single" w:color="000000" w:sz="4" w:space="0"/>
              <w:left w:val="single" w:color="000000" w:sz="16" w:space="0"/>
              <w:bottom w:val="single" w:color="000000" w:sz="4" w:space="0"/>
              <w:right w:val="single" w:color="000000" w:sz="4" w:space="0"/>
              <w:tl2br w:val="nil"/>
              <w:tr2bl w:val="nil"/>
            </w:tcBorders>
            <w:vAlign w:val="center"/>
          </w:tcPr>
          <w:p w14:paraId="607FEADC">
            <w:pPr>
              <w:jc w:val="center"/>
              <w:rPr>
                <w:rFonts w:ascii="仿宋" w:hAnsi="仿宋" w:eastAsia="仿宋" w:cs="仿宋"/>
                <w:color w:val="auto"/>
                <w:highlight w:val="none"/>
              </w:rPr>
            </w:pPr>
            <w:r>
              <w:rPr>
                <w:rFonts w:hint="eastAsia" w:ascii="仿宋" w:hAnsi="仿宋" w:eastAsia="仿宋" w:cs="仿宋"/>
                <w:color w:val="auto"/>
                <w:highlight w:val="none"/>
              </w:rPr>
              <w:t xml:space="preserve">2 </w:t>
            </w:r>
          </w:p>
        </w:tc>
        <w:tc>
          <w:tcPr>
            <w:tcW w:w="234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6ABB2C1B">
            <w:pPr>
              <w:ind w:left="108"/>
              <w:rPr>
                <w:rFonts w:ascii="仿宋" w:hAnsi="仿宋" w:eastAsia="仿宋" w:cs="仿宋"/>
                <w:color w:val="auto"/>
                <w:highlight w:val="none"/>
              </w:rPr>
            </w:pPr>
            <w:r>
              <w:rPr>
                <w:rFonts w:hint="eastAsia" w:ascii="仿宋" w:hAnsi="仿宋" w:eastAsia="仿宋" w:cs="仿宋"/>
                <w:color w:val="auto"/>
                <w:highlight w:val="none"/>
              </w:rPr>
              <w:t>质量控制资料核查</w:t>
            </w:r>
          </w:p>
        </w:tc>
        <w:tc>
          <w:tcPr>
            <w:tcW w:w="342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2520BAC9">
            <w:pPr>
              <w:ind w:left="108"/>
              <w:rPr>
                <w:rFonts w:ascii="仿宋" w:hAnsi="仿宋" w:eastAsia="仿宋" w:cs="仿宋"/>
                <w:color w:val="auto"/>
                <w:highlight w:val="none"/>
              </w:rPr>
            </w:pPr>
            <w:r>
              <w:rPr>
                <w:rFonts w:hint="eastAsia" w:ascii="仿宋" w:hAnsi="仿宋" w:eastAsia="仿宋" w:cs="仿宋"/>
                <w:color w:val="auto"/>
                <w:highlight w:val="none"/>
              </w:rPr>
              <w:t xml:space="preserve">共  项，经核查符合规定    项 </w:t>
            </w:r>
          </w:p>
        </w:tc>
        <w:tc>
          <w:tcPr>
            <w:tcW w:w="2879" w:type="dxa"/>
            <w:gridSpan w:val="3"/>
            <w:tcBorders>
              <w:top w:val="single" w:color="000000" w:sz="4" w:space="0"/>
              <w:left w:val="single" w:color="000000" w:sz="4" w:space="0"/>
              <w:bottom w:val="single" w:color="000000" w:sz="4" w:space="0"/>
              <w:right w:val="single" w:color="000000" w:sz="16" w:space="0"/>
              <w:tl2br w:val="nil"/>
              <w:tr2bl w:val="nil"/>
            </w:tcBorders>
            <w:vAlign w:val="center"/>
          </w:tcPr>
          <w:p w14:paraId="4C8B65D5">
            <w:pPr>
              <w:ind w:left="104"/>
              <w:jc w:val="center"/>
              <w:rPr>
                <w:rFonts w:ascii="仿宋" w:hAnsi="仿宋" w:eastAsia="仿宋" w:cs="仿宋"/>
                <w:color w:val="auto"/>
                <w:highlight w:val="none"/>
              </w:rPr>
            </w:pPr>
          </w:p>
        </w:tc>
      </w:tr>
      <w:tr w14:paraId="2A37410C">
        <w:tblPrEx>
          <w:tblCellMar>
            <w:top w:w="34" w:type="dxa"/>
            <w:left w:w="0" w:type="dxa"/>
            <w:bottom w:w="0" w:type="dxa"/>
            <w:right w:w="0" w:type="dxa"/>
          </w:tblCellMar>
        </w:tblPrEx>
        <w:trPr>
          <w:trHeight w:val="866" w:hRule="atLeast"/>
          <w:jc w:val="center"/>
        </w:trPr>
        <w:tc>
          <w:tcPr>
            <w:tcW w:w="539" w:type="dxa"/>
            <w:tcBorders>
              <w:top w:val="single" w:color="000000" w:sz="4" w:space="0"/>
              <w:left w:val="single" w:color="000000" w:sz="16" w:space="0"/>
              <w:bottom w:val="single" w:color="000000" w:sz="4" w:space="0"/>
              <w:right w:val="single" w:color="000000" w:sz="4" w:space="0"/>
              <w:tl2br w:val="nil"/>
              <w:tr2bl w:val="nil"/>
            </w:tcBorders>
            <w:vAlign w:val="center"/>
          </w:tcPr>
          <w:p w14:paraId="6797865A">
            <w:pPr>
              <w:jc w:val="center"/>
              <w:rPr>
                <w:rFonts w:ascii="仿宋" w:hAnsi="仿宋" w:eastAsia="仿宋" w:cs="仿宋"/>
                <w:color w:val="auto"/>
                <w:highlight w:val="none"/>
              </w:rPr>
            </w:pPr>
            <w:r>
              <w:rPr>
                <w:rFonts w:hint="eastAsia" w:ascii="仿宋" w:hAnsi="仿宋" w:eastAsia="仿宋" w:cs="仿宋"/>
                <w:color w:val="auto"/>
                <w:highlight w:val="none"/>
              </w:rPr>
              <w:t xml:space="preserve">3 </w:t>
            </w:r>
          </w:p>
        </w:tc>
        <w:tc>
          <w:tcPr>
            <w:tcW w:w="234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3CF197B3">
            <w:pPr>
              <w:ind w:left="108"/>
              <w:rPr>
                <w:rFonts w:ascii="仿宋" w:hAnsi="仿宋" w:eastAsia="仿宋" w:cs="仿宋"/>
                <w:color w:val="auto"/>
                <w:highlight w:val="none"/>
              </w:rPr>
            </w:pPr>
            <w:r>
              <w:rPr>
                <w:rFonts w:hint="eastAsia" w:ascii="仿宋" w:hAnsi="仿宋" w:eastAsia="仿宋" w:cs="仿宋"/>
                <w:color w:val="auto"/>
                <w:highlight w:val="none"/>
              </w:rPr>
              <w:t>安全和使用功能核查及抽查结果</w:t>
            </w:r>
          </w:p>
        </w:tc>
        <w:tc>
          <w:tcPr>
            <w:tcW w:w="3420" w:type="dxa"/>
            <w:gridSpan w:val="3"/>
            <w:tcBorders>
              <w:top w:val="single" w:color="000000" w:sz="4" w:space="0"/>
              <w:left w:val="single" w:color="000000" w:sz="4" w:space="0"/>
              <w:bottom w:val="single" w:color="000000" w:sz="4" w:space="0"/>
              <w:right w:val="single" w:color="000000" w:sz="4" w:space="0"/>
              <w:tl2br w:val="nil"/>
              <w:tr2bl w:val="nil"/>
            </w:tcBorders>
          </w:tcPr>
          <w:p w14:paraId="31E299FB">
            <w:pPr>
              <w:ind w:left="108" w:right="161"/>
              <w:rPr>
                <w:rFonts w:ascii="仿宋" w:hAnsi="仿宋" w:eastAsia="仿宋" w:cs="仿宋"/>
                <w:color w:val="auto"/>
                <w:highlight w:val="none"/>
              </w:rPr>
            </w:pPr>
            <w:r>
              <w:rPr>
                <w:rFonts w:hint="eastAsia" w:ascii="仿宋" w:hAnsi="仿宋" w:eastAsia="仿宋" w:cs="仿宋"/>
                <w:color w:val="auto"/>
                <w:highlight w:val="none"/>
              </w:rPr>
              <w:t xml:space="preserve">共核查    项，符合规定    项，共抽查    项，符合规定    项，经返工处理符合规定        项 </w:t>
            </w:r>
          </w:p>
        </w:tc>
        <w:tc>
          <w:tcPr>
            <w:tcW w:w="2879" w:type="dxa"/>
            <w:gridSpan w:val="3"/>
            <w:tcBorders>
              <w:top w:val="single" w:color="000000" w:sz="4" w:space="0"/>
              <w:left w:val="single" w:color="000000" w:sz="4" w:space="0"/>
              <w:bottom w:val="single" w:color="000000" w:sz="4" w:space="0"/>
              <w:right w:val="single" w:color="000000" w:sz="16" w:space="0"/>
              <w:tl2br w:val="nil"/>
              <w:tr2bl w:val="nil"/>
            </w:tcBorders>
            <w:vAlign w:val="center"/>
          </w:tcPr>
          <w:p w14:paraId="7A6C6B6E">
            <w:pPr>
              <w:ind w:left="104"/>
              <w:jc w:val="center"/>
              <w:rPr>
                <w:rFonts w:ascii="仿宋" w:hAnsi="仿宋" w:eastAsia="仿宋" w:cs="仿宋"/>
                <w:color w:val="auto"/>
                <w:highlight w:val="none"/>
              </w:rPr>
            </w:pPr>
          </w:p>
        </w:tc>
      </w:tr>
      <w:tr w14:paraId="1D2DD4AF">
        <w:tblPrEx>
          <w:tblCellMar>
            <w:top w:w="34" w:type="dxa"/>
            <w:left w:w="0" w:type="dxa"/>
            <w:bottom w:w="0" w:type="dxa"/>
            <w:right w:w="0" w:type="dxa"/>
          </w:tblCellMar>
        </w:tblPrEx>
        <w:trPr>
          <w:trHeight w:val="946" w:hRule="atLeast"/>
          <w:jc w:val="center"/>
        </w:trPr>
        <w:tc>
          <w:tcPr>
            <w:tcW w:w="539" w:type="dxa"/>
            <w:tcBorders>
              <w:top w:val="single" w:color="000000" w:sz="4" w:space="0"/>
              <w:left w:val="single" w:color="000000" w:sz="16" w:space="0"/>
              <w:bottom w:val="single" w:color="000000" w:sz="4" w:space="0"/>
              <w:right w:val="single" w:color="000000" w:sz="4" w:space="0"/>
              <w:tl2br w:val="nil"/>
              <w:tr2bl w:val="nil"/>
            </w:tcBorders>
            <w:vAlign w:val="center"/>
          </w:tcPr>
          <w:p w14:paraId="37CB6C98">
            <w:pPr>
              <w:jc w:val="center"/>
              <w:rPr>
                <w:rFonts w:ascii="仿宋" w:hAnsi="仿宋" w:eastAsia="仿宋" w:cs="仿宋"/>
                <w:color w:val="auto"/>
                <w:highlight w:val="none"/>
              </w:rPr>
            </w:pPr>
            <w:r>
              <w:rPr>
                <w:rFonts w:hint="eastAsia" w:ascii="仿宋" w:hAnsi="仿宋" w:eastAsia="仿宋" w:cs="仿宋"/>
                <w:color w:val="auto"/>
                <w:highlight w:val="none"/>
              </w:rPr>
              <w:t xml:space="preserve">4 </w:t>
            </w:r>
          </w:p>
        </w:tc>
        <w:tc>
          <w:tcPr>
            <w:tcW w:w="234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6A04B005">
            <w:pPr>
              <w:ind w:left="108"/>
              <w:rPr>
                <w:rFonts w:ascii="仿宋" w:hAnsi="仿宋" w:eastAsia="仿宋" w:cs="仿宋"/>
                <w:color w:val="auto"/>
                <w:highlight w:val="none"/>
              </w:rPr>
            </w:pPr>
            <w:r>
              <w:rPr>
                <w:rFonts w:hint="eastAsia" w:ascii="仿宋" w:hAnsi="仿宋" w:eastAsia="仿宋" w:cs="仿宋"/>
                <w:color w:val="auto"/>
                <w:highlight w:val="none"/>
              </w:rPr>
              <w:t>观感质量验收</w:t>
            </w:r>
          </w:p>
        </w:tc>
        <w:tc>
          <w:tcPr>
            <w:tcW w:w="3420" w:type="dxa"/>
            <w:gridSpan w:val="3"/>
            <w:tcBorders>
              <w:top w:val="single" w:color="000000" w:sz="4" w:space="0"/>
              <w:left w:val="single" w:color="000000" w:sz="4" w:space="0"/>
              <w:bottom w:val="single" w:color="000000" w:sz="4" w:space="0"/>
              <w:right w:val="single" w:color="000000" w:sz="4" w:space="0"/>
              <w:tl2br w:val="nil"/>
              <w:tr2bl w:val="nil"/>
            </w:tcBorders>
          </w:tcPr>
          <w:p w14:paraId="04A6CE74">
            <w:pPr>
              <w:spacing w:after="34"/>
              <w:ind w:left="108" w:right="-2"/>
              <w:rPr>
                <w:rFonts w:ascii="仿宋" w:hAnsi="仿宋" w:eastAsia="仿宋" w:cs="仿宋"/>
                <w:color w:val="auto"/>
                <w:highlight w:val="none"/>
              </w:rPr>
            </w:pPr>
            <w:r>
              <w:rPr>
                <w:rFonts w:hint="eastAsia" w:ascii="仿宋" w:hAnsi="仿宋" w:eastAsia="仿宋" w:cs="仿宋"/>
                <w:color w:val="auto"/>
                <w:highlight w:val="none"/>
              </w:rPr>
              <w:t xml:space="preserve">共抽查   项，达到“好”和“一般”的     项，经返修处理符合要求的     项 </w:t>
            </w:r>
          </w:p>
        </w:tc>
        <w:tc>
          <w:tcPr>
            <w:tcW w:w="2879" w:type="dxa"/>
            <w:gridSpan w:val="3"/>
            <w:tcBorders>
              <w:top w:val="single" w:color="000000" w:sz="4" w:space="0"/>
              <w:left w:val="single" w:color="000000" w:sz="4" w:space="0"/>
              <w:bottom w:val="single" w:color="000000" w:sz="4" w:space="0"/>
              <w:right w:val="single" w:color="000000" w:sz="16" w:space="0"/>
              <w:tl2br w:val="nil"/>
              <w:tr2bl w:val="nil"/>
            </w:tcBorders>
            <w:vAlign w:val="center"/>
          </w:tcPr>
          <w:p w14:paraId="076B3F2D">
            <w:pPr>
              <w:ind w:left="104"/>
              <w:jc w:val="center"/>
              <w:rPr>
                <w:rFonts w:ascii="仿宋" w:hAnsi="仿宋" w:eastAsia="仿宋" w:cs="仿宋"/>
                <w:color w:val="auto"/>
                <w:highlight w:val="none"/>
              </w:rPr>
            </w:pPr>
          </w:p>
        </w:tc>
      </w:tr>
      <w:tr w14:paraId="2BECF020">
        <w:tblPrEx>
          <w:tblCellMar>
            <w:top w:w="34" w:type="dxa"/>
            <w:left w:w="0" w:type="dxa"/>
            <w:bottom w:w="0" w:type="dxa"/>
            <w:right w:w="0" w:type="dxa"/>
          </w:tblCellMar>
        </w:tblPrEx>
        <w:trPr>
          <w:trHeight w:val="1633" w:hRule="atLeast"/>
          <w:jc w:val="center"/>
        </w:trPr>
        <w:tc>
          <w:tcPr>
            <w:tcW w:w="2880" w:type="dxa"/>
            <w:gridSpan w:val="3"/>
            <w:tcBorders>
              <w:top w:val="single" w:color="000000" w:sz="4" w:space="0"/>
              <w:left w:val="single" w:color="000000" w:sz="16" w:space="0"/>
              <w:bottom w:val="single" w:color="000000" w:sz="16" w:space="0"/>
              <w:right w:val="single" w:color="000000" w:sz="4" w:space="0"/>
              <w:tl2br w:val="nil"/>
              <w:tr2bl w:val="nil"/>
            </w:tcBorders>
            <w:vAlign w:val="center"/>
          </w:tcPr>
          <w:p w14:paraId="74961609">
            <w:pPr>
              <w:ind w:right="1"/>
              <w:jc w:val="center"/>
              <w:rPr>
                <w:rFonts w:ascii="仿宋" w:hAnsi="仿宋" w:eastAsia="仿宋" w:cs="仿宋"/>
                <w:color w:val="auto"/>
                <w:highlight w:val="none"/>
              </w:rPr>
            </w:pPr>
            <w:r>
              <w:rPr>
                <w:rFonts w:hint="eastAsia" w:ascii="仿宋" w:hAnsi="仿宋" w:eastAsia="仿宋" w:cs="仿宋"/>
                <w:color w:val="auto"/>
                <w:highlight w:val="none"/>
              </w:rPr>
              <w:t>综合验收结论</w:t>
            </w:r>
          </w:p>
        </w:tc>
        <w:tc>
          <w:tcPr>
            <w:tcW w:w="6299" w:type="dxa"/>
            <w:gridSpan w:val="6"/>
            <w:tcBorders>
              <w:top w:val="single" w:color="000000" w:sz="4" w:space="0"/>
              <w:left w:val="single" w:color="000000" w:sz="4" w:space="0"/>
              <w:bottom w:val="single" w:color="000000" w:sz="16" w:space="0"/>
              <w:right w:val="single" w:color="000000" w:sz="16" w:space="0"/>
              <w:tl2br w:val="nil"/>
              <w:tr2bl w:val="nil"/>
            </w:tcBorders>
            <w:vAlign w:val="center"/>
          </w:tcPr>
          <w:p w14:paraId="37CE28F6">
            <w:pPr>
              <w:ind w:left="108"/>
              <w:rPr>
                <w:rFonts w:ascii="仿宋" w:hAnsi="仿宋" w:eastAsia="仿宋" w:cs="仿宋"/>
                <w:color w:val="auto"/>
                <w:highlight w:val="none"/>
              </w:rPr>
            </w:pPr>
          </w:p>
        </w:tc>
      </w:tr>
      <w:tr w14:paraId="66A5D04F">
        <w:tblPrEx>
          <w:tblCellMar>
            <w:top w:w="34" w:type="dxa"/>
            <w:left w:w="0" w:type="dxa"/>
            <w:bottom w:w="0" w:type="dxa"/>
            <w:right w:w="0" w:type="dxa"/>
          </w:tblCellMar>
        </w:tblPrEx>
        <w:trPr>
          <w:trHeight w:val="341" w:hRule="atLeast"/>
          <w:jc w:val="center"/>
        </w:trPr>
        <w:tc>
          <w:tcPr>
            <w:tcW w:w="539" w:type="dxa"/>
            <w:vMerge w:val="restart"/>
            <w:tcBorders>
              <w:top w:val="single" w:color="000000" w:sz="16" w:space="0"/>
              <w:left w:val="single" w:color="000000" w:sz="16" w:space="0"/>
              <w:bottom w:val="single" w:color="000000" w:sz="16" w:space="0"/>
              <w:right w:val="single" w:color="000000" w:sz="4" w:space="0"/>
              <w:tl2br w:val="nil"/>
              <w:tr2bl w:val="nil"/>
            </w:tcBorders>
            <w:vAlign w:val="center"/>
          </w:tcPr>
          <w:p w14:paraId="3DEBAF41">
            <w:pPr>
              <w:ind w:left="58"/>
              <w:jc w:val="center"/>
              <w:rPr>
                <w:rFonts w:ascii="仿宋" w:hAnsi="仿宋" w:eastAsia="仿宋" w:cs="仿宋"/>
                <w:color w:val="auto"/>
                <w:highlight w:val="none"/>
              </w:rPr>
            </w:pPr>
            <w:r>
              <w:rPr>
                <w:rFonts w:hint="eastAsia" w:ascii="仿宋" w:hAnsi="仿宋" w:eastAsia="仿宋" w:cs="仿宋"/>
                <w:color w:val="auto"/>
                <w:highlight w:val="none"/>
              </w:rPr>
              <w:t>参加验收单位</w:t>
            </w:r>
          </w:p>
        </w:tc>
        <w:tc>
          <w:tcPr>
            <w:tcW w:w="2341" w:type="dxa"/>
            <w:gridSpan w:val="2"/>
            <w:tcBorders>
              <w:top w:val="single" w:color="000000" w:sz="16" w:space="0"/>
              <w:left w:val="single" w:color="000000" w:sz="4" w:space="0"/>
              <w:bottom w:val="single" w:color="000000" w:sz="4" w:space="0"/>
              <w:right w:val="single" w:color="000000" w:sz="4" w:space="0"/>
              <w:tl2br w:val="nil"/>
              <w:tr2bl w:val="nil"/>
            </w:tcBorders>
          </w:tcPr>
          <w:p w14:paraId="751FFF2F">
            <w:pPr>
              <w:ind w:left="2"/>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建设单位</w:t>
            </w:r>
          </w:p>
        </w:tc>
        <w:tc>
          <w:tcPr>
            <w:tcW w:w="1981" w:type="dxa"/>
            <w:gridSpan w:val="2"/>
            <w:tcBorders>
              <w:top w:val="single" w:color="000000" w:sz="16" w:space="0"/>
              <w:left w:val="single" w:color="000000" w:sz="4" w:space="0"/>
              <w:bottom w:val="single" w:color="000000" w:sz="4" w:space="0"/>
              <w:right w:val="single" w:color="000000" w:sz="4" w:space="0"/>
              <w:tl2br w:val="nil"/>
              <w:tr2bl w:val="nil"/>
            </w:tcBorders>
          </w:tcPr>
          <w:p w14:paraId="0FCBF508">
            <w:pPr>
              <w:ind w:left="3"/>
              <w:jc w:val="center"/>
              <w:rPr>
                <w:rFonts w:ascii="仿宋" w:hAnsi="仿宋" w:eastAsia="仿宋" w:cs="仿宋"/>
                <w:color w:val="auto"/>
                <w:highlight w:val="none"/>
              </w:rPr>
            </w:pPr>
            <w:r>
              <w:rPr>
                <w:rFonts w:hint="eastAsia" w:ascii="仿宋" w:hAnsi="仿宋" w:eastAsia="仿宋" w:cs="仿宋"/>
                <w:color w:val="auto"/>
                <w:highlight w:val="none"/>
              </w:rPr>
              <w:t>监理单位</w:t>
            </w:r>
          </w:p>
        </w:tc>
        <w:tc>
          <w:tcPr>
            <w:tcW w:w="1988" w:type="dxa"/>
            <w:gridSpan w:val="2"/>
            <w:tcBorders>
              <w:top w:val="single" w:color="000000" w:sz="16" w:space="0"/>
              <w:left w:val="single" w:color="000000" w:sz="4" w:space="0"/>
              <w:bottom w:val="single" w:color="000000" w:sz="4" w:space="0"/>
              <w:right w:val="single" w:color="000000" w:sz="4" w:space="0"/>
              <w:tl2br w:val="nil"/>
              <w:tr2bl w:val="nil"/>
            </w:tcBorders>
          </w:tcPr>
          <w:p w14:paraId="0C8CDFDE">
            <w:pPr>
              <w:ind w:left="4"/>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施工单位</w:t>
            </w:r>
          </w:p>
        </w:tc>
        <w:tc>
          <w:tcPr>
            <w:tcW w:w="2330" w:type="dxa"/>
            <w:gridSpan w:val="2"/>
            <w:tcBorders>
              <w:top w:val="single" w:color="000000" w:sz="16" w:space="0"/>
              <w:left w:val="single" w:color="000000" w:sz="4" w:space="0"/>
              <w:bottom w:val="single" w:color="000000" w:sz="4" w:space="0"/>
              <w:right w:val="single" w:color="000000" w:sz="16" w:space="0"/>
              <w:tl2br w:val="nil"/>
              <w:tr2bl w:val="nil"/>
            </w:tcBorders>
          </w:tcPr>
          <w:p w14:paraId="05706557">
            <w:pPr>
              <w:ind w:left="2"/>
              <w:jc w:val="center"/>
              <w:rPr>
                <w:rFonts w:ascii="仿宋" w:hAnsi="仿宋" w:eastAsia="仿宋" w:cs="仿宋"/>
                <w:color w:val="auto"/>
                <w:highlight w:val="none"/>
              </w:rPr>
            </w:pPr>
            <w:r>
              <w:rPr>
                <w:rFonts w:hint="eastAsia" w:ascii="仿宋" w:hAnsi="仿宋" w:eastAsia="仿宋" w:cs="仿宋"/>
                <w:color w:val="auto"/>
                <w:highlight w:val="none"/>
              </w:rPr>
              <w:t>设计单位</w:t>
            </w:r>
          </w:p>
        </w:tc>
      </w:tr>
      <w:tr w14:paraId="3B9D59A6">
        <w:tblPrEx>
          <w:tblCellMar>
            <w:top w:w="34" w:type="dxa"/>
            <w:left w:w="0" w:type="dxa"/>
            <w:bottom w:w="0" w:type="dxa"/>
            <w:right w:w="0" w:type="dxa"/>
          </w:tblCellMar>
        </w:tblPrEx>
        <w:trPr>
          <w:trHeight w:val="2336" w:hRule="atLeast"/>
          <w:jc w:val="center"/>
        </w:trPr>
        <w:tc>
          <w:tcPr>
            <w:tcW w:w="539" w:type="dxa"/>
            <w:vMerge w:val="continue"/>
            <w:tcBorders>
              <w:top w:val="nil"/>
              <w:left w:val="single" w:color="000000" w:sz="16" w:space="0"/>
              <w:bottom w:val="single" w:color="000000" w:sz="16" w:space="0"/>
              <w:right w:val="single" w:color="000000" w:sz="4" w:space="0"/>
              <w:tl2br w:val="nil"/>
              <w:tr2bl w:val="nil"/>
            </w:tcBorders>
          </w:tcPr>
          <w:p w14:paraId="3F8439A8">
            <w:pPr>
              <w:spacing w:after="160"/>
              <w:rPr>
                <w:rFonts w:ascii="仿宋" w:hAnsi="仿宋" w:eastAsia="仿宋" w:cs="仿宋"/>
                <w:color w:val="auto"/>
                <w:highlight w:val="none"/>
              </w:rPr>
            </w:pPr>
          </w:p>
        </w:tc>
        <w:tc>
          <w:tcPr>
            <w:tcW w:w="2341" w:type="dxa"/>
            <w:gridSpan w:val="2"/>
            <w:tcBorders>
              <w:top w:val="single" w:color="000000" w:sz="4" w:space="0"/>
              <w:left w:val="single" w:color="000000" w:sz="4" w:space="0"/>
              <w:bottom w:val="single" w:color="000000" w:sz="16" w:space="0"/>
              <w:right w:val="single" w:color="000000" w:sz="4" w:space="0"/>
              <w:tl2br w:val="nil"/>
              <w:tr2bl w:val="nil"/>
            </w:tcBorders>
          </w:tcPr>
          <w:p w14:paraId="4FE82ED3">
            <w:pPr>
              <w:spacing w:after="34"/>
              <w:ind w:left="89"/>
              <w:rPr>
                <w:rFonts w:ascii="仿宋" w:hAnsi="仿宋" w:eastAsia="仿宋" w:cs="仿宋"/>
                <w:color w:val="auto"/>
                <w:highlight w:val="none"/>
              </w:rPr>
            </w:pPr>
          </w:p>
          <w:p w14:paraId="3A152DF6">
            <w:pPr>
              <w:spacing w:after="34"/>
              <w:ind w:left="89"/>
              <w:rPr>
                <w:rFonts w:ascii="仿宋" w:hAnsi="仿宋" w:eastAsia="仿宋" w:cs="仿宋"/>
                <w:color w:val="auto"/>
                <w:highlight w:val="none"/>
              </w:rPr>
            </w:pPr>
          </w:p>
          <w:p w14:paraId="3DD750A9">
            <w:pPr>
              <w:spacing w:after="34"/>
              <w:ind w:left="89"/>
              <w:rPr>
                <w:rFonts w:ascii="仿宋" w:hAnsi="仿宋" w:eastAsia="仿宋" w:cs="仿宋"/>
                <w:color w:val="auto"/>
                <w:highlight w:val="none"/>
              </w:rPr>
            </w:pPr>
          </w:p>
          <w:p w14:paraId="2E2284CC">
            <w:pPr>
              <w:spacing w:after="34"/>
              <w:ind w:left="89"/>
              <w:rPr>
                <w:rFonts w:ascii="仿宋" w:hAnsi="仿宋" w:eastAsia="仿宋" w:cs="仿宋"/>
                <w:color w:val="auto"/>
                <w:highlight w:val="none"/>
              </w:rPr>
            </w:pPr>
          </w:p>
          <w:p w14:paraId="0D81C7E2">
            <w:pPr>
              <w:spacing w:after="34"/>
              <w:ind w:left="89"/>
              <w:rPr>
                <w:rFonts w:ascii="仿宋" w:hAnsi="仿宋" w:eastAsia="仿宋" w:cs="仿宋"/>
                <w:color w:val="auto"/>
                <w:highlight w:val="none"/>
              </w:rPr>
            </w:pPr>
            <w:r>
              <w:rPr>
                <w:rFonts w:hint="eastAsia" w:ascii="仿宋" w:hAnsi="仿宋" w:eastAsia="仿宋" w:cs="仿宋"/>
                <w:color w:val="auto"/>
                <w:highlight w:val="none"/>
              </w:rPr>
              <w:t>（公章）</w:t>
            </w:r>
          </w:p>
          <w:p w14:paraId="3B3EF0DB">
            <w:pPr>
              <w:spacing w:after="34"/>
              <w:ind w:left="89"/>
              <w:rPr>
                <w:rFonts w:ascii="仿宋" w:hAnsi="仿宋" w:eastAsia="仿宋" w:cs="仿宋"/>
                <w:color w:val="auto"/>
                <w:highlight w:val="none"/>
              </w:rPr>
            </w:pPr>
            <w:r>
              <w:rPr>
                <w:rFonts w:hint="eastAsia" w:ascii="仿宋" w:hAnsi="仿宋" w:eastAsia="仿宋" w:cs="仿宋"/>
                <w:color w:val="auto"/>
                <w:highlight w:val="none"/>
              </w:rPr>
              <w:t>项目负责人：</w:t>
            </w:r>
          </w:p>
          <w:p w14:paraId="766E9DF9">
            <w:pPr>
              <w:ind w:right="146"/>
              <w:jc w:val="right"/>
              <w:rPr>
                <w:rFonts w:ascii="仿宋" w:hAnsi="仿宋" w:eastAsia="仿宋" w:cs="仿宋"/>
                <w:color w:val="auto"/>
                <w:highlight w:val="none"/>
              </w:rPr>
            </w:pPr>
            <w:r>
              <w:rPr>
                <w:rFonts w:hint="eastAsia" w:ascii="仿宋" w:hAnsi="仿宋" w:eastAsia="仿宋" w:cs="仿宋"/>
                <w:color w:val="auto"/>
                <w:highlight w:val="none"/>
              </w:rPr>
              <w:t xml:space="preserve">年  月  日 </w:t>
            </w:r>
          </w:p>
        </w:tc>
        <w:tc>
          <w:tcPr>
            <w:tcW w:w="1981" w:type="dxa"/>
            <w:gridSpan w:val="2"/>
            <w:tcBorders>
              <w:top w:val="single" w:color="000000" w:sz="4" w:space="0"/>
              <w:left w:val="single" w:color="000000" w:sz="4" w:space="0"/>
              <w:bottom w:val="single" w:color="000000" w:sz="16" w:space="0"/>
              <w:right w:val="single" w:color="000000" w:sz="4" w:space="0"/>
              <w:tl2br w:val="nil"/>
              <w:tr2bl w:val="nil"/>
            </w:tcBorders>
          </w:tcPr>
          <w:p w14:paraId="0FA173C2">
            <w:pPr>
              <w:spacing w:after="34"/>
              <w:ind w:left="108"/>
              <w:rPr>
                <w:rFonts w:ascii="仿宋" w:hAnsi="仿宋" w:eastAsia="仿宋" w:cs="仿宋"/>
                <w:color w:val="auto"/>
                <w:highlight w:val="none"/>
              </w:rPr>
            </w:pPr>
          </w:p>
          <w:p w14:paraId="17A680C2">
            <w:pPr>
              <w:spacing w:after="34"/>
              <w:ind w:left="108"/>
              <w:rPr>
                <w:rFonts w:ascii="仿宋" w:hAnsi="仿宋" w:eastAsia="仿宋" w:cs="仿宋"/>
                <w:color w:val="auto"/>
                <w:highlight w:val="none"/>
              </w:rPr>
            </w:pPr>
          </w:p>
          <w:p w14:paraId="54D89593">
            <w:pPr>
              <w:spacing w:after="34"/>
              <w:ind w:left="108"/>
              <w:rPr>
                <w:rFonts w:ascii="仿宋" w:hAnsi="仿宋" w:eastAsia="仿宋" w:cs="仿宋"/>
                <w:color w:val="auto"/>
                <w:highlight w:val="none"/>
              </w:rPr>
            </w:pPr>
          </w:p>
          <w:p w14:paraId="479F51BB">
            <w:pPr>
              <w:spacing w:after="34"/>
              <w:ind w:left="108"/>
              <w:rPr>
                <w:rFonts w:ascii="仿宋" w:hAnsi="仿宋" w:eastAsia="仿宋" w:cs="仿宋"/>
                <w:color w:val="auto"/>
                <w:highlight w:val="none"/>
              </w:rPr>
            </w:pPr>
          </w:p>
          <w:p w14:paraId="5A9B359C">
            <w:pPr>
              <w:spacing w:after="34"/>
              <w:ind w:left="89"/>
              <w:rPr>
                <w:rFonts w:ascii="仿宋" w:hAnsi="仿宋" w:eastAsia="仿宋" w:cs="仿宋"/>
                <w:color w:val="auto"/>
                <w:highlight w:val="none"/>
              </w:rPr>
            </w:pPr>
            <w:r>
              <w:rPr>
                <w:rFonts w:hint="eastAsia" w:ascii="仿宋" w:hAnsi="仿宋" w:eastAsia="仿宋" w:cs="仿宋"/>
                <w:color w:val="auto"/>
                <w:highlight w:val="none"/>
              </w:rPr>
              <w:t>（公章）</w:t>
            </w:r>
          </w:p>
          <w:p w14:paraId="7CAACE5D">
            <w:pPr>
              <w:spacing w:after="34"/>
              <w:ind w:left="89"/>
              <w:rPr>
                <w:rFonts w:ascii="仿宋" w:hAnsi="仿宋" w:eastAsia="仿宋" w:cs="仿宋"/>
                <w:color w:val="auto"/>
                <w:highlight w:val="none"/>
              </w:rPr>
            </w:pPr>
            <w:r>
              <w:rPr>
                <w:rFonts w:hint="eastAsia" w:ascii="仿宋" w:hAnsi="仿宋" w:eastAsia="仿宋" w:cs="仿宋"/>
                <w:color w:val="auto"/>
                <w:highlight w:val="none"/>
              </w:rPr>
              <w:t>项目负责人：</w:t>
            </w:r>
          </w:p>
          <w:p w14:paraId="103B5CB1">
            <w:pPr>
              <w:spacing w:after="34"/>
              <w:ind w:left="107" w:leftChars="51" w:right="420" w:firstLine="210" w:firstLineChars="100"/>
              <w:jc w:val="right"/>
              <w:rPr>
                <w:rFonts w:ascii="仿宋" w:hAnsi="仿宋" w:eastAsia="仿宋" w:cs="仿宋"/>
                <w:color w:val="auto"/>
                <w:highlight w:val="none"/>
              </w:rPr>
            </w:pPr>
            <w:r>
              <w:rPr>
                <w:rFonts w:hint="eastAsia" w:ascii="仿宋" w:hAnsi="仿宋" w:eastAsia="仿宋" w:cs="仿宋"/>
                <w:color w:val="auto"/>
                <w:highlight w:val="none"/>
              </w:rPr>
              <w:t>年月  日</w:t>
            </w:r>
          </w:p>
        </w:tc>
        <w:tc>
          <w:tcPr>
            <w:tcW w:w="1988" w:type="dxa"/>
            <w:gridSpan w:val="2"/>
            <w:tcBorders>
              <w:top w:val="single" w:color="000000" w:sz="4" w:space="0"/>
              <w:left w:val="single" w:color="000000" w:sz="4" w:space="0"/>
              <w:bottom w:val="single" w:color="000000" w:sz="16" w:space="0"/>
              <w:right w:val="single" w:color="000000" w:sz="4" w:space="0"/>
              <w:tl2br w:val="nil"/>
              <w:tr2bl w:val="nil"/>
            </w:tcBorders>
          </w:tcPr>
          <w:p w14:paraId="19427B39">
            <w:pPr>
              <w:spacing w:after="34"/>
              <w:ind w:left="108"/>
              <w:rPr>
                <w:rFonts w:ascii="仿宋" w:hAnsi="仿宋" w:eastAsia="仿宋" w:cs="仿宋"/>
                <w:color w:val="auto"/>
                <w:highlight w:val="none"/>
              </w:rPr>
            </w:pPr>
          </w:p>
          <w:p w14:paraId="77CEF0FA">
            <w:pPr>
              <w:spacing w:after="34"/>
              <w:ind w:left="108"/>
              <w:rPr>
                <w:rFonts w:ascii="仿宋" w:hAnsi="仿宋" w:eastAsia="仿宋" w:cs="仿宋"/>
                <w:color w:val="auto"/>
                <w:highlight w:val="none"/>
              </w:rPr>
            </w:pPr>
          </w:p>
          <w:p w14:paraId="6A8B3429">
            <w:pPr>
              <w:spacing w:after="34"/>
              <w:ind w:left="108"/>
              <w:rPr>
                <w:rFonts w:ascii="仿宋" w:hAnsi="仿宋" w:eastAsia="仿宋" w:cs="仿宋"/>
                <w:color w:val="auto"/>
                <w:highlight w:val="none"/>
              </w:rPr>
            </w:pPr>
          </w:p>
          <w:p w14:paraId="146C57CF">
            <w:pPr>
              <w:spacing w:after="34"/>
              <w:ind w:left="108"/>
              <w:rPr>
                <w:rFonts w:ascii="仿宋" w:hAnsi="仿宋" w:eastAsia="仿宋" w:cs="仿宋"/>
                <w:color w:val="auto"/>
                <w:highlight w:val="none"/>
              </w:rPr>
            </w:pPr>
          </w:p>
          <w:p w14:paraId="1E0F9C40">
            <w:pPr>
              <w:spacing w:after="34"/>
              <w:ind w:left="108"/>
              <w:rPr>
                <w:rFonts w:ascii="仿宋" w:hAnsi="仿宋" w:eastAsia="仿宋" w:cs="仿宋"/>
                <w:color w:val="auto"/>
                <w:highlight w:val="none"/>
              </w:rPr>
            </w:pPr>
            <w:r>
              <w:rPr>
                <w:rFonts w:hint="eastAsia" w:ascii="仿宋" w:hAnsi="仿宋" w:eastAsia="仿宋" w:cs="仿宋"/>
                <w:color w:val="auto"/>
                <w:highlight w:val="none"/>
              </w:rPr>
              <w:t xml:space="preserve">（公章） </w:t>
            </w:r>
          </w:p>
          <w:p w14:paraId="7A203D20">
            <w:pPr>
              <w:spacing w:after="34"/>
              <w:ind w:left="89"/>
              <w:rPr>
                <w:rFonts w:ascii="仿宋" w:hAnsi="仿宋" w:eastAsia="仿宋" w:cs="仿宋"/>
                <w:color w:val="auto"/>
                <w:highlight w:val="none"/>
              </w:rPr>
            </w:pPr>
            <w:r>
              <w:rPr>
                <w:rFonts w:hint="eastAsia" w:ascii="仿宋" w:hAnsi="仿宋" w:eastAsia="仿宋" w:cs="仿宋"/>
                <w:color w:val="auto"/>
                <w:highlight w:val="none"/>
              </w:rPr>
              <w:t>项目负责人：</w:t>
            </w:r>
          </w:p>
          <w:p w14:paraId="3D8DFBA5">
            <w:pPr>
              <w:ind w:right="144"/>
              <w:jc w:val="right"/>
              <w:rPr>
                <w:rFonts w:ascii="仿宋" w:hAnsi="仿宋" w:eastAsia="仿宋" w:cs="仿宋"/>
                <w:color w:val="auto"/>
                <w:highlight w:val="none"/>
              </w:rPr>
            </w:pPr>
            <w:r>
              <w:rPr>
                <w:rFonts w:hint="eastAsia" w:ascii="仿宋" w:hAnsi="仿宋" w:eastAsia="仿宋" w:cs="仿宋"/>
                <w:color w:val="auto"/>
                <w:highlight w:val="none"/>
              </w:rPr>
              <w:t xml:space="preserve">年  月  日 </w:t>
            </w:r>
          </w:p>
        </w:tc>
        <w:tc>
          <w:tcPr>
            <w:tcW w:w="2330" w:type="dxa"/>
            <w:gridSpan w:val="2"/>
            <w:tcBorders>
              <w:top w:val="single" w:color="000000" w:sz="4" w:space="0"/>
              <w:left w:val="single" w:color="000000" w:sz="4" w:space="0"/>
              <w:bottom w:val="single" w:color="000000" w:sz="16" w:space="0"/>
              <w:right w:val="single" w:color="000000" w:sz="16" w:space="0"/>
              <w:tl2br w:val="nil"/>
              <w:tr2bl w:val="nil"/>
            </w:tcBorders>
          </w:tcPr>
          <w:p w14:paraId="2E54C1E2">
            <w:pPr>
              <w:spacing w:after="34"/>
              <w:ind w:left="108"/>
              <w:rPr>
                <w:rFonts w:ascii="仿宋" w:hAnsi="仿宋" w:eastAsia="仿宋" w:cs="仿宋"/>
                <w:color w:val="auto"/>
                <w:highlight w:val="none"/>
              </w:rPr>
            </w:pPr>
          </w:p>
          <w:p w14:paraId="21F20009">
            <w:pPr>
              <w:spacing w:after="34"/>
              <w:ind w:left="108"/>
              <w:rPr>
                <w:rFonts w:ascii="仿宋" w:hAnsi="仿宋" w:eastAsia="仿宋" w:cs="仿宋"/>
                <w:color w:val="auto"/>
                <w:highlight w:val="none"/>
              </w:rPr>
            </w:pPr>
          </w:p>
          <w:p w14:paraId="67E40E18">
            <w:pPr>
              <w:spacing w:after="34"/>
              <w:ind w:left="108"/>
              <w:rPr>
                <w:rFonts w:ascii="仿宋" w:hAnsi="仿宋" w:eastAsia="仿宋" w:cs="仿宋"/>
                <w:color w:val="auto"/>
                <w:highlight w:val="none"/>
              </w:rPr>
            </w:pPr>
          </w:p>
          <w:p w14:paraId="2FF7E223">
            <w:pPr>
              <w:spacing w:after="34"/>
              <w:ind w:left="108"/>
              <w:rPr>
                <w:rFonts w:ascii="仿宋" w:hAnsi="仿宋" w:eastAsia="仿宋" w:cs="仿宋"/>
                <w:color w:val="auto"/>
                <w:highlight w:val="none"/>
              </w:rPr>
            </w:pPr>
          </w:p>
          <w:p w14:paraId="4C26EC62">
            <w:pPr>
              <w:spacing w:after="34"/>
              <w:ind w:left="108"/>
              <w:rPr>
                <w:rFonts w:ascii="仿宋" w:hAnsi="仿宋" w:eastAsia="仿宋" w:cs="仿宋"/>
                <w:color w:val="auto"/>
                <w:highlight w:val="none"/>
              </w:rPr>
            </w:pPr>
            <w:r>
              <w:rPr>
                <w:rFonts w:hint="eastAsia" w:ascii="仿宋" w:hAnsi="仿宋" w:eastAsia="仿宋" w:cs="仿宋"/>
                <w:color w:val="auto"/>
                <w:highlight w:val="none"/>
              </w:rPr>
              <w:t>（公章）</w:t>
            </w:r>
          </w:p>
          <w:p w14:paraId="4AAE5EEC">
            <w:pPr>
              <w:spacing w:after="34"/>
              <w:ind w:left="108"/>
              <w:rPr>
                <w:rFonts w:ascii="仿宋" w:hAnsi="仿宋" w:eastAsia="仿宋" w:cs="仿宋"/>
                <w:color w:val="auto"/>
                <w:highlight w:val="none"/>
              </w:rPr>
            </w:pPr>
            <w:r>
              <w:rPr>
                <w:rFonts w:hint="eastAsia" w:ascii="仿宋" w:hAnsi="仿宋" w:eastAsia="仿宋" w:cs="仿宋"/>
                <w:color w:val="auto"/>
                <w:highlight w:val="none"/>
              </w:rPr>
              <w:t>项目负责人：</w:t>
            </w:r>
          </w:p>
          <w:p w14:paraId="4570E8E0">
            <w:pPr>
              <w:ind w:right="146"/>
              <w:jc w:val="right"/>
              <w:rPr>
                <w:rFonts w:ascii="仿宋" w:hAnsi="仿宋" w:eastAsia="仿宋" w:cs="仿宋"/>
                <w:color w:val="auto"/>
                <w:highlight w:val="none"/>
              </w:rPr>
            </w:pPr>
            <w:r>
              <w:rPr>
                <w:rFonts w:hint="eastAsia" w:ascii="仿宋" w:hAnsi="仿宋" w:eastAsia="仿宋" w:cs="仿宋"/>
                <w:color w:val="auto"/>
                <w:highlight w:val="none"/>
              </w:rPr>
              <w:t xml:space="preserve">年  月  日 </w:t>
            </w:r>
          </w:p>
        </w:tc>
      </w:tr>
    </w:tbl>
    <w:p w14:paraId="272A9299">
      <w:pPr>
        <w:spacing w:after="34"/>
        <w:ind w:left="-5"/>
        <w:rPr>
          <w:rFonts w:ascii="仿宋" w:hAnsi="仿宋" w:eastAsia="仿宋" w:cs="仿宋"/>
          <w:color w:val="auto"/>
          <w:sz w:val="32"/>
          <w:highlight w:val="none"/>
        </w:rPr>
      </w:pPr>
      <w:r>
        <w:rPr>
          <w:rFonts w:hint="eastAsia" w:ascii="仿宋" w:hAnsi="仿宋" w:eastAsia="仿宋" w:cs="仿宋"/>
          <w:color w:val="auto"/>
          <w:highlight w:val="none"/>
        </w:rPr>
        <w:t>注：单位工程验收时，验收签字人员应由相应单位的法人代表书面授权。</w:t>
      </w:r>
    </w:p>
    <w:p w14:paraId="12A3F598">
      <w:pPr>
        <w:rPr>
          <w:rFonts w:ascii="仿宋" w:hAnsi="仿宋" w:eastAsia="仿宋" w:cs="仿宋"/>
          <w:color w:val="auto"/>
          <w:sz w:val="32"/>
          <w:highlight w:val="none"/>
        </w:rPr>
      </w:pPr>
    </w:p>
    <w:p w14:paraId="5CC2297C">
      <w:pPr>
        <w:rPr>
          <w:rFonts w:ascii="仿宋" w:hAnsi="仿宋" w:eastAsia="仿宋" w:cs="仿宋"/>
          <w:color w:val="auto"/>
          <w:sz w:val="32"/>
          <w:highlight w:val="none"/>
        </w:rPr>
      </w:pPr>
      <w:r>
        <w:rPr>
          <w:rFonts w:hint="eastAsia" w:ascii="仿宋" w:hAnsi="仿宋" w:eastAsia="仿宋" w:cs="仿宋"/>
          <w:color w:val="auto"/>
          <w:sz w:val="32"/>
          <w:highlight w:val="none"/>
        </w:rPr>
        <w:br w:type="page"/>
      </w:r>
    </w:p>
    <w:p w14:paraId="3AB5C875">
      <w:pPr>
        <w:rPr>
          <w:rFonts w:ascii="仿宋" w:hAnsi="仿宋" w:eastAsia="仿宋" w:cs="仿宋"/>
          <w:color w:val="auto"/>
          <w:sz w:val="32"/>
          <w:highlight w:val="none"/>
        </w:rPr>
      </w:pPr>
      <w:r>
        <w:rPr>
          <w:rFonts w:hint="eastAsia" w:ascii="仿宋" w:hAnsi="仿宋" w:eastAsia="仿宋" w:cs="仿宋"/>
          <w:color w:val="auto"/>
          <w:sz w:val="32"/>
          <w:highlight w:val="none"/>
        </w:rPr>
        <w:t>附表2</w:t>
      </w:r>
    </w:p>
    <w:p w14:paraId="2E909C00">
      <w:pPr>
        <w:ind w:firstLine="420"/>
        <w:jc w:val="center"/>
        <w:rPr>
          <w:rFonts w:ascii="仿宋" w:hAnsi="仿宋" w:eastAsia="仿宋" w:cs="仿宋"/>
          <w:color w:val="auto"/>
          <w:sz w:val="32"/>
          <w:highlight w:val="none"/>
        </w:rPr>
      </w:pPr>
      <w:r>
        <w:rPr>
          <w:rFonts w:hint="eastAsia" w:ascii="仿宋" w:hAnsi="仿宋" w:eastAsia="仿宋" w:cs="仿宋"/>
          <w:color w:val="auto"/>
          <w:sz w:val="32"/>
          <w:highlight w:val="none"/>
        </w:rPr>
        <w:t>工程竣工验收报告(一)</w:t>
      </w:r>
    </w:p>
    <w:tbl>
      <w:tblPr>
        <w:tblStyle w:val="62"/>
        <w:tblW w:w="97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29"/>
        <w:gridCol w:w="1097"/>
        <w:gridCol w:w="875"/>
        <w:gridCol w:w="509"/>
        <w:gridCol w:w="551"/>
        <w:gridCol w:w="172"/>
        <w:gridCol w:w="411"/>
        <w:gridCol w:w="1560"/>
        <w:gridCol w:w="42"/>
        <w:gridCol w:w="607"/>
        <w:gridCol w:w="404"/>
        <w:gridCol w:w="2477"/>
      </w:tblGrid>
      <w:tr w14:paraId="30189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212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66557B30">
            <w:pPr>
              <w:ind w:left="-90"/>
              <w:jc w:val="center"/>
              <w:rPr>
                <w:rFonts w:ascii="仿宋" w:hAnsi="仿宋" w:eastAsia="仿宋" w:cs="仿宋"/>
                <w:color w:val="auto"/>
                <w:sz w:val="24"/>
                <w:highlight w:val="none"/>
              </w:rPr>
            </w:pPr>
            <w:r>
              <w:rPr>
                <w:rFonts w:hint="eastAsia" w:ascii="仿宋" w:hAnsi="仿宋" w:eastAsia="仿宋" w:cs="仿宋"/>
                <w:color w:val="auto"/>
                <w:spacing w:val="-1"/>
                <w:kern w:val="0"/>
                <w:sz w:val="24"/>
                <w:highlight w:val="none"/>
              </w:rPr>
              <w:t>单位工程名称</w:t>
            </w:r>
          </w:p>
        </w:tc>
        <w:tc>
          <w:tcPr>
            <w:tcW w:w="7608" w:type="dxa"/>
            <w:gridSpan w:val="10"/>
            <w:tcBorders>
              <w:top w:val="single" w:color="auto" w:sz="6" w:space="0"/>
              <w:left w:val="single" w:color="auto" w:sz="6" w:space="0"/>
              <w:bottom w:val="single" w:color="auto" w:sz="6" w:space="0"/>
              <w:right w:val="single" w:color="auto" w:sz="6" w:space="0"/>
              <w:tl2br w:val="nil"/>
              <w:tr2bl w:val="nil"/>
            </w:tcBorders>
            <w:vAlign w:val="center"/>
          </w:tcPr>
          <w:p w14:paraId="2BB4BC63">
            <w:pPr>
              <w:ind w:left="-90"/>
              <w:jc w:val="center"/>
              <w:rPr>
                <w:rFonts w:ascii="仿宋" w:hAnsi="仿宋" w:eastAsia="仿宋" w:cs="仿宋"/>
                <w:color w:val="auto"/>
                <w:sz w:val="24"/>
                <w:highlight w:val="none"/>
              </w:rPr>
            </w:pPr>
          </w:p>
        </w:tc>
      </w:tr>
      <w:tr w14:paraId="7EAC3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12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112ED282">
            <w:pPr>
              <w:ind w:left="-90"/>
              <w:jc w:val="center"/>
              <w:rPr>
                <w:rFonts w:ascii="仿宋" w:hAnsi="仿宋" w:eastAsia="仿宋" w:cs="仿宋"/>
                <w:color w:val="auto"/>
                <w:sz w:val="24"/>
                <w:highlight w:val="none"/>
              </w:rPr>
            </w:pPr>
            <w:r>
              <w:rPr>
                <w:rFonts w:hint="eastAsia" w:ascii="仿宋" w:hAnsi="仿宋" w:eastAsia="仿宋" w:cs="仿宋"/>
                <w:color w:val="auto"/>
                <w:spacing w:val="-1"/>
                <w:kern w:val="0"/>
                <w:sz w:val="24"/>
                <w:highlight w:val="none"/>
              </w:rPr>
              <w:t>建筑面积</w:t>
            </w:r>
          </w:p>
        </w:tc>
        <w:tc>
          <w:tcPr>
            <w:tcW w:w="1384"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6A99BA80">
            <w:pPr>
              <w:jc w:val="center"/>
              <w:rPr>
                <w:rFonts w:ascii="仿宋" w:hAnsi="仿宋" w:eastAsia="仿宋" w:cs="仿宋"/>
                <w:color w:val="auto"/>
                <w:sz w:val="24"/>
                <w:highlight w:val="none"/>
              </w:rPr>
            </w:pPr>
          </w:p>
        </w:tc>
        <w:tc>
          <w:tcPr>
            <w:tcW w:w="1134" w:type="dxa"/>
            <w:gridSpan w:val="3"/>
            <w:tcBorders>
              <w:top w:val="single" w:color="auto" w:sz="6" w:space="0"/>
              <w:left w:val="single" w:color="auto" w:sz="6" w:space="0"/>
              <w:bottom w:val="single" w:color="auto" w:sz="6" w:space="0"/>
              <w:right w:val="single" w:color="auto" w:sz="6" w:space="0"/>
              <w:tl2br w:val="nil"/>
              <w:tr2bl w:val="nil"/>
            </w:tcBorders>
            <w:vAlign w:val="center"/>
          </w:tcPr>
          <w:p w14:paraId="3B153240">
            <w:pPr>
              <w:ind w:left="-90"/>
              <w:jc w:val="center"/>
              <w:rPr>
                <w:rFonts w:ascii="仿宋" w:hAnsi="仿宋" w:eastAsia="仿宋" w:cs="仿宋"/>
                <w:color w:val="auto"/>
                <w:sz w:val="24"/>
                <w:highlight w:val="none"/>
              </w:rPr>
            </w:pPr>
            <w:r>
              <w:rPr>
                <w:rFonts w:hint="eastAsia" w:ascii="仿宋" w:hAnsi="仿宋" w:eastAsia="仿宋" w:cs="仿宋"/>
                <w:color w:val="auto"/>
                <w:spacing w:val="-1"/>
                <w:kern w:val="0"/>
                <w:sz w:val="24"/>
                <w:highlight w:val="none"/>
              </w:rPr>
              <w:t>结构类型</w:t>
            </w:r>
          </w:p>
        </w:tc>
        <w:tc>
          <w:tcPr>
            <w:tcW w:w="1560" w:type="dxa"/>
            <w:tcBorders>
              <w:top w:val="single" w:color="auto" w:sz="6" w:space="0"/>
              <w:left w:val="single" w:color="auto" w:sz="6" w:space="0"/>
              <w:bottom w:val="single" w:color="auto" w:sz="6" w:space="0"/>
              <w:right w:val="single" w:color="auto" w:sz="6" w:space="0"/>
              <w:tl2br w:val="nil"/>
              <w:tr2bl w:val="nil"/>
            </w:tcBorders>
            <w:vAlign w:val="center"/>
          </w:tcPr>
          <w:p w14:paraId="0AED94EB">
            <w:pPr>
              <w:ind w:left="-90"/>
              <w:jc w:val="center"/>
              <w:rPr>
                <w:rFonts w:ascii="仿宋" w:hAnsi="仿宋" w:eastAsia="仿宋" w:cs="仿宋"/>
                <w:color w:val="auto"/>
                <w:sz w:val="24"/>
                <w:highlight w:val="none"/>
              </w:rPr>
            </w:pPr>
          </w:p>
        </w:tc>
        <w:tc>
          <w:tcPr>
            <w:tcW w:w="649"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63C98BB6">
            <w:pPr>
              <w:ind w:left="-90"/>
              <w:jc w:val="center"/>
              <w:rPr>
                <w:rFonts w:ascii="仿宋" w:hAnsi="仿宋" w:eastAsia="仿宋" w:cs="仿宋"/>
                <w:color w:val="auto"/>
                <w:sz w:val="24"/>
                <w:highlight w:val="none"/>
              </w:rPr>
            </w:pPr>
            <w:r>
              <w:rPr>
                <w:rFonts w:hint="eastAsia" w:ascii="仿宋" w:hAnsi="仿宋" w:eastAsia="仿宋" w:cs="仿宋"/>
                <w:color w:val="auto"/>
                <w:spacing w:val="-1"/>
                <w:kern w:val="0"/>
                <w:sz w:val="24"/>
                <w:highlight w:val="none"/>
              </w:rPr>
              <w:t>层数</w:t>
            </w:r>
          </w:p>
        </w:tc>
        <w:tc>
          <w:tcPr>
            <w:tcW w:w="2881"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6D2629E0">
            <w:pPr>
              <w:ind w:left="-90"/>
              <w:jc w:val="center"/>
              <w:rPr>
                <w:rFonts w:ascii="仿宋" w:hAnsi="仿宋" w:eastAsia="仿宋" w:cs="仿宋"/>
                <w:color w:val="auto"/>
                <w:sz w:val="24"/>
                <w:highlight w:val="none"/>
              </w:rPr>
            </w:pPr>
          </w:p>
        </w:tc>
      </w:tr>
      <w:tr w14:paraId="388B7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212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57B100C6">
            <w:pPr>
              <w:ind w:left="-90"/>
              <w:jc w:val="center"/>
              <w:rPr>
                <w:rFonts w:ascii="仿宋" w:hAnsi="仿宋" w:eastAsia="仿宋" w:cs="仿宋"/>
                <w:color w:val="auto"/>
                <w:sz w:val="24"/>
                <w:highlight w:val="none"/>
              </w:rPr>
            </w:pPr>
            <w:r>
              <w:rPr>
                <w:rFonts w:hint="eastAsia" w:ascii="仿宋" w:hAnsi="仿宋" w:eastAsia="仿宋" w:cs="仿宋"/>
                <w:color w:val="auto"/>
                <w:spacing w:val="-1"/>
                <w:kern w:val="0"/>
                <w:sz w:val="24"/>
                <w:highlight w:val="none"/>
              </w:rPr>
              <w:t>供应商名称</w:t>
            </w:r>
          </w:p>
        </w:tc>
        <w:tc>
          <w:tcPr>
            <w:tcW w:w="7608" w:type="dxa"/>
            <w:gridSpan w:val="10"/>
            <w:tcBorders>
              <w:top w:val="single" w:color="auto" w:sz="6" w:space="0"/>
              <w:left w:val="single" w:color="auto" w:sz="6" w:space="0"/>
              <w:bottom w:val="single" w:color="auto" w:sz="6" w:space="0"/>
              <w:right w:val="single" w:color="auto" w:sz="6" w:space="0"/>
              <w:tl2br w:val="nil"/>
              <w:tr2bl w:val="nil"/>
            </w:tcBorders>
            <w:vAlign w:val="center"/>
          </w:tcPr>
          <w:p w14:paraId="20C06F1D">
            <w:pPr>
              <w:ind w:left="-90"/>
              <w:jc w:val="center"/>
              <w:rPr>
                <w:rFonts w:ascii="仿宋" w:hAnsi="仿宋" w:eastAsia="仿宋" w:cs="仿宋"/>
                <w:color w:val="auto"/>
                <w:sz w:val="24"/>
                <w:highlight w:val="none"/>
              </w:rPr>
            </w:pPr>
          </w:p>
        </w:tc>
      </w:tr>
      <w:tr w14:paraId="3FD48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212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467208E3">
            <w:pPr>
              <w:ind w:left="-90"/>
              <w:jc w:val="center"/>
              <w:rPr>
                <w:rFonts w:ascii="仿宋" w:hAnsi="仿宋" w:eastAsia="仿宋" w:cs="仿宋"/>
                <w:color w:val="auto"/>
                <w:sz w:val="24"/>
                <w:highlight w:val="none"/>
              </w:rPr>
            </w:pPr>
            <w:r>
              <w:rPr>
                <w:rFonts w:hint="eastAsia" w:ascii="仿宋" w:hAnsi="仿宋" w:eastAsia="仿宋" w:cs="仿宋"/>
                <w:color w:val="auto"/>
                <w:spacing w:val="-1"/>
                <w:kern w:val="0"/>
                <w:sz w:val="24"/>
                <w:highlight w:val="none"/>
              </w:rPr>
              <w:t>设计单位名称</w:t>
            </w:r>
          </w:p>
        </w:tc>
        <w:tc>
          <w:tcPr>
            <w:tcW w:w="7608" w:type="dxa"/>
            <w:gridSpan w:val="10"/>
            <w:tcBorders>
              <w:top w:val="single" w:color="auto" w:sz="6" w:space="0"/>
              <w:left w:val="single" w:color="auto" w:sz="6" w:space="0"/>
              <w:bottom w:val="single" w:color="auto" w:sz="6" w:space="0"/>
              <w:right w:val="single" w:color="auto" w:sz="6" w:space="0"/>
              <w:tl2br w:val="nil"/>
              <w:tr2bl w:val="nil"/>
            </w:tcBorders>
            <w:vAlign w:val="center"/>
          </w:tcPr>
          <w:p w14:paraId="4230978C">
            <w:pPr>
              <w:ind w:left="-90"/>
              <w:jc w:val="center"/>
              <w:rPr>
                <w:rFonts w:ascii="仿宋" w:hAnsi="仿宋" w:eastAsia="仿宋" w:cs="仿宋"/>
                <w:color w:val="auto"/>
                <w:sz w:val="24"/>
                <w:highlight w:val="none"/>
              </w:rPr>
            </w:pPr>
          </w:p>
        </w:tc>
      </w:tr>
      <w:tr w14:paraId="7AFEF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12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3D2BA258">
            <w:pPr>
              <w:ind w:left="-90"/>
              <w:jc w:val="center"/>
              <w:rPr>
                <w:rFonts w:ascii="仿宋" w:hAnsi="仿宋" w:eastAsia="仿宋" w:cs="仿宋"/>
                <w:color w:val="auto"/>
                <w:sz w:val="24"/>
                <w:highlight w:val="none"/>
              </w:rPr>
            </w:pPr>
            <w:r>
              <w:rPr>
                <w:rFonts w:hint="eastAsia" w:ascii="仿宋" w:hAnsi="仿宋" w:eastAsia="仿宋" w:cs="仿宋"/>
                <w:color w:val="auto"/>
                <w:spacing w:val="-1"/>
                <w:kern w:val="0"/>
                <w:sz w:val="24"/>
                <w:highlight w:val="none"/>
              </w:rPr>
              <w:t>监理单位名称</w:t>
            </w:r>
          </w:p>
        </w:tc>
        <w:tc>
          <w:tcPr>
            <w:tcW w:w="7608" w:type="dxa"/>
            <w:gridSpan w:val="10"/>
            <w:tcBorders>
              <w:top w:val="single" w:color="auto" w:sz="6" w:space="0"/>
              <w:left w:val="single" w:color="auto" w:sz="6" w:space="0"/>
              <w:bottom w:val="single" w:color="auto" w:sz="6" w:space="0"/>
              <w:right w:val="single" w:color="auto" w:sz="6" w:space="0"/>
              <w:tl2br w:val="nil"/>
              <w:tr2bl w:val="nil"/>
            </w:tcBorders>
            <w:vAlign w:val="center"/>
          </w:tcPr>
          <w:p w14:paraId="5746E9E2">
            <w:pPr>
              <w:ind w:left="-90"/>
              <w:jc w:val="center"/>
              <w:rPr>
                <w:rFonts w:ascii="仿宋" w:hAnsi="仿宋" w:eastAsia="仿宋" w:cs="仿宋"/>
                <w:color w:val="auto"/>
                <w:sz w:val="24"/>
                <w:highlight w:val="none"/>
              </w:rPr>
            </w:pPr>
          </w:p>
        </w:tc>
      </w:tr>
      <w:tr w14:paraId="2F613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4" w:hRule="atLeast"/>
        </w:trPr>
        <w:tc>
          <w:tcPr>
            <w:tcW w:w="212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707A3CF0">
            <w:pPr>
              <w:ind w:left="-90"/>
              <w:jc w:val="center"/>
              <w:rPr>
                <w:rFonts w:ascii="仿宋" w:hAnsi="仿宋" w:eastAsia="仿宋" w:cs="仿宋"/>
                <w:color w:val="auto"/>
                <w:sz w:val="24"/>
                <w:highlight w:val="none"/>
              </w:rPr>
            </w:pPr>
            <w:r>
              <w:rPr>
                <w:rFonts w:hint="eastAsia" w:ascii="仿宋" w:hAnsi="仿宋" w:eastAsia="仿宋" w:cs="仿宋"/>
                <w:color w:val="auto"/>
                <w:spacing w:val="-1"/>
                <w:kern w:val="0"/>
                <w:sz w:val="24"/>
                <w:highlight w:val="none"/>
              </w:rPr>
              <w:t>施工许可证号</w:t>
            </w:r>
          </w:p>
        </w:tc>
        <w:tc>
          <w:tcPr>
            <w:tcW w:w="1935" w:type="dxa"/>
            <w:gridSpan w:val="3"/>
            <w:tcBorders>
              <w:top w:val="single" w:color="auto" w:sz="6" w:space="0"/>
              <w:left w:val="single" w:color="auto" w:sz="6" w:space="0"/>
              <w:bottom w:val="single" w:color="auto" w:sz="6" w:space="0"/>
              <w:right w:val="single" w:color="auto" w:sz="6" w:space="0"/>
              <w:tl2br w:val="nil"/>
              <w:tr2bl w:val="nil"/>
            </w:tcBorders>
            <w:vAlign w:val="center"/>
          </w:tcPr>
          <w:p w14:paraId="215FE698">
            <w:pPr>
              <w:ind w:left="-90"/>
              <w:jc w:val="center"/>
              <w:rPr>
                <w:rFonts w:ascii="仿宋" w:hAnsi="仿宋" w:eastAsia="仿宋" w:cs="仿宋"/>
                <w:color w:val="auto"/>
                <w:sz w:val="18"/>
                <w:highlight w:val="none"/>
              </w:rPr>
            </w:pPr>
          </w:p>
        </w:tc>
        <w:tc>
          <w:tcPr>
            <w:tcW w:w="2185" w:type="dxa"/>
            <w:gridSpan w:val="4"/>
            <w:tcBorders>
              <w:top w:val="single" w:color="auto" w:sz="6" w:space="0"/>
              <w:left w:val="single" w:color="auto" w:sz="6" w:space="0"/>
              <w:bottom w:val="single" w:color="auto" w:sz="6" w:space="0"/>
              <w:right w:val="single" w:color="auto" w:sz="6" w:space="0"/>
              <w:tl2br w:val="nil"/>
              <w:tr2bl w:val="nil"/>
            </w:tcBorders>
            <w:vAlign w:val="center"/>
          </w:tcPr>
          <w:p w14:paraId="5771CF93">
            <w:pPr>
              <w:ind w:left="-90"/>
              <w:jc w:val="center"/>
              <w:rPr>
                <w:rFonts w:ascii="仿宋" w:hAnsi="仿宋" w:eastAsia="仿宋" w:cs="仿宋"/>
                <w:color w:val="auto"/>
                <w:sz w:val="24"/>
                <w:highlight w:val="none"/>
              </w:rPr>
            </w:pPr>
            <w:r>
              <w:rPr>
                <w:rFonts w:hint="eastAsia" w:ascii="仿宋" w:hAnsi="仿宋" w:eastAsia="仿宋" w:cs="仿宋"/>
                <w:color w:val="auto"/>
                <w:spacing w:val="-1"/>
                <w:kern w:val="0"/>
                <w:sz w:val="24"/>
                <w:highlight w:val="none"/>
              </w:rPr>
              <w:t>开工时间</w:t>
            </w:r>
          </w:p>
        </w:tc>
        <w:tc>
          <w:tcPr>
            <w:tcW w:w="3488" w:type="dxa"/>
            <w:gridSpan w:val="3"/>
            <w:tcBorders>
              <w:top w:val="single" w:color="auto" w:sz="6" w:space="0"/>
              <w:left w:val="single" w:color="auto" w:sz="6" w:space="0"/>
              <w:bottom w:val="single" w:color="auto" w:sz="6" w:space="0"/>
              <w:right w:val="single" w:color="auto" w:sz="6" w:space="0"/>
              <w:tl2br w:val="nil"/>
              <w:tr2bl w:val="nil"/>
            </w:tcBorders>
            <w:vAlign w:val="center"/>
          </w:tcPr>
          <w:p w14:paraId="4F2AFA68">
            <w:pPr>
              <w:ind w:left="-90"/>
              <w:jc w:val="center"/>
              <w:rPr>
                <w:rFonts w:ascii="仿宋" w:hAnsi="仿宋" w:eastAsia="仿宋" w:cs="仿宋"/>
                <w:color w:val="auto"/>
                <w:sz w:val="24"/>
                <w:highlight w:val="none"/>
              </w:rPr>
            </w:pPr>
          </w:p>
        </w:tc>
      </w:tr>
      <w:tr w14:paraId="7934B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212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5666C732">
            <w:pPr>
              <w:ind w:left="-90"/>
              <w:jc w:val="center"/>
              <w:rPr>
                <w:rFonts w:ascii="仿宋" w:hAnsi="仿宋" w:eastAsia="仿宋" w:cs="仿宋"/>
                <w:color w:val="auto"/>
                <w:sz w:val="24"/>
                <w:highlight w:val="none"/>
              </w:rPr>
            </w:pPr>
            <w:r>
              <w:rPr>
                <w:rFonts w:hint="eastAsia" w:ascii="仿宋" w:hAnsi="仿宋" w:eastAsia="仿宋" w:cs="仿宋"/>
                <w:color w:val="auto"/>
                <w:spacing w:val="-1"/>
                <w:kern w:val="0"/>
                <w:sz w:val="24"/>
                <w:highlight w:val="none"/>
              </w:rPr>
              <w:t>工程造价</w:t>
            </w:r>
          </w:p>
        </w:tc>
        <w:tc>
          <w:tcPr>
            <w:tcW w:w="7608" w:type="dxa"/>
            <w:gridSpan w:val="10"/>
            <w:tcBorders>
              <w:top w:val="single" w:color="auto" w:sz="6" w:space="0"/>
              <w:left w:val="single" w:color="auto" w:sz="6" w:space="0"/>
              <w:bottom w:val="single" w:color="auto" w:sz="6" w:space="0"/>
              <w:right w:val="single" w:color="auto" w:sz="6" w:space="0"/>
              <w:tl2br w:val="nil"/>
              <w:tr2bl w:val="nil"/>
            </w:tcBorders>
            <w:vAlign w:val="center"/>
          </w:tcPr>
          <w:p w14:paraId="147CA07A">
            <w:pPr>
              <w:ind w:left="-90"/>
              <w:jc w:val="center"/>
              <w:rPr>
                <w:rFonts w:ascii="仿宋" w:hAnsi="仿宋" w:eastAsia="仿宋" w:cs="仿宋"/>
                <w:color w:val="auto"/>
                <w:sz w:val="24"/>
                <w:highlight w:val="none"/>
              </w:rPr>
            </w:pPr>
            <w:r>
              <w:rPr>
                <w:rFonts w:hint="eastAsia" w:ascii="仿宋" w:hAnsi="仿宋" w:eastAsia="仿宋" w:cs="仿宋"/>
                <w:color w:val="auto"/>
                <w:spacing w:val="-1"/>
                <w:kern w:val="0"/>
                <w:sz w:val="24"/>
                <w:highlight w:val="none"/>
              </w:rPr>
              <w:t>万元</w:t>
            </w:r>
          </w:p>
        </w:tc>
      </w:tr>
      <w:tr w14:paraId="1DD9F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9734" w:type="dxa"/>
            <w:gridSpan w:val="12"/>
            <w:tcBorders>
              <w:top w:val="single" w:color="auto" w:sz="6" w:space="0"/>
              <w:left w:val="single" w:color="auto" w:sz="6" w:space="0"/>
              <w:bottom w:val="single" w:color="auto" w:sz="6" w:space="0"/>
              <w:right w:val="single" w:color="auto" w:sz="6" w:space="0"/>
              <w:tl2br w:val="nil"/>
              <w:tr2bl w:val="nil"/>
            </w:tcBorders>
            <w:vAlign w:val="center"/>
          </w:tcPr>
          <w:p w14:paraId="1D437D65">
            <w:pPr>
              <w:ind w:left="-90"/>
              <w:jc w:val="center"/>
              <w:rPr>
                <w:rFonts w:ascii="仿宋" w:hAnsi="仿宋" w:eastAsia="仿宋" w:cs="仿宋"/>
                <w:color w:val="auto"/>
                <w:sz w:val="24"/>
                <w:highlight w:val="none"/>
              </w:rPr>
            </w:pPr>
            <w:r>
              <w:rPr>
                <w:rFonts w:hint="eastAsia" w:ascii="仿宋" w:hAnsi="仿宋" w:eastAsia="仿宋" w:cs="仿宋"/>
                <w:color w:val="auto"/>
                <w:spacing w:val="-1"/>
                <w:kern w:val="0"/>
                <w:sz w:val="24"/>
                <w:highlight w:val="none"/>
              </w:rPr>
              <w:t>各方主体质量验收的结论</w:t>
            </w:r>
          </w:p>
        </w:tc>
      </w:tr>
      <w:tr w14:paraId="43EE0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2" w:hRule="atLeast"/>
        </w:trPr>
        <w:tc>
          <w:tcPr>
            <w:tcW w:w="1029" w:type="dxa"/>
            <w:tcBorders>
              <w:top w:val="single" w:color="auto" w:sz="6" w:space="0"/>
              <w:left w:val="single" w:color="auto" w:sz="6" w:space="0"/>
              <w:bottom w:val="single" w:color="auto" w:sz="6" w:space="0"/>
              <w:right w:val="single" w:color="auto" w:sz="6" w:space="0"/>
              <w:tl2br w:val="nil"/>
              <w:tr2bl w:val="nil"/>
            </w:tcBorders>
            <w:vAlign w:val="center"/>
          </w:tcPr>
          <w:p w14:paraId="3AEE58A1">
            <w:pPr>
              <w:ind w:left="-90"/>
              <w:jc w:val="center"/>
              <w:rPr>
                <w:rFonts w:ascii="仿宋" w:hAnsi="仿宋" w:eastAsia="仿宋" w:cs="仿宋"/>
                <w:color w:val="auto"/>
                <w:sz w:val="24"/>
                <w:highlight w:val="none"/>
              </w:rPr>
            </w:pPr>
            <w:r>
              <w:rPr>
                <w:rFonts w:hint="eastAsia" w:ascii="仿宋" w:hAnsi="仿宋" w:eastAsia="仿宋" w:cs="仿宋"/>
                <w:color w:val="auto"/>
                <w:spacing w:val="-1"/>
                <w:kern w:val="0"/>
                <w:sz w:val="24"/>
                <w:highlight w:val="none"/>
              </w:rPr>
              <w:t>供应商</w:t>
            </w:r>
          </w:p>
        </w:tc>
        <w:tc>
          <w:tcPr>
            <w:tcW w:w="1972"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36074DAA">
            <w:pPr>
              <w:ind w:left="-90"/>
              <w:jc w:val="center"/>
              <w:rPr>
                <w:rFonts w:ascii="仿宋" w:hAnsi="仿宋" w:eastAsia="仿宋" w:cs="仿宋"/>
                <w:color w:val="auto"/>
                <w:sz w:val="24"/>
                <w:highlight w:val="none"/>
              </w:rPr>
            </w:pPr>
          </w:p>
        </w:tc>
        <w:tc>
          <w:tcPr>
            <w:tcW w:w="1232" w:type="dxa"/>
            <w:gridSpan w:val="3"/>
            <w:tcBorders>
              <w:top w:val="single" w:color="auto" w:sz="6" w:space="0"/>
              <w:left w:val="single" w:color="auto" w:sz="6" w:space="0"/>
              <w:bottom w:val="single" w:color="auto" w:sz="6" w:space="0"/>
              <w:right w:val="single" w:color="auto" w:sz="6" w:space="0"/>
              <w:tl2br w:val="nil"/>
              <w:tr2bl w:val="nil"/>
            </w:tcBorders>
            <w:vAlign w:val="center"/>
          </w:tcPr>
          <w:p w14:paraId="56AB2B97">
            <w:pPr>
              <w:ind w:left="-90"/>
              <w:jc w:val="center"/>
              <w:rPr>
                <w:rFonts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设计</w:t>
            </w:r>
          </w:p>
          <w:p w14:paraId="0B2EE0A1">
            <w:pPr>
              <w:ind w:left="-90"/>
              <w:jc w:val="center"/>
              <w:rPr>
                <w:rFonts w:ascii="仿宋" w:hAnsi="仿宋" w:eastAsia="仿宋" w:cs="仿宋"/>
                <w:color w:val="auto"/>
                <w:sz w:val="24"/>
                <w:highlight w:val="none"/>
              </w:rPr>
            </w:pPr>
            <w:r>
              <w:rPr>
                <w:rFonts w:hint="eastAsia" w:ascii="仿宋" w:hAnsi="仿宋" w:eastAsia="仿宋" w:cs="仿宋"/>
                <w:color w:val="auto"/>
                <w:spacing w:val="-1"/>
                <w:kern w:val="0"/>
                <w:sz w:val="24"/>
                <w:highlight w:val="none"/>
              </w:rPr>
              <w:t>单位</w:t>
            </w:r>
          </w:p>
        </w:tc>
        <w:tc>
          <w:tcPr>
            <w:tcW w:w="1971"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2D4064DE">
            <w:pPr>
              <w:ind w:left="-90"/>
              <w:jc w:val="center"/>
              <w:rPr>
                <w:rFonts w:ascii="仿宋" w:hAnsi="仿宋" w:eastAsia="仿宋" w:cs="仿宋"/>
                <w:color w:val="auto"/>
                <w:sz w:val="24"/>
                <w:highlight w:val="none"/>
              </w:rPr>
            </w:pPr>
          </w:p>
        </w:tc>
        <w:tc>
          <w:tcPr>
            <w:tcW w:w="1053" w:type="dxa"/>
            <w:gridSpan w:val="3"/>
            <w:tcBorders>
              <w:top w:val="single" w:color="auto" w:sz="6" w:space="0"/>
              <w:left w:val="single" w:color="auto" w:sz="6" w:space="0"/>
              <w:bottom w:val="single" w:color="auto" w:sz="6" w:space="0"/>
              <w:right w:val="single" w:color="auto" w:sz="6" w:space="0"/>
              <w:tl2br w:val="nil"/>
              <w:tr2bl w:val="nil"/>
            </w:tcBorders>
            <w:vAlign w:val="center"/>
          </w:tcPr>
          <w:p w14:paraId="4BB93323">
            <w:pPr>
              <w:ind w:left="-90"/>
              <w:jc w:val="center"/>
              <w:rPr>
                <w:rFonts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监理</w:t>
            </w:r>
          </w:p>
          <w:p w14:paraId="29DD6D5C">
            <w:pPr>
              <w:ind w:left="-90"/>
              <w:jc w:val="center"/>
              <w:rPr>
                <w:rFonts w:ascii="仿宋" w:hAnsi="仿宋" w:eastAsia="仿宋" w:cs="仿宋"/>
                <w:color w:val="auto"/>
                <w:sz w:val="24"/>
                <w:highlight w:val="none"/>
              </w:rPr>
            </w:pPr>
            <w:r>
              <w:rPr>
                <w:rFonts w:hint="eastAsia" w:ascii="仿宋" w:hAnsi="仿宋" w:eastAsia="仿宋" w:cs="仿宋"/>
                <w:color w:val="auto"/>
                <w:spacing w:val="-1"/>
                <w:kern w:val="0"/>
                <w:sz w:val="24"/>
                <w:highlight w:val="none"/>
              </w:rPr>
              <w:t>单位</w:t>
            </w:r>
          </w:p>
        </w:tc>
        <w:tc>
          <w:tcPr>
            <w:tcW w:w="2477" w:type="dxa"/>
            <w:tcBorders>
              <w:top w:val="single" w:color="auto" w:sz="6" w:space="0"/>
              <w:left w:val="single" w:color="auto" w:sz="6" w:space="0"/>
              <w:bottom w:val="single" w:color="auto" w:sz="6" w:space="0"/>
              <w:right w:val="single" w:color="auto" w:sz="6" w:space="0"/>
              <w:tl2br w:val="nil"/>
              <w:tr2bl w:val="nil"/>
            </w:tcBorders>
            <w:vAlign w:val="center"/>
          </w:tcPr>
          <w:p w14:paraId="7DC871CE">
            <w:pPr>
              <w:ind w:left="-90"/>
              <w:jc w:val="center"/>
              <w:rPr>
                <w:rFonts w:ascii="仿宋" w:hAnsi="仿宋" w:eastAsia="仿宋" w:cs="仿宋"/>
                <w:color w:val="auto"/>
                <w:sz w:val="24"/>
                <w:highlight w:val="none"/>
              </w:rPr>
            </w:pPr>
          </w:p>
        </w:tc>
      </w:tr>
      <w:tr w14:paraId="6DB4B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212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55592A8C">
            <w:pPr>
              <w:ind w:left="-90"/>
              <w:jc w:val="center"/>
              <w:rPr>
                <w:rFonts w:ascii="仿宋" w:hAnsi="仿宋" w:eastAsia="仿宋" w:cs="仿宋"/>
                <w:color w:val="auto"/>
                <w:sz w:val="24"/>
                <w:highlight w:val="none"/>
              </w:rPr>
            </w:pPr>
            <w:r>
              <w:rPr>
                <w:rFonts w:hint="eastAsia" w:ascii="仿宋" w:hAnsi="仿宋" w:eastAsia="仿宋" w:cs="仿宋"/>
                <w:color w:val="auto"/>
                <w:spacing w:val="-1"/>
                <w:kern w:val="0"/>
                <w:sz w:val="24"/>
                <w:highlight w:val="none"/>
              </w:rPr>
              <w:t>竣工验收时间</w:t>
            </w:r>
          </w:p>
        </w:tc>
        <w:tc>
          <w:tcPr>
            <w:tcW w:w="7608" w:type="dxa"/>
            <w:gridSpan w:val="10"/>
            <w:tcBorders>
              <w:top w:val="single" w:color="auto" w:sz="6" w:space="0"/>
              <w:left w:val="single" w:color="auto" w:sz="6" w:space="0"/>
              <w:bottom w:val="single" w:color="auto" w:sz="6" w:space="0"/>
              <w:right w:val="single" w:color="auto" w:sz="6" w:space="0"/>
              <w:tl2br w:val="nil"/>
              <w:tr2bl w:val="nil"/>
            </w:tcBorders>
            <w:vAlign w:val="center"/>
          </w:tcPr>
          <w:p w14:paraId="4B02FB09">
            <w:pPr>
              <w:ind w:left="-90"/>
              <w:jc w:val="center"/>
              <w:rPr>
                <w:rFonts w:ascii="仿宋" w:hAnsi="仿宋" w:eastAsia="仿宋" w:cs="仿宋"/>
                <w:color w:val="auto"/>
                <w:sz w:val="24"/>
                <w:highlight w:val="none"/>
              </w:rPr>
            </w:pPr>
          </w:p>
        </w:tc>
      </w:tr>
      <w:tr w14:paraId="25AC8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49" w:hRule="atLeast"/>
        </w:trPr>
        <w:tc>
          <w:tcPr>
            <w:tcW w:w="9734" w:type="dxa"/>
            <w:gridSpan w:val="12"/>
            <w:tcBorders>
              <w:top w:val="single" w:color="auto" w:sz="6" w:space="0"/>
              <w:left w:val="single" w:color="auto" w:sz="6" w:space="0"/>
              <w:bottom w:val="single" w:color="auto" w:sz="6" w:space="0"/>
              <w:right w:val="single" w:color="auto" w:sz="6" w:space="0"/>
              <w:tl2br w:val="nil"/>
              <w:tr2bl w:val="nil"/>
            </w:tcBorders>
          </w:tcPr>
          <w:p w14:paraId="3C1F35F2">
            <w:pPr>
              <w:ind w:left="-90"/>
              <w:jc w:val="left"/>
              <w:rPr>
                <w:rFonts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工程概况：</w:t>
            </w:r>
          </w:p>
          <w:p w14:paraId="5B6A427C">
            <w:pPr>
              <w:ind w:left="-90"/>
              <w:jc w:val="left"/>
              <w:rPr>
                <w:rFonts w:ascii="仿宋" w:hAnsi="仿宋" w:eastAsia="仿宋" w:cs="仿宋"/>
                <w:color w:val="auto"/>
                <w:sz w:val="24"/>
                <w:highlight w:val="none"/>
              </w:rPr>
            </w:pPr>
          </w:p>
        </w:tc>
      </w:tr>
      <w:tr w14:paraId="090A4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6" w:hRule="atLeast"/>
        </w:trPr>
        <w:tc>
          <w:tcPr>
            <w:tcW w:w="9734" w:type="dxa"/>
            <w:gridSpan w:val="12"/>
            <w:tcBorders>
              <w:top w:val="single" w:color="auto" w:sz="6" w:space="0"/>
              <w:left w:val="single" w:color="auto" w:sz="6" w:space="0"/>
              <w:bottom w:val="single" w:color="auto" w:sz="6" w:space="0"/>
              <w:right w:val="single" w:color="auto" w:sz="6" w:space="0"/>
              <w:tl2br w:val="nil"/>
              <w:tr2bl w:val="nil"/>
            </w:tcBorders>
          </w:tcPr>
          <w:p w14:paraId="5B99AA42">
            <w:pPr>
              <w:ind w:left="-90"/>
              <w:jc w:val="left"/>
              <w:rPr>
                <w:rFonts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竣工验收的内容：</w:t>
            </w:r>
          </w:p>
          <w:p w14:paraId="56BF32E2">
            <w:pPr>
              <w:ind w:left="-90" w:firstLine="480" w:firstLineChars="200"/>
              <w:jc w:val="left"/>
              <w:rPr>
                <w:rFonts w:ascii="仿宋" w:hAnsi="仿宋" w:eastAsia="仿宋" w:cs="仿宋"/>
                <w:color w:val="auto"/>
                <w:sz w:val="24"/>
                <w:highlight w:val="none"/>
              </w:rPr>
            </w:pPr>
          </w:p>
        </w:tc>
      </w:tr>
      <w:tr w14:paraId="4C6BF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52" w:hRule="atLeast"/>
        </w:trPr>
        <w:tc>
          <w:tcPr>
            <w:tcW w:w="9734" w:type="dxa"/>
            <w:gridSpan w:val="12"/>
            <w:tcBorders>
              <w:top w:val="single" w:color="auto" w:sz="6" w:space="0"/>
              <w:left w:val="single" w:color="auto" w:sz="6" w:space="0"/>
              <w:bottom w:val="single" w:color="auto" w:sz="6" w:space="0"/>
              <w:right w:val="single" w:color="auto" w:sz="6" w:space="0"/>
              <w:tl2br w:val="nil"/>
              <w:tr2bl w:val="nil"/>
            </w:tcBorders>
          </w:tcPr>
          <w:p w14:paraId="442BECBC">
            <w:pPr>
              <w:ind w:left="-90"/>
              <w:jc w:val="left"/>
              <w:rPr>
                <w:rFonts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竣工验收标准：</w:t>
            </w:r>
          </w:p>
          <w:p w14:paraId="37DA985F">
            <w:pPr>
              <w:ind w:left="-90" w:firstLine="476" w:firstLineChars="200"/>
              <w:jc w:val="left"/>
              <w:rPr>
                <w:rFonts w:ascii="仿宋" w:hAnsi="仿宋" w:eastAsia="仿宋" w:cs="仿宋"/>
                <w:color w:val="auto"/>
                <w:spacing w:val="-1"/>
                <w:kern w:val="0"/>
                <w:sz w:val="24"/>
                <w:highlight w:val="none"/>
              </w:rPr>
            </w:pPr>
          </w:p>
        </w:tc>
      </w:tr>
    </w:tbl>
    <w:p w14:paraId="2D0B831F">
      <w:pPr>
        <w:rPr>
          <w:rFonts w:ascii="仿宋" w:hAnsi="仿宋" w:eastAsia="仿宋" w:cs="仿宋"/>
          <w:color w:val="auto"/>
          <w:highlight w:val="none"/>
        </w:rPr>
      </w:pPr>
    </w:p>
    <w:p w14:paraId="2491B52E">
      <w:pPr>
        <w:rPr>
          <w:rFonts w:ascii="仿宋" w:hAnsi="仿宋" w:eastAsia="仿宋" w:cs="仿宋"/>
          <w:color w:val="auto"/>
          <w:highlight w:val="none"/>
        </w:rPr>
      </w:pPr>
    </w:p>
    <w:p w14:paraId="78F90974">
      <w:pPr>
        <w:rPr>
          <w:rFonts w:ascii="仿宋" w:hAnsi="仿宋" w:eastAsia="仿宋" w:cs="仿宋"/>
          <w:color w:val="auto"/>
          <w:highlight w:val="none"/>
        </w:rPr>
      </w:pPr>
    </w:p>
    <w:p w14:paraId="3960108A">
      <w:pPr>
        <w:rPr>
          <w:rFonts w:ascii="仿宋" w:hAnsi="仿宋" w:eastAsia="仿宋" w:cs="仿宋"/>
          <w:color w:val="auto"/>
          <w:highlight w:val="none"/>
        </w:rPr>
      </w:pPr>
    </w:p>
    <w:p w14:paraId="79197F33">
      <w:pPr>
        <w:rPr>
          <w:rFonts w:ascii="仿宋" w:hAnsi="仿宋" w:eastAsia="仿宋" w:cs="仿宋"/>
          <w:color w:val="auto"/>
          <w:highlight w:val="none"/>
        </w:rPr>
      </w:pPr>
    </w:p>
    <w:p w14:paraId="15203AC8">
      <w:pPr>
        <w:jc w:val="center"/>
        <w:rPr>
          <w:rFonts w:ascii="仿宋" w:hAnsi="仿宋" w:eastAsia="仿宋" w:cs="仿宋"/>
          <w:color w:val="auto"/>
          <w:sz w:val="28"/>
          <w:highlight w:val="none"/>
        </w:rPr>
      </w:pPr>
    </w:p>
    <w:p w14:paraId="1B75A4C1">
      <w:pPr>
        <w:jc w:val="center"/>
        <w:rPr>
          <w:rFonts w:ascii="仿宋" w:hAnsi="仿宋" w:eastAsia="仿宋" w:cs="仿宋"/>
          <w:color w:val="auto"/>
          <w:sz w:val="28"/>
          <w:highlight w:val="none"/>
        </w:rPr>
      </w:pPr>
      <w:r>
        <w:rPr>
          <w:rFonts w:hint="eastAsia" w:ascii="仿宋" w:hAnsi="仿宋" w:eastAsia="仿宋" w:cs="仿宋"/>
          <w:color w:val="auto"/>
          <w:sz w:val="28"/>
          <w:highlight w:val="none"/>
        </w:rPr>
        <w:t>工程竣工验收报告(二)</w:t>
      </w:r>
    </w:p>
    <w:tbl>
      <w:tblPr>
        <w:tblStyle w:val="62"/>
        <w:tblW w:w="9769" w:type="dxa"/>
        <w:tblInd w:w="0" w:type="dxa"/>
        <w:tblLayout w:type="fixed"/>
        <w:tblCellMar>
          <w:top w:w="0" w:type="dxa"/>
          <w:left w:w="108" w:type="dxa"/>
          <w:bottom w:w="0" w:type="dxa"/>
          <w:right w:w="108" w:type="dxa"/>
        </w:tblCellMar>
      </w:tblPr>
      <w:tblGrid>
        <w:gridCol w:w="633"/>
        <w:gridCol w:w="1871"/>
        <w:gridCol w:w="1399"/>
        <w:gridCol w:w="1399"/>
        <w:gridCol w:w="1408"/>
        <w:gridCol w:w="3059"/>
      </w:tblGrid>
      <w:tr w14:paraId="55F7C475">
        <w:tblPrEx>
          <w:tblCellMar>
            <w:top w:w="0" w:type="dxa"/>
            <w:left w:w="108" w:type="dxa"/>
            <w:bottom w:w="0" w:type="dxa"/>
            <w:right w:w="108" w:type="dxa"/>
          </w:tblCellMar>
        </w:tblPrEx>
        <w:trPr>
          <w:trHeight w:val="1386" w:hRule="atLeast"/>
        </w:trPr>
        <w:tc>
          <w:tcPr>
            <w:tcW w:w="9769" w:type="dxa"/>
            <w:gridSpan w:val="6"/>
            <w:tcBorders>
              <w:top w:val="single" w:color="auto" w:sz="6" w:space="0"/>
              <w:left w:val="single" w:color="auto" w:sz="6" w:space="0"/>
              <w:bottom w:val="single" w:color="auto" w:sz="6" w:space="0"/>
              <w:right w:val="single" w:color="auto" w:sz="6" w:space="0"/>
              <w:tl2br w:val="nil"/>
              <w:tr2bl w:val="nil"/>
            </w:tcBorders>
          </w:tcPr>
          <w:p w14:paraId="4BAE7AF1">
            <w:pPr>
              <w:ind w:left="-90"/>
              <w:jc w:val="left"/>
              <w:rPr>
                <w:rFonts w:ascii="仿宋" w:hAnsi="仿宋" w:eastAsia="仿宋" w:cs="仿宋"/>
                <w:color w:val="auto"/>
                <w:spacing w:val="-1"/>
                <w:kern w:val="0"/>
                <w:sz w:val="23"/>
                <w:highlight w:val="none"/>
              </w:rPr>
            </w:pPr>
            <w:r>
              <w:rPr>
                <w:rFonts w:hint="eastAsia" w:ascii="仿宋" w:hAnsi="仿宋" w:eastAsia="仿宋" w:cs="仿宋"/>
                <w:color w:val="auto"/>
                <w:spacing w:val="-1"/>
                <w:kern w:val="0"/>
                <w:sz w:val="23"/>
                <w:highlight w:val="none"/>
              </w:rPr>
              <w:t>采购人执行基本建设程序情况：</w:t>
            </w:r>
          </w:p>
          <w:p w14:paraId="4ED606A9">
            <w:pPr>
              <w:ind w:left="-90"/>
              <w:jc w:val="left"/>
              <w:rPr>
                <w:rFonts w:ascii="仿宋" w:hAnsi="仿宋" w:eastAsia="仿宋" w:cs="仿宋"/>
                <w:color w:val="auto"/>
                <w:sz w:val="23"/>
                <w:highlight w:val="none"/>
              </w:rPr>
            </w:pPr>
          </w:p>
        </w:tc>
      </w:tr>
      <w:tr w14:paraId="21BE6129">
        <w:tblPrEx>
          <w:tblCellMar>
            <w:top w:w="0" w:type="dxa"/>
            <w:left w:w="108" w:type="dxa"/>
            <w:bottom w:w="0" w:type="dxa"/>
            <w:right w:w="108" w:type="dxa"/>
          </w:tblCellMar>
        </w:tblPrEx>
        <w:trPr>
          <w:trHeight w:val="1700" w:hRule="atLeast"/>
        </w:trPr>
        <w:tc>
          <w:tcPr>
            <w:tcW w:w="9769" w:type="dxa"/>
            <w:gridSpan w:val="6"/>
            <w:tcBorders>
              <w:top w:val="single" w:color="auto" w:sz="6" w:space="0"/>
              <w:left w:val="single" w:color="auto" w:sz="6" w:space="0"/>
              <w:bottom w:val="single" w:color="auto" w:sz="6" w:space="0"/>
              <w:right w:val="single" w:color="auto" w:sz="6" w:space="0"/>
              <w:tl2br w:val="nil"/>
              <w:tr2bl w:val="nil"/>
            </w:tcBorders>
          </w:tcPr>
          <w:p w14:paraId="5DDCA588">
            <w:pPr>
              <w:ind w:left="-90"/>
              <w:jc w:val="left"/>
              <w:rPr>
                <w:rFonts w:ascii="仿宋" w:hAnsi="仿宋" w:eastAsia="仿宋" w:cs="仿宋"/>
                <w:color w:val="auto"/>
                <w:spacing w:val="-1"/>
                <w:kern w:val="0"/>
                <w:sz w:val="23"/>
                <w:highlight w:val="none"/>
              </w:rPr>
            </w:pPr>
            <w:r>
              <w:rPr>
                <w:rFonts w:hint="eastAsia" w:ascii="仿宋" w:hAnsi="仿宋" w:eastAsia="仿宋" w:cs="仿宋"/>
                <w:color w:val="auto"/>
                <w:spacing w:val="-1"/>
                <w:kern w:val="0"/>
                <w:sz w:val="23"/>
                <w:highlight w:val="none"/>
              </w:rPr>
              <w:t>工程竣工验收意见：</w:t>
            </w:r>
          </w:p>
          <w:p w14:paraId="29E0E7CB">
            <w:pPr>
              <w:ind w:left="-90"/>
              <w:jc w:val="left"/>
              <w:rPr>
                <w:rFonts w:ascii="仿宋" w:hAnsi="仿宋" w:eastAsia="仿宋" w:cs="仿宋"/>
                <w:color w:val="auto"/>
                <w:sz w:val="23"/>
                <w:highlight w:val="none"/>
              </w:rPr>
            </w:pPr>
          </w:p>
        </w:tc>
      </w:tr>
      <w:tr w14:paraId="6DEEB428">
        <w:tblPrEx>
          <w:tblCellMar>
            <w:top w:w="0" w:type="dxa"/>
            <w:left w:w="108" w:type="dxa"/>
            <w:bottom w:w="0" w:type="dxa"/>
            <w:right w:w="108" w:type="dxa"/>
          </w:tblCellMar>
        </w:tblPrEx>
        <w:trPr>
          <w:trHeight w:val="1071" w:hRule="atLeast"/>
        </w:trPr>
        <w:tc>
          <w:tcPr>
            <w:tcW w:w="9769" w:type="dxa"/>
            <w:gridSpan w:val="6"/>
            <w:tcBorders>
              <w:top w:val="single" w:color="auto" w:sz="6" w:space="0"/>
              <w:left w:val="single" w:color="auto" w:sz="6" w:space="0"/>
              <w:bottom w:val="single" w:color="auto" w:sz="6" w:space="0"/>
              <w:right w:val="single" w:color="auto" w:sz="6" w:space="0"/>
              <w:tl2br w:val="nil"/>
              <w:tr2bl w:val="nil"/>
            </w:tcBorders>
          </w:tcPr>
          <w:p w14:paraId="4A5B6CAB">
            <w:pPr>
              <w:ind w:left="-90"/>
              <w:jc w:val="left"/>
              <w:rPr>
                <w:rFonts w:ascii="仿宋" w:hAnsi="仿宋" w:eastAsia="仿宋" w:cs="仿宋"/>
                <w:color w:val="auto"/>
                <w:spacing w:val="-1"/>
                <w:kern w:val="0"/>
                <w:sz w:val="23"/>
                <w:highlight w:val="none"/>
              </w:rPr>
            </w:pPr>
            <w:r>
              <w:rPr>
                <w:rFonts w:hint="eastAsia" w:ascii="仿宋" w:hAnsi="仿宋" w:eastAsia="仿宋" w:cs="仿宋"/>
                <w:color w:val="auto"/>
                <w:spacing w:val="-1"/>
                <w:kern w:val="0"/>
                <w:sz w:val="23"/>
                <w:highlight w:val="none"/>
              </w:rPr>
              <w:t>工程竣工验收结论：</w:t>
            </w:r>
          </w:p>
          <w:p w14:paraId="3BC614D1">
            <w:pPr>
              <w:ind w:left="-90"/>
              <w:jc w:val="left"/>
              <w:rPr>
                <w:rFonts w:ascii="仿宋" w:hAnsi="仿宋" w:eastAsia="仿宋" w:cs="仿宋"/>
                <w:color w:val="auto"/>
                <w:sz w:val="23"/>
                <w:highlight w:val="none"/>
              </w:rPr>
            </w:pPr>
            <w:r>
              <w:rPr>
                <w:rFonts w:hint="eastAsia" w:ascii="仿宋" w:hAnsi="仿宋" w:eastAsia="仿宋" w:cs="仿宋"/>
                <w:color w:val="auto"/>
                <w:spacing w:val="-1"/>
                <w:kern w:val="0"/>
                <w:sz w:val="23"/>
                <w:highlight w:val="none"/>
              </w:rPr>
              <w:t xml:space="preserve">   符合国家质量标准，验收合格，同意使用。</w:t>
            </w:r>
          </w:p>
        </w:tc>
      </w:tr>
      <w:tr w14:paraId="33DD355B">
        <w:tblPrEx>
          <w:tblCellMar>
            <w:top w:w="0" w:type="dxa"/>
            <w:left w:w="108" w:type="dxa"/>
            <w:bottom w:w="0" w:type="dxa"/>
            <w:right w:w="108" w:type="dxa"/>
          </w:tblCellMar>
        </w:tblPrEx>
        <w:trPr>
          <w:cantSplit/>
          <w:trHeight w:val="482" w:hRule="atLeast"/>
        </w:trPr>
        <w:tc>
          <w:tcPr>
            <w:tcW w:w="633" w:type="dxa"/>
            <w:vMerge w:val="restart"/>
            <w:tcBorders>
              <w:top w:val="single" w:color="auto" w:sz="6" w:space="0"/>
              <w:left w:val="single" w:color="auto" w:sz="6" w:space="0"/>
              <w:bottom w:val="nil"/>
              <w:right w:val="single" w:color="auto" w:sz="6" w:space="0"/>
              <w:tl2br w:val="nil"/>
              <w:tr2bl w:val="nil"/>
            </w:tcBorders>
            <w:vAlign w:val="center"/>
          </w:tcPr>
          <w:p w14:paraId="49E0419E">
            <w:pPr>
              <w:ind w:left="-90"/>
              <w:jc w:val="center"/>
              <w:rPr>
                <w:rFonts w:ascii="仿宋" w:hAnsi="仿宋" w:eastAsia="仿宋" w:cs="仿宋"/>
                <w:color w:val="auto"/>
                <w:sz w:val="23"/>
                <w:highlight w:val="none"/>
              </w:rPr>
            </w:pPr>
            <w:r>
              <w:rPr>
                <w:rFonts w:hint="eastAsia" w:ascii="仿宋" w:hAnsi="仿宋" w:eastAsia="仿宋" w:cs="仿宋"/>
                <w:color w:val="auto"/>
                <w:spacing w:val="-1"/>
                <w:kern w:val="0"/>
                <w:sz w:val="23"/>
                <w:highlight w:val="none"/>
              </w:rPr>
              <w:t>竣</w:t>
            </w:r>
          </w:p>
          <w:p w14:paraId="0CAEF44C">
            <w:pPr>
              <w:ind w:left="-90"/>
              <w:jc w:val="center"/>
              <w:rPr>
                <w:rFonts w:ascii="仿宋" w:hAnsi="仿宋" w:eastAsia="仿宋" w:cs="仿宋"/>
                <w:color w:val="auto"/>
                <w:sz w:val="23"/>
                <w:highlight w:val="none"/>
              </w:rPr>
            </w:pPr>
            <w:r>
              <w:rPr>
                <w:rFonts w:hint="eastAsia" w:ascii="仿宋" w:hAnsi="仿宋" w:eastAsia="仿宋" w:cs="仿宋"/>
                <w:color w:val="auto"/>
                <w:spacing w:val="-1"/>
                <w:kern w:val="0"/>
                <w:sz w:val="23"/>
                <w:highlight w:val="none"/>
              </w:rPr>
              <w:t>工</w:t>
            </w:r>
          </w:p>
          <w:p w14:paraId="0224D058">
            <w:pPr>
              <w:ind w:left="-90"/>
              <w:jc w:val="center"/>
              <w:rPr>
                <w:rFonts w:ascii="仿宋" w:hAnsi="仿宋" w:eastAsia="仿宋" w:cs="仿宋"/>
                <w:color w:val="auto"/>
                <w:sz w:val="23"/>
                <w:highlight w:val="none"/>
              </w:rPr>
            </w:pPr>
            <w:r>
              <w:rPr>
                <w:rFonts w:hint="eastAsia" w:ascii="仿宋" w:hAnsi="仿宋" w:eastAsia="仿宋" w:cs="仿宋"/>
                <w:color w:val="auto"/>
                <w:spacing w:val="-1"/>
                <w:kern w:val="0"/>
                <w:sz w:val="23"/>
                <w:highlight w:val="none"/>
              </w:rPr>
              <w:t>验</w:t>
            </w:r>
          </w:p>
          <w:p w14:paraId="55D15D52">
            <w:pPr>
              <w:ind w:left="-90"/>
              <w:jc w:val="center"/>
              <w:rPr>
                <w:rFonts w:ascii="仿宋" w:hAnsi="仿宋" w:eastAsia="仿宋" w:cs="仿宋"/>
                <w:color w:val="auto"/>
                <w:sz w:val="23"/>
                <w:highlight w:val="none"/>
              </w:rPr>
            </w:pPr>
            <w:r>
              <w:rPr>
                <w:rFonts w:hint="eastAsia" w:ascii="仿宋" w:hAnsi="仿宋" w:eastAsia="仿宋" w:cs="仿宋"/>
                <w:color w:val="auto"/>
                <w:spacing w:val="-1"/>
                <w:kern w:val="0"/>
                <w:sz w:val="23"/>
                <w:highlight w:val="none"/>
              </w:rPr>
              <w:t>收</w:t>
            </w:r>
          </w:p>
          <w:p w14:paraId="509BCC2A">
            <w:pPr>
              <w:ind w:left="-90"/>
              <w:jc w:val="center"/>
              <w:rPr>
                <w:rFonts w:ascii="仿宋" w:hAnsi="仿宋" w:eastAsia="仿宋" w:cs="仿宋"/>
                <w:color w:val="auto"/>
                <w:sz w:val="23"/>
                <w:highlight w:val="none"/>
              </w:rPr>
            </w:pPr>
            <w:r>
              <w:rPr>
                <w:rFonts w:hint="eastAsia" w:ascii="仿宋" w:hAnsi="仿宋" w:eastAsia="仿宋" w:cs="仿宋"/>
                <w:color w:val="auto"/>
                <w:spacing w:val="-1"/>
                <w:kern w:val="0"/>
                <w:sz w:val="23"/>
                <w:highlight w:val="none"/>
              </w:rPr>
              <w:t>人</w:t>
            </w:r>
          </w:p>
          <w:p w14:paraId="2D3AF085">
            <w:pPr>
              <w:ind w:left="-90"/>
              <w:jc w:val="center"/>
              <w:rPr>
                <w:rFonts w:ascii="仿宋" w:hAnsi="仿宋" w:eastAsia="仿宋" w:cs="仿宋"/>
                <w:color w:val="auto"/>
                <w:spacing w:val="-1"/>
                <w:kern w:val="0"/>
                <w:sz w:val="23"/>
                <w:highlight w:val="none"/>
              </w:rPr>
            </w:pPr>
            <w:r>
              <w:rPr>
                <w:rFonts w:hint="eastAsia" w:ascii="仿宋" w:hAnsi="仿宋" w:eastAsia="仿宋" w:cs="仿宋"/>
                <w:color w:val="auto"/>
                <w:spacing w:val="-1"/>
                <w:kern w:val="0"/>
                <w:sz w:val="23"/>
                <w:highlight w:val="none"/>
              </w:rPr>
              <w:t>员</w:t>
            </w:r>
          </w:p>
          <w:p w14:paraId="6ED56FAF">
            <w:pPr>
              <w:ind w:left="-90"/>
              <w:jc w:val="center"/>
              <w:rPr>
                <w:rFonts w:ascii="仿宋" w:hAnsi="仿宋" w:eastAsia="仿宋" w:cs="仿宋"/>
                <w:color w:val="auto"/>
                <w:sz w:val="23"/>
                <w:highlight w:val="none"/>
              </w:rPr>
            </w:pPr>
            <w:r>
              <w:rPr>
                <w:rFonts w:hint="eastAsia" w:ascii="仿宋" w:hAnsi="仿宋" w:eastAsia="仿宋" w:cs="仿宋"/>
                <w:color w:val="auto"/>
                <w:spacing w:val="-1"/>
                <w:kern w:val="0"/>
                <w:sz w:val="23"/>
                <w:highlight w:val="none"/>
              </w:rPr>
              <w:t>签</w:t>
            </w:r>
          </w:p>
          <w:p w14:paraId="6094C30F">
            <w:pPr>
              <w:ind w:left="-90"/>
              <w:jc w:val="center"/>
              <w:rPr>
                <w:rFonts w:ascii="仿宋" w:hAnsi="仿宋" w:eastAsia="仿宋" w:cs="仿宋"/>
                <w:color w:val="auto"/>
                <w:kern w:val="0"/>
                <w:sz w:val="24"/>
                <w:highlight w:val="none"/>
              </w:rPr>
            </w:pPr>
            <w:r>
              <w:rPr>
                <w:rFonts w:hint="eastAsia" w:ascii="仿宋" w:hAnsi="仿宋" w:eastAsia="仿宋" w:cs="仿宋"/>
                <w:color w:val="auto"/>
                <w:spacing w:val="-1"/>
                <w:kern w:val="0"/>
                <w:sz w:val="23"/>
                <w:highlight w:val="none"/>
              </w:rPr>
              <w:t>字</w:t>
            </w:r>
          </w:p>
        </w:tc>
        <w:tc>
          <w:tcPr>
            <w:tcW w:w="1871" w:type="dxa"/>
            <w:tcBorders>
              <w:top w:val="single" w:color="auto" w:sz="6" w:space="0"/>
              <w:left w:val="single" w:color="auto" w:sz="6" w:space="0"/>
              <w:bottom w:val="single" w:color="auto" w:sz="6" w:space="0"/>
              <w:right w:val="single" w:color="auto" w:sz="6" w:space="0"/>
              <w:tl2br w:val="nil"/>
              <w:tr2bl w:val="nil"/>
            </w:tcBorders>
          </w:tcPr>
          <w:p w14:paraId="19F6A613">
            <w:pPr>
              <w:ind w:left="-90"/>
              <w:jc w:val="left"/>
              <w:rPr>
                <w:rFonts w:ascii="仿宋" w:hAnsi="仿宋" w:eastAsia="仿宋" w:cs="仿宋"/>
                <w:color w:val="auto"/>
                <w:sz w:val="23"/>
                <w:highlight w:val="none"/>
              </w:rPr>
            </w:pPr>
            <w:r>
              <w:rPr>
                <w:rFonts w:hint="eastAsia" w:ascii="仿宋" w:hAnsi="仿宋" w:eastAsia="仿宋" w:cs="仿宋"/>
                <w:color w:val="auto"/>
                <w:spacing w:val="-1"/>
                <w:kern w:val="0"/>
                <w:sz w:val="23"/>
                <w:highlight w:val="none"/>
              </w:rPr>
              <w:t xml:space="preserve">  验收组职务</w:t>
            </w:r>
          </w:p>
        </w:tc>
        <w:tc>
          <w:tcPr>
            <w:tcW w:w="1399" w:type="dxa"/>
            <w:tcBorders>
              <w:top w:val="single" w:color="auto" w:sz="6" w:space="0"/>
              <w:left w:val="single" w:color="auto" w:sz="6" w:space="0"/>
              <w:bottom w:val="single" w:color="auto" w:sz="6" w:space="0"/>
              <w:right w:val="single" w:color="auto" w:sz="6" w:space="0"/>
              <w:tl2br w:val="nil"/>
              <w:tr2bl w:val="nil"/>
            </w:tcBorders>
          </w:tcPr>
          <w:p w14:paraId="2F4F704C">
            <w:pPr>
              <w:ind w:left="-90"/>
              <w:jc w:val="left"/>
              <w:rPr>
                <w:rFonts w:ascii="仿宋" w:hAnsi="仿宋" w:eastAsia="仿宋" w:cs="仿宋"/>
                <w:color w:val="auto"/>
                <w:sz w:val="23"/>
                <w:highlight w:val="none"/>
              </w:rPr>
            </w:pPr>
            <w:r>
              <w:rPr>
                <w:rFonts w:hint="eastAsia" w:ascii="仿宋" w:hAnsi="仿宋" w:eastAsia="仿宋" w:cs="仿宋"/>
                <w:color w:val="auto"/>
                <w:spacing w:val="-1"/>
                <w:kern w:val="0"/>
                <w:sz w:val="23"/>
                <w:highlight w:val="none"/>
              </w:rPr>
              <w:t xml:space="preserve">    姓名</w:t>
            </w:r>
          </w:p>
        </w:tc>
        <w:tc>
          <w:tcPr>
            <w:tcW w:w="1399" w:type="dxa"/>
            <w:tcBorders>
              <w:top w:val="single" w:color="auto" w:sz="6" w:space="0"/>
              <w:left w:val="single" w:color="auto" w:sz="6" w:space="0"/>
              <w:bottom w:val="single" w:color="auto" w:sz="6" w:space="0"/>
              <w:right w:val="single" w:color="auto" w:sz="6" w:space="0"/>
              <w:tl2br w:val="nil"/>
              <w:tr2bl w:val="nil"/>
            </w:tcBorders>
          </w:tcPr>
          <w:p w14:paraId="4F58AD22">
            <w:pPr>
              <w:ind w:left="-90"/>
              <w:jc w:val="left"/>
              <w:rPr>
                <w:rFonts w:ascii="仿宋" w:hAnsi="仿宋" w:eastAsia="仿宋" w:cs="仿宋"/>
                <w:color w:val="auto"/>
                <w:sz w:val="23"/>
                <w:highlight w:val="none"/>
              </w:rPr>
            </w:pPr>
            <w:r>
              <w:rPr>
                <w:rFonts w:hint="eastAsia" w:ascii="仿宋" w:hAnsi="仿宋" w:eastAsia="仿宋" w:cs="仿宋"/>
                <w:color w:val="auto"/>
                <w:spacing w:val="-1"/>
                <w:kern w:val="0"/>
                <w:sz w:val="23"/>
                <w:highlight w:val="none"/>
              </w:rPr>
              <w:t xml:space="preserve">  工作单位</w:t>
            </w:r>
          </w:p>
        </w:tc>
        <w:tc>
          <w:tcPr>
            <w:tcW w:w="1408" w:type="dxa"/>
            <w:tcBorders>
              <w:top w:val="single" w:color="auto" w:sz="6" w:space="0"/>
              <w:left w:val="single" w:color="auto" w:sz="6" w:space="0"/>
              <w:bottom w:val="single" w:color="auto" w:sz="6" w:space="0"/>
              <w:right w:val="single" w:color="auto" w:sz="6" w:space="0"/>
              <w:tl2br w:val="nil"/>
              <w:tr2bl w:val="nil"/>
            </w:tcBorders>
          </w:tcPr>
          <w:p w14:paraId="73D4A821">
            <w:pPr>
              <w:ind w:left="-90"/>
              <w:jc w:val="left"/>
              <w:rPr>
                <w:rFonts w:ascii="仿宋" w:hAnsi="仿宋" w:eastAsia="仿宋" w:cs="仿宋"/>
                <w:color w:val="auto"/>
                <w:sz w:val="23"/>
                <w:highlight w:val="none"/>
              </w:rPr>
            </w:pPr>
            <w:r>
              <w:rPr>
                <w:rFonts w:hint="eastAsia" w:ascii="仿宋" w:hAnsi="仿宋" w:eastAsia="仿宋" w:cs="仿宋"/>
                <w:color w:val="auto"/>
                <w:spacing w:val="-1"/>
                <w:kern w:val="0"/>
                <w:sz w:val="23"/>
                <w:highlight w:val="none"/>
              </w:rPr>
              <w:t xml:space="preserve">  技术职称</w:t>
            </w:r>
          </w:p>
        </w:tc>
        <w:tc>
          <w:tcPr>
            <w:tcW w:w="3059" w:type="dxa"/>
            <w:tcBorders>
              <w:top w:val="single" w:color="auto" w:sz="6" w:space="0"/>
              <w:left w:val="single" w:color="auto" w:sz="6" w:space="0"/>
              <w:bottom w:val="single" w:color="auto" w:sz="6" w:space="0"/>
              <w:right w:val="single" w:color="auto" w:sz="6" w:space="0"/>
              <w:tl2br w:val="nil"/>
              <w:tr2bl w:val="nil"/>
            </w:tcBorders>
          </w:tcPr>
          <w:p w14:paraId="4A3EB387">
            <w:pPr>
              <w:ind w:left="-90"/>
              <w:jc w:val="left"/>
              <w:rPr>
                <w:rFonts w:ascii="仿宋" w:hAnsi="仿宋" w:eastAsia="仿宋" w:cs="仿宋"/>
                <w:color w:val="auto"/>
                <w:sz w:val="23"/>
                <w:highlight w:val="none"/>
              </w:rPr>
            </w:pPr>
            <w:r>
              <w:rPr>
                <w:rFonts w:hint="eastAsia" w:ascii="仿宋" w:hAnsi="仿宋" w:eastAsia="仿宋" w:cs="仿宋"/>
                <w:color w:val="auto"/>
                <w:spacing w:val="-1"/>
                <w:kern w:val="0"/>
                <w:sz w:val="23"/>
                <w:highlight w:val="none"/>
              </w:rPr>
              <w:t xml:space="preserve">  单位职务</w:t>
            </w:r>
          </w:p>
        </w:tc>
      </w:tr>
      <w:tr w14:paraId="43FBD4DF">
        <w:tblPrEx>
          <w:tblCellMar>
            <w:top w:w="0" w:type="dxa"/>
            <w:left w:w="108" w:type="dxa"/>
            <w:bottom w:w="0" w:type="dxa"/>
            <w:right w:w="108" w:type="dxa"/>
          </w:tblCellMar>
        </w:tblPrEx>
        <w:trPr>
          <w:cantSplit/>
          <w:trHeight w:val="482" w:hRule="atLeast"/>
        </w:trPr>
        <w:tc>
          <w:tcPr>
            <w:tcW w:w="633" w:type="dxa"/>
            <w:vMerge w:val="continue"/>
            <w:tcBorders>
              <w:top w:val="nil"/>
              <w:left w:val="single" w:color="auto" w:sz="6" w:space="0"/>
              <w:bottom w:val="nil"/>
              <w:right w:val="single" w:color="auto" w:sz="6" w:space="0"/>
              <w:tl2br w:val="nil"/>
              <w:tr2bl w:val="nil"/>
            </w:tcBorders>
          </w:tcPr>
          <w:p w14:paraId="7A8B7367">
            <w:pPr>
              <w:ind w:left="-90"/>
              <w:jc w:val="left"/>
              <w:rPr>
                <w:rFonts w:ascii="仿宋" w:hAnsi="仿宋" w:eastAsia="仿宋" w:cs="仿宋"/>
                <w:color w:val="auto"/>
                <w:kern w:val="0"/>
                <w:sz w:val="24"/>
                <w:highlight w:val="none"/>
              </w:rPr>
            </w:pPr>
          </w:p>
        </w:tc>
        <w:tc>
          <w:tcPr>
            <w:tcW w:w="1871" w:type="dxa"/>
            <w:tcBorders>
              <w:top w:val="single" w:color="auto" w:sz="6" w:space="0"/>
              <w:left w:val="single" w:color="auto" w:sz="6" w:space="0"/>
              <w:bottom w:val="single" w:color="auto" w:sz="6" w:space="0"/>
              <w:right w:val="single" w:color="auto" w:sz="6" w:space="0"/>
              <w:tl2br w:val="nil"/>
              <w:tr2bl w:val="nil"/>
            </w:tcBorders>
            <w:vAlign w:val="center"/>
          </w:tcPr>
          <w:p w14:paraId="19448658">
            <w:pPr>
              <w:ind w:left="-90"/>
              <w:jc w:val="center"/>
              <w:rPr>
                <w:rFonts w:ascii="仿宋" w:hAnsi="仿宋" w:eastAsia="仿宋" w:cs="仿宋"/>
                <w:color w:val="auto"/>
                <w:sz w:val="23"/>
                <w:highlight w:val="none"/>
              </w:rPr>
            </w:pPr>
            <w:r>
              <w:rPr>
                <w:rFonts w:hint="eastAsia" w:ascii="仿宋" w:hAnsi="仿宋" w:eastAsia="仿宋" w:cs="仿宋"/>
                <w:color w:val="auto"/>
                <w:spacing w:val="-1"/>
                <w:kern w:val="0"/>
                <w:sz w:val="23"/>
                <w:highlight w:val="none"/>
              </w:rPr>
              <w:t>验收组组长</w:t>
            </w:r>
          </w:p>
        </w:tc>
        <w:tc>
          <w:tcPr>
            <w:tcW w:w="1399" w:type="dxa"/>
            <w:tcBorders>
              <w:top w:val="single" w:color="auto" w:sz="6" w:space="0"/>
              <w:left w:val="single" w:color="auto" w:sz="6" w:space="0"/>
              <w:bottom w:val="single" w:color="auto" w:sz="6" w:space="0"/>
              <w:right w:val="single" w:color="auto" w:sz="6" w:space="0"/>
              <w:tl2br w:val="nil"/>
              <w:tr2bl w:val="nil"/>
            </w:tcBorders>
            <w:vAlign w:val="center"/>
          </w:tcPr>
          <w:p w14:paraId="78D4F7AD">
            <w:pPr>
              <w:ind w:left="-90"/>
              <w:jc w:val="center"/>
              <w:rPr>
                <w:rFonts w:ascii="仿宋" w:hAnsi="仿宋" w:eastAsia="仿宋" w:cs="仿宋"/>
                <w:color w:val="auto"/>
                <w:sz w:val="23"/>
                <w:highlight w:val="none"/>
              </w:rPr>
            </w:pPr>
          </w:p>
        </w:tc>
        <w:tc>
          <w:tcPr>
            <w:tcW w:w="1399" w:type="dxa"/>
            <w:tcBorders>
              <w:top w:val="single" w:color="auto" w:sz="6" w:space="0"/>
              <w:left w:val="single" w:color="auto" w:sz="6" w:space="0"/>
              <w:bottom w:val="single" w:color="auto" w:sz="6" w:space="0"/>
              <w:right w:val="single" w:color="auto" w:sz="6" w:space="0"/>
              <w:tl2br w:val="nil"/>
              <w:tr2bl w:val="nil"/>
            </w:tcBorders>
            <w:vAlign w:val="center"/>
          </w:tcPr>
          <w:p w14:paraId="65BC6D92">
            <w:pPr>
              <w:ind w:left="-90"/>
              <w:jc w:val="center"/>
              <w:rPr>
                <w:rFonts w:ascii="仿宋" w:hAnsi="仿宋" w:eastAsia="仿宋" w:cs="仿宋"/>
                <w:color w:val="auto"/>
                <w:sz w:val="23"/>
                <w:highlight w:val="none"/>
              </w:rPr>
            </w:pPr>
          </w:p>
        </w:tc>
        <w:tc>
          <w:tcPr>
            <w:tcW w:w="1408" w:type="dxa"/>
            <w:tcBorders>
              <w:top w:val="single" w:color="auto" w:sz="6" w:space="0"/>
              <w:left w:val="single" w:color="auto" w:sz="6" w:space="0"/>
              <w:bottom w:val="single" w:color="auto" w:sz="6" w:space="0"/>
              <w:right w:val="single" w:color="auto" w:sz="6" w:space="0"/>
              <w:tl2br w:val="nil"/>
              <w:tr2bl w:val="nil"/>
            </w:tcBorders>
            <w:vAlign w:val="center"/>
          </w:tcPr>
          <w:p w14:paraId="6D12C923">
            <w:pPr>
              <w:ind w:left="-90"/>
              <w:jc w:val="center"/>
              <w:rPr>
                <w:rFonts w:ascii="仿宋" w:hAnsi="仿宋" w:eastAsia="仿宋" w:cs="仿宋"/>
                <w:color w:val="auto"/>
                <w:sz w:val="23"/>
                <w:highlight w:val="none"/>
              </w:rPr>
            </w:pPr>
          </w:p>
        </w:tc>
        <w:tc>
          <w:tcPr>
            <w:tcW w:w="3059" w:type="dxa"/>
            <w:tcBorders>
              <w:top w:val="single" w:color="auto" w:sz="6" w:space="0"/>
              <w:left w:val="single" w:color="auto" w:sz="6" w:space="0"/>
              <w:bottom w:val="single" w:color="auto" w:sz="6" w:space="0"/>
              <w:right w:val="single" w:color="auto" w:sz="6" w:space="0"/>
              <w:tl2br w:val="nil"/>
              <w:tr2bl w:val="nil"/>
            </w:tcBorders>
            <w:vAlign w:val="center"/>
          </w:tcPr>
          <w:p w14:paraId="6BD316F6">
            <w:pPr>
              <w:ind w:left="-90"/>
              <w:jc w:val="center"/>
              <w:rPr>
                <w:rFonts w:ascii="仿宋" w:hAnsi="仿宋" w:eastAsia="仿宋" w:cs="仿宋"/>
                <w:color w:val="auto"/>
                <w:sz w:val="23"/>
                <w:highlight w:val="none"/>
              </w:rPr>
            </w:pPr>
          </w:p>
        </w:tc>
      </w:tr>
      <w:tr w14:paraId="20644017">
        <w:tblPrEx>
          <w:tblCellMar>
            <w:top w:w="0" w:type="dxa"/>
            <w:left w:w="108" w:type="dxa"/>
            <w:bottom w:w="0" w:type="dxa"/>
            <w:right w:w="108" w:type="dxa"/>
          </w:tblCellMar>
        </w:tblPrEx>
        <w:trPr>
          <w:cantSplit/>
          <w:trHeight w:val="482" w:hRule="atLeast"/>
        </w:trPr>
        <w:tc>
          <w:tcPr>
            <w:tcW w:w="633" w:type="dxa"/>
            <w:vMerge w:val="continue"/>
            <w:tcBorders>
              <w:top w:val="nil"/>
              <w:left w:val="single" w:color="auto" w:sz="6" w:space="0"/>
              <w:bottom w:val="nil"/>
              <w:right w:val="single" w:color="auto" w:sz="6" w:space="0"/>
              <w:tl2br w:val="nil"/>
              <w:tr2bl w:val="nil"/>
            </w:tcBorders>
          </w:tcPr>
          <w:p w14:paraId="1B9E797A">
            <w:pPr>
              <w:ind w:left="-90"/>
              <w:jc w:val="left"/>
              <w:rPr>
                <w:rFonts w:ascii="仿宋" w:hAnsi="仿宋" w:eastAsia="仿宋" w:cs="仿宋"/>
                <w:color w:val="auto"/>
                <w:sz w:val="23"/>
                <w:highlight w:val="none"/>
              </w:rPr>
            </w:pPr>
          </w:p>
        </w:tc>
        <w:tc>
          <w:tcPr>
            <w:tcW w:w="1871" w:type="dxa"/>
            <w:vMerge w:val="restart"/>
            <w:tcBorders>
              <w:top w:val="single" w:color="auto" w:sz="6" w:space="0"/>
              <w:left w:val="single" w:color="auto" w:sz="6" w:space="0"/>
              <w:bottom w:val="nil"/>
              <w:right w:val="single" w:color="auto" w:sz="6" w:space="0"/>
              <w:tl2br w:val="nil"/>
              <w:tr2bl w:val="nil"/>
            </w:tcBorders>
            <w:vAlign w:val="center"/>
          </w:tcPr>
          <w:p w14:paraId="53F1C3E6">
            <w:pPr>
              <w:jc w:val="center"/>
              <w:rPr>
                <w:rFonts w:ascii="仿宋" w:hAnsi="仿宋" w:eastAsia="仿宋" w:cs="仿宋"/>
                <w:color w:val="auto"/>
                <w:sz w:val="23"/>
                <w:highlight w:val="none"/>
              </w:rPr>
            </w:pPr>
            <w:r>
              <w:rPr>
                <w:rFonts w:hint="eastAsia" w:ascii="仿宋" w:hAnsi="仿宋" w:eastAsia="仿宋" w:cs="仿宋"/>
                <w:color w:val="auto"/>
                <w:spacing w:val="-1"/>
                <w:kern w:val="0"/>
                <w:sz w:val="23"/>
                <w:highlight w:val="none"/>
              </w:rPr>
              <w:t>验收组成员</w:t>
            </w:r>
          </w:p>
        </w:tc>
        <w:tc>
          <w:tcPr>
            <w:tcW w:w="1399" w:type="dxa"/>
            <w:tcBorders>
              <w:top w:val="single" w:color="auto" w:sz="6" w:space="0"/>
              <w:left w:val="single" w:color="auto" w:sz="6" w:space="0"/>
              <w:bottom w:val="single" w:color="auto" w:sz="6" w:space="0"/>
              <w:right w:val="single" w:color="auto" w:sz="6" w:space="0"/>
              <w:tl2br w:val="nil"/>
              <w:tr2bl w:val="nil"/>
            </w:tcBorders>
            <w:vAlign w:val="center"/>
          </w:tcPr>
          <w:p w14:paraId="3690C8EB">
            <w:pPr>
              <w:jc w:val="center"/>
              <w:rPr>
                <w:rFonts w:ascii="仿宋" w:hAnsi="仿宋" w:eastAsia="仿宋" w:cs="仿宋"/>
                <w:color w:val="auto"/>
                <w:sz w:val="23"/>
                <w:highlight w:val="none"/>
              </w:rPr>
            </w:pPr>
          </w:p>
        </w:tc>
        <w:tc>
          <w:tcPr>
            <w:tcW w:w="1399" w:type="dxa"/>
            <w:tcBorders>
              <w:top w:val="single" w:color="auto" w:sz="6" w:space="0"/>
              <w:left w:val="single" w:color="auto" w:sz="6" w:space="0"/>
              <w:bottom w:val="single" w:color="auto" w:sz="6" w:space="0"/>
              <w:right w:val="single" w:color="auto" w:sz="6" w:space="0"/>
              <w:tl2br w:val="nil"/>
              <w:tr2bl w:val="nil"/>
            </w:tcBorders>
            <w:vAlign w:val="center"/>
          </w:tcPr>
          <w:p w14:paraId="033F42D7">
            <w:pPr>
              <w:jc w:val="center"/>
              <w:rPr>
                <w:rFonts w:ascii="仿宋" w:hAnsi="仿宋" w:eastAsia="仿宋" w:cs="仿宋"/>
                <w:color w:val="auto"/>
                <w:sz w:val="23"/>
                <w:highlight w:val="none"/>
              </w:rPr>
            </w:pPr>
          </w:p>
        </w:tc>
        <w:tc>
          <w:tcPr>
            <w:tcW w:w="1408" w:type="dxa"/>
            <w:tcBorders>
              <w:top w:val="single" w:color="auto" w:sz="6" w:space="0"/>
              <w:left w:val="single" w:color="auto" w:sz="6" w:space="0"/>
              <w:bottom w:val="single" w:color="auto" w:sz="6" w:space="0"/>
              <w:right w:val="single" w:color="auto" w:sz="6" w:space="0"/>
              <w:tl2br w:val="nil"/>
              <w:tr2bl w:val="nil"/>
            </w:tcBorders>
            <w:vAlign w:val="center"/>
          </w:tcPr>
          <w:p w14:paraId="79A3BCCA">
            <w:pPr>
              <w:jc w:val="center"/>
              <w:rPr>
                <w:rFonts w:ascii="仿宋" w:hAnsi="仿宋" w:eastAsia="仿宋" w:cs="仿宋"/>
                <w:color w:val="auto"/>
                <w:sz w:val="23"/>
                <w:highlight w:val="none"/>
              </w:rPr>
            </w:pPr>
          </w:p>
        </w:tc>
        <w:tc>
          <w:tcPr>
            <w:tcW w:w="3059" w:type="dxa"/>
            <w:tcBorders>
              <w:top w:val="single" w:color="auto" w:sz="6" w:space="0"/>
              <w:left w:val="single" w:color="auto" w:sz="6" w:space="0"/>
              <w:bottom w:val="single" w:color="auto" w:sz="6" w:space="0"/>
              <w:right w:val="single" w:color="auto" w:sz="6" w:space="0"/>
              <w:tl2br w:val="nil"/>
              <w:tr2bl w:val="nil"/>
            </w:tcBorders>
            <w:vAlign w:val="center"/>
          </w:tcPr>
          <w:p w14:paraId="69AC1CCF">
            <w:pPr>
              <w:jc w:val="center"/>
              <w:rPr>
                <w:rFonts w:ascii="仿宋" w:hAnsi="仿宋" w:eastAsia="仿宋" w:cs="仿宋"/>
                <w:color w:val="auto"/>
                <w:sz w:val="23"/>
                <w:highlight w:val="none"/>
              </w:rPr>
            </w:pPr>
          </w:p>
        </w:tc>
      </w:tr>
      <w:tr w14:paraId="3EB9902E">
        <w:tblPrEx>
          <w:tblCellMar>
            <w:top w:w="0" w:type="dxa"/>
            <w:left w:w="108" w:type="dxa"/>
            <w:bottom w:w="0" w:type="dxa"/>
            <w:right w:w="108" w:type="dxa"/>
          </w:tblCellMar>
        </w:tblPrEx>
        <w:trPr>
          <w:cantSplit/>
          <w:trHeight w:val="482" w:hRule="atLeast"/>
        </w:trPr>
        <w:tc>
          <w:tcPr>
            <w:tcW w:w="633" w:type="dxa"/>
            <w:vMerge w:val="continue"/>
            <w:tcBorders>
              <w:top w:val="nil"/>
              <w:left w:val="single" w:color="auto" w:sz="6" w:space="0"/>
              <w:bottom w:val="nil"/>
              <w:right w:val="single" w:color="auto" w:sz="6" w:space="0"/>
              <w:tl2br w:val="nil"/>
              <w:tr2bl w:val="nil"/>
            </w:tcBorders>
          </w:tcPr>
          <w:p w14:paraId="5D642597">
            <w:pPr>
              <w:ind w:left="-90"/>
              <w:jc w:val="left"/>
              <w:rPr>
                <w:rFonts w:ascii="仿宋" w:hAnsi="仿宋" w:eastAsia="仿宋" w:cs="仿宋"/>
                <w:color w:val="auto"/>
                <w:sz w:val="23"/>
                <w:highlight w:val="none"/>
              </w:rPr>
            </w:pPr>
          </w:p>
        </w:tc>
        <w:tc>
          <w:tcPr>
            <w:tcW w:w="1871" w:type="dxa"/>
            <w:vMerge w:val="continue"/>
            <w:tcBorders>
              <w:top w:val="nil"/>
              <w:left w:val="single" w:color="auto" w:sz="6" w:space="0"/>
              <w:bottom w:val="nil"/>
              <w:right w:val="single" w:color="auto" w:sz="6" w:space="0"/>
              <w:tl2br w:val="nil"/>
              <w:tr2bl w:val="nil"/>
            </w:tcBorders>
            <w:vAlign w:val="center"/>
          </w:tcPr>
          <w:p w14:paraId="1F7C3B97">
            <w:pPr>
              <w:ind w:left="-90"/>
              <w:jc w:val="center"/>
              <w:rPr>
                <w:rFonts w:ascii="仿宋" w:hAnsi="仿宋" w:eastAsia="仿宋" w:cs="仿宋"/>
                <w:color w:val="auto"/>
                <w:sz w:val="23"/>
                <w:highlight w:val="none"/>
              </w:rPr>
            </w:pPr>
          </w:p>
        </w:tc>
        <w:tc>
          <w:tcPr>
            <w:tcW w:w="1399" w:type="dxa"/>
            <w:tcBorders>
              <w:top w:val="single" w:color="auto" w:sz="6" w:space="0"/>
              <w:left w:val="single" w:color="auto" w:sz="6" w:space="0"/>
              <w:bottom w:val="single" w:color="auto" w:sz="6" w:space="0"/>
              <w:right w:val="single" w:color="auto" w:sz="6" w:space="0"/>
              <w:tl2br w:val="nil"/>
              <w:tr2bl w:val="nil"/>
            </w:tcBorders>
            <w:vAlign w:val="center"/>
          </w:tcPr>
          <w:p w14:paraId="58D763FC">
            <w:pPr>
              <w:jc w:val="center"/>
              <w:rPr>
                <w:rFonts w:ascii="仿宋" w:hAnsi="仿宋" w:eastAsia="仿宋" w:cs="仿宋"/>
                <w:color w:val="auto"/>
                <w:sz w:val="23"/>
                <w:highlight w:val="none"/>
              </w:rPr>
            </w:pPr>
          </w:p>
        </w:tc>
        <w:tc>
          <w:tcPr>
            <w:tcW w:w="1399" w:type="dxa"/>
            <w:tcBorders>
              <w:top w:val="single" w:color="auto" w:sz="6" w:space="0"/>
              <w:left w:val="single" w:color="auto" w:sz="6" w:space="0"/>
              <w:bottom w:val="single" w:color="auto" w:sz="6" w:space="0"/>
              <w:right w:val="single" w:color="auto" w:sz="6" w:space="0"/>
              <w:tl2br w:val="nil"/>
              <w:tr2bl w:val="nil"/>
            </w:tcBorders>
            <w:vAlign w:val="center"/>
          </w:tcPr>
          <w:p w14:paraId="23545744">
            <w:pPr>
              <w:jc w:val="center"/>
              <w:rPr>
                <w:rFonts w:ascii="仿宋" w:hAnsi="仿宋" w:eastAsia="仿宋" w:cs="仿宋"/>
                <w:color w:val="auto"/>
                <w:sz w:val="23"/>
                <w:highlight w:val="none"/>
              </w:rPr>
            </w:pPr>
          </w:p>
        </w:tc>
        <w:tc>
          <w:tcPr>
            <w:tcW w:w="1408" w:type="dxa"/>
            <w:tcBorders>
              <w:top w:val="single" w:color="auto" w:sz="6" w:space="0"/>
              <w:left w:val="single" w:color="auto" w:sz="6" w:space="0"/>
              <w:bottom w:val="single" w:color="auto" w:sz="6" w:space="0"/>
              <w:right w:val="single" w:color="auto" w:sz="6" w:space="0"/>
              <w:tl2br w:val="nil"/>
              <w:tr2bl w:val="nil"/>
            </w:tcBorders>
            <w:vAlign w:val="center"/>
          </w:tcPr>
          <w:p w14:paraId="7FCB2981">
            <w:pPr>
              <w:jc w:val="center"/>
              <w:rPr>
                <w:rFonts w:ascii="仿宋" w:hAnsi="仿宋" w:eastAsia="仿宋" w:cs="仿宋"/>
                <w:color w:val="auto"/>
                <w:sz w:val="23"/>
                <w:highlight w:val="none"/>
              </w:rPr>
            </w:pPr>
          </w:p>
        </w:tc>
        <w:tc>
          <w:tcPr>
            <w:tcW w:w="3059" w:type="dxa"/>
            <w:tcBorders>
              <w:top w:val="single" w:color="auto" w:sz="6" w:space="0"/>
              <w:left w:val="single" w:color="auto" w:sz="6" w:space="0"/>
              <w:bottom w:val="single" w:color="auto" w:sz="6" w:space="0"/>
              <w:right w:val="single" w:color="auto" w:sz="6" w:space="0"/>
              <w:tl2br w:val="nil"/>
              <w:tr2bl w:val="nil"/>
            </w:tcBorders>
            <w:vAlign w:val="center"/>
          </w:tcPr>
          <w:p w14:paraId="2F222CAF">
            <w:pPr>
              <w:jc w:val="center"/>
              <w:rPr>
                <w:rFonts w:ascii="仿宋" w:hAnsi="仿宋" w:eastAsia="仿宋" w:cs="仿宋"/>
                <w:color w:val="auto"/>
                <w:sz w:val="23"/>
                <w:highlight w:val="none"/>
              </w:rPr>
            </w:pPr>
          </w:p>
        </w:tc>
      </w:tr>
      <w:tr w14:paraId="506C9F8E">
        <w:tblPrEx>
          <w:tblCellMar>
            <w:top w:w="0" w:type="dxa"/>
            <w:left w:w="108" w:type="dxa"/>
            <w:bottom w:w="0" w:type="dxa"/>
            <w:right w:w="108" w:type="dxa"/>
          </w:tblCellMar>
        </w:tblPrEx>
        <w:trPr>
          <w:cantSplit/>
          <w:trHeight w:val="482" w:hRule="atLeast"/>
        </w:trPr>
        <w:tc>
          <w:tcPr>
            <w:tcW w:w="633" w:type="dxa"/>
            <w:vMerge w:val="continue"/>
            <w:tcBorders>
              <w:top w:val="nil"/>
              <w:left w:val="single" w:color="auto" w:sz="6" w:space="0"/>
              <w:bottom w:val="nil"/>
              <w:right w:val="single" w:color="auto" w:sz="6" w:space="0"/>
              <w:tl2br w:val="nil"/>
              <w:tr2bl w:val="nil"/>
            </w:tcBorders>
          </w:tcPr>
          <w:p w14:paraId="41E691FD">
            <w:pPr>
              <w:ind w:left="-90"/>
              <w:jc w:val="left"/>
              <w:rPr>
                <w:rFonts w:ascii="仿宋" w:hAnsi="仿宋" w:eastAsia="仿宋" w:cs="仿宋"/>
                <w:color w:val="auto"/>
                <w:sz w:val="23"/>
                <w:highlight w:val="none"/>
              </w:rPr>
            </w:pPr>
          </w:p>
        </w:tc>
        <w:tc>
          <w:tcPr>
            <w:tcW w:w="1871" w:type="dxa"/>
            <w:vMerge w:val="continue"/>
            <w:tcBorders>
              <w:top w:val="nil"/>
              <w:left w:val="single" w:color="auto" w:sz="6" w:space="0"/>
              <w:bottom w:val="nil"/>
              <w:right w:val="single" w:color="auto" w:sz="6" w:space="0"/>
              <w:tl2br w:val="nil"/>
              <w:tr2bl w:val="nil"/>
            </w:tcBorders>
          </w:tcPr>
          <w:p w14:paraId="5B8B4FB0">
            <w:pPr>
              <w:ind w:left="-90"/>
              <w:jc w:val="left"/>
              <w:rPr>
                <w:rFonts w:ascii="仿宋" w:hAnsi="仿宋" w:eastAsia="仿宋" w:cs="仿宋"/>
                <w:color w:val="auto"/>
                <w:sz w:val="23"/>
                <w:highlight w:val="none"/>
              </w:rPr>
            </w:pPr>
          </w:p>
        </w:tc>
        <w:tc>
          <w:tcPr>
            <w:tcW w:w="1399" w:type="dxa"/>
            <w:tcBorders>
              <w:top w:val="single" w:color="auto" w:sz="6" w:space="0"/>
              <w:left w:val="single" w:color="auto" w:sz="6" w:space="0"/>
              <w:bottom w:val="single" w:color="auto" w:sz="6" w:space="0"/>
              <w:right w:val="single" w:color="auto" w:sz="6" w:space="0"/>
              <w:tl2br w:val="nil"/>
              <w:tr2bl w:val="nil"/>
            </w:tcBorders>
            <w:vAlign w:val="center"/>
          </w:tcPr>
          <w:p w14:paraId="76ED484B">
            <w:pPr>
              <w:jc w:val="center"/>
              <w:rPr>
                <w:rFonts w:ascii="仿宋" w:hAnsi="仿宋" w:eastAsia="仿宋" w:cs="仿宋"/>
                <w:color w:val="auto"/>
                <w:sz w:val="23"/>
                <w:highlight w:val="none"/>
              </w:rPr>
            </w:pPr>
          </w:p>
        </w:tc>
        <w:tc>
          <w:tcPr>
            <w:tcW w:w="1399" w:type="dxa"/>
            <w:tcBorders>
              <w:top w:val="single" w:color="auto" w:sz="6" w:space="0"/>
              <w:left w:val="single" w:color="auto" w:sz="6" w:space="0"/>
              <w:bottom w:val="single" w:color="auto" w:sz="6" w:space="0"/>
              <w:right w:val="single" w:color="auto" w:sz="6" w:space="0"/>
              <w:tl2br w:val="nil"/>
              <w:tr2bl w:val="nil"/>
            </w:tcBorders>
            <w:vAlign w:val="center"/>
          </w:tcPr>
          <w:p w14:paraId="63CA03DD">
            <w:pPr>
              <w:jc w:val="center"/>
              <w:rPr>
                <w:rFonts w:ascii="仿宋" w:hAnsi="仿宋" w:eastAsia="仿宋" w:cs="仿宋"/>
                <w:color w:val="auto"/>
                <w:sz w:val="23"/>
                <w:highlight w:val="none"/>
              </w:rPr>
            </w:pPr>
          </w:p>
        </w:tc>
        <w:tc>
          <w:tcPr>
            <w:tcW w:w="1408" w:type="dxa"/>
            <w:tcBorders>
              <w:top w:val="single" w:color="auto" w:sz="6" w:space="0"/>
              <w:left w:val="single" w:color="auto" w:sz="6" w:space="0"/>
              <w:bottom w:val="single" w:color="auto" w:sz="6" w:space="0"/>
              <w:right w:val="single" w:color="auto" w:sz="6" w:space="0"/>
              <w:tl2br w:val="nil"/>
              <w:tr2bl w:val="nil"/>
            </w:tcBorders>
            <w:vAlign w:val="center"/>
          </w:tcPr>
          <w:p w14:paraId="7BCB2D71">
            <w:pPr>
              <w:ind w:left="-90"/>
              <w:jc w:val="center"/>
              <w:rPr>
                <w:rFonts w:ascii="仿宋" w:hAnsi="仿宋" w:eastAsia="仿宋" w:cs="仿宋"/>
                <w:color w:val="auto"/>
                <w:sz w:val="23"/>
                <w:highlight w:val="none"/>
              </w:rPr>
            </w:pPr>
          </w:p>
        </w:tc>
        <w:tc>
          <w:tcPr>
            <w:tcW w:w="3059" w:type="dxa"/>
            <w:tcBorders>
              <w:top w:val="single" w:color="auto" w:sz="6" w:space="0"/>
              <w:left w:val="single" w:color="auto" w:sz="6" w:space="0"/>
              <w:bottom w:val="single" w:color="auto" w:sz="6" w:space="0"/>
              <w:right w:val="single" w:color="auto" w:sz="6" w:space="0"/>
              <w:tl2br w:val="nil"/>
              <w:tr2bl w:val="nil"/>
            </w:tcBorders>
            <w:vAlign w:val="center"/>
          </w:tcPr>
          <w:p w14:paraId="617793FC">
            <w:pPr>
              <w:ind w:left="-90"/>
              <w:jc w:val="center"/>
              <w:rPr>
                <w:rFonts w:ascii="仿宋" w:hAnsi="仿宋" w:eastAsia="仿宋" w:cs="仿宋"/>
                <w:color w:val="auto"/>
                <w:sz w:val="23"/>
                <w:highlight w:val="none"/>
              </w:rPr>
            </w:pPr>
          </w:p>
        </w:tc>
      </w:tr>
      <w:tr w14:paraId="2C52871E">
        <w:tblPrEx>
          <w:tblCellMar>
            <w:top w:w="0" w:type="dxa"/>
            <w:left w:w="108" w:type="dxa"/>
            <w:bottom w:w="0" w:type="dxa"/>
            <w:right w:w="108" w:type="dxa"/>
          </w:tblCellMar>
        </w:tblPrEx>
        <w:trPr>
          <w:cantSplit/>
          <w:trHeight w:val="482" w:hRule="atLeast"/>
        </w:trPr>
        <w:tc>
          <w:tcPr>
            <w:tcW w:w="633" w:type="dxa"/>
            <w:vMerge w:val="continue"/>
            <w:tcBorders>
              <w:top w:val="nil"/>
              <w:left w:val="single" w:color="auto" w:sz="6" w:space="0"/>
              <w:bottom w:val="nil"/>
              <w:right w:val="single" w:color="auto" w:sz="6" w:space="0"/>
              <w:tl2br w:val="nil"/>
              <w:tr2bl w:val="nil"/>
            </w:tcBorders>
          </w:tcPr>
          <w:p w14:paraId="36A3715E">
            <w:pPr>
              <w:ind w:left="-90"/>
              <w:jc w:val="left"/>
              <w:rPr>
                <w:rFonts w:ascii="仿宋" w:hAnsi="仿宋" w:eastAsia="仿宋" w:cs="仿宋"/>
                <w:color w:val="auto"/>
                <w:sz w:val="23"/>
                <w:highlight w:val="none"/>
              </w:rPr>
            </w:pPr>
          </w:p>
        </w:tc>
        <w:tc>
          <w:tcPr>
            <w:tcW w:w="1871" w:type="dxa"/>
            <w:vMerge w:val="continue"/>
            <w:tcBorders>
              <w:top w:val="nil"/>
              <w:left w:val="single" w:color="auto" w:sz="6" w:space="0"/>
              <w:bottom w:val="nil"/>
              <w:right w:val="single" w:color="auto" w:sz="6" w:space="0"/>
              <w:tl2br w:val="nil"/>
              <w:tr2bl w:val="nil"/>
            </w:tcBorders>
          </w:tcPr>
          <w:p w14:paraId="2B042405">
            <w:pPr>
              <w:ind w:left="-90"/>
              <w:jc w:val="left"/>
              <w:rPr>
                <w:rFonts w:ascii="仿宋" w:hAnsi="仿宋" w:eastAsia="仿宋" w:cs="仿宋"/>
                <w:color w:val="auto"/>
                <w:sz w:val="23"/>
                <w:highlight w:val="none"/>
              </w:rPr>
            </w:pPr>
          </w:p>
        </w:tc>
        <w:tc>
          <w:tcPr>
            <w:tcW w:w="1399" w:type="dxa"/>
            <w:tcBorders>
              <w:top w:val="single" w:color="auto" w:sz="6" w:space="0"/>
              <w:left w:val="single" w:color="auto" w:sz="6" w:space="0"/>
              <w:bottom w:val="single" w:color="auto" w:sz="6" w:space="0"/>
              <w:right w:val="single" w:color="auto" w:sz="6" w:space="0"/>
              <w:tl2br w:val="nil"/>
              <w:tr2bl w:val="nil"/>
            </w:tcBorders>
            <w:vAlign w:val="center"/>
          </w:tcPr>
          <w:p w14:paraId="55CA9A66">
            <w:pPr>
              <w:ind w:left="-90"/>
              <w:jc w:val="center"/>
              <w:rPr>
                <w:rFonts w:ascii="仿宋" w:hAnsi="仿宋" w:eastAsia="仿宋" w:cs="仿宋"/>
                <w:color w:val="auto"/>
                <w:sz w:val="23"/>
                <w:highlight w:val="none"/>
              </w:rPr>
            </w:pPr>
          </w:p>
        </w:tc>
        <w:tc>
          <w:tcPr>
            <w:tcW w:w="1399" w:type="dxa"/>
            <w:tcBorders>
              <w:top w:val="single" w:color="auto" w:sz="6" w:space="0"/>
              <w:left w:val="single" w:color="auto" w:sz="6" w:space="0"/>
              <w:bottom w:val="single" w:color="auto" w:sz="6" w:space="0"/>
              <w:right w:val="single" w:color="auto" w:sz="6" w:space="0"/>
              <w:tl2br w:val="nil"/>
              <w:tr2bl w:val="nil"/>
            </w:tcBorders>
            <w:vAlign w:val="center"/>
          </w:tcPr>
          <w:p w14:paraId="473E7506">
            <w:pPr>
              <w:ind w:left="-90"/>
              <w:jc w:val="center"/>
              <w:rPr>
                <w:rFonts w:ascii="仿宋" w:hAnsi="仿宋" w:eastAsia="仿宋" w:cs="仿宋"/>
                <w:color w:val="auto"/>
                <w:sz w:val="23"/>
                <w:highlight w:val="none"/>
              </w:rPr>
            </w:pPr>
          </w:p>
        </w:tc>
        <w:tc>
          <w:tcPr>
            <w:tcW w:w="1408" w:type="dxa"/>
            <w:tcBorders>
              <w:top w:val="single" w:color="auto" w:sz="6" w:space="0"/>
              <w:left w:val="single" w:color="auto" w:sz="6" w:space="0"/>
              <w:bottom w:val="single" w:color="auto" w:sz="6" w:space="0"/>
              <w:right w:val="single" w:color="auto" w:sz="6" w:space="0"/>
              <w:tl2br w:val="nil"/>
              <w:tr2bl w:val="nil"/>
            </w:tcBorders>
            <w:vAlign w:val="center"/>
          </w:tcPr>
          <w:p w14:paraId="390275A6">
            <w:pPr>
              <w:ind w:left="-90"/>
              <w:jc w:val="center"/>
              <w:rPr>
                <w:rFonts w:ascii="仿宋" w:hAnsi="仿宋" w:eastAsia="仿宋" w:cs="仿宋"/>
                <w:color w:val="auto"/>
                <w:sz w:val="23"/>
                <w:highlight w:val="none"/>
              </w:rPr>
            </w:pPr>
          </w:p>
        </w:tc>
        <w:tc>
          <w:tcPr>
            <w:tcW w:w="3059" w:type="dxa"/>
            <w:tcBorders>
              <w:top w:val="single" w:color="auto" w:sz="6" w:space="0"/>
              <w:left w:val="single" w:color="auto" w:sz="6" w:space="0"/>
              <w:bottom w:val="single" w:color="auto" w:sz="6" w:space="0"/>
              <w:right w:val="single" w:color="auto" w:sz="6" w:space="0"/>
              <w:tl2br w:val="nil"/>
              <w:tr2bl w:val="nil"/>
            </w:tcBorders>
            <w:vAlign w:val="center"/>
          </w:tcPr>
          <w:p w14:paraId="3706691D">
            <w:pPr>
              <w:ind w:left="-90"/>
              <w:jc w:val="center"/>
              <w:rPr>
                <w:rFonts w:ascii="仿宋" w:hAnsi="仿宋" w:eastAsia="仿宋" w:cs="仿宋"/>
                <w:color w:val="auto"/>
                <w:sz w:val="23"/>
                <w:highlight w:val="none"/>
              </w:rPr>
            </w:pPr>
          </w:p>
        </w:tc>
      </w:tr>
      <w:tr w14:paraId="153687DE">
        <w:tblPrEx>
          <w:tblCellMar>
            <w:top w:w="0" w:type="dxa"/>
            <w:left w:w="108" w:type="dxa"/>
            <w:bottom w:w="0" w:type="dxa"/>
            <w:right w:w="108" w:type="dxa"/>
          </w:tblCellMar>
        </w:tblPrEx>
        <w:trPr>
          <w:cantSplit/>
          <w:trHeight w:val="482" w:hRule="atLeast"/>
        </w:trPr>
        <w:tc>
          <w:tcPr>
            <w:tcW w:w="633" w:type="dxa"/>
            <w:vMerge w:val="continue"/>
            <w:tcBorders>
              <w:top w:val="nil"/>
              <w:left w:val="single" w:color="auto" w:sz="6" w:space="0"/>
              <w:bottom w:val="nil"/>
              <w:right w:val="single" w:color="auto" w:sz="6" w:space="0"/>
              <w:tl2br w:val="nil"/>
              <w:tr2bl w:val="nil"/>
            </w:tcBorders>
          </w:tcPr>
          <w:p w14:paraId="5F5332EE">
            <w:pPr>
              <w:ind w:left="-90"/>
              <w:jc w:val="left"/>
              <w:rPr>
                <w:rFonts w:ascii="仿宋" w:hAnsi="仿宋" w:eastAsia="仿宋" w:cs="仿宋"/>
                <w:color w:val="auto"/>
                <w:sz w:val="23"/>
                <w:highlight w:val="none"/>
              </w:rPr>
            </w:pPr>
          </w:p>
        </w:tc>
        <w:tc>
          <w:tcPr>
            <w:tcW w:w="1871" w:type="dxa"/>
            <w:vMerge w:val="continue"/>
            <w:tcBorders>
              <w:top w:val="nil"/>
              <w:left w:val="single" w:color="auto" w:sz="6" w:space="0"/>
              <w:bottom w:val="nil"/>
              <w:right w:val="single" w:color="auto" w:sz="6" w:space="0"/>
              <w:tl2br w:val="nil"/>
              <w:tr2bl w:val="nil"/>
            </w:tcBorders>
          </w:tcPr>
          <w:p w14:paraId="5DE1BCC5">
            <w:pPr>
              <w:ind w:left="-90"/>
              <w:jc w:val="left"/>
              <w:rPr>
                <w:rFonts w:ascii="仿宋" w:hAnsi="仿宋" w:eastAsia="仿宋" w:cs="仿宋"/>
                <w:color w:val="auto"/>
                <w:sz w:val="23"/>
                <w:highlight w:val="none"/>
              </w:rPr>
            </w:pPr>
          </w:p>
        </w:tc>
        <w:tc>
          <w:tcPr>
            <w:tcW w:w="1399" w:type="dxa"/>
            <w:tcBorders>
              <w:top w:val="single" w:color="auto" w:sz="6" w:space="0"/>
              <w:left w:val="single" w:color="auto" w:sz="6" w:space="0"/>
              <w:bottom w:val="single" w:color="auto" w:sz="6" w:space="0"/>
              <w:right w:val="single" w:color="auto" w:sz="6" w:space="0"/>
              <w:tl2br w:val="nil"/>
              <w:tr2bl w:val="nil"/>
            </w:tcBorders>
            <w:vAlign w:val="center"/>
          </w:tcPr>
          <w:p w14:paraId="64835AF1">
            <w:pPr>
              <w:ind w:left="-90"/>
              <w:jc w:val="center"/>
              <w:rPr>
                <w:rFonts w:ascii="仿宋" w:hAnsi="仿宋" w:eastAsia="仿宋" w:cs="仿宋"/>
                <w:color w:val="auto"/>
                <w:sz w:val="23"/>
                <w:highlight w:val="none"/>
              </w:rPr>
            </w:pPr>
          </w:p>
        </w:tc>
        <w:tc>
          <w:tcPr>
            <w:tcW w:w="1399" w:type="dxa"/>
            <w:tcBorders>
              <w:top w:val="single" w:color="auto" w:sz="6" w:space="0"/>
              <w:left w:val="single" w:color="auto" w:sz="6" w:space="0"/>
              <w:bottom w:val="single" w:color="auto" w:sz="6" w:space="0"/>
              <w:right w:val="single" w:color="auto" w:sz="6" w:space="0"/>
              <w:tl2br w:val="nil"/>
              <w:tr2bl w:val="nil"/>
            </w:tcBorders>
            <w:vAlign w:val="center"/>
          </w:tcPr>
          <w:p w14:paraId="7250C36A">
            <w:pPr>
              <w:ind w:left="-90"/>
              <w:jc w:val="center"/>
              <w:rPr>
                <w:rFonts w:ascii="仿宋" w:hAnsi="仿宋" w:eastAsia="仿宋" w:cs="仿宋"/>
                <w:color w:val="auto"/>
                <w:sz w:val="23"/>
                <w:highlight w:val="none"/>
              </w:rPr>
            </w:pPr>
          </w:p>
        </w:tc>
        <w:tc>
          <w:tcPr>
            <w:tcW w:w="1408" w:type="dxa"/>
            <w:tcBorders>
              <w:top w:val="single" w:color="auto" w:sz="6" w:space="0"/>
              <w:left w:val="single" w:color="auto" w:sz="6" w:space="0"/>
              <w:bottom w:val="single" w:color="auto" w:sz="6" w:space="0"/>
              <w:right w:val="single" w:color="auto" w:sz="6" w:space="0"/>
              <w:tl2br w:val="nil"/>
              <w:tr2bl w:val="nil"/>
            </w:tcBorders>
            <w:vAlign w:val="center"/>
          </w:tcPr>
          <w:p w14:paraId="52F68BF6">
            <w:pPr>
              <w:ind w:left="-90"/>
              <w:jc w:val="center"/>
              <w:rPr>
                <w:rFonts w:ascii="仿宋" w:hAnsi="仿宋" w:eastAsia="仿宋" w:cs="仿宋"/>
                <w:color w:val="auto"/>
                <w:sz w:val="23"/>
                <w:highlight w:val="none"/>
              </w:rPr>
            </w:pPr>
          </w:p>
        </w:tc>
        <w:tc>
          <w:tcPr>
            <w:tcW w:w="3059" w:type="dxa"/>
            <w:tcBorders>
              <w:top w:val="single" w:color="auto" w:sz="6" w:space="0"/>
              <w:left w:val="single" w:color="auto" w:sz="6" w:space="0"/>
              <w:bottom w:val="single" w:color="auto" w:sz="6" w:space="0"/>
              <w:right w:val="single" w:color="auto" w:sz="6" w:space="0"/>
              <w:tl2br w:val="nil"/>
              <w:tr2bl w:val="nil"/>
            </w:tcBorders>
            <w:vAlign w:val="center"/>
          </w:tcPr>
          <w:p w14:paraId="7B7CEDED">
            <w:pPr>
              <w:ind w:left="-90"/>
              <w:jc w:val="center"/>
              <w:rPr>
                <w:rFonts w:ascii="仿宋" w:hAnsi="仿宋" w:eastAsia="仿宋" w:cs="仿宋"/>
                <w:color w:val="auto"/>
                <w:sz w:val="23"/>
                <w:highlight w:val="none"/>
              </w:rPr>
            </w:pPr>
          </w:p>
        </w:tc>
      </w:tr>
      <w:tr w14:paraId="26C5E35B">
        <w:tblPrEx>
          <w:tblCellMar>
            <w:top w:w="0" w:type="dxa"/>
            <w:left w:w="108" w:type="dxa"/>
            <w:bottom w:w="0" w:type="dxa"/>
            <w:right w:w="108" w:type="dxa"/>
          </w:tblCellMar>
        </w:tblPrEx>
        <w:trPr>
          <w:cantSplit/>
          <w:trHeight w:val="482" w:hRule="atLeast"/>
        </w:trPr>
        <w:tc>
          <w:tcPr>
            <w:tcW w:w="633" w:type="dxa"/>
            <w:vMerge w:val="continue"/>
            <w:tcBorders>
              <w:top w:val="nil"/>
              <w:left w:val="single" w:color="auto" w:sz="6" w:space="0"/>
              <w:bottom w:val="nil"/>
              <w:right w:val="single" w:color="auto" w:sz="6" w:space="0"/>
              <w:tl2br w:val="nil"/>
              <w:tr2bl w:val="nil"/>
            </w:tcBorders>
          </w:tcPr>
          <w:p w14:paraId="457B0F15">
            <w:pPr>
              <w:ind w:left="-90"/>
              <w:jc w:val="left"/>
              <w:rPr>
                <w:rFonts w:ascii="仿宋" w:hAnsi="仿宋" w:eastAsia="仿宋" w:cs="仿宋"/>
                <w:color w:val="auto"/>
                <w:kern w:val="0"/>
                <w:sz w:val="24"/>
                <w:highlight w:val="none"/>
              </w:rPr>
            </w:pPr>
          </w:p>
        </w:tc>
        <w:tc>
          <w:tcPr>
            <w:tcW w:w="1871" w:type="dxa"/>
            <w:vMerge w:val="continue"/>
            <w:tcBorders>
              <w:top w:val="nil"/>
              <w:left w:val="single" w:color="auto" w:sz="6" w:space="0"/>
              <w:bottom w:val="nil"/>
              <w:right w:val="single" w:color="auto" w:sz="6" w:space="0"/>
              <w:tl2br w:val="nil"/>
              <w:tr2bl w:val="nil"/>
            </w:tcBorders>
          </w:tcPr>
          <w:p w14:paraId="03E55E83">
            <w:pPr>
              <w:ind w:left="-90"/>
              <w:jc w:val="left"/>
              <w:rPr>
                <w:rFonts w:ascii="仿宋" w:hAnsi="仿宋" w:eastAsia="仿宋" w:cs="仿宋"/>
                <w:color w:val="auto"/>
                <w:kern w:val="0"/>
                <w:sz w:val="24"/>
                <w:highlight w:val="none"/>
              </w:rPr>
            </w:pPr>
          </w:p>
        </w:tc>
        <w:tc>
          <w:tcPr>
            <w:tcW w:w="1399" w:type="dxa"/>
            <w:tcBorders>
              <w:top w:val="single" w:color="auto" w:sz="6" w:space="0"/>
              <w:left w:val="single" w:color="auto" w:sz="6" w:space="0"/>
              <w:bottom w:val="single" w:color="auto" w:sz="6" w:space="0"/>
              <w:right w:val="single" w:color="auto" w:sz="6" w:space="0"/>
              <w:tl2br w:val="nil"/>
              <w:tr2bl w:val="nil"/>
            </w:tcBorders>
            <w:vAlign w:val="center"/>
          </w:tcPr>
          <w:p w14:paraId="4AFDB46E">
            <w:pPr>
              <w:ind w:left="-90"/>
              <w:jc w:val="center"/>
              <w:rPr>
                <w:rFonts w:ascii="仿宋" w:hAnsi="仿宋" w:eastAsia="仿宋" w:cs="仿宋"/>
                <w:color w:val="auto"/>
                <w:kern w:val="0"/>
                <w:sz w:val="24"/>
                <w:highlight w:val="none"/>
              </w:rPr>
            </w:pPr>
          </w:p>
        </w:tc>
        <w:tc>
          <w:tcPr>
            <w:tcW w:w="1399" w:type="dxa"/>
            <w:tcBorders>
              <w:top w:val="single" w:color="auto" w:sz="6" w:space="0"/>
              <w:left w:val="single" w:color="auto" w:sz="6" w:space="0"/>
              <w:bottom w:val="single" w:color="auto" w:sz="6" w:space="0"/>
              <w:right w:val="single" w:color="auto" w:sz="6" w:space="0"/>
              <w:tl2br w:val="nil"/>
              <w:tr2bl w:val="nil"/>
            </w:tcBorders>
            <w:vAlign w:val="center"/>
          </w:tcPr>
          <w:p w14:paraId="6F93003B">
            <w:pPr>
              <w:ind w:left="-90"/>
              <w:jc w:val="center"/>
              <w:rPr>
                <w:rFonts w:ascii="仿宋" w:hAnsi="仿宋" w:eastAsia="仿宋" w:cs="仿宋"/>
                <w:color w:val="auto"/>
                <w:kern w:val="0"/>
                <w:sz w:val="24"/>
                <w:highlight w:val="none"/>
              </w:rPr>
            </w:pPr>
          </w:p>
        </w:tc>
        <w:tc>
          <w:tcPr>
            <w:tcW w:w="1408" w:type="dxa"/>
            <w:tcBorders>
              <w:top w:val="single" w:color="auto" w:sz="6" w:space="0"/>
              <w:left w:val="single" w:color="auto" w:sz="6" w:space="0"/>
              <w:bottom w:val="single" w:color="auto" w:sz="6" w:space="0"/>
              <w:right w:val="single" w:color="auto" w:sz="6" w:space="0"/>
              <w:tl2br w:val="nil"/>
              <w:tr2bl w:val="nil"/>
            </w:tcBorders>
            <w:vAlign w:val="center"/>
          </w:tcPr>
          <w:p w14:paraId="251BD4C5">
            <w:pPr>
              <w:ind w:left="-90"/>
              <w:jc w:val="center"/>
              <w:rPr>
                <w:rFonts w:ascii="仿宋" w:hAnsi="仿宋" w:eastAsia="仿宋" w:cs="仿宋"/>
                <w:color w:val="auto"/>
                <w:kern w:val="0"/>
                <w:sz w:val="24"/>
                <w:highlight w:val="none"/>
              </w:rPr>
            </w:pPr>
          </w:p>
        </w:tc>
        <w:tc>
          <w:tcPr>
            <w:tcW w:w="3059" w:type="dxa"/>
            <w:tcBorders>
              <w:top w:val="single" w:color="auto" w:sz="6" w:space="0"/>
              <w:left w:val="single" w:color="auto" w:sz="6" w:space="0"/>
              <w:bottom w:val="single" w:color="auto" w:sz="6" w:space="0"/>
              <w:right w:val="single" w:color="auto" w:sz="6" w:space="0"/>
              <w:tl2br w:val="nil"/>
              <w:tr2bl w:val="nil"/>
            </w:tcBorders>
            <w:vAlign w:val="center"/>
          </w:tcPr>
          <w:p w14:paraId="0FE3A142">
            <w:pPr>
              <w:ind w:left="-90"/>
              <w:jc w:val="center"/>
              <w:rPr>
                <w:rFonts w:ascii="仿宋" w:hAnsi="仿宋" w:eastAsia="仿宋" w:cs="仿宋"/>
                <w:color w:val="auto"/>
                <w:kern w:val="0"/>
                <w:sz w:val="24"/>
                <w:highlight w:val="none"/>
              </w:rPr>
            </w:pPr>
          </w:p>
        </w:tc>
      </w:tr>
      <w:tr w14:paraId="1DA4D0EF">
        <w:tblPrEx>
          <w:tblCellMar>
            <w:top w:w="0" w:type="dxa"/>
            <w:left w:w="108" w:type="dxa"/>
            <w:bottom w:w="0" w:type="dxa"/>
            <w:right w:w="108" w:type="dxa"/>
          </w:tblCellMar>
        </w:tblPrEx>
        <w:trPr>
          <w:trHeight w:val="1692" w:hRule="atLeast"/>
        </w:trPr>
        <w:tc>
          <w:tcPr>
            <w:tcW w:w="9769" w:type="dxa"/>
            <w:gridSpan w:val="6"/>
            <w:tcBorders>
              <w:top w:val="single" w:color="auto" w:sz="6" w:space="0"/>
              <w:left w:val="single" w:color="auto" w:sz="6" w:space="0"/>
              <w:bottom w:val="single" w:color="auto" w:sz="6" w:space="0"/>
              <w:right w:val="single" w:color="auto" w:sz="6" w:space="0"/>
              <w:tl2br w:val="nil"/>
              <w:tr2bl w:val="nil"/>
            </w:tcBorders>
          </w:tcPr>
          <w:p w14:paraId="10FA3A14">
            <w:pPr>
              <w:ind w:left="-90"/>
              <w:jc w:val="left"/>
              <w:rPr>
                <w:rFonts w:ascii="仿宋" w:hAnsi="仿宋" w:eastAsia="仿宋" w:cs="仿宋"/>
                <w:color w:val="auto"/>
                <w:spacing w:val="-1"/>
                <w:kern w:val="0"/>
                <w:sz w:val="23"/>
                <w:highlight w:val="none"/>
              </w:rPr>
            </w:pPr>
            <w:r>
              <w:rPr>
                <w:rFonts w:hint="eastAsia" w:ascii="仿宋" w:hAnsi="仿宋" w:eastAsia="仿宋" w:cs="仿宋"/>
                <w:color w:val="auto"/>
                <w:spacing w:val="-1"/>
                <w:kern w:val="0"/>
                <w:sz w:val="23"/>
                <w:highlight w:val="none"/>
              </w:rPr>
              <w:t>供应商项目负责人：(签名)   供应商盖章</w:t>
            </w:r>
          </w:p>
          <w:p w14:paraId="7E11835E">
            <w:pPr>
              <w:ind w:left="-90"/>
              <w:jc w:val="left"/>
              <w:rPr>
                <w:rFonts w:ascii="仿宋" w:hAnsi="仿宋" w:eastAsia="仿宋" w:cs="仿宋"/>
                <w:color w:val="auto"/>
                <w:spacing w:val="-1"/>
                <w:kern w:val="0"/>
                <w:sz w:val="23"/>
                <w:highlight w:val="none"/>
              </w:rPr>
            </w:pPr>
          </w:p>
          <w:p w14:paraId="003297CC">
            <w:pPr>
              <w:ind w:left="-90"/>
              <w:jc w:val="left"/>
              <w:rPr>
                <w:rFonts w:ascii="仿宋" w:hAnsi="仿宋" w:eastAsia="仿宋" w:cs="仿宋"/>
                <w:color w:val="auto"/>
                <w:spacing w:val="-1"/>
                <w:kern w:val="0"/>
                <w:sz w:val="23"/>
                <w:highlight w:val="none"/>
              </w:rPr>
            </w:pPr>
            <w:r>
              <w:rPr>
                <w:rFonts w:hint="eastAsia" w:ascii="仿宋" w:hAnsi="仿宋" w:eastAsia="仿宋" w:cs="仿宋"/>
                <w:color w:val="auto"/>
                <w:spacing w:val="-1"/>
                <w:kern w:val="0"/>
                <w:sz w:val="23"/>
                <w:highlight w:val="none"/>
              </w:rPr>
              <w:t>采购人项目负责人：(签名)    采购人盖章</w:t>
            </w:r>
          </w:p>
          <w:p w14:paraId="0C143880">
            <w:pPr>
              <w:ind w:left="-90" w:leftChars="-43" w:firstLine="4788" w:firstLineChars="2100"/>
              <w:jc w:val="left"/>
              <w:rPr>
                <w:rFonts w:ascii="仿宋" w:hAnsi="仿宋" w:eastAsia="仿宋" w:cs="仿宋"/>
                <w:color w:val="auto"/>
                <w:spacing w:val="-1"/>
                <w:kern w:val="0"/>
                <w:sz w:val="23"/>
                <w:highlight w:val="none"/>
              </w:rPr>
            </w:pPr>
          </w:p>
          <w:p w14:paraId="0B21177E">
            <w:pPr>
              <w:ind w:left="-90" w:leftChars="-43" w:firstLine="4788" w:firstLineChars="2100"/>
              <w:jc w:val="left"/>
              <w:rPr>
                <w:rFonts w:ascii="仿宋" w:hAnsi="仿宋" w:eastAsia="仿宋" w:cs="仿宋"/>
                <w:color w:val="auto"/>
                <w:spacing w:val="-1"/>
                <w:kern w:val="0"/>
                <w:sz w:val="23"/>
                <w:highlight w:val="none"/>
              </w:rPr>
            </w:pPr>
          </w:p>
          <w:p w14:paraId="4D71317E">
            <w:pPr>
              <w:ind w:left="-90" w:leftChars="-43" w:firstLine="4788" w:firstLineChars="2100"/>
              <w:jc w:val="left"/>
              <w:rPr>
                <w:rFonts w:ascii="仿宋" w:hAnsi="仿宋" w:eastAsia="仿宋" w:cs="仿宋"/>
                <w:color w:val="auto"/>
                <w:spacing w:val="-1"/>
                <w:kern w:val="0"/>
                <w:sz w:val="23"/>
                <w:highlight w:val="none"/>
              </w:rPr>
            </w:pPr>
            <w:r>
              <w:rPr>
                <w:rFonts w:hint="eastAsia" w:ascii="仿宋" w:hAnsi="仿宋" w:eastAsia="仿宋" w:cs="仿宋"/>
                <w:color w:val="auto"/>
                <w:spacing w:val="-1"/>
                <w:kern w:val="0"/>
                <w:sz w:val="23"/>
                <w:highlight w:val="none"/>
              </w:rPr>
              <w:t xml:space="preserve"> 年    月    日</w:t>
            </w:r>
          </w:p>
          <w:p w14:paraId="79488494">
            <w:pPr>
              <w:ind w:left="-90" w:leftChars="-43"/>
              <w:jc w:val="left"/>
              <w:rPr>
                <w:rFonts w:ascii="仿宋" w:hAnsi="仿宋" w:eastAsia="仿宋" w:cs="仿宋"/>
                <w:color w:val="auto"/>
                <w:sz w:val="23"/>
                <w:highlight w:val="none"/>
              </w:rPr>
            </w:pPr>
          </w:p>
        </w:tc>
      </w:tr>
    </w:tbl>
    <w:p w14:paraId="6CEE6F94">
      <w:pPr>
        <w:rPr>
          <w:highlight w:val="none"/>
        </w:rPr>
      </w:pPr>
    </w:p>
    <w:p w14:paraId="5F5D7079">
      <w:pPr>
        <w:rPr>
          <w:rFonts w:ascii="仿宋" w:hAnsi="仿宋" w:eastAsia="仿宋" w:cs="仿宋"/>
          <w:color w:val="auto"/>
          <w:highlight w:val="none"/>
        </w:rPr>
      </w:pPr>
    </w:p>
    <w:p w14:paraId="0D6B8209">
      <w:pPr>
        <w:snapToGrid w:val="0"/>
        <w:spacing w:line="360" w:lineRule="auto"/>
        <w:ind w:firstLine="480" w:firstLineChars="200"/>
        <w:rPr>
          <w:rFonts w:ascii="仿宋" w:hAnsi="仿宋" w:eastAsia="仿宋" w:cs="仿宋"/>
          <w:color w:val="auto"/>
          <w:kern w:val="0"/>
          <w:sz w:val="24"/>
          <w:highlight w:val="none"/>
        </w:rPr>
      </w:pPr>
    </w:p>
    <w:p w14:paraId="457F29C2">
      <w:pPr>
        <w:widowControl/>
        <w:adjustRightInd/>
        <w:jc w:val="left"/>
        <w:rPr>
          <w:rFonts w:ascii="仿宋" w:hAnsi="仿宋" w:eastAsia="仿宋" w:cs="仿宋"/>
          <w:color w:val="auto"/>
          <w:highlight w:val="none"/>
        </w:rPr>
      </w:pPr>
    </w:p>
    <w:p w14:paraId="11BBD20F">
      <w:pPr>
        <w:rPr>
          <w:rFonts w:ascii="仿宋" w:hAnsi="仿宋" w:eastAsia="仿宋" w:cs="仿宋"/>
          <w:color w:val="auto"/>
          <w:highlight w:val="none"/>
        </w:rPr>
      </w:pPr>
      <w:r>
        <w:rPr>
          <w:rFonts w:hint="eastAsia" w:ascii="仿宋" w:hAnsi="仿宋" w:eastAsia="仿宋" w:cs="仿宋"/>
          <w:color w:val="auto"/>
          <w:highlight w:val="none"/>
        </w:rPr>
        <w:br w:type="page"/>
      </w:r>
    </w:p>
    <w:p w14:paraId="6EF8FB5A">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第四部分</w:t>
      </w:r>
      <w:bookmarkStart w:id="33" w:name="_Toc184308064"/>
      <w:bookmarkEnd w:id="33"/>
      <w:bookmarkStart w:id="34" w:name="_Toc184313239"/>
      <w:bookmarkEnd w:id="34"/>
      <w:bookmarkStart w:id="35" w:name="_Toc184312124"/>
      <w:bookmarkEnd w:id="35"/>
      <w:bookmarkStart w:id="36" w:name="_Toc184314434"/>
      <w:bookmarkEnd w:id="36"/>
      <w:bookmarkStart w:id="37" w:name="_Toc184310337"/>
      <w:bookmarkEnd w:id="37"/>
      <w:bookmarkStart w:id="38" w:name="_Toc184312071"/>
      <w:bookmarkEnd w:id="38"/>
      <w:bookmarkStart w:id="39" w:name="_Toc184310305"/>
      <w:bookmarkEnd w:id="39"/>
      <w:bookmarkStart w:id="40" w:name="_Toc184308076"/>
      <w:bookmarkEnd w:id="40"/>
      <w:bookmarkStart w:id="41" w:name="_Toc184310312"/>
      <w:bookmarkEnd w:id="41"/>
      <w:bookmarkStart w:id="42" w:name="_Toc184313306"/>
      <w:bookmarkEnd w:id="42"/>
      <w:bookmarkStart w:id="43" w:name="_Toc184312104"/>
      <w:bookmarkEnd w:id="43"/>
      <w:bookmarkStart w:id="44" w:name="_Toc184310277"/>
      <w:bookmarkEnd w:id="44"/>
      <w:bookmarkStart w:id="45" w:name="_Toc184314466"/>
      <w:bookmarkEnd w:id="45"/>
      <w:bookmarkStart w:id="46" w:name="_Toc184312069"/>
      <w:bookmarkEnd w:id="46"/>
      <w:bookmarkStart w:id="47" w:name="_Toc184312089"/>
      <w:bookmarkEnd w:id="47"/>
      <w:bookmarkStart w:id="48" w:name="_Toc184313297"/>
      <w:bookmarkEnd w:id="48"/>
      <w:bookmarkStart w:id="49" w:name="_Toc184308105"/>
      <w:bookmarkEnd w:id="49"/>
      <w:bookmarkStart w:id="50" w:name="_Toc184313293"/>
      <w:bookmarkEnd w:id="50"/>
      <w:bookmarkStart w:id="51" w:name="_Toc184310274"/>
      <w:bookmarkEnd w:id="51"/>
      <w:bookmarkStart w:id="52" w:name="_Toc184310278"/>
      <w:bookmarkEnd w:id="52"/>
      <w:bookmarkStart w:id="53" w:name="_Toc184308091"/>
      <w:bookmarkEnd w:id="53"/>
      <w:bookmarkStart w:id="54" w:name="_Toc184310276"/>
      <w:bookmarkEnd w:id="54"/>
      <w:bookmarkStart w:id="55" w:name="_Toc184313255"/>
      <w:bookmarkEnd w:id="55"/>
      <w:bookmarkStart w:id="56" w:name="_Toc184308087"/>
      <w:bookmarkEnd w:id="56"/>
      <w:bookmarkStart w:id="57" w:name="_Toc184308047"/>
      <w:bookmarkEnd w:id="57"/>
      <w:bookmarkStart w:id="58" w:name="_Toc184312082"/>
      <w:bookmarkEnd w:id="58"/>
      <w:bookmarkStart w:id="59" w:name="_Toc184314446"/>
      <w:bookmarkEnd w:id="59"/>
      <w:bookmarkStart w:id="60" w:name="_Toc184308054"/>
      <w:bookmarkEnd w:id="60"/>
      <w:bookmarkStart w:id="61" w:name="_Toc184312092"/>
      <w:bookmarkEnd w:id="61"/>
      <w:bookmarkStart w:id="62" w:name="_Toc184314454"/>
      <w:bookmarkEnd w:id="62"/>
      <w:bookmarkStart w:id="63" w:name="_Toc184312105"/>
      <w:bookmarkEnd w:id="63"/>
      <w:bookmarkStart w:id="64" w:name="_Toc184310292"/>
      <w:bookmarkEnd w:id="64"/>
      <w:bookmarkStart w:id="65" w:name="_Toc184312095"/>
      <w:bookmarkEnd w:id="65"/>
      <w:bookmarkStart w:id="66" w:name="_Toc184312122"/>
      <w:bookmarkEnd w:id="66"/>
      <w:bookmarkStart w:id="67" w:name="_Toc184314425"/>
      <w:bookmarkEnd w:id="67"/>
      <w:bookmarkStart w:id="68" w:name="_Toc184308101"/>
      <w:bookmarkEnd w:id="68"/>
      <w:bookmarkStart w:id="69" w:name="_Toc184313295"/>
      <w:bookmarkEnd w:id="69"/>
      <w:bookmarkStart w:id="70" w:name="_Toc184310288"/>
      <w:bookmarkEnd w:id="70"/>
      <w:bookmarkStart w:id="71" w:name="_Toc184310303"/>
      <w:bookmarkEnd w:id="71"/>
      <w:bookmarkStart w:id="72" w:name="_Toc184310339"/>
      <w:bookmarkEnd w:id="72"/>
      <w:bookmarkStart w:id="73" w:name="_Toc184312073"/>
      <w:bookmarkEnd w:id="73"/>
      <w:bookmarkStart w:id="74" w:name="_Toc184312080"/>
      <w:bookmarkEnd w:id="74"/>
      <w:bookmarkStart w:id="75" w:name="_Toc184314417"/>
      <w:bookmarkEnd w:id="75"/>
      <w:bookmarkStart w:id="76" w:name="_Toc184308037"/>
      <w:bookmarkEnd w:id="76"/>
      <w:bookmarkStart w:id="77" w:name="_Toc184312107"/>
      <w:bookmarkEnd w:id="77"/>
      <w:bookmarkStart w:id="78" w:name="_Toc184308083"/>
      <w:bookmarkEnd w:id="78"/>
      <w:bookmarkStart w:id="79" w:name="_Toc184308070"/>
      <w:bookmarkEnd w:id="79"/>
      <w:bookmarkStart w:id="80" w:name="_Toc184312106"/>
      <w:bookmarkEnd w:id="80"/>
      <w:bookmarkStart w:id="81" w:name="_Toc184313252"/>
      <w:bookmarkEnd w:id="81"/>
      <w:bookmarkStart w:id="82" w:name="_Toc184313302"/>
      <w:bookmarkEnd w:id="82"/>
      <w:bookmarkStart w:id="83" w:name="_Toc184313280"/>
      <w:bookmarkEnd w:id="83"/>
      <w:bookmarkStart w:id="84" w:name="_Toc184312112"/>
      <w:bookmarkEnd w:id="84"/>
      <w:bookmarkStart w:id="85" w:name="_Toc184312136"/>
      <w:bookmarkEnd w:id="85"/>
      <w:bookmarkStart w:id="86" w:name="_Toc184314422"/>
      <w:bookmarkEnd w:id="86"/>
      <w:bookmarkStart w:id="87" w:name="_Toc184313303"/>
      <w:bookmarkEnd w:id="87"/>
      <w:bookmarkStart w:id="88" w:name="_Toc184313243"/>
      <w:bookmarkEnd w:id="88"/>
      <w:bookmarkStart w:id="89" w:name="_Toc184313276"/>
      <w:bookmarkEnd w:id="89"/>
      <w:bookmarkStart w:id="90" w:name="_Toc184314478"/>
      <w:bookmarkEnd w:id="90"/>
      <w:bookmarkStart w:id="91" w:name="_Toc184313267"/>
      <w:bookmarkEnd w:id="91"/>
      <w:bookmarkStart w:id="92" w:name="_Toc184312114"/>
      <w:bookmarkEnd w:id="92"/>
      <w:bookmarkStart w:id="93" w:name="_Toc184313261"/>
      <w:bookmarkEnd w:id="93"/>
      <w:bookmarkStart w:id="94" w:name="_Toc184314439"/>
      <w:bookmarkEnd w:id="94"/>
      <w:bookmarkStart w:id="95" w:name="_Toc184312129"/>
      <w:bookmarkEnd w:id="95"/>
      <w:bookmarkStart w:id="96" w:name="_Toc184308089"/>
      <w:bookmarkEnd w:id="96"/>
      <w:bookmarkStart w:id="97" w:name="_Toc184308051"/>
      <w:bookmarkEnd w:id="97"/>
      <w:bookmarkStart w:id="98" w:name="_Toc184314480"/>
      <w:bookmarkEnd w:id="98"/>
      <w:bookmarkStart w:id="99" w:name="_Toc184308062"/>
      <w:bookmarkEnd w:id="99"/>
      <w:bookmarkStart w:id="100" w:name="_Toc184310302"/>
      <w:bookmarkEnd w:id="100"/>
      <w:bookmarkStart w:id="101" w:name="_Toc184313242"/>
      <w:bookmarkEnd w:id="101"/>
      <w:bookmarkStart w:id="102" w:name="_Toc184314441"/>
      <w:bookmarkEnd w:id="102"/>
      <w:bookmarkStart w:id="103" w:name="_Toc184312132"/>
      <w:bookmarkEnd w:id="103"/>
      <w:bookmarkStart w:id="104" w:name="_Toc184313272"/>
      <w:bookmarkEnd w:id="104"/>
      <w:bookmarkStart w:id="105" w:name="_Toc184312087"/>
      <w:bookmarkEnd w:id="105"/>
      <w:bookmarkStart w:id="106" w:name="_Toc184312097"/>
      <w:bookmarkEnd w:id="106"/>
      <w:bookmarkStart w:id="107" w:name="_Toc184313240"/>
      <w:bookmarkEnd w:id="107"/>
      <w:bookmarkStart w:id="108" w:name="_Toc184313278"/>
      <w:bookmarkEnd w:id="108"/>
      <w:bookmarkStart w:id="109" w:name="_Toc184314421"/>
      <w:bookmarkEnd w:id="109"/>
      <w:bookmarkStart w:id="110" w:name="_Toc184312108"/>
      <w:bookmarkEnd w:id="110"/>
      <w:bookmarkStart w:id="111" w:name="_Toc184308074"/>
      <w:bookmarkEnd w:id="111"/>
      <w:bookmarkStart w:id="112" w:name="_Toc184314413"/>
      <w:bookmarkEnd w:id="112"/>
      <w:bookmarkStart w:id="113" w:name="_Toc184312120"/>
      <w:bookmarkEnd w:id="113"/>
      <w:bookmarkStart w:id="114" w:name="_Toc184310273"/>
      <w:bookmarkEnd w:id="114"/>
      <w:bookmarkStart w:id="115" w:name="_Toc184308041"/>
      <w:bookmarkEnd w:id="115"/>
      <w:bookmarkStart w:id="116" w:name="_Toc184310287"/>
      <w:bookmarkEnd w:id="116"/>
      <w:bookmarkStart w:id="117" w:name="_Toc184308085"/>
      <w:bookmarkEnd w:id="117"/>
      <w:bookmarkStart w:id="118" w:name="_Toc184308050"/>
      <w:bookmarkEnd w:id="118"/>
      <w:bookmarkStart w:id="119" w:name="_Toc184308080"/>
      <w:bookmarkEnd w:id="119"/>
      <w:bookmarkStart w:id="120" w:name="_Toc184308060"/>
      <w:bookmarkEnd w:id="120"/>
      <w:bookmarkStart w:id="121" w:name="_Toc184314440"/>
      <w:bookmarkEnd w:id="121"/>
      <w:bookmarkStart w:id="122" w:name="_Toc184308084"/>
      <w:bookmarkEnd w:id="122"/>
      <w:bookmarkStart w:id="123" w:name="_Toc184314444"/>
      <w:bookmarkEnd w:id="123"/>
      <w:bookmarkStart w:id="124" w:name="_Toc184312083"/>
      <w:bookmarkEnd w:id="124"/>
      <w:bookmarkStart w:id="125" w:name="_Toc184310319"/>
      <w:bookmarkEnd w:id="125"/>
      <w:bookmarkStart w:id="126" w:name="_Toc184314451"/>
      <w:bookmarkEnd w:id="126"/>
      <w:bookmarkStart w:id="127" w:name="_Toc184310338"/>
      <w:bookmarkEnd w:id="127"/>
      <w:bookmarkStart w:id="128" w:name="_Toc184308066"/>
      <w:bookmarkEnd w:id="128"/>
      <w:bookmarkStart w:id="129" w:name="_Toc184313250"/>
      <w:bookmarkEnd w:id="129"/>
      <w:bookmarkStart w:id="130" w:name="_Toc184313257"/>
      <w:bookmarkEnd w:id="130"/>
      <w:bookmarkStart w:id="131" w:name="_Toc184313247"/>
      <w:bookmarkEnd w:id="131"/>
      <w:bookmarkStart w:id="132" w:name="_Toc184314432"/>
      <w:bookmarkEnd w:id="132"/>
      <w:bookmarkStart w:id="133" w:name="_Toc184312072"/>
      <w:bookmarkEnd w:id="133"/>
      <w:bookmarkStart w:id="134" w:name="_Toc184310298"/>
      <w:bookmarkEnd w:id="134"/>
      <w:bookmarkStart w:id="135" w:name="_Toc184308045"/>
      <w:bookmarkEnd w:id="135"/>
      <w:bookmarkStart w:id="136" w:name="_Toc184313265"/>
      <w:bookmarkEnd w:id="136"/>
      <w:bookmarkStart w:id="137" w:name="_Toc184310279"/>
      <w:bookmarkEnd w:id="137"/>
      <w:bookmarkStart w:id="138" w:name="_Toc184314462"/>
      <w:bookmarkEnd w:id="138"/>
      <w:bookmarkStart w:id="139" w:name="_Toc184313290"/>
      <w:bookmarkEnd w:id="139"/>
      <w:bookmarkStart w:id="140" w:name="_Toc184310344"/>
      <w:bookmarkEnd w:id="140"/>
      <w:bookmarkStart w:id="141" w:name="_Toc184310325"/>
      <w:bookmarkEnd w:id="141"/>
      <w:bookmarkStart w:id="142" w:name="_Toc184313308"/>
      <w:bookmarkEnd w:id="142"/>
      <w:bookmarkStart w:id="143" w:name="_Toc184314464"/>
      <w:bookmarkEnd w:id="143"/>
      <w:bookmarkStart w:id="144" w:name="_Toc184312090"/>
      <w:bookmarkEnd w:id="144"/>
      <w:bookmarkStart w:id="145" w:name="_Toc184308095"/>
      <w:bookmarkEnd w:id="145"/>
      <w:bookmarkStart w:id="146" w:name="_Toc184310293"/>
      <w:bookmarkEnd w:id="146"/>
      <w:bookmarkStart w:id="147" w:name="_Toc184308052"/>
      <w:bookmarkEnd w:id="147"/>
      <w:bookmarkStart w:id="148" w:name="_Toc184314467"/>
      <w:bookmarkEnd w:id="148"/>
      <w:bookmarkStart w:id="149" w:name="_Toc184312123"/>
      <w:bookmarkEnd w:id="149"/>
      <w:bookmarkStart w:id="150" w:name="_Toc184308071"/>
      <w:bookmarkEnd w:id="150"/>
      <w:bookmarkStart w:id="151" w:name="_Toc184314477"/>
      <w:bookmarkEnd w:id="151"/>
      <w:bookmarkStart w:id="152" w:name="_Toc184314433"/>
      <w:bookmarkEnd w:id="152"/>
      <w:bookmarkStart w:id="153" w:name="_Toc184312070"/>
      <w:bookmarkEnd w:id="153"/>
      <w:bookmarkStart w:id="154" w:name="_Toc184314465"/>
      <w:bookmarkEnd w:id="154"/>
      <w:bookmarkStart w:id="155" w:name="_Toc184308102"/>
      <w:bookmarkEnd w:id="155"/>
      <w:bookmarkStart w:id="156" w:name="_Toc184310318"/>
      <w:bookmarkEnd w:id="156"/>
      <w:bookmarkStart w:id="157" w:name="_Toc184310308"/>
      <w:bookmarkEnd w:id="157"/>
      <w:bookmarkStart w:id="158" w:name="_Toc184313245"/>
      <w:bookmarkEnd w:id="158"/>
      <w:bookmarkStart w:id="159" w:name="_Toc184310329"/>
      <w:bookmarkEnd w:id="159"/>
      <w:bookmarkStart w:id="160" w:name="_Toc184313285"/>
      <w:bookmarkEnd w:id="160"/>
      <w:bookmarkStart w:id="161" w:name="_Toc184314452"/>
      <w:bookmarkEnd w:id="161"/>
      <w:bookmarkStart w:id="162" w:name="_Toc184314459"/>
      <w:bookmarkEnd w:id="162"/>
      <w:bookmarkStart w:id="163" w:name="_Toc184314470"/>
      <w:bookmarkEnd w:id="163"/>
      <w:bookmarkStart w:id="164" w:name="_Toc184313238"/>
      <w:bookmarkEnd w:id="164"/>
      <w:bookmarkStart w:id="165" w:name="_Toc184310295"/>
      <w:bookmarkEnd w:id="165"/>
      <w:bookmarkStart w:id="166" w:name="_Toc184312121"/>
      <w:bookmarkEnd w:id="166"/>
      <w:bookmarkStart w:id="167" w:name="_Toc184310291"/>
      <w:bookmarkEnd w:id="167"/>
      <w:bookmarkStart w:id="168" w:name="_Toc184314420"/>
      <w:bookmarkEnd w:id="168"/>
      <w:bookmarkStart w:id="169" w:name="_Toc184310328"/>
      <w:bookmarkEnd w:id="169"/>
      <w:bookmarkStart w:id="170" w:name="_Toc184314426"/>
      <w:bookmarkEnd w:id="170"/>
      <w:bookmarkStart w:id="171" w:name="_Toc184312137"/>
      <w:bookmarkEnd w:id="171"/>
      <w:bookmarkStart w:id="172" w:name="_Toc184310340"/>
      <w:bookmarkEnd w:id="172"/>
      <w:bookmarkStart w:id="173" w:name="_Toc184310333"/>
      <w:bookmarkEnd w:id="173"/>
      <w:bookmarkStart w:id="174" w:name="_Toc184314437"/>
      <w:bookmarkEnd w:id="174"/>
      <w:bookmarkStart w:id="175" w:name="_Toc184308093"/>
      <w:bookmarkEnd w:id="175"/>
      <w:bookmarkStart w:id="176" w:name="_Toc184310322"/>
      <w:bookmarkEnd w:id="176"/>
      <w:bookmarkStart w:id="177" w:name="_Toc184313292"/>
      <w:bookmarkEnd w:id="177"/>
      <w:bookmarkStart w:id="178" w:name="_Toc184312117"/>
      <w:bookmarkEnd w:id="178"/>
      <w:bookmarkStart w:id="179" w:name="_Toc184312098"/>
      <w:bookmarkEnd w:id="179"/>
      <w:bookmarkStart w:id="180" w:name="_Toc184314414"/>
      <w:bookmarkEnd w:id="180"/>
      <w:bookmarkStart w:id="181" w:name="_Toc184314458"/>
      <w:bookmarkEnd w:id="181"/>
      <w:bookmarkStart w:id="182" w:name="_Toc184312135"/>
      <w:bookmarkEnd w:id="182"/>
      <w:bookmarkStart w:id="183" w:name="_Toc184310336"/>
      <w:bookmarkEnd w:id="183"/>
      <w:bookmarkStart w:id="184" w:name="_Toc184314429"/>
      <w:bookmarkEnd w:id="184"/>
      <w:bookmarkStart w:id="185" w:name="_Toc184314450"/>
      <w:bookmarkEnd w:id="185"/>
      <w:bookmarkStart w:id="186" w:name="_Toc184308088"/>
      <w:bookmarkEnd w:id="186"/>
      <w:bookmarkStart w:id="187" w:name="_Toc184308078"/>
      <w:bookmarkEnd w:id="187"/>
      <w:bookmarkStart w:id="188" w:name="_Toc184308077"/>
      <w:bookmarkEnd w:id="188"/>
      <w:bookmarkStart w:id="189" w:name="_Toc184313310"/>
      <w:bookmarkEnd w:id="189"/>
      <w:bookmarkStart w:id="190" w:name="_Toc184312077"/>
      <w:bookmarkEnd w:id="190"/>
      <w:bookmarkStart w:id="191" w:name="_Toc184310285"/>
      <w:bookmarkEnd w:id="191"/>
      <w:bookmarkStart w:id="192" w:name="_Toc184308086"/>
      <w:bookmarkEnd w:id="192"/>
      <w:bookmarkStart w:id="193" w:name="_Toc184314431"/>
      <w:bookmarkEnd w:id="193"/>
      <w:bookmarkStart w:id="194" w:name="_Toc184314430"/>
      <w:bookmarkEnd w:id="194"/>
      <w:bookmarkStart w:id="195" w:name="_Toc184310297"/>
      <w:bookmarkEnd w:id="195"/>
      <w:bookmarkStart w:id="196" w:name="_Toc184308061"/>
      <w:bookmarkEnd w:id="196"/>
      <w:bookmarkStart w:id="197" w:name="_Toc184313307"/>
      <w:bookmarkEnd w:id="197"/>
      <w:bookmarkStart w:id="198" w:name="_Toc184313264"/>
      <w:bookmarkEnd w:id="198"/>
      <w:bookmarkStart w:id="199" w:name="_Toc184313300"/>
      <w:bookmarkEnd w:id="199"/>
      <w:bookmarkStart w:id="200" w:name="_Toc184308100"/>
      <w:bookmarkEnd w:id="200"/>
      <w:bookmarkStart w:id="201" w:name="_Toc184310301"/>
      <w:bookmarkEnd w:id="201"/>
      <w:bookmarkStart w:id="202" w:name="_Toc184313254"/>
      <w:bookmarkEnd w:id="202"/>
      <w:bookmarkStart w:id="203" w:name="_Toc184312126"/>
      <w:bookmarkEnd w:id="203"/>
      <w:bookmarkStart w:id="204" w:name="_Toc184314423"/>
      <w:bookmarkEnd w:id="204"/>
      <w:bookmarkStart w:id="205" w:name="_Toc184313284"/>
      <w:bookmarkEnd w:id="205"/>
      <w:bookmarkStart w:id="206" w:name="_Toc184308098"/>
      <w:bookmarkEnd w:id="206"/>
      <w:bookmarkStart w:id="207" w:name="_Toc184313248"/>
      <w:bookmarkEnd w:id="207"/>
      <w:bookmarkStart w:id="208" w:name="_Toc184310313"/>
      <w:bookmarkEnd w:id="208"/>
      <w:bookmarkStart w:id="209" w:name="_Toc184310296"/>
      <w:bookmarkEnd w:id="209"/>
      <w:bookmarkStart w:id="210" w:name="_Toc184312134"/>
      <w:bookmarkEnd w:id="210"/>
      <w:bookmarkStart w:id="211" w:name="_Toc184308055"/>
      <w:bookmarkEnd w:id="211"/>
      <w:bookmarkStart w:id="212" w:name="_Toc184308107"/>
      <w:bookmarkEnd w:id="212"/>
      <w:bookmarkStart w:id="213" w:name="_Toc184313288"/>
      <w:bookmarkEnd w:id="213"/>
      <w:bookmarkStart w:id="214" w:name="_Toc184313291"/>
      <w:bookmarkEnd w:id="214"/>
      <w:bookmarkStart w:id="215" w:name="_Toc184312111"/>
      <w:bookmarkEnd w:id="215"/>
      <w:bookmarkStart w:id="216" w:name="_Toc184313275"/>
      <w:bookmarkEnd w:id="216"/>
      <w:bookmarkStart w:id="217" w:name="_Toc184313298"/>
      <w:bookmarkEnd w:id="217"/>
      <w:bookmarkStart w:id="218" w:name="_Toc184312128"/>
      <w:bookmarkEnd w:id="218"/>
      <w:bookmarkStart w:id="219" w:name="_Toc184314428"/>
      <w:bookmarkEnd w:id="219"/>
      <w:bookmarkStart w:id="220" w:name="_Toc184312113"/>
      <w:bookmarkEnd w:id="220"/>
      <w:bookmarkStart w:id="221" w:name="_Toc184308075"/>
      <w:bookmarkEnd w:id="221"/>
      <w:bookmarkStart w:id="222" w:name="_Toc184313305"/>
      <w:bookmarkEnd w:id="222"/>
      <w:bookmarkStart w:id="223" w:name="_Toc184312102"/>
      <w:bookmarkEnd w:id="223"/>
      <w:bookmarkStart w:id="224" w:name="_Toc184314460"/>
      <w:bookmarkEnd w:id="224"/>
      <w:bookmarkStart w:id="225" w:name="_Toc184313281"/>
      <w:bookmarkEnd w:id="225"/>
      <w:bookmarkStart w:id="226" w:name="_Toc184312075"/>
      <w:bookmarkEnd w:id="226"/>
      <w:bookmarkStart w:id="227" w:name="_Toc184312093"/>
      <w:bookmarkEnd w:id="227"/>
      <w:bookmarkStart w:id="228" w:name="_Toc184314442"/>
      <w:bookmarkEnd w:id="228"/>
      <w:bookmarkStart w:id="229" w:name="_Toc184314412"/>
      <w:bookmarkEnd w:id="229"/>
      <w:bookmarkStart w:id="230" w:name="_Toc184310299"/>
      <w:bookmarkEnd w:id="230"/>
      <w:bookmarkStart w:id="231" w:name="_Toc184314481"/>
      <w:bookmarkEnd w:id="231"/>
      <w:bookmarkStart w:id="232" w:name="_Toc184312110"/>
      <w:bookmarkEnd w:id="232"/>
      <w:bookmarkStart w:id="233" w:name="_Toc184308073"/>
      <w:bookmarkEnd w:id="233"/>
      <w:bookmarkStart w:id="234" w:name="_Toc184310314"/>
      <w:bookmarkEnd w:id="234"/>
      <w:bookmarkStart w:id="235" w:name="_Toc184314419"/>
      <w:bookmarkEnd w:id="235"/>
      <w:bookmarkStart w:id="236" w:name="_Toc184310284"/>
      <w:bookmarkEnd w:id="236"/>
      <w:bookmarkStart w:id="237" w:name="_Toc184308056"/>
      <w:bookmarkEnd w:id="237"/>
      <w:bookmarkStart w:id="238" w:name="_Toc184312099"/>
      <w:bookmarkEnd w:id="238"/>
      <w:bookmarkStart w:id="239" w:name="_Toc184312085"/>
      <w:bookmarkEnd w:id="239"/>
      <w:bookmarkStart w:id="240" w:name="_Toc184310310"/>
      <w:bookmarkEnd w:id="240"/>
      <w:bookmarkStart w:id="241" w:name="_Toc184308072"/>
      <w:bookmarkEnd w:id="241"/>
      <w:bookmarkStart w:id="242" w:name="_Toc184308042"/>
      <w:bookmarkEnd w:id="242"/>
      <w:bookmarkStart w:id="243" w:name="_Toc184310323"/>
      <w:bookmarkEnd w:id="243"/>
      <w:bookmarkStart w:id="244" w:name="_Toc184310331"/>
      <w:bookmarkEnd w:id="244"/>
      <w:bookmarkStart w:id="245" w:name="_Toc184308059"/>
      <w:bookmarkEnd w:id="245"/>
      <w:bookmarkStart w:id="246" w:name="_Toc184313274"/>
      <w:bookmarkEnd w:id="246"/>
      <w:bookmarkStart w:id="247" w:name="_Toc184312091"/>
      <w:bookmarkEnd w:id="247"/>
      <w:bookmarkStart w:id="248" w:name="_Toc184312116"/>
      <w:bookmarkEnd w:id="248"/>
      <w:bookmarkStart w:id="249" w:name="_Toc184313251"/>
      <w:bookmarkEnd w:id="249"/>
      <w:bookmarkStart w:id="250" w:name="_Toc184313271"/>
      <w:bookmarkEnd w:id="250"/>
      <w:bookmarkStart w:id="251" w:name="_Toc184314443"/>
      <w:bookmarkEnd w:id="251"/>
      <w:bookmarkStart w:id="252" w:name="_Toc184313270"/>
      <w:bookmarkEnd w:id="252"/>
      <w:bookmarkStart w:id="253" w:name="_Toc184310300"/>
      <w:bookmarkEnd w:id="253"/>
      <w:bookmarkStart w:id="254" w:name="_Toc184314418"/>
      <w:bookmarkEnd w:id="254"/>
      <w:bookmarkStart w:id="255" w:name="_Toc184314476"/>
      <w:bookmarkEnd w:id="255"/>
      <w:bookmarkStart w:id="256" w:name="_Toc184308092"/>
      <w:bookmarkEnd w:id="256"/>
      <w:bookmarkStart w:id="257" w:name="_Toc184310315"/>
      <w:bookmarkEnd w:id="257"/>
      <w:bookmarkStart w:id="258" w:name="_Toc184308039"/>
      <w:bookmarkEnd w:id="258"/>
      <w:bookmarkStart w:id="259" w:name="_Toc184310317"/>
      <w:bookmarkEnd w:id="259"/>
      <w:bookmarkStart w:id="260" w:name="_Toc184313283"/>
      <w:bookmarkEnd w:id="260"/>
      <w:bookmarkStart w:id="261" w:name="_Toc184310309"/>
      <w:bookmarkEnd w:id="261"/>
      <w:bookmarkStart w:id="262" w:name="_Toc184314453"/>
      <w:bookmarkEnd w:id="262"/>
      <w:bookmarkStart w:id="263" w:name="_Toc184310311"/>
      <w:bookmarkEnd w:id="263"/>
      <w:bookmarkStart w:id="264" w:name="_Toc184313269"/>
      <w:bookmarkEnd w:id="264"/>
      <w:bookmarkStart w:id="265" w:name="_Toc184314455"/>
      <w:bookmarkEnd w:id="265"/>
      <w:bookmarkStart w:id="266" w:name="_Toc184308081"/>
      <w:bookmarkEnd w:id="266"/>
      <w:bookmarkStart w:id="267" w:name="_Toc184310289"/>
      <w:bookmarkEnd w:id="267"/>
      <w:bookmarkStart w:id="268" w:name="_Toc184313268"/>
      <w:bookmarkEnd w:id="268"/>
      <w:bookmarkStart w:id="269" w:name="_Toc184308049"/>
      <w:bookmarkEnd w:id="269"/>
      <w:bookmarkStart w:id="270" w:name="_Toc184310332"/>
      <w:bookmarkEnd w:id="270"/>
      <w:bookmarkStart w:id="271" w:name="_Toc184313241"/>
      <w:bookmarkEnd w:id="271"/>
      <w:bookmarkStart w:id="272" w:name="_Toc184310326"/>
      <w:bookmarkEnd w:id="272"/>
      <w:bookmarkStart w:id="273" w:name="_Toc184310280"/>
      <w:bookmarkEnd w:id="273"/>
      <w:bookmarkStart w:id="274" w:name="_Toc184310327"/>
      <w:bookmarkEnd w:id="274"/>
      <w:bookmarkStart w:id="275" w:name="_Toc184310294"/>
      <w:bookmarkEnd w:id="275"/>
      <w:bookmarkStart w:id="276" w:name="_Toc184314415"/>
      <w:bookmarkEnd w:id="276"/>
      <w:bookmarkStart w:id="277" w:name="_Toc184312100"/>
      <w:bookmarkEnd w:id="277"/>
      <w:bookmarkStart w:id="278" w:name="_Toc184310321"/>
      <w:bookmarkEnd w:id="278"/>
      <w:bookmarkStart w:id="279" w:name="_Toc184314449"/>
      <w:bookmarkEnd w:id="279"/>
      <w:bookmarkStart w:id="280" w:name="_Toc184312138"/>
      <w:bookmarkEnd w:id="280"/>
      <w:bookmarkStart w:id="281" w:name="_Toc184312101"/>
      <w:bookmarkEnd w:id="281"/>
      <w:bookmarkStart w:id="282" w:name="_Toc184314482"/>
      <w:bookmarkEnd w:id="282"/>
      <w:bookmarkStart w:id="283" w:name="_Toc184310343"/>
      <w:bookmarkEnd w:id="283"/>
      <w:bookmarkStart w:id="284" w:name="_Toc184313282"/>
      <w:bookmarkEnd w:id="284"/>
      <w:bookmarkStart w:id="285" w:name="_Toc184314427"/>
      <w:bookmarkEnd w:id="285"/>
      <w:bookmarkStart w:id="286" w:name="_Toc184310334"/>
      <w:bookmarkEnd w:id="286"/>
      <w:bookmarkStart w:id="287" w:name="_Toc184313263"/>
      <w:bookmarkEnd w:id="287"/>
      <w:bookmarkStart w:id="288" w:name="_Toc184314411"/>
      <w:bookmarkEnd w:id="288"/>
      <w:bookmarkStart w:id="289" w:name="_Toc184313309"/>
      <w:bookmarkEnd w:id="289"/>
      <w:bookmarkStart w:id="290" w:name="_Toc184310281"/>
      <w:bookmarkEnd w:id="290"/>
      <w:bookmarkStart w:id="291" w:name="_Toc184313296"/>
      <w:bookmarkEnd w:id="291"/>
      <w:bookmarkStart w:id="292" w:name="_Toc184310330"/>
      <w:bookmarkEnd w:id="292"/>
      <w:bookmarkStart w:id="293" w:name="_Toc184312115"/>
      <w:bookmarkEnd w:id="293"/>
      <w:bookmarkStart w:id="294" w:name="_Toc184308069"/>
      <w:bookmarkEnd w:id="294"/>
      <w:bookmarkStart w:id="295" w:name="_Toc184313299"/>
      <w:bookmarkEnd w:id="295"/>
      <w:bookmarkStart w:id="296" w:name="_Toc184312084"/>
      <w:bookmarkEnd w:id="296"/>
      <w:bookmarkStart w:id="297" w:name="_Toc184314416"/>
      <w:bookmarkEnd w:id="297"/>
      <w:bookmarkStart w:id="298" w:name="_Toc184314474"/>
      <w:bookmarkEnd w:id="298"/>
      <w:bookmarkStart w:id="299" w:name="_Toc184313279"/>
      <w:bookmarkEnd w:id="299"/>
      <w:bookmarkStart w:id="300" w:name="_Toc184313289"/>
      <w:bookmarkEnd w:id="300"/>
      <w:bookmarkStart w:id="301" w:name="_Toc184313253"/>
      <w:bookmarkEnd w:id="301"/>
      <w:bookmarkStart w:id="302" w:name="_Toc184312088"/>
      <w:bookmarkEnd w:id="302"/>
      <w:bookmarkStart w:id="303" w:name="_Toc184310275"/>
      <w:bookmarkEnd w:id="303"/>
      <w:bookmarkStart w:id="304" w:name="_Toc184308036"/>
      <w:bookmarkEnd w:id="304"/>
      <w:bookmarkStart w:id="305" w:name="_Toc184314436"/>
      <w:bookmarkEnd w:id="305"/>
      <w:bookmarkStart w:id="306" w:name="_Toc184310272"/>
      <w:bookmarkEnd w:id="306"/>
      <w:bookmarkStart w:id="307" w:name="_Toc184308063"/>
      <w:bookmarkEnd w:id="307"/>
      <w:bookmarkStart w:id="308" w:name="_Toc184313259"/>
      <w:bookmarkEnd w:id="308"/>
      <w:bookmarkStart w:id="309" w:name="_Toc184314445"/>
      <w:bookmarkEnd w:id="309"/>
      <w:bookmarkStart w:id="310" w:name="_Toc184313301"/>
      <w:bookmarkEnd w:id="310"/>
      <w:bookmarkStart w:id="311" w:name="_Toc184312068"/>
      <w:bookmarkEnd w:id="311"/>
      <w:bookmarkStart w:id="312" w:name="_Toc184312078"/>
      <w:bookmarkEnd w:id="312"/>
      <w:bookmarkStart w:id="313" w:name="_Toc184313287"/>
      <w:bookmarkEnd w:id="313"/>
      <w:bookmarkStart w:id="314" w:name="_Toc184313277"/>
      <w:bookmarkEnd w:id="314"/>
      <w:bookmarkStart w:id="315" w:name="_Toc184308106"/>
      <w:bookmarkEnd w:id="315"/>
      <w:bookmarkStart w:id="316" w:name="_Toc184312127"/>
      <w:bookmarkEnd w:id="316"/>
      <w:bookmarkStart w:id="317" w:name="_Toc184312074"/>
      <w:bookmarkEnd w:id="317"/>
      <w:bookmarkStart w:id="318" w:name="_Toc184308090"/>
      <w:bookmarkEnd w:id="318"/>
      <w:bookmarkStart w:id="319" w:name="_Toc184308082"/>
      <w:bookmarkEnd w:id="319"/>
      <w:bookmarkStart w:id="320" w:name="_Toc184308108"/>
      <w:bookmarkEnd w:id="320"/>
      <w:bookmarkStart w:id="321" w:name="_Toc184314456"/>
      <w:bookmarkEnd w:id="321"/>
      <w:bookmarkStart w:id="322" w:name="_Toc184308104"/>
      <w:bookmarkEnd w:id="322"/>
      <w:bookmarkStart w:id="323" w:name="_Toc184310282"/>
      <w:bookmarkEnd w:id="323"/>
      <w:bookmarkStart w:id="324" w:name="_Toc184313244"/>
      <w:bookmarkEnd w:id="324"/>
      <w:bookmarkStart w:id="325" w:name="_Toc184312119"/>
      <w:bookmarkEnd w:id="325"/>
      <w:bookmarkStart w:id="326" w:name="_Toc184308067"/>
      <w:bookmarkEnd w:id="326"/>
      <w:bookmarkStart w:id="327" w:name="_Toc184313304"/>
      <w:bookmarkEnd w:id="327"/>
      <w:bookmarkStart w:id="328" w:name="_Toc184314463"/>
      <w:bookmarkEnd w:id="328"/>
      <w:bookmarkStart w:id="329" w:name="_Toc184308079"/>
      <w:bookmarkEnd w:id="329"/>
      <w:bookmarkStart w:id="330" w:name="_Toc184313260"/>
      <w:bookmarkEnd w:id="330"/>
      <w:bookmarkStart w:id="331" w:name="_Toc184312139"/>
      <w:bookmarkEnd w:id="331"/>
      <w:bookmarkStart w:id="332" w:name="_Toc184310307"/>
      <w:bookmarkEnd w:id="332"/>
      <w:bookmarkStart w:id="333" w:name="_Toc184312125"/>
      <w:bookmarkEnd w:id="333"/>
      <w:bookmarkStart w:id="334" w:name="_Toc184308043"/>
      <w:bookmarkEnd w:id="334"/>
      <w:bookmarkStart w:id="335" w:name="_Toc184313256"/>
      <w:bookmarkEnd w:id="335"/>
      <w:bookmarkStart w:id="336" w:name="_Toc184308038"/>
      <w:bookmarkEnd w:id="336"/>
      <w:bookmarkStart w:id="337" w:name="_Toc184308097"/>
      <w:bookmarkEnd w:id="337"/>
      <w:bookmarkStart w:id="338" w:name="_Toc184313266"/>
      <w:bookmarkEnd w:id="338"/>
      <w:bookmarkStart w:id="339" w:name="_Toc184308065"/>
      <w:bookmarkEnd w:id="339"/>
      <w:bookmarkStart w:id="340" w:name="_Toc184313249"/>
      <w:bookmarkEnd w:id="340"/>
      <w:bookmarkStart w:id="341" w:name="_Toc184310290"/>
      <w:bookmarkEnd w:id="341"/>
      <w:bookmarkStart w:id="342" w:name="_Toc184308099"/>
      <w:bookmarkEnd w:id="342"/>
      <w:bookmarkStart w:id="343" w:name="_Toc184313258"/>
      <w:bookmarkEnd w:id="343"/>
      <w:bookmarkStart w:id="344" w:name="_Toc184314472"/>
      <w:bookmarkEnd w:id="344"/>
      <w:bookmarkStart w:id="345" w:name="_Toc184310306"/>
      <w:bookmarkEnd w:id="345"/>
      <w:bookmarkStart w:id="346" w:name="_Toc184314469"/>
      <w:bookmarkEnd w:id="346"/>
      <w:bookmarkStart w:id="347" w:name="_Toc184314438"/>
      <w:bookmarkEnd w:id="347"/>
      <w:bookmarkStart w:id="348" w:name="_Toc184312081"/>
      <w:bookmarkEnd w:id="348"/>
      <w:bookmarkStart w:id="349" w:name="_Toc184308094"/>
      <w:bookmarkEnd w:id="349"/>
      <w:bookmarkStart w:id="350" w:name="_Toc184312094"/>
      <w:bookmarkEnd w:id="350"/>
      <w:bookmarkStart w:id="351" w:name="_Toc184314424"/>
      <w:bookmarkEnd w:id="351"/>
      <w:bookmarkStart w:id="352" w:name="_Toc184314435"/>
      <w:bookmarkEnd w:id="352"/>
      <w:bookmarkStart w:id="353" w:name="_Toc184308044"/>
      <w:bookmarkEnd w:id="353"/>
      <w:bookmarkStart w:id="354" w:name="_Toc184314448"/>
      <w:bookmarkEnd w:id="354"/>
      <w:bookmarkStart w:id="355" w:name="_Toc184313262"/>
      <w:bookmarkEnd w:id="355"/>
      <w:bookmarkStart w:id="356" w:name="_Toc184314471"/>
      <w:bookmarkEnd w:id="356"/>
      <w:bookmarkStart w:id="357" w:name="_Toc184308096"/>
      <w:bookmarkEnd w:id="357"/>
      <w:bookmarkStart w:id="358" w:name="_Toc184308103"/>
      <w:bookmarkEnd w:id="358"/>
      <w:bookmarkStart w:id="359" w:name="_Toc184308057"/>
      <w:bookmarkEnd w:id="359"/>
      <w:bookmarkStart w:id="360" w:name="_Toc184312079"/>
      <w:bookmarkEnd w:id="360"/>
      <w:bookmarkStart w:id="361" w:name="_Toc184310335"/>
      <w:bookmarkEnd w:id="361"/>
      <w:bookmarkStart w:id="362" w:name="_Toc184310304"/>
      <w:bookmarkEnd w:id="362"/>
      <w:bookmarkStart w:id="363" w:name="_Toc184313246"/>
      <w:bookmarkEnd w:id="363"/>
      <w:bookmarkStart w:id="364" w:name="_Toc184312076"/>
      <w:bookmarkEnd w:id="364"/>
      <w:bookmarkStart w:id="365" w:name="_Toc184310320"/>
      <w:bookmarkEnd w:id="365"/>
      <w:bookmarkStart w:id="366" w:name="_Toc184310341"/>
      <w:bookmarkEnd w:id="366"/>
      <w:bookmarkStart w:id="367" w:name="_Toc184312103"/>
      <w:bookmarkEnd w:id="367"/>
      <w:bookmarkStart w:id="368" w:name="_Toc184313273"/>
      <w:bookmarkEnd w:id="368"/>
      <w:bookmarkStart w:id="369" w:name="_Toc184314475"/>
      <w:bookmarkEnd w:id="369"/>
      <w:bookmarkStart w:id="370" w:name="_Toc184314457"/>
      <w:bookmarkEnd w:id="370"/>
      <w:bookmarkStart w:id="371" w:name="_Toc184308040"/>
      <w:bookmarkEnd w:id="371"/>
      <w:bookmarkStart w:id="372" w:name="_Toc184312086"/>
      <w:bookmarkEnd w:id="372"/>
      <w:bookmarkStart w:id="373" w:name="_Toc184308053"/>
      <w:bookmarkEnd w:id="373"/>
      <w:bookmarkStart w:id="374" w:name="_Toc184312067"/>
      <w:bookmarkEnd w:id="374"/>
      <w:bookmarkStart w:id="375" w:name="_Toc184310342"/>
      <w:bookmarkEnd w:id="375"/>
      <w:bookmarkStart w:id="376" w:name="_Toc184314447"/>
      <w:bookmarkEnd w:id="376"/>
      <w:bookmarkStart w:id="377" w:name="_Toc184312109"/>
      <w:bookmarkEnd w:id="377"/>
      <w:bookmarkStart w:id="378" w:name="_Toc184314410"/>
      <w:bookmarkEnd w:id="378"/>
      <w:bookmarkStart w:id="379" w:name="_Toc184310324"/>
      <w:bookmarkEnd w:id="379"/>
      <w:bookmarkStart w:id="380" w:name="_Toc184312118"/>
      <w:bookmarkEnd w:id="380"/>
      <w:bookmarkStart w:id="381" w:name="_Toc184310283"/>
      <w:bookmarkEnd w:id="381"/>
      <w:bookmarkStart w:id="382" w:name="_Toc184313286"/>
      <w:bookmarkEnd w:id="382"/>
      <w:bookmarkStart w:id="383" w:name="_Toc184314461"/>
      <w:bookmarkEnd w:id="383"/>
      <w:bookmarkStart w:id="384" w:name="_Toc184314468"/>
      <w:bookmarkEnd w:id="384"/>
      <w:bookmarkStart w:id="385" w:name="_Toc184310286"/>
      <w:bookmarkEnd w:id="385"/>
      <w:bookmarkStart w:id="386" w:name="_Toc184314473"/>
      <w:bookmarkEnd w:id="386"/>
      <w:bookmarkStart w:id="387" w:name="_Toc184312096"/>
      <w:bookmarkEnd w:id="387"/>
      <w:bookmarkStart w:id="388" w:name="_Toc184314479"/>
      <w:bookmarkEnd w:id="388"/>
      <w:bookmarkStart w:id="389" w:name="_Toc184310316"/>
      <w:bookmarkEnd w:id="389"/>
      <w:bookmarkStart w:id="390" w:name="_Toc184308068"/>
      <w:bookmarkEnd w:id="390"/>
      <w:bookmarkStart w:id="391" w:name="_Toc184308058"/>
      <w:bookmarkEnd w:id="391"/>
      <w:bookmarkStart w:id="392" w:name="_Toc184308048"/>
      <w:bookmarkEnd w:id="392"/>
      <w:bookmarkStart w:id="393" w:name="_Toc184312130"/>
      <w:bookmarkEnd w:id="393"/>
      <w:bookmarkStart w:id="394" w:name="_Toc184313294"/>
      <w:bookmarkEnd w:id="394"/>
      <w:bookmarkStart w:id="395" w:name="_Toc184308046"/>
      <w:bookmarkEnd w:id="395"/>
      <w:bookmarkStart w:id="396" w:name="_Toc184312131"/>
      <w:bookmarkEnd w:id="396"/>
      <w:bookmarkStart w:id="397" w:name="_Toc184312133"/>
      <w:bookmarkEnd w:id="397"/>
      <w:r>
        <w:rPr>
          <w:rFonts w:hint="eastAsia" w:ascii="仿宋" w:hAnsi="仿宋" w:eastAsia="仿宋" w:cs="仿宋"/>
          <w:b/>
          <w:color w:val="auto"/>
          <w:sz w:val="36"/>
          <w:szCs w:val="20"/>
          <w:highlight w:val="none"/>
        </w:rPr>
        <w:t xml:space="preserve"> 评审办法</w:t>
      </w:r>
    </w:p>
    <w:p w14:paraId="38207A47">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评审办法前附表</w:t>
      </w:r>
    </w:p>
    <w:tbl>
      <w:tblPr>
        <w:tblStyle w:val="62"/>
        <w:tblW w:w="10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6662"/>
        <w:gridCol w:w="795"/>
        <w:gridCol w:w="995"/>
        <w:gridCol w:w="1332"/>
      </w:tblGrid>
      <w:tr w14:paraId="7452D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39" w:type="dxa"/>
            <w:vAlign w:val="center"/>
          </w:tcPr>
          <w:p w14:paraId="2F590BCA">
            <w:pPr>
              <w:snapToGrid w:val="0"/>
              <w:spacing w:before="240" w:beforeLines="100" w:line="360" w:lineRule="auto"/>
              <w:jc w:val="left"/>
              <w:outlineLvl w:val="1"/>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序号</w:t>
            </w:r>
          </w:p>
        </w:tc>
        <w:tc>
          <w:tcPr>
            <w:tcW w:w="6662" w:type="dxa"/>
            <w:vAlign w:val="center"/>
          </w:tcPr>
          <w:p w14:paraId="7EE0992B">
            <w:pPr>
              <w:snapToGrid w:val="0"/>
              <w:spacing w:before="240" w:beforeLines="100" w:line="360" w:lineRule="auto"/>
              <w:jc w:val="center"/>
              <w:outlineLvl w:val="1"/>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评审标准</w:t>
            </w:r>
          </w:p>
        </w:tc>
        <w:tc>
          <w:tcPr>
            <w:tcW w:w="795" w:type="dxa"/>
            <w:vAlign w:val="center"/>
          </w:tcPr>
          <w:p w14:paraId="1C2F24B9">
            <w:pPr>
              <w:snapToGrid w:val="0"/>
              <w:spacing w:before="240" w:beforeLines="100" w:line="360" w:lineRule="auto"/>
              <w:jc w:val="center"/>
              <w:outlineLvl w:val="1"/>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权重分值</w:t>
            </w:r>
          </w:p>
        </w:tc>
        <w:tc>
          <w:tcPr>
            <w:tcW w:w="995" w:type="dxa"/>
            <w:vAlign w:val="center"/>
          </w:tcPr>
          <w:p w14:paraId="4BB9BA9C">
            <w:pPr>
              <w:snapToGrid w:val="0"/>
              <w:spacing w:before="240" w:beforeLines="100" w:line="360" w:lineRule="auto"/>
              <w:jc w:val="center"/>
              <w:outlineLvl w:val="1"/>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主观分/客观分属性</w:t>
            </w:r>
          </w:p>
        </w:tc>
        <w:tc>
          <w:tcPr>
            <w:tcW w:w="1332" w:type="dxa"/>
          </w:tcPr>
          <w:p w14:paraId="3E2CC85D">
            <w:pPr>
              <w:snapToGrid w:val="0"/>
              <w:spacing w:before="240" w:beforeLines="100" w:line="360" w:lineRule="auto"/>
              <w:jc w:val="center"/>
              <w:outlineLvl w:val="1"/>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响应文件中评审标准相应的商务技术资料目录</w:t>
            </w:r>
          </w:p>
        </w:tc>
      </w:tr>
      <w:tr w14:paraId="1871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0423" w:type="dxa"/>
            <w:gridSpan w:val="5"/>
          </w:tcPr>
          <w:p w14:paraId="3C073B9F">
            <w:pPr>
              <w:snapToGrid w:val="0"/>
              <w:spacing w:before="240" w:beforeLines="100" w:line="360" w:lineRule="auto"/>
              <w:jc w:val="left"/>
              <w:outlineLvl w:val="1"/>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1.商务技术部分（70分）</w:t>
            </w:r>
          </w:p>
        </w:tc>
      </w:tr>
      <w:tr w14:paraId="4FDE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9" w:type="dxa"/>
            <w:vAlign w:val="center"/>
          </w:tcPr>
          <w:p w14:paraId="64CF46B0">
            <w:pPr>
              <w:snapToGrid w:val="0"/>
              <w:spacing w:before="240" w:beforeLines="100" w:line="360" w:lineRule="auto"/>
              <w:jc w:val="center"/>
              <w:outlineLvl w:val="1"/>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w:t>
            </w:r>
          </w:p>
        </w:tc>
        <w:tc>
          <w:tcPr>
            <w:tcW w:w="6662" w:type="dxa"/>
            <w:vAlign w:val="center"/>
          </w:tcPr>
          <w:p w14:paraId="670E1BF4">
            <w:pPr>
              <w:snapToGrid w:val="0"/>
              <w:spacing w:line="360" w:lineRule="auto"/>
              <w:jc w:val="left"/>
              <w:outlineLvl w:val="1"/>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供应商自磋商截止日期前近三年内（以竣工验收报告时间为准）具有房屋建筑修缮改造类项目业绩，每一个得0.5分，共1分。</w:t>
            </w:r>
          </w:p>
          <w:p w14:paraId="45EA12A0">
            <w:pPr>
              <w:snapToGrid w:val="0"/>
              <w:spacing w:line="360" w:lineRule="auto"/>
              <w:jc w:val="left"/>
              <w:outlineLvl w:val="1"/>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（证明材料：合同、中标通知书、竣工验收报告，上述提供复印件加盖公章）</w:t>
            </w:r>
          </w:p>
        </w:tc>
        <w:tc>
          <w:tcPr>
            <w:tcW w:w="795" w:type="dxa"/>
            <w:vAlign w:val="center"/>
          </w:tcPr>
          <w:p w14:paraId="35D4563C">
            <w:pPr>
              <w:snapToGrid w:val="0"/>
              <w:spacing w:before="240" w:beforeLines="100" w:line="360" w:lineRule="auto"/>
              <w:jc w:val="center"/>
              <w:outlineLvl w:val="1"/>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1分</w:t>
            </w:r>
          </w:p>
        </w:tc>
        <w:tc>
          <w:tcPr>
            <w:tcW w:w="995" w:type="dxa"/>
            <w:vAlign w:val="center"/>
          </w:tcPr>
          <w:p w14:paraId="505016FB">
            <w:pPr>
              <w:snapToGrid w:val="0"/>
              <w:spacing w:before="240" w:beforeLines="100" w:line="360" w:lineRule="auto"/>
              <w:jc w:val="center"/>
              <w:outlineLvl w:val="1"/>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客观分</w:t>
            </w:r>
          </w:p>
        </w:tc>
        <w:tc>
          <w:tcPr>
            <w:tcW w:w="1332" w:type="dxa"/>
            <w:vAlign w:val="center"/>
          </w:tcPr>
          <w:p w14:paraId="28FA0F64">
            <w:pPr>
              <w:snapToGrid w:val="0"/>
              <w:spacing w:before="240" w:beforeLines="100" w:line="360" w:lineRule="auto"/>
              <w:jc w:val="center"/>
              <w:outlineLvl w:val="1"/>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企业业绩</w:t>
            </w:r>
          </w:p>
        </w:tc>
      </w:tr>
      <w:tr w14:paraId="15CC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39" w:type="dxa"/>
            <w:vAlign w:val="center"/>
          </w:tcPr>
          <w:p w14:paraId="1F660AE9">
            <w:pPr>
              <w:snapToGrid w:val="0"/>
              <w:spacing w:before="240" w:beforeLines="100" w:line="360" w:lineRule="auto"/>
              <w:jc w:val="center"/>
              <w:outlineLvl w:val="1"/>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w:t>
            </w:r>
          </w:p>
        </w:tc>
        <w:tc>
          <w:tcPr>
            <w:tcW w:w="6662" w:type="dxa"/>
            <w:vAlign w:val="center"/>
          </w:tcPr>
          <w:p w14:paraId="759A8000">
            <w:pPr>
              <w:numPr>
                <w:ilvl w:val="0"/>
                <w:numId w:val="1"/>
              </w:numPr>
              <w:snapToGrid w:val="0"/>
              <w:spacing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项目负责人具有</w:t>
            </w:r>
            <w:r>
              <w:rPr>
                <w:rFonts w:hint="eastAsia" w:ascii="仿宋" w:hAnsi="仿宋" w:eastAsia="仿宋" w:cs="仿宋"/>
                <w:snapToGrid w:val="0"/>
                <w:color w:val="auto"/>
                <w:kern w:val="0"/>
                <w:sz w:val="24"/>
                <w:highlight w:val="none"/>
              </w:rPr>
              <w:t>房屋建筑修缮改造类</w:t>
            </w:r>
            <w:r>
              <w:rPr>
                <w:rFonts w:hint="eastAsia" w:ascii="仿宋" w:hAnsi="仿宋" w:eastAsia="仿宋" w:cs="仿宋"/>
                <w:color w:val="auto"/>
                <w:sz w:val="24"/>
                <w:highlight w:val="none"/>
              </w:rPr>
              <w:t>工程施工管理经验的得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分，不满足不得分。</w:t>
            </w:r>
          </w:p>
          <w:p w14:paraId="47877368">
            <w:pPr>
              <w:numPr>
                <w:ilvl w:val="0"/>
                <w:numId w:val="1"/>
              </w:numPr>
              <w:snapToGrid w:val="0"/>
              <w:spacing w:line="360" w:lineRule="auto"/>
              <w:rPr>
                <w:color w:val="auto"/>
                <w:highlight w:val="none"/>
              </w:rPr>
            </w:pPr>
            <w:r>
              <w:rPr>
                <w:rFonts w:hint="eastAsia" w:ascii="仿宋" w:hAnsi="仿宋" w:eastAsia="仿宋" w:cs="仿宋"/>
                <w:color w:val="auto"/>
                <w:sz w:val="24"/>
                <w:highlight w:val="none"/>
                <w:lang w:eastAsia="zh-CN"/>
              </w:rPr>
              <w:t>技术</w:t>
            </w:r>
            <w:r>
              <w:rPr>
                <w:rFonts w:hint="eastAsia" w:ascii="仿宋" w:hAnsi="仿宋" w:eastAsia="仿宋" w:cs="仿宋"/>
                <w:color w:val="auto"/>
                <w:sz w:val="24"/>
                <w:highlight w:val="none"/>
              </w:rPr>
              <w:t>负责人具有</w:t>
            </w:r>
            <w:r>
              <w:rPr>
                <w:rFonts w:hint="eastAsia" w:ascii="仿宋" w:hAnsi="仿宋" w:eastAsia="仿宋" w:cs="仿宋"/>
                <w:snapToGrid w:val="0"/>
                <w:color w:val="auto"/>
                <w:kern w:val="0"/>
                <w:sz w:val="24"/>
                <w:highlight w:val="none"/>
              </w:rPr>
              <w:t>房屋建筑修缮改造类</w:t>
            </w:r>
            <w:r>
              <w:rPr>
                <w:rFonts w:hint="eastAsia" w:ascii="仿宋" w:hAnsi="仿宋" w:eastAsia="仿宋" w:cs="仿宋"/>
                <w:color w:val="auto"/>
                <w:sz w:val="24"/>
                <w:highlight w:val="none"/>
              </w:rPr>
              <w:t>工程施工管理经验的得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分，不满足不得分。</w:t>
            </w:r>
          </w:p>
          <w:p w14:paraId="1A86FC90">
            <w:pPr>
              <w:snapToGrid w:val="0"/>
              <w:spacing w:line="360" w:lineRule="auto"/>
              <w:jc w:val="left"/>
              <w:outlineLvl w:val="1"/>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）项目负责人承诺到位率满足采购需求的得1分，不满足</w:t>
            </w:r>
            <w:r>
              <w:rPr>
                <w:rFonts w:hint="eastAsia" w:ascii="仿宋" w:hAnsi="仿宋" w:eastAsia="仿宋" w:cs="仿宋"/>
                <w:color w:val="auto"/>
                <w:sz w:val="24"/>
                <w:highlight w:val="none"/>
                <w:lang w:eastAsia="zh-CN"/>
              </w:rPr>
              <w:t>不</w:t>
            </w:r>
            <w:r>
              <w:rPr>
                <w:rFonts w:hint="eastAsia" w:ascii="仿宋" w:hAnsi="仿宋" w:eastAsia="仿宋" w:cs="仿宋"/>
                <w:color w:val="auto"/>
                <w:sz w:val="24"/>
                <w:highlight w:val="none"/>
              </w:rPr>
              <w:t>得分。</w:t>
            </w:r>
          </w:p>
          <w:p w14:paraId="417E48EB">
            <w:pPr>
              <w:pStyle w:val="44"/>
              <w:spacing w:line="360" w:lineRule="auto"/>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w:t>
            </w:r>
            <w:r>
              <w:rPr>
                <w:rFonts w:hint="eastAsia" w:ascii="仿宋" w:hAnsi="仿宋" w:eastAsia="仿宋" w:cs="仿宋"/>
                <w:snapToGrid w:val="0"/>
                <w:color w:val="auto"/>
                <w:kern w:val="0"/>
                <w:sz w:val="24"/>
                <w:highlight w:val="none"/>
                <w:lang w:val="en-US" w:eastAsia="zh-CN"/>
              </w:rPr>
              <w:t>4</w:t>
            </w:r>
            <w:r>
              <w:rPr>
                <w:rFonts w:hint="eastAsia" w:ascii="仿宋" w:hAnsi="仿宋" w:eastAsia="仿宋" w:cs="仿宋"/>
                <w:snapToGrid w:val="0"/>
                <w:color w:val="auto"/>
                <w:kern w:val="0"/>
                <w:sz w:val="24"/>
                <w:highlight w:val="none"/>
              </w:rPr>
              <w:t>）技术负责人及其他项目组人员（不含项目负责人）承诺到位率满足采购需求的得1分，不满足不得分。</w:t>
            </w:r>
          </w:p>
          <w:p w14:paraId="690D044C">
            <w:pPr>
              <w:pStyle w:val="44"/>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0"/>
                <w:sz w:val="24"/>
                <w:highlight w:val="none"/>
              </w:rPr>
              <w:t>（证明材料：1.工作经验证明材料为施工合同或业主证明材料；2.到位率证明材料为供应商提供到位率承诺书）</w:t>
            </w:r>
          </w:p>
        </w:tc>
        <w:tc>
          <w:tcPr>
            <w:tcW w:w="795" w:type="dxa"/>
            <w:vAlign w:val="center"/>
          </w:tcPr>
          <w:p w14:paraId="0F3B1FC5">
            <w:pPr>
              <w:snapToGrid w:val="0"/>
              <w:spacing w:before="240" w:beforeLines="100" w:line="360" w:lineRule="auto"/>
              <w:jc w:val="center"/>
              <w:outlineLvl w:val="1"/>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lang w:val="en-US" w:eastAsia="zh-CN"/>
              </w:rPr>
              <w:t>4</w:t>
            </w:r>
            <w:r>
              <w:rPr>
                <w:rFonts w:hint="eastAsia" w:ascii="仿宋" w:hAnsi="仿宋" w:eastAsia="仿宋" w:cs="仿宋"/>
                <w:snapToGrid w:val="0"/>
                <w:color w:val="auto"/>
                <w:kern w:val="0"/>
                <w:sz w:val="24"/>
                <w:highlight w:val="none"/>
              </w:rPr>
              <w:t>分</w:t>
            </w:r>
          </w:p>
        </w:tc>
        <w:tc>
          <w:tcPr>
            <w:tcW w:w="995" w:type="dxa"/>
            <w:vAlign w:val="center"/>
          </w:tcPr>
          <w:p w14:paraId="66BAF659">
            <w:pPr>
              <w:snapToGrid w:val="0"/>
              <w:spacing w:before="240" w:beforeLines="100" w:line="360" w:lineRule="auto"/>
              <w:jc w:val="center"/>
              <w:outlineLvl w:val="1"/>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客观分</w:t>
            </w:r>
          </w:p>
        </w:tc>
        <w:tc>
          <w:tcPr>
            <w:tcW w:w="1332" w:type="dxa"/>
            <w:vAlign w:val="center"/>
          </w:tcPr>
          <w:p w14:paraId="7085D91C">
            <w:pPr>
              <w:snapToGrid w:val="0"/>
              <w:spacing w:before="240" w:beforeLines="100" w:line="360" w:lineRule="auto"/>
              <w:jc w:val="center"/>
              <w:outlineLvl w:val="1"/>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项目主要施工管理人员执业证书、到位率情况等</w:t>
            </w:r>
          </w:p>
        </w:tc>
      </w:tr>
      <w:tr w14:paraId="7571A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39" w:type="dxa"/>
            <w:vAlign w:val="center"/>
          </w:tcPr>
          <w:p w14:paraId="18205880">
            <w:pPr>
              <w:snapToGrid w:val="0"/>
              <w:spacing w:before="240" w:beforeLines="100" w:line="360" w:lineRule="auto"/>
              <w:jc w:val="center"/>
              <w:outlineLvl w:val="1"/>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w:t>
            </w:r>
          </w:p>
        </w:tc>
        <w:tc>
          <w:tcPr>
            <w:tcW w:w="6662" w:type="dxa"/>
            <w:vAlign w:val="center"/>
          </w:tcPr>
          <w:p w14:paraId="34862D84">
            <w:pPr>
              <w:snapToGrid w:val="0"/>
              <w:spacing w:line="360" w:lineRule="auto"/>
              <w:jc w:val="left"/>
              <w:outlineLvl w:val="1"/>
              <w:rPr>
                <w:rFonts w:ascii="仿宋" w:hAnsi="仿宋" w:eastAsia="仿宋" w:cs="仿宋"/>
                <w:color w:val="auto"/>
                <w:sz w:val="24"/>
                <w:highlight w:val="none"/>
              </w:rPr>
            </w:pPr>
            <w:r>
              <w:rPr>
                <w:rFonts w:hint="eastAsia" w:ascii="仿宋" w:hAnsi="仿宋" w:eastAsia="仿宋" w:cs="仿宋"/>
                <w:color w:val="auto"/>
                <w:kern w:val="0"/>
                <w:sz w:val="24"/>
                <w:highlight w:val="none"/>
              </w:rPr>
              <w:t>针对本项目施工方案（方案中应包含对质量控制措施和自检措施、施工现场区域的围挡、机械设备布置及材料区、施工区规划布置、制定防扬尘、防噪措施等）</w:t>
            </w:r>
            <w:r>
              <w:rPr>
                <w:rFonts w:hint="eastAsia" w:ascii="仿宋" w:hAnsi="仿宋" w:eastAsia="仿宋" w:cs="仿宋"/>
                <w:color w:val="auto"/>
                <w:sz w:val="24"/>
                <w:highlight w:val="none"/>
              </w:rPr>
              <w:t>：</w:t>
            </w:r>
          </w:p>
          <w:p w14:paraId="7D344C81">
            <w:pPr>
              <w:numPr>
                <w:ilvl w:val="0"/>
                <w:numId w:val="2"/>
              </w:numPr>
              <w:snapToGrid w:val="0"/>
              <w:spacing w:line="360" w:lineRule="auto"/>
              <w:jc w:val="left"/>
              <w:outlineLvl w:val="1"/>
              <w:rPr>
                <w:rFonts w:ascii="仿宋" w:hAnsi="仿宋" w:eastAsia="仿宋" w:cs="仿宋"/>
                <w:color w:val="auto"/>
                <w:sz w:val="24"/>
                <w:highlight w:val="none"/>
              </w:rPr>
            </w:pPr>
            <w:r>
              <w:rPr>
                <w:rFonts w:hint="eastAsia" w:ascii="仿宋" w:hAnsi="仿宋" w:eastAsia="仿宋" w:cs="仿宋"/>
                <w:color w:val="auto"/>
                <w:sz w:val="24"/>
                <w:highlight w:val="none"/>
              </w:rPr>
              <w:t>拆除工程施工方案详细、合理，满足采购需求的得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分，方案不详细、合理，不符合采购需求的不得分。</w:t>
            </w:r>
          </w:p>
          <w:p w14:paraId="5BA000DD">
            <w:pPr>
              <w:numPr>
                <w:ilvl w:val="0"/>
                <w:numId w:val="2"/>
              </w:numPr>
              <w:snapToGrid w:val="0"/>
              <w:spacing w:line="360" w:lineRule="auto"/>
              <w:jc w:val="left"/>
              <w:outlineLvl w:val="1"/>
              <w:rPr>
                <w:rFonts w:ascii="仿宋" w:hAnsi="仿宋" w:eastAsia="仿宋" w:cs="仿宋"/>
                <w:color w:val="auto"/>
                <w:sz w:val="24"/>
                <w:highlight w:val="none"/>
              </w:rPr>
            </w:pPr>
            <w:r>
              <w:rPr>
                <w:rFonts w:hint="eastAsia" w:ascii="仿宋" w:hAnsi="仿宋" w:eastAsia="仿宋" w:cs="仿宋"/>
                <w:b w:val="0"/>
                <w:bCs/>
                <w:color w:val="auto"/>
                <w:sz w:val="24"/>
                <w:highlight w:val="none"/>
                <w:lang w:val="en-US" w:eastAsia="zh-CN"/>
              </w:rPr>
              <w:t>消控室改造</w:t>
            </w:r>
            <w:r>
              <w:rPr>
                <w:rFonts w:hint="eastAsia" w:ascii="仿宋" w:hAnsi="仿宋" w:eastAsia="仿宋" w:cs="仿宋"/>
                <w:color w:val="auto"/>
                <w:sz w:val="24"/>
                <w:highlight w:val="none"/>
              </w:rPr>
              <w:t>施工方案详细、合理，满足采购需求的得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分，方案不详细、合理，不符合采购需求的不得分。</w:t>
            </w:r>
          </w:p>
          <w:p w14:paraId="319206C4">
            <w:pPr>
              <w:numPr>
                <w:ilvl w:val="0"/>
                <w:numId w:val="2"/>
              </w:numPr>
              <w:snapToGrid w:val="0"/>
              <w:spacing w:line="360" w:lineRule="auto"/>
              <w:jc w:val="left"/>
              <w:outlineLvl w:val="1"/>
              <w:rPr>
                <w:rFonts w:hint="eastAsia" w:ascii="仿宋" w:hAnsi="仿宋" w:eastAsia="仿宋" w:cs="仿宋"/>
                <w:color w:val="auto"/>
                <w:sz w:val="24"/>
                <w:highlight w:val="none"/>
              </w:rPr>
            </w:pPr>
            <w:r>
              <w:rPr>
                <w:rFonts w:hint="eastAsia" w:ascii="仿宋" w:hAnsi="仿宋" w:eastAsia="仿宋" w:cs="仿宋"/>
                <w:b w:val="0"/>
                <w:bCs/>
                <w:color w:val="auto"/>
                <w:sz w:val="24"/>
                <w:highlight w:val="none"/>
                <w:lang w:eastAsia="zh-CN"/>
              </w:rPr>
              <w:t>消防水池</w:t>
            </w:r>
            <w:r>
              <w:rPr>
                <w:rFonts w:hint="eastAsia" w:ascii="仿宋" w:hAnsi="仿宋" w:eastAsia="仿宋" w:cs="仿宋"/>
                <w:color w:val="auto"/>
                <w:sz w:val="24"/>
                <w:highlight w:val="none"/>
              </w:rPr>
              <w:t>施工方案详细、合理，满足采购需求的得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分，方案不详细、合理，不符合采购需求的不得分。</w:t>
            </w:r>
          </w:p>
          <w:p w14:paraId="6473A4AC">
            <w:pPr>
              <w:numPr>
                <w:ilvl w:val="0"/>
                <w:numId w:val="2"/>
              </w:numPr>
              <w:snapToGrid w:val="0"/>
              <w:spacing w:line="360" w:lineRule="auto"/>
              <w:jc w:val="left"/>
              <w:outlineLvl w:val="1"/>
              <w:rPr>
                <w:rFonts w:ascii="仿宋" w:hAnsi="仿宋" w:eastAsia="仿宋" w:cs="仿宋"/>
                <w:color w:val="auto"/>
                <w:sz w:val="24"/>
                <w:highlight w:val="none"/>
              </w:rPr>
            </w:pPr>
            <w:r>
              <w:rPr>
                <w:rFonts w:hint="eastAsia" w:ascii="仿宋" w:hAnsi="仿宋" w:eastAsia="仿宋" w:cs="仿宋"/>
                <w:b w:val="0"/>
                <w:bCs/>
                <w:color w:val="auto"/>
                <w:sz w:val="24"/>
                <w:highlight w:val="none"/>
                <w:lang w:eastAsia="zh-CN"/>
              </w:rPr>
              <w:t>水泵房</w:t>
            </w:r>
            <w:r>
              <w:rPr>
                <w:rFonts w:hint="eastAsia" w:ascii="仿宋" w:hAnsi="仿宋" w:eastAsia="仿宋" w:cs="仿宋"/>
                <w:b w:val="0"/>
                <w:bCs/>
                <w:color w:val="auto"/>
                <w:sz w:val="24"/>
                <w:highlight w:val="none"/>
              </w:rPr>
              <w:t>室外消火栓</w:t>
            </w:r>
            <w:r>
              <w:rPr>
                <w:rFonts w:hint="eastAsia" w:ascii="仿宋" w:hAnsi="仿宋" w:eastAsia="仿宋" w:cs="仿宋"/>
                <w:b w:val="0"/>
                <w:bCs/>
                <w:color w:val="auto"/>
                <w:sz w:val="24"/>
                <w:highlight w:val="none"/>
                <w:lang w:val="en-US" w:eastAsia="zh-CN"/>
              </w:rPr>
              <w:t>改造</w:t>
            </w:r>
            <w:r>
              <w:rPr>
                <w:rFonts w:hint="eastAsia" w:ascii="仿宋" w:hAnsi="仿宋" w:eastAsia="仿宋" w:cs="仿宋"/>
                <w:color w:val="auto"/>
                <w:sz w:val="24"/>
                <w:highlight w:val="none"/>
              </w:rPr>
              <w:t>施工方案详细、合理，满足采购需求的得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分，方案不详细、合理，不符合采购需求的不得分。</w:t>
            </w:r>
          </w:p>
          <w:p w14:paraId="048F1C7B">
            <w:pPr>
              <w:numPr>
                <w:ilvl w:val="0"/>
                <w:numId w:val="2"/>
              </w:numPr>
              <w:snapToGrid w:val="0"/>
              <w:spacing w:line="360" w:lineRule="auto"/>
              <w:jc w:val="left"/>
              <w:outlineLvl w:val="1"/>
              <w:rPr>
                <w:rFonts w:ascii="仿宋" w:hAnsi="仿宋" w:eastAsia="仿宋" w:cs="仿宋"/>
                <w:color w:val="auto"/>
                <w:sz w:val="24"/>
                <w:highlight w:val="none"/>
              </w:rPr>
            </w:pPr>
            <w:r>
              <w:rPr>
                <w:rFonts w:hint="eastAsia" w:ascii="仿宋" w:hAnsi="仿宋" w:eastAsia="仿宋" w:cs="仿宋"/>
                <w:b w:val="0"/>
                <w:bCs/>
                <w:color w:val="auto"/>
                <w:sz w:val="24"/>
                <w:highlight w:val="none"/>
              </w:rPr>
              <w:t>火灾报警控制器</w:t>
            </w:r>
            <w:r>
              <w:rPr>
                <w:rFonts w:hint="eastAsia" w:ascii="仿宋" w:hAnsi="仿宋" w:eastAsia="仿宋" w:cs="仿宋"/>
                <w:color w:val="auto"/>
                <w:sz w:val="24"/>
                <w:highlight w:val="none"/>
              </w:rPr>
              <w:t>施工方案详细、合理，满足采购需求的得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分，方案不详细、合理，不符合采购需求的不得分。</w:t>
            </w:r>
          </w:p>
          <w:p w14:paraId="54000371">
            <w:pPr>
              <w:numPr>
                <w:ilvl w:val="0"/>
                <w:numId w:val="2"/>
              </w:numPr>
              <w:snapToGrid w:val="0"/>
              <w:spacing w:line="360" w:lineRule="auto"/>
              <w:jc w:val="left"/>
              <w:outlineLvl w:val="1"/>
              <w:rPr>
                <w:rFonts w:ascii="仿宋" w:hAnsi="仿宋" w:eastAsia="仿宋" w:cs="仿宋"/>
                <w:color w:val="auto"/>
                <w:sz w:val="24"/>
                <w:highlight w:val="none"/>
              </w:rPr>
            </w:pPr>
            <w:r>
              <w:rPr>
                <w:rFonts w:hint="eastAsia" w:ascii="仿宋" w:hAnsi="仿宋" w:eastAsia="仿宋" w:cs="仿宋"/>
                <w:b w:val="0"/>
                <w:bCs/>
                <w:color w:val="auto"/>
                <w:sz w:val="24"/>
                <w:highlight w:val="none"/>
              </w:rPr>
              <w:t>门窗封堵改动</w:t>
            </w:r>
            <w:r>
              <w:rPr>
                <w:rFonts w:hint="eastAsia" w:ascii="仿宋" w:hAnsi="仿宋" w:eastAsia="仿宋" w:cs="仿宋"/>
                <w:color w:val="auto"/>
                <w:sz w:val="24"/>
                <w:highlight w:val="none"/>
              </w:rPr>
              <w:t>施工方案详细、合理，满足采购需求的得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分，方案不详细、合理，不符合采购需求的不得分。</w:t>
            </w:r>
          </w:p>
          <w:p w14:paraId="6968E674">
            <w:pPr>
              <w:numPr>
                <w:ilvl w:val="0"/>
                <w:numId w:val="2"/>
              </w:numPr>
              <w:snapToGrid w:val="0"/>
              <w:spacing w:line="360" w:lineRule="auto"/>
              <w:jc w:val="left"/>
              <w:outlineLvl w:val="1"/>
              <w:rPr>
                <w:rFonts w:ascii="仿宋" w:hAnsi="仿宋" w:eastAsia="仿宋" w:cs="仿宋"/>
                <w:color w:val="auto"/>
                <w:sz w:val="24"/>
                <w:highlight w:val="none"/>
              </w:rPr>
            </w:pPr>
            <w:r>
              <w:rPr>
                <w:rFonts w:hint="eastAsia" w:ascii="仿宋" w:hAnsi="仿宋" w:eastAsia="仿宋" w:cs="仿宋"/>
                <w:b w:val="0"/>
                <w:bCs/>
                <w:color w:val="auto"/>
                <w:sz w:val="24"/>
                <w:highlight w:val="none"/>
              </w:rPr>
              <w:t>灭火器</w:t>
            </w:r>
            <w:r>
              <w:rPr>
                <w:rFonts w:hint="eastAsia" w:ascii="仿宋" w:hAnsi="仿宋" w:eastAsia="仿宋" w:cs="仿宋"/>
                <w:b w:val="0"/>
                <w:bCs/>
                <w:color w:val="auto"/>
                <w:sz w:val="24"/>
                <w:highlight w:val="none"/>
                <w:lang w:val="en-US" w:eastAsia="zh-CN"/>
              </w:rPr>
              <w:t>改造施工方案</w:t>
            </w:r>
            <w:r>
              <w:rPr>
                <w:rFonts w:hint="eastAsia" w:ascii="仿宋" w:hAnsi="仿宋" w:eastAsia="仿宋" w:cs="仿宋"/>
                <w:color w:val="auto"/>
                <w:sz w:val="24"/>
                <w:highlight w:val="none"/>
              </w:rPr>
              <w:t>施工方案详细、合理，满足采购需求的得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分，方案不详细、合理，不符合采购需求的不得分。</w:t>
            </w:r>
          </w:p>
          <w:p w14:paraId="340775C9">
            <w:pPr>
              <w:numPr>
                <w:ilvl w:val="0"/>
                <w:numId w:val="2"/>
              </w:numPr>
              <w:snapToGrid w:val="0"/>
              <w:spacing w:line="360" w:lineRule="auto"/>
              <w:jc w:val="left"/>
              <w:outlineLvl w:val="1"/>
              <w:rPr>
                <w:rFonts w:ascii="仿宋" w:hAnsi="仿宋" w:eastAsia="仿宋" w:cs="仿宋"/>
                <w:color w:val="auto"/>
                <w:sz w:val="24"/>
                <w:highlight w:val="none"/>
              </w:rPr>
            </w:pPr>
            <w:r>
              <w:rPr>
                <w:rFonts w:hint="eastAsia" w:ascii="仿宋" w:hAnsi="仿宋" w:eastAsia="仿宋" w:cs="仿宋"/>
                <w:color w:val="auto"/>
                <w:sz w:val="24"/>
                <w:highlight w:val="none"/>
              </w:rPr>
              <w:t>供应商对施工现场区域围挡布置，材料区、施工区的布置方案，方案详细、合理，满足采购需求的得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分，方案不详细、合理，不符合采购需求的不得分。</w:t>
            </w:r>
          </w:p>
          <w:p w14:paraId="7B70A4C3">
            <w:pPr>
              <w:numPr>
                <w:ilvl w:val="0"/>
                <w:numId w:val="2"/>
              </w:numPr>
              <w:snapToGrid w:val="0"/>
              <w:spacing w:line="360" w:lineRule="auto"/>
              <w:jc w:val="left"/>
              <w:outlineLvl w:val="1"/>
              <w:rPr>
                <w:rFonts w:ascii="仿宋" w:hAnsi="仿宋" w:eastAsia="仿宋" w:cs="仿宋"/>
                <w:color w:val="auto"/>
                <w:sz w:val="24"/>
                <w:highlight w:val="none"/>
              </w:rPr>
            </w:pPr>
            <w:r>
              <w:rPr>
                <w:rFonts w:hint="eastAsia" w:ascii="仿宋" w:hAnsi="仿宋" w:eastAsia="仿宋" w:cs="仿宋"/>
                <w:color w:val="auto"/>
                <w:sz w:val="24"/>
                <w:highlight w:val="none"/>
              </w:rPr>
              <w:t>供应商对施工现场区域防扬尘、防噪措施方案详细、合理，满足采购需求的得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分，方案不详细、合理，不符合采购需求的不得分。</w:t>
            </w:r>
          </w:p>
        </w:tc>
        <w:tc>
          <w:tcPr>
            <w:tcW w:w="795" w:type="dxa"/>
            <w:vAlign w:val="center"/>
          </w:tcPr>
          <w:p w14:paraId="50F3DCD9">
            <w:pPr>
              <w:snapToGrid w:val="0"/>
              <w:spacing w:before="240" w:beforeLines="100" w:line="360" w:lineRule="auto"/>
              <w:jc w:val="center"/>
              <w:outlineLvl w:val="1"/>
              <w:rPr>
                <w:rFonts w:ascii="仿宋" w:hAnsi="仿宋" w:eastAsia="仿宋" w:cs="仿宋"/>
                <w:snapToGrid w:val="0"/>
                <w:color w:val="auto"/>
                <w:kern w:val="0"/>
                <w:sz w:val="24"/>
                <w:highlight w:val="none"/>
              </w:rPr>
            </w:pPr>
          </w:p>
          <w:p w14:paraId="5924F2D2">
            <w:pPr>
              <w:snapToGrid w:val="0"/>
              <w:spacing w:before="240" w:beforeLines="100" w:line="360" w:lineRule="auto"/>
              <w:jc w:val="center"/>
              <w:outlineLvl w:val="1"/>
              <w:rPr>
                <w:rFonts w:ascii="仿宋" w:hAnsi="仿宋" w:eastAsia="仿宋" w:cs="仿宋"/>
                <w:snapToGrid w:val="0"/>
                <w:color w:val="auto"/>
                <w:kern w:val="0"/>
                <w:sz w:val="24"/>
                <w:highlight w:val="none"/>
              </w:rPr>
            </w:pPr>
          </w:p>
          <w:p w14:paraId="3FD8C98A">
            <w:pPr>
              <w:snapToGrid w:val="0"/>
              <w:spacing w:before="240" w:beforeLines="100" w:line="360" w:lineRule="auto"/>
              <w:jc w:val="center"/>
              <w:outlineLvl w:val="1"/>
              <w:rPr>
                <w:rFonts w:ascii="仿宋" w:hAnsi="仿宋" w:eastAsia="仿宋" w:cs="仿宋"/>
                <w:snapToGrid w:val="0"/>
                <w:color w:val="auto"/>
                <w:kern w:val="0"/>
                <w:sz w:val="24"/>
                <w:highlight w:val="none"/>
              </w:rPr>
            </w:pPr>
          </w:p>
          <w:p w14:paraId="0164D090">
            <w:pPr>
              <w:snapToGrid w:val="0"/>
              <w:spacing w:before="240" w:beforeLines="100" w:line="360" w:lineRule="auto"/>
              <w:jc w:val="center"/>
              <w:outlineLvl w:val="1"/>
              <w:rPr>
                <w:rFonts w:ascii="仿宋" w:hAnsi="仿宋" w:eastAsia="仿宋" w:cs="仿宋"/>
                <w:snapToGrid w:val="0"/>
                <w:color w:val="auto"/>
                <w:kern w:val="0"/>
                <w:sz w:val="24"/>
                <w:highlight w:val="none"/>
              </w:rPr>
            </w:pPr>
          </w:p>
          <w:p w14:paraId="0A38C2D1">
            <w:pPr>
              <w:snapToGrid w:val="0"/>
              <w:spacing w:before="240" w:beforeLines="100" w:line="360" w:lineRule="auto"/>
              <w:jc w:val="center"/>
              <w:outlineLvl w:val="1"/>
              <w:rPr>
                <w:rFonts w:ascii="仿宋" w:hAnsi="仿宋" w:eastAsia="仿宋" w:cs="仿宋"/>
                <w:snapToGrid w:val="0"/>
                <w:color w:val="auto"/>
                <w:kern w:val="0"/>
                <w:sz w:val="24"/>
                <w:highlight w:val="none"/>
              </w:rPr>
            </w:pPr>
          </w:p>
          <w:p w14:paraId="00FFC3A1">
            <w:pPr>
              <w:snapToGrid w:val="0"/>
              <w:spacing w:before="240" w:beforeLines="100" w:line="360" w:lineRule="auto"/>
              <w:jc w:val="center"/>
              <w:outlineLvl w:val="1"/>
              <w:rPr>
                <w:rFonts w:ascii="仿宋" w:hAnsi="仿宋" w:eastAsia="仿宋" w:cs="仿宋"/>
                <w:snapToGrid w:val="0"/>
                <w:color w:val="auto"/>
                <w:kern w:val="0"/>
                <w:sz w:val="24"/>
                <w:highlight w:val="none"/>
              </w:rPr>
            </w:pPr>
          </w:p>
          <w:p w14:paraId="3703E2EE">
            <w:pPr>
              <w:snapToGrid w:val="0"/>
              <w:spacing w:before="240" w:beforeLines="100" w:line="360" w:lineRule="auto"/>
              <w:jc w:val="center"/>
              <w:outlineLvl w:val="1"/>
              <w:rPr>
                <w:rFonts w:ascii="仿宋" w:hAnsi="仿宋" w:eastAsia="仿宋" w:cs="仿宋"/>
                <w:snapToGrid w:val="0"/>
                <w:color w:val="auto"/>
                <w:kern w:val="0"/>
                <w:sz w:val="24"/>
                <w:highlight w:val="none"/>
              </w:rPr>
            </w:pPr>
          </w:p>
          <w:p w14:paraId="62807651">
            <w:pPr>
              <w:snapToGrid w:val="0"/>
              <w:spacing w:before="240" w:beforeLines="100" w:line="360" w:lineRule="auto"/>
              <w:jc w:val="center"/>
              <w:outlineLvl w:val="1"/>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lang w:val="en-US" w:eastAsia="zh-CN"/>
              </w:rPr>
              <w:t>21</w:t>
            </w:r>
            <w:r>
              <w:rPr>
                <w:rFonts w:hint="eastAsia" w:ascii="仿宋" w:hAnsi="仿宋" w:eastAsia="仿宋" w:cs="仿宋"/>
                <w:snapToGrid w:val="0"/>
                <w:color w:val="auto"/>
                <w:kern w:val="0"/>
                <w:sz w:val="24"/>
                <w:highlight w:val="none"/>
              </w:rPr>
              <w:t>分</w:t>
            </w:r>
          </w:p>
        </w:tc>
        <w:tc>
          <w:tcPr>
            <w:tcW w:w="995" w:type="dxa"/>
            <w:vAlign w:val="center"/>
          </w:tcPr>
          <w:p w14:paraId="496ACAC7">
            <w:pPr>
              <w:snapToGrid w:val="0"/>
              <w:spacing w:before="240" w:beforeLines="100" w:line="360" w:lineRule="auto"/>
              <w:jc w:val="center"/>
              <w:outlineLvl w:val="1"/>
              <w:rPr>
                <w:rFonts w:ascii="仿宋" w:hAnsi="仿宋" w:eastAsia="仿宋" w:cs="仿宋"/>
                <w:snapToGrid w:val="0"/>
                <w:color w:val="auto"/>
                <w:kern w:val="0"/>
                <w:sz w:val="24"/>
                <w:highlight w:val="none"/>
              </w:rPr>
            </w:pPr>
          </w:p>
          <w:p w14:paraId="1AA09D7B">
            <w:pPr>
              <w:snapToGrid w:val="0"/>
              <w:spacing w:before="240" w:beforeLines="100" w:line="360" w:lineRule="auto"/>
              <w:jc w:val="center"/>
              <w:outlineLvl w:val="1"/>
              <w:rPr>
                <w:rFonts w:ascii="仿宋" w:hAnsi="仿宋" w:eastAsia="仿宋" w:cs="仿宋"/>
                <w:snapToGrid w:val="0"/>
                <w:color w:val="auto"/>
                <w:kern w:val="0"/>
                <w:sz w:val="24"/>
                <w:highlight w:val="none"/>
              </w:rPr>
            </w:pPr>
          </w:p>
          <w:p w14:paraId="63E9871D">
            <w:pPr>
              <w:snapToGrid w:val="0"/>
              <w:spacing w:before="240" w:beforeLines="100" w:line="360" w:lineRule="auto"/>
              <w:jc w:val="center"/>
              <w:outlineLvl w:val="1"/>
              <w:rPr>
                <w:rFonts w:ascii="仿宋" w:hAnsi="仿宋" w:eastAsia="仿宋" w:cs="仿宋"/>
                <w:snapToGrid w:val="0"/>
                <w:color w:val="auto"/>
                <w:kern w:val="0"/>
                <w:sz w:val="24"/>
                <w:highlight w:val="none"/>
              </w:rPr>
            </w:pPr>
          </w:p>
          <w:p w14:paraId="125E89FF">
            <w:pPr>
              <w:snapToGrid w:val="0"/>
              <w:spacing w:before="240" w:beforeLines="100" w:line="360" w:lineRule="auto"/>
              <w:jc w:val="center"/>
              <w:outlineLvl w:val="1"/>
              <w:rPr>
                <w:rFonts w:ascii="仿宋" w:hAnsi="仿宋" w:eastAsia="仿宋" w:cs="仿宋"/>
                <w:snapToGrid w:val="0"/>
                <w:color w:val="auto"/>
                <w:kern w:val="0"/>
                <w:sz w:val="24"/>
                <w:highlight w:val="none"/>
              </w:rPr>
            </w:pPr>
          </w:p>
          <w:p w14:paraId="1E8770F8">
            <w:pPr>
              <w:snapToGrid w:val="0"/>
              <w:spacing w:before="240" w:beforeLines="100" w:line="360" w:lineRule="auto"/>
              <w:jc w:val="center"/>
              <w:outlineLvl w:val="1"/>
              <w:rPr>
                <w:rFonts w:ascii="仿宋" w:hAnsi="仿宋" w:eastAsia="仿宋" w:cs="仿宋"/>
                <w:snapToGrid w:val="0"/>
                <w:color w:val="auto"/>
                <w:kern w:val="0"/>
                <w:sz w:val="24"/>
                <w:highlight w:val="none"/>
              </w:rPr>
            </w:pPr>
          </w:p>
          <w:p w14:paraId="39AB7256">
            <w:pPr>
              <w:snapToGrid w:val="0"/>
              <w:spacing w:before="240" w:beforeLines="100" w:line="360" w:lineRule="auto"/>
              <w:jc w:val="center"/>
              <w:outlineLvl w:val="1"/>
              <w:rPr>
                <w:rFonts w:ascii="仿宋" w:hAnsi="仿宋" w:eastAsia="仿宋" w:cs="仿宋"/>
                <w:snapToGrid w:val="0"/>
                <w:color w:val="auto"/>
                <w:kern w:val="0"/>
                <w:sz w:val="24"/>
                <w:highlight w:val="none"/>
              </w:rPr>
            </w:pPr>
          </w:p>
          <w:p w14:paraId="760456C7">
            <w:pPr>
              <w:snapToGrid w:val="0"/>
              <w:spacing w:before="240" w:beforeLines="100" w:line="360" w:lineRule="auto"/>
              <w:jc w:val="center"/>
              <w:outlineLvl w:val="1"/>
              <w:rPr>
                <w:rFonts w:ascii="仿宋" w:hAnsi="仿宋" w:eastAsia="仿宋" w:cs="仿宋"/>
                <w:snapToGrid w:val="0"/>
                <w:color w:val="auto"/>
                <w:kern w:val="0"/>
                <w:sz w:val="24"/>
                <w:highlight w:val="none"/>
              </w:rPr>
            </w:pPr>
          </w:p>
          <w:p w14:paraId="76CBB714">
            <w:pPr>
              <w:snapToGrid w:val="0"/>
              <w:spacing w:before="240" w:beforeLines="100" w:line="360" w:lineRule="auto"/>
              <w:outlineLvl w:val="1"/>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主观分</w:t>
            </w:r>
          </w:p>
        </w:tc>
        <w:tc>
          <w:tcPr>
            <w:tcW w:w="1332" w:type="dxa"/>
            <w:vAlign w:val="center"/>
          </w:tcPr>
          <w:p w14:paraId="4510EEC9">
            <w:pPr>
              <w:snapToGrid w:val="0"/>
              <w:spacing w:before="240" w:beforeLines="100" w:line="360" w:lineRule="auto"/>
              <w:jc w:val="center"/>
              <w:outlineLvl w:val="1"/>
              <w:rPr>
                <w:rFonts w:ascii="仿宋" w:hAnsi="仿宋" w:eastAsia="仿宋" w:cs="仿宋"/>
                <w:snapToGrid w:val="0"/>
                <w:color w:val="auto"/>
                <w:kern w:val="0"/>
                <w:sz w:val="24"/>
                <w:highlight w:val="none"/>
              </w:rPr>
            </w:pPr>
          </w:p>
          <w:p w14:paraId="31FCA48D">
            <w:pPr>
              <w:snapToGrid w:val="0"/>
              <w:spacing w:before="240" w:beforeLines="100" w:line="360" w:lineRule="auto"/>
              <w:jc w:val="center"/>
              <w:outlineLvl w:val="1"/>
              <w:rPr>
                <w:rFonts w:ascii="仿宋" w:hAnsi="仿宋" w:eastAsia="仿宋" w:cs="仿宋"/>
                <w:snapToGrid w:val="0"/>
                <w:color w:val="auto"/>
                <w:kern w:val="0"/>
                <w:sz w:val="24"/>
                <w:highlight w:val="none"/>
              </w:rPr>
            </w:pPr>
          </w:p>
          <w:p w14:paraId="2526100A">
            <w:pPr>
              <w:snapToGrid w:val="0"/>
              <w:spacing w:before="240" w:beforeLines="100" w:line="360" w:lineRule="auto"/>
              <w:jc w:val="center"/>
              <w:outlineLvl w:val="1"/>
              <w:rPr>
                <w:rFonts w:ascii="仿宋" w:hAnsi="仿宋" w:eastAsia="仿宋" w:cs="仿宋"/>
                <w:snapToGrid w:val="0"/>
                <w:color w:val="auto"/>
                <w:kern w:val="0"/>
                <w:sz w:val="24"/>
                <w:highlight w:val="none"/>
              </w:rPr>
            </w:pPr>
          </w:p>
          <w:p w14:paraId="6EF7CAF7">
            <w:pPr>
              <w:snapToGrid w:val="0"/>
              <w:spacing w:before="240" w:beforeLines="100" w:line="360" w:lineRule="auto"/>
              <w:jc w:val="center"/>
              <w:outlineLvl w:val="1"/>
              <w:rPr>
                <w:rFonts w:ascii="仿宋" w:hAnsi="仿宋" w:eastAsia="仿宋" w:cs="仿宋"/>
                <w:snapToGrid w:val="0"/>
                <w:color w:val="auto"/>
                <w:kern w:val="0"/>
                <w:sz w:val="24"/>
                <w:highlight w:val="none"/>
              </w:rPr>
            </w:pPr>
          </w:p>
          <w:p w14:paraId="2D4EDA3B">
            <w:pPr>
              <w:snapToGrid w:val="0"/>
              <w:spacing w:before="240" w:beforeLines="100" w:line="360" w:lineRule="auto"/>
              <w:jc w:val="center"/>
              <w:outlineLvl w:val="1"/>
              <w:rPr>
                <w:rFonts w:ascii="仿宋" w:hAnsi="仿宋" w:eastAsia="仿宋" w:cs="仿宋"/>
                <w:snapToGrid w:val="0"/>
                <w:color w:val="auto"/>
                <w:kern w:val="0"/>
                <w:sz w:val="24"/>
                <w:highlight w:val="none"/>
              </w:rPr>
            </w:pPr>
          </w:p>
          <w:p w14:paraId="22FBBEF3">
            <w:pPr>
              <w:snapToGrid w:val="0"/>
              <w:spacing w:before="240" w:beforeLines="100" w:line="360" w:lineRule="auto"/>
              <w:jc w:val="center"/>
              <w:outlineLvl w:val="1"/>
              <w:rPr>
                <w:rFonts w:ascii="仿宋" w:hAnsi="仿宋" w:eastAsia="仿宋" w:cs="仿宋"/>
                <w:snapToGrid w:val="0"/>
                <w:color w:val="auto"/>
                <w:kern w:val="0"/>
                <w:sz w:val="24"/>
                <w:highlight w:val="none"/>
              </w:rPr>
            </w:pPr>
          </w:p>
          <w:p w14:paraId="7CAA6212">
            <w:pPr>
              <w:snapToGrid w:val="0"/>
              <w:spacing w:before="240" w:beforeLines="100" w:line="360" w:lineRule="auto"/>
              <w:jc w:val="center"/>
              <w:outlineLvl w:val="1"/>
              <w:rPr>
                <w:rFonts w:ascii="仿宋" w:hAnsi="仿宋" w:eastAsia="仿宋" w:cs="仿宋"/>
                <w:snapToGrid w:val="0"/>
                <w:color w:val="auto"/>
                <w:kern w:val="0"/>
                <w:sz w:val="24"/>
                <w:highlight w:val="none"/>
              </w:rPr>
            </w:pPr>
          </w:p>
          <w:p w14:paraId="6DBAEEE5">
            <w:pPr>
              <w:snapToGrid w:val="0"/>
              <w:spacing w:before="240" w:beforeLines="100" w:line="360" w:lineRule="auto"/>
              <w:jc w:val="center"/>
              <w:outlineLvl w:val="1"/>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项目施工方案</w:t>
            </w:r>
          </w:p>
        </w:tc>
      </w:tr>
      <w:tr w14:paraId="4C3FC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39" w:type="dxa"/>
            <w:vAlign w:val="center"/>
          </w:tcPr>
          <w:p w14:paraId="27BCCD67">
            <w:pPr>
              <w:snapToGrid w:val="0"/>
              <w:spacing w:before="240" w:beforeLines="100" w:line="360" w:lineRule="auto"/>
              <w:jc w:val="center"/>
              <w:outlineLvl w:val="1"/>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4</w:t>
            </w:r>
          </w:p>
        </w:tc>
        <w:tc>
          <w:tcPr>
            <w:tcW w:w="6662" w:type="dxa"/>
            <w:vAlign w:val="center"/>
          </w:tcPr>
          <w:p w14:paraId="3E7E3BE2">
            <w:pPr>
              <w:pStyle w:val="44"/>
              <w:keepNext w:val="0"/>
              <w:keepLines w:val="0"/>
              <w:pageBreakBefore w:val="0"/>
              <w:widowControl w:val="0"/>
              <w:kinsoku/>
              <w:wordWrap/>
              <w:overflowPunct/>
              <w:topLinePunct w:val="0"/>
              <w:autoSpaceDE/>
              <w:autoSpaceDN/>
              <w:bidi w:val="0"/>
              <w:spacing w:line="440" w:lineRule="exact"/>
              <w:textAlignment w:val="auto"/>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（1）供应商承诺工程交接完成后，2天内清除掉现场内所有不再需要的临时工程、设施、供应商的设备和多余材料、生活垃圾和废物，达到采购人满意的状态，满足采购需求的得4分，不满足的不得分。</w:t>
            </w:r>
          </w:p>
          <w:p w14:paraId="3C35DAA7">
            <w:pPr>
              <w:pStyle w:val="44"/>
              <w:keepNext w:val="0"/>
              <w:keepLines w:val="0"/>
              <w:pageBreakBefore w:val="0"/>
              <w:widowControl w:val="0"/>
              <w:kinsoku/>
              <w:wordWrap/>
              <w:overflowPunct/>
              <w:topLinePunct w:val="0"/>
              <w:autoSpaceDE/>
              <w:autoSpaceDN/>
              <w:bidi w:val="0"/>
              <w:spacing w:line="440" w:lineRule="exact"/>
              <w:textAlignment w:val="auto"/>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（2）供应商承诺投入施工机械设备，满足采购需求的得4分，不满足的不得分。</w:t>
            </w:r>
          </w:p>
          <w:p w14:paraId="108F47F8">
            <w:pPr>
              <w:pStyle w:val="44"/>
              <w:keepNext w:val="0"/>
              <w:keepLines w:val="0"/>
              <w:pageBreakBefore w:val="0"/>
              <w:widowControl w:val="0"/>
              <w:kinsoku/>
              <w:wordWrap/>
              <w:overflowPunct/>
              <w:topLinePunct w:val="0"/>
              <w:autoSpaceDE/>
              <w:autoSpaceDN/>
              <w:bidi w:val="0"/>
              <w:spacing w:line="440" w:lineRule="exact"/>
              <w:textAlignment w:val="auto"/>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（3）供应商承诺项目施工质量满足采购需求的得4分，不满足的不得分。</w:t>
            </w:r>
          </w:p>
          <w:p w14:paraId="20D7160E">
            <w:pPr>
              <w:pStyle w:val="44"/>
              <w:keepNext w:val="0"/>
              <w:keepLines w:val="0"/>
              <w:pageBreakBefore w:val="0"/>
              <w:widowControl w:val="0"/>
              <w:kinsoku/>
              <w:wordWrap/>
              <w:overflowPunct/>
              <w:topLinePunct w:val="0"/>
              <w:autoSpaceDE/>
              <w:autoSpaceDN/>
              <w:bidi w:val="0"/>
              <w:spacing w:line="440" w:lineRule="exact"/>
              <w:textAlignment w:val="auto"/>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（4）供应商承诺现场施工按照杭州市当地建筑工地安全文明施工管理规定执行，保证安全文明施工，满足采购需求的得4分，不满足的不得分。</w:t>
            </w:r>
          </w:p>
          <w:p w14:paraId="59254EE9">
            <w:pPr>
              <w:pStyle w:val="44"/>
              <w:keepNext w:val="0"/>
              <w:keepLines w:val="0"/>
              <w:pageBreakBefore w:val="0"/>
              <w:widowControl w:val="0"/>
              <w:kinsoku/>
              <w:wordWrap/>
              <w:overflowPunct/>
              <w:topLinePunct w:val="0"/>
              <w:autoSpaceDE/>
              <w:autoSpaceDN/>
              <w:bidi w:val="0"/>
              <w:spacing w:line="440" w:lineRule="exact"/>
              <w:textAlignment w:val="auto"/>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（5）供应商承诺在工程竣工验收交付前做好成品保护工作及原有设施保护工作，满足采购需求的得4分，不满足的不得分。</w:t>
            </w:r>
          </w:p>
          <w:p w14:paraId="65259648">
            <w:pPr>
              <w:pStyle w:val="44"/>
              <w:keepNext w:val="0"/>
              <w:keepLines w:val="0"/>
              <w:pageBreakBefore w:val="0"/>
              <w:widowControl w:val="0"/>
              <w:kinsoku/>
              <w:wordWrap/>
              <w:overflowPunct/>
              <w:topLinePunct w:val="0"/>
              <w:autoSpaceDE/>
              <w:autoSpaceDN/>
              <w:bidi w:val="0"/>
              <w:spacing w:line="440" w:lineRule="exact"/>
              <w:textAlignment w:val="auto"/>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（6）供应商承诺施工材料具有相应的质量控制措施和自检措施，能够根据现行相关规定对运至的材料、产品进行试验、试样、检测工作，满足采购需求的得4分，不满足的不得分。</w:t>
            </w:r>
          </w:p>
          <w:p w14:paraId="3F85A442">
            <w:pPr>
              <w:pStyle w:val="44"/>
              <w:keepNext w:val="0"/>
              <w:keepLines w:val="0"/>
              <w:pageBreakBefore w:val="0"/>
              <w:widowControl w:val="0"/>
              <w:kinsoku/>
              <w:wordWrap/>
              <w:overflowPunct/>
              <w:topLinePunct w:val="0"/>
              <w:autoSpaceDE/>
              <w:autoSpaceDN/>
              <w:bidi w:val="0"/>
              <w:spacing w:line="440" w:lineRule="exact"/>
              <w:textAlignment w:val="auto"/>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（7）供应商承诺施工期间完全服从采购人的管理要求满足采购需求的得4分，不满足的不得分。</w:t>
            </w:r>
          </w:p>
          <w:p w14:paraId="622E20A9">
            <w:pPr>
              <w:pStyle w:val="44"/>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（8）供应商承诺保密要求满足采购需求的得4分，不满足的不得分。</w:t>
            </w:r>
          </w:p>
          <w:p w14:paraId="5EA53C6B">
            <w:pPr>
              <w:pStyle w:val="44"/>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lang w:eastAsia="zh-CN"/>
              </w:rPr>
              <w:t>（</w:t>
            </w:r>
            <w:r>
              <w:rPr>
                <w:rFonts w:hint="eastAsia" w:ascii="仿宋" w:hAnsi="仿宋" w:eastAsia="仿宋" w:cs="仿宋"/>
                <w:snapToGrid w:val="0"/>
                <w:color w:val="auto"/>
                <w:kern w:val="0"/>
                <w:sz w:val="24"/>
                <w:highlight w:val="none"/>
                <w:lang w:val="en-US" w:eastAsia="zh-CN"/>
              </w:rPr>
              <w:t>9</w:t>
            </w:r>
            <w:r>
              <w:rPr>
                <w:rFonts w:hint="eastAsia" w:ascii="仿宋" w:hAnsi="仿宋" w:eastAsia="仿宋" w:cs="仿宋"/>
                <w:snapToGrid w:val="0"/>
                <w:color w:val="auto"/>
                <w:kern w:val="0"/>
                <w:sz w:val="24"/>
                <w:highlight w:val="none"/>
                <w:lang w:eastAsia="zh-CN"/>
              </w:rPr>
              <w:t>）</w:t>
            </w:r>
            <w:r>
              <w:rPr>
                <w:rFonts w:hint="eastAsia" w:ascii="仿宋" w:hAnsi="仿宋" w:eastAsia="仿宋" w:cs="仿宋"/>
                <w:snapToGrid w:val="0"/>
                <w:color w:val="auto"/>
                <w:kern w:val="0"/>
                <w:sz w:val="24"/>
                <w:highlight w:val="none"/>
                <w:lang w:val="en-US" w:eastAsia="zh-CN"/>
              </w:rPr>
              <w:t>供应商承诺配合采购人完成第三方技术服务机构确认，</w:t>
            </w:r>
            <w:r>
              <w:rPr>
                <w:rFonts w:hint="eastAsia" w:ascii="仿宋" w:hAnsi="仿宋" w:eastAsia="仿宋" w:cs="仿宋"/>
                <w:snapToGrid w:val="0"/>
                <w:color w:val="auto"/>
                <w:kern w:val="0"/>
                <w:sz w:val="24"/>
                <w:highlight w:val="none"/>
              </w:rPr>
              <w:t>满足采购需求的得4分，不满足的不得分。</w:t>
            </w:r>
          </w:p>
          <w:p w14:paraId="27F1FDA4">
            <w:pPr>
              <w:pStyle w:val="44"/>
              <w:keepNext w:val="0"/>
              <w:keepLines w:val="0"/>
              <w:pageBreakBefore w:val="0"/>
              <w:widowControl w:val="0"/>
              <w:kinsoku/>
              <w:wordWrap/>
              <w:overflowPunct/>
              <w:topLinePunct w:val="0"/>
              <w:autoSpaceDE/>
              <w:autoSpaceDN/>
              <w:bidi w:val="0"/>
              <w:spacing w:line="440" w:lineRule="exact"/>
              <w:textAlignment w:val="auto"/>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w:t>
            </w:r>
            <w:r>
              <w:rPr>
                <w:rFonts w:hint="eastAsia" w:ascii="仿宋" w:hAnsi="仿宋" w:eastAsia="仿宋" w:cs="仿宋"/>
                <w:snapToGrid w:val="0"/>
                <w:color w:val="auto"/>
                <w:kern w:val="0"/>
                <w:sz w:val="24"/>
                <w:highlight w:val="none"/>
                <w:lang w:val="en-US" w:eastAsia="zh-CN"/>
              </w:rPr>
              <w:t>10</w:t>
            </w:r>
            <w:r>
              <w:rPr>
                <w:rFonts w:hint="eastAsia" w:ascii="仿宋" w:hAnsi="仿宋" w:eastAsia="仿宋" w:cs="仿宋"/>
                <w:snapToGrid w:val="0"/>
                <w:color w:val="auto"/>
                <w:kern w:val="0"/>
                <w:sz w:val="24"/>
                <w:highlight w:val="none"/>
              </w:rPr>
              <w:t>）供应商承诺属于保修范围、内容的项目，供应商应在收到通知后24小时内到达工程现场并修复缺陷或损坏。遇紧急情况需抢修的（影响采购人工作的情况视为紧急情况），应在收到通知后4小时内到达现场抢修，10小时内修复，满足采购需求的得4分，不满足的不得分。</w:t>
            </w:r>
          </w:p>
          <w:p w14:paraId="792678A4">
            <w:pPr>
              <w:pStyle w:val="44"/>
              <w:keepNext w:val="0"/>
              <w:keepLines w:val="0"/>
              <w:pageBreakBefore w:val="0"/>
              <w:widowControl w:val="0"/>
              <w:kinsoku/>
              <w:wordWrap/>
              <w:overflowPunct/>
              <w:topLinePunct w:val="0"/>
              <w:autoSpaceDE/>
              <w:autoSpaceDN/>
              <w:bidi w:val="0"/>
              <w:spacing w:line="440" w:lineRule="exact"/>
              <w:textAlignment w:val="auto"/>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w:t>
            </w:r>
            <w:r>
              <w:rPr>
                <w:rFonts w:hint="eastAsia" w:ascii="仿宋" w:hAnsi="仿宋" w:eastAsia="仿宋" w:cs="仿宋"/>
                <w:snapToGrid w:val="0"/>
                <w:color w:val="auto"/>
                <w:kern w:val="0"/>
                <w:sz w:val="24"/>
                <w:highlight w:val="none"/>
                <w:lang w:val="en-US" w:eastAsia="zh-CN"/>
              </w:rPr>
              <w:t>1</w:t>
            </w:r>
            <w:r>
              <w:rPr>
                <w:rFonts w:hint="eastAsia" w:ascii="仿宋" w:hAnsi="仿宋" w:eastAsia="仿宋" w:cs="仿宋"/>
                <w:snapToGrid w:val="0"/>
                <w:color w:val="auto"/>
                <w:kern w:val="0"/>
                <w:sz w:val="24"/>
                <w:highlight w:val="none"/>
              </w:rPr>
              <w:t>）供应商承诺竣工资料提交，竣工验收前</w:t>
            </w:r>
            <w:r>
              <w:rPr>
                <w:rFonts w:hint="eastAsia" w:ascii="仿宋" w:hAnsi="仿宋" w:eastAsia="仿宋" w:cs="仿宋"/>
                <w:snapToGrid w:val="0"/>
                <w:color w:val="auto"/>
                <w:kern w:val="0"/>
                <w:sz w:val="24"/>
                <w:highlight w:val="none"/>
                <w:lang w:val="en-US" w:eastAsia="zh-CN"/>
              </w:rPr>
              <w:t>30日历天内</w:t>
            </w:r>
            <w:r>
              <w:rPr>
                <w:rFonts w:hint="eastAsia" w:ascii="仿宋" w:hAnsi="仿宋" w:eastAsia="仿宋" w:cs="仿宋"/>
                <w:snapToGrid w:val="0"/>
                <w:color w:val="auto"/>
                <w:kern w:val="0"/>
                <w:sz w:val="24"/>
                <w:highlight w:val="none"/>
              </w:rPr>
              <w:t>，应向采购人提供本项目的全套竣工资料，在工程验收合格后10天内，向采购人提供4份竣工结算报告书、竣工归档资料。满足采购需求的得4分，不满足的不得分。</w:t>
            </w:r>
          </w:p>
          <w:p w14:paraId="686B797E">
            <w:pPr>
              <w:pStyle w:val="44"/>
              <w:spacing w:line="360" w:lineRule="auto"/>
              <w:rPr>
                <w:rFonts w:ascii="仿宋" w:hAnsi="仿宋" w:eastAsia="仿宋" w:cs="仿宋"/>
                <w:color w:val="auto"/>
                <w:sz w:val="24"/>
                <w:highlight w:val="none"/>
              </w:rPr>
            </w:pPr>
            <w:r>
              <w:rPr>
                <w:rFonts w:hint="eastAsia" w:ascii="仿宋" w:hAnsi="仿宋" w:eastAsia="仿宋" w:cs="仿宋"/>
                <w:b/>
                <w:bCs/>
                <w:snapToGrid w:val="0"/>
                <w:color w:val="auto"/>
                <w:kern w:val="0"/>
                <w:sz w:val="24"/>
                <w:highlight w:val="none"/>
              </w:rPr>
              <w:t>证明材料：提供相应承诺书，格式自拟</w:t>
            </w:r>
          </w:p>
        </w:tc>
        <w:tc>
          <w:tcPr>
            <w:tcW w:w="795" w:type="dxa"/>
            <w:vAlign w:val="center"/>
          </w:tcPr>
          <w:p w14:paraId="12A2EBCD">
            <w:pPr>
              <w:snapToGrid w:val="0"/>
              <w:spacing w:before="240" w:beforeLines="100" w:line="360" w:lineRule="auto"/>
              <w:jc w:val="center"/>
              <w:outlineLvl w:val="1"/>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4</w:t>
            </w:r>
            <w:r>
              <w:rPr>
                <w:rFonts w:hint="eastAsia" w:ascii="仿宋" w:hAnsi="仿宋" w:eastAsia="仿宋" w:cs="仿宋"/>
                <w:snapToGrid w:val="0"/>
                <w:color w:val="auto"/>
                <w:kern w:val="0"/>
                <w:sz w:val="24"/>
                <w:highlight w:val="none"/>
                <w:lang w:val="en-US" w:eastAsia="zh-CN"/>
              </w:rPr>
              <w:t>4</w:t>
            </w:r>
            <w:r>
              <w:rPr>
                <w:rFonts w:hint="eastAsia" w:ascii="仿宋" w:hAnsi="仿宋" w:eastAsia="仿宋" w:cs="仿宋"/>
                <w:snapToGrid w:val="0"/>
                <w:color w:val="auto"/>
                <w:kern w:val="0"/>
                <w:sz w:val="24"/>
                <w:highlight w:val="none"/>
              </w:rPr>
              <w:t>分</w:t>
            </w:r>
          </w:p>
        </w:tc>
        <w:tc>
          <w:tcPr>
            <w:tcW w:w="995" w:type="dxa"/>
            <w:vAlign w:val="center"/>
          </w:tcPr>
          <w:p w14:paraId="416FC8BC">
            <w:pPr>
              <w:snapToGrid w:val="0"/>
              <w:spacing w:before="240" w:beforeLines="100" w:line="360" w:lineRule="auto"/>
              <w:jc w:val="center"/>
              <w:outlineLvl w:val="1"/>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客观分</w:t>
            </w:r>
          </w:p>
        </w:tc>
        <w:tc>
          <w:tcPr>
            <w:tcW w:w="1332" w:type="dxa"/>
            <w:vAlign w:val="center"/>
          </w:tcPr>
          <w:p w14:paraId="62E1C78D">
            <w:pPr>
              <w:snapToGrid w:val="0"/>
              <w:spacing w:before="240" w:beforeLines="100" w:line="360" w:lineRule="auto"/>
              <w:jc w:val="center"/>
              <w:outlineLvl w:val="1"/>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各项承诺</w:t>
            </w:r>
          </w:p>
        </w:tc>
      </w:tr>
      <w:tr w14:paraId="6BD0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423" w:type="dxa"/>
            <w:gridSpan w:val="5"/>
          </w:tcPr>
          <w:p w14:paraId="702D794E">
            <w:pPr>
              <w:snapToGrid w:val="0"/>
              <w:spacing w:before="240" w:beforeLines="100" w:line="360" w:lineRule="auto"/>
              <w:jc w:val="left"/>
              <w:outlineLvl w:val="1"/>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2.报价部分（30分）</w:t>
            </w:r>
          </w:p>
        </w:tc>
      </w:tr>
      <w:tr w14:paraId="52046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39" w:type="dxa"/>
            <w:vAlign w:val="center"/>
          </w:tcPr>
          <w:p w14:paraId="11E7F145">
            <w:pPr>
              <w:snapToGrid w:val="0"/>
              <w:spacing w:before="240" w:beforeLines="100" w:line="360" w:lineRule="auto"/>
              <w:jc w:val="center"/>
              <w:outlineLvl w:val="1"/>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w:t>
            </w:r>
          </w:p>
        </w:tc>
        <w:tc>
          <w:tcPr>
            <w:tcW w:w="6662" w:type="dxa"/>
            <w:vAlign w:val="center"/>
          </w:tcPr>
          <w:p w14:paraId="050F5D1E">
            <w:pPr>
              <w:snapToGrid w:val="0"/>
              <w:spacing w:line="360" w:lineRule="auto"/>
              <w:jc w:val="left"/>
              <w:outlineLvl w:val="1"/>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满足采购文件要求且最后报价的最低价作为磋商基准价，其最低报价为满分；按［报价得分=（磋商基准价/最终磋商报价）*30］的计算公式计算。</w:t>
            </w:r>
          </w:p>
        </w:tc>
        <w:tc>
          <w:tcPr>
            <w:tcW w:w="795" w:type="dxa"/>
            <w:vAlign w:val="center"/>
          </w:tcPr>
          <w:p w14:paraId="018B573B">
            <w:pPr>
              <w:snapToGrid w:val="0"/>
              <w:spacing w:before="240" w:beforeLines="100" w:line="360" w:lineRule="auto"/>
              <w:jc w:val="center"/>
              <w:outlineLvl w:val="1"/>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30分</w:t>
            </w:r>
          </w:p>
        </w:tc>
        <w:tc>
          <w:tcPr>
            <w:tcW w:w="995" w:type="dxa"/>
            <w:vAlign w:val="center"/>
          </w:tcPr>
          <w:p w14:paraId="0663C051">
            <w:pPr>
              <w:snapToGrid w:val="0"/>
              <w:spacing w:before="240" w:beforeLines="100" w:line="360" w:lineRule="auto"/>
              <w:jc w:val="center"/>
              <w:outlineLvl w:val="1"/>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客观分</w:t>
            </w:r>
          </w:p>
        </w:tc>
        <w:tc>
          <w:tcPr>
            <w:tcW w:w="1332" w:type="dxa"/>
            <w:vAlign w:val="center"/>
          </w:tcPr>
          <w:p w14:paraId="4164226A">
            <w:pPr>
              <w:snapToGrid w:val="0"/>
              <w:spacing w:before="240" w:beforeLines="100" w:line="360" w:lineRule="auto"/>
              <w:jc w:val="center"/>
              <w:outlineLvl w:val="1"/>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w:t>
            </w:r>
          </w:p>
        </w:tc>
      </w:tr>
    </w:tbl>
    <w:p w14:paraId="3F0CB2CC">
      <w:pPr>
        <w:snapToGrid w:val="0"/>
        <w:spacing w:line="360" w:lineRule="auto"/>
        <w:rPr>
          <w:rFonts w:ascii="仿宋" w:hAnsi="仿宋" w:eastAsia="仿宋" w:cs="仿宋"/>
          <w:color w:val="auto"/>
          <w:sz w:val="20"/>
          <w:szCs w:val="20"/>
          <w:highlight w:val="none"/>
          <w:shd w:val="clear" w:color="auto" w:fill="FFFFFF"/>
        </w:rPr>
      </w:pPr>
    </w:p>
    <w:p w14:paraId="554E9022">
      <w:pPr>
        <w:snapToGrid w:val="0"/>
        <w:spacing w:line="360" w:lineRule="auto"/>
        <w:rPr>
          <w:rFonts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供应商编制响应文件（商务技术文件部分）时，建议按此目录（序号和内容）提供评审标准相应的商务技术资料。 </w:t>
      </w:r>
    </w:p>
    <w:p w14:paraId="07BA6D90">
      <w:pPr>
        <w:jc w:val="left"/>
        <w:rPr>
          <w:rFonts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1E09B376">
      <w:pPr>
        <w:snapToGrid w:val="0"/>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一、评审方法</w:t>
      </w:r>
    </w:p>
    <w:p w14:paraId="13A894CB">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综合评分法，是指响应文件满足磋商文件全部实质性要求且按评审因素的量化指标评审得分最高的供应商为成交候选供应商的评审方法。</w:t>
      </w:r>
    </w:p>
    <w:p w14:paraId="22080D05">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二、评审标准</w:t>
      </w:r>
    </w:p>
    <w:p w14:paraId="3B7A61CD">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2.评审标准：</w:t>
      </w:r>
      <w:r>
        <w:rPr>
          <w:rFonts w:hint="eastAsia" w:ascii="仿宋" w:hAnsi="仿宋" w:eastAsia="仿宋" w:cs="仿宋"/>
          <w:color w:val="auto"/>
          <w:kern w:val="0"/>
          <w:sz w:val="24"/>
          <w:highlight w:val="none"/>
        </w:rPr>
        <w:t>见评审办法前附表。</w:t>
      </w:r>
    </w:p>
    <w:p w14:paraId="5E6B633E">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三、评审程序</w:t>
      </w:r>
    </w:p>
    <w:p w14:paraId="7C4939A3">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3.1符合性审查。磋商小组由采购人代表1人和政府采购咨询专家2人组成。其中政府采购咨询专家通过浙江政府采购网-政企云系统相关专业随机抽取产生。</w:t>
      </w:r>
      <w:r>
        <w:rPr>
          <w:rFonts w:hint="eastAsia" w:ascii="仿宋" w:hAnsi="仿宋" w:eastAsia="仿宋" w:cs="仿宋"/>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362AAD24">
      <w:pPr>
        <w:spacing w:line="360" w:lineRule="auto"/>
        <w:ind w:firstLine="472" w:firstLineChars="196"/>
        <w:rPr>
          <w:rFonts w:ascii="仿宋" w:hAnsi="仿宋" w:eastAsia="仿宋" w:cs="仿宋"/>
          <w:color w:val="auto"/>
          <w:sz w:val="24"/>
          <w:highlight w:val="none"/>
        </w:rPr>
      </w:pPr>
      <w:r>
        <w:rPr>
          <w:rFonts w:hint="eastAsia" w:ascii="仿宋" w:hAnsi="仿宋" w:eastAsia="仿宋" w:cs="仿宋"/>
          <w:b/>
          <w:color w:val="auto"/>
          <w:kern w:val="0"/>
          <w:sz w:val="24"/>
          <w:highlight w:val="none"/>
        </w:rPr>
        <w:t>3.2 磋商。</w:t>
      </w:r>
      <w:r>
        <w:rPr>
          <w:rFonts w:hint="eastAsia" w:ascii="仿宋" w:hAnsi="仿宋" w:eastAsia="仿宋" w:cs="仿宋"/>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仿宋" w:hAnsi="仿宋" w:eastAsia="仿宋" w:cs="仿宋"/>
          <w:color w:val="auto"/>
          <w:kern w:val="0"/>
          <w:sz w:val="24"/>
          <w:highlight w:val="none"/>
        </w:rPr>
        <w:t>符合性审查合格的</w:t>
      </w:r>
      <w:r>
        <w:rPr>
          <w:rFonts w:hint="eastAsia" w:ascii="仿宋" w:hAnsi="仿宋" w:eastAsia="仿宋" w:cs="仿宋"/>
          <w:color w:val="auto"/>
          <w:sz w:val="24"/>
          <w:highlight w:val="none"/>
        </w:rPr>
        <w:t>供应商逐一进行磋商。</w:t>
      </w:r>
    </w:p>
    <w:p w14:paraId="778A32F7">
      <w:pPr>
        <w:spacing w:line="360" w:lineRule="auto"/>
        <w:ind w:firstLine="470" w:firstLineChars="196"/>
        <w:rPr>
          <w:rFonts w:ascii="仿宋" w:hAnsi="仿宋" w:eastAsia="仿宋" w:cs="仿宋"/>
          <w:b/>
          <w:color w:val="auto"/>
          <w:sz w:val="24"/>
          <w:highlight w:val="none"/>
        </w:rPr>
      </w:pPr>
      <w:r>
        <w:rPr>
          <w:rFonts w:hint="eastAsia" w:ascii="仿宋" w:hAnsi="仿宋" w:eastAsia="仿宋" w:cs="仿宋"/>
          <w:bCs/>
          <w:color w:val="auto"/>
          <w:sz w:val="24"/>
          <w:highlight w:val="none"/>
        </w:rPr>
        <w:t xml:space="preserve">3.2.1 </w:t>
      </w:r>
      <w:r>
        <w:rPr>
          <w:rFonts w:hint="eastAsia" w:ascii="仿宋" w:hAnsi="仿宋" w:eastAsia="仿宋" w:cs="仿宋"/>
          <w:color w:val="auto"/>
          <w:sz w:val="24"/>
          <w:highlight w:val="none"/>
        </w:rPr>
        <w:t>供应商逐家回答磋商小组的提问；</w:t>
      </w:r>
      <w:r>
        <w:rPr>
          <w:rFonts w:hint="eastAsia" w:ascii="仿宋" w:hAnsi="仿宋" w:eastAsia="仿宋" w:cs="仿宋"/>
          <w:b/>
          <w:color w:val="auto"/>
          <w:sz w:val="24"/>
          <w:highlight w:val="none"/>
        </w:rPr>
        <w:t>逐家磋商一次为一个轮次，磋商轮次根据实际情况进行。</w:t>
      </w:r>
    </w:p>
    <w:p w14:paraId="5D5B3ACA">
      <w:pPr>
        <w:spacing w:line="360" w:lineRule="auto"/>
        <w:ind w:firstLine="470" w:firstLineChars="196"/>
        <w:rPr>
          <w:rFonts w:ascii="仿宋" w:hAnsi="仿宋" w:eastAsia="仿宋" w:cs="仿宋"/>
          <w:color w:val="auto"/>
          <w:sz w:val="24"/>
          <w:highlight w:val="none"/>
        </w:rPr>
      </w:pPr>
      <w:r>
        <w:rPr>
          <w:rFonts w:hint="eastAsia" w:ascii="仿宋" w:hAnsi="仿宋" w:eastAsia="仿宋" w:cs="仿宋"/>
          <w:bCs/>
          <w:color w:val="auto"/>
          <w:sz w:val="24"/>
          <w:highlight w:val="none"/>
        </w:rPr>
        <w:t xml:space="preserve">3.2.2 </w:t>
      </w:r>
      <w:r>
        <w:rPr>
          <w:rFonts w:hint="eastAsia" w:ascii="仿宋" w:hAnsi="仿宋" w:eastAsia="仿宋" w:cs="仿宋"/>
          <w:color w:val="auto"/>
          <w:sz w:val="24"/>
          <w:highlight w:val="none"/>
        </w:rPr>
        <w:t>供应商应按磋商小组通知的时间在线做出承诺或回复，承诺或回复的内容须由供应商法定代表人或授权代表签署，并作为响应文件的补充部分。</w:t>
      </w:r>
    </w:p>
    <w:p w14:paraId="326E7753">
      <w:pPr>
        <w:spacing w:line="360" w:lineRule="auto"/>
        <w:ind w:firstLine="470" w:firstLineChars="196"/>
        <w:rPr>
          <w:rFonts w:ascii="仿宋" w:hAnsi="仿宋" w:eastAsia="仿宋" w:cs="仿宋"/>
          <w:bCs/>
          <w:color w:val="auto"/>
          <w:kern w:val="0"/>
          <w:sz w:val="24"/>
          <w:highlight w:val="none"/>
        </w:rPr>
      </w:pPr>
      <w:r>
        <w:rPr>
          <w:rFonts w:hint="eastAsia" w:ascii="仿宋" w:hAnsi="仿宋" w:eastAsia="仿宋" w:cs="仿宋"/>
          <w:color w:val="auto"/>
          <w:sz w:val="24"/>
          <w:highlight w:val="none"/>
        </w:rPr>
        <w:t xml:space="preserve">3.2.3 </w:t>
      </w:r>
      <w:r>
        <w:rPr>
          <w:rFonts w:hint="eastAsia" w:ascii="仿宋" w:hAnsi="仿宋" w:eastAsia="仿宋" w:cs="仿宋"/>
          <w:b/>
          <w:bCs/>
          <w:color w:val="auto"/>
          <w:sz w:val="24"/>
          <w:highlight w:val="none"/>
        </w:rPr>
        <w:t>在磋商过程中，磋商小组可以根据磋商文件和磋商情况实质性变动采购需求中的“※”号技术、服务要求，但不得变动磋商文件中的其他内容。</w:t>
      </w:r>
      <w:r>
        <w:rPr>
          <w:rFonts w:hint="eastAsia" w:ascii="仿宋" w:hAnsi="仿宋" w:eastAsia="仿宋" w:cs="仿宋"/>
          <w:color w:val="auto"/>
          <w:sz w:val="24"/>
          <w:highlight w:val="none"/>
        </w:rPr>
        <w:t>实质性变动的内容，须经采购人代表确认。磋商文件有实质性变动的，磋商小组将以书面形式通知所有</w:t>
      </w:r>
      <w:r>
        <w:rPr>
          <w:rFonts w:hint="eastAsia" w:ascii="仿宋" w:hAnsi="仿宋" w:eastAsia="仿宋" w:cs="仿宋"/>
          <w:color w:val="auto"/>
          <w:kern w:val="0"/>
          <w:sz w:val="24"/>
          <w:highlight w:val="none"/>
        </w:rPr>
        <w:t>符合性审查合格的</w:t>
      </w:r>
      <w:r>
        <w:rPr>
          <w:rFonts w:hint="eastAsia" w:ascii="仿宋" w:hAnsi="仿宋" w:eastAsia="仿宋" w:cs="仿宋"/>
          <w:color w:val="auto"/>
          <w:sz w:val="24"/>
          <w:highlight w:val="none"/>
        </w:rPr>
        <w:t xml:space="preserve">供应商。 </w:t>
      </w:r>
    </w:p>
    <w:p w14:paraId="377AC527">
      <w:pPr>
        <w:spacing w:line="360" w:lineRule="auto"/>
        <w:ind w:firstLine="472" w:firstLineChars="196"/>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3.3最后报价</w:t>
      </w:r>
    </w:p>
    <w:p w14:paraId="718AA328">
      <w:pPr>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7FC5F6A8">
      <w:pPr>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36E7E1E">
      <w:pPr>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3.3.3 已提交响应文件的供应商，在提交最后报价之前，可以根据磋商情况退出磋商</w:t>
      </w:r>
    </w:p>
    <w:p w14:paraId="26F0E7F5">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3.4 综合评分。</w:t>
      </w:r>
      <w:r>
        <w:rPr>
          <w:rFonts w:hint="eastAsia" w:ascii="仿宋" w:hAnsi="仿宋" w:eastAsia="仿宋" w:cs="仿宋"/>
          <w:bCs/>
          <w:color w:val="auto"/>
          <w:kern w:val="0"/>
          <w:sz w:val="24"/>
          <w:highlight w:val="none"/>
        </w:rPr>
        <w:t>经磋商确定最终采购需求和提交最后报价的供应商后，</w:t>
      </w:r>
      <w:r>
        <w:rPr>
          <w:rFonts w:hint="eastAsia" w:ascii="仿宋" w:hAnsi="仿宋" w:eastAsia="仿宋" w:cs="仿宋"/>
          <w:color w:val="auto"/>
          <w:kern w:val="0"/>
          <w:sz w:val="24"/>
          <w:highlight w:val="none"/>
        </w:rPr>
        <w:t>磋商小组应当按照采购文件中规定的评审标准，对符合性审查合格的响应文件进行综合评分。磋商文件中没有规定的评审标准不得作为评审依据。</w:t>
      </w:r>
    </w:p>
    <w:p w14:paraId="6A5B097C">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3.5汇总商务技术得分。</w:t>
      </w:r>
      <w:r>
        <w:rPr>
          <w:rFonts w:hint="eastAsia" w:ascii="仿宋" w:hAnsi="仿宋" w:eastAsia="仿宋" w:cs="仿宋"/>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09B7A3B9">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3.6报价评审。</w:t>
      </w:r>
    </w:p>
    <w:p w14:paraId="2B05FF91">
      <w:pPr>
        <w:pStyle w:val="130"/>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3.6.1响应文件报价出现前后不一致的，按照下列规定修正：</w:t>
      </w:r>
    </w:p>
    <w:p w14:paraId="6982B95A">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3.6.1.1响应文件中已标价工程量清单内容与响应文件中相应内容不一致的，以已标价工程量清单为准;</w:t>
      </w:r>
    </w:p>
    <w:p w14:paraId="5A71F934">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3.6.1.2大写金额和小写金额不一致的，以大写金额为准;</w:t>
      </w:r>
    </w:p>
    <w:p w14:paraId="4B1FB80B">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3.6.1.3单价金额小数点或者百分比有明显错位的，以已标价工程量清单的总价为准，并修改单价;</w:t>
      </w:r>
    </w:p>
    <w:p w14:paraId="68C26198">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3.6.1.4总价金额与按单价汇总金额不一致的，以单价金额计算结果为准。</w:t>
      </w:r>
    </w:p>
    <w:p w14:paraId="2E0F2BF7">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3.6.1.5同时出现两种以上不一致的，按照3.6.1规定的顺序修正。修正后的报价经供应商确认后产生约束力。</w:t>
      </w:r>
    </w:p>
    <w:p w14:paraId="75CFE027">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3.6.2响应文件出现不是唯一的、有选择性最后报价的，响应文件无效。</w:t>
      </w:r>
    </w:p>
    <w:p w14:paraId="1F4783E8">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3.6.3最后报价超过采购文件中规定的最高限价的，响应文件无效。</w:t>
      </w:r>
    </w:p>
    <w:p w14:paraId="21DC32D1">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2A8FA98C">
      <w:pPr>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3.7排序与推荐。</w:t>
      </w:r>
      <w:r>
        <w:rPr>
          <w:rFonts w:hint="eastAsia" w:ascii="仿宋" w:hAnsi="仿宋" w:eastAsia="仿宋" w:cs="仿宋"/>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成交候选供应商</w:t>
      </w:r>
    </w:p>
    <w:p w14:paraId="0366A64C">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3.8编写评审报告。</w:t>
      </w:r>
      <w:r>
        <w:rPr>
          <w:rFonts w:hint="eastAsia" w:ascii="仿宋" w:hAnsi="仿宋" w:eastAsia="仿宋" w:cs="仿宋"/>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2E50631">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四、评审中的其他事项</w:t>
      </w:r>
    </w:p>
    <w:p w14:paraId="642A089B">
      <w:pPr>
        <w:pStyle w:val="130"/>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4.1供应商澄清、说明或者补正。</w:t>
      </w:r>
      <w:r>
        <w:rPr>
          <w:rFonts w:hint="eastAsia" w:ascii="仿宋" w:hAnsi="仿宋" w:eastAsia="仿宋" w:cs="仿宋"/>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4152FB0">
      <w:pPr>
        <w:pStyle w:val="26"/>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4.2响应文件无效。</w:t>
      </w:r>
      <w:r>
        <w:rPr>
          <w:rFonts w:hint="eastAsia" w:ascii="仿宋" w:hAnsi="仿宋" w:eastAsia="仿宋" w:cs="仿宋"/>
          <w:color w:val="auto"/>
          <w:szCs w:val="21"/>
          <w:highlight w:val="none"/>
        </w:rPr>
        <w:t>有下列情形之一的，响应文件无效：</w:t>
      </w:r>
    </w:p>
    <w:p w14:paraId="64C0D06A">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4.2.1供应商不具备采购文件中规定的资格要求的（供应商未提供有效的资格文件的，视为供应商不具备采购文件中规定的资格要求）；</w:t>
      </w:r>
    </w:p>
    <w:p w14:paraId="27DB29FB">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4.2.2响应文件未按照采购文件要求签署、盖章的；</w:t>
      </w:r>
    </w:p>
    <w:p w14:paraId="0514DA9F">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08729FC4">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4.2.4响应文件含有采购人不能接受的附加条件的；</w:t>
      </w:r>
    </w:p>
    <w:p w14:paraId="6ACD14F2">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4.2.5响应文件中承诺的响应文件有效期少于采购文件中载明的响应文件有效期的；</w:t>
      </w:r>
    </w:p>
    <w:p w14:paraId="65B80AC5">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4.2.6响应文件出现不是唯一的、有选择性最后报价的;</w:t>
      </w:r>
    </w:p>
    <w:p w14:paraId="3A6C9A6E">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4.2.7最后报价超过采购文件中规定最高限价的;</w:t>
      </w:r>
    </w:p>
    <w:p w14:paraId="49C53A81">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206F7A3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4.2.9供应商对根据修正原则修正后的报价不确认的；</w:t>
      </w:r>
    </w:p>
    <w:p w14:paraId="60BE9967">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4.2.10供应商提供虚假材料响应的；</w:t>
      </w:r>
    </w:p>
    <w:p w14:paraId="30A2F0D1">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4.2.11供应商有恶意串通、妨碍其他供应商的竞争行为、损害采购人或者其他供应商的合法权益情形的；</w:t>
      </w:r>
    </w:p>
    <w:p w14:paraId="4F9BFB18">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4.2.12供应商仅提交备份响应文件，未在电子交易平台传输递交响应文件的，响应文件无效；</w:t>
      </w:r>
    </w:p>
    <w:p w14:paraId="48F6AA4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4.2.13 响应文件不满足采购文件的其它实质性要求的；</w:t>
      </w:r>
    </w:p>
    <w:p w14:paraId="15D12627">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19DBDFFE">
      <w:pPr>
        <w:pStyle w:val="26"/>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5.终止竞争性磋商采购活动。</w:t>
      </w:r>
      <w:r>
        <w:rPr>
          <w:rFonts w:hint="eastAsia" w:ascii="仿宋" w:hAnsi="仿宋" w:eastAsia="仿宋" w:cs="仿宋"/>
          <w:color w:val="auto"/>
          <w:highlight w:val="none"/>
        </w:rPr>
        <w:t>出现下列情形之一的，采购人或者采购代理机构应当终止竞争性磋商采购活动，发布项目终止公告并说明原因，重新开展采购活动：</w:t>
      </w:r>
    </w:p>
    <w:p w14:paraId="255967AA">
      <w:pPr>
        <w:pStyle w:val="2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5.1因情况变化，不再符合规定的竞争性磋商采购方式适用情形的；</w:t>
      </w:r>
    </w:p>
    <w:p w14:paraId="672BEF10">
      <w:pPr>
        <w:pStyle w:val="2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79E47E29">
      <w:pPr>
        <w:pStyle w:val="2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5.3除本办法第二十一条第三款规定的情形外，在采购过程中符合要求的供应商或者报价未超过采购预算的供应商不足3家的。</w:t>
      </w:r>
    </w:p>
    <w:p w14:paraId="64231844">
      <w:pPr>
        <w:pStyle w:val="2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07CE6BD8">
      <w:pPr>
        <w:pStyle w:val="26"/>
        <w:snapToGrid w:val="0"/>
        <w:spacing w:line="360" w:lineRule="auto"/>
        <w:ind w:firstLine="482"/>
        <w:rPr>
          <w:rFonts w:ascii="仿宋" w:hAnsi="仿宋" w:eastAsia="仿宋" w:cs="仿宋"/>
          <w:color w:val="auto"/>
          <w:highlight w:val="none"/>
        </w:rPr>
      </w:pPr>
      <w:r>
        <w:rPr>
          <w:rFonts w:hint="eastAsia" w:ascii="仿宋" w:hAnsi="仿宋" w:eastAsia="仿宋" w:cs="仿宋"/>
          <w:b/>
          <w:color w:val="auto"/>
          <w:kern w:val="0"/>
          <w:highlight w:val="none"/>
        </w:rPr>
        <w:t>6.重新开展采购。</w:t>
      </w:r>
      <w:r>
        <w:rPr>
          <w:rFonts w:hint="eastAsia" w:ascii="仿宋" w:hAnsi="仿宋" w:eastAsia="仿宋" w:cs="仿宋"/>
          <w:color w:val="auto"/>
          <w:highlight w:val="none"/>
        </w:rPr>
        <w:t>有政府采购法第七十一条、第七十二条规定的违法行为之一，影响或者可能影响成交结果的，依照下列规定处理：</w:t>
      </w:r>
    </w:p>
    <w:p w14:paraId="6A6E6279">
      <w:pPr>
        <w:pStyle w:val="2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6.1未确定成交供应商的，终止本次政府采购活动，重新开展政府采购活动。</w:t>
      </w:r>
    </w:p>
    <w:p w14:paraId="30023589">
      <w:pPr>
        <w:pStyle w:val="2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6.2已确定成交供应商但尚未签订政府采购合同的，成交结果无效，从合格的成交候选供应商中另行确定成交供应商；没有合格的成交候选供应商的，重新开展政府采购活动。</w:t>
      </w:r>
    </w:p>
    <w:p w14:paraId="1D617B5E">
      <w:pPr>
        <w:pStyle w:val="2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6.3政府采购合同已签订但尚未履行的，撤销合同，从合格的成交候选供应商中另行确定成交供应商；没有合格的成交候选供应商的，重新开展政府采购活动。</w:t>
      </w:r>
    </w:p>
    <w:p w14:paraId="2073E65B">
      <w:pPr>
        <w:pStyle w:val="2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6.4政府采购合同已经履行，给采购人、供应商造成损失的，由责任人承担赔偿责任。</w:t>
      </w:r>
    </w:p>
    <w:p w14:paraId="74EE5EE3">
      <w:pPr>
        <w:pStyle w:val="2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68A30C9E">
      <w:pPr>
        <w:pStyle w:val="26"/>
        <w:snapToGrid w:val="0"/>
        <w:spacing w:line="360" w:lineRule="auto"/>
        <w:ind w:firstLine="0" w:firstLineChars="0"/>
        <w:rPr>
          <w:rFonts w:ascii="仿宋" w:hAnsi="仿宋" w:eastAsia="仿宋" w:cs="仿宋"/>
          <w:color w:val="auto"/>
          <w:highlight w:val="none"/>
        </w:rPr>
        <w:sectPr>
          <w:pgSz w:w="11907" w:h="16840"/>
          <w:pgMar w:top="1440" w:right="1080" w:bottom="1440" w:left="1080" w:header="851" w:footer="992" w:gutter="0"/>
          <w:cols w:space="720" w:num="1"/>
        </w:sectPr>
      </w:pPr>
    </w:p>
    <w:bookmarkEnd w:id="32"/>
    <w:p w14:paraId="247C70E3">
      <w:pPr>
        <w:spacing w:line="360" w:lineRule="auto"/>
        <w:jc w:val="center"/>
        <w:outlineLvl w:val="0"/>
        <w:rPr>
          <w:rFonts w:ascii="仿宋" w:hAnsi="仿宋" w:eastAsia="仿宋" w:cs="仿宋"/>
          <w:b/>
          <w:color w:val="auto"/>
          <w:sz w:val="36"/>
          <w:szCs w:val="36"/>
          <w:highlight w:val="none"/>
        </w:rPr>
      </w:pPr>
      <w:bookmarkStart w:id="398" w:name="第五部分"/>
      <w:bookmarkStart w:id="399" w:name="_Toc86217003"/>
      <w:r>
        <w:rPr>
          <w:rFonts w:hint="eastAsia" w:ascii="仿宋" w:hAnsi="仿宋" w:eastAsia="仿宋" w:cs="仿宋"/>
          <w:b/>
          <w:color w:val="auto"/>
          <w:sz w:val="36"/>
          <w:szCs w:val="36"/>
          <w:highlight w:val="none"/>
        </w:rPr>
        <w:t>第五部分 拟签订的合同文本</w:t>
      </w:r>
    </w:p>
    <w:p w14:paraId="0350A1D3">
      <w:pPr>
        <w:snapToGrid w:val="0"/>
        <w:spacing w:line="360" w:lineRule="auto"/>
        <w:ind w:firstLine="480" w:firstLineChars="200"/>
        <w:jc w:val="left"/>
        <w:rPr>
          <w:rFonts w:ascii="仿宋" w:hAnsi="仿宋" w:eastAsia="仿宋" w:cs="仿宋"/>
          <w:snapToGrid w:val="0"/>
          <w:color w:val="auto"/>
          <w:kern w:val="0"/>
          <w:sz w:val="24"/>
          <w:szCs w:val="20"/>
          <w:highlight w:val="none"/>
        </w:rPr>
      </w:pPr>
      <w:bookmarkStart w:id="400" w:name="_Toc331685783"/>
      <w:r>
        <w:rPr>
          <w:rFonts w:hint="eastAsia" w:ascii="仿宋" w:hAnsi="仿宋" w:eastAsia="仿宋" w:cs="仿宋"/>
          <w:snapToGrid w:val="0"/>
          <w:color w:val="auto"/>
          <w:kern w:val="0"/>
          <w:sz w:val="24"/>
          <w:szCs w:val="20"/>
          <w:highlight w:val="none"/>
        </w:rPr>
        <w:t>参考住房城乡建设部、原国家工商行政管理总局制定的《建设工程施工合同（示范文本）》（GF-2017-0201）。</w:t>
      </w:r>
    </w:p>
    <w:p w14:paraId="3BC3980B">
      <w:pPr>
        <w:keepNext/>
        <w:keepLines/>
        <w:numPr>
          <w:ilvl w:val="1"/>
          <w:numId w:val="0"/>
        </w:numPr>
        <w:spacing w:before="100" w:line="360" w:lineRule="auto"/>
        <w:jc w:val="center"/>
        <w:outlineLvl w:val="1"/>
        <w:rPr>
          <w:rFonts w:ascii="仿宋" w:hAnsi="仿宋" w:eastAsia="仿宋" w:cs="仿宋"/>
          <w:snapToGrid w:val="0"/>
          <w:color w:val="auto"/>
          <w:kern w:val="44"/>
          <w:sz w:val="28"/>
          <w:szCs w:val="20"/>
          <w:highlight w:val="none"/>
        </w:rPr>
      </w:pPr>
      <w:r>
        <w:rPr>
          <w:rFonts w:hint="eastAsia" w:ascii="仿宋" w:hAnsi="仿宋" w:eastAsia="仿宋" w:cs="仿宋"/>
          <w:snapToGrid w:val="0"/>
          <w:color w:val="auto"/>
          <w:kern w:val="44"/>
          <w:sz w:val="24"/>
          <w:szCs w:val="20"/>
          <w:highlight w:val="none"/>
        </w:rPr>
        <w:br w:type="page"/>
      </w:r>
      <w:bookmarkStart w:id="401" w:name="_Toc97299497"/>
      <w:bookmarkStart w:id="402" w:name="_Toc32130"/>
      <w:r>
        <w:rPr>
          <w:rFonts w:hint="eastAsia" w:ascii="仿宋" w:hAnsi="仿宋" w:eastAsia="仿宋" w:cs="仿宋"/>
          <w:snapToGrid w:val="0"/>
          <w:color w:val="auto"/>
          <w:kern w:val="44"/>
          <w:sz w:val="28"/>
          <w:szCs w:val="20"/>
          <w:highlight w:val="none"/>
        </w:rPr>
        <w:t>第一部分  合同协议书</w:t>
      </w:r>
      <w:bookmarkEnd w:id="401"/>
      <w:bookmarkEnd w:id="402"/>
    </w:p>
    <w:p w14:paraId="27454AEF">
      <w:pPr>
        <w:snapToGrid w:val="0"/>
        <w:spacing w:line="360" w:lineRule="auto"/>
        <w:ind w:firstLine="470" w:firstLineChars="196"/>
        <w:rPr>
          <w:rFonts w:ascii="仿宋" w:hAnsi="仿宋" w:eastAsia="仿宋" w:cs="仿宋"/>
          <w:snapToGrid w:val="0"/>
          <w:color w:val="auto"/>
          <w:kern w:val="0"/>
          <w:sz w:val="24"/>
          <w:highlight w:val="none"/>
          <w:u w:val="single"/>
        </w:rPr>
      </w:pPr>
      <w:r>
        <w:rPr>
          <w:rFonts w:hint="eastAsia" w:ascii="仿宋" w:hAnsi="仿宋" w:eastAsia="仿宋" w:cs="仿宋"/>
          <w:snapToGrid w:val="0"/>
          <w:color w:val="auto"/>
          <w:kern w:val="0"/>
          <w:sz w:val="24"/>
          <w:highlight w:val="none"/>
        </w:rPr>
        <w:t>发包人（全称）：</w:t>
      </w:r>
      <w:r>
        <w:rPr>
          <w:rFonts w:hint="eastAsia" w:ascii="仿宋" w:hAnsi="仿宋" w:eastAsia="仿宋" w:cs="仿宋"/>
          <w:snapToGrid w:val="0"/>
          <w:color w:val="auto"/>
          <w:kern w:val="0"/>
          <w:sz w:val="24"/>
          <w:highlight w:val="none"/>
          <w:u w:val="single"/>
        </w:rPr>
        <w:t>杭州市公安局</w:t>
      </w:r>
    </w:p>
    <w:p w14:paraId="1BA1375A">
      <w:pPr>
        <w:snapToGrid w:val="0"/>
        <w:spacing w:line="360" w:lineRule="auto"/>
        <w:ind w:firstLine="470" w:firstLineChars="196"/>
        <w:rPr>
          <w:rFonts w:ascii="仿宋" w:hAnsi="仿宋" w:eastAsia="仿宋" w:cs="仿宋"/>
          <w:b/>
          <w:snapToGrid w:val="0"/>
          <w:color w:val="auto"/>
          <w:kern w:val="0"/>
          <w:sz w:val="24"/>
          <w:highlight w:val="none"/>
          <w:u w:val="single"/>
        </w:rPr>
      </w:pPr>
      <w:r>
        <w:rPr>
          <w:rFonts w:hint="eastAsia" w:ascii="仿宋" w:hAnsi="仿宋" w:eastAsia="仿宋" w:cs="仿宋"/>
          <w:snapToGrid w:val="0"/>
          <w:color w:val="auto"/>
          <w:kern w:val="0"/>
          <w:sz w:val="24"/>
          <w:highlight w:val="none"/>
        </w:rPr>
        <w:t>承包人（全称）：</w:t>
      </w:r>
      <w:r>
        <w:rPr>
          <w:rFonts w:hint="eastAsia" w:ascii="仿宋" w:hAnsi="仿宋" w:eastAsia="仿宋" w:cs="仿宋"/>
          <w:snapToGrid w:val="0"/>
          <w:color w:val="auto"/>
          <w:kern w:val="0"/>
          <w:sz w:val="24"/>
          <w:highlight w:val="none"/>
          <w:u w:val="single"/>
        </w:rPr>
        <w:t xml:space="preserve">                  </w:t>
      </w:r>
      <w:bookmarkStart w:id="403" w:name="SOA_hhxys_cbr"/>
      <w:bookmarkEnd w:id="403"/>
    </w:p>
    <w:p w14:paraId="48B161A9">
      <w:pPr>
        <w:snapToGrid w:val="0"/>
        <w:spacing w:line="360"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根据《中华人民共和国民法典》、 《中华人民共和国建筑法》及有关法律规定，遵循平等、自愿、公平和诚实信用的原则，双方就</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u w:val="single"/>
          <w:lang w:eastAsia="zh-CN"/>
        </w:rPr>
        <w:t>强制隔离戒毒所消防整改项目</w:t>
      </w:r>
      <w:r>
        <w:rPr>
          <w:rFonts w:hint="eastAsia" w:ascii="仿宋" w:hAnsi="仿宋" w:eastAsia="仿宋" w:cs="仿宋"/>
          <w:snapToGrid w:val="0"/>
          <w:color w:val="auto"/>
          <w:kern w:val="0"/>
          <w:sz w:val="24"/>
          <w:highlight w:val="none"/>
        </w:rPr>
        <w:t>施工及有关事项协商一致，共同达成如下协议：</w:t>
      </w:r>
    </w:p>
    <w:p w14:paraId="7230810F">
      <w:pPr>
        <w:snapToGrid w:val="0"/>
        <w:spacing w:before="24" w:beforeLines="10" w:after="24" w:afterLines="10" w:line="360" w:lineRule="auto"/>
        <w:outlineLvl w:val="1"/>
        <w:rPr>
          <w:rFonts w:ascii="仿宋" w:hAnsi="仿宋" w:eastAsia="仿宋" w:cs="仿宋"/>
          <w:b/>
          <w:bCs/>
          <w:snapToGrid w:val="0"/>
          <w:color w:val="auto"/>
          <w:kern w:val="0"/>
          <w:sz w:val="24"/>
          <w:highlight w:val="none"/>
        </w:rPr>
      </w:pPr>
      <w:bookmarkStart w:id="404" w:name="_Toc361220410"/>
      <w:bookmarkStart w:id="405" w:name="_Toc97299498"/>
      <w:r>
        <w:rPr>
          <w:rFonts w:hint="eastAsia" w:ascii="仿宋" w:hAnsi="仿宋" w:eastAsia="仿宋" w:cs="仿宋"/>
          <w:b/>
          <w:bCs/>
          <w:snapToGrid w:val="0"/>
          <w:color w:val="auto"/>
          <w:kern w:val="0"/>
          <w:sz w:val="24"/>
          <w:highlight w:val="none"/>
        </w:rPr>
        <w:t>一、工程概况</w:t>
      </w:r>
      <w:bookmarkEnd w:id="404"/>
      <w:bookmarkEnd w:id="405"/>
    </w:p>
    <w:p w14:paraId="2A9C2EE3">
      <w:pPr>
        <w:snapToGrid w:val="0"/>
        <w:spacing w:line="360" w:lineRule="auto"/>
        <w:ind w:firstLine="470" w:firstLineChars="196"/>
        <w:rPr>
          <w:rFonts w:ascii="仿宋" w:hAnsi="仿宋" w:eastAsia="仿宋" w:cs="仿宋"/>
          <w:snapToGrid w:val="0"/>
          <w:color w:val="auto"/>
          <w:kern w:val="0"/>
          <w:sz w:val="24"/>
          <w:highlight w:val="none"/>
          <w:u w:val="single"/>
        </w:rPr>
      </w:pPr>
      <w:r>
        <w:rPr>
          <w:rFonts w:hint="eastAsia" w:ascii="仿宋" w:hAnsi="仿宋" w:eastAsia="仿宋" w:cs="仿宋"/>
          <w:bCs/>
          <w:snapToGrid w:val="0"/>
          <w:color w:val="auto"/>
          <w:kern w:val="0"/>
          <w:sz w:val="24"/>
          <w:highlight w:val="none"/>
        </w:rPr>
        <w:t>1.工程名称</w:t>
      </w:r>
      <w:r>
        <w:rPr>
          <w:rFonts w:hint="eastAsia" w:ascii="仿宋" w:hAnsi="仿宋" w:eastAsia="仿宋" w:cs="仿宋"/>
          <w:snapToGrid w:val="0"/>
          <w:color w:val="auto"/>
          <w:kern w:val="0"/>
          <w:sz w:val="24"/>
          <w:highlight w:val="none"/>
        </w:rPr>
        <w:t>：</w:t>
      </w:r>
      <w:r>
        <w:rPr>
          <w:rFonts w:hint="eastAsia" w:ascii="仿宋" w:hAnsi="仿宋" w:eastAsia="仿宋" w:cs="仿宋"/>
          <w:snapToGrid w:val="0"/>
          <w:color w:val="auto"/>
          <w:kern w:val="0"/>
          <w:sz w:val="24"/>
          <w:highlight w:val="none"/>
          <w:u w:val="single"/>
          <w:lang w:eastAsia="zh-CN"/>
        </w:rPr>
        <w:t>强制隔离戒毒所消防整改项目</w:t>
      </w:r>
      <w:r>
        <w:rPr>
          <w:rFonts w:hint="eastAsia" w:ascii="仿宋" w:hAnsi="仿宋" w:eastAsia="仿宋" w:cs="仿宋"/>
          <w:snapToGrid w:val="0"/>
          <w:color w:val="auto"/>
          <w:kern w:val="0"/>
          <w:sz w:val="24"/>
          <w:highlight w:val="none"/>
        </w:rPr>
        <w:t>。</w:t>
      </w:r>
    </w:p>
    <w:p w14:paraId="2C8934D5">
      <w:pPr>
        <w:snapToGrid w:val="0"/>
        <w:spacing w:line="360" w:lineRule="auto"/>
        <w:ind w:firstLine="470" w:firstLineChars="196"/>
        <w:rPr>
          <w:rFonts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2.工程地点：</w:t>
      </w:r>
      <w:r>
        <w:rPr>
          <w:rFonts w:hint="eastAsia" w:ascii="仿宋" w:hAnsi="仿宋" w:eastAsia="仿宋" w:cs="仿宋"/>
          <w:color w:val="auto"/>
          <w:sz w:val="24"/>
          <w:highlight w:val="none"/>
          <w:u w:val="single"/>
        </w:rPr>
        <w:t>杭州市</w:t>
      </w:r>
      <w:r>
        <w:rPr>
          <w:rFonts w:hint="eastAsia" w:ascii="仿宋" w:hAnsi="仿宋" w:eastAsia="仿宋" w:cs="仿宋"/>
          <w:color w:val="auto"/>
          <w:sz w:val="24"/>
          <w:highlight w:val="none"/>
          <w:u w:val="single"/>
          <w:lang w:val="en-US" w:eastAsia="zh-CN"/>
        </w:rPr>
        <w:t>余杭区良渚街道瑶山路38号</w:t>
      </w:r>
      <w:r>
        <w:rPr>
          <w:rFonts w:hint="eastAsia" w:ascii="仿宋" w:hAnsi="仿宋" w:eastAsia="仿宋" w:cs="仿宋"/>
          <w:bCs/>
          <w:snapToGrid w:val="0"/>
          <w:color w:val="auto"/>
          <w:kern w:val="0"/>
          <w:sz w:val="24"/>
          <w:highlight w:val="none"/>
        </w:rPr>
        <w:t>。</w:t>
      </w:r>
    </w:p>
    <w:p w14:paraId="6F1C7F56">
      <w:pPr>
        <w:snapToGrid w:val="0"/>
        <w:spacing w:line="360" w:lineRule="auto"/>
        <w:ind w:firstLine="470" w:firstLineChars="196"/>
        <w:rPr>
          <w:rFonts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3.工程立项批准文号：</w:t>
      </w:r>
      <w:r>
        <w:rPr>
          <w:rFonts w:hint="eastAsia" w:ascii="仿宋" w:hAnsi="仿宋" w:eastAsia="仿宋" w:cs="仿宋"/>
          <w:bCs/>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bCs/>
          <w:snapToGrid w:val="0"/>
          <w:color w:val="auto"/>
          <w:kern w:val="0"/>
          <w:sz w:val="24"/>
          <w:highlight w:val="none"/>
        </w:rPr>
        <w:t>。</w:t>
      </w:r>
    </w:p>
    <w:p w14:paraId="3E673E64">
      <w:pPr>
        <w:snapToGrid w:val="0"/>
        <w:spacing w:line="360" w:lineRule="auto"/>
        <w:ind w:firstLine="470" w:firstLineChars="196"/>
        <w:rPr>
          <w:rFonts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4.资金来源：</w:t>
      </w:r>
      <w:r>
        <w:rPr>
          <w:rFonts w:hint="eastAsia" w:ascii="仿宋" w:hAnsi="仿宋" w:eastAsia="仿宋" w:cs="仿宋"/>
          <w:snapToGrid w:val="0"/>
          <w:color w:val="auto"/>
          <w:kern w:val="0"/>
          <w:sz w:val="24"/>
          <w:highlight w:val="none"/>
          <w:u w:val="single"/>
        </w:rPr>
        <w:t>财政资金</w:t>
      </w:r>
      <w:r>
        <w:rPr>
          <w:rFonts w:hint="eastAsia" w:ascii="仿宋" w:hAnsi="仿宋" w:eastAsia="仿宋" w:cs="仿宋"/>
          <w:bCs/>
          <w:snapToGrid w:val="0"/>
          <w:color w:val="auto"/>
          <w:kern w:val="0"/>
          <w:sz w:val="24"/>
          <w:highlight w:val="none"/>
        </w:rPr>
        <w:t>。</w:t>
      </w:r>
    </w:p>
    <w:p w14:paraId="0B9F8895">
      <w:pPr>
        <w:snapToGrid w:val="0"/>
        <w:spacing w:line="360" w:lineRule="auto"/>
        <w:ind w:firstLine="463" w:firstLineChars="193"/>
        <w:rPr>
          <w:rFonts w:ascii="仿宋" w:hAnsi="仿宋" w:eastAsia="仿宋" w:cs="仿宋"/>
          <w:snapToGrid w:val="0"/>
          <w:color w:val="auto"/>
          <w:kern w:val="0"/>
          <w:sz w:val="24"/>
          <w:highlight w:val="none"/>
        </w:rPr>
      </w:pPr>
      <w:r>
        <w:rPr>
          <w:rFonts w:hint="eastAsia" w:ascii="仿宋" w:hAnsi="仿宋" w:eastAsia="仿宋" w:cs="仿宋"/>
          <w:bCs/>
          <w:snapToGrid w:val="0"/>
          <w:color w:val="auto"/>
          <w:kern w:val="0"/>
          <w:sz w:val="24"/>
          <w:highlight w:val="none"/>
        </w:rPr>
        <w:t>5.工程内容：</w:t>
      </w:r>
      <w:r>
        <w:rPr>
          <w:rFonts w:hint="eastAsia" w:ascii="仿宋" w:hAnsi="仿宋" w:eastAsia="仿宋" w:cs="仿宋"/>
          <w:bCs/>
          <w:snapToGrid w:val="0"/>
          <w:color w:val="auto"/>
          <w:kern w:val="0"/>
          <w:sz w:val="24"/>
          <w:highlight w:val="none"/>
          <w:u w:val="single"/>
        </w:rPr>
        <w:t>完成</w:t>
      </w:r>
      <w:r>
        <w:rPr>
          <w:rFonts w:hint="eastAsia" w:ascii="仿宋" w:hAnsi="仿宋" w:eastAsia="仿宋" w:cs="仿宋"/>
          <w:bCs/>
          <w:snapToGrid w:val="0"/>
          <w:color w:val="auto"/>
          <w:kern w:val="0"/>
          <w:sz w:val="24"/>
          <w:highlight w:val="none"/>
          <w:u w:val="single"/>
          <w:lang w:val="en-US" w:eastAsia="zh-CN"/>
        </w:rPr>
        <w:t>杭州市强制隔离戒毒所消防整改项目</w:t>
      </w:r>
      <w:r>
        <w:rPr>
          <w:rFonts w:hint="eastAsia" w:ascii="仿宋" w:hAnsi="仿宋" w:eastAsia="仿宋" w:cs="仿宋"/>
          <w:bCs/>
          <w:snapToGrid w:val="0"/>
          <w:color w:val="auto"/>
          <w:kern w:val="0"/>
          <w:sz w:val="24"/>
          <w:highlight w:val="none"/>
          <w:u w:val="single"/>
        </w:rPr>
        <w:t>，通过</w:t>
      </w:r>
      <w:r>
        <w:rPr>
          <w:rFonts w:hint="eastAsia" w:ascii="仿宋" w:hAnsi="仿宋" w:eastAsia="仿宋" w:cs="仿宋"/>
          <w:bCs/>
          <w:snapToGrid w:val="0"/>
          <w:color w:val="auto"/>
          <w:kern w:val="0"/>
          <w:sz w:val="24"/>
          <w:highlight w:val="none"/>
          <w:u w:val="single"/>
          <w:lang w:val="en-US" w:eastAsia="zh-CN"/>
        </w:rPr>
        <w:t>第三方技术服务机构</w:t>
      </w:r>
      <w:r>
        <w:rPr>
          <w:rFonts w:hint="eastAsia" w:ascii="仿宋" w:hAnsi="仿宋" w:eastAsia="仿宋" w:cs="仿宋"/>
          <w:bCs/>
          <w:snapToGrid w:val="0"/>
          <w:color w:val="auto"/>
          <w:kern w:val="0"/>
          <w:sz w:val="24"/>
          <w:highlight w:val="none"/>
          <w:u w:val="single"/>
        </w:rPr>
        <w:t>确认。</w:t>
      </w:r>
      <w:r>
        <w:rPr>
          <w:rFonts w:hint="eastAsia" w:ascii="仿宋" w:hAnsi="仿宋" w:eastAsia="仿宋" w:cs="仿宋"/>
          <w:bCs/>
          <w:snapToGrid w:val="0"/>
          <w:color w:val="auto"/>
          <w:kern w:val="0"/>
          <w:sz w:val="24"/>
          <w:highlight w:val="none"/>
          <w:u w:val="single"/>
          <w:lang w:val="en-US" w:eastAsia="zh-CN"/>
        </w:rPr>
        <w:t>本项目主要涉及</w:t>
      </w:r>
      <w:r>
        <w:rPr>
          <w:rFonts w:hint="eastAsia" w:ascii="仿宋" w:hAnsi="仿宋" w:eastAsia="仿宋" w:cs="仿宋"/>
          <w:b w:val="0"/>
          <w:bCs/>
          <w:color w:val="auto"/>
          <w:sz w:val="24"/>
          <w:highlight w:val="none"/>
          <w:u w:val="single"/>
          <w:lang w:val="en-US" w:eastAsia="zh-CN"/>
        </w:rPr>
        <w:t>消控室、新建</w:t>
      </w:r>
      <w:r>
        <w:rPr>
          <w:rFonts w:hint="eastAsia" w:ascii="仿宋" w:hAnsi="仿宋" w:eastAsia="仿宋" w:cs="仿宋"/>
          <w:bCs/>
          <w:snapToGrid w:val="0"/>
          <w:color w:val="auto"/>
          <w:kern w:val="0"/>
          <w:sz w:val="24"/>
          <w:highlight w:val="none"/>
          <w:u w:val="single"/>
          <w:lang w:val="en-US" w:eastAsia="zh-CN"/>
        </w:rPr>
        <w:t>消防水池及水泵房室外消火栓、火灾报警控制器（联动型）、门窗封堵改动以及增添灭火器等内容。施工改造面积约10000㎡。</w:t>
      </w:r>
    </w:p>
    <w:p w14:paraId="784F6F02">
      <w:pPr>
        <w:snapToGrid w:val="0"/>
        <w:spacing w:line="360" w:lineRule="auto"/>
        <w:ind w:firstLine="470" w:firstLineChars="196"/>
        <w:rPr>
          <w:rFonts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6.工程承包范围：</w:t>
      </w:r>
      <w:bookmarkStart w:id="406" w:name="_Toc361220411"/>
      <w:r>
        <w:rPr>
          <w:rFonts w:hint="eastAsia" w:ascii="仿宋" w:hAnsi="仿宋" w:eastAsia="仿宋" w:cs="仿宋"/>
          <w:bCs/>
          <w:snapToGrid w:val="0"/>
          <w:color w:val="auto"/>
          <w:kern w:val="0"/>
          <w:sz w:val="24"/>
          <w:highlight w:val="none"/>
          <w:u w:val="single"/>
        </w:rPr>
        <w:t>施工图、工程量清单及其编制说明、竞争性磋商文件中明确的内容为准，可能出现的施工图设计变更及根据发包人明确指令需在施工图范围外增加的工程量及施工图范围内减少的工程量。</w:t>
      </w:r>
    </w:p>
    <w:p w14:paraId="1E9D2D2F">
      <w:pPr>
        <w:snapToGrid w:val="0"/>
        <w:spacing w:line="360" w:lineRule="auto"/>
        <w:outlineLvl w:val="1"/>
        <w:rPr>
          <w:rFonts w:ascii="仿宋" w:hAnsi="仿宋" w:eastAsia="仿宋" w:cs="仿宋"/>
          <w:b/>
          <w:bCs/>
          <w:snapToGrid w:val="0"/>
          <w:color w:val="auto"/>
          <w:kern w:val="0"/>
          <w:sz w:val="24"/>
          <w:highlight w:val="none"/>
        </w:rPr>
      </w:pPr>
      <w:bookmarkStart w:id="407" w:name="_Toc97299499"/>
      <w:r>
        <w:rPr>
          <w:rFonts w:hint="eastAsia" w:ascii="仿宋" w:hAnsi="仿宋" w:eastAsia="仿宋" w:cs="仿宋"/>
          <w:b/>
          <w:bCs/>
          <w:snapToGrid w:val="0"/>
          <w:color w:val="auto"/>
          <w:kern w:val="0"/>
          <w:sz w:val="24"/>
          <w:highlight w:val="none"/>
        </w:rPr>
        <w:t>二、合同工期</w:t>
      </w:r>
      <w:bookmarkEnd w:id="406"/>
      <w:bookmarkEnd w:id="407"/>
    </w:p>
    <w:p w14:paraId="24653E47">
      <w:pPr>
        <w:snapToGrid w:val="0"/>
        <w:spacing w:line="360" w:lineRule="auto"/>
        <w:ind w:firstLine="459"/>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计划开工日期：</w:t>
      </w:r>
      <w:r>
        <w:rPr>
          <w:rFonts w:hint="eastAsia" w:ascii="仿宋" w:hAnsi="仿宋" w:eastAsia="仿宋" w:cs="仿宋"/>
          <w:snapToGrid w:val="0"/>
          <w:color w:val="auto"/>
          <w:kern w:val="0"/>
          <w:sz w:val="24"/>
          <w:highlight w:val="none"/>
          <w:u w:val="single"/>
        </w:rPr>
        <w:t>202</w:t>
      </w:r>
      <w:r>
        <w:rPr>
          <w:rFonts w:ascii="仿宋" w:hAnsi="仿宋" w:eastAsia="仿宋" w:cs="仿宋"/>
          <w:snapToGrid w:val="0"/>
          <w:color w:val="auto"/>
          <w:kern w:val="0"/>
          <w:sz w:val="24"/>
          <w:highlight w:val="none"/>
          <w:u w:val="single"/>
        </w:rPr>
        <w:t>4</w:t>
      </w:r>
      <w:r>
        <w:rPr>
          <w:rFonts w:hint="eastAsia" w:ascii="仿宋" w:hAnsi="仿宋" w:eastAsia="仿宋" w:cs="仿宋"/>
          <w:snapToGrid w:val="0"/>
          <w:color w:val="auto"/>
          <w:kern w:val="0"/>
          <w:sz w:val="24"/>
          <w:highlight w:val="none"/>
        </w:rPr>
        <w:t>年 月；</w:t>
      </w:r>
    </w:p>
    <w:p w14:paraId="44D45D3D">
      <w:pPr>
        <w:snapToGrid w:val="0"/>
        <w:spacing w:line="360" w:lineRule="auto"/>
        <w:ind w:firstLine="459"/>
        <w:rPr>
          <w:rFonts w:ascii="仿宋" w:hAnsi="仿宋" w:eastAsia="仿宋" w:cs="仿宋"/>
          <w:snapToGrid w:val="0"/>
          <w:color w:val="auto"/>
          <w:kern w:val="0"/>
          <w:sz w:val="24"/>
          <w:highlight w:val="none"/>
        </w:rPr>
      </w:pPr>
      <w:bookmarkStart w:id="408" w:name="SOA_hhxys_jgn"/>
      <w:r>
        <w:rPr>
          <w:rFonts w:hint="eastAsia" w:ascii="仿宋" w:hAnsi="仿宋" w:eastAsia="仿宋" w:cs="仿宋"/>
          <w:snapToGrid w:val="0"/>
          <w:color w:val="auto"/>
          <w:kern w:val="0"/>
          <w:sz w:val="24"/>
          <w:highlight w:val="none"/>
        </w:rPr>
        <w:t>计划竣工日期：</w:t>
      </w:r>
      <w:r>
        <w:rPr>
          <w:rFonts w:hint="eastAsia" w:ascii="仿宋" w:hAnsi="仿宋" w:eastAsia="仿宋" w:cs="仿宋"/>
          <w:snapToGrid w:val="0"/>
          <w:color w:val="auto"/>
          <w:kern w:val="0"/>
          <w:sz w:val="24"/>
          <w:highlight w:val="none"/>
          <w:u w:val="single"/>
        </w:rPr>
        <w:t>2024</w:t>
      </w:r>
      <w:r>
        <w:rPr>
          <w:rFonts w:hint="eastAsia" w:ascii="仿宋" w:hAnsi="仿宋" w:eastAsia="仿宋" w:cs="仿宋"/>
          <w:snapToGrid w:val="0"/>
          <w:color w:val="auto"/>
          <w:kern w:val="0"/>
          <w:sz w:val="24"/>
          <w:highlight w:val="none"/>
        </w:rPr>
        <w:t>年 月；</w:t>
      </w:r>
      <w:bookmarkEnd w:id="408"/>
    </w:p>
    <w:p w14:paraId="0C2E84E8">
      <w:pPr>
        <w:snapToGrid w:val="0"/>
        <w:spacing w:line="360" w:lineRule="auto"/>
        <w:ind w:firstLine="459"/>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工期总日历天数：</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u w:val="single"/>
          <w:lang w:val="en-US" w:eastAsia="zh-CN"/>
        </w:rPr>
        <w:t>150</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天。工期总日历天数与根据前述计划开竣工日期计算的工期天数不一致的，以工期总日历天数为准。</w:t>
      </w:r>
    </w:p>
    <w:p w14:paraId="49855D78">
      <w:pPr>
        <w:snapToGrid w:val="0"/>
        <w:spacing w:line="360" w:lineRule="auto"/>
        <w:outlineLvl w:val="1"/>
        <w:rPr>
          <w:rFonts w:ascii="仿宋" w:hAnsi="仿宋" w:eastAsia="仿宋" w:cs="仿宋"/>
          <w:b/>
          <w:bCs/>
          <w:snapToGrid w:val="0"/>
          <w:color w:val="auto"/>
          <w:kern w:val="0"/>
          <w:sz w:val="24"/>
          <w:highlight w:val="none"/>
        </w:rPr>
      </w:pPr>
      <w:bookmarkStart w:id="409" w:name="_Toc361220412"/>
      <w:bookmarkStart w:id="410" w:name="_Toc97299500"/>
      <w:r>
        <w:rPr>
          <w:rFonts w:hint="eastAsia" w:ascii="仿宋" w:hAnsi="仿宋" w:eastAsia="仿宋" w:cs="仿宋"/>
          <w:b/>
          <w:bCs/>
          <w:snapToGrid w:val="0"/>
          <w:color w:val="auto"/>
          <w:kern w:val="0"/>
          <w:sz w:val="24"/>
          <w:highlight w:val="none"/>
        </w:rPr>
        <w:t>三、质量标准</w:t>
      </w:r>
      <w:bookmarkEnd w:id="409"/>
      <w:bookmarkEnd w:id="410"/>
    </w:p>
    <w:p w14:paraId="55CE25DD">
      <w:pPr>
        <w:snapToGrid w:val="0"/>
        <w:spacing w:line="360" w:lineRule="auto"/>
        <w:ind w:firstLine="459"/>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工程质量符合</w:t>
      </w:r>
      <w:r>
        <w:rPr>
          <w:rFonts w:hint="eastAsia" w:ascii="仿宋" w:hAnsi="仿宋" w:eastAsia="仿宋" w:cs="仿宋"/>
          <w:snapToGrid w:val="0"/>
          <w:color w:val="auto"/>
          <w:kern w:val="0"/>
          <w:sz w:val="24"/>
          <w:highlight w:val="none"/>
          <w:u w:val="single"/>
        </w:rPr>
        <w:t>符合国家有关工程施工验收规范和标准的合格要求</w:t>
      </w:r>
      <w:r>
        <w:rPr>
          <w:rFonts w:hint="eastAsia" w:ascii="仿宋" w:hAnsi="仿宋" w:eastAsia="仿宋" w:cs="仿宋"/>
          <w:snapToGrid w:val="0"/>
          <w:color w:val="auto"/>
          <w:kern w:val="0"/>
          <w:sz w:val="24"/>
          <w:highlight w:val="none"/>
        </w:rPr>
        <w:t>标准。</w:t>
      </w:r>
    </w:p>
    <w:p w14:paraId="09E0E96E">
      <w:pPr>
        <w:snapToGrid w:val="0"/>
        <w:spacing w:line="360" w:lineRule="auto"/>
        <w:outlineLvl w:val="1"/>
        <w:rPr>
          <w:rFonts w:ascii="仿宋" w:hAnsi="仿宋" w:eastAsia="仿宋" w:cs="仿宋"/>
          <w:b/>
          <w:bCs/>
          <w:snapToGrid w:val="0"/>
          <w:color w:val="auto"/>
          <w:kern w:val="0"/>
          <w:sz w:val="24"/>
          <w:highlight w:val="none"/>
        </w:rPr>
      </w:pPr>
      <w:bookmarkStart w:id="411" w:name="_Toc97299501"/>
      <w:bookmarkStart w:id="412" w:name="_Toc361220413"/>
      <w:r>
        <w:rPr>
          <w:rFonts w:hint="eastAsia" w:ascii="仿宋" w:hAnsi="仿宋" w:eastAsia="仿宋" w:cs="仿宋"/>
          <w:b/>
          <w:bCs/>
          <w:snapToGrid w:val="0"/>
          <w:color w:val="auto"/>
          <w:kern w:val="0"/>
          <w:sz w:val="24"/>
          <w:highlight w:val="none"/>
        </w:rPr>
        <w:t>四、签约合同价与合同价格形式</w:t>
      </w:r>
      <w:bookmarkEnd w:id="411"/>
      <w:bookmarkEnd w:id="412"/>
    </w:p>
    <w:p w14:paraId="76E23618">
      <w:pPr>
        <w:snapToGrid w:val="0"/>
        <w:spacing w:line="360"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1.签约合同价为：</w:t>
      </w:r>
    </w:p>
    <w:p w14:paraId="4B7547B6">
      <w:pPr>
        <w:snapToGrid w:val="0"/>
        <w:spacing w:line="360" w:lineRule="auto"/>
        <w:ind w:firstLine="600" w:firstLineChars="25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人民币（大写）</w:t>
      </w:r>
      <w:bookmarkStart w:id="413" w:name="SOA_hhxys_htjdx"/>
      <w:bookmarkEnd w:id="413"/>
      <w:r>
        <w:rPr>
          <w:rFonts w:hint="eastAsia" w:ascii="仿宋" w:hAnsi="仿宋" w:eastAsia="仿宋" w:cs="仿宋"/>
          <w:snapToGrid w:val="0"/>
          <w:color w:val="auto"/>
          <w:kern w:val="0"/>
          <w:sz w:val="24"/>
          <w:highlight w:val="none"/>
          <w:u w:val="single"/>
          <w:lang w:val="en-US" w:eastAsia="zh-CN"/>
        </w:rPr>
        <w:t xml:space="preserve">         </w:t>
      </w:r>
      <w:r>
        <w:rPr>
          <w:rFonts w:hint="eastAsia" w:ascii="仿宋" w:hAnsi="仿宋" w:eastAsia="仿宋" w:cs="仿宋"/>
          <w:snapToGrid w:val="0"/>
          <w:color w:val="auto"/>
          <w:kern w:val="0"/>
          <w:sz w:val="24"/>
          <w:highlight w:val="none"/>
        </w:rPr>
        <w:t>(¥</w:t>
      </w:r>
      <w:r>
        <w:rPr>
          <w:rFonts w:hint="eastAsia" w:ascii="仿宋" w:hAnsi="仿宋" w:eastAsia="仿宋" w:cs="仿宋"/>
          <w:snapToGrid w:val="0"/>
          <w:color w:val="auto"/>
          <w:kern w:val="0"/>
          <w:sz w:val="24"/>
          <w:highlight w:val="none"/>
          <w:u w:val="single"/>
          <w:lang w:val="en-US" w:eastAsia="zh-CN"/>
        </w:rPr>
        <w:t xml:space="preserve">       </w:t>
      </w:r>
      <w:r>
        <w:rPr>
          <w:rFonts w:hint="eastAsia" w:ascii="仿宋" w:hAnsi="仿宋" w:eastAsia="仿宋" w:cs="仿宋"/>
          <w:snapToGrid w:val="0"/>
          <w:color w:val="auto"/>
          <w:kern w:val="0"/>
          <w:sz w:val="24"/>
          <w:highlight w:val="none"/>
        </w:rPr>
        <w:t>元)；</w:t>
      </w:r>
    </w:p>
    <w:p w14:paraId="5E787E15">
      <w:pPr>
        <w:snapToGrid w:val="0"/>
        <w:spacing w:line="360"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其中：</w:t>
      </w:r>
    </w:p>
    <w:p w14:paraId="3C4265B1">
      <w:pPr>
        <w:snapToGrid w:val="0"/>
        <w:spacing w:line="360"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（1）安全文明施工费：</w:t>
      </w:r>
    </w:p>
    <w:p w14:paraId="6A2F3D54">
      <w:pPr>
        <w:snapToGrid w:val="0"/>
        <w:spacing w:line="360" w:lineRule="auto"/>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     人民币（大写）</w:t>
      </w:r>
      <w:bookmarkStart w:id="414" w:name="SOA_hhxys_wmsgfdx"/>
      <w:bookmarkEnd w:id="414"/>
      <w:r>
        <w:rPr>
          <w:rFonts w:hint="eastAsia" w:ascii="仿宋" w:hAnsi="仿宋" w:eastAsia="仿宋" w:cs="仿宋"/>
          <w:snapToGrid w:val="0"/>
          <w:color w:val="auto"/>
          <w:kern w:val="0"/>
          <w:sz w:val="24"/>
          <w:highlight w:val="none"/>
          <w:u w:val="single"/>
          <w:lang w:val="en-US" w:eastAsia="zh-CN"/>
        </w:rPr>
        <w:t xml:space="preserve">         </w:t>
      </w:r>
      <w:r>
        <w:rPr>
          <w:rFonts w:hint="eastAsia" w:ascii="仿宋" w:hAnsi="仿宋" w:eastAsia="仿宋" w:cs="仿宋"/>
          <w:snapToGrid w:val="0"/>
          <w:color w:val="auto"/>
          <w:kern w:val="0"/>
          <w:sz w:val="24"/>
          <w:highlight w:val="none"/>
        </w:rPr>
        <w:t>(¥</w:t>
      </w:r>
      <w:r>
        <w:rPr>
          <w:rFonts w:hint="eastAsia" w:ascii="仿宋" w:hAnsi="仿宋" w:eastAsia="仿宋" w:cs="仿宋"/>
          <w:snapToGrid w:val="0"/>
          <w:color w:val="auto"/>
          <w:kern w:val="0"/>
          <w:sz w:val="24"/>
          <w:highlight w:val="none"/>
          <w:u w:val="single"/>
          <w:lang w:val="en-US" w:eastAsia="zh-CN"/>
        </w:rPr>
        <w:t xml:space="preserve">       </w:t>
      </w:r>
      <w:r>
        <w:rPr>
          <w:rFonts w:hint="eastAsia" w:ascii="仿宋" w:hAnsi="仿宋" w:eastAsia="仿宋" w:cs="仿宋"/>
          <w:snapToGrid w:val="0"/>
          <w:color w:val="auto"/>
          <w:kern w:val="0"/>
          <w:sz w:val="24"/>
          <w:highlight w:val="none"/>
        </w:rPr>
        <w:t>元)；</w:t>
      </w:r>
    </w:p>
    <w:p w14:paraId="362228A9">
      <w:pPr>
        <w:snapToGrid w:val="0"/>
        <w:spacing w:line="360"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（2）材料和工程设备暂估价金额：</w:t>
      </w:r>
    </w:p>
    <w:p w14:paraId="3499C9E7">
      <w:pPr>
        <w:snapToGrid w:val="0"/>
        <w:spacing w:line="360" w:lineRule="auto"/>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     人民币（大写）</w:t>
      </w:r>
      <w:bookmarkStart w:id="415" w:name="SOA_hhxys_sbzgjdx"/>
      <w:bookmarkEnd w:id="415"/>
      <w:r>
        <w:rPr>
          <w:rFonts w:hint="eastAsia" w:ascii="仿宋" w:hAnsi="仿宋" w:eastAsia="仿宋" w:cs="仿宋"/>
          <w:snapToGrid w:val="0"/>
          <w:color w:val="auto"/>
          <w:kern w:val="0"/>
          <w:sz w:val="24"/>
          <w:highlight w:val="none"/>
          <w:u w:val="single"/>
          <w:lang w:val="en-US" w:eastAsia="zh-CN"/>
        </w:rPr>
        <w:t xml:space="preserve">         </w:t>
      </w:r>
      <w:r>
        <w:rPr>
          <w:rFonts w:hint="eastAsia" w:ascii="仿宋" w:hAnsi="仿宋" w:eastAsia="仿宋" w:cs="仿宋"/>
          <w:snapToGrid w:val="0"/>
          <w:color w:val="auto"/>
          <w:kern w:val="0"/>
          <w:sz w:val="24"/>
          <w:highlight w:val="none"/>
        </w:rPr>
        <w:t>(¥</w:t>
      </w:r>
      <w:bookmarkStart w:id="416" w:name="SOA_hhxys_sbzgjxx"/>
      <w:bookmarkEnd w:id="416"/>
      <w:r>
        <w:rPr>
          <w:rFonts w:hint="eastAsia" w:ascii="仿宋" w:hAnsi="仿宋" w:eastAsia="仿宋" w:cs="仿宋"/>
          <w:snapToGrid w:val="0"/>
          <w:color w:val="auto"/>
          <w:kern w:val="0"/>
          <w:sz w:val="24"/>
          <w:highlight w:val="none"/>
          <w:u w:val="single"/>
          <w:lang w:val="en-US" w:eastAsia="zh-CN"/>
        </w:rPr>
        <w:t xml:space="preserve">       </w:t>
      </w:r>
      <w:r>
        <w:rPr>
          <w:rFonts w:hint="eastAsia" w:ascii="仿宋" w:hAnsi="仿宋" w:eastAsia="仿宋" w:cs="仿宋"/>
          <w:snapToGrid w:val="0"/>
          <w:color w:val="auto"/>
          <w:kern w:val="0"/>
          <w:sz w:val="24"/>
          <w:highlight w:val="none"/>
        </w:rPr>
        <w:t>元)；</w:t>
      </w:r>
    </w:p>
    <w:p w14:paraId="0F157759">
      <w:pPr>
        <w:snapToGrid w:val="0"/>
        <w:spacing w:line="360"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（3）专业工程暂估价金额：</w:t>
      </w:r>
    </w:p>
    <w:p w14:paraId="3088DC12">
      <w:pPr>
        <w:snapToGrid w:val="0"/>
        <w:spacing w:line="360" w:lineRule="auto"/>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     人民币（大写）</w:t>
      </w:r>
      <w:bookmarkStart w:id="417" w:name="SOA_hhxys_gczgjdx"/>
      <w:bookmarkEnd w:id="417"/>
      <w:r>
        <w:rPr>
          <w:rFonts w:hint="eastAsia" w:ascii="仿宋" w:hAnsi="仿宋" w:eastAsia="仿宋" w:cs="仿宋"/>
          <w:snapToGrid w:val="0"/>
          <w:color w:val="auto"/>
          <w:kern w:val="0"/>
          <w:sz w:val="24"/>
          <w:highlight w:val="none"/>
          <w:u w:val="single"/>
          <w:lang w:val="en-US" w:eastAsia="zh-CN"/>
        </w:rPr>
        <w:t xml:space="preserve">         </w:t>
      </w:r>
      <w:r>
        <w:rPr>
          <w:rFonts w:hint="eastAsia" w:ascii="仿宋" w:hAnsi="仿宋" w:eastAsia="仿宋" w:cs="仿宋"/>
          <w:snapToGrid w:val="0"/>
          <w:color w:val="auto"/>
          <w:kern w:val="0"/>
          <w:sz w:val="24"/>
          <w:highlight w:val="none"/>
        </w:rPr>
        <w:t>(¥</w:t>
      </w:r>
      <w:r>
        <w:rPr>
          <w:rFonts w:hint="eastAsia" w:ascii="仿宋" w:hAnsi="仿宋" w:eastAsia="仿宋" w:cs="仿宋"/>
          <w:snapToGrid w:val="0"/>
          <w:color w:val="auto"/>
          <w:kern w:val="0"/>
          <w:sz w:val="24"/>
          <w:highlight w:val="none"/>
          <w:u w:val="single"/>
          <w:lang w:val="en-US" w:eastAsia="zh-CN"/>
        </w:rPr>
        <w:t xml:space="preserve">       </w:t>
      </w:r>
      <w:r>
        <w:rPr>
          <w:rFonts w:hint="eastAsia" w:ascii="仿宋" w:hAnsi="仿宋" w:eastAsia="仿宋" w:cs="仿宋"/>
          <w:snapToGrid w:val="0"/>
          <w:color w:val="auto"/>
          <w:kern w:val="0"/>
          <w:sz w:val="24"/>
          <w:highlight w:val="none"/>
        </w:rPr>
        <w:t>元)；</w:t>
      </w:r>
    </w:p>
    <w:p w14:paraId="3F36A4B0">
      <w:pPr>
        <w:snapToGrid w:val="0"/>
        <w:spacing w:line="360"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（4）暂列金额：</w:t>
      </w:r>
    </w:p>
    <w:p w14:paraId="4D5FA73A">
      <w:pPr>
        <w:snapToGrid w:val="0"/>
        <w:spacing w:line="360" w:lineRule="auto"/>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     人民币（大写）</w:t>
      </w:r>
      <w:bookmarkStart w:id="418" w:name="SOA_hhxys_zljedx"/>
      <w:bookmarkEnd w:id="418"/>
      <w:r>
        <w:rPr>
          <w:rFonts w:hint="eastAsia" w:ascii="仿宋" w:hAnsi="仿宋" w:eastAsia="仿宋" w:cs="仿宋"/>
          <w:snapToGrid w:val="0"/>
          <w:color w:val="auto"/>
          <w:kern w:val="0"/>
          <w:sz w:val="24"/>
          <w:highlight w:val="none"/>
          <w:u w:val="single"/>
          <w:lang w:val="en-US" w:eastAsia="zh-CN"/>
        </w:rPr>
        <w:t xml:space="preserve">         </w:t>
      </w:r>
      <w:r>
        <w:rPr>
          <w:rFonts w:hint="eastAsia" w:ascii="仿宋" w:hAnsi="仿宋" w:eastAsia="仿宋" w:cs="仿宋"/>
          <w:snapToGrid w:val="0"/>
          <w:color w:val="auto"/>
          <w:kern w:val="0"/>
          <w:sz w:val="24"/>
          <w:highlight w:val="none"/>
        </w:rPr>
        <w:t>(¥</w:t>
      </w:r>
      <w:r>
        <w:rPr>
          <w:rFonts w:hint="eastAsia" w:ascii="仿宋" w:hAnsi="仿宋" w:eastAsia="仿宋" w:cs="仿宋"/>
          <w:snapToGrid w:val="0"/>
          <w:color w:val="auto"/>
          <w:kern w:val="0"/>
          <w:sz w:val="24"/>
          <w:highlight w:val="none"/>
          <w:u w:val="single"/>
          <w:lang w:val="en-US" w:eastAsia="zh-CN"/>
        </w:rPr>
        <w:t xml:space="preserve">       </w:t>
      </w:r>
      <w:r>
        <w:rPr>
          <w:rFonts w:hint="eastAsia" w:ascii="仿宋" w:hAnsi="仿宋" w:eastAsia="仿宋" w:cs="仿宋"/>
          <w:snapToGrid w:val="0"/>
          <w:color w:val="auto"/>
          <w:kern w:val="0"/>
          <w:sz w:val="24"/>
          <w:highlight w:val="none"/>
        </w:rPr>
        <w:t>元)。</w:t>
      </w:r>
    </w:p>
    <w:p w14:paraId="52CA92AF">
      <w:pPr>
        <w:snapToGrid w:val="0"/>
        <w:spacing w:line="360"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2.合同价格形式：</w:t>
      </w:r>
      <w:r>
        <w:rPr>
          <w:rFonts w:hint="eastAsia" w:ascii="仿宋" w:hAnsi="仿宋" w:eastAsia="仿宋" w:cs="仿宋"/>
          <w:snapToGrid w:val="0"/>
          <w:color w:val="auto"/>
          <w:kern w:val="0"/>
          <w:sz w:val="24"/>
          <w:highlight w:val="none"/>
          <w:u w:val="single"/>
        </w:rPr>
        <w:t xml:space="preserve">单价合同 </w:t>
      </w:r>
      <w:r>
        <w:rPr>
          <w:rFonts w:hint="eastAsia" w:ascii="仿宋" w:hAnsi="仿宋" w:eastAsia="仿宋" w:cs="仿宋"/>
          <w:snapToGrid w:val="0"/>
          <w:color w:val="auto"/>
          <w:kern w:val="0"/>
          <w:sz w:val="24"/>
          <w:highlight w:val="none"/>
        </w:rPr>
        <w:t>。</w:t>
      </w:r>
    </w:p>
    <w:p w14:paraId="56A70E01">
      <w:pPr>
        <w:snapToGrid w:val="0"/>
        <w:spacing w:line="360" w:lineRule="auto"/>
        <w:outlineLvl w:val="1"/>
        <w:rPr>
          <w:rFonts w:hint="eastAsia" w:ascii="仿宋" w:hAnsi="仿宋" w:eastAsia="仿宋" w:cs="仿宋"/>
          <w:b/>
          <w:bCs/>
          <w:snapToGrid w:val="0"/>
          <w:color w:val="auto"/>
          <w:kern w:val="0"/>
          <w:sz w:val="24"/>
          <w:highlight w:val="none"/>
          <w:lang w:eastAsia="zh-CN"/>
        </w:rPr>
      </w:pPr>
      <w:bookmarkStart w:id="419" w:name="_Toc97299502"/>
      <w:bookmarkStart w:id="420" w:name="_Toc361220414"/>
      <w:r>
        <w:rPr>
          <w:rFonts w:hint="eastAsia" w:ascii="仿宋" w:hAnsi="仿宋" w:eastAsia="仿宋" w:cs="仿宋"/>
          <w:b/>
          <w:bCs/>
          <w:snapToGrid w:val="0"/>
          <w:color w:val="auto"/>
          <w:kern w:val="0"/>
          <w:sz w:val="24"/>
          <w:highlight w:val="none"/>
        </w:rPr>
        <w:t>五、</w:t>
      </w:r>
      <w:bookmarkEnd w:id="419"/>
      <w:bookmarkEnd w:id="420"/>
      <w:r>
        <w:rPr>
          <w:rFonts w:hint="eastAsia" w:ascii="仿宋" w:hAnsi="仿宋" w:eastAsia="仿宋" w:cs="仿宋"/>
          <w:b/>
          <w:bCs/>
          <w:snapToGrid w:val="0"/>
          <w:color w:val="auto"/>
          <w:kern w:val="0"/>
          <w:sz w:val="24"/>
          <w:highlight w:val="none"/>
          <w:lang w:eastAsia="zh-CN"/>
        </w:rPr>
        <w:t>项目负责人</w:t>
      </w:r>
    </w:p>
    <w:p w14:paraId="3437F08A">
      <w:pPr>
        <w:snapToGrid w:val="0"/>
        <w:spacing w:line="360"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承包人</w:t>
      </w:r>
      <w:r>
        <w:rPr>
          <w:rFonts w:hint="eastAsia" w:ascii="仿宋" w:hAnsi="仿宋" w:eastAsia="仿宋" w:cs="仿宋"/>
          <w:snapToGrid w:val="0"/>
          <w:color w:val="auto"/>
          <w:kern w:val="0"/>
          <w:sz w:val="24"/>
          <w:highlight w:val="none"/>
          <w:lang w:eastAsia="zh-CN"/>
        </w:rPr>
        <w:t>项目负责人</w:t>
      </w:r>
      <w:r>
        <w:rPr>
          <w:rFonts w:hint="eastAsia" w:ascii="仿宋" w:hAnsi="仿宋" w:eastAsia="仿宋" w:cs="仿宋"/>
          <w:snapToGrid w:val="0"/>
          <w:color w:val="auto"/>
          <w:kern w:val="0"/>
          <w:sz w:val="24"/>
          <w:highlight w:val="none"/>
        </w:rPr>
        <w:t>：</w:t>
      </w:r>
      <w:r>
        <w:rPr>
          <w:rFonts w:hint="eastAsia" w:ascii="仿宋" w:hAnsi="仿宋" w:eastAsia="仿宋" w:cs="仿宋"/>
          <w:snapToGrid w:val="0"/>
          <w:color w:val="auto"/>
          <w:kern w:val="0"/>
          <w:sz w:val="24"/>
          <w:highlight w:val="none"/>
          <w:u w:val="single"/>
        </w:rPr>
        <w:t></w:t>
      </w:r>
      <w:bookmarkStart w:id="421" w:name="SOA_hhxys_cbrxmjl"/>
      <w:bookmarkEnd w:id="421"/>
      <w:r>
        <w:rPr>
          <w:rFonts w:hint="eastAsia" w:ascii="仿宋" w:hAnsi="仿宋" w:eastAsia="仿宋" w:cs="仿宋"/>
          <w:snapToGrid w:val="0"/>
          <w:color w:val="auto"/>
          <w:kern w:val="0"/>
          <w:sz w:val="24"/>
          <w:highlight w:val="none"/>
          <w:u w:val="single"/>
          <w:lang w:eastAsia="zh-CN"/>
        </w:rPr>
        <w:t>待定</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w:t>
      </w:r>
    </w:p>
    <w:p w14:paraId="3DD22971">
      <w:pPr>
        <w:snapToGrid w:val="0"/>
        <w:spacing w:line="360" w:lineRule="auto"/>
        <w:outlineLvl w:val="1"/>
        <w:rPr>
          <w:rFonts w:ascii="仿宋" w:hAnsi="仿宋" w:eastAsia="仿宋" w:cs="仿宋"/>
          <w:b/>
          <w:bCs/>
          <w:snapToGrid w:val="0"/>
          <w:color w:val="auto"/>
          <w:kern w:val="0"/>
          <w:sz w:val="24"/>
          <w:highlight w:val="none"/>
        </w:rPr>
      </w:pPr>
      <w:bookmarkStart w:id="422" w:name="_Toc361220415"/>
      <w:bookmarkStart w:id="423" w:name="_Toc97299503"/>
      <w:r>
        <w:rPr>
          <w:rFonts w:hint="eastAsia" w:ascii="仿宋" w:hAnsi="仿宋" w:eastAsia="仿宋" w:cs="仿宋"/>
          <w:b/>
          <w:bCs/>
          <w:snapToGrid w:val="0"/>
          <w:color w:val="auto"/>
          <w:kern w:val="0"/>
          <w:sz w:val="24"/>
          <w:highlight w:val="none"/>
        </w:rPr>
        <w:t>六、合同文件构成</w:t>
      </w:r>
      <w:bookmarkEnd w:id="422"/>
      <w:bookmarkEnd w:id="423"/>
    </w:p>
    <w:p w14:paraId="14B823EE">
      <w:pPr>
        <w:snapToGrid w:val="0"/>
        <w:spacing w:line="360" w:lineRule="auto"/>
        <w:ind w:firstLine="480" w:firstLineChars="200"/>
        <w:rPr>
          <w:rFonts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本协议书与下列文件一起构成合同文件：</w:t>
      </w:r>
    </w:p>
    <w:p w14:paraId="04F679BF">
      <w:pPr>
        <w:autoSpaceDE w:val="0"/>
        <w:autoSpaceDN w:val="0"/>
        <w:snapToGrid w:val="0"/>
        <w:spacing w:line="360" w:lineRule="auto"/>
        <w:ind w:firstLine="480" w:firstLineChars="200"/>
        <w:jc w:val="left"/>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（1）成交通知书（如果有）；</w:t>
      </w:r>
    </w:p>
    <w:p w14:paraId="2C65A325">
      <w:pPr>
        <w:autoSpaceDE w:val="0"/>
        <w:autoSpaceDN w:val="0"/>
        <w:snapToGrid w:val="0"/>
        <w:spacing w:line="360" w:lineRule="auto"/>
        <w:ind w:firstLine="480" w:firstLineChars="200"/>
        <w:jc w:val="left"/>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（2）响应函及其附录（如果有）； </w:t>
      </w:r>
    </w:p>
    <w:p w14:paraId="006087FC">
      <w:pPr>
        <w:autoSpaceDE w:val="0"/>
        <w:autoSpaceDN w:val="0"/>
        <w:snapToGrid w:val="0"/>
        <w:spacing w:line="360" w:lineRule="auto"/>
        <w:ind w:firstLine="480" w:firstLineChars="200"/>
        <w:jc w:val="left"/>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（3）专用合同条款及其附件；</w:t>
      </w:r>
    </w:p>
    <w:p w14:paraId="2AADE311">
      <w:pPr>
        <w:autoSpaceDE w:val="0"/>
        <w:autoSpaceDN w:val="0"/>
        <w:snapToGrid w:val="0"/>
        <w:spacing w:line="360" w:lineRule="auto"/>
        <w:ind w:firstLine="480" w:firstLineChars="200"/>
        <w:jc w:val="left"/>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（4）通用合同条款；</w:t>
      </w:r>
    </w:p>
    <w:p w14:paraId="0A990962">
      <w:pPr>
        <w:autoSpaceDE w:val="0"/>
        <w:autoSpaceDN w:val="0"/>
        <w:snapToGrid w:val="0"/>
        <w:spacing w:line="360" w:lineRule="auto"/>
        <w:ind w:firstLine="480" w:firstLineChars="200"/>
        <w:jc w:val="left"/>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（5）技术标准和要求；</w:t>
      </w:r>
    </w:p>
    <w:p w14:paraId="11DB6015">
      <w:pPr>
        <w:autoSpaceDE w:val="0"/>
        <w:autoSpaceDN w:val="0"/>
        <w:snapToGrid w:val="0"/>
        <w:spacing w:line="360" w:lineRule="auto"/>
        <w:ind w:firstLine="480" w:firstLineChars="200"/>
        <w:jc w:val="left"/>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（6）图纸；</w:t>
      </w:r>
    </w:p>
    <w:p w14:paraId="3A70C483">
      <w:pPr>
        <w:autoSpaceDE w:val="0"/>
        <w:autoSpaceDN w:val="0"/>
        <w:snapToGrid w:val="0"/>
        <w:spacing w:line="360" w:lineRule="auto"/>
        <w:ind w:firstLine="480" w:firstLineChars="200"/>
        <w:jc w:val="left"/>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（7）已标价工程量清单或预算书；</w:t>
      </w:r>
    </w:p>
    <w:p w14:paraId="554BAEF8">
      <w:pPr>
        <w:autoSpaceDE w:val="0"/>
        <w:autoSpaceDN w:val="0"/>
        <w:snapToGrid w:val="0"/>
        <w:spacing w:line="360" w:lineRule="auto"/>
        <w:ind w:firstLine="480" w:firstLineChars="200"/>
        <w:jc w:val="left"/>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rPr>
        <w:t>（8）其他合同文件。</w:t>
      </w:r>
      <w:r>
        <w:rPr>
          <w:rFonts w:hint="eastAsia" w:ascii="仿宋" w:hAnsi="仿宋" w:eastAsia="仿宋" w:cs="仿宋"/>
          <w:snapToGrid w:val="0"/>
          <w:color w:val="auto"/>
          <w:kern w:val="0"/>
          <w:sz w:val="24"/>
          <w:highlight w:val="none"/>
          <w:lang w:val="en-US" w:eastAsia="zh-CN"/>
        </w:rPr>
        <w:t xml:space="preserve"> </w:t>
      </w:r>
    </w:p>
    <w:p w14:paraId="770441AE">
      <w:pPr>
        <w:autoSpaceDE w:val="0"/>
        <w:autoSpaceDN w:val="0"/>
        <w:snapToGrid w:val="0"/>
        <w:spacing w:line="360" w:lineRule="auto"/>
        <w:ind w:firstLine="480" w:firstLineChars="200"/>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合同附件：</w:t>
      </w:r>
    </w:p>
    <w:p w14:paraId="7567A547">
      <w:pPr>
        <w:autoSpaceDE w:val="0"/>
        <w:autoSpaceDN w:val="0"/>
        <w:snapToGrid w:val="0"/>
        <w:spacing w:line="360" w:lineRule="auto"/>
        <w:ind w:firstLine="480" w:firstLineChars="200"/>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附件1：建筑工程质量保修书</w:t>
      </w:r>
    </w:p>
    <w:p w14:paraId="6EEDEA81">
      <w:pPr>
        <w:autoSpaceDE w:val="0"/>
        <w:autoSpaceDN w:val="0"/>
        <w:snapToGrid w:val="0"/>
        <w:spacing w:line="360" w:lineRule="auto"/>
        <w:ind w:firstLine="480" w:firstLineChars="200"/>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附件2：本项目项目班子人员名单</w:t>
      </w:r>
    </w:p>
    <w:p w14:paraId="58BB109C">
      <w:pPr>
        <w:autoSpaceDE w:val="0"/>
        <w:autoSpaceDN w:val="0"/>
        <w:snapToGrid w:val="0"/>
        <w:spacing w:line="360" w:lineRule="auto"/>
        <w:ind w:firstLine="480" w:firstLineChars="200"/>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附件3：机械设备清单</w:t>
      </w:r>
    </w:p>
    <w:p w14:paraId="10C61063">
      <w:pPr>
        <w:autoSpaceDE w:val="0"/>
        <w:autoSpaceDN w:val="0"/>
        <w:snapToGrid w:val="0"/>
        <w:spacing w:line="360" w:lineRule="auto"/>
        <w:ind w:firstLine="480" w:firstLineChars="200"/>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附件4：合同价格清单</w:t>
      </w:r>
    </w:p>
    <w:p w14:paraId="6ACC43B0">
      <w:pPr>
        <w:autoSpaceDE w:val="0"/>
        <w:autoSpaceDN w:val="0"/>
        <w:snapToGrid w:val="0"/>
        <w:spacing w:line="360" w:lineRule="auto"/>
        <w:ind w:firstLine="480" w:firstLineChars="200"/>
        <w:jc w:val="left"/>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在合同订立及履行过程中形成的与合同有关的文件均构成合同文件组成部分。</w:t>
      </w:r>
    </w:p>
    <w:p w14:paraId="58B980C7">
      <w:pPr>
        <w:autoSpaceDE w:val="0"/>
        <w:autoSpaceDN w:val="0"/>
        <w:snapToGrid w:val="0"/>
        <w:spacing w:line="360" w:lineRule="auto"/>
        <w:ind w:firstLine="480" w:firstLineChars="200"/>
        <w:jc w:val="left"/>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14:paraId="5F54468E">
      <w:pPr>
        <w:snapToGrid w:val="0"/>
        <w:spacing w:line="360" w:lineRule="auto"/>
        <w:outlineLvl w:val="1"/>
        <w:rPr>
          <w:rFonts w:ascii="仿宋" w:hAnsi="仿宋" w:eastAsia="仿宋" w:cs="仿宋"/>
          <w:b/>
          <w:bCs/>
          <w:snapToGrid w:val="0"/>
          <w:color w:val="auto"/>
          <w:kern w:val="0"/>
          <w:sz w:val="24"/>
          <w:highlight w:val="none"/>
        </w:rPr>
      </w:pPr>
      <w:bookmarkStart w:id="424" w:name="_Toc97299504"/>
      <w:bookmarkStart w:id="425" w:name="_Toc361220416"/>
      <w:r>
        <w:rPr>
          <w:rFonts w:hint="eastAsia" w:ascii="仿宋" w:hAnsi="仿宋" w:eastAsia="仿宋" w:cs="仿宋"/>
          <w:b/>
          <w:bCs/>
          <w:snapToGrid w:val="0"/>
          <w:color w:val="auto"/>
          <w:kern w:val="0"/>
          <w:sz w:val="24"/>
          <w:highlight w:val="none"/>
        </w:rPr>
        <w:t>七、承诺</w:t>
      </w:r>
      <w:bookmarkEnd w:id="424"/>
      <w:bookmarkEnd w:id="425"/>
    </w:p>
    <w:p w14:paraId="58094130">
      <w:pPr>
        <w:snapToGrid w:val="0"/>
        <w:spacing w:line="360" w:lineRule="auto"/>
        <w:ind w:firstLine="480" w:firstLineChars="200"/>
        <w:rPr>
          <w:rFonts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1.发包人承诺按照法律规定履行项目审批手续、筹集工程建设资金并按照合同约定的期限和方式支付合同价款。</w:t>
      </w:r>
    </w:p>
    <w:p w14:paraId="5D23C55D">
      <w:pPr>
        <w:snapToGrid w:val="0"/>
        <w:spacing w:line="360" w:lineRule="auto"/>
        <w:ind w:firstLine="480" w:firstLineChars="200"/>
        <w:rPr>
          <w:rFonts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2.承包人承诺按照法律规定及合同约定组织完成工程施工，确保工程质量和安全，不进行转包及违法分包，并在缺陷责任期及保修期内承担相应的工程维修责任。</w:t>
      </w:r>
    </w:p>
    <w:p w14:paraId="06CFE425">
      <w:pPr>
        <w:snapToGrid w:val="0"/>
        <w:spacing w:line="360" w:lineRule="auto"/>
        <w:ind w:firstLine="480" w:firstLineChars="200"/>
        <w:rPr>
          <w:rFonts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3.发包人和承包人通过</w:t>
      </w:r>
      <w:r>
        <w:rPr>
          <w:rFonts w:hint="eastAsia" w:ascii="仿宋" w:hAnsi="仿宋" w:eastAsia="仿宋" w:cs="仿宋"/>
          <w:color w:val="auto"/>
          <w:highlight w:val="none"/>
        </w:rPr>
        <w:t>政府采购</w:t>
      </w:r>
      <w:r>
        <w:rPr>
          <w:rFonts w:hint="eastAsia" w:ascii="仿宋" w:hAnsi="仿宋" w:eastAsia="仿宋" w:cs="仿宋"/>
          <w:bCs/>
          <w:snapToGrid w:val="0"/>
          <w:color w:val="auto"/>
          <w:kern w:val="0"/>
          <w:sz w:val="24"/>
          <w:highlight w:val="none"/>
        </w:rPr>
        <w:t>形式签订合同的，双方理解并承诺不再就同一工程另行签订与合同实质性内容相背离的协议。</w:t>
      </w:r>
    </w:p>
    <w:p w14:paraId="54C225D9">
      <w:pPr>
        <w:snapToGrid w:val="0"/>
        <w:spacing w:line="360" w:lineRule="auto"/>
        <w:outlineLvl w:val="1"/>
        <w:rPr>
          <w:rFonts w:ascii="仿宋" w:hAnsi="仿宋" w:eastAsia="仿宋" w:cs="仿宋"/>
          <w:b/>
          <w:bCs/>
          <w:snapToGrid w:val="0"/>
          <w:color w:val="auto"/>
          <w:kern w:val="0"/>
          <w:sz w:val="24"/>
          <w:highlight w:val="none"/>
        </w:rPr>
      </w:pPr>
      <w:bookmarkStart w:id="426" w:name="_Toc361220417"/>
      <w:bookmarkStart w:id="427" w:name="_Toc97299505"/>
      <w:r>
        <w:rPr>
          <w:rFonts w:hint="eastAsia" w:ascii="仿宋" w:hAnsi="仿宋" w:eastAsia="仿宋" w:cs="仿宋"/>
          <w:b/>
          <w:bCs/>
          <w:snapToGrid w:val="0"/>
          <w:color w:val="auto"/>
          <w:kern w:val="0"/>
          <w:sz w:val="24"/>
          <w:highlight w:val="none"/>
        </w:rPr>
        <w:t>八、词语含义</w:t>
      </w:r>
      <w:bookmarkEnd w:id="426"/>
      <w:bookmarkEnd w:id="427"/>
    </w:p>
    <w:p w14:paraId="4E47F9EE">
      <w:pPr>
        <w:snapToGrid w:val="0"/>
        <w:spacing w:line="360" w:lineRule="auto"/>
        <w:ind w:firstLine="480" w:firstLineChars="200"/>
        <w:rPr>
          <w:rFonts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本协议书中词语含义与第二部分通用合同条款中赋予的含义相同。</w:t>
      </w:r>
    </w:p>
    <w:p w14:paraId="49202F5B">
      <w:pPr>
        <w:snapToGrid w:val="0"/>
        <w:spacing w:line="360" w:lineRule="auto"/>
        <w:outlineLvl w:val="1"/>
        <w:rPr>
          <w:rFonts w:ascii="仿宋" w:hAnsi="仿宋" w:eastAsia="仿宋" w:cs="仿宋"/>
          <w:b/>
          <w:bCs/>
          <w:snapToGrid w:val="0"/>
          <w:color w:val="auto"/>
          <w:kern w:val="0"/>
          <w:sz w:val="24"/>
          <w:highlight w:val="none"/>
        </w:rPr>
      </w:pPr>
      <w:bookmarkStart w:id="428" w:name="_Toc97299506"/>
      <w:bookmarkStart w:id="429" w:name="_Toc361220418"/>
      <w:r>
        <w:rPr>
          <w:rFonts w:hint="eastAsia" w:ascii="仿宋" w:hAnsi="仿宋" w:eastAsia="仿宋" w:cs="仿宋"/>
          <w:b/>
          <w:bCs/>
          <w:snapToGrid w:val="0"/>
          <w:color w:val="auto"/>
          <w:kern w:val="0"/>
          <w:sz w:val="24"/>
          <w:highlight w:val="none"/>
        </w:rPr>
        <w:t>九、签订时间</w:t>
      </w:r>
      <w:bookmarkEnd w:id="428"/>
      <w:bookmarkEnd w:id="429"/>
    </w:p>
    <w:p w14:paraId="2E782DF6">
      <w:pPr>
        <w:snapToGrid w:val="0"/>
        <w:spacing w:line="360" w:lineRule="auto"/>
        <w:ind w:firstLine="480" w:firstLineChars="200"/>
        <w:rPr>
          <w:rFonts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本合同于</w:t>
      </w:r>
      <w:bookmarkStart w:id="430" w:name="SOA_hhxys_htqdn"/>
      <w:r>
        <w:rPr>
          <w:rFonts w:hint="eastAsia" w:ascii="仿宋" w:hAnsi="仿宋" w:eastAsia="仿宋" w:cs="仿宋"/>
          <w:bCs/>
          <w:snapToGrid w:val="0"/>
          <w:color w:val="auto"/>
          <w:kern w:val="0"/>
          <w:sz w:val="24"/>
          <w:highlight w:val="none"/>
          <w:u w:val="single"/>
        </w:rPr>
        <w:t>202</w:t>
      </w:r>
      <w:bookmarkEnd w:id="430"/>
      <w:r>
        <w:rPr>
          <w:rFonts w:ascii="仿宋" w:hAnsi="仿宋" w:eastAsia="仿宋" w:cs="仿宋"/>
          <w:bCs/>
          <w:snapToGrid w:val="0"/>
          <w:color w:val="auto"/>
          <w:kern w:val="0"/>
          <w:sz w:val="24"/>
          <w:highlight w:val="none"/>
          <w:u w:val="single"/>
        </w:rPr>
        <w:t>4</w:t>
      </w:r>
      <w:r>
        <w:rPr>
          <w:rFonts w:hint="eastAsia" w:ascii="仿宋" w:hAnsi="仿宋" w:eastAsia="仿宋" w:cs="仿宋"/>
          <w:bCs/>
          <w:snapToGrid w:val="0"/>
          <w:color w:val="auto"/>
          <w:kern w:val="0"/>
          <w:sz w:val="24"/>
          <w:highlight w:val="none"/>
        </w:rPr>
        <w:t>年</w:t>
      </w:r>
      <w:bookmarkStart w:id="431" w:name="SOA_hhxys_htqdy"/>
      <w:bookmarkEnd w:id="431"/>
      <w:r>
        <w:rPr>
          <w:rFonts w:hint="eastAsia" w:ascii="仿宋" w:hAnsi="仿宋" w:eastAsia="仿宋" w:cs="仿宋"/>
          <w:bCs/>
          <w:snapToGrid w:val="0"/>
          <w:color w:val="auto"/>
          <w:kern w:val="0"/>
          <w:sz w:val="24"/>
          <w:highlight w:val="none"/>
          <w:lang w:val="en-US" w:eastAsia="zh-CN"/>
        </w:rPr>
        <w:t xml:space="preserve">  </w:t>
      </w:r>
      <w:r>
        <w:rPr>
          <w:rFonts w:hint="eastAsia" w:ascii="仿宋" w:hAnsi="仿宋" w:eastAsia="仿宋" w:cs="仿宋"/>
          <w:bCs/>
          <w:snapToGrid w:val="0"/>
          <w:color w:val="auto"/>
          <w:kern w:val="0"/>
          <w:sz w:val="24"/>
          <w:highlight w:val="none"/>
        </w:rPr>
        <w:t>月</w:t>
      </w:r>
      <w:bookmarkStart w:id="432" w:name="SOA_hhxys_htqdr"/>
      <w:bookmarkEnd w:id="432"/>
      <w:r>
        <w:rPr>
          <w:rFonts w:hint="eastAsia" w:ascii="仿宋" w:hAnsi="仿宋" w:eastAsia="仿宋" w:cs="仿宋"/>
          <w:bCs/>
          <w:snapToGrid w:val="0"/>
          <w:color w:val="auto"/>
          <w:kern w:val="0"/>
          <w:sz w:val="24"/>
          <w:highlight w:val="none"/>
          <w:lang w:val="en-US" w:eastAsia="zh-CN"/>
        </w:rPr>
        <w:t xml:space="preserve">  </w:t>
      </w:r>
      <w:r>
        <w:rPr>
          <w:rFonts w:hint="eastAsia" w:ascii="仿宋" w:hAnsi="仿宋" w:eastAsia="仿宋" w:cs="仿宋"/>
          <w:bCs/>
          <w:snapToGrid w:val="0"/>
          <w:color w:val="auto"/>
          <w:kern w:val="0"/>
          <w:sz w:val="24"/>
          <w:highlight w:val="none"/>
        </w:rPr>
        <w:t>日签订。</w:t>
      </w:r>
    </w:p>
    <w:p w14:paraId="6B680BAE">
      <w:pPr>
        <w:snapToGrid w:val="0"/>
        <w:spacing w:line="360" w:lineRule="auto"/>
        <w:outlineLvl w:val="1"/>
        <w:rPr>
          <w:rFonts w:ascii="仿宋" w:hAnsi="仿宋" w:eastAsia="仿宋" w:cs="仿宋"/>
          <w:b/>
          <w:bCs/>
          <w:snapToGrid w:val="0"/>
          <w:color w:val="auto"/>
          <w:kern w:val="0"/>
          <w:sz w:val="24"/>
          <w:highlight w:val="none"/>
        </w:rPr>
      </w:pPr>
      <w:bookmarkStart w:id="433" w:name="_Toc361220419"/>
      <w:bookmarkStart w:id="434" w:name="_Toc97299507"/>
      <w:r>
        <w:rPr>
          <w:rFonts w:hint="eastAsia" w:ascii="仿宋" w:hAnsi="仿宋" w:eastAsia="仿宋" w:cs="仿宋"/>
          <w:b/>
          <w:bCs/>
          <w:snapToGrid w:val="0"/>
          <w:color w:val="auto"/>
          <w:kern w:val="0"/>
          <w:sz w:val="24"/>
          <w:highlight w:val="none"/>
        </w:rPr>
        <w:t>十、签订地点</w:t>
      </w:r>
      <w:bookmarkEnd w:id="433"/>
      <w:bookmarkEnd w:id="434"/>
    </w:p>
    <w:p w14:paraId="6E33DF75">
      <w:pPr>
        <w:snapToGrid w:val="0"/>
        <w:spacing w:line="360" w:lineRule="auto"/>
        <w:rPr>
          <w:rFonts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 xml:space="preserve">    本合同在</w:t>
      </w:r>
      <w:bookmarkStart w:id="435" w:name="SOA_zyht_htqddd"/>
      <w:r>
        <w:rPr>
          <w:rFonts w:hint="eastAsia" w:ascii="仿宋" w:hAnsi="仿宋" w:eastAsia="仿宋" w:cs="仿宋"/>
          <w:bCs/>
          <w:snapToGrid w:val="0"/>
          <w:color w:val="auto"/>
          <w:kern w:val="0"/>
          <w:sz w:val="24"/>
          <w:highlight w:val="none"/>
          <w:u w:val="single"/>
        </w:rPr>
        <w:t xml:space="preserve">  杭州 </w:t>
      </w:r>
      <w:bookmarkEnd w:id="435"/>
      <w:r>
        <w:rPr>
          <w:rFonts w:hint="eastAsia" w:ascii="仿宋" w:hAnsi="仿宋" w:eastAsia="仿宋" w:cs="仿宋"/>
          <w:bCs/>
          <w:snapToGrid w:val="0"/>
          <w:color w:val="auto"/>
          <w:kern w:val="0"/>
          <w:sz w:val="24"/>
          <w:highlight w:val="none"/>
        </w:rPr>
        <w:t>签订。</w:t>
      </w:r>
    </w:p>
    <w:p w14:paraId="3B08DD05">
      <w:pPr>
        <w:snapToGrid w:val="0"/>
        <w:spacing w:line="360" w:lineRule="auto"/>
        <w:outlineLvl w:val="1"/>
        <w:rPr>
          <w:rFonts w:ascii="仿宋" w:hAnsi="仿宋" w:eastAsia="仿宋" w:cs="仿宋"/>
          <w:b/>
          <w:bCs/>
          <w:snapToGrid w:val="0"/>
          <w:color w:val="auto"/>
          <w:kern w:val="0"/>
          <w:sz w:val="24"/>
          <w:highlight w:val="none"/>
        </w:rPr>
      </w:pPr>
      <w:bookmarkStart w:id="436" w:name="_Toc97299508"/>
      <w:bookmarkStart w:id="437" w:name="_Toc361220420"/>
      <w:r>
        <w:rPr>
          <w:rFonts w:hint="eastAsia" w:ascii="仿宋" w:hAnsi="仿宋" w:eastAsia="仿宋" w:cs="仿宋"/>
          <w:b/>
          <w:bCs/>
          <w:snapToGrid w:val="0"/>
          <w:color w:val="auto"/>
          <w:kern w:val="0"/>
          <w:sz w:val="24"/>
          <w:highlight w:val="none"/>
        </w:rPr>
        <w:t>十一、补充协议</w:t>
      </w:r>
      <w:bookmarkEnd w:id="436"/>
      <w:bookmarkEnd w:id="437"/>
    </w:p>
    <w:p w14:paraId="45D026A4">
      <w:pPr>
        <w:snapToGrid w:val="0"/>
        <w:spacing w:line="360" w:lineRule="auto"/>
        <w:ind w:firstLine="480" w:firstLineChars="200"/>
        <w:rPr>
          <w:rFonts w:ascii="仿宋" w:hAnsi="仿宋" w:eastAsia="仿宋" w:cs="仿宋"/>
          <w:b/>
          <w:bCs/>
          <w:snapToGrid w:val="0"/>
          <w:color w:val="auto"/>
          <w:kern w:val="0"/>
          <w:sz w:val="24"/>
          <w:highlight w:val="none"/>
        </w:rPr>
      </w:pPr>
      <w:r>
        <w:rPr>
          <w:rFonts w:hint="eastAsia" w:ascii="仿宋" w:hAnsi="仿宋" w:eastAsia="仿宋" w:cs="仿宋"/>
          <w:bCs/>
          <w:snapToGrid w:val="0"/>
          <w:color w:val="auto"/>
          <w:kern w:val="0"/>
          <w:sz w:val="24"/>
          <w:highlight w:val="none"/>
        </w:rPr>
        <w:t>合同未尽事宜，合同当事人另行签订补充协议，补充协议是合同的组成部分。</w:t>
      </w:r>
    </w:p>
    <w:p w14:paraId="38E574C3">
      <w:pPr>
        <w:snapToGrid w:val="0"/>
        <w:spacing w:line="360" w:lineRule="auto"/>
        <w:outlineLvl w:val="1"/>
        <w:rPr>
          <w:rFonts w:ascii="仿宋" w:hAnsi="仿宋" w:eastAsia="仿宋" w:cs="仿宋"/>
          <w:b/>
          <w:bCs/>
          <w:snapToGrid w:val="0"/>
          <w:color w:val="auto"/>
          <w:kern w:val="0"/>
          <w:sz w:val="24"/>
          <w:highlight w:val="none"/>
        </w:rPr>
      </w:pPr>
      <w:bookmarkStart w:id="438" w:name="_Toc361220421"/>
      <w:bookmarkStart w:id="439" w:name="_Toc97299509"/>
      <w:r>
        <w:rPr>
          <w:rFonts w:hint="eastAsia" w:ascii="仿宋" w:hAnsi="仿宋" w:eastAsia="仿宋" w:cs="仿宋"/>
          <w:b/>
          <w:bCs/>
          <w:snapToGrid w:val="0"/>
          <w:color w:val="auto"/>
          <w:kern w:val="0"/>
          <w:sz w:val="24"/>
          <w:highlight w:val="none"/>
        </w:rPr>
        <w:t>十二、合同生效</w:t>
      </w:r>
      <w:bookmarkEnd w:id="438"/>
      <w:bookmarkEnd w:id="439"/>
    </w:p>
    <w:p w14:paraId="0F5918EB">
      <w:pPr>
        <w:snapToGrid w:val="0"/>
        <w:spacing w:line="360" w:lineRule="auto"/>
        <w:ind w:firstLine="480" w:firstLineChars="200"/>
        <w:rPr>
          <w:rFonts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本合同自</w:t>
      </w:r>
      <w:r>
        <w:rPr>
          <w:rFonts w:hint="eastAsia" w:ascii="仿宋" w:hAnsi="仿宋" w:eastAsia="仿宋" w:cs="仿宋"/>
          <w:bCs/>
          <w:snapToGrid w:val="0"/>
          <w:color w:val="auto"/>
          <w:kern w:val="0"/>
          <w:sz w:val="24"/>
          <w:highlight w:val="none"/>
          <w:u w:val="single"/>
        </w:rPr>
        <w:t>双方签字盖章后</w:t>
      </w:r>
      <w:r>
        <w:rPr>
          <w:rFonts w:hint="eastAsia" w:ascii="仿宋" w:hAnsi="仿宋" w:eastAsia="仿宋" w:cs="仿宋"/>
          <w:bCs/>
          <w:snapToGrid w:val="0"/>
          <w:color w:val="auto"/>
          <w:kern w:val="0"/>
          <w:sz w:val="24"/>
          <w:highlight w:val="none"/>
        </w:rPr>
        <w:t>生效。</w:t>
      </w:r>
    </w:p>
    <w:p w14:paraId="4930557B">
      <w:pPr>
        <w:snapToGrid w:val="0"/>
        <w:spacing w:line="360" w:lineRule="auto"/>
        <w:outlineLvl w:val="1"/>
        <w:rPr>
          <w:rFonts w:ascii="仿宋" w:hAnsi="仿宋" w:eastAsia="仿宋" w:cs="仿宋"/>
          <w:b/>
          <w:bCs/>
          <w:snapToGrid w:val="0"/>
          <w:color w:val="auto"/>
          <w:kern w:val="0"/>
          <w:sz w:val="24"/>
          <w:highlight w:val="none"/>
        </w:rPr>
      </w:pPr>
      <w:bookmarkStart w:id="440" w:name="_Toc97299510"/>
      <w:bookmarkStart w:id="441" w:name="_Toc361220422"/>
      <w:r>
        <w:rPr>
          <w:rFonts w:hint="eastAsia" w:ascii="仿宋" w:hAnsi="仿宋" w:eastAsia="仿宋" w:cs="仿宋"/>
          <w:b/>
          <w:bCs/>
          <w:snapToGrid w:val="0"/>
          <w:color w:val="auto"/>
          <w:kern w:val="0"/>
          <w:sz w:val="24"/>
          <w:highlight w:val="none"/>
        </w:rPr>
        <w:t>十三、合同份数</w:t>
      </w:r>
      <w:bookmarkEnd w:id="440"/>
      <w:bookmarkEnd w:id="441"/>
    </w:p>
    <w:p w14:paraId="0464476A">
      <w:pPr>
        <w:snapToGrid w:val="0"/>
        <w:spacing w:line="360" w:lineRule="auto"/>
        <w:ind w:left="210" w:leftChars="100" w:firstLine="240" w:firstLineChars="100"/>
        <w:rPr>
          <w:rFonts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本合同一式</w:t>
      </w:r>
      <w:r>
        <w:rPr>
          <w:rFonts w:hint="eastAsia" w:ascii="仿宋" w:hAnsi="仿宋" w:eastAsia="仿宋" w:cs="仿宋"/>
          <w:b/>
          <w:bCs/>
          <w:snapToGrid w:val="0"/>
          <w:color w:val="auto"/>
          <w:kern w:val="0"/>
          <w:sz w:val="24"/>
          <w:highlight w:val="none"/>
          <w:u w:val="single"/>
        </w:rPr>
        <w:t>肆</w:t>
      </w:r>
      <w:r>
        <w:rPr>
          <w:rFonts w:hint="eastAsia" w:ascii="仿宋" w:hAnsi="仿宋" w:eastAsia="仿宋" w:cs="仿宋"/>
          <w:bCs/>
          <w:snapToGrid w:val="0"/>
          <w:color w:val="auto"/>
          <w:kern w:val="0"/>
          <w:sz w:val="24"/>
          <w:highlight w:val="none"/>
        </w:rPr>
        <w:t>份，均具有同等法律效力，发包人执</w:t>
      </w:r>
      <w:r>
        <w:rPr>
          <w:rFonts w:hint="eastAsia" w:ascii="仿宋" w:hAnsi="仿宋" w:eastAsia="仿宋" w:cs="仿宋"/>
          <w:bCs/>
          <w:snapToGrid w:val="0"/>
          <w:color w:val="auto"/>
          <w:kern w:val="0"/>
          <w:sz w:val="24"/>
          <w:highlight w:val="none"/>
          <w:u w:val="single"/>
        </w:rPr>
        <w:t>贰</w:t>
      </w:r>
      <w:r>
        <w:rPr>
          <w:rFonts w:hint="eastAsia" w:ascii="仿宋" w:hAnsi="仿宋" w:eastAsia="仿宋" w:cs="仿宋"/>
          <w:bCs/>
          <w:snapToGrid w:val="0"/>
          <w:color w:val="auto"/>
          <w:kern w:val="0"/>
          <w:sz w:val="24"/>
          <w:highlight w:val="none"/>
        </w:rPr>
        <w:t>份，承包人执</w:t>
      </w:r>
      <w:r>
        <w:rPr>
          <w:rFonts w:hint="eastAsia" w:ascii="仿宋" w:hAnsi="仿宋" w:eastAsia="仿宋" w:cs="仿宋"/>
          <w:bCs/>
          <w:snapToGrid w:val="0"/>
          <w:color w:val="auto"/>
          <w:kern w:val="0"/>
          <w:sz w:val="24"/>
          <w:highlight w:val="none"/>
          <w:u w:val="single"/>
        </w:rPr>
        <w:t>贰</w:t>
      </w:r>
      <w:r>
        <w:rPr>
          <w:rFonts w:hint="eastAsia" w:ascii="仿宋" w:hAnsi="仿宋" w:eastAsia="仿宋" w:cs="仿宋"/>
          <w:bCs/>
          <w:snapToGrid w:val="0"/>
          <w:color w:val="auto"/>
          <w:kern w:val="0"/>
          <w:sz w:val="24"/>
          <w:highlight w:val="none"/>
        </w:rPr>
        <w:t>份。</w:t>
      </w:r>
    </w:p>
    <w:p w14:paraId="5FC2326B">
      <w:pPr>
        <w:snapToGrid w:val="0"/>
        <w:spacing w:line="360" w:lineRule="auto"/>
        <w:ind w:firstLine="480" w:firstLineChars="200"/>
        <w:rPr>
          <w:rFonts w:ascii="仿宋" w:hAnsi="仿宋" w:eastAsia="仿宋" w:cs="仿宋"/>
          <w:snapToGrid w:val="0"/>
          <w:color w:val="auto"/>
          <w:kern w:val="0"/>
          <w:sz w:val="24"/>
          <w:highlight w:val="none"/>
        </w:rPr>
      </w:pPr>
    </w:p>
    <w:p w14:paraId="70FB0595">
      <w:pPr>
        <w:snapToGrid w:val="0"/>
        <w:spacing w:line="360"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发包人：  (公章)</w:t>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承包人：  (公章)</w:t>
      </w:r>
    </w:p>
    <w:p w14:paraId="4E6AD0FD">
      <w:pPr>
        <w:snapToGrid w:val="0"/>
        <w:spacing w:line="360" w:lineRule="auto"/>
        <w:ind w:firstLine="480" w:firstLineChars="200"/>
        <w:rPr>
          <w:rFonts w:ascii="仿宋" w:hAnsi="仿宋" w:eastAsia="仿宋" w:cs="仿宋"/>
          <w:bCs/>
          <w:snapToGrid w:val="0"/>
          <w:color w:val="auto"/>
          <w:kern w:val="0"/>
          <w:sz w:val="24"/>
          <w:highlight w:val="none"/>
        </w:rPr>
      </w:pPr>
      <w:r>
        <w:rPr>
          <w:rFonts w:hint="eastAsia" w:ascii="仿宋" w:hAnsi="仿宋" w:eastAsia="仿宋" w:cs="仿宋"/>
          <w:snapToGrid w:val="0"/>
          <w:color w:val="auto"/>
          <w:kern w:val="0"/>
          <w:sz w:val="24"/>
          <w:highlight w:val="none"/>
        </w:rPr>
        <w:t>法定代表人或其委托代理人：</w:t>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法定代表人或其委托代理人：</w:t>
      </w:r>
    </w:p>
    <w:p w14:paraId="2BFF588F">
      <w:pPr>
        <w:snapToGrid w:val="0"/>
        <w:spacing w:line="360"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（签字）</w:t>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（签字）</w:t>
      </w:r>
    </w:p>
    <w:p w14:paraId="31665828">
      <w:pPr>
        <w:snapToGrid w:val="0"/>
        <w:spacing w:line="360"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组织机构代码：</w:t>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组织机构代码：</w:t>
      </w:r>
      <w:bookmarkStart w:id="442" w:name="SOA_hhxys_zjjgdm1"/>
      <w:bookmarkEnd w:id="442"/>
    </w:p>
    <w:p w14:paraId="5E1F4AFF">
      <w:pPr>
        <w:snapToGrid w:val="0"/>
        <w:spacing w:line="360" w:lineRule="auto"/>
        <w:ind w:firstLine="480" w:firstLineChars="200"/>
        <w:rPr>
          <w:rFonts w:ascii="仿宋" w:hAnsi="仿宋" w:eastAsia="仿宋" w:cs="仿宋"/>
          <w:snapToGrid w:val="0"/>
          <w:color w:val="auto"/>
          <w:kern w:val="0"/>
          <w:sz w:val="24"/>
          <w:highlight w:val="none"/>
          <w:u w:val="single"/>
        </w:rPr>
      </w:pPr>
      <w:r>
        <w:rPr>
          <w:rFonts w:hint="eastAsia" w:ascii="仿宋" w:hAnsi="仿宋" w:eastAsia="仿宋" w:cs="仿宋"/>
          <w:snapToGrid w:val="0"/>
          <w:color w:val="auto"/>
          <w:kern w:val="0"/>
          <w:sz w:val="24"/>
          <w:highlight w:val="none"/>
        </w:rPr>
        <w:t>地  址：</w:t>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地  址：               </w:t>
      </w:r>
    </w:p>
    <w:p w14:paraId="059C2E2D">
      <w:pPr>
        <w:snapToGrid w:val="0"/>
        <w:spacing w:line="360" w:lineRule="auto"/>
        <w:ind w:firstLine="480" w:firstLineChars="200"/>
        <w:rPr>
          <w:rFonts w:ascii="仿宋" w:hAnsi="仿宋" w:eastAsia="仿宋" w:cs="仿宋"/>
          <w:snapToGrid w:val="0"/>
          <w:color w:val="auto"/>
          <w:kern w:val="0"/>
          <w:sz w:val="24"/>
          <w:highlight w:val="none"/>
          <w:u w:val="single"/>
        </w:rPr>
      </w:pPr>
      <w:r>
        <w:rPr>
          <w:rFonts w:hint="eastAsia" w:ascii="仿宋" w:hAnsi="仿宋" w:eastAsia="仿宋" w:cs="仿宋"/>
          <w:snapToGrid w:val="0"/>
          <w:color w:val="auto"/>
          <w:kern w:val="0"/>
          <w:sz w:val="24"/>
          <w:highlight w:val="none"/>
        </w:rPr>
        <w:t>邮政编码：</w:t>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邮政编码：</w:t>
      </w:r>
      <w:bookmarkStart w:id="443" w:name="SOA_hhxys_cbryb"/>
      <w:bookmarkEnd w:id="443"/>
    </w:p>
    <w:p w14:paraId="63122D0D">
      <w:pPr>
        <w:snapToGrid w:val="0"/>
        <w:spacing w:line="360" w:lineRule="auto"/>
        <w:ind w:firstLine="480" w:firstLineChars="200"/>
        <w:rPr>
          <w:rFonts w:ascii="仿宋" w:hAnsi="仿宋" w:eastAsia="仿宋" w:cs="仿宋"/>
          <w:snapToGrid w:val="0"/>
          <w:color w:val="auto"/>
          <w:kern w:val="0"/>
          <w:sz w:val="24"/>
          <w:highlight w:val="none"/>
          <w:u w:val="single"/>
        </w:rPr>
      </w:pPr>
      <w:r>
        <w:rPr>
          <w:rFonts w:hint="eastAsia" w:ascii="仿宋" w:hAnsi="仿宋" w:eastAsia="仿宋" w:cs="仿宋"/>
          <w:snapToGrid w:val="0"/>
          <w:color w:val="auto"/>
          <w:kern w:val="0"/>
          <w:sz w:val="24"/>
          <w:highlight w:val="none"/>
        </w:rPr>
        <w:t>法定代表人：</w:t>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法定代表人：</w:t>
      </w:r>
      <w:bookmarkStart w:id="444" w:name="SOA_hhxys_fddbr1"/>
      <w:bookmarkEnd w:id="444"/>
    </w:p>
    <w:p w14:paraId="1C5283DD">
      <w:pPr>
        <w:snapToGrid w:val="0"/>
        <w:spacing w:line="360" w:lineRule="auto"/>
        <w:ind w:firstLine="480" w:firstLineChars="200"/>
        <w:rPr>
          <w:rFonts w:ascii="仿宋" w:hAnsi="仿宋" w:eastAsia="仿宋" w:cs="仿宋"/>
          <w:snapToGrid w:val="0"/>
          <w:color w:val="auto"/>
          <w:kern w:val="0"/>
          <w:sz w:val="24"/>
          <w:highlight w:val="none"/>
          <w:u w:val="single"/>
        </w:rPr>
      </w:pPr>
      <w:r>
        <w:rPr>
          <w:rFonts w:hint="eastAsia" w:ascii="仿宋" w:hAnsi="仿宋" w:eastAsia="仿宋" w:cs="仿宋"/>
          <w:snapToGrid w:val="0"/>
          <w:color w:val="auto"/>
          <w:kern w:val="0"/>
          <w:sz w:val="24"/>
          <w:highlight w:val="none"/>
        </w:rPr>
        <w:t>委托代理人：</w:t>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委托代理人：</w:t>
      </w:r>
      <w:bookmarkStart w:id="445" w:name="SOA_hhxys_wtdlr1"/>
      <w:bookmarkEnd w:id="445"/>
    </w:p>
    <w:p w14:paraId="4CA1CBE2">
      <w:pPr>
        <w:snapToGrid w:val="0"/>
        <w:spacing w:line="360" w:lineRule="auto"/>
        <w:ind w:firstLine="480" w:firstLineChars="200"/>
        <w:rPr>
          <w:rFonts w:ascii="仿宋" w:hAnsi="仿宋" w:eastAsia="仿宋" w:cs="仿宋"/>
          <w:snapToGrid w:val="0"/>
          <w:color w:val="auto"/>
          <w:kern w:val="0"/>
          <w:sz w:val="24"/>
          <w:highlight w:val="none"/>
          <w:u w:val="single"/>
        </w:rPr>
      </w:pPr>
      <w:r>
        <w:rPr>
          <w:rFonts w:hint="eastAsia" w:ascii="仿宋" w:hAnsi="仿宋" w:eastAsia="仿宋" w:cs="仿宋"/>
          <w:snapToGrid w:val="0"/>
          <w:color w:val="auto"/>
          <w:kern w:val="0"/>
          <w:sz w:val="24"/>
          <w:highlight w:val="none"/>
        </w:rPr>
        <w:t>电  话：</w:t>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电  话：</w:t>
      </w:r>
      <w:bookmarkStart w:id="446" w:name="SOA_hhxys_cbrdh"/>
      <w:bookmarkEnd w:id="446"/>
      <w:r>
        <w:rPr>
          <w:rFonts w:hint="eastAsia" w:ascii="仿宋" w:hAnsi="仿宋" w:eastAsia="仿宋" w:cs="仿宋"/>
          <w:snapToGrid w:val="0"/>
          <w:color w:val="auto"/>
          <w:kern w:val="0"/>
          <w:sz w:val="24"/>
          <w:highlight w:val="none"/>
        </w:rPr>
        <w:t xml:space="preserve"> </w:t>
      </w:r>
    </w:p>
    <w:p w14:paraId="59E14C84">
      <w:pPr>
        <w:snapToGrid w:val="0"/>
        <w:spacing w:line="360" w:lineRule="auto"/>
        <w:ind w:firstLine="480" w:firstLineChars="200"/>
        <w:rPr>
          <w:rFonts w:ascii="仿宋" w:hAnsi="仿宋" w:eastAsia="仿宋" w:cs="仿宋"/>
          <w:snapToGrid w:val="0"/>
          <w:color w:val="auto"/>
          <w:kern w:val="0"/>
          <w:sz w:val="24"/>
          <w:highlight w:val="none"/>
          <w:u w:val="single"/>
        </w:rPr>
      </w:pPr>
      <w:r>
        <w:rPr>
          <w:rFonts w:hint="eastAsia" w:ascii="仿宋" w:hAnsi="仿宋" w:eastAsia="仿宋" w:cs="仿宋"/>
          <w:snapToGrid w:val="0"/>
          <w:color w:val="auto"/>
          <w:kern w:val="0"/>
          <w:sz w:val="24"/>
          <w:highlight w:val="none"/>
        </w:rPr>
        <w:t>传  真：</w:t>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传  真：</w:t>
      </w:r>
      <w:bookmarkStart w:id="447" w:name="SOA_hhxys_cbrcz"/>
      <w:bookmarkEnd w:id="447"/>
      <w:r>
        <w:rPr>
          <w:rFonts w:hint="eastAsia" w:ascii="仿宋" w:hAnsi="仿宋" w:eastAsia="仿宋" w:cs="仿宋"/>
          <w:snapToGrid w:val="0"/>
          <w:color w:val="auto"/>
          <w:kern w:val="0"/>
          <w:sz w:val="24"/>
          <w:highlight w:val="none"/>
        </w:rPr>
        <w:t xml:space="preserve"> </w:t>
      </w:r>
    </w:p>
    <w:p w14:paraId="21F241D9">
      <w:pPr>
        <w:snapToGrid w:val="0"/>
        <w:spacing w:line="360" w:lineRule="auto"/>
        <w:ind w:firstLine="480" w:firstLineChars="200"/>
        <w:rPr>
          <w:rFonts w:ascii="仿宋" w:hAnsi="仿宋" w:eastAsia="仿宋" w:cs="仿宋"/>
          <w:snapToGrid w:val="0"/>
          <w:color w:val="auto"/>
          <w:kern w:val="0"/>
          <w:sz w:val="24"/>
          <w:highlight w:val="none"/>
          <w:u w:val="single"/>
        </w:rPr>
      </w:pPr>
      <w:r>
        <w:rPr>
          <w:rFonts w:hint="eastAsia" w:ascii="仿宋" w:hAnsi="仿宋" w:eastAsia="仿宋" w:cs="仿宋"/>
          <w:snapToGrid w:val="0"/>
          <w:color w:val="auto"/>
          <w:kern w:val="0"/>
          <w:sz w:val="24"/>
          <w:highlight w:val="none"/>
        </w:rPr>
        <w:t>电子信箱：</w:t>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电子信箱：</w:t>
      </w:r>
      <w:bookmarkStart w:id="448" w:name="SOA_hhxys_cbrdzxx"/>
      <w:bookmarkEnd w:id="448"/>
    </w:p>
    <w:p w14:paraId="1BD7892E">
      <w:pPr>
        <w:snapToGrid w:val="0"/>
        <w:spacing w:line="360" w:lineRule="auto"/>
        <w:ind w:firstLine="480" w:firstLineChars="200"/>
        <w:rPr>
          <w:rFonts w:ascii="仿宋" w:hAnsi="仿宋" w:eastAsia="仿宋" w:cs="仿宋"/>
          <w:snapToGrid w:val="0"/>
          <w:color w:val="auto"/>
          <w:kern w:val="0"/>
          <w:sz w:val="24"/>
          <w:highlight w:val="none"/>
          <w:u w:val="single"/>
        </w:rPr>
      </w:pPr>
      <w:r>
        <w:rPr>
          <w:rFonts w:hint="eastAsia" w:ascii="仿宋" w:hAnsi="仿宋" w:eastAsia="仿宋" w:cs="仿宋"/>
          <w:snapToGrid w:val="0"/>
          <w:color w:val="auto"/>
          <w:kern w:val="0"/>
          <w:sz w:val="24"/>
          <w:highlight w:val="none"/>
        </w:rPr>
        <w:t>开户银行：</w:t>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开户银行：</w:t>
      </w:r>
    </w:p>
    <w:p w14:paraId="15A5B370">
      <w:pPr>
        <w:snapToGrid w:val="0"/>
        <w:spacing w:line="360" w:lineRule="auto"/>
        <w:ind w:firstLine="480" w:firstLineChars="200"/>
        <w:rPr>
          <w:rFonts w:ascii="仿宋" w:hAnsi="仿宋" w:eastAsia="仿宋" w:cs="仿宋"/>
          <w:snapToGrid w:val="0"/>
          <w:color w:val="auto"/>
          <w:kern w:val="0"/>
          <w:sz w:val="24"/>
          <w:highlight w:val="none"/>
          <w:u w:val="single"/>
        </w:rPr>
      </w:pPr>
      <w:r>
        <w:rPr>
          <w:rFonts w:hint="eastAsia" w:ascii="仿宋" w:hAnsi="仿宋" w:eastAsia="仿宋" w:cs="仿宋"/>
          <w:snapToGrid w:val="0"/>
          <w:color w:val="auto"/>
          <w:kern w:val="0"/>
          <w:sz w:val="24"/>
          <w:highlight w:val="none"/>
        </w:rPr>
        <w:t>账  号：</w:t>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ab/>
      </w:r>
      <w:r>
        <w:rPr>
          <w:rFonts w:hint="eastAsia" w:ascii="仿宋" w:hAnsi="仿宋" w:eastAsia="仿宋" w:cs="仿宋"/>
          <w:snapToGrid w:val="0"/>
          <w:color w:val="auto"/>
          <w:kern w:val="0"/>
          <w:sz w:val="24"/>
          <w:highlight w:val="none"/>
        </w:rPr>
        <w:t>账  号：</w:t>
      </w:r>
      <w:bookmarkStart w:id="449" w:name="SOA_hhxys_cbrzh"/>
      <w:bookmarkEnd w:id="449"/>
    </w:p>
    <w:p w14:paraId="33E206A9">
      <w:pPr>
        <w:keepNext/>
        <w:keepLines/>
        <w:numPr>
          <w:ilvl w:val="1"/>
          <w:numId w:val="0"/>
        </w:numPr>
        <w:spacing w:before="100" w:line="360" w:lineRule="auto"/>
        <w:jc w:val="center"/>
        <w:outlineLvl w:val="1"/>
        <w:rPr>
          <w:rFonts w:ascii="仿宋" w:hAnsi="仿宋" w:eastAsia="仿宋" w:cs="仿宋"/>
          <w:snapToGrid w:val="0"/>
          <w:color w:val="auto"/>
          <w:kern w:val="44"/>
          <w:sz w:val="28"/>
          <w:szCs w:val="20"/>
          <w:highlight w:val="none"/>
        </w:rPr>
      </w:pPr>
      <w:r>
        <w:rPr>
          <w:rFonts w:hint="eastAsia" w:ascii="仿宋" w:hAnsi="仿宋" w:eastAsia="仿宋" w:cs="仿宋"/>
          <w:snapToGrid w:val="0"/>
          <w:color w:val="auto"/>
          <w:kern w:val="0"/>
          <w:sz w:val="24"/>
          <w:highlight w:val="none"/>
        </w:rPr>
        <w:br w:type="page"/>
      </w:r>
      <w:bookmarkStart w:id="450" w:name="_Toc69485879"/>
      <w:bookmarkStart w:id="451" w:name="_Toc31640"/>
      <w:bookmarkStart w:id="452" w:name="_Toc97299511"/>
      <w:r>
        <w:rPr>
          <w:rFonts w:hint="eastAsia" w:ascii="仿宋" w:hAnsi="仿宋" w:eastAsia="仿宋" w:cs="仿宋"/>
          <w:snapToGrid w:val="0"/>
          <w:color w:val="auto"/>
          <w:kern w:val="44"/>
          <w:sz w:val="28"/>
          <w:szCs w:val="20"/>
          <w:highlight w:val="none"/>
        </w:rPr>
        <w:t>第二部分  通用条款（略）</w:t>
      </w:r>
      <w:bookmarkEnd w:id="450"/>
      <w:bookmarkEnd w:id="451"/>
      <w:bookmarkEnd w:id="452"/>
    </w:p>
    <w:bookmarkEnd w:id="400"/>
    <w:p w14:paraId="39A2C904">
      <w:pPr>
        <w:jc w:val="center"/>
        <w:rPr>
          <w:rFonts w:ascii="仿宋" w:hAnsi="仿宋" w:eastAsia="仿宋" w:cs="仿宋"/>
          <w:snapToGrid w:val="0"/>
          <w:color w:val="auto"/>
          <w:kern w:val="44"/>
          <w:sz w:val="28"/>
          <w:szCs w:val="20"/>
          <w:highlight w:val="none"/>
        </w:rPr>
      </w:pPr>
      <w:bookmarkStart w:id="453" w:name="_Toc331685784"/>
      <w:bookmarkEnd w:id="453"/>
    </w:p>
    <w:p w14:paraId="5FFA2384">
      <w:pPr>
        <w:keepNext/>
        <w:keepLines/>
        <w:numPr>
          <w:ilvl w:val="1"/>
          <w:numId w:val="0"/>
        </w:numPr>
        <w:spacing w:before="100" w:line="360" w:lineRule="auto"/>
        <w:jc w:val="center"/>
        <w:outlineLvl w:val="1"/>
        <w:rPr>
          <w:rFonts w:ascii="仿宋" w:hAnsi="仿宋" w:eastAsia="仿宋" w:cs="仿宋"/>
          <w:snapToGrid w:val="0"/>
          <w:color w:val="auto"/>
          <w:kern w:val="44"/>
          <w:sz w:val="28"/>
          <w:szCs w:val="20"/>
          <w:highlight w:val="none"/>
        </w:rPr>
      </w:pPr>
      <w:r>
        <w:rPr>
          <w:rFonts w:hint="eastAsia" w:ascii="仿宋" w:hAnsi="仿宋" w:eastAsia="仿宋" w:cs="仿宋"/>
          <w:snapToGrid w:val="0"/>
          <w:color w:val="auto"/>
          <w:kern w:val="44"/>
          <w:sz w:val="28"/>
          <w:szCs w:val="20"/>
          <w:highlight w:val="none"/>
        </w:rPr>
        <w:t>第三部分合同专用条款</w:t>
      </w:r>
    </w:p>
    <w:p w14:paraId="2542A47C">
      <w:pPr>
        <w:keepNext/>
        <w:keepLines/>
        <w:snapToGrid w:val="0"/>
        <w:spacing w:line="360" w:lineRule="auto"/>
        <w:ind w:firstLine="480" w:firstLineChars="200"/>
        <w:outlineLvl w:val="3"/>
        <w:rPr>
          <w:rFonts w:ascii="仿宋" w:hAnsi="仿宋" w:eastAsia="仿宋" w:cs="仿宋"/>
          <w:bCs/>
          <w:color w:val="auto"/>
          <w:sz w:val="24"/>
          <w:highlight w:val="none"/>
          <w:lang w:val="zh-CN"/>
        </w:rPr>
      </w:pPr>
      <w:bookmarkStart w:id="454" w:name="_Toc351203633"/>
      <w:r>
        <w:rPr>
          <w:rFonts w:hint="eastAsia" w:ascii="仿宋" w:hAnsi="仿宋" w:eastAsia="仿宋" w:cs="仿宋"/>
          <w:bCs/>
          <w:color w:val="auto"/>
          <w:sz w:val="24"/>
          <w:highlight w:val="none"/>
          <w:lang w:val="zh-CN"/>
        </w:rPr>
        <w:t>1</w:t>
      </w:r>
      <w:bookmarkStart w:id="455" w:name="_Toc296890984"/>
      <w:bookmarkStart w:id="456" w:name="_Toc296503156"/>
      <w:bookmarkStart w:id="457" w:name="_Toc296891196"/>
      <w:bookmarkStart w:id="458" w:name="_Toc292559361"/>
      <w:bookmarkStart w:id="459" w:name="_Toc297120456"/>
      <w:bookmarkStart w:id="460" w:name="_Toc296944495"/>
      <w:bookmarkStart w:id="461" w:name="_Toc296346657"/>
      <w:bookmarkStart w:id="462" w:name="_Toc296347155"/>
      <w:bookmarkStart w:id="463" w:name="_Toc297048342"/>
      <w:bookmarkStart w:id="464" w:name="_Toc292559866"/>
      <w:r>
        <w:rPr>
          <w:rFonts w:hint="eastAsia" w:ascii="仿宋" w:hAnsi="仿宋" w:eastAsia="仿宋" w:cs="仿宋"/>
          <w:bCs/>
          <w:color w:val="auto"/>
          <w:sz w:val="24"/>
          <w:highlight w:val="none"/>
          <w:lang w:val="zh-CN"/>
        </w:rPr>
        <w:t>. 一般约定</w:t>
      </w:r>
      <w:bookmarkEnd w:id="454"/>
    </w:p>
    <w:bookmarkEnd w:id="455"/>
    <w:bookmarkEnd w:id="456"/>
    <w:bookmarkEnd w:id="457"/>
    <w:bookmarkEnd w:id="458"/>
    <w:bookmarkEnd w:id="459"/>
    <w:bookmarkEnd w:id="460"/>
    <w:bookmarkEnd w:id="461"/>
    <w:bookmarkEnd w:id="462"/>
    <w:bookmarkEnd w:id="463"/>
    <w:bookmarkEnd w:id="464"/>
    <w:p w14:paraId="5B935AF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 词语定义</w:t>
      </w:r>
    </w:p>
    <w:p w14:paraId="7C5B8D25">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1.1.1合同</w:t>
      </w:r>
    </w:p>
    <w:p w14:paraId="676AE368">
      <w:pPr>
        <w:snapToGrid w:val="0"/>
        <w:spacing w:line="360" w:lineRule="auto"/>
        <w:ind w:firstLine="420" w:firstLineChars="200"/>
        <w:rPr>
          <w:rFonts w:ascii="仿宋" w:hAnsi="仿宋" w:eastAsia="仿宋" w:cs="仿宋"/>
          <w:color w:val="auto"/>
          <w:kern w:val="0"/>
          <w:sz w:val="24"/>
          <w:highlight w:val="none"/>
        </w:rPr>
      </w:pPr>
      <w:r>
        <w:rPr>
          <w:rFonts w:hint="eastAsia" w:ascii="仿宋" w:hAnsi="仿宋" w:eastAsia="仿宋" w:cs="仿宋"/>
          <w:snapToGrid w:val="0"/>
          <w:color w:val="auto"/>
          <w:kern w:val="0"/>
          <w:szCs w:val="21"/>
          <w:highlight w:val="none"/>
        </w:rPr>
        <w:t>1.1.1.10</w:t>
      </w:r>
      <w:r>
        <w:rPr>
          <w:rFonts w:hint="eastAsia" w:ascii="仿宋" w:hAnsi="仿宋" w:eastAsia="仿宋" w:cs="仿宋"/>
          <w:color w:val="auto"/>
          <w:kern w:val="0"/>
          <w:sz w:val="24"/>
          <w:highlight w:val="none"/>
        </w:rPr>
        <w:t>其他合同文件包括：</w:t>
      </w:r>
    </w:p>
    <w:p w14:paraId="2F896722">
      <w:pPr>
        <w:shd w:val="clear" w:color="auto" w:fill="FAFAFA"/>
        <w:snapToGrid w:val="0"/>
        <w:spacing w:line="360" w:lineRule="auto"/>
        <w:ind w:firstLine="482" w:firstLineChars="200"/>
        <w:rPr>
          <w:rFonts w:ascii="仿宋" w:hAnsi="仿宋" w:eastAsia="仿宋" w:cs="仿宋"/>
          <w:b/>
          <w:color w:val="auto"/>
          <w:sz w:val="24"/>
          <w:highlight w:val="none"/>
          <w:u w:val="single"/>
        </w:rPr>
      </w:pPr>
      <w:r>
        <w:rPr>
          <w:rFonts w:hint="eastAsia" w:ascii="仿宋" w:hAnsi="仿宋" w:eastAsia="仿宋" w:cs="仿宋"/>
          <w:b/>
          <w:color w:val="auto"/>
          <w:kern w:val="0"/>
          <w:sz w:val="24"/>
          <w:highlight w:val="none"/>
          <w:u w:val="single"/>
        </w:rPr>
        <w:t>施工组织设计：</w:t>
      </w:r>
      <w:r>
        <w:rPr>
          <w:rFonts w:hint="eastAsia" w:ascii="仿宋" w:hAnsi="仿宋" w:eastAsia="仿宋" w:cs="仿宋"/>
          <w:b/>
          <w:color w:val="auto"/>
          <w:sz w:val="24"/>
          <w:highlight w:val="none"/>
          <w:u w:val="single"/>
        </w:rPr>
        <w:t>施工组织</w:t>
      </w:r>
      <w:r>
        <w:rPr>
          <w:color w:val="auto"/>
          <w:highlight w:val="none"/>
        </w:rPr>
        <w:fldChar w:fldCharType="begin"/>
      </w:r>
      <w:r>
        <w:rPr>
          <w:color w:val="auto"/>
          <w:highlight w:val="none"/>
        </w:rPr>
        <w:instrText xml:space="preserve"> HYPERLINK "http://baike.baidu.com/view/14417.htm" \t "_blank" </w:instrText>
      </w:r>
      <w:r>
        <w:rPr>
          <w:color w:val="auto"/>
          <w:highlight w:val="none"/>
        </w:rPr>
        <w:fldChar w:fldCharType="separate"/>
      </w:r>
      <w:r>
        <w:rPr>
          <w:rFonts w:hint="eastAsia" w:ascii="仿宋" w:hAnsi="仿宋" w:eastAsia="仿宋" w:cs="仿宋"/>
          <w:b/>
          <w:color w:val="auto"/>
          <w:sz w:val="24"/>
          <w:highlight w:val="none"/>
          <w:u w:val="single"/>
        </w:rPr>
        <w:t>设计</w:t>
      </w:r>
      <w:r>
        <w:rPr>
          <w:rFonts w:hint="eastAsia" w:ascii="仿宋" w:hAnsi="仿宋" w:eastAsia="仿宋" w:cs="仿宋"/>
          <w:b/>
          <w:color w:val="auto"/>
          <w:sz w:val="24"/>
          <w:highlight w:val="none"/>
          <w:u w:val="single"/>
        </w:rPr>
        <w:fldChar w:fldCharType="end"/>
      </w:r>
      <w:r>
        <w:rPr>
          <w:rFonts w:hint="eastAsia" w:ascii="仿宋" w:hAnsi="仿宋" w:eastAsia="仿宋" w:cs="仿宋"/>
          <w:b/>
          <w:color w:val="auto"/>
          <w:sz w:val="24"/>
          <w:highlight w:val="none"/>
          <w:u w:val="single"/>
        </w:rPr>
        <w:t>是用来指导</w:t>
      </w:r>
      <w:r>
        <w:rPr>
          <w:color w:val="auto"/>
          <w:highlight w:val="none"/>
        </w:rPr>
        <w:fldChar w:fldCharType="begin"/>
      </w:r>
      <w:r>
        <w:rPr>
          <w:color w:val="auto"/>
          <w:highlight w:val="none"/>
        </w:rPr>
        <w:instrText xml:space="preserve"> HYPERLINK "http://baike.baidu.com/view/1094820.htm" \t "_blank" </w:instrText>
      </w:r>
      <w:r>
        <w:rPr>
          <w:color w:val="auto"/>
          <w:highlight w:val="none"/>
        </w:rPr>
        <w:fldChar w:fldCharType="separate"/>
      </w:r>
      <w:r>
        <w:rPr>
          <w:rFonts w:hint="eastAsia" w:ascii="仿宋" w:hAnsi="仿宋" w:eastAsia="仿宋" w:cs="仿宋"/>
          <w:b/>
          <w:snapToGrid w:val="0"/>
          <w:color w:val="auto"/>
          <w:kern w:val="0"/>
          <w:sz w:val="24"/>
          <w:highlight w:val="none"/>
          <w:u w:val="single"/>
        </w:rPr>
        <w:t>施工项目</w:t>
      </w:r>
      <w:r>
        <w:rPr>
          <w:rFonts w:hint="eastAsia" w:ascii="仿宋" w:hAnsi="仿宋" w:eastAsia="仿宋" w:cs="仿宋"/>
          <w:b/>
          <w:snapToGrid w:val="0"/>
          <w:color w:val="auto"/>
          <w:kern w:val="0"/>
          <w:sz w:val="24"/>
          <w:highlight w:val="none"/>
          <w:u w:val="single"/>
        </w:rPr>
        <w:fldChar w:fldCharType="end"/>
      </w:r>
      <w:r>
        <w:rPr>
          <w:rFonts w:hint="eastAsia" w:ascii="仿宋" w:hAnsi="仿宋" w:eastAsia="仿宋" w:cs="仿宋"/>
          <w:b/>
          <w:color w:val="auto"/>
          <w:sz w:val="24"/>
          <w:highlight w:val="none"/>
          <w:u w:val="single"/>
        </w:rPr>
        <w:t>全过程各项活动的技术、经济和组织的综合性文件。</w:t>
      </w:r>
    </w:p>
    <w:p w14:paraId="6EC0ED9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合同当事人及其他相关方</w:t>
      </w:r>
    </w:p>
    <w:p w14:paraId="2F7CBDD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1.1.2.4监理人：</w:t>
      </w:r>
    </w:p>
    <w:p w14:paraId="29A75140">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待定</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 ；</w:t>
      </w:r>
    </w:p>
    <w:p w14:paraId="323965E2">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资质类别和等级：</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待定</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w:t>
      </w:r>
    </w:p>
    <w:p w14:paraId="0695797C">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项目负责人及电话：</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待定</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w:t>
      </w:r>
    </w:p>
    <w:p w14:paraId="7E17089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1.1.2.5设计人：</w:t>
      </w:r>
    </w:p>
    <w:p w14:paraId="38140751">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浙江</w:t>
      </w:r>
      <w:r>
        <w:rPr>
          <w:rFonts w:hint="eastAsia" w:ascii="仿宋" w:hAnsi="仿宋" w:eastAsia="仿宋" w:cs="仿宋"/>
          <w:color w:val="auto"/>
          <w:sz w:val="24"/>
          <w:highlight w:val="none"/>
          <w:u w:val="single"/>
          <w:lang w:val="en-US" w:eastAsia="zh-CN"/>
        </w:rPr>
        <w:t>地标设计集团有限公司</w:t>
      </w:r>
      <w:r>
        <w:rPr>
          <w:rFonts w:hint="eastAsia" w:ascii="仿宋" w:hAnsi="仿宋" w:eastAsia="仿宋" w:cs="仿宋"/>
          <w:color w:val="auto"/>
          <w:sz w:val="24"/>
          <w:highlight w:val="none"/>
          <w:u w:val="single"/>
        </w:rPr>
        <w:t xml:space="preserve"> ；</w:t>
      </w:r>
    </w:p>
    <w:p w14:paraId="51654D07">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资质类别和等级：</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建筑行业（建筑工程）甲级</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w:t>
      </w:r>
    </w:p>
    <w:p w14:paraId="69423225">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项目负责人及电话：</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0571-87203826</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w:t>
      </w:r>
    </w:p>
    <w:p w14:paraId="7EB497F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 工程和设备</w:t>
      </w:r>
    </w:p>
    <w:p w14:paraId="1633E15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1.1.3.7 作为施工现场组成部分的其他场所包括：</w:t>
      </w:r>
      <w:r>
        <w:rPr>
          <w:rFonts w:hint="eastAsia" w:ascii="仿宋" w:hAnsi="仿宋" w:eastAsia="仿宋" w:cs="仿宋"/>
          <w:color w:val="auto"/>
          <w:sz w:val="24"/>
          <w:highlight w:val="none"/>
          <w:u w:val="single"/>
        </w:rPr>
        <w:t> /。</w:t>
      </w:r>
    </w:p>
    <w:p w14:paraId="628E307F">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1.1.3.9 永久占地包括：</w:t>
      </w:r>
      <w:r>
        <w:rPr>
          <w:rFonts w:hint="eastAsia" w:ascii="仿宋" w:hAnsi="仿宋" w:eastAsia="仿宋" w:cs="仿宋"/>
          <w:color w:val="auto"/>
          <w:sz w:val="24"/>
          <w:highlight w:val="none"/>
          <w:u w:val="single"/>
        </w:rPr>
        <w:t xml:space="preserve">   / 。</w:t>
      </w:r>
    </w:p>
    <w:p w14:paraId="757FA754">
      <w:pPr>
        <w:adjustRightInd/>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1.1.3.10 临时占地包括：</w:t>
      </w:r>
      <w:r>
        <w:rPr>
          <w:rFonts w:hint="eastAsia" w:ascii="仿宋" w:hAnsi="仿宋" w:eastAsia="仿宋" w:cs="仿宋"/>
          <w:color w:val="auto"/>
          <w:sz w:val="24"/>
          <w:highlight w:val="none"/>
          <w:u w:val="single"/>
        </w:rPr>
        <w:t xml:space="preserve">   / 。</w:t>
      </w:r>
    </w:p>
    <w:p w14:paraId="4F4BE7C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1.3法律 </w:t>
      </w:r>
    </w:p>
    <w:p w14:paraId="4889BDAF">
      <w:pPr>
        <w:autoSpaceDE w:val="0"/>
        <w:autoSpaceDN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适用于合同的其他规范性文件：</w:t>
      </w:r>
    </w:p>
    <w:p w14:paraId="39724579">
      <w:pPr>
        <w:autoSpaceDE w:val="0"/>
        <w:autoSpaceDN w:val="0"/>
        <w:snapToGrid w:val="0"/>
        <w:spacing w:line="360" w:lineRule="auto"/>
        <w:ind w:firstLine="477" w:firstLineChars="198"/>
        <w:jc w:val="left"/>
        <w:rPr>
          <w:rFonts w:ascii="仿宋" w:hAnsi="仿宋" w:eastAsia="仿宋" w:cs="仿宋"/>
          <w:b/>
          <w:color w:val="auto"/>
          <w:kern w:val="0"/>
          <w:sz w:val="24"/>
          <w:highlight w:val="none"/>
          <w:u w:val="single"/>
        </w:rPr>
      </w:pPr>
      <w:r>
        <w:rPr>
          <w:rFonts w:hint="eastAsia" w:ascii="仿宋" w:hAnsi="仿宋" w:eastAsia="仿宋" w:cs="仿宋"/>
          <w:b/>
          <w:color w:val="auto"/>
          <w:kern w:val="0"/>
          <w:sz w:val="24"/>
          <w:highlight w:val="none"/>
          <w:u w:val="single"/>
        </w:rPr>
        <w:t>（1）《杭州市建设工程工程量清单计价实施细则》</w:t>
      </w:r>
    </w:p>
    <w:p w14:paraId="687459A2">
      <w:pPr>
        <w:autoSpaceDE w:val="0"/>
        <w:autoSpaceDN w:val="0"/>
        <w:snapToGrid w:val="0"/>
        <w:spacing w:line="360" w:lineRule="auto"/>
        <w:ind w:firstLine="477" w:firstLineChars="198"/>
        <w:jc w:val="left"/>
        <w:rPr>
          <w:rFonts w:ascii="仿宋" w:hAnsi="仿宋" w:eastAsia="仿宋" w:cs="仿宋"/>
          <w:b/>
          <w:color w:val="auto"/>
          <w:kern w:val="0"/>
          <w:sz w:val="24"/>
          <w:highlight w:val="none"/>
          <w:u w:val="single"/>
        </w:rPr>
      </w:pPr>
      <w:r>
        <w:rPr>
          <w:rFonts w:hint="eastAsia" w:ascii="仿宋" w:hAnsi="仿宋" w:eastAsia="仿宋" w:cs="仿宋"/>
          <w:b/>
          <w:color w:val="auto"/>
          <w:kern w:val="0"/>
          <w:sz w:val="24"/>
          <w:highlight w:val="none"/>
          <w:u w:val="single"/>
        </w:rPr>
        <w:t>（2）《关于进一步加强建筑施工领域企业安全生产工作的实施意见》的通知 （杭建工发〔2011〕130号）</w:t>
      </w:r>
    </w:p>
    <w:p w14:paraId="0D7DDCC6">
      <w:pPr>
        <w:autoSpaceDE w:val="0"/>
        <w:autoSpaceDN w:val="0"/>
        <w:snapToGrid w:val="0"/>
        <w:spacing w:line="360" w:lineRule="auto"/>
        <w:ind w:firstLine="477" w:firstLineChars="198"/>
        <w:jc w:val="left"/>
        <w:rPr>
          <w:rFonts w:ascii="仿宋" w:hAnsi="仿宋" w:eastAsia="仿宋" w:cs="仿宋"/>
          <w:b/>
          <w:color w:val="auto"/>
          <w:kern w:val="0"/>
          <w:sz w:val="24"/>
          <w:highlight w:val="none"/>
          <w:u w:val="single"/>
        </w:rPr>
      </w:pPr>
      <w:r>
        <w:rPr>
          <w:rFonts w:hint="eastAsia" w:ascii="仿宋" w:hAnsi="仿宋" w:eastAsia="仿宋" w:cs="仿宋"/>
          <w:b/>
          <w:color w:val="auto"/>
          <w:kern w:val="0"/>
          <w:sz w:val="24"/>
          <w:highlight w:val="none"/>
          <w:u w:val="single"/>
        </w:rPr>
        <w:t>（3）《关于进一步加强建设工程安全质量物联网管理应用平台建设的通知》（杭建工发【2012】426号）</w:t>
      </w:r>
    </w:p>
    <w:p w14:paraId="48E2A580">
      <w:pPr>
        <w:autoSpaceDE w:val="0"/>
        <w:autoSpaceDN w:val="0"/>
        <w:snapToGrid w:val="0"/>
        <w:spacing w:line="360" w:lineRule="auto"/>
        <w:ind w:firstLine="477" w:firstLineChars="198"/>
        <w:jc w:val="left"/>
        <w:rPr>
          <w:rFonts w:ascii="仿宋" w:hAnsi="仿宋" w:eastAsia="仿宋" w:cs="仿宋"/>
          <w:b/>
          <w:color w:val="auto"/>
          <w:kern w:val="0"/>
          <w:sz w:val="24"/>
          <w:highlight w:val="none"/>
          <w:u w:val="single"/>
        </w:rPr>
      </w:pPr>
      <w:r>
        <w:rPr>
          <w:rFonts w:hint="eastAsia" w:ascii="仿宋" w:hAnsi="仿宋" w:eastAsia="仿宋" w:cs="仿宋"/>
          <w:b/>
          <w:color w:val="auto"/>
          <w:kern w:val="0"/>
          <w:sz w:val="24"/>
          <w:highlight w:val="none"/>
          <w:u w:val="single"/>
        </w:rPr>
        <w:t>（4）《杭州市人民政府办公厅关于印发杭州市建设工程推广应用预拌砂浆管理办法的通知》（杭政办函（2011）32号）</w:t>
      </w:r>
    </w:p>
    <w:p w14:paraId="41D4F2E2">
      <w:pPr>
        <w:autoSpaceDE w:val="0"/>
        <w:autoSpaceDN w:val="0"/>
        <w:snapToGrid w:val="0"/>
        <w:spacing w:line="360" w:lineRule="auto"/>
        <w:ind w:firstLine="477" w:firstLineChars="198"/>
        <w:jc w:val="left"/>
        <w:rPr>
          <w:rFonts w:ascii="仿宋" w:hAnsi="仿宋" w:eastAsia="仿宋" w:cs="仿宋"/>
          <w:b/>
          <w:color w:val="auto"/>
          <w:kern w:val="0"/>
          <w:sz w:val="24"/>
          <w:highlight w:val="none"/>
          <w:u w:val="single"/>
        </w:rPr>
      </w:pPr>
      <w:r>
        <w:rPr>
          <w:rFonts w:hint="eastAsia" w:ascii="仿宋" w:hAnsi="仿宋" w:eastAsia="仿宋" w:cs="仿宋"/>
          <w:b/>
          <w:color w:val="auto"/>
          <w:kern w:val="0"/>
          <w:sz w:val="24"/>
          <w:highlight w:val="none"/>
          <w:u w:val="single"/>
        </w:rPr>
        <w:t>（5）《关于落实建筑工棚安装空调事宜的通知》（杭建工发【2011】237号）</w:t>
      </w:r>
    </w:p>
    <w:p w14:paraId="24D542B8">
      <w:pPr>
        <w:autoSpaceDE w:val="0"/>
        <w:autoSpaceDN w:val="0"/>
        <w:snapToGrid w:val="0"/>
        <w:spacing w:line="360" w:lineRule="auto"/>
        <w:ind w:firstLine="477" w:firstLineChars="198"/>
        <w:jc w:val="left"/>
        <w:rPr>
          <w:rFonts w:ascii="仿宋" w:hAnsi="仿宋" w:eastAsia="仿宋" w:cs="仿宋"/>
          <w:b/>
          <w:color w:val="auto"/>
          <w:kern w:val="0"/>
          <w:sz w:val="24"/>
          <w:highlight w:val="none"/>
          <w:u w:val="single"/>
        </w:rPr>
      </w:pPr>
      <w:r>
        <w:rPr>
          <w:rFonts w:hint="eastAsia" w:ascii="仿宋" w:hAnsi="仿宋" w:eastAsia="仿宋" w:cs="仿宋"/>
          <w:b/>
          <w:color w:val="auto"/>
          <w:kern w:val="0"/>
          <w:sz w:val="24"/>
          <w:highlight w:val="none"/>
          <w:u w:val="single"/>
        </w:rPr>
        <w:t>（6）《关于进一步加强杭州市建设工程市场要素价格动态管理的指导意见》（杭建市【2011】198号）</w:t>
      </w:r>
    </w:p>
    <w:p w14:paraId="18797989">
      <w:pPr>
        <w:autoSpaceDE w:val="0"/>
        <w:autoSpaceDN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1.4标准和规范</w:t>
      </w:r>
    </w:p>
    <w:p w14:paraId="78F0F6BB">
      <w:pPr>
        <w:snapToGrid w:val="0"/>
        <w:spacing w:line="360" w:lineRule="auto"/>
        <w:ind w:firstLine="480" w:firstLineChars="200"/>
        <w:rPr>
          <w:rFonts w:ascii="仿宋" w:hAnsi="仿宋" w:eastAsia="仿宋" w:cs="仿宋"/>
          <w:b/>
          <w:color w:val="auto"/>
          <w:sz w:val="24"/>
          <w:highlight w:val="none"/>
          <w:u w:val="single"/>
        </w:rPr>
      </w:pPr>
      <w:r>
        <w:rPr>
          <w:rFonts w:hint="eastAsia" w:ascii="仿宋" w:hAnsi="仿宋" w:eastAsia="仿宋" w:cs="仿宋"/>
          <w:color w:val="auto"/>
          <w:sz w:val="24"/>
          <w:highlight w:val="none"/>
        </w:rPr>
        <w:t>1.4.1适用于工程的标准规范包括：</w:t>
      </w:r>
      <w:r>
        <w:rPr>
          <w:rFonts w:hint="eastAsia" w:ascii="仿宋" w:hAnsi="仿宋" w:eastAsia="仿宋" w:cs="仿宋"/>
          <w:b/>
          <w:color w:val="auto"/>
          <w:sz w:val="24"/>
          <w:highlight w:val="none"/>
          <w:u w:val="single"/>
        </w:rPr>
        <w:t>国家规定的标准规范及浙江省、杭州市相关的标准规范。</w:t>
      </w:r>
    </w:p>
    <w:p w14:paraId="0B73503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1.4.2 发包人提供国外标准、规范的名称：</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w:t>
      </w:r>
    </w:p>
    <w:p w14:paraId="6E581F5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发包人提供国外标准、规范的份数：</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w:t>
      </w:r>
    </w:p>
    <w:p w14:paraId="5682DE1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发包人提供国外标准、规范的名称：</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w:t>
      </w:r>
    </w:p>
    <w:p w14:paraId="548D436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1.4.3发包人对工程的技术标准和功能要求的特殊要求：</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w:t>
      </w:r>
    </w:p>
    <w:p w14:paraId="7ED1AE3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 合同文件的优先顺序</w:t>
      </w:r>
    </w:p>
    <w:p w14:paraId="4AB64DFF">
      <w:pPr>
        <w:autoSpaceDE w:val="0"/>
        <w:autoSpaceDN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合同文件组成及优先顺序为：</w:t>
      </w:r>
    </w:p>
    <w:p w14:paraId="0F88378D">
      <w:pPr>
        <w:autoSpaceDE w:val="0"/>
        <w:autoSpaceDN w:val="0"/>
        <w:snapToGrid w:val="0"/>
        <w:spacing w:line="360" w:lineRule="auto"/>
        <w:ind w:firstLine="477" w:firstLineChars="198"/>
        <w:jc w:val="left"/>
        <w:rPr>
          <w:rFonts w:ascii="仿宋" w:hAnsi="仿宋" w:eastAsia="仿宋" w:cs="仿宋"/>
          <w:b/>
          <w:color w:val="auto"/>
          <w:sz w:val="24"/>
          <w:highlight w:val="none"/>
        </w:rPr>
      </w:pPr>
      <w:r>
        <w:rPr>
          <w:rFonts w:hint="eastAsia" w:ascii="仿宋" w:hAnsi="仿宋" w:eastAsia="仿宋" w:cs="仿宋"/>
          <w:b/>
          <w:color w:val="auto"/>
          <w:sz w:val="24"/>
          <w:highlight w:val="none"/>
        </w:rPr>
        <w:t>（1）合同协议书；</w:t>
      </w:r>
    </w:p>
    <w:p w14:paraId="5850B815">
      <w:pPr>
        <w:autoSpaceDE w:val="0"/>
        <w:autoSpaceDN w:val="0"/>
        <w:snapToGrid w:val="0"/>
        <w:spacing w:line="360" w:lineRule="auto"/>
        <w:ind w:firstLine="477" w:firstLineChars="198"/>
        <w:jc w:val="left"/>
        <w:rPr>
          <w:rFonts w:ascii="仿宋" w:hAnsi="仿宋" w:eastAsia="仿宋" w:cs="仿宋"/>
          <w:b/>
          <w:color w:val="auto"/>
          <w:sz w:val="24"/>
          <w:highlight w:val="none"/>
        </w:rPr>
      </w:pPr>
      <w:r>
        <w:rPr>
          <w:rFonts w:hint="eastAsia" w:ascii="仿宋" w:hAnsi="仿宋" w:eastAsia="仿宋" w:cs="仿宋"/>
          <w:b/>
          <w:color w:val="auto"/>
          <w:sz w:val="24"/>
          <w:highlight w:val="none"/>
        </w:rPr>
        <w:t>（2）成交通知书（或项目发承包基本情况表）；</w:t>
      </w:r>
    </w:p>
    <w:p w14:paraId="785C0D32">
      <w:pPr>
        <w:snapToGrid w:val="0"/>
        <w:spacing w:line="360" w:lineRule="auto"/>
        <w:ind w:firstLine="477" w:firstLineChars="198"/>
        <w:rPr>
          <w:rFonts w:ascii="仿宋" w:hAnsi="仿宋" w:eastAsia="仿宋" w:cs="仿宋"/>
          <w:b/>
          <w:color w:val="auto"/>
          <w:sz w:val="24"/>
          <w:highlight w:val="none"/>
        </w:rPr>
      </w:pPr>
      <w:r>
        <w:rPr>
          <w:rFonts w:hint="eastAsia" w:ascii="仿宋" w:hAnsi="仿宋" w:eastAsia="仿宋" w:cs="仿宋"/>
          <w:b/>
          <w:color w:val="auto"/>
          <w:sz w:val="24"/>
          <w:highlight w:val="none"/>
        </w:rPr>
        <w:t>（3）磋商响应文件及磋商记录（如果有）；</w:t>
      </w:r>
    </w:p>
    <w:p w14:paraId="634344EA">
      <w:pPr>
        <w:autoSpaceDE w:val="0"/>
        <w:autoSpaceDN w:val="0"/>
        <w:snapToGrid w:val="0"/>
        <w:spacing w:line="360" w:lineRule="auto"/>
        <w:ind w:firstLine="477" w:firstLineChars="198"/>
        <w:jc w:val="left"/>
        <w:rPr>
          <w:rFonts w:ascii="仿宋" w:hAnsi="仿宋" w:eastAsia="仿宋" w:cs="仿宋"/>
          <w:b/>
          <w:color w:val="auto"/>
          <w:sz w:val="24"/>
          <w:highlight w:val="none"/>
        </w:rPr>
      </w:pPr>
      <w:r>
        <w:rPr>
          <w:rFonts w:hint="eastAsia" w:ascii="仿宋" w:hAnsi="仿宋" w:eastAsia="仿宋" w:cs="仿宋"/>
          <w:b/>
          <w:color w:val="auto"/>
          <w:sz w:val="24"/>
          <w:highlight w:val="none"/>
        </w:rPr>
        <w:t>（4）专用合同条款及其附件；</w:t>
      </w:r>
    </w:p>
    <w:p w14:paraId="0267A558">
      <w:pPr>
        <w:autoSpaceDE w:val="0"/>
        <w:autoSpaceDN w:val="0"/>
        <w:snapToGrid w:val="0"/>
        <w:spacing w:line="360" w:lineRule="auto"/>
        <w:ind w:firstLine="477" w:firstLineChars="198"/>
        <w:jc w:val="left"/>
        <w:rPr>
          <w:rFonts w:ascii="仿宋" w:hAnsi="仿宋" w:eastAsia="仿宋" w:cs="仿宋"/>
          <w:b/>
          <w:color w:val="auto"/>
          <w:sz w:val="24"/>
          <w:highlight w:val="none"/>
        </w:rPr>
      </w:pPr>
      <w:r>
        <w:rPr>
          <w:rFonts w:hint="eastAsia" w:ascii="仿宋" w:hAnsi="仿宋" w:eastAsia="仿宋" w:cs="仿宋"/>
          <w:b/>
          <w:color w:val="auto"/>
          <w:sz w:val="24"/>
          <w:highlight w:val="none"/>
        </w:rPr>
        <w:t>（5）通用合同条款；</w:t>
      </w:r>
    </w:p>
    <w:p w14:paraId="2C47C9B2">
      <w:pPr>
        <w:snapToGrid w:val="0"/>
        <w:spacing w:line="360" w:lineRule="auto"/>
        <w:ind w:firstLine="477" w:firstLineChars="198"/>
        <w:rPr>
          <w:rFonts w:ascii="仿宋" w:hAnsi="仿宋" w:eastAsia="仿宋" w:cs="仿宋"/>
          <w:b/>
          <w:color w:val="auto"/>
          <w:sz w:val="24"/>
          <w:highlight w:val="none"/>
        </w:rPr>
      </w:pPr>
      <w:r>
        <w:rPr>
          <w:rFonts w:hint="eastAsia" w:ascii="仿宋" w:hAnsi="仿宋" w:eastAsia="仿宋" w:cs="仿宋"/>
          <w:b/>
          <w:color w:val="auto"/>
          <w:sz w:val="24"/>
          <w:highlight w:val="none"/>
        </w:rPr>
        <w:t>（6）技术标准和要求；</w:t>
      </w:r>
    </w:p>
    <w:p w14:paraId="4ED9131E">
      <w:pPr>
        <w:snapToGrid w:val="0"/>
        <w:spacing w:line="360" w:lineRule="auto"/>
        <w:ind w:firstLine="477" w:firstLineChars="198"/>
        <w:rPr>
          <w:rFonts w:ascii="仿宋" w:hAnsi="仿宋" w:eastAsia="仿宋" w:cs="仿宋"/>
          <w:b/>
          <w:color w:val="auto"/>
          <w:sz w:val="24"/>
          <w:highlight w:val="none"/>
        </w:rPr>
      </w:pPr>
      <w:r>
        <w:rPr>
          <w:rFonts w:hint="eastAsia" w:ascii="仿宋" w:hAnsi="仿宋" w:eastAsia="仿宋" w:cs="仿宋"/>
          <w:b/>
          <w:color w:val="auto"/>
          <w:sz w:val="24"/>
          <w:highlight w:val="none"/>
        </w:rPr>
        <w:t>（7）图纸（如有） ；</w:t>
      </w:r>
    </w:p>
    <w:p w14:paraId="0C8AA17E">
      <w:pPr>
        <w:snapToGrid w:val="0"/>
        <w:spacing w:line="360" w:lineRule="auto"/>
        <w:ind w:firstLine="477" w:firstLineChars="198"/>
        <w:rPr>
          <w:rFonts w:ascii="仿宋" w:hAnsi="仿宋" w:eastAsia="仿宋" w:cs="仿宋"/>
          <w:b/>
          <w:color w:val="auto"/>
          <w:sz w:val="24"/>
          <w:highlight w:val="none"/>
        </w:rPr>
      </w:pPr>
      <w:r>
        <w:rPr>
          <w:rFonts w:hint="eastAsia" w:ascii="仿宋" w:hAnsi="仿宋" w:eastAsia="仿宋" w:cs="仿宋"/>
          <w:b/>
          <w:color w:val="auto"/>
          <w:sz w:val="24"/>
          <w:highlight w:val="none"/>
        </w:rPr>
        <w:t>（8）已标价工程量清单或预算书；</w:t>
      </w:r>
    </w:p>
    <w:p w14:paraId="50E95040">
      <w:pPr>
        <w:snapToGrid w:val="0"/>
        <w:spacing w:line="360" w:lineRule="auto"/>
        <w:ind w:firstLine="477" w:firstLineChars="198"/>
        <w:rPr>
          <w:rFonts w:ascii="仿宋" w:hAnsi="仿宋" w:eastAsia="仿宋" w:cs="仿宋"/>
          <w:b/>
          <w:color w:val="auto"/>
          <w:sz w:val="24"/>
          <w:highlight w:val="none"/>
        </w:rPr>
      </w:pPr>
      <w:r>
        <w:rPr>
          <w:rFonts w:hint="eastAsia" w:ascii="仿宋" w:hAnsi="仿宋" w:eastAsia="仿宋" w:cs="仿宋"/>
          <w:b/>
          <w:color w:val="auto"/>
          <w:sz w:val="24"/>
          <w:highlight w:val="none"/>
        </w:rPr>
        <w:t>（9）其他合同文件：</w:t>
      </w:r>
    </w:p>
    <w:p w14:paraId="0F1B28BA">
      <w:pPr>
        <w:snapToGrid w:val="0"/>
        <w:spacing w:line="360" w:lineRule="auto"/>
        <w:ind w:firstLine="477" w:firstLineChars="198"/>
        <w:rPr>
          <w:rFonts w:ascii="仿宋" w:hAnsi="仿宋" w:eastAsia="仿宋" w:cs="仿宋"/>
          <w:b/>
          <w:color w:val="auto"/>
          <w:sz w:val="24"/>
          <w:highlight w:val="none"/>
        </w:rPr>
      </w:pPr>
      <w:r>
        <w:rPr>
          <w:rFonts w:hint="eastAsia" w:ascii="仿宋" w:hAnsi="仿宋" w:eastAsia="仿宋" w:cs="仿宋"/>
          <w:b/>
          <w:color w:val="auto"/>
          <w:sz w:val="24"/>
          <w:highlight w:val="none"/>
        </w:rPr>
        <w:t>①施工组织设计；</w:t>
      </w:r>
    </w:p>
    <w:p w14:paraId="74CAC1B9">
      <w:pPr>
        <w:snapToGrid w:val="0"/>
        <w:spacing w:line="360" w:lineRule="auto"/>
        <w:ind w:firstLine="477" w:firstLineChars="198"/>
        <w:rPr>
          <w:rFonts w:ascii="仿宋" w:hAnsi="仿宋" w:eastAsia="仿宋" w:cs="仿宋"/>
          <w:color w:val="auto"/>
          <w:sz w:val="24"/>
          <w:highlight w:val="none"/>
        </w:rPr>
      </w:pPr>
      <w:r>
        <w:rPr>
          <w:rFonts w:hint="eastAsia" w:ascii="仿宋" w:hAnsi="仿宋" w:eastAsia="仿宋" w:cs="仿宋"/>
          <w:b/>
          <w:color w:val="auto"/>
          <w:sz w:val="24"/>
          <w:highlight w:val="none"/>
        </w:rPr>
        <w:t xml:space="preserve">②其他：采购文件（含采购工程量清单）及采购答疑（如果有）。 </w:t>
      </w:r>
    </w:p>
    <w:p w14:paraId="0646C5E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1.6图纸和承包人文件</w:t>
      </w:r>
      <w:r>
        <w:rPr>
          <w:rFonts w:hint="eastAsia" w:ascii="仿宋" w:hAnsi="仿宋" w:eastAsia="仿宋" w:cs="仿宋"/>
          <w:color w:val="auto"/>
          <w:sz w:val="24"/>
          <w:highlight w:val="none"/>
        </w:rPr>
        <w:tab/>
      </w:r>
    </w:p>
    <w:p w14:paraId="20972EC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1.6.1 图纸的提供</w:t>
      </w:r>
    </w:p>
    <w:p w14:paraId="201BE8D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发包人向承包人提供图纸的期限：</w:t>
      </w:r>
      <w:r>
        <w:rPr>
          <w:rFonts w:hint="eastAsia" w:ascii="仿宋" w:hAnsi="仿宋" w:eastAsia="仿宋" w:cs="仿宋"/>
          <w:color w:val="auto"/>
          <w:sz w:val="24"/>
          <w:highlight w:val="none"/>
          <w:u w:val="single"/>
        </w:rPr>
        <w:t>合同签订后2日内</w:t>
      </w:r>
      <w:r>
        <w:rPr>
          <w:rFonts w:hint="eastAsia" w:ascii="仿宋" w:hAnsi="仿宋" w:eastAsia="仿宋" w:cs="仿宋"/>
          <w:color w:val="auto"/>
          <w:sz w:val="24"/>
          <w:highlight w:val="none"/>
        </w:rPr>
        <w:t>；</w:t>
      </w:r>
    </w:p>
    <w:p w14:paraId="09ACC80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发包人向承包人提供图纸的数量：</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套</w:t>
      </w:r>
      <w:r>
        <w:rPr>
          <w:rFonts w:hint="eastAsia" w:ascii="仿宋" w:hAnsi="仿宋" w:eastAsia="仿宋" w:cs="仿宋"/>
          <w:color w:val="auto"/>
          <w:sz w:val="24"/>
          <w:highlight w:val="none"/>
        </w:rPr>
        <w:t>；</w:t>
      </w:r>
    </w:p>
    <w:p w14:paraId="739EC75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发包人向承包人提供图纸的内容：</w:t>
      </w:r>
      <w:r>
        <w:rPr>
          <w:rFonts w:hint="eastAsia" w:ascii="仿宋" w:hAnsi="仿宋" w:eastAsia="仿宋" w:cs="仿宋"/>
          <w:color w:val="auto"/>
          <w:sz w:val="24"/>
          <w:highlight w:val="none"/>
          <w:u w:val="single"/>
        </w:rPr>
        <w:t>本工程施工范围</w:t>
      </w:r>
      <w:r>
        <w:rPr>
          <w:rFonts w:hint="eastAsia" w:ascii="仿宋" w:hAnsi="仿宋" w:eastAsia="仿宋" w:cs="仿宋"/>
          <w:color w:val="auto"/>
          <w:sz w:val="24"/>
          <w:highlight w:val="none"/>
        </w:rPr>
        <w:t>。</w:t>
      </w:r>
    </w:p>
    <w:p w14:paraId="62A3944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1.6.4承包人文件</w:t>
      </w:r>
    </w:p>
    <w:p w14:paraId="34493D09">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需要由承包人提供的文件，包括：</w:t>
      </w:r>
      <w:r>
        <w:rPr>
          <w:rFonts w:hint="eastAsia" w:ascii="仿宋" w:hAnsi="仿宋" w:eastAsia="仿宋" w:cs="仿宋"/>
          <w:color w:val="auto"/>
          <w:sz w:val="24"/>
          <w:highlight w:val="none"/>
          <w:u w:val="single"/>
        </w:rPr>
        <w:t>竣工图及与施工有关的一切必要文件。</w:t>
      </w:r>
    </w:p>
    <w:p w14:paraId="6DC13285">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承包人提供的文件的期限为：</w:t>
      </w:r>
      <w:r>
        <w:rPr>
          <w:rFonts w:hint="eastAsia" w:ascii="仿宋" w:hAnsi="仿宋" w:eastAsia="仿宋" w:cs="仿宋"/>
          <w:color w:val="auto"/>
          <w:sz w:val="24"/>
          <w:highlight w:val="none"/>
          <w:u w:val="single"/>
        </w:rPr>
        <w:t>合同签订后5天内，承包人应编制施工组织设计、进度计划及详细的工期、质量、安全文明保证措施方案，并报</w:t>
      </w:r>
      <w:r>
        <w:rPr>
          <w:rFonts w:hint="eastAsia" w:ascii="仿宋" w:hAnsi="仿宋" w:eastAsia="仿宋" w:cs="仿宋"/>
          <w:color w:val="auto"/>
          <w:sz w:val="24"/>
          <w:highlight w:val="none"/>
          <w:u w:val="single"/>
          <w:lang w:val="zh-CN"/>
        </w:rPr>
        <w:t>发包人</w:t>
      </w:r>
      <w:r>
        <w:rPr>
          <w:rFonts w:hint="eastAsia" w:ascii="仿宋" w:hAnsi="仿宋" w:eastAsia="仿宋" w:cs="仿宋"/>
          <w:color w:val="auto"/>
          <w:sz w:val="24"/>
          <w:highlight w:val="none"/>
          <w:u w:val="single"/>
        </w:rPr>
        <w:t>审定</w:t>
      </w:r>
      <w:r>
        <w:rPr>
          <w:rFonts w:hint="eastAsia" w:ascii="仿宋" w:hAnsi="仿宋" w:eastAsia="仿宋" w:cs="仿宋"/>
          <w:color w:val="auto"/>
          <w:sz w:val="24"/>
          <w:highlight w:val="none"/>
        </w:rPr>
        <w:t>；</w:t>
      </w:r>
    </w:p>
    <w:p w14:paraId="62F233A4">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承包人提供的文件的数量为：</w:t>
      </w:r>
      <w:r>
        <w:rPr>
          <w:rFonts w:hint="eastAsia" w:ascii="仿宋" w:hAnsi="仿宋" w:eastAsia="仿宋" w:cs="仿宋"/>
          <w:color w:val="auto"/>
          <w:sz w:val="24"/>
          <w:highlight w:val="none"/>
          <w:u w:val="single"/>
        </w:rPr>
        <w:t>四份</w:t>
      </w:r>
      <w:r>
        <w:rPr>
          <w:rFonts w:hint="eastAsia" w:ascii="仿宋" w:hAnsi="仿宋" w:eastAsia="仿宋" w:cs="仿宋"/>
          <w:color w:val="auto"/>
          <w:sz w:val="24"/>
          <w:highlight w:val="none"/>
        </w:rPr>
        <w:t>；</w:t>
      </w:r>
    </w:p>
    <w:p w14:paraId="4D63384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承包人提供的文件的形式为：</w:t>
      </w:r>
      <w:r>
        <w:rPr>
          <w:rFonts w:hint="eastAsia" w:ascii="仿宋" w:hAnsi="仿宋" w:eastAsia="仿宋" w:cs="仿宋"/>
          <w:color w:val="auto"/>
          <w:sz w:val="24"/>
          <w:highlight w:val="none"/>
          <w:u w:val="single"/>
        </w:rPr>
        <w:t>纸质</w:t>
      </w:r>
      <w:r>
        <w:rPr>
          <w:rFonts w:hint="eastAsia" w:ascii="仿宋" w:hAnsi="仿宋" w:eastAsia="仿宋" w:cs="仿宋"/>
          <w:color w:val="auto"/>
          <w:sz w:val="24"/>
          <w:highlight w:val="none"/>
        </w:rPr>
        <w:t>；</w:t>
      </w:r>
    </w:p>
    <w:p w14:paraId="74C043A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发包人审批承包人文件的期限：</w:t>
      </w:r>
      <w:r>
        <w:rPr>
          <w:rFonts w:hint="eastAsia" w:ascii="仿宋" w:hAnsi="仿宋" w:eastAsia="仿宋" w:cs="仿宋"/>
          <w:color w:val="auto"/>
          <w:sz w:val="24"/>
          <w:highlight w:val="none"/>
          <w:u w:val="single"/>
        </w:rPr>
        <w:t>收到文件后一周内</w:t>
      </w:r>
      <w:r>
        <w:rPr>
          <w:rFonts w:hint="eastAsia" w:ascii="仿宋" w:hAnsi="仿宋" w:eastAsia="仿宋" w:cs="仿宋"/>
          <w:color w:val="auto"/>
          <w:sz w:val="24"/>
          <w:highlight w:val="none"/>
        </w:rPr>
        <w:t>。</w:t>
      </w:r>
    </w:p>
    <w:p w14:paraId="0301218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1.6.5现场图纸准备</w:t>
      </w:r>
    </w:p>
    <w:p w14:paraId="38E0E8E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关于现场图纸准备的约定：</w:t>
      </w:r>
      <w:r>
        <w:rPr>
          <w:rFonts w:hint="eastAsia" w:ascii="仿宋" w:hAnsi="仿宋" w:eastAsia="仿宋" w:cs="仿宋"/>
          <w:color w:val="auto"/>
          <w:sz w:val="24"/>
          <w:highlight w:val="none"/>
          <w:u w:val="single"/>
        </w:rPr>
        <w:t xml:space="preserve"> 承包人应在施工现场办公室另外保存至少一套完整的图纸（盖图审章的）和承包人文件，供发包人及有关人员进行工程检查时使用</w:t>
      </w:r>
      <w:r>
        <w:rPr>
          <w:rFonts w:hint="eastAsia" w:ascii="仿宋" w:hAnsi="仿宋" w:eastAsia="仿宋" w:cs="仿宋"/>
          <w:color w:val="auto"/>
          <w:sz w:val="24"/>
          <w:highlight w:val="none"/>
        </w:rPr>
        <w:t>。</w:t>
      </w:r>
    </w:p>
    <w:p w14:paraId="499B542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1.7联络</w:t>
      </w:r>
    </w:p>
    <w:p w14:paraId="0E4E960F">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1.7.1发包人和承包人应当在</w:t>
      </w:r>
      <w:r>
        <w:rPr>
          <w:rFonts w:hint="eastAsia" w:ascii="仿宋" w:hAnsi="仿宋" w:eastAsia="仿宋" w:cs="仿宋"/>
          <w:color w:val="auto"/>
          <w:sz w:val="24"/>
          <w:highlight w:val="none"/>
          <w:u w:val="single"/>
        </w:rPr>
        <w:t>3</w:t>
      </w:r>
      <w:r>
        <w:rPr>
          <w:rFonts w:hint="eastAsia" w:ascii="仿宋" w:hAnsi="仿宋" w:eastAsia="仿宋" w:cs="仿宋"/>
          <w:color w:val="auto"/>
          <w:kern w:val="0"/>
          <w:sz w:val="24"/>
          <w:highlight w:val="none"/>
        </w:rPr>
        <w:t>天内将与合同有关的通知、批准、证明、证书、指示、指令、要求、请求、同意、意见、确定和决定等书面函件送达对方当事人。</w:t>
      </w:r>
    </w:p>
    <w:p w14:paraId="2477D33B">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1.7.2 发包人接收文件的地点：；</w:t>
      </w:r>
    </w:p>
    <w:p w14:paraId="7FCC8BC2">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发包人接收文件的地点：</w:t>
      </w:r>
      <w:r>
        <w:rPr>
          <w:rFonts w:hint="eastAsia" w:ascii="仿宋" w:hAnsi="仿宋" w:eastAsia="仿宋" w:cs="仿宋"/>
          <w:color w:val="auto"/>
          <w:kern w:val="0"/>
          <w:sz w:val="24"/>
          <w:highlight w:val="none"/>
          <w:u w:val="single"/>
          <w:lang w:eastAsia="zh-CN"/>
        </w:rPr>
        <w:t>杭州市余杭区良渚街道瑶山路38号</w:t>
      </w:r>
      <w:r>
        <w:rPr>
          <w:rFonts w:hint="eastAsia" w:ascii="仿宋" w:hAnsi="仿宋" w:eastAsia="仿宋" w:cs="仿宋"/>
          <w:color w:val="auto"/>
          <w:kern w:val="0"/>
          <w:sz w:val="24"/>
          <w:highlight w:val="none"/>
        </w:rPr>
        <w:t>；</w:t>
      </w:r>
    </w:p>
    <w:p w14:paraId="0623008D">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发包人指定的接收人为：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闻静</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2309FEB">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承包人接收文件的地点：</w:t>
      </w:r>
      <w:r>
        <w:rPr>
          <w:rFonts w:hint="eastAsia" w:ascii="仿宋" w:hAnsi="仿宋" w:eastAsia="仿宋" w:cs="仿宋"/>
          <w:color w:val="auto"/>
          <w:sz w:val="24"/>
          <w:highlight w:val="none"/>
          <w:u w:val="single"/>
          <w:lang w:eastAsia="zh-CN"/>
        </w:rPr>
        <w:t>杭州市余杭区良渚街道瑶山路38号</w:t>
      </w:r>
      <w:r>
        <w:rPr>
          <w:rFonts w:hint="eastAsia" w:ascii="仿宋" w:hAnsi="仿宋" w:eastAsia="仿宋" w:cs="仿宋"/>
          <w:color w:val="auto"/>
          <w:kern w:val="0"/>
          <w:sz w:val="24"/>
          <w:highlight w:val="none"/>
        </w:rPr>
        <w:t>；</w:t>
      </w:r>
    </w:p>
    <w:p w14:paraId="7C43C004">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承包人指定的接收人为：</w:t>
      </w:r>
      <w:r>
        <w:rPr>
          <w:rFonts w:hint="eastAsia" w:ascii="仿宋" w:hAnsi="仿宋" w:eastAsia="仿宋" w:cs="仿宋"/>
          <w:color w:val="auto"/>
          <w:sz w:val="24"/>
          <w:highlight w:val="none"/>
          <w:u w:val="single"/>
        </w:rPr>
        <w:t>待定</w:t>
      </w:r>
      <w:r>
        <w:rPr>
          <w:rFonts w:hint="eastAsia" w:ascii="仿宋" w:hAnsi="仿宋" w:eastAsia="仿宋" w:cs="仿宋"/>
          <w:color w:val="auto"/>
          <w:kern w:val="0"/>
          <w:sz w:val="24"/>
          <w:highlight w:val="none"/>
        </w:rPr>
        <w:t>。</w:t>
      </w:r>
    </w:p>
    <w:p w14:paraId="16A102D5">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监理人接收文件的地点：</w:t>
      </w:r>
      <w:r>
        <w:rPr>
          <w:rFonts w:hint="eastAsia" w:ascii="仿宋" w:hAnsi="仿宋" w:eastAsia="仿宋" w:cs="仿宋"/>
          <w:color w:val="auto"/>
          <w:sz w:val="24"/>
          <w:highlight w:val="none"/>
          <w:u w:val="single"/>
        </w:rPr>
        <w:t>项目现场</w:t>
      </w:r>
      <w:r>
        <w:rPr>
          <w:rFonts w:hint="eastAsia" w:ascii="仿宋" w:hAnsi="仿宋" w:eastAsia="仿宋" w:cs="仿宋"/>
          <w:color w:val="auto"/>
          <w:kern w:val="0"/>
          <w:sz w:val="24"/>
          <w:highlight w:val="none"/>
        </w:rPr>
        <w:t>；</w:t>
      </w:r>
    </w:p>
    <w:p w14:paraId="41FA33ED">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监理人指定的接收人为：</w:t>
      </w:r>
      <w:r>
        <w:rPr>
          <w:rFonts w:hint="eastAsia" w:ascii="仿宋" w:hAnsi="仿宋" w:eastAsia="仿宋" w:cs="仿宋"/>
          <w:color w:val="auto"/>
          <w:sz w:val="24"/>
          <w:highlight w:val="none"/>
          <w:u w:val="single"/>
        </w:rPr>
        <w:t>现场监理代表</w:t>
      </w:r>
      <w:r>
        <w:rPr>
          <w:rFonts w:hint="eastAsia" w:ascii="仿宋" w:hAnsi="仿宋" w:eastAsia="仿宋" w:cs="仿宋"/>
          <w:color w:val="auto"/>
          <w:kern w:val="0"/>
          <w:sz w:val="24"/>
          <w:highlight w:val="none"/>
        </w:rPr>
        <w:t>。</w:t>
      </w:r>
    </w:p>
    <w:p w14:paraId="59C8699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1.10交通运输</w:t>
      </w:r>
    </w:p>
    <w:p w14:paraId="5665B38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bookmarkStart w:id="465" w:name="_Toc303539100"/>
      <w:bookmarkStart w:id="466" w:name="_Toc318581155"/>
      <w:bookmarkStart w:id="467" w:name="_Toc300934943"/>
      <w:bookmarkStart w:id="468" w:name="_Toc304295521"/>
      <w:bookmarkStart w:id="469" w:name="_Toc312677986"/>
      <w:r>
        <w:rPr>
          <w:rFonts w:hint="eastAsia" w:ascii="仿宋" w:hAnsi="仿宋" w:eastAsia="仿宋" w:cs="仿宋"/>
          <w:color w:val="auto"/>
          <w:sz w:val="24"/>
          <w:highlight w:val="none"/>
        </w:rPr>
        <w:t>.10.1 出入现场的权利</w:t>
      </w:r>
    </w:p>
    <w:p w14:paraId="61FFBB10">
      <w:pPr>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关于出入现场的权利的约定：</w:t>
      </w:r>
      <w:r>
        <w:rPr>
          <w:rFonts w:hint="eastAsia" w:ascii="仿宋" w:hAnsi="仿宋" w:eastAsia="仿宋" w:cs="仿宋"/>
          <w:color w:val="auto"/>
          <w:sz w:val="24"/>
          <w:highlight w:val="none"/>
          <w:u w:val="single"/>
        </w:rPr>
        <w:t>承包人应根据施工需要，负责取得出入施工现场所需的批准手续和全部权利，以及取得因施工所需修建道路以及其他基础设施的权利，并承担相关手续费用和建设费用。承包人应在订立合同前查勘施工现场，并根据工程规模及技术参数合理预见工程施工所需的进出施工现场的方式、手段、路径等。因承包人未合理预见所增加的费用和（或）延误的工期由承包人承担。</w:t>
      </w:r>
    </w:p>
    <w:bookmarkEnd w:id="465"/>
    <w:bookmarkEnd w:id="466"/>
    <w:bookmarkEnd w:id="467"/>
    <w:bookmarkEnd w:id="468"/>
    <w:bookmarkEnd w:id="469"/>
    <w:p w14:paraId="65ED409F">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bookmarkStart w:id="470" w:name="_Toc312677987"/>
      <w:bookmarkStart w:id="471" w:name="_Toc303539101"/>
      <w:bookmarkStart w:id="472" w:name="_Toc300934944"/>
      <w:bookmarkStart w:id="473" w:name="_Toc304295522"/>
      <w:bookmarkStart w:id="474" w:name="_Toc318581156"/>
      <w:r>
        <w:rPr>
          <w:rFonts w:hint="eastAsia" w:ascii="仿宋" w:hAnsi="仿宋" w:eastAsia="仿宋" w:cs="仿宋"/>
          <w:color w:val="auto"/>
          <w:sz w:val="24"/>
          <w:highlight w:val="none"/>
        </w:rPr>
        <w:t>.10.3 场内交通</w:t>
      </w:r>
    </w:p>
    <w:p w14:paraId="66316D99">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t>关于场外交通和场内交通的边界的约定：</w:t>
      </w:r>
      <w:r>
        <w:rPr>
          <w:rFonts w:hint="eastAsia" w:ascii="仿宋" w:hAnsi="仿宋" w:eastAsia="仿宋" w:cs="仿宋"/>
          <w:color w:val="auto"/>
          <w:sz w:val="24"/>
          <w:highlight w:val="none"/>
          <w:u w:val="single"/>
        </w:rPr>
        <w:t> / </w:t>
      </w:r>
      <w:r>
        <w:rPr>
          <w:rFonts w:hint="eastAsia" w:ascii="仿宋" w:hAnsi="仿宋" w:eastAsia="仿宋" w:cs="仿宋"/>
          <w:color w:val="auto"/>
          <w:sz w:val="24"/>
          <w:highlight w:val="none"/>
        </w:rPr>
        <w:t>。</w:t>
      </w:r>
    </w:p>
    <w:p w14:paraId="59C9FB06">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关于发包人向承包人提供满足工程施工需要的场内道路和交通设施的约定：</w:t>
      </w:r>
      <w:r>
        <w:rPr>
          <w:rFonts w:hint="eastAsia" w:ascii="仿宋" w:hAnsi="仿宋" w:eastAsia="仿宋" w:cs="仿宋"/>
          <w:color w:val="auto"/>
          <w:sz w:val="24"/>
          <w:highlight w:val="none"/>
          <w:u w:val="single"/>
        </w:rPr>
        <w:t>由</w:t>
      </w:r>
      <w:bookmarkEnd w:id="470"/>
      <w:bookmarkEnd w:id="471"/>
      <w:bookmarkEnd w:id="472"/>
      <w:bookmarkEnd w:id="473"/>
      <w:bookmarkEnd w:id="474"/>
      <w:bookmarkStart w:id="475" w:name="_Toc318581157"/>
      <w:r>
        <w:rPr>
          <w:rFonts w:hint="eastAsia" w:ascii="仿宋" w:hAnsi="仿宋" w:eastAsia="仿宋" w:cs="仿宋"/>
          <w:color w:val="auto"/>
          <w:sz w:val="24"/>
          <w:highlight w:val="none"/>
          <w:u w:val="single"/>
        </w:rPr>
        <w:t>承包人自行解决，费用包含在合同总价中。</w:t>
      </w:r>
    </w:p>
    <w:p w14:paraId="71AA8CEC">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1.10.4超大件和超重件的运输</w:t>
      </w:r>
    </w:p>
    <w:p w14:paraId="05274118">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运输超大件或超重件所需的道路和桥梁临时加固改造费用和其他有关费用（如需）由</w:t>
      </w:r>
      <w:r>
        <w:rPr>
          <w:rFonts w:hint="eastAsia" w:ascii="仿宋" w:hAnsi="仿宋" w:eastAsia="仿宋" w:cs="仿宋"/>
          <w:color w:val="auto"/>
          <w:sz w:val="24"/>
          <w:highlight w:val="none"/>
          <w:u w:val="single"/>
        </w:rPr>
        <w:t>承包人</w:t>
      </w:r>
      <w:r>
        <w:rPr>
          <w:rFonts w:hint="eastAsia" w:ascii="仿宋" w:hAnsi="仿宋" w:eastAsia="仿宋" w:cs="仿宋"/>
          <w:color w:val="auto"/>
          <w:sz w:val="24"/>
          <w:highlight w:val="none"/>
        </w:rPr>
        <w:t>承担。</w:t>
      </w:r>
    </w:p>
    <w:p w14:paraId="1B133E09">
      <w:pPr>
        <w:snapToGrid w:val="0"/>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本工程的超大件：</w:t>
      </w:r>
      <w:r>
        <w:rPr>
          <w:rFonts w:hint="eastAsia" w:ascii="仿宋" w:hAnsi="仿宋" w:eastAsia="仿宋" w:cs="仿宋"/>
          <w:color w:val="auto"/>
          <w:sz w:val="24"/>
          <w:highlight w:val="none"/>
          <w:u w:val="single"/>
        </w:rPr>
        <w:t>/</w:t>
      </w:r>
    </w:p>
    <w:p w14:paraId="175496F1">
      <w:pPr>
        <w:snapToGrid w:val="0"/>
        <w:spacing w:line="360" w:lineRule="auto"/>
        <w:ind w:firstLine="482" w:firstLineChars="200"/>
        <w:jc w:val="left"/>
        <w:rPr>
          <w:rFonts w:ascii="仿宋" w:hAnsi="仿宋" w:eastAsia="仿宋" w:cs="仿宋"/>
          <w:color w:val="auto"/>
          <w:sz w:val="24"/>
          <w:highlight w:val="none"/>
        </w:rPr>
      </w:pPr>
      <w:r>
        <w:rPr>
          <w:rFonts w:hint="eastAsia" w:ascii="仿宋" w:hAnsi="仿宋" w:eastAsia="仿宋" w:cs="仿宋"/>
          <w:b/>
          <w:color w:val="auto"/>
          <w:sz w:val="24"/>
          <w:highlight w:val="none"/>
        </w:rPr>
        <w:t>本工程的超重件：</w:t>
      </w:r>
      <w:r>
        <w:rPr>
          <w:rFonts w:hint="eastAsia" w:ascii="仿宋" w:hAnsi="仿宋" w:eastAsia="仿宋" w:cs="仿宋"/>
          <w:color w:val="auto"/>
          <w:sz w:val="24"/>
          <w:highlight w:val="none"/>
          <w:u w:val="single"/>
        </w:rPr>
        <w:t>/</w:t>
      </w:r>
    </w:p>
    <w:bookmarkEnd w:id="475"/>
    <w:p w14:paraId="46ADA7D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1.11知识产权</w:t>
      </w:r>
    </w:p>
    <w:p w14:paraId="2A0D52B8">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auto"/>
          <w:sz w:val="24"/>
          <w:highlight w:val="none"/>
          <w:u w:val="single"/>
        </w:rPr>
        <w:t>发包人。</w:t>
      </w:r>
    </w:p>
    <w:p w14:paraId="131031AE">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关于发包人提供的上述文件的使用限制的要求：</w:t>
      </w:r>
      <w:r>
        <w:rPr>
          <w:rFonts w:hint="eastAsia" w:ascii="仿宋" w:hAnsi="仿宋" w:eastAsia="仿宋" w:cs="仿宋"/>
          <w:color w:val="auto"/>
          <w:sz w:val="24"/>
          <w:highlight w:val="none"/>
          <w:u w:val="single"/>
        </w:rPr>
        <w:t xml:space="preserve">承包人可以为实现合同目的而复制、使用此类文件，但不能用于与合同无关的其他事项。未经发包人书面同意，承包人不得为了合同以外的目的而复制、使用上述文件或将之提供给任何第三方。  </w:t>
      </w:r>
    </w:p>
    <w:p w14:paraId="7F79249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1.11.2 关于承包人为实施工程所编制文件的著作权的归属：</w:t>
      </w:r>
      <w:r>
        <w:rPr>
          <w:rFonts w:hint="eastAsia" w:ascii="仿宋" w:hAnsi="仿宋" w:eastAsia="仿宋" w:cs="仿宋"/>
          <w:color w:val="auto"/>
          <w:sz w:val="24"/>
          <w:highlight w:val="none"/>
          <w:u w:val="single"/>
        </w:rPr>
        <w:t>发包人。</w:t>
      </w:r>
    </w:p>
    <w:p w14:paraId="2CD59411">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关于承包人提供的上述文件的使用限制的要求：</w:t>
      </w:r>
      <w:r>
        <w:rPr>
          <w:rFonts w:hint="eastAsia" w:ascii="仿宋" w:hAnsi="仿宋" w:eastAsia="仿宋" w:cs="仿宋"/>
          <w:color w:val="auto"/>
          <w:sz w:val="24"/>
          <w:highlight w:val="none"/>
          <w:u w:val="single"/>
        </w:rPr>
        <w:t xml:space="preserve">承包人可因实施工程为目的而复制、使用此类文件，但不能用于与合同无关的其他事项。未经发包人书面同意，承包人不得为了合同以外的目的而复制、使用上述文件或将之提供给任何第三方。 </w:t>
      </w:r>
    </w:p>
    <w:p w14:paraId="3D9B762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1.11.4承包人在施工过程中所采用的专利、专有技术、技术秘密的使用费的承担方式：</w:t>
      </w:r>
      <w:r>
        <w:rPr>
          <w:rFonts w:hint="eastAsia" w:ascii="仿宋" w:hAnsi="仿宋" w:eastAsia="仿宋" w:cs="仿宋"/>
          <w:b/>
          <w:color w:val="auto"/>
          <w:sz w:val="24"/>
          <w:highlight w:val="none"/>
          <w:u w:val="single"/>
        </w:rPr>
        <w:t>（除发包人指明外）承包人在施工过程中所采用的专利、专有技术、技术秘密的使用费包含在合同总价内</w:t>
      </w:r>
      <w:r>
        <w:rPr>
          <w:rFonts w:hint="eastAsia" w:ascii="仿宋" w:hAnsi="仿宋" w:eastAsia="仿宋" w:cs="仿宋"/>
          <w:b/>
          <w:color w:val="auto"/>
          <w:sz w:val="24"/>
          <w:highlight w:val="none"/>
        </w:rPr>
        <w:t>。</w:t>
      </w:r>
    </w:p>
    <w:p w14:paraId="2A83C48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1.13工程量清单错误的修正</w:t>
      </w:r>
    </w:p>
    <w:p w14:paraId="6EB8E796">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出现工程量清单错误时，是否调整合同价格：</w:t>
      </w:r>
      <w:r>
        <w:rPr>
          <w:rFonts w:hint="eastAsia" w:ascii="仿宋" w:hAnsi="仿宋" w:eastAsia="仿宋" w:cs="仿宋"/>
          <w:b/>
          <w:color w:val="auto"/>
          <w:sz w:val="24"/>
          <w:highlight w:val="none"/>
          <w:u w:val="single"/>
        </w:rPr>
        <w:t>否</w:t>
      </w:r>
      <w:r>
        <w:rPr>
          <w:rFonts w:hint="eastAsia" w:ascii="仿宋" w:hAnsi="仿宋" w:eastAsia="仿宋" w:cs="仿宋"/>
          <w:b/>
          <w:color w:val="auto"/>
          <w:sz w:val="24"/>
          <w:highlight w:val="none"/>
        </w:rPr>
        <w:t>；</w:t>
      </w:r>
    </w:p>
    <w:p w14:paraId="549E06F7">
      <w:pPr>
        <w:snapToGrid w:val="0"/>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允许调整合同价格的工程量偏差范围：</w:t>
      </w:r>
      <w:bookmarkStart w:id="476" w:name="_Toc351203634"/>
      <w:r>
        <w:rPr>
          <w:rFonts w:hint="eastAsia" w:ascii="仿宋" w:hAnsi="仿宋" w:eastAsia="仿宋" w:cs="仿宋"/>
          <w:b/>
          <w:color w:val="auto"/>
          <w:sz w:val="24"/>
          <w:highlight w:val="none"/>
          <w:u w:val="single"/>
        </w:rPr>
        <w:t>不作调整</w:t>
      </w:r>
      <w:r>
        <w:rPr>
          <w:rFonts w:hint="eastAsia" w:ascii="仿宋" w:hAnsi="仿宋" w:eastAsia="仿宋" w:cs="仿宋"/>
          <w:b/>
          <w:color w:val="auto"/>
          <w:sz w:val="24"/>
          <w:highlight w:val="none"/>
        </w:rPr>
        <w:t>。</w:t>
      </w:r>
    </w:p>
    <w:p w14:paraId="0E7F2EF3">
      <w:pPr>
        <w:keepNext/>
        <w:keepLines/>
        <w:snapToGrid w:val="0"/>
        <w:spacing w:line="360" w:lineRule="auto"/>
        <w:ind w:firstLine="480" w:firstLineChars="200"/>
        <w:outlineLvl w:val="3"/>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2</w:t>
      </w:r>
      <w:bookmarkStart w:id="477" w:name="_Toc296944496"/>
      <w:bookmarkStart w:id="478" w:name="_Toc297120457"/>
      <w:bookmarkStart w:id="479" w:name="_Toc296346658"/>
      <w:bookmarkStart w:id="480" w:name="_Toc296503157"/>
      <w:bookmarkStart w:id="481" w:name="_Toc296347156"/>
      <w:bookmarkStart w:id="482" w:name="_Toc296891197"/>
      <w:bookmarkStart w:id="483" w:name="_Toc292559867"/>
      <w:bookmarkStart w:id="484" w:name="_Toc297048343"/>
      <w:bookmarkStart w:id="485" w:name="_Toc296890985"/>
      <w:bookmarkStart w:id="486" w:name="_Toc292559362"/>
      <w:r>
        <w:rPr>
          <w:rFonts w:hint="eastAsia" w:ascii="仿宋" w:hAnsi="仿宋" w:eastAsia="仿宋" w:cs="仿宋"/>
          <w:bCs/>
          <w:color w:val="auto"/>
          <w:sz w:val="24"/>
          <w:highlight w:val="none"/>
          <w:lang w:val="zh-CN"/>
        </w:rPr>
        <w:t xml:space="preserve">. </w:t>
      </w:r>
      <w:bookmarkEnd w:id="476"/>
      <w:r>
        <w:rPr>
          <w:rFonts w:hint="eastAsia" w:ascii="仿宋" w:hAnsi="仿宋" w:eastAsia="仿宋" w:cs="仿宋"/>
          <w:bCs/>
          <w:color w:val="auto"/>
          <w:sz w:val="24"/>
          <w:highlight w:val="none"/>
          <w:lang w:val="zh-CN"/>
        </w:rPr>
        <w:t>发包人</w:t>
      </w:r>
    </w:p>
    <w:bookmarkEnd w:id="477"/>
    <w:bookmarkEnd w:id="478"/>
    <w:bookmarkEnd w:id="479"/>
    <w:bookmarkEnd w:id="480"/>
    <w:bookmarkEnd w:id="481"/>
    <w:bookmarkEnd w:id="482"/>
    <w:bookmarkEnd w:id="483"/>
    <w:bookmarkEnd w:id="484"/>
    <w:bookmarkEnd w:id="485"/>
    <w:bookmarkEnd w:id="486"/>
    <w:p w14:paraId="62EF9456">
      <w:pPr>
        <w:snapToGrid w:val="0"/>
        <w:spacing w:line="360" w:lineRule="auto"/>
        <w:ind w:left="149" w:leftChars="71" w:firstLine="354" w:firstLineChars="147"/>
        <w:rPr>
          <w:rFonts w:ascii="仿宋" w:hAnsi="仿宋" w:eastAsia="仿宋" w:cs="仿宋"/>
          <w:b/>
          <w:color w:val="auto"/>
          <w:sz w:val="24"/>
          <w:highlight w:val="none"/>
        </w:rPr>
      </w:pPr>
      <w:r>
        <w:rPr>
          <w:rFonts w:hint="eastAsia" w:ascii="仿宋" w:hAnsi="仿宋" w:eastAsia="仿宋" w:cs="仿宋"/>
          <w:b/>
          <w:color w:val="auto"/>
          <w:sz w:val="24"/>
          <w:highlight w:val="none"/>
        </w:rPr>
        <w:t>发包人应根据工程所需配备发包人代表，同时配备1-2名相关人员到岗履职。</w:t>
      </w:r>
    </w:p>
    <w:p w14:paraId="1E2E255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2.2发包人代表</w:t>
      </w:r>
    </w:p>
    <w:p w14:paraId="0986202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发包人代表：</w:t>
      </w:r>
    </w:p>
    <w:p w14:paraId="13C52DF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闻静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w:t>
      </w:r>
    </w:p>
    <w:p w14:paraId="27E8A72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lang w:val="en-US" w:eastAsia="zh-CN"/>
        </w:rPr>
        <w:t>0571-87285052</w:t>
      </w:r>
      <w:r>
        <w:rPr>
          <w:rFonts w:hint="eastAsia" w:ascii="仿宋" w:hAnsi="仿宋" w:eastAsia="仿宋" w:cs="仿宋"/>
          <w:color w:val="auto"/>
          <w:kern w:val="0"/>
          <w:sz w:val="24"/>
          <w:highlight w:val="none"/>
          <w:u w:val="none"/>
        </w:rPr>
        <w:t>。</w:t>
      </w:r>
    </w:p>
    <w:p w14:paraId="7770F785">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发包人对发包人代表的授权范围如下：</w:t>
      </w:r>
      <w:r>
        <w:rPr>
          <w:rFonts w:hint="eastAsia" w:ascii="仿宋" w:hAnsi="仿宋" w:eastAsia="仿宋" w:cs="仿宋"/>
          <w:color w:val="auto"/>
          <w:sz w:val="24"/>
          <w:highlight w:val="none"/>
          <w:u w:val="single"/>
        </w:rPr>
        <w:t>督促本合同的实施，协调处理工程施工中出现的问题，负责施工全过程质量监督和检验，签署工序验收单，隐蔽工程验收单，审核工程进度和竣工验收报告，按合同条款签付工程进度款，监督施工进度和督促资料的完成，审核工程竣工结算。</w:t>
      </w:r>
    </w:p>
    <w:p w14:paraId="0FA6B86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2.4施工现场、施工条件和基础资料的提供</w:t>
      </w:r>
    </w:p>
    <w:p w14:paraId="566ACEB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 提供施工现场</w:t>
      </w:r>
    </w:p>
    <w:p w14:paraId="07E717CC">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关于发包人移交施工现场的期限要求：</w:t>
      </w:r>
      <w:r>
        <w:rPr>
          <w:rFonts w:hint="eastAsia" w:ascii="仿宋" w:hAnsi="仿宋" w:eastAsia="仿宋" w:cs="仿宋"/>
          <w:color w:val="auto"/>
          <w:sz w:val="24"/>
          <w:highlight w:val="none"/>
          <w:u w:val="single"/>
        </w:rPr>
        <w:t>开工前2天完成</w:t>
      </w:r>
      <w:r>
        <w:rPr>
          <w:rFonts w:hint="eastAsia" w:ascii="仿宋" w:hAnsi="仿宋" w:eastAsia="仿宋" w:cs="仿宋"/>
          <w:color w:val="auto"/>
          <w:sz w:val="24"/>
          <w:highlight w:val="none"/>
        </w:rPr>
        <w:t>。</w:t>
      </w:r>
    </w:p>
    <w:p w14:paraId="67D7BB2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 提供工条件</w:t>
      </w:r>
    </w:p>
    <w:p w14:paraId="43EDA5A7">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关于发包人应负责提供施工所需要的条件，包括：</w:t>
      </w:r>
      <w:r>
        <w:rPr>
          <w:rFonts w:hint="eastAsia" w:ascii="仿宋" w:hAnsi="仿宋" w:eastAsia="仿宋" w:cs="仿宋"/>
          <w:color w:val="auto"/>
          <w:sz w:val="24"/>
          <w:highlight w:val="none"/>
          <w:u w:val="single"/>
        </w:rPr>
        <w:t>（1）向承包人提供正常施工所需要的进入施工现场的交通和进场条件；（2）协调处理施工现场周围设施和邻近建筑物、构筑物等的保护工作；（3）按照专用合同条款约定应提供的其他设施和条件。</w:t>
      </w:r>
    </w:p>
    <w:p w14:paraId="3C38A220">
      <w:pPr>
        <w:snapToGrid w:val="0"/>
        <w:spacing w:line="360" w:lineRule="auto"/>
        <w:ind w:firstLine="480" w:firstLineChars="200"/>
        <w:rPr>
          <w:rFonts w:ascii="仿宋" w:hAnsi="仿宋" w:eastAsia="仿宋" w:cs="仿宋"/>
          <w:color w:val="auto"/>
          <w:sz w:val="24"/>
          <w:highlight w:val="none"/>
        </w:rPr>
      </w:pPr>
      <w:bookmarkStart w:id="487" w:name="_Toc351203635"/>
      <w:r>
        <w:rPr>
          <w:rFonts w:hint="eastAsia" w:ascii="仿宋" w:hAnsi="仿宋" w:eastAsia="仿宋" w:cs="仿宋"/>
          <w:color w:val="auto"/>
          <w:sz w:val="24"/>
          <w:highlight w:val="none"/>
        </w:rPr>
        <w:t>2.5 资金来源证明及支付担保</w:t>
      </w:r>
    </w:p>
    <w:p w14:paraId="6F4A3E5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发包人提供资金来源证明的期限要求：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627AE6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发包人是否提供支付担保：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8754CF6">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发包人提供支付担保的形式：</w:t>
      </w:r>
      <w:r>
        <w:rPr>
          <w:rFonts w:hint="eastAsia" w:ascii="仿宋" w:hAnsi="仿宋" w:eastAsia="仿宋" w:cs="仿宋"/>
          <w:color w:val="auto"/>
          <w:sz w:val="24"/>
          <w:highlight w:val="none"/>
          <w:u w:val="single"/>
        </w:rPr>
        <w:t> /       </w:t>
      </w:r>
      <w:r>
        <w:rPr>
          <w:rFonts w:hint="eastAsia" w:ascii="仿宋" w:hAnsi="仿宋" w:eastAsia="仿宋" w:cs="仿宋"/>
          <w:color w:val="auto"/>
          <w:sz w:val="24"/>
          <w:highlight w:val="none"/>
        </w:rPr>
        <w:t>。</w:t>
      </w:r>
    </w:p>
    <w:p w14:paraId="5E64FA6B">
      <w:pPr>
        <w:keepNext/>
        <w:keepLines/>
        <w:snapToGrid w:val="0"/>
        <w:spacing w:line="360" w:lineRule="auto"/>
        <w:ind w:firstLine="480" w:firstLineChars="200"/>
        <w:outlineLvl w:val="3"/>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3</w:t>
      </w:r>
      <w:bookmarkStart w:id="488" w:name="_Toc292559363"/>
      <w:bookmarkStart w:id="489" w:name="_Toc292559868"/>
      <w:bookmarkStart w:id="490" w:name="_Toc297120458"/>
      <w:bookmarkStart w:id="491" w:name="_Toc297048344"/>
      <w:bookmarkStart w:id="492" w:name="_Toc296503158"/>
      <w:bookmarkStart w:id="493" w:name="_Toc296891198"/>
      <w:bookmarkStart w:id="494" w:name="_Toc296890986"/>
      <w:bookmarkStart w:id="495" w:name="_Toc296944497"/>
      <w:bookmarkStart w:id="496" w:name="_Toc296346659"/>
      <w:bookmarkStart w:id="497" w:name="_Toc296347157"/>
      <w:r>
        <w:rPr>
          <w:rFonts w:hint="eastAsia" w:ascii="仿宋" w:hAnsi="仿宋" w:eastAsia="仿宋" w:cs="仿宋"/>
          <w:bCs/>
          <w:color w:val="auto"/>
          <w:sz w:val="24"/>
          <w:highlight w:val="none"/>
          <w:lang w:val="zh-CN"/>
        </w:rPr>
        <w:t xml:space="preserve">. </w:t>
      </w:r>
      <w:bookmarkEnd w:id="487"/>
      <w:r>
        <w:rPr>
          <w:rFonts w:hint="eastAsia" w:ascii="仿宋" w:hAnsi="仿宋" w:eastAsia="仿宋" w:cs="仿宋"/>
          <w:bCs/>
          <w:color w:val="auto"/>
          <w:sz w:val="24"/>
          <w:highlight w:val="none"/>
          <w:lang w:val="zh-CN"/>
        </w:rPr>
        <w:t>承包人</w:t>
      </w:r>
    </w:p>
    <w:bookmarkEnd w:id="488"/>
    <w:bookmarkEnd w:id="489"/>
    <w:bookmarkEnd w:id="490"/>
    <w:bookmarkEnd w:id="491"/>
    <w:bookmarkEnd w:id="492"/>
    <w:bookmarkEnd w:id="493"/>
    <w:bookmarkEnd w:id="494"/>
    <w:bookmarkEnd w:id="495"/>
    <w:bookmarkEnd w:id="496"/>
    <w:bookmarkEnd w:id="497"/>
    <w:p w14:paraId="39C153D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 承包人的一般义务</w:t>
      </w:r>
    </w:p>
    <w:p w14:paraId="2AE7B453">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t>（9）</w:t>
      </w:r>
      <w:r>
        <w:rPr>
          <w:rFonts w:hint="eastAsia" w:ascii="仿宋" w:hAnsi="仿宋" w:eastAsia="仿宋" w:cs="仿宋"/>
          <w:color w:val="auto"/>
          <w:sz w:val="24"/>
          <w:highlight w:val="none"/>
        </w:rPr>
        <w:t>承包人提交的竣工资料的内容：</w:t>
      </w:r>
      <w:r>
        <w:rPr>
          <w:rFonts w:hint="eastAsia" w:ascii="仿宋" w:hAnsi="仿宋" w:eastAsia="仿宋" w:cs="仿宋"/>
          <w:color w:val="auto"/>
          <w:sz w:val="24"/>
          <w:highlight w:val="none"/>
          <w:u w:val="single"/>
        </w:rPr>
        <w:t>承包人按国家工程验收有关规定，向发包人提供完整竣工资料及竣工验收报告</w:t>
      </w:r>
      <w:r>
        <w:rPr>
          <w:rFonts w:hint="eastAsia" w:ascii="仿宋" w:hAnsi="仿宋" w:eastAsia="仿宋" w:cs="仿宋"/>
          <w:color w:val="auto"/>
          <w:sz w:val="24"/>
          <w:highlight w:val="none"/>
        </w:rPr>
        <w:t>。</w:t>
      </w:r>
    </w:p>
    <w:p w14:paraId="37B1EE73">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承包人需要提交的竣工资料套数：</w:t>
      </w:r>
      <w:r>
        <w:rPr>
          <w:rFonts w:hint="eastAsia" w:ascii="仿宋" w:hAnsi="仿宋" w:eastAsia="仿宋" w:cs="仿宋"/>
          <w:color w:val="auto"/>
          <w:sz w:val="24"/>
          <w:highlight w:val="none"/>
          <w:u w:val="single"/>
        </w:rPr>
        <w:t>4套。</w:t>
      </w:r>
    </w:p>
    <w:p w14:paraId="768DE22B">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承包人提交的竣工资料的费用承担：</w:t>
      </w:r>
      <w:r>
        <w:rPr>
          <w:rFonts w:hint="eastAsia" w:ascii="仿宋" w:hAnsi="仿宋" w:eastAsia="仿宋" w:cs="仿宋"/>
          <w:color w:val="auto"/>
          <w:sz w:val="24"/>
          <w:highlight w:val="none"/>
          <w:u w:val="single"/>
        </w:rPr>
        <w:t>承包人承担。</w:t>
      </w:r>
    </w:p>
    <w:p w14:paraId="31BADC24">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承包人提交的竣工资料移交时间：</w:t>
      </w:r>
      <w:r>
        <w:rPr>
          <w:rFonts w:hint="eastAsia" w:ascii="仿宋" w:hAnsi="仿宋" w:eastAsia="仿宋" w:cs="仿宋"/>
          <w:color w:val="auto"/>
          <w:sz w:val="24"/>
          <w:highlight w:val="none"/>
          <w:u w:val="single"/>
        </w:rPr>
        <w:t>竣工验收前</w:t>
      </w:r>
      <w:r>
        <w:rPr>
          <w:rFonts w:hint="eastAsia" w:ascii="仿宋" w:hAnsi="仿宋" w:eastAsia="仿宋" w:cs="仿宋"/>
          <w:color w:val="auto"/>
          <w:sz w:val="24"/>
          <w:highlight w:val="none"/>
          <w:u w:val="single"/>
          <w:lang w:val="en-US" w:eastAsia="zh-CN"/>
        </w:rPr>
        <w:t>30日内</w:t>
      </w:r>
      <w:r>
        <w:rPr>
          <w:rFonts w:hint="eastAsia" w:ascii="仿宋" w:hAnsi="仿宋" w:eastAsia="仿宋" w:cs="仿宋"/>
          <w:color w:val="auto"/>
          <w:sz w:val="24"/>
          <w:highlight w:val="none"/>
          <w:u w:val="single"/>
        </w:rPr>
        <w:t>。</w:t>
      </w:r>
    </w:p>
    <w:p w14:paraId="4BA665BF">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承包人提交的竣工资料形式要求：</w:t>
      </w:r>
      <w:r>
        <w:rPr>
          <w:rFonts w:hint="eastAsia" w:ascii="仿宋" w:hAnsi="仿宋" w:eastAsia="仿宋" w:cs="仿宋"/>
          <w:color w:val="auto"/>
          <w:sz w:val="24"/>
          <w:highlight w:val="none"/>
          <w:u w:val="single"/>
        </w:rPr>
        <w:t>书面。</w:t>
      </w:r>
    </w:p>
    <w:p w14:paraId="66B440E5">
      <w:pPr>
        <w:snapToGrid w:val="0"/>
        <w:spacing w:line="360" w:lineRule="auto"/>
        <w:ind w:firstLine="600" w:firstLineChars="25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（10）承包人应履行的其他义务：</w:t>
      </w:r>
    </w:p>
    <w:p w14:paraId="2E6C02DC">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1）承包人应按国家、省市现行有关技术规范进行施工，确保项目质量。</w:t>
      </w:r>
    </w:p>
    <w:p w14:paraId="41B9EECF">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2）承包人应服从发包人的进程安排，及时进场并保证工期。如承包人因自身原因不能如期进场施工，造成工期的拖延，由此发生的经济损失，应由承包人负责承担。</w:t>
      </w:r>
    </w:p>
    <w:p w14:paraId="35C32259">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3）承包人应严格按本次项目采购的规定要求履行并承担自己的职责。</w:t>
      </w:r>
    </w:p>
    <w:p w14:paraId="3B47485C">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4）承包人应按发包人审定的图纸要求、合同条款、技术规范和工程量清单和材料的要求，承担项目的施工、建成及其后期缺陷修复工作。</w:t>
      </w:r>
    </w:p>
    <w:p w14:paraId="03E13EF6">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供应商有下列行为之一的，</w:t>
      </w:r>
      <w:r>
        <w:rPr>
          <w:rFonts w:hint="eastAsia" w:ascii="仿宋" w:hAnsi="仿宋" w:eastAsia="仿宋" w:cs="仿宋"/>
          <w:color w:val="auto"/>
          <w:sz w:val="24"/>
          <w:highlight w:val="none"/>
          <w:u w:val="single"/>
          <w:lang w:eastAsia="zh-CN"/>
        </w:rPr>
        <w:t>发包</w:t>
      </w:r>
      <w:r>
        <w:rPr>
          <w:rFonts w:hint="eastAsia" w:ascii="仿宋" w:hAnsi="仿宋" w:eastAsia="仿宋" w:cs="仿宋"/>
          <w:color w:val="auto"/>
          <w:sz w:val="24"/>
          <w:highlight w:val="none"/>
          <w:u w:val="single"/>
        </w:rPr>
        <w:t>人有权终止合同。</w:t>
      </w:r>
    </w:p>
    <w:p w14:paraId="181D2AF9">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A、不符合工程技术标准的；</w:t>
      </w:r>
    </w:p>
    <w:p w14:paraId="55D89029">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B、偷工减料的；</w:t>
      </w:r>
    </w:p>
    <w:p w14:paraId="5D73D01E">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C、不按图施工的；</w:t>
      </w:r>
    </w:p>
    <w:p w14:paraId="4E486038">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D、造成重特大责任事故的；</w:t>
      </w:r>
    </w:p>
    <w:p w14:paraId="0B6F595E">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E、不文明安全施工的；</w:t>
      </w:r>
    </w:p>
    <w:p w14:paraId="2C975D5C">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F、不服从现场指挥的；</w:t>
      </w:r>
    </w:p>
    <w:p w14:paraId="3F5ADFE1">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G、工程质量不合格、不符合国家有关工程施工验收规范和标准的合格要求。</w:t>
      </w:r>
    </w:p>
    <w:p w14:paraId="068304BE">
      <w:pPr>
        <w:spacing w:line="360" w:lineRule="auto"/>
        <w:ind w:firstLine="480" w:firstLineChars="200"/>
        <w:rPr>
          <w:rFonts w:ascii="仿宋" w:hAnsi="仿宋" w:eastAsia="仿宋" w:cs="仿宋"/>
          <w:color w:val="auto"/>
          <w:sz w:val="24"/>
          <w:highlight w:val="none"/>
          <w:u w:val="single"/>
        </w:rPr>
      </w:pPr>
      <w:r>
        <w:rPr>
          <w:rFonts w:hint="default" w:ascii="仿宋" w:hAnsi="仿宋" w:eastAsia="仿宋" w:cs="仿宋"/>
          <w:color w:val="auto"/>
          <w:sz w:val="24"/>
          <w:highlight w:val="none"/>
          <w:u w:val="single"/>
          <w:lang w:val="en-US" w:eastAsia="zh-CN"/>
        </w:rPr>
        <w:t>6</w:t>
      </w:r>
      <w:r>
        <w:rPr>
          <w:rFonts w:hint="default" w:ascii="仿宋" w:hAnsi="仿宋" w:eastAsia="仿宋" w:cs="仿宋"/>
          <w:color w:val="auto"/>
          <w:sz w:val="24"/>
          <w:highlight w:val="none"/>
          <w:u w:val="single"/>
        </w:rPr>
        <w:t>）承包人对施工场地周边一定范围环境负有责任，如：施工中不得随意排放泥浆和其他浑浊废弃物，不得随意抛掷各类垃圾、建筑材料等杂物；运输建筑材料、垃圾的车辆应采取有效措施保证行驶途中不污染道路和环境等，以上费用由承包人承担，相关费用含在报价中。工程交接完成后，2天内应清除掉现场内所有不再需要的临时工程、设施、承包人的设备和多余材料、生活垃圾和废物，达到发包人满意的状态。如承包人交工2天后仍不清除、修复，发包人可自行完成，发生的费用由承包人承担。</w:t>
      </w:r>
    </w:p>
    <w:p w14:paraId="635C28F2">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 xml:space="preserve">）承包人在施工过程中，涉及水、电接口由承包人自理。施工区域临时及接水接电方案应事先获得发包人、监理同意，不得私拉乱接。发包人仅提供水电接口，承包人自行接表按实结算。相关水电费用在最终结算时另行缴纳。 </w:t>
      </w:r>
    </w:p>
    <w:p w14:paraId="1D717E54">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施工现场区域围挡布置、机械设备根据项目实际场地情况有序合理布置，材料区、施工区合理布置、划分，在项目实施过程中，制定施工现场的防扬尘、防噪措施的施工方案的技术手段和措施。同时承包人须在进场施工前详细编排针对本项目的施工组织设计安排、施工进度安排、质量把控等具体施工服务措施及方案。</w:t>
      </w:r>
    </w:p>
    <w:p w14:paraId="7914B674">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）在施工过程中，各施工阶段所投入的各类机械设备数量、规格及型号应与</w:t>
      </w:r>
      <w:r>
        <w:rPr>
          <w:rFonts w:hint="eastAsia" w:ascii="仿宋" w:hAnsi="仿宋" w:eastAsia="仿宋" w:cs="仿宋"/>
          <w:color w:val="auto"/>
          <w:sz w:val="24"/>
          <w:highlight w:val="none"/>
          <w:u w:val="single"/>
          <w:lang w:eastAsia="zh-CN"/>
        </w:rPr>
        <w:t>响应</w:t>
      </w:r>
      <w:r>
        <w:rPr>
          <w:rFonts w:hint="eastAsia" w:ascii="仿宋" w:hAnsi="仿宋" w:eastAsia="仿宋" w:cs="仿宋"/>
          <w:color w:val="auto"/>
          <w:sz w:val="24"/>
          <w:highlight w:val="none"/>
          <w:u w:val="single"/>
        </w:rPr>
        <w:t>文件中所列的各类机械设备数量、规格及型号一致，如在实际施工过程中，投入的机械设备不能满足施工需要的，承包人应无条件予以更换或增加；如需减少机械设备的，须报发包人、监理核实批准后，方可减少。否则，由此造成的工期延误和费用的增加均由承包人承担。</w:t>
      </w:r>
    </w:p>
    <w:p w14:paraId="0D7F41E1">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）项目实施期间，</w:t>
      </w:r>
      <w:r>
        <w:rPr>
          <w:rFonts w:hint="eastAsia" w:ascii="仿宋" w:hAnsi="仿宋" w:eastAsia="仿宋" w:cs="仿宋"/>
          <w:color w:val="auto"/>
          <w:sz w:val="24"/>
          <w:highlight w:val="none"/>
          <w:u w:val="single"/>
          <w:lang w:eastAsia="zh-CN"/>
        </w:rPr>
        <w:t>承包人</w:t>
      </w:r>
      <w:r>
        <w:rPr>
          <w:rFonts w:hint="eastAsia" w:ascii="仿宋" w:hAnsi="仿宋" w:eastAsia="仿宋" w:cs="仿宋"/>
          <w:color w:val="auto"/>
          <w:sz w:val="24"/>
          <w:highlight w:val="none"/>
          <w:u w:val="single"/>
        </w:rPr>
        <w:t>进场后直至施工完成、竣工验收移交</w:t>
      </w:r>
      <w:r>
        <w:rPr>
          <w:rFonts w:hint="eastAsia" w:ascii="仿宋" w:hAnsi="仿宋" w:eastAsia="仿宋" w:cs="仿宋"/>
          <w:color w:val="auto"/>
          <w:sz w:val="24"/>
          <w:highlight w:val="none"/>
          <w:u w:val="single"/>
          <w:lang w:eastAsia="zh-CN"/>
        </w:rPr>
        <w:t>发包人</w:t>
      </w:r>
      <w:r>
        <w:rPr>
          <w:rFonts w:hint="eastAsia" w:ascii="仿宋" w:hAnsi="仿宋" w:eastAsia="仿宋" w:cs="仿宋"/>
          <w:color w:val="auto"/>
          <w:sz w:val="24"/>
          <w:highlight w:val="none"/>
          <w:u w:val="single"/>
        </w:rPr>
        <w:t>之前，对施工区域内的消防安全、人身安全工作承担全部责任，现场施工按照杭州市当地建筑工地安全文明施工管理规定执行，</w:t>
      </w:r>
      <w:r>
        <w:rPr>
          <w:rFonts w:hint="eastAsia" w:ascii="仿宋" w:hAnsi="仿宋" w:eastAsia="仿宋" w:cs="仿宋"/>
          <w:color w:val="auto"/>
          <w:sz w:val="24"/>
          <w:highlight w:val="none"/>
          <w:u w:val="single"/>
          <w:lang w:eastAsia="zh-CN"/>
        </w:rPr>
        <w:t>承包人</w:t>
      </w:r>
      <w:r>
        <w:rPr>
          <w:rFonts w:hint="eastAsia" w:ascii="仿宋" w:hAnsi="仿宋" w:eastAsia="仿宋" w:cs="仿宋"/>
          <w:color w:val="auto"/>
          <w:sz w:val="24"/>
          <w:highlight w:val="none"/>
          <w:u w:val="single"/>
        </w:rPr>
        <w:t>应教育其职工进行文明施工，配备必要的安全生产设施和劳动保护用具。</w:t>
      </w:r>
      <w:r>
        <w:rPr>
          <w:rFonts w:hint="eastAsia" w:ascii="仿宋" w:hAnsi="仿宋" w:eastAsia="仿宋" w:cs="仿宋"/>
          <w:color w:val="auto"/>
          <w:sz w:val="24"/>
          <w:highlight w:val="none"/>
          <w:u w:val="single"/>
          <w:lang w:eastAsia="zh-CN"/>
        </w:rPr>
        <w:t>承包人</w:t>
      </w:r>
      <w:r>
        <w:rPr>
          <w:rFonts w:hint="eastAsia" w:ascii="仿宋" w:hAnsi="仿宋" w:eastAsia="仿宋" w:cs="仿宋"/>
          <w:color w:val="auto"/>
          <w:sz w:val="24"/>
          <w:highlight w:val="none"/>
          <w:u w:val="single"/>
        </w:rPr>
        <w:t>应对其管辖范围内的人员和设备（包括</w:t>
      </w:r>
      <w:r>
        <w:rPr>
          <w:rFonts w:hint="eastAsia" w:ascii="仿宋" w:hAnsi="仿宋" w:eastAsia="仿宋" w:cs="仿宋"/>
          <w:color w:val="auto"/>
          <w:sz w:val="24"/>
          <w:highlight w:val="none"/>
          <w:u w:val="single"/>
          <w:lang w:eastAsia="zh-CN"/>
        </w:rPr>
        <w:t>发包人</w:t>
      </w:r>
      <w:r>
        <w:rPr>
          <w:rFonts w:hint="eastAsia" w:ascii="仿宋" w:hAnsi="仿宋" w:eastAsia="仿宋" w:cs="仿宋"/>
          <w:color w:val="auto"/>
          <w:sz w:val="24"/>
          <w:highlight w:val="none"/>
          <w:u w:val="single"/>
        </w:rPr>
        <w:t>的人员和设备）以及工程的安全负责，应负责做好其所辖人员的工作场所和施工区的安全保护工作。</w:t>
      </w:r>
      <w:r>
        <w:rPr>
          <w:rFonts w:hint="eastAsia" w:ascii="仿宋" w:hAnsi="仿宋" w:eastAsia="仿宋" w:cs="仿宋"/>
          <w:color w:val="auto"/>
          <w:sz w:val="24"/>
          <w:highlight w:val="none"/>
          <w:u w:val="single"/>
          <w:lang w:eastAsia="zh-CN"/>
        </w:rPr>
        <w:t>承包人</w:t>
      </w:r>
      <w:r>
        <w:rPr>
          <w:rFonts w:hint="eastAsia" w:ascii="仿宋" w:hAnsi="仿宋" w:eastAsia="仿宋" w:cs="仿宋"/>
          <w:color w:val="auto"/>
          <w:sz w:val="24"/>
          <w:highlight w:val="none"/>
          <w:u w:val="single"/>
        </w:rPr>
        <w:t>必须注意保护工地周边人员、财产的安全，防止因施工安全防范措施不当使周边人员、财产遭受损失。</w:t>
      </w:r>
      <w:r>
        <w:rPr>
          <w:rFonts w:hint="eastAsia" w:ascii="仿宋" w:hAnsi="仿宋" w:eastAsia="仿宋" w:cs="仿宋"/>
          <w:color w:val="auto"/>
          <w:sz w:val="24"/>
          <w:highlight w:val="none"/>
          <w:u w:val="single"/>
          <w:lang w:eastAsia="zh-CN"/>
        </w:rPr>
        <w:t>承包人</w:t>
      </w:r>
      <w:r>
        <w:rPr>
          <w:rFonts w:hint="eastAsia" w:ascii="仿宋" w:hAnsi="仿宋" w:eastAsia="仿宋" w:cs="仿宋"/>
          <w:color w:val="auto"/>
          <w:sz w:val="24"/>
          <w:highlight w:val="none"/>
          <w:u w:val="single"/>
        </w:rPr>
        <w:t>必须对施工现场的用电安全负责。施工现场用电必须遵照杭州市建委颁布的施工现场用电管理条例执行。在施工现场做好警戒告示牌和围栏等设施，作好警示安全工作。如在施工过程中，因</w:t>
      </w:r>
      <w:r>
        <w:rPr>
          <w:rFonts w:hint="eastAsia" w:ascii="仿宋" w:hAnsi="仿宋" w:eastAsia="仿宋" w:cs="仿宋"/>
          <w:color w:val="auto"/>
          <w:sz w:val="24"/>
          <w:highlight w:val="none"/>
          <w:u w:val="single"/>
          <w:lang w:eastAsia="zh-CN"/>
        </w:rPr>
        <w:t>承包人</w:t>
      </w:r>
      <w:r>
        <w:rPr>
          <w:rFonts w:hint="eastAsia" w:ascii="仿宋" w:hAnsi="仿宋" w:eastAsia="仿宋" w:cs="仿宋"/>
          <w:color w:val="auto"/>
          <w:sz w:val="24"/>
          <w:highlight w:val="none"/>
          <w:u w:val="single"/>
        </w:rPr>
        <w:t>原因导致出现安全事故（包括导致其他第三方人员出现安全事故的），相应责任及赔偿由</w:t>
      </w:r>
      <w:r>
        <w:rPr>
          <w:rFonts w:hint="eastAsia" w:ascii="仿宋" w:hAnsi="仿宋" w:eastAsia="仿宋" w:cs="仿宋"/>
          <w:color w:val="auto"/>
          <w:sz w:val="24"/>
          <w:highlight w:val="none"/>
          <w:u w:val="single"/>
          <w:lang w:eastAsia="zh-CN"/>
        </w:rPr>
        <w:t>承包人</w:t>
      </w:r>
      <w:r>
        <w:rPr>
          <w:rFonts w:hint="eastAsia" w:ascii="仿宋" w:hAnsi="仿宋" w:eastAsia="仿宋" w:cs="仿宋"/>
          <w:color w:val="auto"/>
          <w:sz w:val="24"/>
          <w:highlight w:val="none"/>
          <w:u w:val="single"/>
        </w:rPr>
        <w:t>全部承担。</w:t>
      </w:r>
    </w:p>
    <w:p w14:paraId="0BD8CBEA">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）承包人应明确本项目的项目班子人员组织结构，配备</w:t>
      </w:r>
      <w:r>
        <w:rPr>
          <w:rFonts w:hint="eastAsia" w:ascii="仿宋" w:hAnsi="仿宋" w:eastAsia="仿宋" w:cs="仿宋"/>
          <w:color w:val="auto"/>
          <w:sz w:val="24"/>
          <w:highlight w:val="none"/>
          <w:u w:val="single"/>
          <w:lang w:eastAsia="zh-CN"/>
        </w:rPr>
        <w:t>的</w:t>
      </w:r>
      <w:r>
        <w:rPr>
          <w:rFonts w:hint="eastAsia" w:ascii="仿宋" w:hAnsi="仿宋" w:eastAsia="仿宋" w:cs="仿宋"/>
          <w:color w:val="auto"/>
          <w:sz w:val="24"/>
          <w:highlight w:val="none"/>
          <w:u w:val="single"/>
        </w:rPr>
        <w:t>项目负责人</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项目技术负责人具有房屋建筑修缮</w:t>
      </w:r>
      <w:r>
        <w:rPr>
          <w:rFonts w:hint="eastAsia" w:ascii="仿宋" w:hAnsi="仿宋" w:eastAsia="仿宋" w:cs="仿宋"/>
          <w:color w:val="auto"/>
          <w:sz w:val="24"/>
          <w:highlight w:val="none"/>
          <w:u w:val="single"/>
          <w:lang w:eastAsia="zh-CN"/>
        </w:rPr>
        <w:t>改造</w:t>
      </w:r>
      <w:r>
        <w:rPr>
          <w:rFonts w:hint="eastAsia" w:ascii="仿宋" w:hAnsi="仿宋" w:eastAsia="仿宋" w:cs="仿宋"/>
          <w:color w:val="auto"/>
          <w:sz w:val="24"/>
          <w:highlight w:val="none"/>
          <w:u w:val="single"/>
        </w:rPr>
        <w:t>类项目管理经验，其他项目组人员专业匹配，劳动力的投入满足施工进度要求，合理安排劳动力投入，保证项目按时竣工。其中项目负责人每月现场出勤时间至少达到本月施工时间的80%，即每月不少于24日历天，其他项目组人员每月现场出勤时间至少达到本月施工时间的90%，即每月不少于27日历天，承包人应为项目组人员缴纳社会保险，并提供相关社保缴纳证明。承包人在响应文件中承诺的项目组人员未经发包人同意，承包人不得调换和撤离，并按承诺及时到位。发包人有权要求承包人撤换工作不负责任、管理不力、贻误工期和造成严重的安全事故和工程质量事故、违法乱纪的人员，直至发包人满意为止。如需更换人员，承包人须提前3天告知发包人并征得发包人同意，发包人</w:t>
      </w:r>
      <w:r>
        <w:rPr>
          <w:rFonts w:hint="eastAsia" w:ascii="仿宋" w:hAnsi="仿宋" w:eastAsia="仿宋" w:cs="仿宋"/>
          <w:color w:val="auto"/>
          <w:sz w:val="24"/>
          <w:highlight w:val="none"/>
          <w:u w:val="single"/>
          <w:lang w:eastAsia="zh-CN"/>
        </w:rPr>
        <w:t>书面</w:t>
      </w:r>
      <w:r>
        <w:rPr>
          <w:rFonts w:hint="eastAsia" w:ascii="仿宋" w:hAnsi="仿宋" w:eastAsia="仿宋" w:cs="仿宋"/>
          <w:color w:val="auto"/>
          <w:sz w:val="24"/>
          <w:highlight w:val="none"/>
          <w:u w:val="single"/>
        </w:rPr>
        <w:t>同意后，承包人所更换人员须在</w:t>
      </w:r>
      <w:r>
        <w:rPr>
          <w:rFonts w:ascii="仿宋" w:hAnsi="仿宋" w:eastAsia="仿宋" w:cs="仿宋"/>
          <w:color w:val="auto"/>
          <w:sz w:val="24"/>
          <w:highlight w:val="none"/>
          <w:u w:val="single"/>
        </w:rPr>
        <w:t>24</w:t>
      </w:r>
      <w:r>
        <w:rPr>
          <w:rFonts w:hint="eastAsia" w:ascii="仿宋" w:hAnsi="仿宋" w:eastAsia="仿宋" w:cs="仿宋"/>
          <w:color w:val="auto"/>
          <w:sz w:val="24"/>
          <w:highlight w:val="none"/>
          <w:u w:val="single"/>
        </w:rPr>
        <w:t>小时内到岗。更换人员的人员到位率、资历、资质不得低于投标时标准，如相应资质的专业技术人员未按要求到位，视作违约，发包人有权单方面终止合同。</w:t>
      </w:r>
    </w:p>
    <w:p w14:paraId="49BB5E52">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）在符合本项目总工期要求的前提下，合理安排材料供应计划，承包人需制定施工现场材料运输的计划方案，在运至现场卸运时，有专人负责监督、安排。</w:t>
      </w:r>
    </w:p>
    <w:p w14:paraId="30A7A7E9">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因特殊原因造成项目停工，承包人在3日内上报发包人、监理审批。经发包人批准后，工期顺延。停工期间，承包人应做好施工现场保护工作，如因承包人原因造成人员、财产损失的，相关责任由承包人全部承担，且不受合同价款限制。</w:t>
      </w:r>
    </w:p>
    <w:p w14:paraId="7F6A449E">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承包人现场施工应具有相应的质量控制措施和自检措施，如施工材料质量控制、所投入产品质量检验等。材料、产品运至现场后，发包人、承包人、监理根据现行相关规定对运至的材料、产品进行试验、试样、检测工作，验收合格后由发包人、承包人、监理在材料到货验收清单签字确认，当承包人必须开展与本合同有关的各种试验、试样、检测工作不符合现行有关规定（包括不及时开展相关工作），发包人有权直接指定符合有关规定的试验检测机构进行相关试验、试样检测工作，相关费用由承包人承担。如发包人对承包人提供的检测报告或检测结论有异议，认为需要重新检测时，承包人应无条件重新检测，重新检测的材料费由承包人承担，当检测合格时，检测费用由发包承担；当检测不合格时，检测费用由承包人承担，并无条件更换已进场或已使用的材料同时承担由此产生的一切损失及费用（包括再次重新检测时发生的材料费、检测费等一切费用，直到检测合格为止）。</w:t>
      </w:r>
    </w:p>
    <w:p w14:paraId="6D1BF919">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在工程竣工验收交付前成品保护费用均由承包人承担；承包人应在做好自身范围内的成品保护工作的同时，还应配合做好对原有设施的保护工作，若因承包人原因破坏，则承包人应承担责任，并予以赔偿。如因为承包人原因造成项目或第三方人员、财产损失的，相关责任由承包人全部承担，且不受合同价款限制。</w:t>
      </w:r>
    </w:p>
    <w:p w14:paraId="12ACA5AE">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）承包人应全权负责其劳务及职工的雇佣、工资的支付、房屋、膳食及运输的安排。</w:t>
      </w:r>
    </w:p>
    <w:p w14:paraId="75C1FD35">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承包人应服从发包人、监理对施工质量、进度的监督、检查、并为监督、检查提供便利；如果发现工程质量未达到合同标准，承包人应按质量要求积极返工、整改、直到满足合同质量要求；如果进度未达到合同要求，承包人应提出加快进度的措施、方法，并积极实施，直到进度符合合同进度要求。</w:t>
      </w:r>
    </w:p>
    <w:p w14:paraId="67C195DC">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lang w:eastAsia="zh-CN"/>
        </w:rPr>
        <w:t>配合</w:t>
      </w:r>
      <w:r>
        <w:rPr>
          <w:rFonts w:hint="eastAsia" w:ascii="仿宋" w:hAnsi="仿宋" w:eastAsia="仿宋" w:cs="仿宋"/>
          <w:color w:val="auto"/>
          <w:sz w:val="24"/>
          <w:highlight w:val="none"/>
          <w:u w:val="single"/>
          <w:lang w:val="en-US" w:eastAsia="zh-CN"/>
        </w:rPr>
        <w:t>发包人</w:t>
      </w:r>
      <w:r>
        <w:rPr>
          <w:rFonts w:hint="eastAsia" w:ascii="仿宋" w:hAnsi="仿宋" w:eastAsia="仿宋" w:cs="仿宋"/>
          <w:color w:val="auto"/>
          <w:sz w:val="24"/>
          <w:highlight w:val="none"/>
          <w:u w:val="single"/>
          <w:lang w:eastAsia="zh-CN"/>
        </w:rPr>
        <w:t>完成</w:t>
      </w:r>
      <w:r>
        <w:rPr>
          <w:rFonts w:hint="eastAsia" w:ascii="仿宋" w:hAnsi="仿宋" w:eastAsia="仿宋" w:cs="仿宋"/>
          <w:color w:val="auto"/>
          <w:sz w:val="24"/>
          <w:highlight w:val="none"/>
          <w:u w:val="single"/>
          <w:lang w:val="en-US" w:eastAsia="zh-CN"/>
        </w:rPr>
        <w:t>第三方技术服务机构</w:t>
      </w:r>
      <w:r>
        <w:rPr>
          <w:rFonts w:hint="eastAsia" w:ascii="仿宋" w:hAnsi="仿宋" w:eastAsia="仿宋" w:cs="仿宋"/>
          <w:color w:val="auto"/>
          <w:sz w:val="24"/>
          <w:highlight w:val="none"/>
          <w:u w:val="single"/>
          <w:lang w:eastAsia="zh-CN"/>
        </w:rPr>
        <w:t>确认。</w:t>
      </w:r>
    </w:p>
    <w:p w14:paraId="74ECEA3C">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）竣工验收前</w:t>
      </w:r>
      <w:r>
        <w:rPr>
          <w:rFonts w:hint="eastAsia" w:ascii="仿宋" w:hAnsi="仿宋" w:eastAsia="仿宋" w:cs="仿宋"/>
          <w:snapToGrid w:val="0"/>
          <w:color w:val="auto"/>
          <w:kern w:val="0"/>
          <w:sz w:val="24"/>
          <w:highlight w:val="none"/>
          <w:u w:val="single"/>
          <w:lang w:val="en-US" w:eastAsia="zh-CN"/>
        </w:rPr>
        <w:t>30日历天内</w:t>
      </w:r>
      <w:r>
        <w:rPr>
          <w:rFonts w:hint="eastAsia" w:ascii="仿宋" w:hAnsi="仿宋" w:eastAsia="仿宋" w:cs="仿宋"/>
          <w:color w:val="auto"/>
          <w:sz w:val="24"/>
          <w:highlight w:val="none"/>
          <w:u w:val="single"/>
        </w:rPr>
        <w:t>，应向发包人提供本项目的全套竣工资料，在工程验收合格后10天内，向发包人提供4份竣工结算报告书、竣工归档资料，相关费用包含在合同价中。承包人提交的竣工资料符合国家工程验收有关规定</w:t>
      </w:r>
      <w:r>
        <w:rPr>
          <w:rFonts w:hint="eastAsia" w:ascii="仿宋" w:hAnsi="仿宋" w:eastAsia="仿宋" w:cs="仿宋"/>
          <w:color w:val="auto"/>
          <w:sz w:val="24"/>
          <w:highlight w:val="none"/>
          <w:u w:val="single"/>
          <w:lang w:eastAsia="zh-CN"/>
        </w:rPr>
        <w:t>。</w:t>
      </w:r>
    </w:p>
    <w:p w14:paraId="4F3D58A3">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）保密要求：</w:t>
      </w:r>
    </w:p>
    <w:p w14:paraId="52BBD899">
      <w:pPr>
        <w:spacing w:line="360" w:lineRule="auto"/>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u w:val="single"/>
          <w:lang w:eastAsia="zh-CN"/>
        </w:rPr>
        <w:t>发包</w:t>
      </w:r>
      <w:r>
        <w:rPr>
          <w:rFonts w:hint="eastAsia" w:ascii="仿宋" w:hAnsi="仿宋" w:eastAsia="仿宋" w:cs="仿宋"/>
          <w:color w:val="auto"/>
          <w:sz w:val="24"/>
          <w:highlight w:val="none"/>
          <w:u w:val="single"/>
        </w:rPr>
        <w:t>人应当对</w:t>
      </w:r>
      <w:r>
        <w:rPr>
          <w:rFonts w:hint="eastAsia" w:ascii="仿宋" w:hAnsi="仿宋" w:eastAsia="仿宋" w:cs="仿宋"/>
          <w:color w:val="auto"/>
          <w:sz w:val="24"/>
          <w:highlight w:val="none"/>
          <w:u w:val="single"/>
          <w:lang w:eastAsia="zh-CN"/>
        </w:rPr>
        <w:t>承包人</w:t>
      </w:r>
      <w:r>
        <w:rPr>
          <w:rFonts w:hint="eastAsia" w:ascii="仿宋" w:hAnsi="仿宋" w:eastAsia="仿宋" w:cs="仿宋"/>
          <w:color w:val="auto"/>
          <w:sz w:val="24"/>
          <w:highlight w:val="none"/>
          <w:u w:val="single"/>
        </w:rPr>
        <w:t>及工作人员开展常态化安全保密教育，组织签订安全保密承诺书，明确具体安全管理内容、安全保密义务和责任；</w:t>
      </w:r>
    </w:p>
    <w:p w14:paraId="72838010">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（2）</w:t>
      </w:r>
      <w:r>
        <w:rPr>
          <w:rFonts w:hint="eastAsia" w:ascii="仿宋" w:hAnsi="仿宋" w:eastAsia="仿宋" w:cs="仿宋"/>
          <w:color w:val="auto"/>
          <w:sz w:val="24"/>
          <w:highlight w:val="none"/>
          <w:u w:val="single"/>
          <w:lang w:eastAsia="zh-CN"/>
        </w:rPr>
        <w:t>承包人</w:t>
      </w:r>
      <w:r>
        <w:rPr>
          <w:rFonts w:hint="eastAsia" w:ascii="仿宋" w:hAnsi="仿宋" w:eastAsia="仿宋" w:cs="仿宋"/>
          <w:color w:val="auto"/>
          <w:sz w:val="24"/>
          <w:highlight w:val="none"/>
          <w:u w:val="single"/>
        </w:rPr>
        <w:t>及工作人员违反安全管理要求，构成违法犯罪的，</w:t>
      </w:r>
      <w:r>
        <w:rPr>
          <w:rFonts w:hint="eastAsia" w:ascii="仿宋" w:hAnsi="仿宋" w:eastAsia="仿宋" w:cs="仿宋"/>
          <w:color w:val="auto"/>
          <w:sz w:val="24"/>
          <w:highlight w:val="none"/>
          <w:u w:val="single"/>
          <w:lang w:eastAsia="zh-CN"/>
        </w:rPr>
        <w:t>发包</w:t>
      </w:r>
      <w:r>
        <w:rPr>
          <w:rFonts w:hint="eastAsia" w:ascii="仿宋" w:hAnsi="仿宋" w:eastAsia="仿宋" w:cs="仿宋"/>
          <w:color w:val="auto"/>
          <w:sz w:val="24"/>
          <w:highlight w:val="none"/>
          <w:u w:val="single"/>
        </w:rPr>
        <w:t>人应当及时报送本级政府采购和市场监督管理部门，提请列入政府采购严重违法失信行为记录名单、市场监督管理严重失信名单，并追究相关责任。</w:t>
      </w:r>
    </w:p>
    <w:p w14:paraId="7F4A8E06">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u w:val="single"/>
          <w:lang w:eastAsia="zh-CN"/>
        </w:rPr>
        <w:t>承包人</w:t>
      </w:r>
      <w:r>
        <w:rPr>
          <w:rFonts w:hint="eastAsia" w:ascii="仿宋" w:hAnsi="仿宋" w:eastAsia="仿宋" w:cs="仿宋"/>
          <w:color w:val="auto"/>
          <w:sz w:val="24"/>
          <w:highlight w:val="none"/>
          <w:u w:val="single"/>
        </w:rPr>
        <w:t>严格按照</w:t>
      </w:r>
      <w:r>
        <w:rPr>
          <w:rFonts w:hint="eastAsia" w:ascii="仿宋" w:hAnsi="仿宋" w:eastAsia="仿宋" w:cs="仿宋"/>
          <w:color w:val="auto"/>
          <w:sz w:val="24"/>
          <w:highlight w:val="none"/>
          <w:u w:val="single"/>
          <w:lang w:eastAsia="zh-CN"/>
        </w:rPr>
        <w:t>发包</w:t>
      </w:r>
      <w:r>
        <w:rPr>
          <w:rFonts w:hint="eastAsia" w:ascii="仿宋" w:hAnsi="仿宋" w:eastAsia="仿宋" w:cs="仿宋"/>
          <w:color w:val="auto"/>
          <w:sz w:val="24"/>
          <w:highlight w:val="none"/>
          <w:u w:val="single"/>
        </w:rPr>
        <w:t>人规定使用、存储、处理文档资料和数据。合同终止时，应当交还全部资料和数据。</w:t>
      </w:r>
    </w:p>
    <w:p w14:paraId="6BF5D06F">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（4）</w:t>
      </w:r>
      <w:r>
        <w:rPr>
          <w:rFonts w:hint="eastAsia" w:ascii="仿宋" w:hAnsi="仿宋" w:eastAsia="仿宋" w:cs="仿宋"/>
          <w:color w:val="auto"/>
          <w:sz w:val="24"/>
          <w:highlight w:val="none"/>
          <w:u w:val="single"/>
          <w:lang w:eastAsia="zh-CN"/>
        </w:rPr>
        <w:t>承包人</w:t>
      </w:r>
      <w:r>
        <w:rPr>
          <w:rFonts w:hint="eastAsia" w:ascii="仿宋" w:hAnsi="仿宋" w:eastAsia="仿宋" w:cs="仿宋"/>
          <w:color w:val="auto"/>
          <w:sz w:val="24"/>
          <w:highlight w:val="none"/>
          <w:u w:val="single"/>
        </w:rPr>
        <w:t>需与</w:t>
      </w:r>
      <w:r>
        <w:rPr>
          <w:rFonts w:hint="eastAsia" w:ascii="仿宋" w:hAnsi="仿宋" w:eastAsia="仿宋" w:cs="仿宋"/>
          <w:color w:val="auto"/>
          <w:sz w:val="24"/>
          <w:highlight w:val="none"/>
          <w:u w:val="single"/>
          <w:lang w:eastAsia="zh-CN"/>
        </w:rPr>
        <w:t>发包</w:t>
      </w:r>
      <w:r>
        <w:rPr>
          <w:rFonts w:hint="eastAsia" w:ascii="仿宋" w:hAnsi="仿宋" w:eastAsia="仿宋" w:cs="仿宋"/>
          <w:color w:val="auto"/>
          <w:sz w:val="24"/>
          <w:highlight w:val="none"/>
          <w:u w:val="single"/>
        </w:rPr>
        <w:t>人签署保密协议，</w:t>
      </w:r>
      <w:r>
        <w:rPr>
          <w:rFonts w:hint="eastAsia" w:ascii="仿宋" w:hAnsi="仿宋" w:eastAsia="仿宋" w:cs="仿宋"/>
          <w:color w:val="auto"/>
          <w:sz w:val="24"/>
          <w:highlight w:val="none"/>
          <w:u w:val="single"/>
          <w:lang w:eastAsia="zh-CN"/>
        </w:rPr>
        <w:t>承包人</w:t>
      </w:r>
      <w:r>
        <w:rPr>
          <w:rFonts w:hint="eastAsia" w:ascii="仿宋" w:hAnsi="仿宋" w:eastAsia="仿宋" w:cs="仿宋"/>
          <w:color w:val="auto"/>
          <w:sz w:val="24"/>
          <w:highlight w:val="none"/>
          <w:u w:val="single"/>
        </w:rPr>
        <w:t>对在项目实施期间所获得的</w:t>
      </w:r>
      <w:r>
        <w:rPr>
          <w:rFonts w:hint="eastAsia" w:ascii="仿宋" w:hAnsi="仿宋" w:eastAsia="仿宋" w:cs="仿宋"/>
          <w:color w:val="auto"/>
          <w:sz w:val="24"/>
          <w:highlight w:val="none"/>
          <w:u w:val="single"/>
          <w:lang w:eastAsia="zh-CN"/>
        </w:rPr>
        <w:t>发包</w:t>
      </w:r>
      <w:r>
        <w:rPr>
          <w:rFonts w:hint="eastAsia" w:ascii="仿宋" w:hAnsi="仿宋" w:eastAsia="仿宋" w:cs="仿宋"/>
          <w:color w:val="auto"/>
          <w:sz w:val="24"/>
          <w:highlight w:val="none"/>
          <w:u w:val="single"/>
        </w:rPr>
        <w:t>人的情报和资料有保密义务（包括但不限于合同</w:t>
      </w:r>
      <w:r>
        <w:rPr>
          <w:rFonts w:hint="eastAsia" w:ascii="仿宋" w:hAnsi="仿宋" w:eastAsia="仿宋" w:cs="仿宋"/>
          <w:color w:val="auto"/>
          <w:sz w:val="24"/>
          <w:highlight w:val="none"/>
          <w:u w:val="single"/>
          <w:lang w:eastAsia="zh-CN"/>
        </w:rPr>
        <w:t>履约</w:t>
      </w:r>
      <w:r>
        <w:rPr>
          <w:rFonts w:hint="eastAsia" w:ascii="仿宋" w:hAnsi="仿宋" w:eastAsia="仿宋" w:cs="仿宋"/>
          <w:color w:val="auto"/>
          <w:sz w:val="24"/>
          <w:highlight w:val="none"/>
          <w:u w:val="single"/>
        </w:rPr>
        <w:t>期内），泄漏秘密应承担的责任。如有违反，按合同的违约条款向</w:t>
      </w:r>
      <w:r>
        <w:rPr>
          <w:rFonts w:hint="eastAsia" w:ascii="仿宋" w:hAnsi="仿宋" w:eastAsia="仿宋" w:cs="仿宋"/>
          <w:color w:val="auto"/>
          <w:sz w:val="24"/>
          <w:highlight w:val="none"/>
          <w:u w:val="single"/>
          <w:lang w:eastAsia="zh-CN"/>
        </w:rPr>
        <w:t>发包</w:t>
      </w:r>
      <w:r>
        <w:rPr>
          <w:rFonts w:hint="eastAsia" w:ascii="仿宋" w:hAnsi="仿宋" w:eastAsia="仿宋" w:cs="仿宋"/>
          <w:color w:val="auto"/>
          <w:sz w:val="24"/>
          <w:highlight w:val="none"/>
          <w:u w:val="single"/>
        </w:rPr>
        <w:t>人支付违约金，造成</w:t>
      </w:r>
      <w:r>
        <w:rPr>
          <w:rFonts w:hint="eastAsia" w:ascii="仿宋" w:hAnsi="仿宋" w:eastAsia="仿宋" w:cs="仿宋"/>
          <w:color w:val="auto"/>
          <w:sz w:val="24"/>
          <w:highlight w:val="none"/>
          <w:u w:val="single"/>
          <w:lang w:eastAsia="zh-CN"/>
        </w:rPr>
        <w:t>发包</w:t>
      </w:r>
      <w:r>
        <w:rPr>
          <w:rFonts w:hint="eastAsia" w:ascii="仿宋" w:hAnsi="仿宋" w:eastAsia="仿宋" w:cs="仿宋"/>
          <w:color w:val="auto"/>
          <w:sz w:val="24"/>
          <w:highlight w:val="none"/>
          <w:u w:val="single"/>
        </w:rPr>
        <w:t>人损失的应予赔偿，涉嫌犯罪的依法追究刑事责任。</w:t>
      </w:r>
    </w:p>
    <w:p w14:paraId="40E9B308">
      <w:pPr>
        <w:snapToGrid w:val="0"/>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（5）若项目涉及分包的，</w:t>
      </w:r>
      <w:r>
        <w:rPr>
          <w:rFonts w:hint="eastAsia" w:ascii="仿宋" w:hAnsi="仿宋" w:eastAsia="仿宋" w:cs="仿宋"/>
          <w:color w:val="auto"/>
          <w:sz w:val="24"/>
          <w:highlight w:val="none"/>
          <w:u w:val="single"/>
          <w:lang w:eastAsia="zh-CN"/>
        </w:rPr>
        <w:t>承包人</w:t>
      </w:r>
      <w:r>
        <w:rPr>
          <w:rFonts w:hint="eastAsia" w:ascii="仿宋" w:hAnsi="仿宋" w:eastAsia="仿宋" w:cs="仿宋"/>
          <w:color w:val="auto"/>
          <w:sz w:val="24"/>
          <w:highlight w:val="none"/>
          <w:u w:val="single"/>
        </w:rPr>
        <w:t>须按照以上保密要求，与分包供应商签订单位保密协议、个人保密承诺书、开展日常保密教育等措施，确保分包供应商严格落实各项保密规定。</w:t>
      </w:r>
    </w:p>
    <w:p w14:paraId="41E314B1">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20</w:t>
      </w:r>
      <w:r>
        <w:rPr>
          <w:rFonts w:hint="eastAsia" w:ascii="仿宋" w:hAnsi="仿宋" w:eastAsia="仿宋" w:cs="仿宋"/>
          <w:color w:val="auto"/>
          <w:sz w:val="24"/>
          <w:highlight w:val="none"/>
          <w:u w:val="single"/>
        </w:rPr>
        <w:t>）工程主要材料（设备）要求 ：本项目各项由承包人提供的材料，必须是符合国家现行质量标准和环保要求的材料，相关材料采用中档以上材质、品牌，在采购前报发包人确认。</w:t>
      </w:r>
    </w:p>
    <w:p w14:paraId="68900651">
      <w:pPr>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3.2 </w:t>
      </w:r>
      <w:r>
        <w:rPr>
          <w:rFonts w:hint="eastAsia" w:ascii="仿宋" w:hAnsi="仿宋" w:eastAsia="仿宋" w:cs="仿宋"/>
          <w:color w:val="auto"/>
          <w:sz w:val="24"/>
          <w:highlight w:val="none"/>
          <w:lang w:eastAsia="zh-CN"/>
        </w:rPr>
        <w:t>项目负责人</w:t>
      </w:r>
    </w:p>
    <w:p w14:paraId="04CCA9E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 xml:space="preserve">3.2.1 </w:t>
      </w:r>
      <w:r>
        <w:rPr>
          <w:rFonts w:hint="eastAsia" w:ascii="仿宋" w:hAnsi="仿宋" w:eastAsia="仿宋" w:cs="仿宋"/>
          <w:color w:val="auto"/>
          <w:sz w:val="24"/>
          <w:highlight w:val="none"/>
          <w:lang w:eastAsia="zh-CN"/>
        </w:rPr>
        <w:t>项目负责人</w:t>
      </w:r>
      <w:r>
        <w:rPr>
          <w:rFonts w:hint="eastAsia" w:ascii="仿宋" w:hAnsi="仿宋" w:eastAsia="仿宋" w:cs="仿宋"/>
          <w:color w:val="auto"/>
          <w:sz w:val="24"/>
          <w:highlight w:val="none"/>
        </w:rPr>
        <w:t>：</w:t>
      </w:r>
    </w:p>
    <w:p w14:paraId="5D2B76C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待定 </w:t>
      </w:r>
      <w:r>
        <w:rPr>
          <w:rFonts w:hint="eastAsia" w:ascii="仿宋" w:hAnsi="仿宋" w:eastAsia="仿宋" w:cs="仿宋"/>
          <w:color w:val="auto"/>
          <w:sz w:val="24"/>
          <w:highlight w:val="none"/>
        </w:rPr>
        <w:t>；</w:t>
      </w:r>
    </w:p>
    <w:p w14:paraId="458B9B0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身份证号：</w:t>
      </w:r>
      <w:r>
        <w:rPr>
          <w:rFonts w:hint="eastAsia" w:ascii="仿宋" w:hAnsi="仿宋" w:eastAsia="仿宋" w:cs="仿宋"/>
          <w:color w:val="auto"/>
          <w:sz w:val="24"/>
          <w:highlight w:val="none"/>
          <w:u w:val="single"/>
        </w:rPr>
        <w:t>待定 </w:t>
      </w:r>
      <w:r>
        <w:rPr>
          <w:rFonts w:hint="eastAsia" w:ascii="仿宋" w:hAnsi="仿宋" w:eastAsia="仿宋" w:cs="仿宋"/>
          <w:color w:val="auto"/>
          <w:sz w:val="24"/>
          <w:highlight w:val="none"/>
        </w:rPr>
        <w:t>；</w:t>
      </w:r>
    </w:p>
    <w:p w14:paraId="7B6A9A6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建造师执业资格等级：</w:t>
      </w:r>
      <w:r>
        <w:rPr>
          <w:rFonts w:hint="eastAsia" w:ascii="仿宋" w:hAnsi="仿宋" w:eastAsia="仿宋" w:cs="仿宋"/>
          <w:color w:val="auto"/>
          <w:sz w:val="24"/>
          <w:highlight w:val="none"/>
          <w:u w:val="single"/>
        </w:rPr>
        <w:t>待定 </w:t>
      </w:r>
      <w:r>
        <w:rPr>
          <w:rFonts w:hint="eastAsia" w:ascii="仿宋" w:hAnsi="仿宋" w:eastAsia="仿宋" w:cs="仿宋"/>
          <w:color w:val="auto"/>
          <w:sz w:val="24"/>
          <w:highlight w:val="none"/>
        </w:rPr>
        <w:t>；</w:t>
      </w:r>
    </w:p>
    <w:p w14:paraId="103C190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建造师注册证书号：</w:t>
      </w:r>
      <w:r>
        <w:rPr>
          <w:rFonts w:hint="eastAsia" w:ascii="仿宋" w:hAnsi="仿宋" w:eastAsia="仿宋" w:cs="仿宋"/>
          <w:color w:val="auto"/>
          <w:sz w:val="24"/>
          <w:highlight w:val="none"/>
          <w:u w:val="single"/>
        </w:rPr>
        <w:t>待定 </w:t>
      </w:r>
      <w:r>
        <w:rPr>
          <w:rFonts w:hint="eastAsia" w:ascii="仿宋" w:hAnsi="仿宋" w:eastAsia="仿宋" w:cs="仿宋"/>
          <w:color w:val="auto"/>
          <w:sz w:val="24"/>
          <w:highlight w:val="none"/>
        </w:rPr>
        <w:t>；</w:t>
      </w:r>
    </w:p>
    <w:p w14:paraId="00CAC00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建造师执业印章号：</w:t>
      </w:r>
      <w:r>
        <w:rPr>
          <w:rFonts w:hint="eastAsia" w:ascii="仿宋" w:hAnsi="仿宋" w:eastAsia="仿宋" w:cs="仿宋"/>
          <w:color w:val="auto"/>
          <w:sz w:val="24"/>
          <w:highlight w:val="none"/>
          <w:u w:val="single"/>
        </w:rPr>
        <w:t>待定 </w:t>
      </w:r>
      <w:r>
        <w:rPr>
          <w:rFonts w:hint="eastAsia" w:ascii="仿宋" w:hAnsi="仿宋" w:eastAsia="仿宋" w:cs="仿宋"/>
          <w:color w:val="auto"/>
          <w:sz w:val="24"/>
          <w:highlight w:val="none"/>
        </w:rPr>
        <w:t>；</w:t>
      </w:r>
    </w:p>
    <w:p w14:paraId="2C1C96F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安全生产考核合格证书号：</w:t>
      </w:r>
      <w:r>
        <w:rPr>
          <w:rFonts w:hint="eastAsia" w:ascii="仿宋" w:hAnsi="仿宋" w:eastAsia="仿宋" w:cs="仿宋"/>
          <w:color w:val="auto"/>
          <w:sz w:val="24"/>
          <w:highlight w:val="none"/>
          <w:u w:val="single"/>
        </w:rPr>
        <w:t>待定 </w:t>
      </w:r>
      <w:r>
        <w:rPr>
          <w:rFonts w:hint="eastAsia" w:ascii="仿宋" w:hAnsi="仿宋" w:eastAsia="仿宋" w:cs="仿宋"/>
          <w:color w:val="auto"/>
          <w:sz w:val="24"/>
          <w:highlight w:val="none"/>
        </w:rPr>
        <w:t>；</w:t>
      </w:r>
    </w:p>
    <w:p w14:paraId="2A44F42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待定 </w:t>
      </w:r>
      <w:r>
        <w:rPr>
          <w:rFonts w:hint="eastAsia" w:ascii="仿宋" w:hAnsi="仿宋" w:eastAsia="仿宋" w:cs="仿宋"/>
          <w:color w:val="auto"/>
          <w:sz w:val="24"/>
          <w:highlight w:val="none"/>
        </w:rPr>
        <w:t>；</w:t>
      </w:r>
    </w:p>
    <w:p w14:paraId="30EDA27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待定 </w:t>
      </w:r>
      <w:r>
        <w:rPr>
          <w:rFonts w:hint="eastAsia" w:ascii="仿宋" w:hAnsi="仿宋" w:eastAsia="仿宋" w:cs="仿宋"/>
          <w:color w:val="auto"/>
          <w:sz w:val="24"/>
          <w:highlight w:val="none"/>
        </w:rPr>
        <w:t>；</w:t>
      </w:r>
    </w:p>
    <w:p w14:paraId="08FB0E2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rPr>
        <w:t>待定</w:t>
      </w:r>
      <w:r>
        <w:rPr>
          <w:rFonts w:hint="eastAsia" w:ascii="仿宋" w:hAnsi="仿宋" w:eastAsia="仿宋" w:cs="仿宋"/>
          <w:color w:val="auto"/>
          <w:sz w:val="24"/>
          <w:highlight w:val="none"/>
        </w:rPr>
        <w:t>；</w:t>
      </w:r>
    </w:p>
    <w:p w14:paraId="53BF71D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承包人对</w:t>
      </w:r>
      <w:r>
        <w:rPr>
          <w:rFonts w:hint="eastAsia" w:ascii="仿宋" w:hAnsi="仿宋" w:eastAsia="仿宋" w:cs="仿宋"/>
          <w:color w:val="auto"/>
          <w:sz w:val="24"/>
          <w:highlight w:val="none"/>
          <w:lang w:eastAsia="zh-CN"/>
        </w:rPr>
        <w:t>项目负责人</w:t>
      </w:r>
      <w:r>
        <w:rPr>
          <w:rFonts w:hint="eastAsia" w:ascii="仿宋" w:hAnsi="仿宋" w:eastAsia="仿宋" w:cs="仿宋"/>
          <w:color w:val="auto"/>
          <w:sz w:val="24"/>
          <w:highlight w:val="none"/>
        </w:rPr>
        <w:t>的授权范围如下：</w:t>
      </w:r>
      <w:r>
        <w:rPr>
          <w:rFonts w:hint="eastAsia" w:ascii="仿宋" w:hAnsi="仿宋" w:eastAsia="仿宋" w:cs="仿宋"/>
          <w:color w:val="auto"/>
          <w:kern w:val="0"/>
          <w:sz w:val="24"/>
          <w:highlight w:val="none"/>
          <w:u w:val="single"/>
        </w:rPr>
        <w:t>全面负责本工程的质量、安全、工期及成本控制</w:t>
      </w:r>
      <w:r>
        <w:rPr>
          <w:rFonts w:hint="eastAsia" w:ascii="宋体" w:hAnsi="宋体" w:cs="宋体"/>
          <w:sz w:val="24"/>
          <w:highlight w:val="none"/>
        </w:rPr>
        <w:t>。</w:t>
      </w:r>
    </w:p>
    <w:p w14:paraId="6318E05C">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关于</w:t>
      </w:r>
      <w:r>
        <w:rPr>
          <w:rFonts w:hint="eastAsia" w:ascii="仿宋" w:hAnsi="仿宋" w:eastAsia="仿宋" w:cs="仿宋"/>
          <w:color w:val="auto"/>
          <w:kern w:val="0"/>
          <w:sz w:val="24"/>
          <w:highlight w:val="none"/>
          <w:lang w:eastAsia="zh-CN"/>
        </w:rPr>
        <w:t>项目负责人</w:t>
      </w:r>
      <w:r>
        <w:rPr>
          <w:rFonts w:hint="eastAsia" w:ascii="仿宋" w:hAnsi="仿宋" w:eastAsia="仿宋" w:cs="仿宋"/>
          <w:color w:val="auto"/>
          <w:kern w:val="0"/>
          <w:sz w:val="24"/>
          <w:highlight w:val="none"/>
        </w:rPr>
        <w:t>每月在施工现场的时间要求：</w:t>
      </w:r>
      <w:r>
        <w:rPr>
          <w:rFonts w:hint="eastAsia" w:ascii="仿宋" w:hAnsi="仿宋" w:eastAsia="仿宋" w:cs="仿宋"/>
          <w:color w:val="auto"/>
          <w:sz w:val="24"/>
          <w:highlight w:val="none"/>
          <w:u w:val="single"/>
        </w:rPr>
        <w:t xml:space="preserve">  每月现场出勤时间未达到本月施工时间的80%的，即每月不少于24日历天</w:t>
      </w:r>
      <w:r>
        <w:rPr>
          <w:rFonts w:hint="eastAsia" w:ascii="仿宋" w:hAnsi="仿宋" w:eastAsia="仿宋" w:cs="仿宋"/>
          <w:color w:val="auto"/>
          <w:sz w:val="24"/>
          <w:highlight w:val="none"/>
        </w:rPr>
        <w:t>。</w:t>
      </w:r>
    </w:p>
    <w:p w14:paraId="6C094CF8">
      <w:pPr>
        <w:snapToGrid w:val="0"/>
        <w:spacing w:line="360" w:lineRule="auto"/>
        <w:ind w:left="105" w:leftChars="50" w:firstLine="491" w:firstLineChars="205"/>
        <w:rPr>
          <w:rFonts w:ascii="仿宋" w:hAnsi="仿宋" w:eastAsia="仿宋" w:cs="仿宋"/>
          <w:color w:val="auto"/>
          <w:sz w:val="24"/>
          <w:highlight w:val="none"/>
          <w:lang w:val="zh-CN"/>
        </w:rPr>
      </w:pPr>
      <w:r>
        <w:rPr>
          <w:rFonts w:hint="eastAsia" w:ascii="仿宋" w:hAnsi="仿宋" w:eastAsia="仿宋" w:cs="仿宋"/>
          <w:color w:val="auto"/>
          <w:kern w:val="0"/>
          <w:sz w:val="24"/>
          <w:highlight w:val="none"/>
        </w:rPr>
        <w:t>承包人未提交劳动合同，以及没有为</w:t>
      </w:r>
      <w:r>
        <w:rPr>
          <w:rFonts w:hint="eastAsia" w:ascii="仿宋" w:hAnsi="仿宋" w:eastAsia="仿宋" w:cs="仿宋"/>
          <w:color w:val="auto"/>
          <w:kern w:val="0"/>
          <w:sz w:val="24"/>
          <w:highlight w:val="none"/>
          <w:lang w:eastAsia="zh-CN"/>
        </w:rPr>
        <w:t>项目负责人</w:t>
      </w:r>
      <w:r>
        <w:rPr>
          <w:rFonts w:hint="eastAsia" w:ascii="仿宋" w:hAnsi="仿宋" w:eastAsia="仿宋" w:cs="仿宋"/>
          <w:color w:val="auto"/>
          <w:kern w:val="0"/>
          <w:sz w:val="24"/>
          <w:highlight w:val="none"/>
        </w:rPr>
        <w:t>缴纳社会保险证明的违约责任：</w:t>
      </w:r>
      <w:r>
        <w:rPr>
          <w:rFonts w:hint="eastAsia" w:ascii="仿宋" w:hAnsi="仿宋" w:eastAsia="仿宋" w:cs="仿宋"/>
          <w:color w:val="auto"/>
          <w:sz w:val="24"/>
          <w:highlight w:val="none"/>
          <w:u w:val="single"/>
        </w:rPr>
        <w:t>承包人应在发包人要求的整改期限内完成整改，逾期未整改的，发包人有权扣除全部履约保证金</w:t>
      </w:r>
      <w:r>
        <w:rPr>
          <w:rFonts w:hint="eastAsia" w:ascii="仿宋" w:hAnsi="仿宋" w:eastAsia="仿宋" w:cs="仿宋"/>
          <w:color w:val="auto"/>
          <w:sz w:val="24"/>
          <w:highlight w:val="none"/>
          <w:u w:val="single"/>
          <w:lang w:eastAsia="zh-CN"/>
        </w:rPr>
        <w:t>，并有权单方面解除合同</w:t>
      </w:r>
      <w:r>
        <w:rPr>
          <w:rFonts w:hint="eastAsia" w:ascii="仿宋" w:hAnsi="仿宋" w:eastAsia="仿宋" w:cs="仿宋"/>
          <w:color w:val="auto"/>
          <w:sz w:val="24"/>
          <w:highlight w:val="none"/>
          <w:lang w:val="zh-CN"/>
        </w:rPr>
        <w:t>。</w:t>
      </w:r>
    </w:p>
    <w:p w14:paraId="296EEBF2">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kern w:val="0"/>
          <w:sz w:val="24"/>
          <w:highlight w:val="none"/>
          <w:lang w:eastAsia="zh-CN"/>
        </w:rPr>
        <w:t>项目负责人</w:t>
      </w:r>
      <w:r>
        <w:rPr>
          <w:rFonts w:hint="eastAsia" w:ascii="仿宋" w:hAnsi="仿宋" w:eastAsia="仿宋" w:cs="仿宋"/>
          <w:color w:val="auto"/>
          <w:kern w:val="0"/>
          <w:sz w:val="24"/>
          <w:highlight w:val="none"/>
        </w:rPr>
        <w:t>未经批准，擅自离开施工现场的违约责任：</w:t>
      </w:r>
      <w:r>
        <w:rPr>
          <w:rFonts w:hint="eastAsia" w:ascii="仿宋" w:hAnsi="仿宋" w:eastAsia="仿宋" w:cs="仿宋"/>
          <w:color w:val="auto"/>
          <w:kern w:val="0"/>
          <w:sz w:val="24"/>
          <w:highlight w:val="none"/>
          <w:u w:val="single"/>
          <w:lang w:eastAsia="zh-CN"/>
        </w:rPr>
        <w:t>项目负责人</w:t>
      </w:r>
      <w:r>
        <w:rPr>
          <w:rFonts w:hint="eastAsia" w:ascii="仿宋" w:hAnsi="仿宋" w:eastAsia="仿宋" w:cs="仿宋"/>
          <w:color w:val="auto"/>
          <w:kern w:val="0"/>
          <w:sz w:val="24"/>
          <w:highlight w:val="none"/>
          <w:u w:val="single"/>
        </w:rPr>
        <w:t>每月现场出勤时间未达到本月施工时间的80%的，即每月不少于24日历天，每少一天扣除违约金【2000】元。其他项目组人员（不含</w:t>
      </w:r>
      <w:r>
        <w:rPr>
          <w:rFonts w:hint="eastAsia" w:ascii="仿宋" w:hAnsi="仿宋" w:eastAsia="仿宋" w:cs="仿宋"/>
          <w:color w:val="auto"/>
          <w:kern w:val="0"/>
          <w:sz w:val="24"/>
          <w:highlight w:val="none"/>
          <w:u w:val="single"/>
          <w:lang w:eastAsia="zh-CN"/>
        </w:rPr>
        <w:t>项目负责人</w:t>
      </w:r>
      <w:r>
        <w:rPr>
          <w:rFonts w:hint="eastAsia" w:ascii="仿宋" w:hAnsi="仿宋" w:eastAsia="仿宋" w:cs="仿宋"/>
          <w:color w:val="auto"/>
          <w:kern w:val="0"/>
          <w:sz w:val="24"/>
          <w:highlight w:val="none"/>
          <w:u w:val="single"/>
        </w:rPr>
        <w:t>）每月现场出勤时间未达到本月施工时间的90%的，即每月不少于27日历天，每少一天扣除违约金【1000】元</w:t>
      </w:r>
      <w:r>
        <w:rPr>
          <w:rFonts w:hint="eastAsia" w:ascii="仿宋" w:hAnsi="仿宋" w:eastAsia="仿宋" w:cs="仿宋"/>
          <w:color w:val="auto"/>
          <w:sz w:val="24"/>
          <w:highlight w:val="none"/>
        </w:rPr>
        <w:t>。</w:t>
      </w:r>
    </w:p>
    <w:p w14:paraId="6F7AC09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 承包人擅自更换</w:t>
      </w:r>
      <w:r>
        <w:rPr>
          <w:rFonts w:hint="eastAsia" w:ascii="仿宋" w:hAnsi="仿宋" w:eastAsia="仿宋" w:cs="仿宋"/>
          <w:color w:val="auto"/>
          <w:sz w:val="24"/>
          <w:highlight w:val="none"/>
          <w:lang w:eastAsia="zh-CN"/>
        </w:rPr>
        <w:t>项目负责人</w:t>
      </w:r>
      <w:r>
        <w:rPr>
          <w:rFonts w:hint="eastAsia" w:ascii="仿宋" w:hAnsi="仿宋" w:eastAsia="仿宋" w:cs="仿宋"/>
          <w:color w:val="auto"/>
          <w:sz w:val="24"/>
          <w:highlight w:val="none"/>
        </w:rPr>
        <w:t>的违约责任：</w:t>
      </w:r>
      <w:r>
        <w:rPr>
          <w:rFonts w:hint="eastAsia" w:ascii="仿宋" w:hAnsi="仿宋" w:eastAsia="仿宋" w:cs="仿宋"/>
          <w:color w:val="auto"/>
          <w:sz w:val="24"/>
          <w:highlight w:val="none"/>
          <w:u w:val="single"/>
        </w:rPr>
        <w:t>每发生一次扣除违约金【5000】元</w:t>
      </w:r>
      <w:r>
        <w:rPr>
          <w:rFonts w:hint="eastAsia" w:ascii="仿宋" w:hAnsi="仿宋" w:eastAsia="仿宋" w:cs="仿宋"/>
          <w:color w:val="auto"/>
          <w:sz w:val="24"/>
          <w:highlight w:val="none"/>
        </w:rPr>
        <w:t>。</w:t>
      </w:r>
    </w:p>
    <w:p w14:paraId="16F5CB1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3.2.4 承包人无正当理由拒绝更换</w:t>
      </w:r>
      <w:r>
        <w:rPr>
          <w:rFonts w:hint="eastAsia" w:ascii="仿宋" w:hAnsi="仿宋" w:eastAsia="仿宋" w:cs="仿宋"/>
          <w:color w:val="auto"/>
          <w:sz w:val="24"/>
          <w:highlight w:val="none"/>
          <w:lang w:eastAsia="zh-CN"/>
        </w:rPr>
        <w:t>项目负责人</w:t>
      </w:r>
      <w:r>
        <w:rPr>
          <w:rFonts w:hint="eastAsia" w:ascii="仿宋" w:hAnsi="仿宋" w:eastAsia="仿宋" w:cs="仿宋"/>
          <w:color w:val="auto"/>
          <w:sz w:val="24"/>
          <w:highlight w:val="none"/>
        </w:rPr>
        <w:t>的违约责任：</w:t>
      </w:r>
      <w:r>
        <w:rPr>
          <w:rFonts w:hint="eastAsia" w:ascii="仿宋" w:hAnsi="仿宋" w:eastAsia="仿宋" w:cs="仿宋"/>
          <w:color w:val="auto"/>
          <w:sz w:val="24"/>
          <w:highlight w:val="none"/>
          <w:u w:val="single"/>
        </w:rPr>
        <w:t>发包人有权扣除全部履约保证金，并有权单方解除本合同。</w:t>
      </w:r>
    </w:p>
    <w:p w14:paraId="51C1CBF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3.3承包人人员</w:t>
      </w:r>
    </w:p>
    <w:p w14:paraId="50ED9AF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 承包人提交项目管理机构及施工现场管理人员安排报告的期限：</w:t>
      </w:r>
      <w:r>
        <w:rPr>
          <w:rFonts w:hint="eastAsia" w:ascii="仿宋" w:hAnsi="仿宋" w:eastAsia="仿宋" w:cs="仿宋"/>
          <w:color w:val="auto"/>
          <w:sz w:val="24"/>
          <w:highlight w:val="none"/>
          <w:u w:val="single"/>
        </w:rPr>
        <w:t xml:space="preserve">  开工前5天  </w:t>
      </w:r>
      <w:r>
        <w:rPr>
          <w:rFonts w:hint="eastAsia" w:ascii="仿宋" w:hAnsi="仿宋" w:eastAsia="仿宋" w:cs="仿宋"/>
          <w:color w:val="auto"/>
          <w:sz w:val="24"/>
          <w:highlight w:val="none"/>
        </w:rPr>
        <w:t>。</w:t>
      </w:r>
    </w:p>
    <w:p w14:paraId="0A6E93F9">
      <w:pPr>
        <w:snapToGrid w:val="0"/>
        <w:spacing w:line="360" w:lineRule="auto"/>
        <w:ind w:firstLine="482" w:firstLineChars="200"/>
        <w:jc w:val="left"/>
        <w:rPr>
          <w:rFonts w:ascii="仿宋" w:hAnsi="仿宋" w:eastAsia="仿宋" w:cs="仿宋"/>
          <w:color w:val="auto"/>
          <w:sz w:val="24"/>
          <w:highlight w:val="none"/>
        </w:rPr>
      </w:pPr>
      <w:r>
        <w:rPr>
          <w:rFonts w:hint="eastAsia" w:ascii="仿宋" w:hAnsi="仿宋" w:eastAsia="仿宋" w:cs="仿宋"/>
          <w:b/>
          <w:color w:val="auto"/>
          <w:sz w:val="24"/>
          <w:highlight w:val="none"/>
        </w:rPr>
        <w:t>3.3.2 承包人需更换主要施工管理人员的，继任人员的数量、注册执业资格、管理经验的约定：</w:t>
      </w:r>
      <w:r>
        <w:rPr>
          <w:rFonts w:hint="eastAsia" w:ascii="仿宋" w:hAnsi="仿宋" w:eastAsia="仿宋" w:cs="仿宋"/>
          <w:b/>
          <w:color w:val="auto"/>
          <w:sz w:val="24"/>
          <w:highlight w:val="none"/>
          <w:u w:val="single"/>
        </w:rPr>
        <w:t xml:space="preserve"> 需经过发包人书面认可 </w:t>
      </w:r>
      <w:r>
        <w:rPr>
          <w:rFonts w:hint="eastAsia" w:ascii="仿宋" w:hAnsi="仿宋" w:eastAsia="仿宋" w:cs="仿宋"/>
          <w:b/>
          <w:color w:val="auto"/>
          <w:sz w:val="24"/>
          <w:highlight w:val="none"/>
        </w:rPr>
        <w:t>。</w:t>
      </w:r>
    </w:p>
    <w:p w14:paraId="6EB688D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 承包人无正当理由拒绝撤换主要施工管理人员的违约责任：</w:t>
      </w:r>
      <w:r>
        <w:rPr>
          <w:rFonts w:hint="eastAsia" w:ascii="仿宋" w:hAnsi="仿宋" w:eastAsia="仿宋" w:cs="仿宋"/>
          <w:color w:val="auto"/>
          <w:sz w:val="24"/>
          <w:highlight w:val="none"/>
          <w:u w:val="single"/>
        </w:rPr>
        <w:t>发包人有权扣除履约保证金。</w:t>
      </w:r>
    </w:p>
    <w:p w14:paraId="3FB51E2D">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3.3.4 承包人主要施工管理人员离开施工现场的批准要求：</w:t>
      </w:r>
      <w:r>
        <w:rPr>
          <w:rFonts w:hint="eastAsia" w:ascii="仿宋" w:hAnsi="仿宋" w:eastAsia="仿宋" w:cs="仿宋"/>
          <w:color w:val="auto"/>
          <w:sz w:val="24"/>
          <w:highlight w:val="none"/>
          <w:u w:val="single"/>
        </w:rPr>
        <w:t xml:space="preserve"> 工作时间如需离开施工现场需提前告知发包人，经发包人同意后方可离开现场  </w:t>
      </w:r>
      <w:r>
        <w:rPr>
          <w:rFonts w:hint="eastAsia" w:ascii="仿宋" w:hAnsi="仿宋" w:eastAsia="仿宋" w:cs="仿宋"/>
          <w:color w:val="auto"/>
          <w:sz w:val="24"/>
          <w:highlight w:val="none"/>
        </w:rPr>
        <w:t>。</w:t>
      </w:r>
    </w:p>
    <w:p w14:paraId="7DF9D811">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3.3.5承包人擅自更换主要施工管理人员的违约责任：</w:t>
      </w:r>
      <w:r>
        <w:rPr>
          <w:rFonts w:hint="eastAsia" w:ascii="仿宋" w:hAnsi="仿宋" w:eastAsia="仿宋" w:cs="仿宋"/>
          <w:color w:val="auto"/>
          <w:sz w:val="24"/>
          <w:highlight w:val="none"/>
          <w:u w:val="single"/>
        </w:rPr>
        <w:t>每发生一次扣除违约金【5000】元  。</w:t>
      </w:r>
    </w:p>
    <w:p w14:paraId="1BBE0BA8">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承包人主要施工管理人员擅自离开施工现场的违约责任：</w:t>
      </w:r>
      <w:r>
        <w:rPr>
          <w:rFonts w:hint="eastAsia" w:ascii="仿宋" w:hAnsi="仿宋" w:eastAsia="仿宋" w:cs="仿宋"/>
          <w:color w:val="auto"/>
          <w:sz w:val="24"/>
          <w:highlight w:val="none"/>
          <w:u w:val="single"/>
        </w:rPr>
        <w:t>每发生一次扣除违约金【2000】元  。</w:t>
      </w:r>
    </w:p>
    <w:p w14:paraId="42F2CBC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bookmarkStart w:id="498" w:name="_Toc297120459"/>
      <w:bookmarkStart w:id="499" w:name="_Toc296944498"/>
      <w:bookmarkStart w:id="500" w:name="_Toc296346660"/>
      <w:bookmarkStart w:id="501" w:name="_Toc304295523"/>
      <w:bookmarkStart w:id="502" w:name="_Toc296503159"/>
      <w:bookmarkStart w:id="503" w:name="_Toc297123492"/>
      <w:bookmarkStart w:id="504" w:name="_Toc300934945"/>
      <w:bookmarkStart w:id="505" w:name="_Toc296890987"/>
      <w:bookmarkStart w:id="506" w:name="_Toc303539102"/>
      <w:bookmarkStart w:id="507" w:name="_Toc296891199"/>
      <w:bookmarkStart w:id="508" w:name="_Toc292559869"/>
      <w:bookmarkStart w:id="509" w:name="_Toc312677988"/>
      <w:bookmarkStart w:id="510" w:name="_Toc292559364"/>
      <w:bookmarkStart w:id="511" w:name="_Toc297216151"/>
      <w:bookmarkStart w:id="512" w:name="_Toc297048345"/>
      <w:bookmarkStart w:id="513" w:name="_Toc296347158"/>
      <w:r>
        <w:rPr>
          <w:rFonts w:hint="eastAsia" w:ascii="仿宋" w:hAnsi="仿宋" w:eastAsia="仿宋" w:cs="仿宋"/>
          <w:color w:val="auto"/>
          <w:sz w:val="24"/>
          <w:highlight w:val="none"/>
        </w:rPr>
        <w:t>.5分包</w:t>
      </w:r>
    </w:p>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14:paraId="593E325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bookmarkStart w:id="514" w:name="_Toc296890988"/>
      <w:bookmarkStart w:id="515" w:name="_Toc296503160"/>
      <w:bookmarkStart w:id="516" w:name="_Toc297123493"/>
      <w:bookmarkStart w:id="517" w:name="_Toc296891200"/>
      <w:bookmarkStart w:id="518" w:name="_Toc296347159"/>
      <w:bookmarkStart w:id="519" w:name="_Toc297216152"/>
      <w:bookmarkStart w:id="520" w:name="_Toc312677989"/>
      <w:bookmarkStart w:id="521" w:name="_Toc296346661"/>
      <w:bookmarkStart w:id="522" w:name="_Toc303539103"/>
      <w:bookmarkStart w:id="523" w:name="_Toc297048346"/>
      <w:bookmarkStart w:id="524" w:name="_Toc304295524"/>
      <w:bookmarkStart w:id="525" w:name="_Toc318581158"/>
      <w:bookmarkStart w:id="526" w:name="_Toc296944499"/>
      <w:bookmarkStart w:id="527" w:name="_Toc292559365"/>
      <w:bookmarkStart w:id="528" w:name="_Toc292559870"/>
      <w:bookmarkStart w:id="529" w:name="_Toc300934946"/>
      <w:bookmarkStart w:id="530" w:name="_Toc297120460"/>
      <w:r>
        <w:rPr>
          <w:rFonts w:hint="eastAsia" w:ascii="仿宋" w:hAnsi="仿宋" w:eastAsia="仿宋" w:cs="仿宋"/>
          <w:color w:val="auto"/>
          <w:sz w:val="24"/>
          <w:highlight w:val="none"/>
        </w:rPr>
        <w:t>.5.1 分包的一般约定</w:t>
      </w:r>
    </w:p>
    <w:p w14:paraId="336FB483">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禁止分包的工程包括：</w:t>
      </w:r>
      <w:r>
        <w:rPr>
          <w:rFonts w:hint="eastAsia" w:ascii="仿宋" w:hAnsi="仿宋" w:eastAsia="仿宋" w:cs="仿宋"/>
          <w:color w:val="auto"/>
          <w:sz w:val="24"/>
          <w:highlight w:val="none"/>
          <w:u w:val="single"/>
        </w:rPr>
        <w:t>除拆除工程允许分包外</w:t>
      </w:r>
      <w:r>
        <w:rPr>
          <w:rFonts w:hint="eastAsia" w:ascii="仿宋" w:hAnsi="仿宋" w:eastAsia="仿宋" w:cs="仿宋"/>
          <w:color w:val="auto"/>
          <w:sz w:val="24"/>
          <w:highlight w:val="none"/>
        </w:rPr>
        <w:t>。</w:t>
      </w:r>
    </w:p>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14:paraId="01EA7C9C">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主体结构、关键性工作的范围：</w:t>
      </w:r>
      <w:r>
        <w:rPr>
          <w:rFonts w:hint="eastAsia" w:ascii="仿宋" w:hAnsi="仿宋" w:eastAsia="仿宋" w:cs="仿宋"/>
          <w:color w:val="auto"/>
          <w:sz w:val="24"/>
          <w:highlight w:val="none"/>
          <w:u w:val="single"/>
        </w:rPr>
        <w:t>除拆除工程外其他所有工程</w:t>
      </w:r>
      <w:r>
        <w:rPr>
          <w:rFonts w:hint="eastAsia" w:ascii="仿宋" w:hAnsi="仿宋" w:eastAsia="仿宋" w:cs="仿宋"/>
          <w:color w:val="auto"/>
          <w:sz w:val="24"/>
          <w:highlight w:val="none"/>
        </w:rPr>
        <w:t>。</w:t>
      </w:r>
      <w:bookmarkStart w:id="531" w:name="_Toc296944500"/>
      <w:bookmarkStart w:id="532" w:name="_Toc297123494"/>
      <w:bookmarkStart w:id="533" w:name="_Toc296891201"/>
      <w:bookmarkStart w:id="534" w:name="_Toc296503161"/>
      <w:bookmarkStart w:id="535" w:name="_Toc296347160"/>
      <w:bookmarkStart w:id="536" w:name="_Toc304295525"/>
      <w:bookmarkStart w:id="537" w:name="_Toc297048347"/>
      <w:bookmarkStart w:id="538" w:name="_Toc296346662"/>
      <w:bookmarkStart w:id="539" w:name="_Toc303539104"/>
      <w:bookmarkStart w:id="540" w:name="_Toc297216153"/>
      <w:bookmarkStart w:id="541" w:name="_Toc300934947"/>
      <w:bookmarkStart w:id="542" w:name="_Toc297120461"/>
      <w:bookmarkStart w:id="543" w:name="_Toc296890989"/>
    </w:p>
    <w:bookmarkEnd w:id="531"/>
    <w:bookmarkEnd w:id="532"/>
    <w:bookmarkEnd w:id="533"/>
    <w:bookmarkEnd w:id="534"/>
    <w:bookmarkEnd w:id="535"/>
    <w:bookmarkEnd w:id="536"/>
    <w:bookmarkEnd w:id="537"/>
    <w:bookmarkEnd w:id="538"/>
    <w:bookmarkEnd w:id="539"/>
    <w:bookmarkEnd w:id="540"/>
    <w:bookmarkEnd w:id="541"/>
    <w:bookmarkEnd w:id="542"/>
    <w:bookmarkEnd w:id="543"/>
    <w:p w14:paraId="7DA87FF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bookmarkStart w:id="544" w:name="_Toc318581159"/>
      <w:bookmarkStart w:id="545" w:name="_Toc312677990"/>
      <w:r>
        <w:rPr>
          <w:rFonts w:hint="eastAsia" w:ascii="仿宋" w:hAnsi="仿宋" w:eastAsia="仿宋" w:cs="仿宋"/>
          <w:color w:val="auto"/>
          <w:sz w:val="24"/>
          <w:highlight w:val="none"/>
        </w:rPr>
        <w:t>.5.2分包的确定</w:t>
      </w:r>
    </w:p>
    <w:p w14:paraId="4F9D478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允许分包的专业工程包括：</w:t>
      </w:r>
      <w:r>
        <w:rPr>
          <w:rFonts w:hint="eastAsia" w:ascii="仿宋" w:hAnsi="仿宋" w:eastAsia="仿宋" w:cs="仿宋"/>
          <w:color w:val="auto"/>
          <w:sz w:val="24"/>
          <w:highlight w:val="none"/>
          <w:u w:val="single"/>
        </w:rPr>
        <w:t>允许拆除工作分包</w:t>
      </w:r>
      <w:r>
        <w:rPr>
          <w:rFonts w:hint="eastAsia" w:ascii="仿宋" w:hAnsi="仿宋" w:eastAsia="仿宋" w:cs="仿宋"/>
          <w:color w:val="auto"/>
          <w:sz w:val="24"/>
          <w:highlight w:val="none"/>
        </w:rPr>
        <w:t>。</w:t>
      </w:r>
    </w:p>
    <w:p w14:paraId="5F3976E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其他关于分包的约定：</w:t>
      </w:r>
      <w:r>
        <w:rPr>
          <w:rFonts w:hint="eastAsia" w:ascii="仿宋" w:hAnsi="仿宋" w:eastAsia="仿宋" w:cs="仿宋"/>
          <w:color w:val="auto"/>
          <w:sz w:val="24"/>
          <w:highlight w:val="none"/>
          <w:u w:val="single"/>
        </w:rPr>
        <w:t>/。</w:t>
      </w:r>
    </w:p>
    <w:p w14:paraId="4602FFA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3.5.4 分包合同价款</w:t>
      </w:r>
    </w:p>
    <w:p w14:paraId="38F123C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关于分包合同价款支付的约定：</w:t>
      </w:r>
      <w:r>
        <w:rPr>
          <w:rFonts w:hint="eastAsia" w:ascii="仿宋" w:hAnsi="仿宋" w:eastAsia="仿宋" w:cs="仿宋"/>
          <w:color w:val="auto"/>
          <w:sz w:val="24"/>
          <w:highlight w:val="none"/>
          <w:u w:val="single"/>
        </w:rPr>
        <w:t>由承包人负责支付</w:t>
      </w:r>
      <w:r>
        <w:rPr>
          <w:rFonts w:hint="eastAsia" w:ascii="仿宋" w:hAnsi="仿宋" w:eastAsia="仿宋" w:cs="仿宋"/>
          <w:color w:val="auto"/>
          <w:sz w:val="24"/>
          <w:highlight w:val="none"/>
        </w:rPr>
        <w:t>。</w:t>
      </w:r>
    </w:p>
    <w:bookmarkEnd w:id="544"/>
    <w:bookmarkEnd w:id="545"/>
    <w:p w14:paraId="4B655F0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3.6工程照管与成品、半成品保护</w:t>
      </w:r>
    </w:p>
    <w:p w14:paraId="3D589D83">
      <w:pPr>
        <w:snapToGrid w:val="0"/>
        <w:spacing w:line="360" w:lineRule="auto"/>
        <w:ind w:firstLine="480" w:firstLineChars="200"/>
        <w:jc w:val="left"/>
        <w:rPr>
          <w:rFonts w:ascii="仿宋" w:hAnsi="仿宋" w:eastAsia="仿宋" w:cs="仿宋"/>
          <w:b/>
          <w:color w:val="auto"/>
          <w:kern w:val="0"/>
          <w:sz w:val="24"/>
          <w:highlight w:val="none"/>
          <w:u w:val="single"/>
        </w:rPr>
      </w:pPr>
      <w:r>
        <w:rPr>
          <w:rFonts w:hint="eastAsia" w:ascii="仿宋" w:hAnsi="仿宋" w:eastAsia="仿宋" w:cs="仿宋"/>
          <w:color w:val="auto"/>
          <w:kern w:val="0"/>
          <w:sz w:val="24"/>
          <w:highlight w:val="none"/>
        </w:rPr>
        <w:t>承包人负责照管工程及工程相关的材料、工程设备的起始时间：</w:t>
      </w:r>
      <w:r>
        <w:rPr>
          <w:rFonts w:hint="eastAsia" w:ascii="仿宋" w:hAnsi="仿宋" w:eastAsia="仿宋" w:cs="仿宋"/>
          <w:color w:val="auto"/>
          <w:kern w:val="0"/>
          <w:sz w:val="24"/>
          <w:highlight w:val="none"/>
          <w:u w:val="single"/>
        </w:rPr>
        <w:t>自开工至竣工验收合格交付发包人止</w:t>
      </w:r>
      <w:r>
        <w:rPr>
          <w:rFonts w:hint="eastAsia" w:ascii="仿宋" w:hAnsi="仿宋" w:eastAsia="仿宋" w:cs="仿宋"/>
          <w:b/>
          <w:color w:val="auto"/>
          <w:kern w:val="0"/>
          <w:sz w:val="24"/>
          <w:highlight w:val="none"/>
          <w:u w:val="single"/>
        </w:rPr>
        <w:t>。</w:t>
      </w:r>
    </w:p>
    <w:p w14:paraId="74D54D2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3.7履约保证金</w:t>
      </w:r>
    </w:p>
    <w:p w14:paraId="511E7236">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承包人是否提供履约保证金：</w:t>
      </w:r>
      <w:r>
        <w:rPr>
          <w:rFonts w:hint="eastAsia" w:ascii="仿宋" w:hAnsi="仿宋" w:eastAsia="仿宋" w:cs="仿宋"/>
          <w:color w:val="auto"/>
          <w:kern w:val="0"/>
          <w:sz w:val="24"/>
          <w:highlight w:val="none"/>
          <w:u w:val="single"/>
        </w:rPr>
        <w:t>提供</w:t>
      </w:r>
      <w:r>
        <w:rPr>
          <w:rFonts w:hint="eastAsia" w:ascii="仿宋" w:hAnsi="仿宋" w:eastAsia="仿宋" w:cs="仿宋"/>
          <w:color w:val="auto"/>
          <w:sz w:val="24"/>
          <w:highlight w:val="none"/>
        </w:rPr>
        <w:t>。</w:t>
      </w:r>
    </w:p>
    <w:p w14:paraId="2F00BCEC">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承包人提供履约担保的形式、金额及期限的：</w:t>
      </w:r>
      <w:r>
        <w:rPr>
          <w:rFonts w:hint="eastAsia" w:ascii="仿宋" w:hAnsi="仿宋" w:eastAsia="仿宋" w:cs="仿宋"/>
          <w:color w:val="auto"/>
          <w:sz w:val="24"/>
          <w:highlight w:val="none"/>
          <w:u w:val="single"/>
        </w:rPr>
        <w:t>合同签订后5个工作日内，</w:t>
      </w:r>
      <w:r>
        <w:rPr>
          <w:rFonts w:hint="eastAsia" w:ascii="仿宋" w:hAnsi="仿宋" w:eastAsia="仿宋" w:cs="仿宋"/>
          <w:color w:val="auto"/>
          <w:sz w:val="24"/>
          <w:highlight w:val="none"/>
          <w:u w:val="single"/>
          <w:lang w:eastAsia="zh-CN"/>
        </w:rPr>
        <w:t>项目</w:t>
      </w:r>
      <w:r>
        <w:rPr>
          <w:rFonts w:hint="eastAsia" w:ascii="仿宋" w:hAnsi="仿宋" w:eastAsia="仿宋" w:cs="仿宋"/>
          <w:color w:val="auto"/>
          <w:sz w:val="24"/>
          <w:highlight w:val="none"/>
          <w:u w:val="single"/>
        </w:rPr>
        <w:t>具备实施条件后，承包人缴纳合同总价1%的履约保证金（履约保证金缴纳形式：非现金形式的支票、汇票、本票或者金融机构、担保机构出具的保函）</w:t>
      </w:r>
      <w:r>
        <w:rPr>
          <w:rFonts w:hint="eastAsia" w:ascii="仿宋" w:hAnsi="仿宋" w:eastAsia="仿宋" w:cs="仿宋"/>
          <w:color w:val="auto"/>
          <w:sz w:val="24"/>
          <w:highlight w:val="none"/>
        </w:rPr>
        <w:t>。</w:t>
      </w:r>
    </w:p>
    <w:p w14:paraId="4B6BA982">
      <w:pPr>
        <w:keepNext/>
        <w:keepLines/>
        <w:tabs>
          <w:tab w:val="left" w:pos="864"/>
        </w:tabs>
        <w:snapToGrid w:val="0"/>
        <w:spacing w:line="360" w:lineRule="auto"/>
        <w:ind w:firstLine="480" w:firstLineChars="200"/>
        <w:outlineLvl w:val="3"/>
        <w:rPr>
          <w:rFonts w:ascii="仿宋" w:hAnsi="仿宋" w:eastAsia="仿宋" w:cs="仿宋"/>
          <w:bCs/>
          <w:color w:val="auto"/>
          <w:sz w:val="24"/>
          <w:highlight w:val="none"/>
        </w:rPr>
      </w:pPr>
      <w:bookmarkStart w:id="546" w:name="_Toc351203636"/>
      <w:bookmarkStart w:id="547" w:name="_Toc297123496"/>
      <w:bookmarkStart w:id="548" w:name="_Toc297216155"/>
      <w:bookmarkStart w:id="549" w:name="_Toc312677997"/>
      <w:bookmarkStart w:id="550" w:name="_Toc304295527"/>
      <w:bookmarkStart w:id="551" w:name="_Toc300934949"/>
      <w:bookmarkStart w:id="552" w:name="_Toc303539106"/>
      <w:bookmarkStart w:id="553" w:name="_Toc318581164"/>
      <w:bookmarkStart w:id="554" w:name="_Toc292559872"/>
      <w:bookmarkStart w:id="555" w:name="_Toc297120463"/>
      <w:bookmarkStart w:id="556" w:name="_Toc296944502"/>
      <w:bookmarkStart w:id="557" w:name="_Toc296890991"/>
      <w:bookmarkStart w:id="558" w:name="_Toc297048349"/>
      <w:bookmarkStart w:id="559" w:name="_Toc296347162"/>
      <w:bookmarkStart w:id="560" w:name="_Toc296346664"/>
      <w:bookmarkStart w:id="561" w:name="_Toc296503163"/>
      <w:bookmarkStart w:id="562" w:name="_Toc296891203"/>
      <w:bookmarkStart w:id="563" w:name="_Toc292559367"/>
      <w:r>
        <w:rPr>
          <w:rFonts w:hint="eastAsia" w:ascii="仿宋" w:hAnsi="仿宋" w:eastAsia="仿宋" w:cs="仿宋"/>
          <w:bCs/>
          <w:color w:val="auto"/>
          <w:sz w:val="24"/>
          <w:highlight w:val="none"/>
        </w:rPr>
        <w:t>4</w:t>
      </w:r>
      <w:bookmarkStart w:id="564" w:name="_Toc296346663"/>
      <w:bookmarkStart w:id="565" w:name="_Toc292559871"/>
      <w:bookmarkStart w:id="566" w:name="_Toc296890990"/>
      <w:bookmarkStart w:id="567" w:name="_Toc296347161"/>
      <w:bookmarkStart w:id="568" w:name="_Toc292559366"/>
      <w:bookmarkStart w:id="569" w:name="_Toc297120462"/>
      <w:bookmarkStart w:id="570" w:name="_Toc297048348"/>
      <w:bookmarkStart w:id="571" w:name="_Toc267251413"/>
      <w:bookmarkStart w:id="572" w:name="_Toc296503162"/>
      <w:bookmarkStart w:id="573" w:name="_Toc296891202"/>
      <w:bookmarkStart w:id="574" w:name="_Toc296944501"/>
      <w:r>
        <w:rPr>
          <w:rFonts w:hint="eastAsia" w:ascii="仿宋" w:hAnsi="仿宋" w:eastAsia="仿宋" w:cs="仿宋"/>
          <w:bCs/>
          <w:color w:val="auto"/>
          <w:sz w:val="24"/>
          <w:highlight w:val="none"/>
        </w:rPr>
        <w:t>. 监</w:t>
      </w:r>
      <w:bookmarkEnd w:id="564"/>
      <w:bookmarkEnd w:id="565"/>
      <w:bookmarkEnd w:id="566"/>
      <w:bookmarkEnd w:id="567"/>
      <w:bookmarkEnd w:id="568"/>
      <w:bookmarkEnd w:id="569"/>
      <w:bookmarkEnd w:id="570"/>
      <w:bookmarkEnd w:id="571"/>
      <w:bookmarkEnd w:id="572"/>
      <w:bookmarkEnd w:id="573"/>
      <w:bookmarkEnd w:id="574"/>
      <w:r>
        <w:rPr>
          <w:rFonts w:hint="eastAsia" w:ascii="仿宋" w:hAnsi="仿宋" w:eastAsia="仿宋" w:cs="仿宋"/>
          <w:bCs/>
          <w:color w:val="auto"/>
          <w:sz w:val="24"/>
          <w:highlight w:val="none"/>
        </w:rPr>
        <w:t>理人</w:t>
      </w:r>
      <w:bookmarkEnd w:id="546"/>
    </w:p>
    <w:p w14:paraId="5EC1487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4.1监理人的一般规定</w:t>
      </w:r>
    </w:p>
    <w:p w14:paraId="14CCE2AE">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关于监理人的监理内容：</w:t>
      </w:r>
      <w:r>
        <w:rPr>
          <w:rFonts w:hint="eastAsia" w:ascii="仿宋" w:hAnsi="仿宋" w:eastAsia="仿宋" w:cs="仿宋"/>
          <w:color w:val="auto"/>
          <w:sz w:val="24"/>
          <w:highlight w:val="none"/>
          <w:u w:val="single"/>
        </w:rPr>
        <w:t>按监理合同条款约定。</w:t>
      </w:r>
    </w:p>
    <w:p w14:paraId="011C3F54">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关于监理人的监理权限：</w:t>
      </w:r>
      <w:r>
        <w:rPr>
          <w:rFonts w:hint="eastAsia" w:ascii="仿宋" w:hAnsi="仿宋" w:eastAsia="仿宋" w:cs="仿宋"/>
          <w:color w:val="auto"/>
          <w:sz w:val="24"/>
          <w:highlight w:val="none"/>
          <w:u w:val="single"/>
        </w:rPr>
        <w:t>按监理合同条款约定。</w:t>
      </w:r>
    </w:p>
    <w:p w14:paraId="30001F97">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关于监理人在施工现场的办公场所、生活场所的提供和费用承担的约定：</w:t>
      </w:r>
      <w:r>
        <w:rPr>
          <w:rFonts w:hint="eastAsia" w:ascii="仿宋" w:hAnsi="仿宋" w:eastAsia="仿宋" w:cs="仿宋"/>
          <w:color w:val="auto"/>
          <w:sz w:val="24"/>
          <w:highlight w:val="none"/>
          <w:u w:val="single"/>
        </w:rPr>
        <w:t>由监理人自行承担。</w:t>
      </w:r>
    </w:p>
    <w:p w14:paraId="0A9A9ED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 监理人员</w:t>
      </w:r>
    </w:p>
    <w:p w14:paraId="6AD2642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总监理工程师：</w:t>
      </w:r>
    </w:p>
    <w:p w14:paraId="05D0025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待定</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AE8A01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监理工程师执业资格证书号：</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待定</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w:t>
      </w:r>
    </w:p>
    <w:p w14:paraId="13EF857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待定</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8C3288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待定</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CFDA60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待定</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w:t>
      </w:r>
    </w:p>
    <w:p w14:paraId="2A9A3C3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关于监理人的其他约定：</w:t>
      </w:r>
      <w:r>
        <w:rPr>
          <w:rFonts w:hint="eastAsia" w:ascii="仿宋" w:hAnsi="仿宋" w:eastAsia="仿宋" w:cs="仿宋"/>
          <w:color w:val="auto"/>
          <w:sz w:val="24"/>
          <w:highlight w:val="none"/>
          <w:u w:val="single"/>
        </w:rPr>
        <w:t>监理单位按发包人委托监理的范围、内容、职权和权限，代表发包人对工程的进度、质量、投资、安全、验收等实施监督控制工作，承包人应积极配合。监理单位向承包人发出的通知，以书面形式由项目总监签字后送交承包人实施，并抄送发包人</w:t>
      </w:r>
      <w:r>
        <w:rPr>
          <w:rFonts w:hint="eastAsia" w:ascii="仿宋" w:hAnsi="仿宋" w:eastAsia="仿宋" w:cs="仿宋"/>
          <w:color w:val="auto"/>
          <w:sz w:val="24"/>
          <w:highlight w:val="none"/>
        </w:rPr>
        <w:t>。</w:t>
      </w:r>
    </w:p>
    <w:p w14:paraId="4F80067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4.4 商定或确定</w:t>
      </w:r>
    </w:p>
    <w:p w14:paraId="1E233660">
      <w:pPr>
        <w:snapToGrid w:val="0"/>
        <w:spacing w:line="360" w:lineRule="auto"/>
        <w:ind w:firstLine="480" w:firstLineChars="200"/>
        <w:rPr>
          <w:rFonts w:ascii="仿宋" w:hAnsi="仿宋" w:eastAsia="仿宋" w:cs="仿宋"/>
          <w:color w:val="auto"/>
          <w:sz w:val="24"/>
          <w:highlight w:val="none"/>
          <w:u w:val="single"/>
        </w:rPr>
      </w:pPr>
      <w:bookmarkStart w:id="575" w:name="_Toc267251418"/>
      <w:r>
        <w:rPr>
          <w:rFonts w:hint="eastAsia" w:ascii="仿宋" w:hAnsi="仿宋" w:eastAsia="仿宋" w:cs="仿宋"/>
          <w:color w:val="auto"/>
          <w:sz w:val="24"/>
          <w:highlight w:val="none"/>
        </w:rPr>
        <w:t>在发包人和承包人不能通过协商达成一致意见时，发包人授权监理人对以下事项进行确定</w:t>
      </w:r>
      <w:r>
        <w:rPr>
          <w:rFonts w:hint="eastAsia" w:ascii="仿宋" w:hAnsi="仿宋" w:eastAsia="仿宋" w:cs="仿宋"/>
          <w:color w:val="auto"/>
          <w:sz w:val="24"/>
          <w:highlight w:val="none"/>
          <w:u w:val="single"/>
        </w:rPr>
        <w:t>： / 。</w:t>
      </w:r>
    </w:p>
    <w:p w14:paraId="048158B8">
      <w:pPr>
        <w:keepNext/>
        <w:keepLines/>
        <w:tabs>
          <w:tab w:val="left" w:pos="864"/>
        </w:tabs>
        <w:snapToGrid w:val="0"/>
        <w:spacing w:line="360" w:lineRule="auto"/>
        <w:ind w:firstLine="480" w:firstLineChars="200"/>
        <w:outlineLvl w:val="3"/>
        <w:rPr>
          <w:rFonts w:ascii="仿宋" w:hAnsi="仿宋" w:eastAsia="仿宋" w:cs="仿宋"/>
          <w:bCs/>
          <w:color w:val="auto"/>
          <w:sz w:val="24"/>
          <w:highlight w:val="none"/>
        </w:rPr>
      </w:pPr>
      <w:bookmarkStart w:id="576" w:name="_Toc351203637"/>
      <w:r>
        <w:rPr>
          <w:rFonts w:hint="eastAsia" w:ascii="仿宋" w:hAnsi="仿宋" w:eastAsia="仿宋" w:cs="仿宋"/>
          <w:bCs/>
          <w:color w:val="auto"/>
          <w:sz w:val="24"/>
          <w:highlight w:val="none"/>
        </w:rPr>
        <w:t>5</w:t>
      </w:r>
      <w:bookmarkEnd w:id="575"/>
      <w:r>
        <w:rPr>
          <w:rFonts w:hint="eastAsia" w:ascii="仿宋" w:hAnsi="仿宋" w:eastAsia="仿宋" w:cs="仿宋"/>
          <w:bCs/>
          <w:color w:val="auto"/>
          <w:sz w:val="24"/>
          <w:highlight w:val="none"/>
        </w:rPr>
        <w:t>. 工程质量</w:t>
      </w:r>
      <w:bookmarkEnd w:id="576"/>
    </w:p>
    <w:p w14:paraId="5B3132A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5.1 质量要求</w:t>
      </w:r>
    </w:p>
    <w:p w14:paraId="6E2CF77C">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5.1.1 特殊质量标准和要求： </w:t>
      </w:r>
      <w:r>
        <w:rPr>
          <w:rFonts w:hint="eastAsia" w:ascii="仿宋" w:hAnsi="仿宋" w:eastAsia="仿宋" w:cs="仿宋"/>
          <w:color w:val="auto"/>
          <w:sz w:val="24"/>
          <w:highlight w:val="none"/>
          <w:u w:val="single"/>
        </w:rPr>
        <w:t xml:space="preserve"> 符合现行国家有关工程施工验收规范和标准的合格要求 。</w:t>
      </w:r>
    </w:p>
    <w:p w14:paraId="42E0A2F9">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关于工程奖项的约定：</w:t>
      </w:r>
      <w:r>
        <w:rPr>
          <w:rFonts w:hint="eastAsia" w:ascii="仿宋" w:hAnsi="仿宋" w:eastAsia="仿宋" w:cs="仿宋"/>
          <w:color w:val="auto"/>
          <w:sz w:val="24"/>
          <w:highlight w:val="none"/>
          <w:u w:val="single"/>
        </w:rPr>
        <w:t xml:space="preserve"> / 。</w:t>
      </w:r>
    </w:p>
    <w:p w14:paraId="4C05763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5.3隐蔽工程检查</w:t>
      </w:r>
    </w:p>
    <w:p w14:paraId="5E804726">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5.3.2承包人提前通知发包人隐蔽工程检查的期限的约定：</w:t>
      </w:r>
      <w:r>
        <w:rPr>
          <w:rFonts w:hint="eastAsia" w:ascii="仿宋" w:hAnsi="仿宋" w:eastAsia="仿宋" w:cs="仿宋"/>
          <w:color w:val="auto"/>
          <w:sz w:val="24"/>
          <w:highlight w:val="none"/>
          <w:u w:val="single"/>
        </w:rPr>
        <w:t>48小时书面通知发包人检查，通知中应载明隐蔽检查的内容、时间和地点，并应附有自检记录和必要的检查资料</w:t>
      </w:r>
      <w:r>
        <w:rPr>
          <w:rFonts w:hint="eastAsia" w:ascii="仿宋" w:hAnsi="仿宋" w:eastAsia="仿宋" w:cs="仿宋"/>
          <w:color w:val="auto"/>
          <w:sz w:val="24"/>
          <w:highlight w:val="none"/>
        </w:rPr>
        <w:t>。</w:t>
      </w:r>
    </w:p>
    <w:p w14:paraId="5A38C594">
      <w:pPr>
        <w:snapToGrid w:val="0"/>
        <w:spacing w:line="360" w:lineRule="auto"/>
        <w:ind w:firstLine="504" w:firstLineChars="210"/>
        <w:jc w:val="left"/>
        <w:rPr>
          <w:rFonts w:ascii="仿宋" w:hAnsi="仿宋" w:eastAsia="仿宋" w:cs="仿宋"/>
          <w:color w:val="auto"/>
          <w:sz w:val="24"/>
          <w:highlight w:val="none"/>
        </w:rPr>
      </w:pPr>
      <w:r>
        <w:rPr>
          <w:rFonts w:hint="eastAsia" w:ascii="仿宋" w:hAnsi="仿宋" w:eastAsia="仿宋" w:cs="仿宋"/>
          <w:color w:val="auto"/>
          <w:sz w:val="24"/>
          <w:highlight w:val="none"/>
        </w:rPr>
        <w:t>监理人不能按时进行检查时，应提前</w:t>
      </w:r>
      <w:r>
        <w:rPr>
          <w:rFonts w:hint="eastAsia" w:ascii="仿宋" w:hAnsi="仿宋" w:eastAsia="仿宋" w:cs="仿宋"/>
          <w:color w:val="auto"/>
          <w:sz w:val="24"/>
          <w:highlight w:val="none"/>
          <w:u w:val="single"/>
        </w:rPr>
        <w:t>24</w:t>
      </w:r>
      <w:r>
        <w:rPr>
          <w:rFonts w:hint="eastAsia" w:ascii="仿宋" w:hAnsi="仿宋" w:eastAsia="仿宋" w:cs="仿宋"/>
          <w:color w:val="auto"/>
          <w:sz w:val="24"/>
          <w:highlight w:val="none"/>
        </w:rPr>
        <w:t>小时提交书面延期要求。</w:t>
      </w:r>
    </w:p>
    <w:p w14:paraId="04623BCD">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关于延期最长不得超过：</w:t>
      </w:r>
      <w:r>
        <w:rPr>
          <w:rFonts w:hint="eastAsia" w:ascii="仿宋" w:hAnsi="仿宋" w:eastAsia="仿宋" w:cs="仿宋"/>
          <w:color w:val="auto"/>
          <w:sz w:val="24"/>
          <w:highlight w:val="none"/>
          <w:u w:val="single"/>
        </w:rPr>
        <w:t>48</w:t>
      </w:r>
      <w:r>
        <w:rPr>
          <w:rFonts w:hint="eastAsia" w:ascii="仿宋" w:hAnsi="仿宋" w:eastAsia="仿宋" w:cs="仿宋"/>
          <w:color w:val="auto"/>
          <w:sz w:val="24"/>
          <w:highlight w:val="none"/>
        </w:rPr>
        <w:t>小时。</w:t>
      </w:r>
    </w:p>
    <w:p w14:paraId="39410FE1">
      <w:pPr>
        <w:keepNext/>
        <w:keepLines/>
        <w:tabs>
          <w:tab w:val="left" w:pos="864"/>
        </w:tabs>
        <w:snapToGrid w:val="0"/>
        <w:spacing w:line="360" w:lineRule="auto"/>
        <w:ind w:firstLine="480" w:firstLineChars="200"/>
        <w:outlineLvl w:val="3"/>
        <w:rPr>
          <w:rFonts w:ascii="仿宋" w:hAnsi="仿宋" w:eastAsia="仿宋" w:cs="仿宋"/>
          <w:bCs/>
          <w:color w:val="auto"/>
          <w:sz w:val="24"/>
          <w:highlight w:val="none"/>
          <w:lang w:val="zh-CN"/>
        </w:rPr>
      </w:pPr>
      <w:bookmarkStart w:id="577" w:name="_Toc351203638"/>
      <w:r>
        <w:rPr>
          <w:rFonts w:hint="eastAsia" w:ascii="仿宋" w:hAnsi="仿宋" w:eastAsia="仿宋" w:cs="仿宋"/>
          <w:bCs/>
          <w:color w:val="auto"/>
          <w:sz w:val="24"/>
          <w:highlight w:val="none"/>
        </w:rPr>
        <w:t>6</w:t>
      </w:r>
      <w:r>
        <w:rPr>
          <w:rFonts w:hint="eastAsia" w:ascii="仿宋" w:hAnsi="仿宋" w:eastAsia="仿宋" w:cs="仿宋"/>
          <w:bCs/>
          <w:color w:val="auto"/>
          <w:sz w:val="24"/>
          <w:highlight w:val="none"/>
          <w:lang w:val="zh-CN"/>
        </w:rPr>
        <w:t>. 安全文明施工与环境保护</w:t>
      </w:r>
      <w:bookmarkEnd w:id="577"/>
    </w:p>
    <w:p w14:paraId="3337853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6.1安全文明施工</w:t>
      </w:r>
    </w:p>
    <w:p w14:paraId="1B410B25">
      <w:pPr>
        <w:snapToGrid w:val="0"/>
        <w:spacing w:line="360" w:lineRule="auto"/>
        <w:ind w:firstLine="480" w:firstLineChars="200"/>
        <w:jc w:val="left"/>
        <w:rPr>
          <w:rFonts w:ascii="仿宋" w:hAnsi="仿宋" w:eastAsia="仿宋" w:cs="仿宋"/>
          <w:b/>
          <w:color w:val="auto"/>
          <w:sz w:val="24"/>
          <w:highlight w:val="none"/>
          <w:u w:val="single"/>
        </w:rPr>
      </w:pPr>
      <w:r>
        <w:rPr>
          <w:rFonts w:hint="eastAsia" w:ascii="仿宋" w:hAnsi="仿宋" w:eastAsia="仿宋" w:cs="仿宋"/>
          <w:color w:val="auto"/>
          <w:sz w:val="24"/>
          <w:highlight w:val="none"/>
        </w:rPr>
        <w:t>6.1.1 项目安全生产的达标目标及相应事项的约定：</w:t>
      </w:r>
      <w:r>
        <w:rPr>
          <w:rFonts w:hint="eastAsia" w:ascii="仿宋" w:hAnsi="仿宋" w:eastAsia="仿宋" w:cs="仿宋"/>
          <w:b/>
          <w:color w:val="auto"/>
          <w:sz w:val="24"/>
          <w:highlight w:val="none"/>
          <w:u w:val="single"/>
        </w:rPr>
        <w:t>施工现场按照《建筑施工安全检查标准》（JGJ59-2011）评定达到“合格”标准。</w:t>
      </w:r>
    </w:p>
    <w:p w14:paraId="76BD7BDB">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6.1.4 关于治安保卫的特别约定：</w:t>
      </w:r>
      <w:r>
        <w:rPr>
          <w:rFonts w:hint="eastAsia" w:ascii="仿宋" w:hAnsi="仿宋" w:eastAsia="仿宋" w:cs="仿宋"/>
          <w:color w:val="auto"/>
          <w:sz w:val="24"/>
          <w:highlight w:val="none"/>
          <w:u w:val="single"/>
        </w:rPr>
        <w:t>按照杭州市当地建筑工地安全文明施工管理规定执行，管理施工场地的治安保卫事项，履行合同工程的治安保卫职责。</w:t>
      </w:r>
    </w:p>
    <w:p w14:paraId="20F1DB12">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6.1.5 文明施工</w:t>
      </w:r>
    </w:p>
    <w:p w14:paraId="772F9544">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合同当事人对文明施工的要求：</w:t>
      </w:r>
    </w:p>
    <w:p w14:paraId="172A4551">
      <w:pPr>
        <w:snapToGrid w:val="0"/>
        <w:spacing w:line="360" w:lineRule="auto"/>
        <w:ind w:firstLine="477" w:firstLineChars="198"/>
        <w:jc w:val="left"/>
        <w:rPr>
          <w:rFonts w:ascii="仿宋" w:hAnsi="仿宋" w:eastAsia="仿宋" w:cs="仿宋"/>
          <w:b/>
          <w:color w:val="auto"/>
          <w:sz w:val="24"/>
          <w:highlight w:val="none"/>
          <w:u w:val="single"/>
          <w:lang w:val="zh-CN"/>
        </w:rPr>
      </w:pPr>
      <w:r>
        <w:rPr>
          <w:rFonts w:hint="eastAsia" w:ascii="仿宋" w:hAnsi="仿宋" w:eastAsia="仿宋" w:cs="仿宋"/>
          <w:b/>
          <w:color w:val="auto"/>
          <w:sz w:val="24"/>
          <w:highlight w:val="none"/>
          <w:u w:val="single"/>
        </w:rPr>
        <w:t>（1）</w:t>
      </w:r>
      <w:r>
        <w:rPr>
          <w:rFonts w:hint="eastAsia" w:ascii="仿宋" w:hAnsi="仿宋" w:eastAsia="仿宋" w:cs="仿宋"/>
          <w:b/>
          <w:color w:val="auto"/>
          <w:sz w:val="24"/>
          <w:highlight w:val="none"/>
          <w:u w:val="single"/>
          <w:lang w:val="zh-CN"/>
        </w:rPr>
        <w:t>遵守地方政府和有关部门对施工场地交通、环卫、安全和施工噪音等管理规定，并办理相关审批手续</w:t>
      </w:r>
      <w:r>
        <w:rPr>
          <w:rFonts w:hint="eastAsia" w:ascii="仿宋" w:hAnsi="仿宋" w:eastAsia="仿宋" w:cs="仿宋"/>
          <w:b/>
          <w:color w:val="auto"/>
          <w:sz w:val="24"/>
          <w:highlight w:val="none"/>
          <w:lang w:val="zh-CN"/>
        </w:rPr>
        <w:t>。</w:t>
      </w:r>
    </w:p>
    <w:p w14:paraId="583564FA">
      <w:pPr>
        <w:snapToGrid w:val="0"/>
        <w:spacing w:line="360" w:lineRule="auto"/>
        <w:ind w:firstLine="477" w:firstLineChars="198"/>
        <w:jc w:val="left"/>
        <w:rPr>
          <w:rFonts w:ascii="仿宋" w:hAnsi="仿宋" w:eastAsia="仿宋" w:cs="仿宋"/>
          <w:b/>
          <w:color w:val="auto"/>
          <w:sz w:val="24"/>
          <w:highlight w:val="none"/>
          <w:lang w:val="zh-CN"/>
        </w:rPr>
      </w:pPr>
      <w:r>
        <w:rPr>
          <w:rFonts w:hint="eastAsia" w:ascii="仿宋" w:hAnsi="仿宋" w:eastAsia="仿宋" w:cs="仿宋"/>
          <w:b/>
          <w:color w:val="auto"/>
          <w:sz w:val="24"/>
          <w:highlight w:val="none"/>
          <w:u w:val="single"/>
          <w:lang w:val="zh-CN"/>
        </w:rPr>
        <w:t>（2）承包人应采取有效措施尽量减小尘土和噪音污染，需要进行夜间作业时应经有关部门批准</w:t>
      </w:r>
      <w:r>
        <w:rPr>
          <w:rFonts w:hint="eastAsia" w:ascii="仿宋" w:hAnsi="仿宋" w:eastAsia="仿宋" w:cs="仿宋"/>
          <w:b/>
          <w:color w:val="auto"/>
          <w:sz w:val="24"/>
          <w:highlight w:val="none"/>
          <w:lang w:val="zh-CN"/>
        </w:rPr>
        <w:t>。</w:t>
      </w:r>
    </w:p>
    <w:p w14:paraId="334527FF">
      <w:pPr>
        <w:snapToGrid w:val="0"/>
        <w:spacing w:line="360" w:lineRule="auto"/>
        <w:ind w:firstLine="477" w:firstLineChars="198"/>
        <w:jc w:val="left"/>
        <w:rPr>
          <w:rFonts w:ascii="仿宋" w:hAnsi="仿宋" w:eastAsia="仿宋" w:cs="仿宋"/>
          <w:b/>
          <w:color w:val="auto"/>
          <w:sz w:val="24"/>
          <w:highlight w:val="none"/>
          <w:u w:val="single"/>
          <w:lang w:val="zh-CN"/>
        </w:rPr>
      </w:pPr>
      <w:r>
        <w:rPr>
          <w:rFonts w:hint="eastAsia" w:ascii="仿宋" w:hAnsi="仿宋" w:eastAsia="仿宋" w:cs="仿宋"/>
          <w:b/>
          <w:color w:val="auto"/>
          <w:sz w:val="24"/>
          <w:highlight w:val="none"/>
          <w:u w:val="single"/>
          <w:lang w:val="zh-CN"/>
        </w:rPr>
        <w:t>（3）其他：</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lang w:val="zh-CN"/>
        </w:rPr>
        <w:t>。</w:t>
      </w:r>
    </w:p>
    <w:p w14:paraId="6F0E6C16">
      <w:pPr>
        <w:snapToGrid w:val="0"/>
        <w:spacing w:line="360" w:lineRule="auto"/>
        <w:ind w:firstLine="477" w:firstLineChars="198"/>
        <w:jc w:val="left"/>
        <w:rPr>
          <w:rFonts w:ascii="仿宋" w:hAnsi="仿宋" w:eastAsia="仿宋" w:cs="仿宋"/>
          <w:b/>
          <w:color w:val="auto"/>
          <w:sz w:val="24"/>
          <w:highlight w:val="none"/>
        </w:rPr>
      </w:pPr>
      <w:r>
        <w:rPr>
          <w:rFonts w:hint="eastAsia" w:ascii="仿宋" w:hAnsi="仿宋" w:eastAsia="仿宋" w:cs="仿宋"/>
          <w:b/>
          <w:color w:val="auto"/>
          <w:sz w:val="24"/>
          <w:highlight w:val="none"/>
          <w:u w:val="single"/>
          <w:lang w:val="zh-CN"/>
        </w:rPr>
        <w:t xml:space="preserve">（4）上述手续办理费用约定如下： </w:t>
      </w:r>
      <w:r>
        <w:rPr>
          <w:rFonts w:hint="eastAsia" w:ascii="仿宋" w:hAnsi="仿宋" w:eastAsia="仿宋" w:cs="仿宋"/>
          <w:color w:val="auto"/>
          <w:kern w:val="0"/>
          <w:sz w:val="24"/>
          <w:highlight w:val="none"/>
          <w:u w:val="single"/>
        </w:rPr>
        <w:t>由承包人支付</w:t>
      </w:r>
      <w:r>
        <w:rPr>
          <w:rFonts w:hint="eastAsia" w:ascii="仿宋" w:hAnsi="仿宋" w:eastAsia="仿宋" w:cs="仿宋"/>
          <w:b/>
          <w:color w:val="auto"/>
          <w:sz w:val="24"/>
          <w:highlight w:val="none"/>
          <w:u w:val="single"/>
          <w:lang w:val="zh-CN"/>
        </w:rPr>
        <w:t xml:space="preserve"> 。</w:t>
      </w:r>
    </w:p>
    <w:bookmarkEnd w:id="547"/>
    <w:bookmarkEnd w:id="548"/>
    <w:bookmarkEnd w:id="549"/>
    <w:bookmarkEnd w:id="550"/>
    <w:bookmarkEnd w:id="551"/>
    <w:bookmarkEnd w:id="552"/>
    <w:bookmarkEnd w:id="553"/>
    <w:p w14:paraId="3BF4D8CE">
      <w:pPr>
        <w:snapToGrid w:val="0"/>
        <w:spacing w:line="360" w:lineRule="auto"/>
        <w:ind w:firstLine="480" w:firstLineChars="200"/>
        <w:jc w:val="left"/>
        <w:rPr>
          <w:rFonts w:hint="eastAsia" w:ascii="仿宋" w:hAnsi="仿宋" w:eastAsia="仿宋" w:cs="仿宋"/>
          <w:sz w:val="24"/>
          <w:highlight w:val="none"/>
        </w:rPr>
      </w:pPr>
      <w:bookmarkStart w:id="578" w:name="_Toc351203639"/>
      <w:r>
        <w:rPr>
          <w:rFonts w:hint="eastAsia" w:ascii="仿宋" w:hAnsi="仿宋" w:eastAsia="仿宋" w:cs="仿宋"/>
          <w:sz w:val="24"/>
          <w:highlight w:val="none"/>
        </w:rPr>
        <w:t>6.1.6 关于安全文明施工费支付比例和支付期限的约定：</w:t>
      </w:r>
      <w:r>
        <w:rPr>
          <w:rFonts w:hint="eastAsia" w:ascii="仿宋" w:hAnsi="仿宋" w:eastAsia="仿宋" w:cs="仿宋"/>
          <w:b/>
          <w:bCs/>
          <w:sz w:val="24"/>
          <w:highlight w:val="none"/>
          <w:u w:val="single"/>
          <w:lang w:val="zh-CN"/>
        </w:rPr>
        <w:t>同进度款同期支付。</w:t>
      </w:r>
    </w:p>
    <w:p w14:paraId="789D7EF4">
      <w:pPr>
        <w:keepNext/>
        <w:keepLines/>
        <w:snapToGrid w:val="0"/>
        <w:spacing w:line="360" w:lineRule="auto"/>
        <w:ind w:firstLine="480" w:firstLineChars="200"/>
        <w:outlineLvl w:val="3"/>
        <w:rPr>
          <w:rFonts w:ascii="仿宋" w:hAnsi="仿宋" w:eastAsia="仿宋" w:cs="仿宋"/>
          <w:bCs/>
          <w:color w:val="auto"/>
          <w:sz w:val="24"/>
          <w:highlight w:val="none"/>
          <w:lang w:val="zh-CN"/>
        </w:rPr>
      </w:pPr>
      <w:r>
        <w:rPr>
          <w:rFonts w:hint="eastAsia" w:ascii="仿宋" w:hAnsi="仿宋" w:eastAsia="仿宋" w:cs="仿宋"/>
          <w:bCs/>
          <w:color w:val="auto"/>
          <w:sz w:val="24"/>
          <w:highlight w:val="none"/>
        </w:rPr>
        <w:t>7</w:t>
      </w:r>
      <w:r>
        <w:rPr>
          <w:rFonts w:hint="eastAsia" w:ascii="仿宋" w:hAnsi="仿宋" w:eastAsia="仿宋" w:cs="仿宋"/>
          <w:bCs/>
          <w:color w:val="auto"/>
          <w:sz w:val="24"/>
          <w:highlight w:val="none"/>
          <w:lang w:val="zh-CN"/>
        </w:rPr>
        <w:t>. 工期和进度</w:t>
      </w:r>
      <w:bookmarkEnd w:id="578"/>
    </w:p>
    <w:p w14:paraId="0E78590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 施工组织设计</w:t>
      </w:r>
    </w:p>
    <w:p w14:paraId="2989E160">
      <w:pPr>
        <w:snapToGrid w:val="0"/>
        <w:spacing w:line="360" w:lineRule="auto"/>
        <w:ind w:firstLine="475" w:firstLineChars="198"/>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7.1.1 合</w:t>
      </w:r>
      <w:r>
        <w:rPr>
          <w:rFonts w:hint="eastAsia" w:ascii="仿宋" w:hAnsi="仿宋" w:eastAsia="仿宋" w:cs="仿宋"/>
          <w:color w:val="auto"/>
          <w:kern w:val="0"/>
          <w:sz w:val="24"/>
          <w:highlight w:val="none"/>
        </w:rPr>
        <w:t>同当事人约定的施工组织设计应包括的其他内容：</w:t>
      </w:r>
      <w:r>
        <w:rPr>
          <w:rFonts w:hint="eastAsia" w:ascii="仿宋" w:hAnsi="仿宋" w:eastAsia="仿宋" w:cs="仿宋"/>
          <w:color w:val="auto"/>
          <w:kern w:val="0"/>
          <w:sz w:val="24"/>
          <w:highlight w:val="none"/>
          <w:u w:val="single"/>
        </w:rPr>
        <w:t>（1）施工方案；（2）施工现场平面布置图；（3）施工进度计划和保证措施；（4）企业、人员资质；（5）劳动力及材料、构配件供应计划；（6）施工机械设备的选用；（7）质量保证体系及措施；（8）安全生产、文明施工措施；（9）环境保护、成本控制措施</w:t>
      </w:r>
      <w:r>
        <w:rPr>
          <w:rFonts w:hint="eastAsia" w:ascii="仿宋" w:hAnsi="仿宋" w:eastAsia="仿宋" w:cs="仿宋"/>
          <w:color w:val="auto"/>
          <w:sz w:val="24"/>
          <w:highlight w:val="none"/>
        </w:rPr>
        <w:t>。</w:t>
      </w:r>
    </w:p>
    <w:p w14:paraId="27716295">
      <w:pPr>
        <w:autoSpaceDE w:val="0"/>
        <w:autoSpaceDN w:val="0"/>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 xml:space="preserve">7.1.2 </w:t>
      </w:r>
      <w:r>
        <w:rPr>
          <w:rFonts w:hint="eastAsia" w:ascii="仿宋" w:hAnsi="仿宋" w:eastAsia="仿宋" w:cs="仿宋"/>
          <w:color w:val="auto"/>
          <w:kern w:val="0"/>
          <w:sz w:val="24"/>
          <w:highlight w:val="none"/>
        </w:rPr>
        <w:t>施工组织设计的提交和修改</w:t>
      </w:r>
    </w:p>
    <w:p w14:paraId="6017A196">
      <w:pPr>
        <w:autoSpaceDE w:val="0"/>
        <w:autoSpaceDN w:val="0"/>
        <w:snapToGrid w:val="0"/>
        <w:spacing w:line="360" w:lineRule="auto"/>
        <w:ind w:firstLine="504" w:firstLineChars="210"/>
        <w:jc w:val="left"/>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t>承包人提交详细施工组织设计的期限的约定：</w:t>
      </w:r>
      <w:r>
        <w:rPr>
          <w:rFonts w:hint="eastAsia" w:ascii="仿宋" w:hAnsi="仿宋" w:eastAsia="仿宋" w:cs="仿宋"/>
          <w:b/>
          <w:color w:val="auto"/>
          <w:sz w:val="24"/>
          <w:highlight w:val="none"/>
          <w:u w:val="single"/>
        </w:rPr>
        <w:t>合同签订后5天内提供</w:t>
      </w:r>
      <w:r>
        <w:rPr>
          <w:rFonts w:hint="eastAsia" w:ascii="仿宋" w:hAnsi="仿宋" w:eastAsia="仿宋" w:cs="仿宋"/>
          <w:b/>
          <w:color w:val="auto"/>
          <w:kern w:val="0"/>
          <w:sz w:val="24"/>
          <w:highlight w:val="none"/>
          <w:u w:val="single"/>
        </w:rPr>
        <w:t>详细</w:t>
      </w:r>
      <w:r>
        <w:rPr>
          <w:rFonts w:hint="eastAsia" w:ascii="仿宋" w:hAnsi="仿宋" w:eastAsia="仿宋" w:cs="仿宋"/>
          <w:b/>
          <w:color w:val="auto"/>
          <w:sz w:val="24"/>
          <w:highlight w:val="none"/>
          <w:u w:val="single"/>
        </w:rPr>
        <w:t>施工组织设计（施工方案）和进度计划</w:t>
      </w:r>
      <w:r>
        <w:rPr>
          <w:rFonts w:hint="eastAsia" w:ascii="仿宋" w:hAnsi="仿宋" w:eastAsia="仿宋" w:cs="仿宋"/>
          <w:b/>
          <w:color w:val="auto"/>
          <w:sz w:val="24"/>
          <w:highlight w:val="none"/>
        </w:rPr>
        <w:t>。</w:t>
      </w:r>
    </w:p>
    <w:p w14:paraId="7B84477C">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发包人在收到详细的施工组织设计后确认或提出修改意见的期限：</w:t>
      </w:r>
      <w:r>
        <w:rPr>
          <w:rFonts w:hint="eastAsia" w:ascii="仿宋" w:hAnsi="仿宋" w:eastAsia="仿宋" w:cs="仿宋"/>
          <w:color w:val="auto"/>
          <w:sz w:val="24"/>
          <w:highlight w:val="none"/>
          <w:u w:val="single"/>
        </w:rPr>
        <w:t xml:space="preserve">7天内 </w:t>
      </w:r>
      <w:r>
        <w:rPr>
          <w:rFonts w:hint="eastAsia" w:ascii="仿宋" w:hAnsi="仿宋" w:eastAsia="仿宋" w:cs="仿宋"/>
          <w:color w:val="auto"/>
          <w:sz w:val="24"/>
          <w:highlight w:val="none"/>
        </w:rPr>
        <w:t>。</w:t>
      </w:r>
    </w:p>
    <w:p w14:paraId="2D9C24C6">
      <w:pPr>
        <w:snapToGrid w:val="0"/>
        <w:spacing w:line="360" w:lineRule="auto"/>
        <w:ind w:firstLine="480" w:firstLineChars="200"/>
        <w:rPr>
          <w:rFonts w:ascii="仿宋" w:hAnsi="仿宋" w:eastAsia="仿宋" w:cs="仿宋"/>
          <w:color w:val="auto"/>
          <w:sz w:val="24"/>
          <w:highlight w:val="none"/>
        </w:rPr>
      </w:pPr>
      <w:bookmarkStart w:id="579" w:name="_Toc304295541"/>
      <w:bookmarkStart w:id="580" w:name="_Toc312677479"/>
      <w:bookmarkStart w:id="581" w:name="_Toc300934966"/>
      <w:bookmarkStart w:id="582" w:name="_Toc297123514"/>
      <w:bookmarkStart w:id="583" w:name="_Toc312678005"/>
      <w:bookmarkStart w:id="584" w:name="_Toc303539123"/>
      <w:bookmarkStart w:id="585" w:name="_Toc297216173"/>
      <w:r>
        <w:rPr>
          <w:rFonts w:hint="eastAsia" w:ascii="仿宋" w:hAnsi="仿宋" w:eastAsia="仿宋" w:cs="仿宋"/>
          <w:color w:val="auto"/>
          <w:sz w:val="24"/>
          <w:highlight w:val="none"/>
        </w:rPr>
        <w:t>7.2 施工进度计划</w:t>
      </w:r>
    </w:p>
    <w:p w14:paraId="282ADE04">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7.2.2 施工进度计划的修订</w:t>
      </w:r>
    </w:p>
    <w:p w14:paraId="71B02B6C">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发包人在收到修订的施工进度计划后确认或提出修改意见的期限：</w:t>
      </w:r>
      <w:r>
        <w:rPr>
          <w:rFonts w:hint="eastAsia" w:ascii="仿宋" w:hAnsi="仿宋" w:eastAsia="仿宋" w:cs="仿宋"/>
          <w:color w:val="auto"/>
          <w:sz w:val="24"/>
          <w:highlight w:val="none"/>
          <w:u w:val="single"/>
        </w:rPr>
        <w:t>7天内</w:t>
      </w:r>
      <w:r>
        <w:rPr>
          <w:rFonts w:hint="eastAsia" w:ascii="仿宋" w:hAnsi="仿宋" w:eastAsia="仿宋" w:cs="仿宋"/>
          <w:color w:val="auto"/>
          <w:sz w:val="24"/>
          <w:highlight w:val="none"/>
        </w:rPr>
        <w:t>。</w:t>
      </w:r>
    </w:p>
    <w:p w14:paraId="1C75DD54">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7.3 开工</w:t>
      </w:r>
    </w:p>
    <w:p w14:paraId="4130CAE0">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7.3.1 开工准备</w:t>
      </w:r>
    </w:p>
    <w:p w14:paraId="328FE6E1">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关于承包人提交</w:t>
      </w:r>
      <w:r>
        <w:rPr>
          <w:rFonts w:hint="eastAsia" w:ascii="仿宋" w:hAnsi="仿宋" w:eastAsia="仿宋" w:cs="仿宋"/>
          <w:color w:val="auto"/>
          <w:kern w:val="0"/>
          <w:sz w:val="24"/>
          <w:highlight w:val="none"/>
        </w:rPr>
        <w:t>工程开工报审表的期限：</w:t>
      </w:r>
      <w:r>
        <w:rPr>
          <w:rFonts w:hint="eastAsia" w:ascii="仿宋" w:hAnsi="仿宋" w:eastAsia="仿宋" w:cs="仿宋"/>
          <w:b/>
          <w:color w:val="auto"/>
          <w:sz w:val="24"/>
          <w:highlight w:val="none"/>
          <w:u w:val="single"/>
        </w:rPr>
        <w:t>合同签订后3天内</w:t>
      </w:r>
      <w:r>
        <w:rPr>
          <w:rFonts w:hint="eastAsia" w:ascii="仿宋" w:hAnsi="仿宋" w:eastAsia="仿宋" w:cs="仿宋"/>
          <w:color w:val="auto"/>
          <w:sz w:val="24"/>
          <w:highlight w:val="none"/>
        </w:rPr>
        <w:t>。</w:t>
      </w:r>
    </w:p>
    <w:p w14:paraId="29790BF1">
      <w:pPr>
        <w:snapToGrid w:val="0"/>
        <w:spacing w:line="360" w:lineRule="auto"/>
        <w:ind w:firstLine="600" w:firstLineChars="250"/>
        <w:jc w:val="left"/>
        <w:rPr>
          <w:rFonts w:ascii="仿宋" w:hAnsi="仿宋" w:eastAsia="仿宋" w:cs="仿宋"/>
          <w:color w:val="auto"/>
          <w:sz w:val="24"/>
          <w:highlight w:val="none"/>
        </w:rPr>
      </w:pPr>
      <w:r>
        <w:rPr>
          <w:rFonts w:hint="eastAsia" w:ascii="仿宋" w:hAnsi="仿宋" w:eastAsia="仿宋" w:cs="仿宋"/>
          <w:color w:val="auto"/>
          <w:sz w:val="24"/>
          <w:highlight w:val="none"/>
        </w:rPr>
        <w:t>关于发包人应完成的其他开工准备工作及期限：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6433CA0D">
      <w:pPr>
        <w:snapToGrid w:val="0"/>
        <w:spacing w:line="360" w:lineRule="auto"/>
        <w:ind w:firstLine="600" w:firstLineChars="250"/>
        <w:jc w:val="left"/>
        <w:rPr>
          <w:rFonts w:ascii="仿宋" w:hAnsi="仿宋" w:eastAsia="仿宋" w:cs="仿宋"/>
          <w:color w:val="auto"/>
          <w:sz w:val="24"/>
          <w:highlight w:val="none"/>
        </w:rPr>
      </w:pPr>
      <w:r>
        <w:rPr>
          <w:rFonts w:hint="eastAsia" w:ascii="仿宋" w:hAnsi="仿宋" w:eastAsia="仿宋" w:cs="仿宋"/>
          <w:color w:val="auto"/>
          <w:sz w:val="24"/>
          <w:highlight w:val="none"/>
        </w:rPr>
        <w:t>关于承包人应完成的其他开工准备工作及期限：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3D813EFE">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7.3.2开工通知</w:t>
      </w:r>
    </w:p>
    <w:p w14:paraId="14FE0FE5">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因发包人原因造成未能在计划开工日期之日起</w:t>
      </w:r>
      <w:r>
        <w:rPr>
          <w:rFonts w:hint="eastAsia" w:ascii="仿宋" w:hAnsi="仿宋" w:eastAsia="仿宋" w:cs="仿宋"/>
          <w:color w:val="auto"/>
          <w:sz w:val="24"/>
          <w:highlight w:val="none"/>
          <w:u w:val="single"/>
        </w:rPr>
        <w:t xml:space="preserve">  90  </w:t>
      </w:r>
      <w:r>
        <w:rPr>
          <w:rFonts w:hint="eastAsia" w:ascii="仿宋" w:hAnsi="仿宋" w:eastAsia="仿宋" w:cs="仿宋"/>
          <w:color w:val="auto"/>
          <w:sz w:val="24"/>
          <w:highlight w:val="none"/>
        </w:rPr>
        <w:t>天内发出开工通知的，承包人有权提出解除合同。</w:t>
      </w:r>
    </w:p>
    <w:bookmarkEnd w:id="579"/>
    <w:bookmarkEnd w:id="580"/>
    <w:bookmarkEnd w:id="581"/>
    <w:bookmarkEnd w:id="582"/>
    <w:bookmarkEnd w:id="583"/>
    <w:bookmarkEnd w:id="584"/>
    <w:bookmarkEnd w:id="585"/>
    <w:p w14:paraId="14F08332">
      <w:pPr>
        <w:snapToGrid w:val="0"/>
        <w:spacing w:line="360" w:lineRule="auto"/>
        <w:ind w:firstLine="480" w:firstLineChars="200"/>
        <w:rPr>
          <w:rFonts w:ascii="仿宋" w:hAnsi="仿宋" w:eastAsia="仿宋" w:cs="仿宋"/>
          <w:color w:val="auto"/>
          <w:sz w:val="24"/>
          <w:highlight w:val="none"/>
        </w:rPr>
      </w:pPr>
      <w:bookmarkStart w:id="586" w:name="_Toc297216175"/>
      <w:bookmarkStart w:id="587" w:name="_Toc312678010"/>
      <w:bookmarkStart w:id="588" w:name="_Toc297123516"/>
      <w:bookmarkStart w:id="589" w:name="_Toc300934968"/>
      <w:bookmarkStart w:id="590" w:name="_Toc312677484"/>
      <w:bookmarkStart w:id="591" w:name="_Toc304295546"/>
      <w:bookmarkStart w:id="592" w:name="_Toc303539125"/>
      <w:r>
        <w:rPr>
          <w:rFonts w:hint="eastAsia" w:ascii="仿宋" w:hAnsi="仿宋" w:eastAsia="仿宋" w:cs="仿宋"/>
          <w:color w:val="auto"/>
          <w:sz w:val="24"/>
          <w:highlight w:val="none"/>
        </w:rPr>
        <w:t>7.4 测量放线</w:t>
      </w:r>
    </w:p>
    <w:p w14:paraId="6E59B64D">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7.4.1发包人通过监理人向承包人提供测量基准点、基准线和水准点及其书面资料的期限：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648E97E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7.5工期延误</w:t>
      </w:r>
    </w:p>
    <w:bookmarkEnd w:id="586"/>
    <w:bookmarkEnd w:id="587"/>
    <w:bookmarkEnd w:id="588"/>
    <w:bookmarkEnd w:id="589"/>
    <w:bookmarkEnd w:id="590"/>
    <w:bookmarkEnd w:id="591"/>
    <w:bookmarkEnd w:id="592"/>
    <w:p w14:paraId="7E559F7F">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7.5.1 因发包人原因导致工期延误</w:t>
      </w:r>
      <w:r>
        <w:rPr>
          <w:rFonts w:hint="eastAsia" w:ascii="仿宋" w:hAnsi="仿宋" w:eastAsia="仿宋" w:cs="仿宋"/>
          <w:color w:val="auto"/>
          <w:sz w:val="24"/>
          <w:highlight w:val="none"/>
          <w:u w:val="single"/>
        </w:rPr>
        <w:t>由发包人承担由此延误的工期和（或）增加的费用</w:t>
      </w:r>
      <w:r>
        <w:rPr>
          <w:rFonts w:hint="eastAsia" w:ascii="仿宋" w:hAnsi="仿宋" w:eastAsia="仿宋" w:cs="仿宋"/>
          <w:color w:val="auto"/>
          <w:sz w:val="24"/>
          <w:highlight w:val="none"/>
        </w:rPr>
        <w:t>。</w:t>
      </w:r>
    </w:p>
    <w:p w14:paraId="73CB178D">
      <w:pPr>
        <w:snapToGrid w:val="0"/>
        <w:spacing w:line="360" w:lineRule="auto"/>
        <w:ind w:firstLine="480" w:firstLineChars="200"/>
        <w:jc w:val="left"/>
        <w:rPr>
          <w:rFonts w:hint="eastAsia" w:ascii="仿宋" w:hAnsi="仿宋" w:eastAsia="仿宋" w:cs="仿宋"/>
          <w:sz w:val="24"/>
          <w:highlight w:val="none"/>
        </w:rPr>
      </w:pPr>
      <w:bookmarkStart w:id="593" w:name="_Toc303539128"/>
      <w:bookmarkStart w:id="594" w:name="_Toc297123519"/>
      <w:bookmarkStart w:id="595" w:name="_Toc312678015"/>
      <w:bookmarkStart w:id="596" w:name="_Toc304295549"/>
      <w:bookmarkStart w:id="597" w:name="_Toc300934971"/>
      <w:bookmarkStart w:id="598" w:name="_Toc297216178"/>
      <w:r>
        <w:rPr>
          <w:rFonts w:hint="eastAsia" w:ascii="仿宋" w:hAnsi="仿宋" w:eastAsia="仿宋" w:cs="仿宋"/>
          <w:sz w:val="24"/>
          <w:highlight w:val="none"/>
        </w:rPr>
        <w:t>7</w:t>
      </w:r>
      <w:bookmarkStart w:id="599" w:name="_Toc312678012"/>
      <w:bookmarkStart w:id="600" w:name="_Toc318581169"/>
      <w:bookmarkStart w:id="601" w:name="_Toc312677486"/>
      <w:bookmarkStart w:id="602" w:name="_Toc303539127"/>
      <w:bookmarkStart w:id="603" w:name="_Toc297216177"/>
      <w:bookmarkStart w:id="604" w:name="_Toc297123518"/>
      <w:bookmarkStart w:id="605" w:name="_Toc304295548"/>
      <w:bookmarkStart w:id="606" w:name="_Toc300934970"/>
      <w:r>
        <w:rPr>
          <w:rFonts w:hint="eastAsia" w:ascii="仿宋" w:hAnsi="仿宋" w:eastAsia="仿宋" w:cs="仿宋"/>
          <w:sz w:val="24"/>
          <w:highlight w:val="none"/>
        </w:rPr>
        <w:t>.5.2 因承包人原因导致工期延误</w:t>
      </w:r>
    </w:p>
    <w:bookmarkEnd w:id="599"/>
    <w:bookmarkEnd w:id="600"/>
    <w:bookmarkEnd w:id="601"/>
    <w:p w14:paraId="475F0181">
      <w:pPr>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因</w:t>
      </w:r>
      <w:bookmarkStart w:id="607" w:name="_Toc312677487"/>
      <w:bookmarkStart w:id="608" w:name="_Toc312678013"/>
      <w:bookmarkStart w:id="609" w:name="_Toc318581170"/>
      <w:r>
        <w:rPr>
          <w:rFonts w:hint="eastAsia" w:ascii="仿宋" w:hAnsi="仿宋" w:eastAsia="仿宋" w:cs="仿宋"/>
          <w:sz w:val="24"/>
          <w:highlight w:val="none"/>
        </w:rPr>
        <w:t>承包人原因造成工期延误，逾期竣工违约金的计算方法为：</w:t>
      </w:r>
      <w:r>
        <w:rPr>
          <w:rFonts w:hint="eastAsia" w:ascii="仿宋" w:hAnsi="仿宋" w:eastAsia="仿宋" w:cs="仿宋"/>
          <w:b/>
          <w:bCs/>
          <w:sz w:val="24"/>
          <w:highlight w:val="none"/>
          <w:u w:val="single"/>
        </w:rPr>
        <w:t>因承包人原因不能按照合同工期或工程师同意顺延的工期竣工的，按每延误一天处以违约金5000元</w:t>
      </w:r>
      <w:r>
        <w:rPr>
          <w:rFonts w:hint="eastAsia" w:ascii="仿宋" w:hAnsi="仿宋" w:eastAsia="仿宋" w:cs="仿宋"/>
          <w:sz w:val="24"/>
          <w:highlight w:val="none"/>
        </w:rPr>
        <w:t>。</w:t>
      </w:r>
      <w:bookmarkEnd w:id="602"/>
      <w:bookmarkEnd w:id="603"/>
      <w:bookmarkEnd w:id="604"/>
      <w:bookmarkEnd w:id="605"/>
      <w:bookmarkEnd w:id="606"/>
      <w:bookmarkEnd w:id="607"/>
      <w:bookmarkEnd w:id="608"/>
    </w:p>
    <w:bookmarkEnd w:id="609"/>
    <w:p w14:paraId="4DDE90CF">
      <w:pPr>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因承包人原因造成工期延误，逾</w:t>
      </w:r>
      <w:bookmarkStart w:id="610" w:name="_Toc312678014"/>
      <w:bookmarkStart w:id="611" w:name="_Toc318581171"/>
      <w:r>
        <w:rPr>
          <w:rFonts w:hint="eastAsia" w:ascii="仿宋" w:hAnsi="仿宋" w:eastAsia="仿宋" w:cs="仿宋"/>
          <w:sz w:val="24"/>
          <w:highlight w:val="none"/>
        </w:rPr>
        <w:t>期竣工违约金的上限：</w:t>
      </w:r>
      <w:r>
        <w:rPr>
          <w:rFonts w:hint="eastAsia" w:ascii="仿宋" w:hAnsi="仿宋" w:eastAsia="仿宋" w:cs="仿宋"/>
          <w:b/>
          <w:bCs/>
          <w:sz w:val="24"/>
          <w:highlight w:val="none"/>
          <w:u w:val="single"/>
          <w:lang w:val="zh-CN"/>
        </w:rPr>
        <w:t>因承包人原因不能按照合同工期或工程师同意顺延的工期竣工的，</w:t>
      </w:r>
      <w:r>
        <w:rPr>
          <w:rFonts w:hint="eastAsia" w:ascii="仿宋" w:hAnsi="仿宋" w:eastAsia="仿宋" w:cs="仿宋"/>
          <w:b/>
          <w:bCs/>
          <w:sz w:val="24"/>
          <w:highlight w:val="none"/>
          <w:u w:val="single"/>
        </w:rPr>
        <w:t>按每延误一天处以违约金5000元</w:t>
      </w:r>
      <w:r>
        <w:rPr>
          <w:rFonts w:hint="eastAsia" w:ascii="仿宋" w:hAnsi="仿宋" w:eastAsia="仿宋" w:cs="仿宋"/>
          <w:sz w:val="24"/>
          <w:highlight w:val="none"/>
        </w:rPr>
        <w:t>。</w:t>
      </w:r>
    </w:p>
    <w:bookmarkEnd w:id="610"/>
    <w:bookmarkEnd w:id="611"/>
    <w:p w14:paraId="66A4EC1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7.6不</w:t>
      </w:r>
      <w:bookmarkEnd w:id="593"/>
      <w:bookmarkEnd w:id="594"/>
      <w:bookmarkEnd w:id="595"/>
      <w:bookmarkEnd w:id="596"/>
      <w:bookmarkEnd w:id="597"/>
      <w:bookmarkEnd w:id="598"/>
      <w:r>
        <w:rPr>
          <w:rFonts w:hint="eastAsia" w:ascii="仿宋" w:hAnsi="仿宋" w:eastAsia="仿宋" w:cs="仿宋"/>
          <w:color w:val="auto"/>
          <w:sz w:val="24"/>
          <w:highlight w:val="none"/>
        </w:rPr>
        <w:t>利物质条件</w:t>
      </w:r>
    </w:p>
    <w:p w14:paraId="769F15C3">
      <w:pPr>
        <w:snapToGrid w:val="0"/>
        <w:spacing w:line="360" w:lineRule="auto"/>
        <w:ind w:firstLine="480" w:firstLineChars="200"/>
        <w:jc w:val="left"/>
        <w:rPr>
          <w:rFonts w:ascii="仿宋" w:hAnsi="仿宋" w:eastAsia="仿宋" w:cs="仿宋"/>
          <w:color w:val="auto"/>
          <w:sz w:val="24"/>
          <w:highlight w:val="none"/>
        </w:rPr>
      </w:pPr>
      <w:bookmarkStart w:id="612" w:name="_Toc318581172"/>
      <w:bookmarkStart w:id="613" w:name="_Toc304295550"/>
      <w:bookmarkStart w:id="614" w:name="_Toc303539129"/>
      <w:bookmarkStart w:id="615" w:name="_Toc297216179"/>
      <w:bookmarkStart w:id="616" w:name="_Toc300934972"/>
      <w:bookmarkStart w:id="617" w:name="_Toc312678016"/>
      <w:bookmarkStart w:id="618" w:name="_Toc297123520"/>
      <w:r>
        <w:rPr>
          <w:rFonts w:hint="eastAsia" w:ascii="仿宋" w:hAnsi="仿宋" w:eastAsia="仿宋" w:cs="仿宋"/>
          <w:color w:val="auto"/>
          <w:sz w:val="24"/>
          <w:highlight w:val="none"/>
        </w:rPr>
        <w:t>不利物质条件的其他情形和有关约定：</w:t>
      </w:r>
    </w:p>
    <w:p w14:paraId="1F99C9C5">
      <w:pPr>
        <w:snapToGrid w:val="0"/>
        <w:spacing w:line="360" w:lineRule="auto"/>
        <w:ind w:firstLine="477" w:firstLineChars="198"/>
        <w:jc w:val="left"/>
        <w:rPr>
          <w:rFonts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（1）施工场地周围地下管线                            </w:t>
      </w:r>
      <w:r>
        <w:rPr>
          <w:rFonts w:hint="eastAsia" w:ascii="仿宋" w:hAnsi="仿宋" w:eastAsia="仿宋" w:cs="仿宋"/>
          <w:b/>
          <w:color w:val="auto"/>
          <w:sz w:val="24"/>
          <w:highlight w:val="none"/>
        </w:rPr>
        <w:t>；</w:t>
      </w:r>
    </w:p>
    <w:p w14:paraId="1E7DE69E">
      <w:pPr>
        <w:snapToGrid w:val="0"/>
        <w:spacing w:line="360" w:lineRule="auto"/>
        <w:ind w:firstLine="477" w:firstLineChars="198"/>
        <w:jc w:val="left"/>
        <w:rPr>
          <w:rFonts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（2）地下障碍物和污染物                              </w:t>
      </w:r>
      <w:r>
        <w:rPr>
          <w:rFonts w:hint="eastAsia" w:ascii="仿宋" w:hAnsi="仿宋" w:eastAsia="仿宋" w:cs="仿宋"/>
          <w:b/>
          <w:color w:val="auto"/>
          <w:sz w:val="24"/>
          <w:highlight w:val="none"/>
        </w:rPr>
        <w:t>；</w:t>
      </w:r>
    </w:p>
    <w:p w14:paraId="61B729C6">
      <w:pPr>
        <w:snapToGrid w:val="0"/>
        <w:spacing w:line="360" w:lineRule="auto"/>
        <w:ind w:firstLine="477" w:firstLineChars="198"/>
        <w:jc w:val="left"/>
        <w:rPr>
          <w:rFonts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（3）邻近建筑物、构筑物的保护要求                    </w:t>
      </w:r>
      <w:r>
        <w:rPr>
          <w:rFonts w:hint="eastAsia" w:ascii="仿宋" w:hAnsi="仿宋" w:eastAsia="仿宋" w:cs="仿宋"/>
          <w:b/>
          <w:color w:val="auto"/>
          <w:sz w:val="24"/>
          <w:highlight w:val="none"/>
        </w:rPr>
        <w:t>；</w:t>
      </w:r>
    </w:p>
    <w:p w14:paraId="2FFA88AE">
      <w:pPr>
        <w:snapToGrid w:val="0"/>
        <w:spacing w:line="360" w:lineRule="auto"/>
        <w:ind w:firstLine="477" w:firstLineChars="198"/>
        <w:jc w:val="left"/>
        <w:rPr>
          <w:rFonts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（4）其他                                            </w:t>
      </w:r>
      <w:r>
        <w:rPr>
          <w:rFonts w:hint="eastAsia" w:ascii="仿宋" w:hAnsi="仿宋" w:eastAsia="仿宋" w:cs="仿宋"/>
          <w:b/>
          <w:color w:val="auto"/>
          <w:sz w:val="24"/>
          <w:highlight w:val="none"/>
        </w:rPr>
        <w:t>。</w:t>
      </w:r>
    </w:p>
    <w:bookmarkEnd w:id="612"/>
    <w:bookmarkEnd w:id="613"/>
    <w:bookmarkEnd w:id="614"/>
    <w:bookmarkEnd w:id="615"/>
    <w:bookmarkEnd w:id="616"/>
    <w:bookmarkEnd w:id="617"/>
    <w:bookmarkEnd w:id="618"/>
    <w:p w14:paraId="117E0B2C">
      <w:pPr>
        <w:snapToGrid w:val="0"/>
        <w:spacing w:line="360" w:lineRule="auto"/>
        <w:ind w:firstLine="480" w:firstLineChars="200"/>
        <w:rPr>
          <w:rFonts w:ascii="仿宋" w:hAnsi="仿宋" w:eastAsia="仿宋" w:cs="仿宋"/>
          <w:color w:val="auto"/>
          <w:sz w:val="24"/>
          <w:highlight w:val="none"/>
        </w:rPr>
      </w:pPr>
      <w:bookmarkStart w:id="619" w:name="_Toc297216180"/>
      <w:bookmarkStart w:id="620" w:name="_Toc312678017"/>
      <w:bookmarkStart w:id="621" w:name="_Toc297123521"/>
      <w:bookmarkStart w:id="622" w:name="_Toc304295551"/>
      <w:bookmarkStart w:id="623" w:name="_Toc303539130"/>
      <w:bookmarkStart w:id="624" w:name="_Toc300934973"/>
      <w:r>
        <w:rPr>
          <w:rFonts w:hint="eastAsia" w:ascii="仿宋" w:hAnsi="仿宋" w:eastAsia="仿宋" w:cs="仿宋"/>
          <w:color w:val="auto"/>
          <w:sz w:val="24"/>
          <w:highlight w:val="none"/>
        </w:rPr>
        <w:t>7.7异常恶劣的气候条件</w:t>
      </w:r>
    </w:p>
    <w:bookmarkEnd w:id="619"/>
    <w:bookmarkEnd w:id="620"/>
    <w:bookmarkEnd w:id="621"/>
    <w:bookmarkEnd w:id="622"/>
    <w:bookmarkEnd w:id="623"/>
    <w:bookmarkEnd w:id="624"/>
    <w:p w14:paraId="1F8D3E05">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发包人和承包人同意以下情形视为异常恶劣的气候条件：</w:t>
      </w:r>
      <w:r>
        <w:rPr>
          <w:rFonts w:hint="eastAsia" w:ascii="仿宋" w:hAnsi="仿宋" w:eastAsia="仿宋" w:cs="仿宋"/>
          <w:color w:val="auto"/>
          <w:sz w:val="24"/>
          <w:highlight w:val="none"/>
          <w:u w:val="single"/>
        </w:rPr>
        <w:t>以当地气象部门或相关权威部门发布信息为准。杭州地区一般有以下情况：1）日最高气温达到40度及以上的天气；2）启动台风橙色及以上预警的天气；3）启动防汛预案一级响应的天气；4）启动防冻预案一级响应的天气。</w:t>
      </w:r>
    </w:p>
    <w:p w14:paraId="20E0F3B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突发公共卫生事件</w:t>
      </w:r>
    </w:p>
    <w:p w14:paraId="70866404">
      <w:pPr>
        <w:pStyle w:val="23"/>
        <w:ind w:firstLine="420"/>
        <w:rPr>
          <w:rFonts w:ascii="仿宋" w:hAnsi="仿宋" w:eastAsia="仿宋" w:cs="仿宋"/>
          <w:color w:val="auto"/>
          <w:highlight w:val="none"/>
          <w:lang w:val="en-US"/>
        </w:rPr>
      </w:pPr>
      <w:r>
        <w:rPr>
          <w:rFonts w:hint="eastAsia" w:ascii="仿宋" w:hAnsi="仿宋" w:eastAsia="仿宋" w:cs="仿宋"/>
          <w:color w:val="auto"/>
          <w:highlight w:val="none"/>
        </w:rPr>
        <w:t>发包人和承包人同意以下情形视为突发公共卫生事件条件：启动重大突发公共卫生事件一级响应要求停工停产的。</w:t>
      </w:r>
    </w:p>
    <w:bookmarkEnd w:id="554"/>
    <w:bookmarkEnd w:id="555"/>
    <w:bookmarkEnd w:id="556"/>
    <w:bookmarkEnd w:id="557"/>
    <w:bookmarkEnd w:id="558"/>
    <w:bookmarkEnd w:id="559"/>
    <w:bookmarkEnd w:id="560"/>
    <w:bookmarkEnd w:id="561"/>
    <w:bookmarkEnd w:id="562"/>
    <w:bookmarkEnd w:id="563"/>
    <w:p w14:paraId="4AB4D299">
      <w:pPr>
        <w:snapToGrid w:val="0"/>
        <w:spacing w:line="360" w:lineRule="auto"/>
        <w:ind w:firstLine="480" w:firstLineChars="200"/>
        <w:rPr>
          <w:rFonts w:ascii="仿宋" w:hAnsi="仿宋" w:eastAsia="仿宋" w:cs="仿宋"/>
          <w:color w:val="auto"/>
          <w:sz w:val="24"/>
          <w:highlight w:val="none"/>
        </w:rPr>
      </w:pPr>
      <w:bookmarkStart w:id="625" w:name="_Toc300934989"/>
      <w:bookmarkStart w:id="626" w:name="_Toc351203642"/>
      <w:bookmarkStart w:id="627" w:name="_Toc296891233"/>
      <w:bookmarkStart w:id="628" w:name="_Toc292559903"/>
      <w:bookmarkStart w:id="629" w:name="_Toc297216199"/>
      <w:bookmarkStart w:id="630" w:name="_Toc304295566"/>
      <w:bookmarkStart w:id="631" w:name="_Toc296891021"/>
      <w:bookmarkStart w:id="632" w:name="_Toc297120493"/>
      <w:bookmarkStart w:id="633" w:name="_Toc296503193"/>
      <w:bookmarkStart w:id="634" w:name="_Toc292559398"/>
      <w:bookmarkStart w:id="635" w:name="_Toc303539146"/>
      <w:bookmarkStart w:id="636" w:name="_Toc296347192"/>
      <w:bookmarkStart w:id="637" w:name="_Toc297123540"/>
      <w:bookmarkStart w:id="638" w:name="_Toc296346694"/>
      <w:bookmarkStart w:id="639" w:name="_Toc297048379"/>
      <w:bookmarkStart w:id="640" w:name="_Toc296944532"/>
      <w:bookmarkStart w:id="641" w:name="_Toc312677499"/>
      <w:bookmarkStart w:id="642" w:name="_Toc312678025"/>
      <w:bookmarkStart w:id="643" w:name="_Toc267251433"/>
      <w:bookmarkStart w:id="644" w:name="_Toc267251439"/>
      <w:bookmarkStart w:id="645" w:name="_Toc267251441"/>
      <w:bookmarkStart w:id="646" w:name="_Toc267251440"/>
      <w:bookmarkStart w:id="647" w:name="_Toc267251437"/>
      <w:bookmarkStart w:id="648" w:name="_Toc267251435"/>
      <w:bookmarkStart w:id="649" w:name="_Toc267251442"/>
      <w:r>
        <w:rPr>
          <w:rFonts w:hint="eastAsia" w:ascii="仿宋" w:hAnsi="仿宋" w:eastAsia="仿宋" w:cs="仿宋"/>
          <w:color w:val="auto"/>
          <w:sz w:val="24"/>
          <w:highlight w:val="none"/>
        </w:rPr>
        <w:t>7.9 提前竣工的奖励</w:t>
      </w:r>
    </w:p>
    <w:p w14:paraId="62974182">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7.9.2提前竣工的奖励：</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E342D2C">
      <w:pPr>
        <w:keepNext/>
        <w:keepLines/>
        <w:snapToGrid w:val="0"/>
        <w:spacing w:line="360" w:lineRule="auto"/>
        <w:ind w:firstLine="480" w:firstLineChars="200"/>
        <w:outlineLvl w:val="3"/>
        <w:rPr>
          <w:rFonts w:ascii="仿宋" w:hAnsi="仿宋" w:eastAsia="仿宋" w:cs="仿宋"/>
          <w:bCs/>
          <w:color w:val="auto"/>
          <w:sz w:val="24"/>
          <w:highlight w:val="none"/>
          <w:lang w:val="zh-CN"/>
        </w:rPr>
      </w:pPr>
      <w:bookmarkStart w:id="650" w:name="_Toc351203640"/>
      <w:r>
        <w:rPr>
          <w:rFonts w:hint="eastAsia" w:ascii="仿宋" w:hAnsi="仿宋" w:eastAsia="仿宋" w:cs="仿宋"/>
          <w:bCs/>
          <w:color w:val="auto"/>
          <w:sz w:val="24"/>
          <w:highlight w:val="none"/>
          <w:lang w:val="zh-CN"/>
        </w:rPr>
        <w:t>8. 材料与设备</w:t>
      </w:r>
      <w:bookmarkEnd w:id="650"/>
    </w:p>
    <w:p w14:paraId="7190D8F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w:t>
      </w:r>
      <w:bookmarkStart w:id="651" w:name="_Toc296944506"/>
      <w:bookmarkStart w:id="652" w:name="_Toc297123527"/>
      <w:bookmarkStart w:id="653" w:name="_Toc292559877"/>
      <w:bookmarkStart w:id="654" w:name="_Toc296503167"/>
      <w:bookmarkStart w:id="655" w:name="_Toc303539136"/>
      <w:bookmarkStart w:id="656" w:name="_Toc297048353"/>
      <w:bookmarkStart w:id="657" w:name="_Toc297216186"/>
      <w:bookmarkStart w:id="658" w:name="_Toc297120467"/>
      <w:bookmarkStart w:id="659" w:name="_Toc296890995"/>
      <w:bookmarkStart w:id="660" w:name="_Toc300934979"/>
      <w:bookmarkStart w:id="661" w:name="_Toc312678019"/>
      <w:bookmarkStart w:id="662" w:name="_Toc292559372"/>
      <w:bookmarkStart w:id="663" w:name="_Toc296347166"/>
      <w:bookmarkStart w:id="664" w:name="_Toc296891207"/>
      <w:bookmarkStart w:id="665" w:name="_Toc304295556"/>
      <w:bookmarkStart w:id="666" w:name="_Toc312677493"/>
      <w:bookmarkStart w:id="667" w:name="_Toc280868654"/>
      <w:bookmarkStart w:id="668" w:name="_Toc296346668"/>
      <w:bookmarkStart w:id="669" w:name="_Toc280868655"/>
      <w:bookmarkStart w:id="670" w:name="_Toc280868656"/>
      <w:bookmarkStart w:id="671" w:name="_Toc267251424"/>
      <w:r>
        <w:rPr>
          <w:rFonts w:hint="eastAsia" w:ascii="仿宋" w:hAnsi="仿宋" w:eastAsia="仿宋" w:cs="仿宋"/>
          <w:color w:val="auto"/>
          <w:sz w:val="24"/>
          <w:highlight w:val="none"/>
        </w:rPr>
        <w:t>.4材料与工程设备的保管与使用</w:t>
      </w:r>
    </w:p>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14:paraId="0344315F">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8</w:t>
      </w:r>
      <w:bookmarkStart w:id="672" w:name="_Toc292559878"/>
      <w:bookmarkStart w:id="673" w:name="_Toc292559373"/>
      <w:bookmarkStart w:id="674" w:name="_Toc296890996"/>
      <w:bookmarkStart w:id="675" w:name="_Toc303539137"/>
      <w:bookmarkStart w:id="676" w:name="_Toc296347167"/>
      <w:bookmarkStart w:id="677" w:name="_Toc296503168"/>
      <w:bookmarkStart w:id="678" w:name="_Toc297048354"/>
      <w:bookmarkStart w:id="679" w:name="_Toc300934980"/>
      <w:bookmarkStart w:id="680" w:name="_Toc296891208"/>
      <w:bookmarkStart w:id="681" w:name="_Toc296944507"/>
      <w:bookmarkStart w:id="682" w:name="_Toc297120468"/>
      <w:bookmarkStart w:id="683" w:name="_Toc297123528"/>
      <w:bookmarkStart w:id="684" w:name="_Toc304295557"/>
      <w:bookmarkStart w:id="685" w:name="_Toc297216187"/>
      <w:bookmarkStart w:id="686" w:name="_Toc312678020"/>
      <w:bookmarkStart w:id="687" w:name="_Toc312677494"/>
      <w:bookmarkStart w:id="688" w:name="_Toc318581173"/>
      <w:bookmarkStart w:id="689" w:name="_Toc296346669"/>
      <w:r>
        <w:rPr>
          <w:rFonts w:hint="eastAsia" w:ascii="仿宋" w:hAnsi="仿宋" w:eastAsia="仿宋" w:cs="仿宋"/>
          <w:color w:val="auto"/>
          <w:sz w:val="24"/>
          <w:highlight w:val="none"/>
        </w:rPr>
        <w:t>.4.1发包人供应的材料设备的保管费用的承担：</w:t>
      </w:r>
      <w:r>
        <w:rPr>
          <w:rFonts w:hint="eastAsia" w:ascii="仿宋" w:hAnsi="仿宋" w:eastAsia="仿宋" w:cs="仿宋"/>
          <w:color w:val="auto"/>
          <w:sz w:val="24"/>
          <w:highlight w:val="none"/>
          <w:u w:val="single"/>
        </w:rPr>
        <w:t xml:space="preserve"> 由承包人承担  </w:t>
      </w:r>
      <w:r>
        <w:rPr>
          <w:rFonts w:hint="eastAsia" w:ascii="仿宋" w:hAnsi="仿宋" w:eastAsia="仿宋" w:cs="仿宋"/>
          <w:color w:val="auto"/>
          <w:sz w:val="24"/>
          <w:highlight w:val="none"/>
        </w:rPr>
        <w:t>。</w:t>
      </w:r>
    </w:p>
    <w:bookmarkEnd w:id="672"/>
    <w:bookmarkEnd w:id="673"/>
    <w:p w14:paraId="0A7D21E7">
      <w:pPr>
        <w:autoSpaceDE w:val="0"/>
        <w:autoSpaceDN w:val="0"/>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8.6 样品</w:t>
      </w:r>
    </w:p>
    <w:p w14:paraId="07EF324B">
      <w:pPr>
        <w:autoSpaceDE w:val="0"/>
        <w:autoSpaceDN w:val="0"/>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8.6.1</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样品的报送与封存</w:t>
      </w:r>
    </w:p>
    <w:p w14:paraId="52F2B1C9">
      <w:pPr>
        <w:autoSpaceDE w:val="0"/>
        <w:autoSpaceDN w:val="0"/>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t>需要承包人报送样品的材料或工程设备，样品的种类、名称、规格、数量要求：</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11DDEC81">
      <w:pPr>
        <w:autoSpaceDE w:val="0"/>
        <w:autoSpaceDN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8.8 施工设备和临时设施</w:t>
      </w:r>
    </w:p>
    <w:p w14:paraId="226D9EA0">
      <w:pPr>
        <w:autoSpaceDE w:val="0"/>
        <w:autoSpaceDN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8.8.1 承包人提供的施工设备和临时设施</w:t>
      </w:r>
    </w:p>
    <w:p w14:paraId="2C341A48">
      <w:pPr>
        <w:autoSpaceDE w:val="0"/>
        <w:autoSpaceDN w:val="0"/>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关于修建临时设施费用承担的约定：</w:t>
      </w:r>
      <w:r>
        <w:rPr>
          <w:rFonts w:hint="eastAsia" w:ascii="仿宋" w:hAnsi="仿宋" w:eastAsia="仿宋" w:cs="仿宋"/>
          <w:color w:val="auto"/>
          <w:sz w:val="24"/>
          <w:highlight w:val="none"/>
          <w:u w:val="single"/>
        </w:rPr>
        <w:t xml:space="preserve">  由承包人承担  </w:t>
      </w:r>
      <w:r>
        <w:rPr>
          <w:rFonts w:hint="eastAsia" w:ascii="仿宋" w:hAnsi="仿宋" w:eastAsia="仿宋" w:cs="仿宋"/>
          <w:color w:val="auto"/>
          <w:sz w:val="24"/>
          <w:highlight w:val="none"/>
        </w:rPr>
        <w:t>。</w:t>
      </w:r>
    </w:p>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14:paraId="20296ECF">
      <w:pPr>
        <w:keepNext/>
        <w:keepLines/>
        <w:snapToGrid w:val="0"/>
        <w:spacing w:line="360" w:lineRule="auto"/>
        <w:ind w:firstLine="480" w:firstLineChars="200"/>
        <w:outlineLvl w:val="3"/>
        <w:rPr>
          <w:rFonts w:ascii="仿宋" w:hAnsi="仿宋" w:eastAsia="仿宋" w:cs="仿宋"/>
          <w:bCs/>
          <w:color w:val="auto"/>
          <w:sz w:val="24"/>
          <w:highlight w:val="none"/>
          <w:lang w:val="zh-CN"/>
        </w:rPr>
      </w:pPr>
      <w:bookmarkStart w:id="690" w:name="_Toc351203641"/>
      <w:r>
        <w:rPr>
          <w:rFonts w:hint="eastAsia" w:ascii="仿宋" w:hAnsi="仿宋" w:eastAsia="仿宋" w:cs="仿宋"/>
          <w:bCs/>
          <w:color w:val="auto"/>
          <w:sz w:val="24"/>
          <w:highlight w:val="none"/>
          <w:lang w:val="zh-CN"/>
        </w:rPr>
        <w:t>9</w:t>
      </w:r>
      <w:bookmarkEnd w:id="669"/>
      <w:bookmarkEnd w:id="670"/>
      <w:bookmarkEnd w:id="671"/>
      <w:bookmarkStart w:id="691" w:name="_Toc297216192"/>
      <w:bookmarkStart w:id="692" w:name="_Toc297123533"/>
      <w:bookmarkStart w:id="693" w:name="_Toc300934982"/>
      <w:bookmarkStart w:id="694" w:name="_Toc304295559"/>
      <w:bookmarkStart w:id="695" w:name="_Toc312677495"/>
      <w:bookmarkStart w:id="696" w:name="_Toc312678021"/>
      <w:bookmarkStart w:id="697" w:name="_Toc303539139"/>
      <w:r>
        <w:rPr>
          <w:rFonts w:hint="eastAsia" w:ascii="仿宋" w:hAnsi="仿宋" w:eastAsia="仿宋" w:cs="仿宋"/>
          <w:bCs/>
          <w:color w:val="auto"/>
          <w:sz w:val="24"/>
          <w:highlight w:val="none"/>
          <w:lang w:val="zh-CN"/>
        </w:rPr>
        <w:t>. 试验与检验</w:t>
      </w:r>
      <w:bookmarkEnd w:id="690"/>
    </w:p>
    <w:bookmarkEnd w:id="691"/>
    <w:bookmarkEnd w:id="692"/>
    <w:bookmarkEnd w:id="693"/>
    <w:bookmarkEnd w:id="694"/>
    <w:bookmarkEnd w:id="695"/>
    <w:bookmarkEnd w:id="696"/>
    <w:bookmarkEnd w:id="697"/>
    <w:p w14:paraId="1DA99E7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w:t>
      </w:r>
      <w:bookmarkStart w:id="698" w:name="_Toc312678022"/>
      <w:bookmarkStart w:id="699" w:name="_Toc304295560"/>
      <w:bookmarkStart w:id="700" w:name="_Toc312677496"/>
      <w:bookmarkStart w:id="701" w:name="_Toc297123534"/>
      <w:bookmarkStart w:id="702" w:name="_Toc303539140"/>
      <w:bookmarkStart w:id="703" w:name="_Toc300934983"/>
      <w:bookmarkStart w:id="704" w:name="_Toc297216193"/>
      <w:r>
        <w:rPr>
          <w:rFonts w:hint="eastAsia" w:ascii="仿宋" w:hAnsi="仿宋" w:eastAsia="仿宋" w:cs="仿宋"/>
          <w:color w:val="auto"/>
          <w:sz w:val="24"/>
          <w:highlight w:val="none"/>
        </w:rPr>
        <w:t>.1试验设备与试验人员</w:t>
      </w:r>
    </w:p>
    <w:bookmarkEnd w:id="698"/>
    <w:bookmarkEnd w:id="699"/>
    <w:bookmarkEnd w:id="700"/>
    <w:bookmarkEnd w:id="701"/>
    <w:bookmarkEnd w:id="702"/>
    <w:bookmarkEnd w:id="703"/>
    <w:bookmarkEnd w:id="704"/>
    <w:p w14:paraId="31E625FF">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9</w:t>
      </w:r>
      <w:bookmarkStart w:id="705" w:name="_Toc304295561"/>
      <w:bookmarkStart w:id="706" w:name="_Toc300934984"/>
      <w:bookmarkStart w:id="707" w:name="_Toc312678023"/>
      <w:bookmarkStart w:id="708" w:name="_Toc297123535"/>
      <w:bookmarkStart w:id="709" w:name="_Toc312677497"/>
      <w:bookmarkStart w:id="710" w:name="_Toc297216194"/>
      <w:bookmarkStart w:id="711" w:name="_Toc303539141"/>
      <w:bookmarkStart w:id="712" w:name="_Toc318581174"/>
      <w:r>
        <w:rPr>
          <w:rFonts w:hint="eastAsia" w:ascii="仿宋" w:hAnsi="仿宋" w:eastAsia="仿宋" w:cs="仿宋"/>
          <w:color w:val="auto"/>
          <w:sz w:val="24"/>
          <w:highlight w:val="none"/>
        </w:rPr>
        <w:t>.1.2 试验设备</w:t>
      </w:r>
    </w:p>
    <w:bookmarkEnd w:id="705"/>
    <w:bookmarkEnd w:id="706"/>
    <w:bookmarkEnd w:id="707"/>
    <w:bookmarkEnd w:id="708"/>
    <w:bookmarkEnd w:id="709"/>
    <w:bookmarkEnd w:id="710"/>
    <w:bookmarkEnd w:id="711"/>
    <w:p w14:paraId="7980D6B0">
      <w:pPr>
        <w:snapToGrid w:val="0"/>
        <w:spacing w:line="360" w:lineRule="auto"/>
        <w:ind w:firstLine="480" w:firstLineChars="200"/>
        <w:jc w:val="left"/>
        <w:rPr>
          <w:rFonts w:hint="eastAsia" w:ascii="仿宋" w:hAnsi="仿宋" w:eastAsia="仿宋" w:cs="仿宋"/>
          <w:sz w:val="24"/>
          <w:highlight w:val="none"/>
        </w:rPr>
      </w:pPr>
      <w:bookmarkStart w:id="713" w:name="_Toc303539142"/>
      <w:bookmarkStart w:id="714" w:name="_Toc297123536"/>
      <w:bookmarkStart w:id="715" w:name="_Toc312678024"/>
      <w:bookmarkStart w:id="716" w:name="_Toc312677498"/>
      <w:bookmarkStart w:id="717" w:name="_Toc304295562"/>
      <w:bookmarkStart w:id="718" w:name="_Toc297216195"/>
      <w:bookmarkStart w:id="719" w:name="_Toc300934985"/>
      <w:r>
        <w:rPr>
          <w:rFonts w:hint="eastAsia" w:ascii="仿宋" w:hAnsi="仿宋" w:eastAsia="仿宋" w:cs="仿宋"/>
          <w:sz w:val="24"/>
          <w:highlight w:val="none"/>
        </w:rPr>
        <w:t>施工现场需要配置的试验场所：</w:t>
      </w:r>
      <w:r>
        <w:rPr>
          <w:rFonts w:hint="eastAsia" w:ascii="仿宋" w:hAnsi="仿宋" w:eastAsia="仿宋" w:cs="仿宋"/>
          <w:b/>
          <w:bCs/>
          <w:sz w:val="24"/>
          <w:highlight w:val="none"/>
          <w:u w:val="single"/>
          <w:lang w:val="zh-CN"/>
        </w:rPr>
        <w:t>根据工程设计、施工、监理有关规范及规定执行 。</w:t>
      </w:r>
    </w:p>
    <w:p w14:paraId="66B0B742">
      <w:pPr>
        <w:snapToGrid w:val="0"/>
        <w:spacing w:line="360" w:lineRule="auto"/>
        <w:ind w:firstLine="480" w:firstLineChars="200"/>
        <w:jc w:val="left"/>
        <w:rPr>
          <w:rFonts w:hint="eastAsia" w:ascii="仿宋" w:hAnsi="仿宋" w:eastAsia="仿宋" w:cs="仿宋"/>
          <w:b/>
          <w:bCs/>
          <w:sz w:val="24"/>
          <w:highlight w:val="none"/>
          <w:u w:val="single"/>
          <w:lang w:val="zh-CN"/>
        </w:rPr>
      </w:pPr>
      <w:r>
        <w:rPr>
          <w:rFonts w:hint="eastAsia" w:ascii="仿宋" w:hAnsi="仿宋" w:eastAsia="仿宋" w:cs="仿宋"/>
          <w:sz w:val="24"/>
          <w:highlight w:val="none"/>
        </w:rPr>
        <w:t>施工现场需要配备的试验设备：</w:t>
      </w:r>
      <w:r>
        <w:rPr>
          <w:rFonts w:hint="eastAsia" w:ascii="仿宋" w:hAnsi="仿宋" w:eastAsia="仿宋" w:cs="仿宋"/>
          <w:b/>
          <w:bCs/>
          <w:sz w:val="24"/>
          <w:highlight w:val="none"/>
          <w:u w:val="single"/>
          <w:lang w:val="zh-CN"/>
        </w:rPr>
        <w:t>根据工程设计、施工、监理有关规范及规定执行。</w:t>
      </w:r>
    </w:p>
    <w:p w14:paraId="77B48CDD">
      <w:pPr>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施工现场需要具备的其他试验条件：</w:t>
      </w:r>
      <w:r>
        <w:rPr>
          <w:rFonts w:hint="eastAsia" w:ascii="仿宋" w:hAnsi="仿宋" w:eastAsia="仿宋" w:cs="仿宋"/>
          <w:b/>
          <w:bCs/>
          <w:sz w:val="24"/>
          <w:highlight w:val="none"/>
          <w:u w:val="single"/>
          <w:lang w:val="zh-CN"/>
        </w:rPr>
        <w:t>根据工程设计、施工、监理有关规范及规定执行。</w:t>
      </w:r>
    </w:p>
    <w:p w14:paraId="4713CBEA">
      <w:pPr>
        <w:autoSpaceDN w:val="0"/>
        <w:snapToGrid w:val="0"/>
        <w:spacing w:line="30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9.4 现场工艺试验 </w:t>
      </w:r>
    </w:p>
    <w:bookmarkEnd w:id="712"/>
    <w:bookmarkEnd w:id="713"/>
    <w:bookmarkEnd w:id="714"/>
    <w:bookmarkEnd w:id="715"/>
    <w:bookmarkEnd w:id="716"/>
    <w:bookmarkEnd w:id="717"/>
    <w:bookmarkEnd w:id="718"/>
    <w:bookmarkEnd w:id="719"/>
    <w:p w14:paraId="12F9B8B1">
      <w:pPr>
        <w:snapToGrid w:val="0"/>
        <w:spacing w:line="360" w:lineRule="auto"/>
        <w:ind w:firstLine="480" w:firstLineChars="200"/>
        <w:jc w:val="left"/>
        <w:rPr>
          <w:rFonts w:hint="eastAsia" w:ascii="仿宋" w:hAnsi="仿宋" w:eastAsia="仿宋" w:cs="仿宋"/>
          <w:b/>
          <w:bCs/>
          <w:sz w:val="24"/>
          <w:highlight w:val="none"/>
          <w:u w:val="single"/>
          <w:lang w:val="zh-CN"/>
        </w:rPr>
      </w:pPr>
      <w:r>
        <w:rPr>
          <w:rFonts w:hint="eastAsia" w:ascii="仿宋" w:hAnsi="仿宋" w:eastAsia="仿宋" w:cs="仿宋"/>
          <w:sz w:val="24"/>
          <w:highlight w:val="none"/>
        </w:rPr>
        <w:t>现场工艺试验的有关约定：</w:t>
      </w:r>
      <w:r>
        <w:rPr>
          <w:rFonts w:hint="eastAsia" w:ascii="仿宋" w:hAnsi="仿宋" w:eastAsia="仿宋" w:cs="仿宋"/>
          <w:b/>
          <w:bCs/>
          <w:sz w:val="24"/>
          <w:highlight w:val="none"/>
          <w:u w:val="single"/>
          <w:lang w:val="zh-CN"/>
        </w:rPr>
        <w:t>所有试验费用已在合同总价内包干。</w:t>
      </w:r>
    </w:p>
    <w:p w14:paraId="09070F9E">
      <w:pPr>
        <w:keepNext/>
        <w:keepLines/>
        <w:snapToGrid w:val="0"/>
        <w:spacing w:line="360" w:lineRule="auto"/>
        <w:ind w:firstLine="480" w:firstLineChars="200"/>
        <w:outlineLvl w:val="3"/>
        <w:rPr>
          <w:rFonts w:ascii="仿宋" w:hAnsi="仿宋" w:eastAsia="仿宋" w:cs="仿宋"/>
          <w:bCs/>
          <w:color w:val="auto"/>
          <w:sz w:val="24"/>
          <w:highlight w:val="none"/>
          <w:lang w:val="zh-CN"/>
        </w:rPr>
      </w:pPr>
      <w:r>
        <w:rPr>
          <w:rFonts w:hint="eastAsia" w:ascii="仿宋" w:hAnsi="仿宋" w:eastAsia="仿宋" w:cs="仿宋"/>
          <w:bCs/>
          <w:color w:val="auto"/>
          <w:sz w:val="24"/>
          <w:highlight w:val="none"/>
        </w:rPr>
        <w:t>10</w:t>
      </w:r>
      <w:r>
        <w:rPr>
          <w:rFonts w:hint="eastAsia" w:ascii="仿宋" w:hAnsi="仿宋" w:eastAsia="仿宋" w:cs="仿宋"/>
          <w:bCs/>
          <w:color w:val="auto"/>
          <w:sz w:val="24"/>
          <w:highlight w:val="none"/>
          <w:lang w:val="zh-CN"/>
        </w:rPr>
        <w:t>. 变更</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bookmarkEnd w:id="641"/>
    <w:bookmarkEnd w:id="642"/>
    <w:p w14:paraId="5CFDE1EF">
      <w:pPr>
        <w:autoSpaceDN w:val="0"/>
        <w:snapToGrid w:val="0"/>
        <w:spacing w:line="300" w:lineRule="auto"/>
        <w:ind w:firstLine="480" w:firstLineChars="200"/>
        <w:jc w:val="left"/>
        <w:rPr>
          <w:rFonts w:ascii="仿宋" w:hAnsi="仿宋" w:eastAsia="仿宋" w:cs="仿宋"/>
          <w:color w:val="auto"/>
          <w:sz w:val="24"/>
          <w:highlight w:val="none"/>
        </w:rPr>
      </w:pPr>
      <w:bookmarkStart w:id="720" w:name="_Toc304295567"/>
      <w:bookmarkStart w:id="721" w:name="_Toc296346695"/>
      <w:bookmarkStart w:id="722" w:name="_Toc297120494"/>
      <w:bookmarkStart w:id="723" w:name="_Toc292559399"/>
      <w:bookmarkStart w:id="724" w:name="_Toc297048380"/>
      <w:bookmarkStart w:id="725" w:name="_Toc292559904"/>
      <w:bookmarkStart w:id="726" w:name="_Toc296503194"/>
      <w:bookmarkStart w:id="727" w:name="_Toc296944533"/>
      <w:bookmarkStart w:id="728" w:name="_Toc312678026"/>
      <w:bookmarkStart w:id="729" w:name="_Toc303539147"/>
      <w:bookmarkStart w:id="730" w:name="_Toc312677500"/>
      <w:bookmarkStart w:id="731" w:name="_Toc296347193"/>
      <w:bookmarkStart w:id="732" w:name="_Toc296891022"/>
      <w:bookmarkStart w:id="733" w:name="_Toc300934990"/>
      <w:bookmarkStart w:id="734" w:name="_Toc297216200"/>
      <w:bookmarkStart w:id="735" w:name="_Toc297123541"/>
      <w:bookmarkStart w:id="736" w:name="_Toc296891234"/>
      <w:r>
        <w:rPr>
          <w:rFonts w:hint="eastAsia" w:ascii="仿宋" w:hAnsi="仿宋" w:eastAsia="仿宋" w:cs="仿宋"/>
          <w:color w:val="auto"/>
          <w:sz w:val="24"/>
          <w:highlight w:val="none"/>
        </w:rPr>
        <w:t>10.1关于变更范围的约定:</w:t>
      </w:r>
    </w:p>
    <w:p w14:paraId="62F57F5E">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发包人应工作需要要求变更的，应以书面形式向承包人、监理发出变更通知，并由原设计单位提供变更的相应图纸和说明，承包人按照发包人发出的变更通知、图纸及有关要求进行变更。</w:t>
      </w:r>
    </w:p>
    <w:p w14:paraId="4023C13A">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承包人不得对原工程设计进行擅自变更。因承包人擅自变更设计发生的费用和由此导致发包人的直接损失，由承包人承担，延误的工期不予顺延。</w:t>
      </w:r>
    </w:p>
    <w:p w14:paraId="1A4AD7E0">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承包人在施工中提出的合理化建议涉及到对设计图纸或施工组织设计的更改及对材料、设备的换用，须报设计、监理确认，发包人批准。未经同意擅自更改或换用时，承包人承担由此发生的费用，并赔偿发包人的有关损失，延误的工期不予顺延。</w:t>
      </w:r>
    </w:p>
    <w:p w14:paraId="3EC49F05">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10.4变更价格的约定：</w:t>
      </w:r>
    </w:p>
    <w:p w14:paraId="30F94A2D">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（1）在合同履行过程中，如发生合同约定的相同施工内容变更，应按照合同综合单价进行结算；</w:t>
      </w:r>
    </w:p>
    <w:p w14:paraId="29C5A217">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（2）如发生合同内容以外的变更，则按照以下约定结算：</w:t>
      </w:r>
    </w:p>
    <w:p w14:paraId="0A98C3F5">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①以《杭州市建设工程工程量清单计价实施细则》（杭建市发[2018]578号）并采用浙江省预算定额（2018版）、其他定额（如无法直接套用定额的，可参考其他部委类似定额自行补充）为口径依据；</w:t>
      </w:r>
    </w:p>
    <w:p w14:paraId="0BBC93E7">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②材料单价：按投标截止时间日当月的杭州市公开发布的《杭州造价信息》、《浙江省造价信息》正刊计算，信息价中没有的材料价格经发包人、承包人、监理市场调查询价后，参照施工期同类材料市场价格水平，并形成市场询价资料，提出合理的材料单价，按照发包人规定审批程序签证确定；</w:t>
      </w:r>
    </w:p>
    <w:p w14:paraId="55E857D9">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③费率：按采用的相应定额取费标准（中值），规费、税金按投标口径执行；</w:t>
      </w:r>
    </w:p>
    <w:p w14:paraId="0E23255A">
      <w:pPr>
        <w:snapToGrid w:val="0"/>
        <w:spacing w:line="360" w:lineRule="auto"/>
        <w:ind w:firstLine="480" w:firstLineChars="200"/>
        <w:jc w:val="left"/>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u w:val="single"/>
        </w:rPr>
        <w:t>④优惠幅度：新增综合单价按上述①、②、③原则计算后乘以</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优惠率</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得出结算单价</w:t>
      </w:r>
      <w:r>
        <w:rPr>
          <w:rFonts w:hint="eastAsia" w:ascii="仿宋" w:hAnsi="仿宋" w:eastAsia="仿宋" w:cs="仿宋"/>
          <w:color w:val="auto"/>
          <w:sz w:val="24"/>
          <w:highlight w:val="none"/>
          <w:u w:val="single"/>
          <w:lang w:eastAsia="zh-CN"/>
        </w:rPr>
        <w:t>。</w:t>
      </w:r>
    </w:p>
    <w:p w14:paraId="7C9B7922">
      <w:pPr>
        <w:snapToGrid w:val="0"/>
        <w:spacing w:line="360" w:lineRule="auto"/>
        <w:ind w:firstLine="482" w:firstLineChars="200"/>
        <w:jc w:val="left"/>
        <w:rPr>
          <w:rFonts w:hint="eastAsia" w:ascii="仿宋" w:hAnsi="仿宋" w:eastAsia="仿宋" w:cs="仿宋"/>
          <w:b/>
          <w:snapToGrid w:val="0"/>
          <w:color w:val="auto"/>
          <w:kern w:val="0"/>
          <w:sz w:val="24"/>
          <w:szCs w:val="24"/>
          <w:highlight w:val="none"/>
          <w:u w:val="single"/>
          <w:lang w:val="en-US" w:eastAsia="zh-CN" w:bidi="ar-SA"/>
        </w:rPr>
      </w:pPr>
      <w:r>
        <w:rPr>
          <w:rFonts w:hint="eastAsia" w:ascii="仿宋" w:hAnsi="仿宋" w:eastAsia="仿宋" w:cs="仿宋"/>
          <w:b/>
          <w:snapToGrid w:val="0"/>
          <w:color w:val="auto"/>
          <w:kern w:val="0"/>
          <w:sz w:val="24"/>
          <w:szCs w:val="24"/>
          <w:highlight w:val="none"/>
          <w:u w:val="single"/>
          <w:lang w:val="en-US" w:eastAsia="zh-CN" w:bidi="ar-SA"/>
        </w:rPr>
        <w:t>注：优惠率=1-磋商时的最终报价/最高限价。</w:t>
      </w:r>
    </w:p>
    <w:p w14:paraId="1D7E1FB8">
      <w:pPr>
        <w:pStyle w:val="799"/>
        <w:ind w:firstLine="482"/>
        <w:rPr>
          <w:rFonts w:hint="eastAsia" w:ascii="仿宋" w:hAnsi="仿宋" w:eastAsia="仿宋" w:cs="仿宋"/>
          <w:color w:val="auto"/>
          <w:highlight w:val="none"/>
          <w:u w:val="single"/>
          <w:lang w:eastAsia="zh-CN"/>
        </w:rPr>
      </w:pPr>
      <w:r>
        <w:rPr>
          <w:rFonts w:hint="eastAsia" w:ascii="仿宋" w:hAnsi="仿宋" w:eastAsia="仿宋" w:cs="仿宋"/>
          <w:b/>
          <w:snapToGrid w:val="0"/>
          <w:color w:val="auto"/>
          <w:kern w:val="0"/>
          <w:szCs w:val="24"/>
          <w:highlight w:val="none"/>
          <w:u w:val="single"/>
        </w:rPr>
        <w:t>上述结算总额累计不能超过合同总价的百分之十，需另行签订补充合同，并上报财政备案。项目竣工结算时，最终结算价根据磋商时的最终报价与初始报价的下浮比例进行同比例调整。</w:t>
      </w:r>
    </w:p>
    <w:bookmarkEnd w:id="643"/>
    <w:bookmarkEnd w:id="644"/>
    <w:bookmarkEnd w:id="645"/>
    <w:bookmarkEnd w:id="646"/>
    <w:bookmarkEnd w:id="647"/>
    <w:bookmarkEnd w:id="648"/>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14:paraId="17807B6D">
      <w:pPr>
        <w:snapToGrid w:val="0"/>
        <w:spacing w:line="360" w:lineRule="auto"/>
        <w:ind w:firstLine="480" w:firstLineChars="200"/>
        <w:rPr>
          <w:rFonts w:ascii="仿宋" w:hAnsi="仿宋" w:eastAsia="仿宋" w:cs="仿宋"/>
          <w:color w:val="auto"/>
          <w:sz w:val="24"/>
          <w:highlight w:val="none"/>
        </w:rPr>
      </w:pPr>
      <w:bookmarkStart w:id="737" w:name="_Toc292559915"/>
      <w:bookmarkStart w:id="738" w:name="_Toc292559410"/>
      <w:bookmarkStart w:id="739" w:name="_Toc297120505"/>
      <w:bookmarkStart w:id="740" w:name="_Toc296891033"/>
      <w:bookmarkStart w:id="741" w:name="_Toc296503205"/>
      <w:bookmarkStart w:id="742" w:name="_Toc297048391"/>
      <w:bookmarkStart w:id="743" w:name="_Toc296347204"/>
      <w:bookmarkStart w:id="744" w:name="_Toc296944544"/>
      <w:bookmarkStart w:id="745" w:name="_Toc296891245"/>
      <w:bookmarkStart w:id="746" w:name="_Toc296346706"/>
      <w:bookmarkStart w:id="747" w:name="_Toc297123552"/>
      <w:bookmarkStart w:id="748" w:name="_Toc351203644"/>
      <w:bookmarkStart w:id="749" w:name="_Toc300935002"/>
      <w:bookmarkStart w:id="750" w:name="_Toc303539159"/>
      <w:bookmarkStart w:id="751" w:name="_Toc312678040"/>
      <w:bookmarkStart w:id="752" w:name="_Toc297216211"/>
      <w:bookmarkStart w:id="753" w:name="_Toc304295579"/>
      <w:r>
        <w:rPr>
          <w:rFonts w:hint="eastAsia" w:ascii="仿宋" w:hAnsi="仿宋" w:eastAsia="仿宋" w:cs="仿宋"/>
          <w:color w:val="auto"/>
          <w:sz w:val="24"/>
          <w:highlight w:val="none"/>
        </w:rPr>
        <w:t>1</w:t>
      </w:r>
      <w:bookmarkStart w:id="754" w:name="_Toc292559402"/>
      <w:bookmarkStart w:id="755" w:name="_Toc296503197"/>
      <w:bookmarkStart w:id="756" w:name="_Toc292559907"/>
      <w:bookmarkStart w:id="757" w:name="_Toc296891237"/>
      <w:bookmarkStart w:id="758" w:name="_Toc300934993"/>
      <w:bookmarkStart w:id="759" w:name="_Toc297123544"/>
      <w:bookmarkStart w:id="760" w:name="_Toc296891025"/>
      <w:bookmarkStart w:id="761" w:name="_Toc297048383"/>
      <w:bookmarkStart w:id="762" w:name="_Toc297120497"/>
      <w:bookmarkStart w:id="763" w:name="_Toc296944536"/>
      <w:bookmarkStart w:id="764" w:name="_Toc297216203"/>
      <w:bookmarkStart w:id="765" w:name="_Toc303539150"/>
      <w:bookmarkStart w:id="766" w:name="_Toc296347196"/>
      <w:bookmarkStart w:id="767" w:name="_Toc296346698"/>
      <w:bookmarkStart w:id="768" w:name="_Toc312678029"/>
      <w:bookmarkStart w:id="769" w:name="_Toc312677503"/>
      <w:bookmarkStart w:id="770" w:name="_Toc304295570"/>
      <w:r>
        <w:rPr>
          <w:rFonts w:hint="eastAsia" w:ascii="仿宋" w:hAnsi="仿宋" w:eastAsia="仿宋" w:cs="仿宋"/>
          <w:color w:val="auto"/>
          <w:sz w:val="24"/>
          <w:highlight w:val="none"/>
        </w:rPr>
        <w:t>0.5承</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Start w:id="771" w:name="_Toc296346704"/>
      <w:bookmarkStart w:id="772" w:name="_Toc303539151"/>
      <w:bookmarkStart w:id="773" w:name="_Toc300934994"/>
      <w:bookmarkStart w:id="774" w:name="_Toc296503203"/>
      <w:bookmarkStart w:id="775" w:name="_Toc296347202"/>
      <w:bookmarkStart w:id="776" w:name="_Toc297120503"/>
      <w:bookmarkStart w:id="777" w:name="_Toc296891031"/>
      <w:bookmarkStart w:id="778" w:name="_Toc296891243"/>
      <w:bookmarkStart w:id="779" w:name="_Toc297216204"/>
      <w:bookmarkStart w:id="780" w:name="_Toc297048389"/>
      <w:bookmarkStart w:id="781" w:name="_Toc292559913"/>
      <w:bookmarkStart w:id="782" w:name="_Toc292559408"/>
      <w:bookmarkStart w:id="783" w:name="_Toc296944542"/>
      <w:bookmarkStart w:id="784" w:name="_Toc297123545"/>
      <w:r>
        <w:rPr>
          <w:rFonts w:hint="eastAsia" w:ascii="仿宋" w:hAnsi="仿宋" w:eastAsia="仿宋" w:cs="仿宋"/>
          <w:color w:val="auto"/>
          <w:sz w:val="24"/>
          <w:highlight w:val="none"/>
        </w:rPr>
        <w:t>包人的合理化建议</w:t>
      </w:r>
    </w:p>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14:paraId="6458B525">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监理人审查承包人合理化建议的期限：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14D9AB13">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发包人审批承包人合理化建议的期限：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59AD75BC">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承</w:t>
      </w:r>
      <w:bookmarkStart w:id="785" w:name="_Toc300934995"/>
      <w:bookmarkStart w:id="786" w:name="_Toc304295571"/>
      <w:bookmarkStart w:id="787" w:name="_Toc297048390"/>
      <w:bookmarkStart w:id="788" w:name="_Toc296891032"/>
      <w:bookmarkStart w:id="789" w:name="_Toc303539152"/>
      <w:bookmarkStart w:id="790" w:name="_Toc292559914"/>
      <w:bookmarkStart w:id="791" w:name="_Toc296944543"/>
      <w:bookmarkStart w:id="792" w:name="_Toc296347203"/>
      <w:bookmarkStart w:id="793" w:name="_Toc296346705"/>
      <w:bookmarkStart w:id="794" w:name="_Toc312677504"/>
      <w:bookmarkStart w:id="795" w:name="_Toc292559409"/>
      <w:bookmarkStart w:id="796" w:name="_Toc312678030"/>
      <w:bookmarkStart w:id="797" w:name="_Toc296503204"/>
      <w:bookmarkStart w:id="798" w:name="_Toc297123546"/>
      <w:bookmarkStart w:id="799" w:name="_Toc296891244"/>
      <w:bookmarkStart w:id="800" w:name="_Toc297120504"/>
      <w:bookmarkStart w:id="801" w:name="_Toc297216205"/>
      <w:bookmarkStart w:id="802" w:name="_Toc318581175"/>
      <w:r>
        <w:rPr>
          <w:rFonts w:hint="eastAsia" w:ascii="仿宋" w:hAnsi="仿宋" w:eastAsia="仿宋" w:cs="仿宋"/>
          <w:color w:val="auto"/>
          <w:sz w:val="24"/>
          <w:highlight w:val="none"/>
        </w:rPr>
        <w:t>包人提出的合理化建议降低了合同价格或者提高了工程经济效益的奖励的方法和金额为：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w:t>
      </w:r>
    </w:p>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14:paraId="23E27928">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bookmarkStart w:id="803" w:name="_Toc292559909"/>
      <w:bookmarkStart w:id="804" w:name="_Toc296346700"/>
      <w:bookmarkStart w:id="805" w:name="_Toc300934997"/>
      <w:bookmarkStart w:id="806" w:name="_Toc303539154"/>
      <w:bookmarkStart w:id="807" w:name="_Toc296891027"/>
      <w:bookmarkStart w:id="808" w:name="_Toc297120499"/>
      <w:bookmarkStart w:id="809" w:name="_Toc297123548"/>
      <w:bookmarkStart w:id="810" w:name="_Toc312677507"/>
      <w:bookmarkStart w:id="811" w:name="_Toc297216207"/>
      <w:bookmarkStart w:id="812" w:name="_Toc296347198"/>
      <w:bookmarkStart w:id="813" w:name="_Toc296503199"/>
      <w:bookmarkStart w:id="814" w:name="_Toc296944538"/>
      <w:bookmarkStart w:id="815" w:name="_Toc292559404"/>
      <w:bookmarkStart w:id="816" w:name="_Toc296891239"/>
      <w:bookmarkStart w:id="817" w:name="_Toc304295574"/>
      <w:bookmarkStart w:id="818" w:name="_Toc312678033"/>
      <w:bookmarkStart w:id="819" w:name="_Toc297048385"/>
      <w:r>
        <w:rPr>
          <w:rFonts w:hint="eastAsia" w:ascii="仿宋" w:hAnsi="仿宋" w:eastAsia="仿宋" w:cs="仿宋"/>
          <w:color w:val="auto"/>
          <w:sz w:val="24"/>
          <w:highlight w:val="none"/>
        </w:rPr>
        <w:t>0.7 暂估价</w:t>
      </w:r>
    </w:p>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14:paraId="7841EA06">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暂</w:t>
      </w:r>
      <w:bookmarkStart w:id="820" w:name="_Toc312678034"/>
      <w:bookmarkStart w:id="821" w:name="_Toc312677508"/>
      <w:bookmarkStart w:id="822" w:name="_Toc318581176"/>
      <w:r>
        <w:rPr>
          <w:rFonts w:hint="eastAsia" w:ascii="仿宋" w:hAnsi="仿宋" w:eastAsia="仿宋" w:cs="仿宋"/>
          <w:color w:val="auto"/>
          <w:kern w:val="0"/>
          <w:sz w:val="24"/>
          <w:highlight w:val="none"/>
        </w:rPr>
        <w:t>估价材料和工程设备的明细：</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bookmarkEnd w:id="820"/>
    <w:bookmarkEnd w:id="821"/>
    <w:bookmarkEnd w:id="822"/>
    <w:p w14:paraId="495223EE">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bookmarkStart w:id="823" w:name="_Toc318581177"/>
      <w:bookmarkStart w:id="824" w:name="_Toc312678035"/>
      <w:bookmarkStart w:id="825" w:name="_Toc312677509"/>
      <w:r>
        <w:rPr>
          <w:rFonts w:hint="eastAsia" w:ascii="仿宋" w:hAnsi="仿宋" w:eastAsia="仿宋" w:cs="仿宋"/>
          <w:color w:val="auto"/>
          <w:sz w:val="24"/>
          <w:highlight w:val="none"/>
        </w:rPr>
        <w:t>0.7.1 依法必须招标的暂估价项目</w:t>
      </w:r>
    </w:p>
    <w:bookmarkEnd w:id="823"/>
    <w:bookmarkEnd w:id="824"/>
    <w:bookmarkEnd w:id="825"/>
    <w:p w14:paraId="69865DF7">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对于依法必须招标的暂估价项目的确认和批准采取第</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种方式确定。</w:t>
      </w:r>
    </w:p>
    <w:p w14:paraId="214FC771">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10.7.2 不属于依法必须招标的暂估价项目</w:t>
      </w:r>
    </w:p>
    <w:p w14:paraId="0D67769A">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对于不属于依法必须招标的暂估价项目的确认和批准采取第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种方式确定。</w:t>
      </w:r>
    </w:p>
    <w:p w14:paraId="7EAD0E70">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第3种方式：</w:t>
      </w:r>
      <w:r>
        <w:rPr>
          <w:rFonts w:hint="eastAsia" w:ascii="仿宋" w:hAnsi="仿宋" w:eastAsia="仿宋" w:cs="仿宋"/>
          <w:color w:val="auto"/>
          <w:kern w:val="0"/>
          <w:sz w:val="24"/>
          <w:highlight w:val="none"/>
        </w:rPr>
        <w:t>承包人直接实施的暂估价项目</w:t>
      </w:r>
    </w:p>
    <w:p w14:paraId="61DC05DF">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承包人直接实施的暂估价项目的约定：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2127B40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10.8 暂列金额</w:t>
      </w:r>
    </w:p>
    <w:p w14:paraId="176BC9B8">
      <w:pPr>
        <w:autoSpaceDE w:val="0"/>
        <w:autoSpaceDN w:val="0"/>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t>合同当事人关于暂列金额使用的约定：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5501E1F8">
      <w:pPr>
        <w:keepNext/>
        <w:keepLines/>
        <w:snapToGrid w:val="0"/>
        <w:spacing w:line="360" w:lineRule="auto"/>
        <w:ind w:firstLine="480" w:firstLineChars="200"/>
        <w:outlineLvl w:val="3"/>
        <w:rPr>
          <w:rFonts w:ascii="仿宋" w:hAnsi="仿宋" w:eastAsia="仿宋" w:cs="仿宋"/>
          <w:bCs/>
          <w:color w:val="auto"/>
          <w:sz w:val="24"/>
          <w:highlight w:val="none"/>
          <w:lang w:val="zh-CN"/>
        </w:rPr>
      </w:pPr>
      <w:bookmarkStart w:id="826" w:name="_Toc351203643"/>
      <w:r>
        <w:rPr>
          <w:rFonts w:hint="eastAsia" w:ascii="仿宋" w:hAnsi="仿宋" w:eastAsia="仿宋" w:cs="仿宋"/>
          <w:bCs/>
          <w:color w:val="auto"/>
          <w:sz w:val="24"/>
          <w:highlight w:val="none"/>
          <w:lang w:val="zh-CN"/>
        </w:rPr>
        <w:t>11. 价格调整</w:t>
      </w:r>
      <w:bookmarkEnd w:id="826"/>
    </w:p>
    <w:p w14:paraId="53482A3E">
      <w:pPr>
        <w:snapToGrid w:val="0"/>
        <w:spacing w:line="360" w:lineRule="auto"/>
        <w:ind w:firstLine="480" w:firstLineChars="200"/>
        <w:rPr>
          <w:rFonts w:ascii="仿宋" w:hAnsi="仿宋" w:eastAsia="仿宋" w:cs="仿宋"/>
          <w:color w:val="auto"/>
          <w:sz w:val="24"/>
          <w:highlight w:val="none"/>
        </w:rPr>
      </w:pPr>
      <w:bookmarkStart w:id="827" w:name="_Toc296891241"/>
      <w:bookmarkStart w:id="828" w:name="_Toc300935000"/>
      <w:bookmarkStart w:id="829" w:name="_Toc297123550"/>
      <w:bookmarkStart w:id="830" w:name="_Toc303539157"/>
      <w:bookmarkStart w:id="831" w:name="_Toc297048387"/>
      <w:bookmarkStart w:id="832" w:name="_Toc292559406"/>
      <w:bookmarkStart w:id="833" w:name="_Toc297216209"/>
      <w:bookmarkStart w:id="834" w:name="_Toc304295577"/>
      <w:bookmarkStart w:id="835" w:name="_Toc297120501"/>
      <w:bookmarkStart w:id="836" w:name="_Toc296346702"/>
      <w:bookmarkStart w:id="837" w:name="_Toc296891029"/>
      <w:bookmarkStart w:id="838" w:name="_Toc296503201"/>
      <w:bookmarkStart w:id="839" w:name="_Toc312678039"/>
      <w:bookmarkStart w:id="840" w:name="_Toc296944540"/>
      <w:bookmarkStart w:id="841" w:name="_Toc292559911"/>
      <w:bookmarkStart w:id="842" w:name="_Toc296347200"/>
      <w:r>
        <w:rPr>
          <w:rFonts w:hint="eastAsia" w:ascii="仿宋" w:hAnsi="仿宋" w:eastAsia="仿宋" w:cs="仿宋"/>
          <w:color w:val="auto"/>
          <w:sz w:val="24"/>
          <w:highlight w:val="none"/>
        </w:rPr>
        <w:t>11.1 市场价格波动引起的调整</w:t>
      </w:r>
    </w:p>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14:paraId="2B35B0BF">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市场价格波动是否调整合同价格的约定：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F7AB219">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因市场价格波动调整合同价格，采用以下第种方式对合同价格进行调整：</w:t>
      </w:r>
    </w:p>
    <w:p w14:paraId="3DD880BD">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第1种方式：采用价格指数进行价格调整。</w:t>
      </w:r>
    </w:p>
    <w:p w14:paraId="2D907A50">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关于各可调因子、定值和变值权重，以及基本价格指数及其来源的约定：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  </w:t>
      </w:r>
    </w:p>
    <w:p w14:paraId="6E196BF0">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第2种方式：采用造价信息进行价格调整。</w:t>
      </w:r>
    </w:p>
    <w:p w14:paraId="785EA6AD">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（2）关于基准价格的约定：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w:t>
      </w:r>
    </w:p>
    <w:p w14:paraId="5E76A74F">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67FFDD56">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010A7143">
      <w:pPr>
        <w:snapToGrid w:val="0"/>
        <w:spacing w:line="360" w:lineRule="auto"/>
        <w:ind w:firstLine="645"/>
        <w:jc w:val="left"/>
        <w:rPr>
          <w:rFonts w:ascii="仿宋" w:hAnsi="仿宋" w:eastAsia="仿宋" w:cs="仿宋"/>
          <w:color w:val="auto"/>
          <w:sz w:val="24"/>
          <w:highlight w:val="none"/>
        </w:rPr>
      </w:pPr>
      <w:r>
        <w:rPr>
          <w:rFonts w:hint="eastAsia" w:ascii="仿宋" w:hAnsi="仿宋" w:eastAsia="仿宋" w:cs="仿宋"/>
          <w:color w:val="auto"/>
          <w:sz w:val="24"/>
          <w:highlight w:val="none"/>
        </w:rPr>
        <w:t>③承包人在已标价工程量清单或预算书中载明的材料单价等于基准单价的：专用合同条款合同履行期间材料单价涨跌幅以基准单价为基础超过±%时，其超过部分据实调整。</w:t>
      </w:r>
    </w:p>
    <w:p w14:paraId="33750001">
      <w:pPr>
        <w:snapToGrid w:val="0"/>
        <w:spacing w:line="360" w:lineRule="auto"/>
        <w:ind w:firstLine="645"/>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第3种方式：其他价格调整方式：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1F4D4A1E">
      <w:pPr>
        <w:keepNext/>
        <w:keepLines/>
        <w:snapToGrid w:val="0"/>
        <w:spacing w:line="360" w:lineRule="auto"/>
        <w:ind w:firstLine="482" w:firstLineChars="200"/>
        <w:outlineLvl w:val="3"/>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rPr>
        <w:t>12</w:t>
      </w:r>
      <w:r>
        <w:rPr>
          <w:rFonts w:hint="eastAsia" w:ascii="仿宋" w:hAnsi="仿宋" w:eastAsia="仿宋" w:cs="仿宋"/>
          <w:b/>
          <w:bCs/>
          <w:color w:val="auto"/>
          <w:sz w:val="24"/>
          <w:highlight w:val="none"/>
          <w:lang w:val="zh-CN"/>
        </w:rPr>
        <w:t xml:space="preserve">. </w:t>
      </w:r>
      <w:bookmarkEnd w:id="737"/>
      <w:bookmarkEnd w:id="738"/>
      <w:bookmarkEnd w:id="739"/>
      <w:bookmarkEnd w:id="740"/>
      <w:bookmarkEnd w:id="741"/>
      <w:bookmarkEnd w:id="742"/>
      <w:bookmarkEnd w:id="743"/>
      <w:bookmarkEnd w:id="744"/>
      <w:bookmarkEnd w:id="745"/>
      <w:bookmarkEnd w:id="746"/>
      <w:r>
        <w:rPr>
          <w:rFonts w:hint="eastAsia" w:ascii="仿宋" w:hAnsi="仿宋" w:eastAsia="仿宋" w:cs="仿宋"/>
          <w:b/>
          <w:bCs/>
          <w:color w:val="auto"/>
          <w:sz w:val="24"/>
          <w:highlight w:val="none"/>
          <w:lang w:val="zh-CN"/>
        </w:rPr>
        <w:t>合同价格、计量与支付</w:t>
      </w:r>
      <w:bookmarkEnd w:id="747"/>
      <w:bookmarkEnd w:id="748"/>
      <w:bookmarkEnd w:id="749"/>
      <w:bookmarkEnd w:id="750"/>
      <w:bookmarkEnd w:id="751"/>
      <w:bookmarkEnd w:id="752"/>
      <w:bookmarkEnd w:id="753"/>
      <w:bookmarkStart w:id="843" w:name="_Toc296347205"/>
      <w:bookmarkStart w:id="844" w:name="_Toc296891034"/>
      <w:bookmarkStart w:id="845" w:name="_Toc267251461"/>
      <w:bookmarkStart w:id="846" w:name="_Toc297123553"/>
      <w:bookmarkStart w:id="847" w:name="_Toc297120506"/>
      <w:bookmarkStart w:id="848" w:name="_Toc296944545"/>
      <w:bookmarkStart w:id="849" w:name="_Toc312678041"/>
      <w:bookmarkStart w:id="850" w:name="_Toc296346707"/>
      <w:bookmarkStart w:id="851" w:name="_Toc296891246"/>
      <w:bookmarkStart w:id="852" w:name="_Toc304295580"/>
      <w:bookmarkStart w:id="853" w:name="_Toc297048392"/>
      <w:bookmarkStart w:id="854" w:name="_Toc292559916"/>
      <w:bookmarkStart w:id="855" w:name="_Toc300935003"/>
      <w:bookmarkStart w:id="856" w:name="_Toc292559411"/>
      <w:bookmarkStart w:id="857" w:name="_Toc296503206"/>
      <w:bookmarkStart w:id="858" w:name="_Toc297216212"/>
      <w:bookmarkStart w:id="859" w:name="_Toc303539160"/>
    </w:p>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14:paraId="460E3FAE">
      <w:pPr>
        <w:snapToGrid w:val="0"/>
        <w:spacing w:line="360" w:lineRule="auto"/>
        <w:ind w:firstLine="480" w:firstLineChars="200"/>
        <w:rPr>
          <w:rFonts w:ascii="仿宋" w:hAnsi="仿宋" w:eastAsia="仿宋" w:cs="仿宋"/>
          <w:color w:val="auto"/>
          <w:sz w:val="24"/>
          <w:highlight w:val="none"/>
        </w:rPr>
      </w:pPr>
      <w:bookmarkStart w:id="860" w:name="_Toc296346708"/>
      <w:bookmarkStart w:id="861" w:name="_Toc300935004"/>
      <w:bookmarkStart w:id="862" w:name="_Toc296347206"/>
      <w:bookmarkStart w:id="863" w:name="_Toc292559917"/>
      <w:bookmarkStart w:id="864" w:name="_Toc297120507"/>
      <w:bookmarkStart w:id="865" w:name="_Toc312678042"/>
      <w:bookmarkStart w:id="866" w:name="_Toc296891035"/>
      <w:bookmarkStart w:id="867" w:name="_Toc296503207"/>
      <w:bookmarkStart w:id="868" w:name="_Toc292559412"/>
      <w:bookmarkStart w:id="869" w:name="_Toc304295581"/>
      <w:bookmarkStart w:id="870" w:name="_Toc297216213"/>
      <w:bookmarkStart w:id="871" w:name="_Toc303539161"/>
      <w:bookmarkStart w:id="872" w:name="_Toc297048393"/>
      <w:bookmarkStart w:id="873" w:name="_Toc296944546"/>
      <w:bookmarkStart w:id="874" w:name="_Toc297123554"/>
      <w:bookmarkStart w:id="875" w:name="_Toc296891247"/>
      <w:r>
        <w:rPr>
          <w:rFonts w:hint="eastAsia" w:ascii="仿宋" w:hAnsi="仿宋" w:eastAsia="仿宋" w:cs="仿宋"/>
          <w:color w:val="auto"/>
          <w:sz w:val="24"/>
          <w:highlight w:val="none"/>
        </w:rPr>
        <w:t>12.1 合同价格形式</w:t>
      </w:r>
    </w:p>
    <w:p w14:paraId="2AF0E94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1、单价合同。</w:t>
      </w:r>
    </w:p>
    <w:p w14:paraId="67E6D4E6">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综合单价包含的风险范围：</w:t>
      </w:r>
      <w:r>
        <w:rPr>
          <w:rFonts w:hint="eastAsia" w:ascii="仿宋" w:hAnsi="仿宋" w:eastAsia="仿宋" w:cs="仿宋"/>
          <w:color w:val="auto"/>
          <w:sz w:val="24"/>
          <w:highlight w:val="none"/>
          <w:u w:val="single"/>
        </w:rPr>
        <w:t>应由承包人承担的工、料、机在投标编制期或预算书编制期与实施期间所发生的市场价格波动。</w:t>
      </w:r>
    </w:p>
    <w:p w14:paraId="6F3F3AA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其他：</w:t>
      </w:r>
      <w:r>
        <w:rPr>
          <w:rFonts w:hint="eastAsia" w:ascii="仿宋" w:hAnsi="仿宋" w:eastAsia="仿宋" w:cs="仿宋"/>
          <w:color w:val="auto"/>
          <w:sz w:val="24"/>
          <w:highlight w:val="none"/>
          <w:u w:val="single"/>
        </w:rPr>
        <w:t>①由承包人承担的工、料、机在投标编制期或预算书编制期与合同实施期间所发生的市场价格波动。②必要的技术措施费；③一个有经验的承包人可以或应该能预见的风险所产生的费用；④承包人原因引起的工程量增减、工程变更及相应引起的措施项目费；⑤承包人原因造成工期延误的，在延误期内增加的各项费用；⑥施工期间非连续8 小时停水、停电引起的费用增加。</w:t>
      </w:r>
    </w:p>
    <w:p w14:paraId="41E0D570">
      <w:pPr>
        <w:autoSpaceDE w:val="0"/>
        <w:autoSpaceDN w:val="0"/>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风险费用的计算方法：</w:t>
      </w:r>
      <w:r>
        <w:rPr>
          <w:rFonts w:hint="eastAsia" w:ascii="仿宋" w:hAnsi="仿宋" w:eastAsia="仿宋" w:cs="仿宋"/>
          <w:color w:val="auto"/>
          <w:kern w:val="0"/>
          <w:sz w:val="24"/>
          <w:highlight w:val="none"/>
          <w:lang w:eastAsia="zh-CN"/>
        </w:rPr>
        <w:t>合同</w:t>
      </w:r>
      <w:r>
        <w:rPr>
          <w:rFonts w:hint="eastAsia" w:ascii="仿宋" w:hAnsi="仿宋" w:eastAsia="仿宋" w:cs="仿宋"/>
          <w:color w:val="auto"/>
          <w:kern w:val="0"/>
          <w:sz w:val="24"/>
          <w:highlight w:val="none"/>
          <w:u w:val="single"/>
        </w:rPr>
        <w:t>履行期间物价变动；定额、标准及规范调整；承包人可以或应该预见的风险，相关费用已包含在合同</w:t>
      </w:r>
      <w:r>
        <w:rPr>
          <w:rFonts w:hint="eastAsia" w:ascii="仿宋" w:hAnsi="仿宋" w:eastAsia="仿宋" w:cs="仿宋"/>
          <w:color w:val="auto"/>
          <w:kern w:val="0"/>
          <w:sz w:val="24"/>
          <w:highlight w:val="none"/>
          <w:u w:val="single"/>
          <w:lang w:eastAsia="zh-CN"/>
        </w:rPr>
        <w:t>总价</w:t>
      </w:r>
      <w:r>
        <w:rPr>
          <w:rFonts w:hint="eastAsia" w:ascii="仿宋" w:hAnsi="仿宋" w:eastAsia="仿宋" w:cs="仿宋"/>
          <w:color w:val="auto"/>
          <w:kern w:val="0"/>
          <w:sz w:val="24"/>
          <w:highlight w:val="none"/>
          <w:u w:val="single"/>
        </w:rPr>
        <w:t>中，工程结算不作调整。</w:t>
      </w:r>
    </w:p>
    <w:p w14:paraId="0B80A3D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2、总价合同。</w:t>
      </w:r>
    </w:p>
    <w:p w14:paraId="2B4D57E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总价包含的风险范围：</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3D8312A">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风险费用的计算方法：</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301AFC1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风险范围以外合同价格的调整方法：</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14:paraId="38294DEC">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3、其他价格方式：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53455E3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12.2 预付款</w:t>
      </w:r>
    </w:p>
    <w:p w14:paraId="563933CA">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12.2.1 预付款的支付</w:t>
      </w:r>
    </w:p>
    <w:p w14:paraId="01E539D2">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预付款支付比例或金额：</w:t>
      </w:r>
      <w:r>
        <w:rPr>
          <w:rFonts w:hint="eastAsia" w:ascii="仿宋" w:hAnsi="仿宋" w:eastAsia="仿宋" w:cs="仿宋"/>
          <w:color w:val="auto"/>
          <w:sz w:val="24"/>
          <w:highlight w:val="none"/>
          <w:u w:val="single"/>
        </w:rPr>
        <w:t>合同总价的</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0%</w:t>
      </w:r>
      <w:r>
        <w:rPr>
          <w:rFonts w:hint="eastAsia" w:ascii="仿宋" w:hAnsi="仿宋" w:eastAsia="仿宋" w:cs="仿宋"/>
          <w:color w:val="auto"/>
          <w:sz w:val="24"/>
          <w:highlight w:val="none"/>
          <w:u w:val="single"/>
          <w:lang w:val="en-US" w:eastAsia="zh-CN"/>
        </w:rPr>
        <w:t>且不超过2024年预算安排74万元</w:t>
      </w:r>
      <w:r>
        <w:rPr>
          <w:rFonts w:hint="eastAsia" w:ascii="仿宋" w:hAnsi="仿宋" w:eastAsia="仿宋" w:cs="仿宋"/>
          <w:color w:val="auto"/>
          <w:sz w:val="24"/>
          <w:highlight w:val="none"/>
        </w:rPr>
        <w:t>。</w:t>
      </w:r>
    </w:p>
    <w:p w14:paraId="1D0603D4">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预付款支付期限：</w:t>
      </w:r>
      <w:r>
        <w:rPr>
          <w:rFonts w:hint="eastAsia" w:ascii="仿宋" w:hAnsi="仿宋" w:eastAsia="仿宋" w:cs="仿宋"/>
          <w:color w:val="auto"/>
          <w:sz w:val="24"/>
          <w:highlight w:val="none"/>
          <w:u w:val="single"/>
        </w:rPr>
        <w:t>合同签订后5个工作日内，</w:t>
      </w:r>
      <w:r>
        <w:rPr>
          <w:rFonts w:hint="eastAsia" w:ascii="仿宋" w:hAnsi="仿宋" w:eastAsia="仿宋" w:cs="仿宋"/>
          <w:color w:val="auto"/>
          <w:sz w:val="24"/>
          <w:highlight w:val="none"/>
          <w:u w:val="single"/>
          <w:lang w:eastAsia="zh-CN"/>
        </w:rPr>
        <w:t>项目</w:t>
      </w:r>
      <w:r>
        <w:rPr>
          <w:rFonts w:hint="eastAsia" w:ascii="仿宋" w:hAnsi="仿宋" w:eastAsia="仿宋" w:cs="仿宋"/>
          <w:color w:val="auto"/>
          <w:sz w:val="24"/>
          <w:highlight w:val="none"/>
          <w:u w:val="single"/>
        </w:rPr>
        <w:t>具备实施条件后。</w:t>
      </w:r>
    </w:p>
    <w:p w14:paraId="294AA15A">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预付款扣回的方式：</w:t>
      </w:r>
      <w:r>
        <w:rPr>
          <w:rFonts w:hint="eastAsia" w:ascii="仿宋" w:hAnsi="仿宋" w:eastAsia="仿宋" w:cs="仿宋"/>
          <w:color w:val="auto"/>
          <w:sz w:val="24"/>
          <w:highlight w:val="none"/>
          <w:u w:val="single"/>
        </w:rPr>
        <w:t>预付款不扣回，直接抵扣在结算价中</w:t>
      </w:r>
      <w:r>
        <w:rPr>
          <w:rFonts w:hint="eastAsia" w:ascii="仿宋" w:hAnsi="仿宋" w:eastAsia="仿宋" w:cs="仿宋"/>
          <w:color w:val="auto"/>
          <w:sz w:val="24"/>
          <w:highlight w:val="none"/>
        </w:rPr>
        <w:t>。</w:t>
      </w:r>
    </w:p>
    <w:p w14:paraId="296DBB05">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12.2.2 预付款担保</w:t>
      </w:r>
    </w:p>
    <w:p w14:paraId="29F661FD">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承包人提交预付款担保的期限：</w:t>
      </w:r>
      <w:r>
        <w:rPr>
          <w:rFonts w:hint="eastAsia" w:ascii="仿宋" w:hAnsi="仿宋" w:eastAsia="仿宋" w:cs="仿宋"/>
          <w:color w:val="auto"/>
          <w:sz w:val="24"/>
          <w:highlight w:val="none"/>
          <w:u w:val="single"/>
        </w:rPr>
        <w:t xml:space="preserve">  /  。</w:t>
      </w:r>
    </w:p>
    <w:p w14:paraId="6E04E44F">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预付款担保的形式为：</w:t>
      </w:r>
      <w:r>
        <w:rPr>
          <w:rFonts w:hint="eastAsia" w:ascii="仿宋" w:hAnsi="仿宋" w:eastAsia="仿宋" w:cs="仿宋"/>
          <w:color w:val="auto"/>
          <w:sz w:val="24"/>
          <w:highlight w:val="none"/>
          <w:u w:val="single"/>
        </w:rPr>
        <w:t xml:space="preserve">  /  。</w:t>
      </w:r>
    </w:p>
    <w:p w14:paraId="479E77E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12.3计量</w:t>
      </w:r>
    </w:p>
    <w:p w14:paraId="49637F2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12.3.1 计量原则</w:t>
      </w:r>
    </w:p>
    <w:p w14:paraId="41E6F7F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（1）实行工程量清单计价的工程项目，其工程量的计算规则应按国家标准工程量计算规范及省级行业主管部门颁布的补充规定执行。</w:t>
      </w:r>
    </w:p>
    <w:p w14:paraId="3FB3F66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（2）不实行工程量清单计价的工程项目，工程量的计算规则应按省、市行业主管部门颁布的各专业工程定额的工程量计算规则执行。</w:t>
      </w:r>
    </w:p>
    <w:p w14:paraId="6A23DBC0">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12.3.2 计量周期</w:t>
      </w:r>
    </w:p>
    <w:p w14:paraId="75010E3C">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关于计量周期的约定：</w:t>
      </w:r>
      <w:r>
        <w:rPr>
          <w:rFonts w:hint="eastAsia" w:ascii="仿宋" w:hAnsi="仿宋" w:eastAsia="仿宋" w:cs="仿宋"/>
          <w:color w:val="auto"/>
          <w:sz w:val="24"/>
          <w:highlight w:val="none"/>
          <w:u w:val="single"/>
        </w:rPr>
        <w:t xml:space="preserve"> 每月20日前提交</w:t>
      </w:r>
      <w:r>
        <w:rPr>
          <w:rFonts w:hint="eastAsia" w:ascii="仿宋" w:hAnsi="仿宋" w:eastAsia="仿宋" w:cs="仿宋"/>
          <w:color w:val="auto"/>
          <w:sz w:val="24"/>
          <w:highlight w:val="none"/>
        </w:rPr>
        <w:t>。</w:t>
      </w:r>
    </w:p>
    <w:p w14:paraId="0F4A564C">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12.3.3 单价合同的计量</w:t>
      </w:r>
    </w:p>
    <w:p w14:paraId="2D5DC534">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关于单价合同计量的约定：</w:t>
      </w:r>
      <w:r>
        <w:rPr>
          <w:rFonts w:hint="eastAsia" w:ascii="仿宋" w:hAnsi="仿宋" w:eastAsia="仿宋" w:cs="仿宋"/>
          <w:color w:val="auto"/>
          <w:sz w:val="24"/>
          <w:highlight w:val="none"/>
          <w:u w:val="single"/>
        </w:rPr>
        <w:t xml:space="preserve">每月20日提供上月20日至本月19日完成工作量和工作价款表，上报监理人与发包人审定（该工程量得到发包人确认后仅为支付工程进度款的依据，不作为竣工结算的依据） </w:t>
      </w:r>
      <w:r>
        <w:rPr>
          <w:rFonts w:hint="eastAsia" w:ascii="仿宋" w:hAnsi="仿宋" w:eastAsia="仿宋" w:cs="仿宋"/>
          <w:color w:val="auto"/>
          <w:sz w:val="24"/>
          <w:highlight w:val="none"/>
        </w:rPr>
        <w:t>。</w:t>
      </w:r>
    </w:p>
    <w:p w14:paraId="5BBEA372">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12.3.4 总价合同的计量</w:t>
      </w:r>
    </w:p>
    <w:p w14:paraId="4E2A96D7">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关于总价合同计量的约定：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0A072FFD">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12.3.5总价合同采用支付分解表计量支付的，是否适用第</w:t>
      </w:r>
      <w:r>
        <w:rPr>
          <w:rFonts w:hint="eastAsia" w:ascii="仿宋" w:hAnsi="仿宋" w:eastAsia="仿宋" w:cs="仿宋"/>
          <w:color w:val="auto"/>
          <w:kern w:val="0"/>
          <w:sz w:val="24"/>
          <w:highlight w:val="none"/>
        </w:rPr>
        <w:t xml:space="preserve">12.3.4 </w:t>
      </w:r>
      <w:r>
        <w:rPr>
          <w:rFonts w:hint="eastAsia" w:ascii="仿宋" w:hAnsi="仿宋" w:eastAsia="仿宋" w:cs="仿宋"/>
          <w:color w:val="auto"/>
          <w:sz w:val="24"/>
          <w:highlight w:val="none"/>
        </w:rPr>
        <w:t>项</w:t>
      </w:r>
      <w:r>
        <w:rPr>
          <w:rFonts w:hint="eastAsia" w:ascii="仿宋" w:hAnsi="仿宋" w:eastAsia="仿宋" w:cs="仿宋"/>
          <w:color w:val="auto"/>
          <w:kern w:val="0"/>
          <w:sz w:val="24"/>
          <w:highlight w:val="none"/>
        </w:rPr>
        <w:t>〔总价合同的计量〕</w:t>
      </w:r>
      <w:r>
        <w:rPr>
          <w:rFonts w:hint="eastAsia" w:ascii="仿宋" w:hAnsi="仿宋" w:eastAsia="仿宋" w:cs="仿宋"/>
          <w:color w:val="auto"/>
          <w:sz w:val="24"/>
          <w:highlight w:val="none"/>
        </w:rPr>
        <w:t>约定进行计量：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4D9BDDF4">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12.3.6 其他价格形式合同的计量</w:t>
      </w:r>
    </w:p>
    <w:p w14:paraId="68547077">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其他价格形式的计量方式和程序：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707C8A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12.4工程进度款支付</w:t>
      </w:r>
    </w:p>
    <w:p w14:paraId="7B148CAB">
      <w:pPr>
        <w:snapToGrid w:val="0"/>
        <w:spacing w:line="360" w:lineRule="auto"/>
        <w:ind w:firstLine="482" w:firstLineChars="200"/>
        <w:jc w:val="left"/>
        <w:rPr>
          <w:rFonts w:ascii="仿宋" w:hAnsi="仿宋" w:eastAsia="仿宋" w:cs="仿宋"/>
          <w:b/>
          <w:color w:val="auto"/>
          <w:sz w:val="24"/>
          <w:highlight w:val="none"/>
        </w:rPr>
      </w:pPr>
      <w:bookmarkStart w:id="876" w:name="_Toc292559921"/>
      <w:bookmarkStart w:id="877" w:name="_Toc296891251"/>
      <w:bookmarkStart w:id="878" w:name="_Toc296891039"/>
      <w:bookmarkStart w:id="879" w:name="_Toc297048397"/>
      <w:bookmarkStart w:id="880" w:name="_Toc296347210"/>
      <w:bookmarkStart w:id="881" w:name="_Toc297123556"/>
      <w:bookmarkStart w:id="882" w:name="_Toc296944550"/>
      <w:bookmarkStart w:id="883" w:name="_Toc303539163"/>
      <w:bookmarkStart w:id="884" w:name="_Toc300935006"/>
      <w:bookmarkStart w:id="885" w:name="_Toc296503211"/>
      <w:bookmarkStart w:id="886" w:name="_Toc297216215"/>
      <w:bookmarkStart w:id="887" w:name="_Toc292559416"/>
      <w:bookmarkStart w:id="888" w:name="_Toc297120511"/>
      <w:bookmarkStart w:id="889" w:name="_Toc296346712"/>
      <w:r>
        <w:rPr>
          <w:rFonts w:hint="eastAsia" w:ascii="仿宋" w:hAnsi="仿宋" w:eastAsia="仿宋" w:cs="仿宋"/>
          <w:b/>
          <w:color w:val="auto"/>
          <w:sz w:val="24"/>
          <w:highlight w:val="none"/>
        </w:rPr>
        <w:t>12.4.1 付款周期</w:t>
      </w:r>
    </w:p>
    <w:p w14:paraId="687E1F4C">
      <w:pPr>
        <w:pStyle w:val="130"/>
        <w:snapToGrid w:val="0"/>
        <w:spacing w:before="0"/>
        <w:ind w:firstLine="482"/>
        <w:rPr>
          <w:rFonts w:ascii="仿宋" w:hAnsi="仿宋" w:eastAsia="仿宋" w:cs="仿宋"/>
          <w:b/>
          <w:color w:val="auto"/>
          <w:highlight w:val="none"/>
        </w:rPr>
      </w:pPr>
      <w:r>
        <w:rPr>
          <w:rFonts w:hint="eastAsia" w:ascii="仿宋" w:hAnsi="仿宋" w:eastAsia="仿宋" w:cs="仿宋"/>
          <w:b/>
          <w:color w:val="auto"/>
          <w:highlight w:val="none"/>
        </w:rPr>
        <w:t>关于付款周期的约定：</w:t>
      </w:r>
    </w:p>
    <w:p w14:paraId="2FD9EF26">
      <w:pPr>
        <w:pStyle w:val="130"/>
        <w:snapToGrid w:val="0"/>
        <w:spacing w:before="0"/>
        <w:ind w:firstLine="480"/>
        <w:rPr>
          <w:rFonts w:ascii="仿宋" w:hAnsi="仿宋" w:eastAsia="仿宋" w:cs="仿宋"/>
          <w:color w:val="auto"/>
          <w:kern w:val="0"/>
          <w:highlight w:val="none"/>
          <w:u w:val="single"/>
        </w:rPr>
      </w:pPr>
      <w:r>
        <w:rPr>
          <w:rFonts w:hint="eastAsia" w:ascii="仿宋" w:hAnsi="仿宋" w:eastAsia="仿宋" w:cs="仿宋"/>
          <w:color w:val="auto"/>
          <w:kern w:val="0"/>
          <w:highlight w:val="none"/>
          <w:u w:val="single"/>
        </w:rPr>
        <w:t>①合同签订后5个工作日内，项目具备实施条件后，发包人支付合同总价的</w:t>
      </w:r>
      <w:r>
        <w:rPr>
          <w:rFonts w:hint="eastAsia" w:ascii="仿宋" w:hAnsi="仿宋" w:eastAsia="仿宋" w:cs="仿宋"/>
          <w:color w:val="auto"/>
          <w:kern w:val="0"/>
          <w:highlight w:val="none"/>
          <w:u w:val="single"/>
          <w:lang w:val="en-US" w:eastAsia="zh-CN"/>
        </w:rPr>
        <w:t>70</w:t>
      </w:r>
      <w:r>
        <w:rPr>
          <w:rFonts w:hint="eastAsia" w:ascii="仿宋" w:hAnsi="仿宋" w:eastAsia="仿宋" w:cs="仿宋"/>
          <w:color w:val="auto"/>
          <w:kern w:val="0"/>
          <w:highlight w:val="none"/>
          <w:u w:val="single"/>
        </w:rPr>
        <w:t>%</w:t>
      </w:r>
      <w:r>
        <w:rPr>
          <w:rFonts w:hint="eastAsia" w:ascii="仿宋" w:hAnsi="仿宋" w:eastAsia="仿宋" w:cs="仿宋"/>
          <w:color w:val="auto"/>
          <w:kern w:val="0"/>
          <w:highlight w:val="none"/>
          <w:u w:val="single"/>
          <w:lang w:val="en-US" w:eastAsia="zh-CN"/>
        </w:rPr>
        <w:t>且不超过2024年预算安排74万元</w:t>
      </w:r>
      <w:r>
        <w:rPr>
          <w:rFonts w:hint="eastAsia" w:ascii="仿宋" w:hAnsi="仿宋" w:eastAsia="仿宋" w:cs="仿宋"/>
          <w:color w:val="auto"/>
          <w:kern w:val="0"/>
          <w:highlight w:val="none"/>
          <w:u w:val="single"/>
        </w:rPr>
        <w:t>，同时承包人缴纳合同总价1%的履约保证金</w:t>
      </w:r>
      <w:r>
        <w:rPr>
          <w:rFonts w:hint="eastAsia" w:ascii="仿宋" w:hAnsi="仿宋" w:eastAsia="仿宋" w:cs="仿宋"/>
          <w:bCs/>
          <w:color w:val="auto"/>
          <w:sz w:val="24"/>
          <w:highlight w:val="none"/>
          <w:u w:val="single"/>
        </w:rPr>
        <w:t>（履约保证金缴纳形式：非现金形式的支票、汇票、本票或者金融机构、担保机构出具的保函）</w:t>
      </w:r>
      <w:r>
        <w:rPr>
          <w:rFonts w:hint="eastAsia" w:ascii="仿宋" w:hAnsi="仿宋" w:eastAsia="仿宋" w:cs="仿宋"/>
          <w:color w:val="auto"/>
          <w:kern w:val="0"/>
          <w:highlight w:val="none"/>
          <w:u w:val="single"/>
        </w:rPr>
        <w:t>；</w:t>
      </w:r>
    </w:p>
    <w:p w14:paraId="4CC31DEA">
      <w:pPr>
        <w:pStyle w:val="130"/>
        <w:snapToGrid w:val="0"/>
        <w:spacing w:before="0"/>
        <w:ind w:firstLine="480"/>
        <w:rPr>
          <w:rFonts w:hint="eastAsia" w:ascii="仿宋" w:hAnsi="仿宋" w:eastAsia="仿宋" w:cs="仿宋"/>
          <w:bCs/>
          <w:color w:val="auto"/>
          <w:sz w:val="24"/>
          <w:highlight w:val="none"/>
          <w:u w:val="single"/>
          <w:lang w:eastAsia="zh-CN"/>
        </w:rPr>
      </w:pPr>
      <w:r>
        <w:rPr>
          <w:rFonts w:hint="eastAsia" w:ascii="仿宋" w:hAnsi="仿宋" w:eastAsia="仿宋" w:cs="仿宋"/>
          <w:bCs/>
          <w:color w:val="auto"/>
          <w:sz w:val="24"/>
          <w:highlight w:val="none"/>
          <w:u w:val="single"/>
        </w:rPr>
        <w:t>②通过</w:t>
      </w:r>
      <w:r>
        <w:rPr>
          <w:rFonts w:hint="eastAsia" w:ascii="仿宋" w:hAnsi="仿宋" w:eastAsia="仿宋" w:cs="仿宋"/>
          <w:bCs/>
          <w:color w:val="auto"/>
          <w:sz w:val="24"/>
          <w:highlight w:val="none"/>
          <w:u w:val="single"/>
          <w:lang w:val="en-US" w:eastAsia="zh-CN"/>
        </w:rPr>
        <w:t>第三方技术服务机构</w:t>
      </w:r>
      <w:r>
        <w:rPr>
          <w:rFonts w:hint="eastAsia" w:ascii="仿宋" w:hAnsi="仿宋" w:eastAsia="仿宋" w:cs="仿宋"/>
          <w:bCs/>
          <w:color w:val="auto"/>
          <w:sz w:val="24"/>
          <w:highlight w:val="none"/>
          <w:u w:val="single"/>
        </w:rPr>
        <w:t>确认</w:t>
      </w:r>
      <w:r>
        <w:rPr>
          <w:rFonts w:hint="eastAsia" w:ascii="仿宋" w:hAnsi="仿宋" w:eastAsia="仿宋" w:cs="仿宋"/>
          <w:bCs/>
          <w:color w:val="auto"/>
          <w:sz w:val="24"/>
          <w:highlight w:val="none"/>
          <w:u w:val="single"/>
          <w:lang w:eastAsia="zh-CN"/>
        </w:rPr>
        <w:t>且</w:t>
      </w:r>
      <w:r>
        <w:rPr>
          <w:rFonts w:hint="eastAsia" w:ascii="仿宋" w:hAnsi="仿宋" w:eastAsia="仿宋" w:cs="仿宋"/>
          <w:bCs/>
          <w:color w:val="auto"/>
          <w:sz w:val="24"/>
          <w:highlight w:val="none"/>
          <w:u w:val="single"/>
        </w:rPr>
        <w:t>工程竣工验收合格，凭</w:t>
      </w:r>
      <w:r>
        <w:rPr>
          <w:rFonts w:hint="eastAsia" w:ascii="仿宋" w:hAnsi="仿宋" w:eastAsia="仿宋" w:cs="仿宋"/>
          <w:bCs/>
          <w:color w:val="auto"/>
          <w:sz w:val="24"/>
          <w:highlight w:val="none"/>
          <w:u w:val="single"/>
          <w:lang w:eastAsia="zh-CN"/>
        </w:rPr>
        <w:t>发包人</w:t>
      </w:r>
      <w:r>
        <w:rPr>
          <w:rFonts w:hint="eastAsia" w:ascii="仿宋" w:hAnsi="仿宋" w:eastAsia="仿宋" w:cs="仿宋"/>
          <w:bCs/>
          <w:color w:val="auto"/>
          <w:sz w:val="24"/>
          <w:highlight w:val="none"/>
          <w:u w:val="single"/>
        </w:rPr>
        <w:t>、设计、监理、2名政府采购咨询专家共同签字盖章的竣工验收报告（包含工程质量竣工验收记录、工程竣工验收报告）、单位工程质量控制资料核查记录、单位工程安全和功能检验资料核查及主要功能抽查记录、隐蔽工程验收单及相关影像资料、施工方案（含工期、质量、安全文明保证措施方案）、材料运输计划方案、施工组织设计、施工进度计划、施工材料报验资料、竣工图纸等竣工资料、图纸会审纪要、设计（变更）联系单（如有）、工程联系单（如有）等设计技术资料、项目组人员到位率、每日钉钉考勤打卡记录、项目负责人和技术负责人资质证书、工作经历</w:t>
      </w:r>
      <w:r>
        <w:rPr>
          <w:rFonts w:hint="eastAsia" w:ascii="仿宋" w:hAnsi="仿宋" w:eastAsia="仿宋" w:cs="仿宋"/>
          <w:bCs/>
          <w:color w:val="auto"/>
          <w:sz w:val="24"/>
          <w:highlight w:val="none"/>
          <w:u w:val="single"/>
          <w:lang w:eastAsia="zh-CN"/>
        </w:rPr>
        <w:t>证明</w:t>
      </w:r>
      <w:r>
        <w:rPr>
          <w:rFonts w:hint="eastAsia" w:ascii="仿宋" w:hAnsi="仿宋" w:eastAsia="仿宋" w:cs="仿宋"/>
          <w:bCs/>
          <w:color w:val="auto"/>
          <w:sz w:val="24"/>
          <w:highlight w:val="none"/>
          <w:u w:val="single"/>
        </w:rPr>
        <w:t>、社保缴纳证明、人员变更审批表（如有）、投入使用的机械设备清单、材料到货验收清单、单位保密协议、个人保密承诺、日常保密教育台账、</w:t>
      </w:r>
      <w:r>
        <w:rPr>
          <w:rFonts w:hint="eastAsia" w:ascii="仿宋" w:hAnsi="仿宋" w:eastAsia="仿宋" w:cs="仿宋"/>
          <w:bCs/>
          <w:color w:val="auto"/>
          <w:sz w:val="24"/>
          <w:highlight w:val="none"/>
          <w:u w:val="single"/>
          <w:lang w:eastAsia="zh-CN"/>
        </w:rPr>
        <w:t>小微</w:t>
      </w:r>
      <w:r>
        <w:rPr>
          <w:rFonts w:hint="eastAsia" w:ascii="仿宋" w:hAnsi="仿宋" w:eastAsia="仿宋" w:cs="仿宋"/>
          <w:bCs/>
          <w:color w:val="auto"/>
          <w:sz w:val="24"/>
          <w:highlight w:val="none"/>
          <w:u w:val="single"/>
        </w:rPr>
        <w:t>企业证明材料，且</w:t>
      </w:r>
      <w:r>
        <w:rPr>
          <w:rFonts w:hint="eastAsia" w:ascii="仿宋" w:hAnsi="仿宋" w:eastAsia="仿宋" w:cs="仿宋"/>
          <w:bCs/>
          <w:color w:val="auto"/>
          <w:sz w:val="24"/>
          <w:highlight w:val="none"/>
          <w:u w:val="single"/>
          <w:lang w:val="en-US" w:eastAsia="zh-CN"/>
        </w:rPr>
        <w:t>承包人</w:t>
      </w:r>
      <w:r>
        <w:rPr>
          <w:rFonts w:hint="eastAsia" w:ascii="仿宋" w:hAnsi="仿宋" w:eastAsia="仿宋" w:cs="仿宋"/>
          <w:bCs/>
          <w:color w:val="auto"/>
          <w:sz w:val="24"/>
          <w:highlight w:val="none"/>
          <w:u w:val="single"/>
        </w:rPr>
        <w:t>另行缴纳完水电费后</w:t>
      </w:r>
      <w:r>
        <w:rPr>
          <w:rFonts w:hint="eastAsia" w:ascii="仿宋" w:hAnsi="仿宋" w:eastAsia="仿宋" w:cs="仿宋"/>
          <w:bCs/>
          <w:color w:val="auto"/>
          <w:sz w:val="24"/>
          <w:highlight w:val="none"/>
          <w:u w:val="single"/>
          <w:lang w:eastAsia="zh-CN"/>
        </w:rPr>
        <w:t>，待财政资金到位后</w:t>
      </w:r>
      <w:r>
        <w:rPr>
          <w:rFonts w:hint="eastAsia" w:ascii="仿宋" w:hAnsi="仿宋" w:eastAsia="仿宋" w:cs="仿宋"/>
          <w:bCs/>
          <w:color w:val="auto"/>
          <w:sz w:val="24"/>
          <w:highlight w:val="none"/>
          <w:u w:val="single"/>
          <w:lang w:val="en-US" w:eastAsia="zh-CN"/>
        </w:rPr>
        <w:t>发包人支付至合同总价的85%（</w:t>
      </w:r>
      <w:r>
        <w:rPr>
          <w:rFonts w:hint="eastAsia" w:ascii="仿宋" w:hAnsi="仿宋" w:eastAsia="仿宋" w:cs="仿宋"/>
          <w:bCs/>
          <w:color w:val="auto"/>
          <w:sz w:val="24"/>
          <w:highlight w:val="none"/>
          <w:u w:val="single"/>
          <w:lang w:eastAsia="zh-CN"/>
        </w:rPr>
        <w:t>含</w:t>
      </w:r>
      <w:r>
        <w:rPr>
          <w:rFonts w:hint="eastAsia" w:ascii="仿宋" w:hAnsi="仿宋" w:eastAsia="仿宋" w:cs="仿宋"/>
          <w:bCs/>
          <w:color w:val="auto"/>
          <w:sz w:val="24"/>
          <w:highlight w:val="none"/>
          <w:u w:val="single"/>
          <w:lang w:val="en-US" w:eastAsia="zh-CN"/>
        </w:rPr>
        <w:t>发包</w:t>
      </w:r>
      <w:r>
        <w:rPr>
          <w:rFonts w:hint="eastAsia" w:ascii="仿宋" w:hAnsi="仿宋" w:eastAsia="仿宋" w:cs="仿宋"/>
          <w:bCs/>
          <w:color w:val="auto"/>
          <w:sz w:val="24"/>
          <w:highlight w:val="none"/>
          <w:u w:val="single"/>
          <w:lang w:eastAsia="zh-CN"/>
        </w:rPr>
        <w:t>人已向</w:t>
      </w:r>
      <w:r>
        <w:rPr>
          <w:rFonts w:hint="eastAsia" w:ascii="仿宋" w:hAnsi="仿宋" w:eastAsia="仿宋" w:cs="仿宋"/>
          <w:bCs/>
          <w:color w:val="auto"/>
          <w:sz w:val="24"/>
          <w:highlight w:val="none"/>
          <w:u w:val="single"/>
          <w:lang w:val="en-US" w:eastAsia="zh-CN"/>
        </w:rPr>
        <w:t>承包人</w:t>
      </w:r>
      <w:r>
        <w:rPr>
          <w:rFonts w:hint="eastAsia" w:ascii="仿宋" w:hAnsi="仿宋" w:eastAsia="仿宋" w:cs="仿宋"/>
          <w:bCs/>
          <w:color w:val="auto"/>
          <w:sz w:val="24"/>
          <w:highlight w:val="none"/>
          <w:u w:val="single"/>
          <w:lang w:eastAsia="zh-CN"/>
        </w:rPr>
        <w:t>支付的</w:t>
      </w:r>
      <w:r>
        <w:rPr>
          <w:rFonts w:hint="eastAsia" w:ascii="仿宋" w:hAnsi="仿宋" w:eastAsia="仿宋" w:cs="仿宋"/>
          <w:bCs/>
          <w:color w:val="auto"/>
          <w:sz w:val="24"/>
          <w:highlight w:val="none"/>
          <w:u w:val="single"/>
          <w:lang w:val="en-US" w:eastAsia="zh-CN"/>
        </w:rPr>
        <w:t>预付款）</w:t>
      </w:r>
    </w:p>
    <w:p w14:paraId="6106775E">
      <w:pPr>
        <w:pStyle w:val="130"/>
        <w:snapToGrid w:val="0"/>
        <w:spacing w:before="0"/>
        <w:ind w:firstLine="480"/>
        <w:rPr>
          <w:rFonts w:hint="eastAsia" w:ascii="仿宋" w:hAnsi="仿宋" w:eastAsia="仿宋" w:cs="仿宋"/>
          <w:color w:val="auto"/>
          <w:kern w:val="0"/>
          <w:highlight w:val="none"/>
          <w:u w:val="single"/>
        </w:rPr>
      </w:pPr>
      <w:r>
        <w:rPr>
          <w:rFonts w:hint="eastAsia" w:ascii="仿宋" w:hAnsi="仿宋" w:eastAsia="仿宋" w:cs="仿宋"/>
          <w:color w:val="auto"/>
          <w:kern w:val="0"/>
          <w:highlight w:val="none"/>
          <w:u w:val="single"/>
        </w:rPr>
        <w:t>③</w:t>
      </w:r>
      <w:r>
        <w:rPr>
          <w:rFonts w:hint="eastAsia" w:ascii="仿宋" w:hAnsi="仿宋" w:eastAsia="仿宋" w:cs="仿宋"/>
          <w:color w:val="auto"/>
          <w:highlight w:val="none"/>
          <w:u w:val="single"/>
          <w:lang w:eastAsia="zh-CN"/>
        </w:rPr>
        <w:t>项目完成竣工结算，结算价格未超过合同总价且承包人缴纳结算价1.5%质量保证金，待财政资金到位后发包人支付至结算价的100%。同时一次性扣除承包人违约金，履约保证金予以无息退还。质量保证金待质保期满后，无质量问题，质量保证金予以无息退还。（质量保证金缴纳方式同履约保证金）</w:t>
      </w:r>
    </w:p>
    <w:p w14:paraId="7CEE2884">
      <w:pPr>
        <w:pStyle w:val="130"/>
        <w:snapToGrid w:val="0"/>
        <w:spacing w:before="0"/>
        <w:ind w:firstLine="480"/>
        <w:rPr>
          <w:rFonts w:ascii="仿宋" w:hAnsi="仿宋" w:eastAsia="仿宋" w:cs="仿宋"/>
          <w:color w:val="auto"/>
          <w:kern w:val="0"/>
          <w:szCs w:val="24"/>
          <w:highlight w:val="none"/>
          <w:u w:val="single"/>
        </w:rPr>
      </w:pPr>
      <w:r>
        <w:rPr>
          <w:rFonts w:hint="eastAsia" w:ascii="仿宋" w:hAnsi="仿宋" w:eastAsia="仿宋" w:cs="仿宋"/>
          <w:color w:val="auto"/>
          <w:kern w:val="0"/>
          <w:highlight w:val="none"/>
          <w:u w:val="single"/>
        </w:rPr>
        <w:t>注：双方在合同履约过程中，如发生施工内容变更，则按照合同变更约定条款进行结算，变更结算累计总额不能超过合同总价的10%</w:t>
      </w:r>
      <w:r>
        <w:rPr>
          <w:rFonts w:hint="eastAsia" w:ascii="仿宋" w:hAnsi="仿宋" w:eastAsia="仿宋" w:cs="仿宋"/>
          <w:bCs/>
          <w:color w:val="auto"/>
          <w:sz w:val="24"/>
          <w:highlight w:val="none"/>
          <w:u w:val="single"/>
        </w:rPr>
        <w:t>（结算价根据磋商时的最终报价与初始报价的下浮比例进行同比例调整）</w:t>
      </w:r>
      <w:r>
        <w:rPr>
          <w:rFonts w:hint="eastAsia" w:ascii="仿宋" w:hAnsi="仿宋" w:eastAsia="仿宋" w:cs="仿宋"/>
          <w:color w:val="auto"/>
          <w:kern w:val="0"/>
          <w:highlight w:val="none"/>
          <w:u w:val="single"/>
        </w:rPr>
        <w:t>，且需另行签订补充合同后报财政备案。</w:t>
      </w:r>
    </w:p>
    <w:bookmarkEnd w:id="649"/>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p w14:paraId="4E3EAECE">
      <w:pPr>
        <w:snapToGrid w:val="0"/>
        <w:spacing w:line="360" w:lineRule="auto"/>
        <w:ind w:firstLine="480" w:firstLineChars="200"/>
        <w:jc w:val="left"/>
        <w:rPr>
          <w:rFonts w:ascii="仿宋" w:hAnsi="仿宋" w:eastAsia="仿宋" w:cs="仿宋"/>
          <w:color w:val="auto"/>
          <w:sz w:val="24"/>
          <w:highlight w:val="none"/>
        </w:rPr>
      </w:pPr>
      <w:bookmarkStart w:id="890" w:name="_Toc297048409"/>
      <w:bookmarkStart w:id="891" w:name="_Toc296891263"/>
      <w:bookmarkStart w:id="892" w:name="_Toc296944562"/>
      <w:bookmarkStart w:id="893" w:name="_Toc296891051"/>
      <w:bookmarkStart w:id="894" w:name="_Toc297216224"/>
      <w:bookmarkStart w:id="895" w:name="_Toc292559428"/>
      <w:bookmarkStart w:id="896" w:name="_Toc303539173"/>
      <w:bookmarkStart w:id="897" w:name="_Toc300935016"/>
      <w:bookmarkStart w:id="898" w:name="_Toc296503223"/>
      <w:bookmarkStart w:id="899" w:name="_Toc304295596"/>
      <w:bookmarkStart w:id="900" w:name="_Toc297120523"/>
      <w:bookmarkStart w:id="901" w:name="_Toc292559933"/>
      <w:bookmarkStart w:id="902" w:name="_Toc296347222"/>
      <w:bookmarkStart w:id="903" w:name="_Toc297123565"/>
      <w:bookmarkStart w:id="904" w:name="_Toc312678056"/>
      <w:bookmarkStart w:id="905" w:name="_Toc296346724"/>
      <w:bookmarkStart w:id="906" w:name="_Toc267251474"/>
      <w:bookmarkStart w:id="907" w:name="_Toc267251472"/>
      <w:bookmarkStart w:id="908" w:name="_Toc267251475"/>
      <w:bookmarkStart w:id="909" w:name="_Toc267251473"/>
      <w:bookmarkStart w:id="910" w:name="_Toc267251471"/>
      <w:bookmarkStart w:id="911" w:name="_Toc267251470"/>
      <w:bookmarkStart w:id="912" w:name="_Toc267251476"/>
      <w:r>
        <w:rPr>
          <w:rFonts w:hint="eastAsia" w:ascii="仿宋" w:hAnsi="仿宋" w:eastAsia="仿宋" w:cs="仿宋"/>
          <w:color w:val="auto"/>
          <w:sz w:val="24"/>
          <w:highlight w:val="none"/>
        </w:rPr>
        <w:t>12.4.2 进度付款申请单的编制</w:t>
      </w:r>
    </w:p>
    <w:p w14:paraId="30A4BA5B">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关于进度付款申请单编制的约定：</w:t>
      </w:r>
      <w:r>
        <w:rPr>
          <w:rFonts w:hint="eastAsia" w:ascii="仿宋" w:hAnsi="仿宋" w:eastAsia="仿宋" w:cs="仿宋"/>
          <w:color w:val="auto"/>
          <w:sz w:val="24"/>
          <w:highlight w:val="none"/>
          <w:u w:val="single"/>
        </w:rPr>
        <w:t xml:space="preserve"> 根据发包人要求执行 </w:t>
      </w:r>
      <w:r>
        <w:rPr>
          <w:rFonts w:hint="eastAsia" w:ascii="仿宋" w:hAnsi="仿宋" w:eastAsia="仿宋" w:cs="仿宋"/>
          <w:color w:val="auto"/>
          <w:sz w:val="24"/>
          <w:highlight w:val="none"/>
        </w:rPr>
        <w:t>。</w:t>
      </w:r>
    </w:p>
    <w:p w14:paraId="049C7746">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12.4.3 进度付款申请单的提交</w:t>
      </w:r>
    </w:p>
    <w:p w14:paraId="309BC827">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（1）单价合同进度付款申请单提交的约定：</w:t>
      </w:r>
      <w:r>
        <w:rPr>
          <w:rFonts w:hint="eastAsia" w:ascii="仿宋" w:hAnsi="仿宋" w:eastAsia="仿宋" w:cs="仿宋"/>
          <w:color w:val="auto"/>
          <w:sz w:val="24"/>
          <w:highlight w:val="none"/>
          <w:u w:val="single"/>
        </w:rPr>
        <w:t xml:space="preserve"> 合同签订后5个工作日内，</w:t>
      </w:r>
      <w:r>
        <w:rPr>
          <w:rFonts w:hint="eastAsia" w:ascii="仿宋" w:hAnsi="仿宋" w:eastAsia="仿宋" w:cs="仿宋"/>
          <w:color w:val="auto"/>
          <w:sz w:val="24"/>
          <w:highlight w:val="none"/>
          <w:u w:val="single"/>
          <w:lang w:eastAsia="zh-CN"/>
        </w:rPr>
        <w:t>项目</w:t>
      </w:r>
      <w:r>
        <w:rPr>
          <w:rFonts w:hint="eastAsia" w:ascii="仿宋" w:hAnsi="仿宋" w:eastAsia="仿宋" w:cs="仿宋"/>
          <w:color w:val="auto"/>
          <w:sz w:val="24"/>
          <w:highlight w:val="none"/>
          <w:u w:val="single"/>
        </w:rPr>
        <w:t>具备实施条件后，发包人支付合同总价的</w:t>
      </w:r>
      <w:r>
        <w:rPr>
          <w:rFonts w:hint="eastAsia" w:ascii="仿宋" w:hAnsi="仿宋" w:eastAsia="仿宋" w:cs="仿宋"/>
          <w:color w:val="auto"/>
          <w:sz w:val="24"/>
          <w:highlight w:val="none"/>
          <w:u w:val="single"/>
          <w:lang w:val="en-US" w:eastAsia="zh-CN"/>
        </w:rPr>
        <w:t>70</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且不超过2024年预算安排74万元</w:t>
      </w:r>
      <w:r>
        <w:rPr>
          <w:rFonts w:hint="eastAsia" w:ascii="仿宋" w:hAnsi="仿宋" w:eastAsia="仿宋" w:cs="仿宋"/>
          <w:color w:val="auto"/>
          <w:sz w:val="24"/>
          <w:highlight w:val="none"/>
          <w:u w:val="single"/>
        </w:rPr>
        <w:t>，同时承包人缴纳合同总价1%的履约保证金</w:t>
      </w:r>
      <w:r>
        <w:rPr>
          <w:rFonts w:hint="eastAsia" w:ascii="仿宋" w:hAnsi="仿宋" w:eastAsia="仿宋" w:cs="仿宋"/>
          <w:color w:val="auto"/>
          <w:sz w:val="24"/>
          <w:highlight w:val="none"/>
        </w:rPr>
        <w:t>。</w:t>
      </w:r>
    </w:p>
    <w:p w14:paraId="627BC4B4">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（2）总价合同进度付款申请单提交的约定：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F0B441F">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（3）其他价格形式合同进度付款申请单提交的约定：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0184C342">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12.4.4 进度款审核和支付</w:t>
      </w:r>
    </w:p>
    <w:p w14:paraId="2DFBEFF4">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（1）监理人审查并报送发包人的期限：</w:t>
      </w:r>
      <w:r>
        <w:rPr>
          <w:rFonts w:hint="eastAsia" w:ascii="仿宋" w:hAnsi="仿宋" w:eastAsia="仿宋" w:cs="仿宋"/>
          <w:color w:val="auto"/>
          <w:sz w:val="24"/>
          <w:highlight w:val="none"/>
          <w:u w:val="single"/>
        </w:rPr>
        <w:t xml:space="preserve"> 7天  </w:t>
      </w:r>
      <w:r>
        <w:rPr>
          <w:rFonts w:hint="eastAsia" w:ascii="仿宋" w:hAnsi="仿宋" w:eastAsia="仿宋" w:cs="仿宋"/>
          <w:color w:val="auto"/>
          <w:sz w:val="24"/>
          <w:highlight w:val="none"/>
        </w:rPr>
        <w:t>。</w:t>
      </w:r>
    </w:p>
    <w:p w14:paraId="6EBDC67B">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发包人完成审批并签发进度款支付证书的期限：</w:t>
      </w:r>
      <w:r>
        <w:rPr>
          <w:rFonts w:hint="eastAsia" w:ascii="仿宋" w:hAnsi="仿宋" w:eastAsia="仿宋" w:cs="仿宋"/>
          <w:color w:val="auto"/>
          <w:sz w:val="24"/>
          <w:highlight w:val="none"/>
          <w:u w:val="single"/>
        </w:rPr>
        <w:t xml:space="preserve"> 发包人应在收到监理人报送的进度付款申请单及相关资料后7天内，向承包人签发进度款支付证书  </w:t>
      </w:r>
      <w:r>
        <w:rPr>
          <w:rFonts w:hint="eastAsia" w:ascii="仿宋" w:hAnsi="仿宋" w:eastAsia="仿宋" w:cs="仿宋"/>
          <w:color w:val="auto"/>
          <w:sz w:val="24"/>
          <w:highlight w:val="none"/>
        </w:rPr>
        <w:t>。</w:t>
      </w:r>
    </w:p>
    <w:p w14:paraId="1C72CB60">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（2）发包人支付进度款的期限：发包人应在进度款支付证书签发后14天内完成支付。</w:t>
      </w:r>
    </w:p>
    <w:p w14:paraId="50536107">
      <w:pPr>
        <w:snapToGrid w:val="0"/>
        <w:spacing w:line="360" w:lineRule="auto"/>
        <w:ind w:firstLine="600" w:firstLineChars="25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发包人逾期支付进度款的违约金的计算方式：</w:t>
      </w:r>
      <w:r>
        <w:rPr>
          <w:rFonts w:hint="eastAsia" w:ascii="仿宋" w:hAnsi="仿宋" w:eastAsia="仿宋" w:cs="仿宋"/>
          <w:color w:val="auto"/>
          <w:sz w:val="24"/>
          <w:highlight w:val="none"/>
          <w:u w:val="single"/>
        </w:rPr>
        <w:t xml:space="preserve">  不承担违约责任  </w:t>
      </w:r>
      <w:r>
        <w:rPr>
          <w:rFonts w:hint="eastAsia" w:ascii="仿宋" w:hAnsi="仿宋" w:eastAsia="仿宋" w:cs="仿宋"/>
          <w:color w:val="auto"/>
          <w:sz w:val="24"/>
          <w:highlight w:val="none"/>
        </w:rPr>
        <w:t>。</w:t>
      </w:r>
    </w:p>
    <w:p w14:paraId="339F2067">
      <w:pPr>
        <w:snapToGrid w:val="0"/>
        <w:spacing w:line="360" w:lineRule="auto"/>
        <w:ind w:firstLine="600" w:firstLineChars="250"/>
        <w:jc w:val="left"/>
        <w:rPr>
          <w:rFonts w:ascii="仿宋" w:hAnsi="仿宋" w:eastAsia="仿宋" w:cs="仿宋"/>
          <w:color w:val="auto"/>
          <w:sz w:val="24"/>
          <w:highlight w:val="none"/>
        </w:rPr>
      </w:pPr>
      <w:r>
        <w:rPr>
          <w:rFonts w:hint="eastAsia" w:ascii="仿宋" w:hAnsi="仿宋" w:eastAsia="仿宋" w:cs="仿宋"/>
          <w:color w:val="auto"/>
          <w:sz w:val="24"/>
          <w:highlight w:val="none"/>
        </w:rPr>
        <w:t>12.4.6 支付分解表的编制</w:t>
      </w:r>
    </w:p>
    <w:p w14:paraId="748ADB51">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2、总价合同支付分解表的编制与审批：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7644130">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3、单价合同的总价项目支付分解表的编制与审批：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50213B1E">
      <w:pPr>
        <w:keepNext/>
        <w:keepLines/>
        <w:snapToGrid w:val="0"/>
        <w:spacing w:line="360" w:lineRule="auto"/>
        <w:ind w:firstLine="480" w:firstLineChars="200"/>
        <w:outlineLvl w:val="3"/>
        <w:rPr>
          <w:rFonts w:ascii="仿宋" w:hAnsi="仿宋" w:eastAsia="仿宋" w:cs="仿宋"/>
          <w:bCs/>
          <w:color w:val="auto"/>
          <w:sz w:val="24"/>
          <w:highlight w:val="none"/>
          <w:lang w:val="zh-CN"/>
        </w:rPr>
      </w:pPr>
      <w:bookmarkStart w:id="913" w:name="_Toc351203645"/>
      <w:bookmarkStart w:id="914" w:name="_Toc296891259"/>
      <w:bookmarkStart w:id="915" w:name="_Toc292559424"/>
      <w:bookmarkStart w:id="916" w:name="_Toc300935015"/>
      <w:bookmarkStart w:id="917" w:name="_Toc304295593"/>
      <w:bookmarkStart w:id="918" w:name="_Toc297216223"/>
      <w:bookmarkStart w:id="919" w:name="_Toc296347218"/>
      <w:bookmarkStart w:id="920" w:name="_Toc303539172"/>
      <w:bookmarkStart w:id="921" w:name="_Toc296346720"/>
      <w:bookmarkStart w:id="922" w:name="_Toc296503219"/>
      <w:bookmarkStart w:id="923" w:name="_Toc297123564"/>
      <w:bookmarkStart w:id="924" w:name="_Toc292559929"/>
      <w:bookmarkStart w:id="925" w:name="_Toc312678053"/>
      <w:bookmarkStart w:id="926" w:name="_Toc296891047"/>
      <w:bookmarkStart w:id="927" w:name="_Toc297048405"/>
      <w:bookmarkStart w:id="928" w:name="_Toc297120519"/>
      <w:bookmarkStart w:id="929" w:name="_Toc296944558"/>
      <w:r>
        <w:rPr>
          <w:rFonts w:hint="eastAsia" w:ascii="仿宋" w:hAnsi="仿宋" w:eastAsia="仿宋" w:cs="仿宋"/>
          <w:bCs/>
          <w:color w:val="auto"/>
          <w:sz w:val="24"/>
          <w:highlight w:val="none"/>
          <w:lang w:val="zh-CN"/>
        </w:rPr>
        <w:t>13. 验收和工程试车</w:t>
      </w:r>
      <w:bookmarkEnd w:id="913"/>
    </w:p>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p w14:paraId="59B1350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 分部分项工程验收</w:t>
      </w:r>
    </w:p>
    <w:p w14:paraId="50B4545D">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13.1.2监理人不能按时进行验收时，应提前8小时提交书面延期要求。</w:t>
      </w:r>
    </w:p>
    <w:p w14:paraId="1C8427CC">
      <w:pPr>
        <w:snapToGrid w:val="0"/>
        <w:spacing w:line="360" w:lineRule="auto"/>
        <w:ind w:firstLine="480" w:firstLineChars="200"/>
        <w:jc w:val="left"/>
        <w:rPr>
          <w:rFonts w:ascii="仿宋" w:hAnsi="仿宋" w:eastAsia="仿宋" w:cs="仿宋"/>
          <w:b/>
          <w:color w:val="auto"/>
          <w:sz w:val="24"/>
          <w:highlight w:val="none"/>
        </w:rPr>
      </w:pPr>
      <w:r>
        <w:rPr>
          <w:rFonts w:hint="eastAsia" w:ascii="仿宋" w:hAnsi="仿宋" w:eastAsia="仿宋" w:cs="仿宋"/>
          <w:color w:val="auto"/>
          <w:sz w:val="24"/>
          <w:highlight w:val="none"/>
        </w:rPr>
        <w:t>关于延期最长不得超过：24小时。</w:t>
      </w:r>
    </w:p>
    <w:p w14:paraId="180D513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13.2竣工验收</w:t>
      </w:r>
    </w:p>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14:paraId="1D843ABD">
      <w:pPr>
        <w:snapToGrid w:val="0"/>
        <w:spacing w:line="360" w:lineRule="auto"/>
        <w:ind w:firstLine="480" w:firstLineChars="200"/>
        <w:jc w:val="left"/>
        <w:rPr>
          <w:rFonts w:ascii="仿宋" w:hAnsi="仿宋" w:eastAsia="仿宋" w:cs="仿宋"/>
          <w:color w:val="auto"/>
          <w:sz w:val="24"/>
          <w:highlight w:val="none"/>
        </w:rPr>
      </w:pPr>
      <w:bookmarkStart w:id="930" w:name="_Toc280868704"/>
      <w:bookmarkStart w:id="931" w:name="_Toc280868705"/>
      <w:bookmarkStart w:id="932" w:name="_Toc280868708"/>
      <w:bookmarkStart w:id="933" w:name="_Toc280868706"/>
      <w:bookmarkStart w:id="934" w:name="_Toc280868709"/>
      <w:bookmarkStart w:id="935" w:name="_Toc280868707"/>
      <w:r>
        <w:rPr>
          <w:rFonts w:hint="eastAsia" w:ascii="仿宋" w:hAnsi="仿宋" w:eastAsia="仿宋" w:cs="仿宋"/>
          <w:color w:val="auto"/>
          <w:sz w:val="24"/>
          <w:highlight w:val="none"/>
        </w:rPr>
        <w:t>13.2.2竣工验收程序</w:t>
      </w:r>
    </w:p>
    <w:bookmarkEnd w:id="930"/>
    <w:p w14:paraId="03818594">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关于竣工验收程序的约定：</w:t>
      </w:r>
    </w:p>
    <w:bookmarkEnd w:id="906"/>
    <w:bookmarkEnd w:id="907"/>
    <w:bookmarkEnd w:id="908"/>
    <w:bookmarkEnd w:id="909"/>
    <w:bookmarkEnd w:id="910"/>
    <w:bookmarkEnd w:id="911"/>
    <w:bookmarkEnd w:id="912"/>
    <w:bookmarkEnd w:id="931"/>
    <w:bookmarkEnd w:id="932"/>
    <w:bookmarkEnd w:id="933"/>
    <w:bookmarkEnd w:id="934"/>
    <w:bookmarkEnd w:id="935"/>
    <w:p w14:paraId="5C0978BB">
      <w:pPr>
        <w:snapToGrid w:val="0"/>
        <w:spacing w:line="360" w:lineRule="auto"/>
        <w:ind w:firstLine="480" w:firstLineChars="200"/>
        <w:rPr>
          <w:rFonts w:ascii="仿宋" w:hAnsi="仿宋" w:eastAsia="仿宋" w:cs="仿宋"/>
          <w:color w:val="auto"/>
          <w:sz w:val="24"/>
          <w:highlight w:val="none"/>
        </w:rPr>
      </w:pPr>
      <w:bookmarkStart w:id="936" w:name="_Toc267251486"/>
      <w:bookmarkStart w:id="937" w:name="_Toc267251489"/>
      <w:bookmarkStart w:id="938" w:name="_Toc267251485"/>
      <w:bookmarkStart w:id="939" w:name="_Toc267251490"/>
      <w:bookmarkStart w:id="940" w:name="_Toc267251488"/>
      <w:bookmarkStart w:id="941" w:name="_Toc267251499"/>
      <w:bookmarkStart w:id="942" w:name="_Toc267251506"/>
      <w:bookmarkStart w:id="943" w:name="_Toc267251495"/>
      <w:bookmarkStart w:id="944" w:name="_Toc267251493"/>
      <w:bookmarkStart w:id="945" w:name="_Toc267251497"/>
      <w:bookmarkStart w:id="946" w:name="_Toc267251502"/>
      <w:bookmarkStart w:id="947" w:name="_Toc267251504"/>
      <w:bookmarkStart w:id="948" w:name="_Toc267251507"/>
      <w:bookmarkStart w:id="949" w:name="_Toc267251494"/>
      <w:bookmarkStart w:id="950" w:name="_Toc267251508"/>
      <w:bookmarkStart w:id="951" w:name="_Toc267251503"/>
      <w:bookmarkStart w:id="952" w:name="_Toc267251501"/>
      <w:bookmarkStart w:id="953" w:name="_Toc267251498"/>
      <w:bookmarkStart w:id="954" w:name="_Toc267251491"/>
      <w:bookmarkStart w:id="955" w:name="_Toc267251496"/>
      <w:bookmarkStart w:id="956" w:name="_Toc267251492"/>
      <w:bookmarkStart w:id="957" w:name="_Toc267251513"/>
      <w:bookmarkStart w:id="958" w:name="_Toc267251515"/>
      <w:bookmarkStart w:id="959" w:name="_Toc267251511"/>
      <w:bookmarkStart w:id="960" w:name="_Toc267251509"/>
      <w:bookmarkStart w:id="961" w:name="_Toc267251514"/>
      <w:bookmarkStart w:id="962" w:name="_Toc267251510"/>
      <w:r>
        <w:rPr>
          <w:rFonts w:hint="eastAsia" w:ascii="仿宋" w:hAnsi="仿宋" w:eastAsia="仿宋" w:cs="仿宋"/>
          <w:color w:val="auto"/>
          <w:sz w:val="24"/>
          <w:highlight w:val="none"/>
        </w:rPr>
        <w:t>履约验收</w:t>
      </w:r>
    </w:p>
    <w:p w14:paraId="427EFAC4">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（1）发包人按照《房屋建筑和市政基础设施工程竣工验收规定》（建质〔2013〕171号）、《关于贯彻《房屋建筑和市政基础设施工程竣工验收规定》的通知》(杭建工发【2015】192号)规定组织</w:t>
      </w:r>
      <w:r>
        <w:rPr>
          <w:rFonts w:hint="eastAsia" w:ascii="仿宋" w:hAnsi="仿宋" w:eastAsia="仿宋" w:cs="仿宋"/>
          <w:color w:val="auto"/>
          <w:kern w:val="0"/>
          <w:sz w:val="24"/>
          <w:highlight w:val="none"/>
          <w:lang w:eastAsia="zh-CN"/>
        </w:rPr>
        <w:t>承包人</w:t>
      </w:r>
      <w:r>
        <w:rPr>
          <w:rFonts w:hint="eastAsia" w:ascii="仿宋" w:hAnsi="仿宋" w:eastAsia="仿宋" w:cs="仿宋"/>
          <w:color w:val="auto"/>
          <w:kern w:val="0"/>
          <w:sz w:val="24"/>
          <w:highlight w:val="none"/>
        </w:rPr>
        <w:t>履约的验收。验收方成员由发包人1人、设计1人、监理1人、政府采购咨询专家2人，共5人组成（其中政府采购咨询专家通过浙江政府采购网-政企云系统相关专业随机抽取产生），验收方成员应当在验收书上签字，并承担相应的法律责任。如果发现与合同中要求不符，承包人须承担由此发生的一切损失和费用，并接受相应的处理。</w:t>
      </w:r>
    </w:p>
    <w:p w14:paraId="3813B867">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严格按照合同开展履约验收。发包人成立验收小组，按照合同、施工图纸、清单的约定对承包人履约情况进行验收，验收时，按照合同、施工图纸、清单的约定及工程相关验收标准对工程实施情况进行确认，出具验收报告并经验收小组全体成员签字。根据施工过程中发生的工程变更（如有），按照合同约定要求对变更实施情况进行确认及审核。发包人根据验收报告形成验收意见并经发包人与承包人签字盖章，并在财政指定媒体上公示无异议后生效。验收结果与采购合同约定的资金支付及履约保证金返还条件挂钩。履约验收的各项资料应当存档备查。</w:t>
      </w:r>
    </w:p>
    <w:p w14:paraId="12D5034E">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验收合格的项目，发包人将根据采购合同的约定及时向承包人支付采购资金、退还履约保证金。验收不合格的项目，发包人将依据合同约定及时处理。采购合同的履行、违约责任和解决争议的方式等适用《中华人民共和国民法典》。</w:t>
      </w:r>
    </w:p>
    <w:p w14:paraId="6FAEF30A">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（4）验收产生的费用首次验收费用由发包人承担，如首次验收不合格，后续验收费用由承包人支付。</w:t>
      </w:r>
    </w:p>
    <w:p w14:paraId="7AB7B880">
      <w:pPr>
        <w:tabs>
          <w:tab w:val="left" w:pos="904"/>
        </w:tabs>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（5）验收内容及资料要求：</w:t>
      </w:r>
    </w:p>
    <w:p w14:paraId="4506BAAE">
      <w:pPr>
        <w:tabs>
          <w:tab w:val="left" w:pos="904"/>
        </w:tabs>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工程验收应符合国家强制性规定、政策要求、安全标准、行业或企业有关标准等。</w:t>
      </w:r>
    </w:p>
    <w:p w14:paraId="7ED6DE40">
      <w:pPr>
        <w:tabs>
          <w:tab w:val="left" w:pos="904"/>
        </w:tabs>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验收内容</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2466"/>
        <w:gridCol w:w="6598"/>
      </w:tblGrid>
      <w:tr w14:paraId="12C33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9" w:type="pct"/>
            <w:vAlign w:val="center"/>
          </w:tcPr>
          <w:p w14:paraId="5FC2A181">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序号</w:t>
            </w:r>
          </w:p>
        </w:tc>
        <w:tc>
          <w:tcPr>
            <w:tcW w:w="1238" w:type="pct"/>
            <w:vAlign w:val="center"/>
          </w:tcPr>
          <w:p w14:paraId="183634AD">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验收内容</w:t>
            </w:r>
          </w:p>
        </w:tc>
        <w:tc>
          <w:tcPr>
            <w:tcW w:w="3313" w:type="pct"/>
            <w:vAlign w:val="center"/>
          </w:tcPr>
          <w:p w14:paraId="45B25D22">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验收标准</w:t>
            </w:r>
          </w:p>
        </w:tc>
      </w:tr>
      <w:tr w14:paraId="0A65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9" w:type="pct"/>
            <w:vAlign w:val="center"/>
          </w:tcPr>
          <w:p w14:paraId="5D9BA874">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w:t>
            </w:r>
          </w:p>
        </w:tc>
        <w:tc>
          <w:tcPr>
            <w:tcW w:w="1238" w:type="pct"/>
            <w:vAlign w:val="center"/>
          </w:tcPr>
          <w:p w14:paraId="420714CD">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施工质量</w:t>
            </w:r>
          </w:p>
        </w:tc>
        <w:tc>
          <w:tcPr>
            <w:tcW w:w="3313" w:type="pct"/>
            <w:vAlign w:val="center"/>
          </w:tcPr>
          <w:p w14:paraId="1AE3DBEB">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符合现行国家有关工程施工验收规范和标准的合格要求</w:t>
            </w:r>
          </w:p>
        </w:tc>
      </w:tr>
      <w:tr w14:paraId="40BD7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9" w:type="pct"/>
            <w:vAlign w:val="center"/>
          </w:tcPr>
          <w:p w14:paraId="620EFC47">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w:t>
            </w:r>
          </w:p>
        </w:tc>
        <w:tc>
          <w:tcPr>
            <w:tcW w:w="1238" w:type="pct"/>
            <w:vAlign w:val="center"/>
          </w:tcPr>
          <w:p w14:paraId="4214E55E">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施工进度</w:t>
            </w:r>
          </w:p>
        </w:tc>
        <w:tc>
          <w:tcPr>
            <w:tcW w:w="3313" w:type="pct"/>
            <w:vAlign w:val="center"/>
          </w:tcPr>
          <w:p w14:paraId="6A61DFBB">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在合同工期内完工</w:t>
            </w:r>
            <w:r>
              <w:rPr>
                <w:rFonts w:hint="eastAsia" w:ascii="仿宋" w:hAnsi="仿宋" w:eastAsia="仿宋" w:cs="仿宋"/>
                <w:color w:val="auto"/>
                <w:sz w:val="24"/>
                <w:highlight w:val="none"/>
                <w:lang w:eastAsia="zh-CN"/>
              </w:rPr>
              <w:t>，并通过第三方技术服务机构确认</w:t>
            </w:r>
          </w:p>
        </w:tc>
      </w:tr>
      <w:tr w14:paraId="7C36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9" w:type="pct"/>
            <w:vAlign w:val="center"/>
          </w:tcPr>
          <w:p w14:paraId="185B7C4F">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w:t>
            </w:r>
          </w:p>
        </w:tc>
        <w:tc>
          <w:tcPr>
            <w:tcW w:w="1238" w:type="pct"/>
            <w:vAlign w:val="center"/>
          </w:tcPr>
          <w:p w14:paraId="07771DA9">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安全文明施工</w:t>
            </w:r>
          </w:p>
        </w:tc>
        <w:tc>
          <w:tcPr>
            <w:tcW w:w="3313" w:type="pct"/>
            <w:vAlign w:val="center"/>
          </w:tcPr>
          <w:p w14:paraId="354963A1">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符合《建筑施工安全检查标准》要求</w:t>
            </w:r>
          </w:p>
        </w:tc>
      </w:tr>
      <w:tr w14:paraId="516C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9" w:type="pct"/>
            <w:vAlign w:val="center"/>
          </w:tcPr>
          <w:p w14:paraId="0AE36D12">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1238" w:type="pct"/>
            <w:vAlign w:val="center"/>
          </w:tcPr>
          <w:p w14:paraId="77595160">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施工材料</w:t>
            </w:r>
          </w:p>
        </w:tc>
        <w:tc>
          <w:tcPr>
            <w:tcW w:w="3313" w:type="pct"/>
            <w:vAlign w:val="center"/>
          </w:tcPr>
          <w:p w14:paraId="15E4D4D0">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符合</w:t>
            </w:r>
            <w:r>
              <w:rPr>
                <w:rFonts w:hint="eastAsia" w:ascii="仿宋" w:hAnsi="仿宋" w:eastAsia="仿宋" w:cs="仿宋"/>
                <w:color w:val="auto"/>
                <w:sz w:val="24"/>
                <w:highlight w:val="none"/>
                <w:lang w:eastAsia="zh-CN"/>
              </w:rPr>
              <w:t>磋商响应</w:t>
            </w:r>
            <w:r>
              <w:rPr>
                <w:rFonts w:hint="eastAsia" w:ascii="仿宋" w:hAnsi="仿宋" w:eastAsia="仿宋" w:cs="仿宋"/>
                <w:color w:val="auto"/>
                <w:sz w:val="24"/>
                <w:highlight w:val="none"/>
              </w:rPr>
              <w:t>文件品牌、型号要求</w:t>
            </w:r>
          </w:p>
        </w:tc>
      </w:tr>
      <w:tr w14:paraId="1CFAD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9" w:type="pct"/>
            <w:vAlign w:val="center"/>
          </w:tcPr>
          <w:p w14:paraId="1BE17389">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5</w:t>
            </w:r>
          </w:p>
        </w:tc>
        <w:tc>
          <w:tcPr>
            <w:tcW w:w="1238" w:type="pct"/>
            <w:vAlign w:val="center"/>
          </w:tcPr>
          <w:p w14:paraId="7035FB84">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隐蔽验收</w:t>
            </w:r>
          </w:p>
        </w:tc>
        <w:tc>
          <w:tcPr>
            <w:tcW w:w="3313" w:type="pct"/>
            <w:vAlign w:val="center"/>
          </w:tcPr>
          <w:p w14:paraId="026CD3A6">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符合工程隐蔽验收条件，达到工程隐蔽验收要求</w:t>
            </w:r>
          </w:p>
        </w:tc>
      </w:tr>
      <w:tr w14:paraId="6C0C3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9" w:type="pct"/>
            <w:vAlign w:val="center"/>
          </w:tcPr>
          <w:p w14:paraId="156BB9C1">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6</w:t>
            </w:r>
          </w:p>
        </w:tc>
        <w:tc>
          <w:tcPr>
            <w:tcW w:w="1238" w:type="pct"/>
            <w:vAlign w:val="center"/>
          </w:tcPr>
          <w:p w14:paraId="1DB3489F">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人员验收</w:t>
            </w:r>
          </w:p>
        </w:tc>
        <w:tc>
          <w:tcPr>
            <w:tcW w:w="3313" w:type="pct"/>
            <w:vAlign w:val="center"/>
          </w:tcPr>
          <w:p w14:paraId="37495C5B">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人员资质、到位率符合合同约定的要求</w:t>
            </w:r>
          </w:p>
        </w:tc>
      </w:tr>
      <w:tr w14:paraId="2B63C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9" w:type="pct"/>
            <w:vAlign w:val="center"/>
          </w:tcPr>
          <w:p w14:paraId="577A31E3">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7</w:t>
            </w:r>
          </w:p>
        </w:tc>
        <w:tc>
          <w:tcPr>
            <w:tcW w:w="1238" w:type="pct"/>
            <w:vAlign w:val="center"/>
          </w:tcPr>
          <w:p w14:paraId="6000ED2C">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保密要求</w:t>
            </w:r>
          </w:p>
        </w:tc>
        <w:tc>
          <w:tcPr>
            <w:tcW w:w="3313" w:type="pct"/>
            <w:vAlign w:val="center"/>
          </w:tcPr>
          <w:p w14:paraId="0034B64A">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满足发包人的保密规定实施，签订单位保密协议及保密承诺书、开展</w:t>
            </w:r>
            <w:r>
              <w:rPr>
                <w:rFonts w:hint="eastAsia" w:ascii="仿宋" w:hAnsi="仿宋" w:eastAsia="仿宋" w:cs="仿宋"/>
                <w:color w:val="auto"/>
                <w:kern w:val="0"/>
                <w:sz w:val="24"/>
                <w:highlight w:val="none"/>
              </w:rPr>
              <w:t>日常保密教育</w:t>
            </w:r>
            <w:r>
              <w:rPr>
                <w:rFonts w:hint="eastAsia" w:ascii="仿宋" w:hAnsi="仿宋" w:eastAsia="仿宋" w:cs="仿宋"/>
                <w:color w:val="auto"/>
                <w:sz w:val="24"/>
                <w:highlight w:val="none"/>
              </w:rPr>
              <w:t>。</w:t>
            </w:r>
          </w:p>
        </w:tc>
      </w:tr>
      <w:tr w14:paraId="1169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9" w:type="pct"/>
            <w:vAlign w:val="center"/>
          </w:tcPr>
          <w:p w14:paraId="7AB21410">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8</w:t>
            </w:r>
          </w:p>
        </w:tc>
        <w:tc>
          <w:tcPr>
            <w:tcW w:w="1238" w:type="pct"/>
            <w:vAlign w:val="center"/>
          </w:tcPr>
          <w:p w14:paraId="6034F718">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其他资料</w:t>
            </w:r>
          </w:p>
        </w:tc>
        <w:tc>
          <w:tcPr>
            <w:tcW w:w="3313" w:type="pct"/>
            <w:vAlign w:val="center"/>
          </w:tcPr>
          <w:p w14:paraId="0A655664">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符合杭州市工程竣工验收标准</w:t>
            </w:r>
          </w:p>
        </w:tc>
      </w:tr>
      <w:tr w14:paraId="15E7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9" w:type="pct"/>
            <w:vAlign w:val="center"/>
          </w:tcPr>
          <w:p w14:paraId="7D2C8D0A">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9</w:t>
            </w:r>
          </w:p>
        </w:tc>
        <w:tc>
          <w:tcPr>
            <w:tcW w:w="1238" w:type="pct"/>
            <w:vAlign w:val="center"/>
          </w:tcPr>
          <w:p w14:paraId="28877FF8">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施工变更</w:t>
            </w:r>
          </w:p>
        </w:tc>
        <w:tc>
          <w:tcPr>
            <w:tcW w:w="3313" w:type="pct"/>
            <w:vAlign w:val="center"/>
          </w:tcPr>
          <w:p w14:paraId="3CC9DDBE">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符合合同约定的变更要求</w:t>
            </w:r>
          </w:p>
        </w:tc>
      </w:tr>
      <w:tr w14:paraId="3D1ED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9" w:type="pct"/>
            <w:vAlign w:val="center"/>
          </w:tcPr>
          <w:p w14:paraId="60FB42D4">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10</w:t>
            </w:r>
          </w:p>
        </w:tc>
        <w:tc>
          <w:tcPr>
            <w:tcW w:w="1238" w:type="pct"/>
            <w:vAlign w:val="center"/>
          </w:tcPr>
          <w:p w14:paraId="6BA0DAA6">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中小</w:t>
            </w:r>
            <w:r>
              <w:rPr>
                <w:rFonts w:ascii="仿宋" w:hAnsi="仿宋" w:eastAsia="仿宋" w:cs="仿宋"/>
                <w:bCs/>
                <w:color w:val="auto"/>
                <w:kern w:val="0"/>
                <w:sz w:val="24"/>
                <w:highlight w:val="none"/>
              </w:rPr>
              <w:t>企业份额实际情况</w:t>
            </w:r>
          </w:p>
        </w:tc>
        <w:tc>
          <w:tcPr>
            <w:tcW w:w="3313" w:type="pct"/>
            <w:vAlign w:val="center"/>
          </w:tcPr>
          <w:p w14:paraId="030AC0CE">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符合《杭州市财政局关于进一步支持中小企业参加政府采购活动的通知》(杭财采监〔2022〕7号)的要求</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由符合政策要求的中小企业</w:t>
            </w:r>
            <w:r>
              <w:rPr>
                <w:rFonts w:hint="eastAsia" w:ascii="仿宋" w:hAnsi="仿宋" w:eastAsia="仿宋" w:cs="仿宋"/>
                <w:bCs/>
                <w:color w:val="auto"/>
                <w:kern w:val="0"/>
                <w:sz w:val="24"/>
                <w:highlight w:val="none"/>
                <w:lang w:eastAsia="zh-CN"/>
              </w:rPr>
              <w:t>承接</w:t>
            </w:r>
            <w:r>
              <w:rPr>
                <w:rFonts w:hint="eastAsia" w:ascii="仿宋" w:hAnsi="仿宋" w:eastAsia="仿宋" w:cs="仿宋"/>
                <w:bCs/>
                <w:color w:val="auto"/>
                <w:kern w:val="0"/>
                <w:sz w:val="24"/>
                <w:highlight w:val="none"/>
              </w:rPr>
              <w:t>（</w:t>
            </w:r>
            <w:r>
              <w:rPr>
                <w:rFonts w:hint="eastAsia" w:ascii="仿宋" w:hAnsi="仿宋" w:eastAsia="仿宋" w:cs="仿宋"/>
                <w:bCs/>
                <w:color w:val="auto"/>
                <w:kern w:val="0"/>
                <w:sz w:val="24"/>
                <w:highlight w:val="none"/>
                <w:lang w:eastAsia="zh-CN"/>
              </w:rPr>
              <w:t>小微</w:t>
            </w:r>
            <w:r>
              <w:rPr>
                <w:rFonts w:hint="eastAsia" w:ascii="仿宋" w:hAnsi="仿宋" w:eastAsia="仿宋" w:cs="仿宋"/>
                <w:bCs/>
                <w:color w:val="auto"/>
                <w:kern w:val="0"/>
                <w:sz w:val="24"/>
                <w:highlight w:val="none"/>
              </w:rPr>
              <w:t>企业100%）。</w:t>
            </w:r>
          </w:p>
        </w:tc>
      </w:tr>
    </w:tbl>
    <w:p w14:paraId="5084E9D7">
      <w:pPr>
        <w:tabs>
          <w:tab w:val="left" w:pos="904"/>
        </w:tabs>
        <w:snapToGrid w:val="0"/>
        <w:spacing w:line="360" w:lineRule="auto"/>
        <w:ind w:firstLine="480" w:firstLineChars="200"/>
        <w:jc w:val="left"/>
        <w:rPr>
          <w:rFonts w:ascii="仿宋" w:hAnsi="仿宋" w:eastAsia="仿宋" w:cs="仿宋"/>
          <w:color w:val="auto"/>
          <w:sz w:val="24"/>
          <w:highlight w:val="none"/>
        </w:rPr>
      </w:pPr>
    </w:p>
    <w:p w14:paraId="0169005C">
      <w:pPr>
        <w:widowControl/>
        <w:tabs>
          <w:tab w:val="left" w:pos="904"/>
        </w:tabs>
        <w:adjustRightInd/>
        <w:snapToGrid w:val="0"/>
        <w:spacing w:line="48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验收资料要求包括（不限于）以下内容：</w:t>
      </w:r>
    </w:p>
    <w:p w14:paraId="7778291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（1）竞争性磋商文件</w:t>
      </w:r>
    </w:p>
    <w:p w14:paraId="6C06D41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（2）响应文件</w:t>
      </w:r>
    </w:p>
    <w:p w14:paraId="1F9E330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（3）合同</w:t>
      </w:r>
    </w:p>
    <w:p w14:paraId="2AF1056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工程竣工验收报告（包含工程质量竣工验收记录、工程竣工验收报告）、单位工程质量控制资料核查记录、单位工程安全和功能检验资料核查及主要功能抽查记录、隐蔽工程验收单及相关影像资料、施工方案（含工期、质量、安全文明保证措施方案）、材料运输计划方案、施工组织设计、施工进度计划、施工材料报验资料；</w:t>
      </w:r>
    </w:p>
    <w:p w14:paraId="4A003A2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（5）图纸会审纪要、设计（变更）联系单（如有）、工程联系单（如有）等设计技术资料；</w:t>
      </w:r>
    </w:p>
    <w:p w14:paraId="6F06A36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（6）项目组人员到位情况：项目组人员到位率、每日钉钉考勤打卡记录、项目负责人和技术负责人资质证书、工作经历</w:t>
      </w:r>
      <w:r>
        <w:rPr>
          <w:rFonts w:hint="eastAsia" w:ascii="仿宋" w:hAnsi="仿宋" w:eastAsia="仿宋" w:cs="仿宋"/>
          <w:color w:val="auto"/>
          <w:sz w:val="24"/>
          <w:highlight w:val="none"/>
          <w:lang w:eastAsia="zh-CN"/>
        </w:rPr>
        <w:t>证明</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eastAsia="zh-CN"/>
        </w:rPr>
        <w:t>社保缴纳证明、人员变更审批表（如有）</w:t>
      </w:r>
      <w:r>
        <w:rPr>
          <w:rFonts w:hint="eastAsia" w:ascii="仿宋" w:hAnsi="仿宋" w:eastAsia="仿宋" w:cs="仿宋"/>
          <w:color w:val="auto"/>
          <w:sz w:val="24"/>
          <w:highlight w:val="none"/>
        </w:rPr>
        <w:t>；</w:t>
      </w:r>
    </w:p>
    <w:p w14:paraId="4D4D816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（7）投入使用的机械设备清单、材料到货验收清单；</w:t>
      </w:r>
    </w:p>
    <w:p w14:paraId="6E1F702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（8）其他需提供的相关材料：单位保密协议、个人保密承诺、日常保密教育台账；</w:t>
      </w:r>
    </w:p>
    <w:p w14:paraId="2374346E">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eastAsia="zh-CN"/>
        </w:rPr>
        <w:t>小微</w:t>
      </w:r>
      <w:r>
        <w:rPr>
          <w:rFonts w:hint="eastAsia" w:ascii="仿宋" w:hAnsi="仿宋" w:eastAsia="仿宋" w:cs="仿宋"/>
          <w:color w:val="auto"/>
          <w:sz w:val="24"/>
          <w:highlight w:val="none"/>
        </w:rPr>
        <w:t>企业证明材料。</w:t>
      </w:r>
    </w:p>
    <w:p w14:paraId="12AA897A">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13.2.5移交、接收全部与部分工程</w:t>
      </w:r>
    </w:p>
    <w:p w14:paraId="1B0E7514">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承包人向发包人移交工程的期限：</w:t>
      </w:r>
      <w:r>
        <w:rPr>
          <w:rFonts w:hint="eastAsia" w:ascii="仿宋" w:hAnsi="仿宋" w:eastAsia="仿宋" w:cs="仿宋"/>
          <w:color w:val="auto"/>
          <w:kern w:val="0"/>
          <w:sz w:val="24"/>
          <w:highlight w:val="none"/>
          <w:u w:val="single"/>
        </w:rPr>
        <w:t>竣工验收通过后</w:t>
      </w:r>
      <w:r>
        <w:rPr>
          <w:rFonts w:hint="eastAsia" w:ascii="仿宋" w:hAnsi="仿宋" w:eastAsia="仿宋" w:cs="仿宋"/>
          <w:color w:val="auto"/>
          <w:sz w:val="24"/>
          <w:highlight w:val="none"/>
        </w:rPr>
        <w:t>。</w:t>
      </w:r>
    </w:p>
    <w:p w14:paraId="60623DB7">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t>发包人未按本合同约定接收全部或部分工程的，违约金的计算方法为：</w:t>
      </w:r>
      <w:r>
        <w:rPr>
          <w:rFonts w:hint="eastAsia" w:ascii="仿宋" w:hAnsi="仿宋" w:eastAsia="仿宋" w:cs="仿宋"/>
          <w:color w:val="auto"/>
          <w:sz w:val="24"/>
          <w:highlight w:val="none"/>
          <w:u w:val="single"/>
          <w:lang w:val="zh-CN"/>
        </w:rPr>
        <w:t xml:space="preserve">按通用条款 </w:t>
      </w:r>
      <w:r>
        <w:rPr>
          <w:rFonts w:hint="eastAsia" w:ascii="仿宋" w:hAnsi="仿宋" w:eastAsia="仿宋" w:cs="仿宋"/>
          <w:color w:val="auto"/>
          <w:sz w:val="24"/>
          <w:highlight w:val="none"/>
        </w:rPr>
        <w:t>。</w:t>
      </w:r>
    </w:p>
    <w:p w14:paraId="0D3BAA29">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承包人未按时移交工程的，违约金的计算方法为：</w:t>
      </w:r>
      <w:r>
        <w:rPr>
          <w:rFonts w:hint="eastAsia" w:ascii="仿宋" w:hAnsi="仿宋" w:eastAsia="仿宋" w:cs="仿宋"/>
          <w:color w:val="auto"/>
          <w:sz w:val="24"/>
          <w:highlight w:val="none"/>
          <w:u w:val="single"/>
        </w:rPr>
        <w:t>竣工日期延误一天，按每天【5000】元扣除违约金。</w:t>
      </w:r>
    </w:p>
    <w:p w14:paraId="3E0B066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13.3 工程试车</w:t>
      </w:r>
    </w:p>
    <w:p w14:paraId="07E9691E">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13.3.1 试车程序</w:t>
      </w:r>
    </w:p>
    <w:p w14:paraId="7423DC77">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t>工程试车内容：</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sz w:val="24"/>
          <w:highlight w:val="none"/>
        </w:rPr>
        <w:t>。</w:t>
      </w:r>
    </w:p>
    <w:p w14:paraId="5DEEC4EB">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（1）单机无负荷试车费用由承担；</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sz w:val="24"/>
          <w:highlight w:val="none"/>
        </w:rPr>
        <w:t>。</w:t>
      </w:r>
    </w:p>
    <w:p w14:paraId="55D46662">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（2）无负荷联动试车费用由承担。</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sz w:val="24"/>
          <w:highlight w:val="none"/>
        </w:rPr>
        <w:t>。</w:t>
      </w:r>
    </w:p>
    <w:p w14:paraId="768BF15A">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13.3.3 投料试车</w:t>
      </w:r>
    </w:p>
    <w:p w14:paraId="63A234CB">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t>关于投料试车相关事项的约定：</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sz w:val="24"/>
          <w:highlight w:val="none"/>
        </w:rPr>
        <w:t>。</w:t>
      </w:r>
    </w:p>
    <w:p w14:paraId="7DAB2F20">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13.6 竣工退场</w:t>
      </w:r>
    </w:p>
    <w:p w14:paraId="02397B14">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13.6.1 竣工退场</w:t>
      </w:r>
    </w:p>
    <w:p w14:paraId="0D09BE26">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承包人完成竣工退场的期限：</w:t>
      </w:r>
      <w:r>
        <w:rPr>
          <w:rFonts w:hint="eastAsia" w:ascii="仿宋" w:hAnsi="仿宋" w:eastAsia="仿宋" w:cs="仿宋"/>
          <w:color w:val="auto"/>
          <w:kern w:val="0"/>
          <w:sz w:val="24"/>
          <w:highlight w:val="none"/>
          <w:u w:val="single"/>
        </w:rPr>
        <w:t xml:space="preserve"> 竣工验收通过后，3日内完成  </w:t>
      </w:r>
      <w:r>
        <w:rPr>
          <w:rFonts w:hint="eastAsia" w:ascii="仿宋" w:hAnsi="仿宋" w:eastAsia="仿宋" w:cs="仿宋"/>
          <w:color w:val="auto"/>
          <w:sz w:val="24"/>
          <w:highlight w:val="none"/>
        </w:rPr>
        <w:t>。</w:t>
      </w:r>
    </w:p>
    <w:p w14:paraId="5CFD9B49">
      <w:pPr>
        <w:keepNext/>
        <w:keepLines/>
        <w:snapToGrid w:val="0"/>
        <w:spacing w:line="360" w:lineRule="auto"/>
        <w:ind w:firstLine="480" w:firstLineChars="200"/>
        <w:outlineLvl w:val="3"/>
        <w:rPr>
          <w:rFonts w:ascii="仿宋" w:hAnsi="仿宋" w:eastAsia="仿宋" w:cs="仿宋"/>
          <w:bCs/>
          <w:color w:val="auto"/>
          <w:sz w:val="24"/>
          <w:highlight w:val="none"/>
          <w:lang w:val="zh-CN"/>
        </w:rPr>
      </w:pPr>
      <w:bookmarkStart w:id="963" w:name="_Toc351203646"/>
      <w:r>
        <w:rPr>
          <w:rFonts w:hint="eastAsia" w:ascii="仿宋" w:hAnsi="仿宋" w:eastAsia="仿宋" w:cs="仿宋"/>
          <w:bCs/>
          <w:color w:val="auto"/>
          <w:sz w:val="24"/>
          <w:highlight w:val="none"/>
          <w:lang w:val="zh-CN"/>
        </w:rPr>
        <w:t>14. 竣工结算</w:t>
      </w:r>
      <w:bookmarkEnd w:id="963"/>
    </w:p>
    <w:p w14:paraId="35CE647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14.1 竣工结算申请</w:t>
      </w:r>
    </w:p>
    <w:p w14:paraId="59A4B6B5">
      <w:pPr>
        <w:snapToGrid w:val="0"/>
        <w:spacing w:line="360" w:lineRule="auto"/>
        <w:ind w:firstLine="480" w:firstLineChars="200"/>
        <w:jc w:val="left"/>
        <w:rPr>
          <w:rFonts w:ascii="仿宋" w:hAnsi="仿宋" w:eastAsia="仿宋" w:cs="仿宋"/>
          <w:color w:val="auto"/>
          <w:kern w:val="0"/>
          <w:sz w:val="24"/>
          <w:highlight w:val="none"/>
          <w:u w:val="single"/>
        </w:rPr>
      </w:pPr>
      <w:r>
        <w:rPr>
          <w:rFonts w:hint="eastAsia" w:ascii="仿宋" w:hAnsi="仿宋" w:eastAsia="仿宋" w:cs="仿宋"/>
          <w:color w:val="auto"/>
          <w:sz w:val="24"/>
          <w:highlight w:val="none"/>
        </w:rPr>
        <w:t>承包人提交竣工结算申请单的期限：</w:t>
      </w:r>
      <w:r>
        <w:rPr>
          <w:rFonts w:hint="eastAsia" w:ascii="仿宋" w:hAnsi="仿宋" w:eastAsia="仿宋" w:cs="仿宋"/>
          <w:color w:val="auto"/>
          <w:kern w:val="0"/>
          <w:sz w:val="24"/>
          <w:highlight w:val="none"/>
          <w:u w:val="single"/>
        </w:rPr>
        <w:t>承包人应在工程竣工验收后的</w:t>
      </w:r>
      <w:r>
        <w:rPr>
          <w:rFonts w:hint="eastAsia" w:ascii="仿宋" w:hAnsi="仿宋" w:eastAsia="仿宋" w:cs="仿宋"/>
          <w:color w:val="auto"/>
          <w:kern w:val="0"/>
          <w:sz w:val="24"/>
          <w:highlight w:val="none"/>
          <w:u w:val="single"/>
          <w:lang w:val="en-US" w:eastAsia="zh-CN"/>
        </w:rPr>
        <w:t>10天</w:t>
      </w:r>
      <w:r>
        <w:rPr>
          <w:rFonts w:hint="eastAsia" w:ascii="仿宋" w:hAnsi="仿宋" w:eastAsia="仿宋" w:cs="仿宋"/>
          <w:color w:val="auto"/>
          <w:kern w:val="0"/>
          <w:sz w:val="24"/>
          <w:highlight w:val="none"/>
          <w:u w:val="single"/>
        </w:rPr>
        <w:t>内将完整的竣工结算资料报发包人，待</w:t>
      </w:r>
      <w:r>
        <w:rPr>
          <w:rFonts w:hint="eastAsia" w:ascii="仿宋" w:hAnsi="仿宋" w:eastAsia="仿宋" w:cs="仿宋"/>
          <w:color w:val="auto"/>
          <w:kern w:val="0"/>
          <w:sz w:val="24"/>
          <w:highlight w:val="none"/>
          <w:u w:val="single"/>
          <w:lang w:val="en-US" w:eastAsia="zh-CN"/>
        </w:rPr>
        <w:t>下一年度</w:t>
      </w:r>
      <w:r>
        <w:rPr>
          <w:rFonts w:hint="eastAsia" w:ascii="仿宋" w:hAnsi="仿宋" w:eastAsia="仿宋" w:cs="仿宋"/>
          <w:color w:val="auto"/>
          <w:kern w:val="0"/>
          <w:sz w:val="24"/>
          <w:highlight w:val="none"/>
          <w:u w:val="single"/>
        </w:rPr>
        <w:t>年财政资金下达后支付至结算价的100%。</w:t>
      </w:r>
    </w:p>
    <w:p w14:paraId="0B99422E">
      <w:pPr>
        <w:snapToGrid w:val="0"/>
        <w:spacing w:line="360" w:lineRule="auto"/>
        <w:ind w:firstLine="480" w:firstLineChars="200"/>
        <w:jc w:val="left"/>
        <w:rPr>
          <w:rFonts w:ascii="仿宋" w:hAnsi="仿宋" w:eastAsia="仿宋" w:cs="仿宋"/>
          <w:color w:val="auto"/>
          <w:kern w:val="0"/>
          <w:sz w:val="24"/>
          <w:highlight w:val="none"/>
          <w:u w:val="single"/>
        </w:rPr>
      </w:pPr>
      <w:r>
        <w:rPr>
          <w:rFonts w:hint="eastAsia" w:ascii="仿宋" w:hAnsi="仿宋" w:eastAsia="仿宋" w:cs="仿宋"/>
          <w:color w:val="auto"/>
          <w:sz w:val="24"/>
          <w:highlight w:val="none"/>
        </w:rPr>
        <w:t>竣工结算申请单应包括的内容：</w:t>
      </w:r>
      <w:r>
        <w:rPr>
          <w:rFonts w:hint="eastAsia" w:ascii="仿宋" w:hAnsi="仿宋" w:eastAsia="仿宋" w:cs="仿宋"/>
          <w:color w:val="auto"/>
          <w:kern w:val="0"/>
          <w:sz w:val="24"/>
          <w:highlight w:val="none"/>
          <w:u w:val="single"/>
        </w:rPr>
        <w:t>完整的竣工结算</w:t>
      </w:r>
      <w:r>
        <w:rPr>
          <w:rFonts w:hint="eastAsia" w:ascii="仿宋" w:hAnsi="仿宋" w:eastAsia="仿宋" w:cs="仿宋"/>
          <w:color w:val="auto"/>
          <w:kern w:val="0"/>
          <w:sz w:val="24"/>
          <w:highlight w:val="none"/>
          <w:u w:val="single"/>
          <w:lang w:eastAsia="zh-CN"/>
        </w:rPr>
        <w:t>申请</w:t>
      </w:r>
      <w:r>
        <w:rPr>
          <w:rFonts w:hint="eastAsia" w:ascii="仿宋" w:hAnsi="仿宋" w:eastAsia="仿宋" w:cs="仿宋"/>
          <w:color w:val="auto"/>
          <w:kern w:val="0"/>
          <w:sz w:val="24"/>
          <w:highlight w:val="none"/>
          <w:u w:val="single"/>
        </w:rPr>
        <w:t>书文件及相关资料。</w:t>
      </w:r>
    </w:p>
    <w:p w14:paraId="7FDE00B4">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14.2 竣工结算审核</w:t>
      </w:r>
    </w:p>
    <w:p w14:paraId="394221CE">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发包人审批竣工付款申请单的期限：</w:t>
      </w:r>
      <w:r>
        <w:rPr>
          <w:rFonts w:hint="eastAsia" w:ascii="仿宋" w:hAnsi="仿宋" w:eastAsia="仿宋" w:cs="仿宋"/>
          <w:color w:val="auto"/>
          <w:kern w:val="0"/>
          <w:sz w:val="24"/>
          <w:highlight w:val="none"/>
          <w:u w:val="single"/>
        </w:rPr>
        <w:t>从收到完整的竣工结算</w:t>
      </w:r>
      <w:r>
        <w:rPr>
          <w:rFonts w:hint="eastAsia" w:ascii="仿宋" w:hAnsi="仿宋" w:eastAsia="仿宋" w:cs="仿宋"/>
          <w:color w:val="auto"/>
          <w:kern w:val="0"/>
          <w:sz w:val="24"/>
          <w:highlight w:val="none"/>
          <w:u w:val="single"/>
          <w:lang w:eastAsia="zh-CN"/>
        </w:rPr>
        <w:t>申请</w:t>
      </w:r>
      <w:r>
        <w:rPr>
          <w:rFonts w:hint="eastAsia" w:ascii="仿宋" w:hAnsi="仿宋" w:eastAsia="仿宋" w:cs="仿宋"/>
          <w:color w:val="auto"/>
          <w:kern w:val="0"/>
          <w:sz w:val="24"/>
          <w:highlight w:val="none"/>
          <w:u w:val="single"/>
        </w:rPr>
        <w:t>书之日起</w:t>
      </w:r>
      <w:r>
        <w:rPr>
          <w:rFonts w:hint="eastAsia" w:ascii="仿宋" w:hAnsi="仿宋" w:eastAsia="仿宋" w:cs="仿宋"/>
          <w:color w:val="auto"/>
          <w:kern w:val="0"/>
          <w:sz w:val="24"/>
          <w:highlight w:val="none"/>
          <w:u w:val="single"/>
          <w:lang w:val="en-US" w:eastAsia="zh-CN"/>
        </w:rPr>
        <w:t>14</w:t>
      </w:r>
      <w:r>
        <w:rPr>
          <w:rFonts w:hint="eastAsia" w:ascii="仿宋" w:hAnsi="仿宋" w:eastAsia="仿宋" w:cs="仿宋"/>
          <w:color w:val="auto"/>
          <w:kern w:val="0"/>
          <w:sz w:val="24"/>
          <w:highlight w:val="none"/>
          <w:u w:val="single"/>
        </w:rPr>
        <w:t>日历天内。</w:t>
      </w:r>
    </w:p>
    <w:p w14:paraId="54A42684">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发包人完成竣工付款的期限：</w:t>
      </w:r>
      <w:r>
        <w:rPr>
          <w:rFonts w:hint="eastAsia" w:ascii="仿宋" w:hAnsi="仿宋" w:eastAsia="仿宋" w:cs="仿宋"/>
          <w:color w:val="auto"/>
          <w:kern w:val="0"/>
          <w:sz w:val="24"/>
          <w:highlight w:val="none"/>
          <w:u w:val="single"/>
        </w:rPr>
        <w:t xml:space="preserve"> 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6F3DFAF0">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关于竣工付款证书异议部分复核的方式和程序：</w:t>
      </w:r>
      <w:r>
        <w:rPr>
          <w:rFonts w:hint="eastAsia" w:ascii="仿宋" w:hAnsi="仿宋" w:eastAsia="仿宋" w:cs="仿宋"/>
          <w:color w:val="auto"/>
          <w:sz w:val="24"/>
          <w:highlight w:val="none"/>
          <w:u w:val="single"/>
        </w:rPr>
        <w:t>按通用条款执行</w:t>
      </w:r>
      <w:r>
        <w:rPr>
          <w:rFonts w:hint="eastAsia" w:ascii="仿宋" w:hAnsi="仿宋" w:eastAsia="仿宋" w:cs="仿宋"/>
          <w:color w:val="auto"/>
          <w:sz w:val="24"/>
          <w:highlight w:val="none"/>
        </w:rPr>
        <w:t>。</w:t>
      </w:r>
    </w:p>
    <w:p w14:paraId="78E6986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14.4 最终结清</w:t>
      </w:r>
    </w:p>
    <w:p w14:paraId="53EB78F0">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14.4.1 最终结清申请单</w:t>
      </w:r>
    </w:p>
    <w:p w14:paraId="356E0906">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承包人提交最终结清申请单的份数：</w:t>
      </w:r>
      <w:r>
        <w:rPr>
          <w:rFonts w:hint="eastAsia" w:ascii="仿宋" w:hAnsi="仿宋" w:eastAsia="仿宋" w:cs="仿宋"/>
          <w:color w:val="auto"/>
          <w:sz w:val="24"/>
          <w:highlight w:val="none"/>
          <w:u w:val="single"/>
        </w:rPr>
        <w:t>6份。</w:t>
      </w:r>
    </w:p>
    <w:p w14:paraId="57E35598">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承包人提交最终结算申请单的期限：</w:t>
      </w:r>
      <w:r>
        <w:rPr>
          <w:rFonts w:hint="eastAsia" w:ascii="仿宋" w:hAnsi="仿宋" w:eastAsia="仿宋" w:cs="仿宋"/>
          <w:color w:val="auto"/>
          <w:kern w:val="0"/>
          <w:sz w:val="24"/>
          <w:highlight w:val="none"/>
          <w:u w:val="single"/>
        </w:rPr>
        <w:t>承包人应在递交工程竣工结算资料后7天内，按专用合同条款约定的份数向发包人提交最终结清申请单，并提供相关证明材料</w:t>
      </w:r>
      <w:r>
        <w:rPr>
          <w:rFonts w:hint="eastAsia" w:ascii="仿宋" w:hAnsi="仿宋" w:eastAsia="仿宋" w:cs="仿宋"/>
          <w:color w:val="auto"/>
          <w:sz w:val="24"/>
          <w:highlight w:val="none"/>
          <w:u w:val="single"/>
        </w:rPr>
        <w:t>。</w:t>
      </w:r>
    </w:p>
    <w:p w14:paraId="3BE13629">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14.4.2 最终结清证书和支付</w:t>
      </w:r>
    </w:p>
    <w:p w14:paraId="4A806BE1">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（1）发包人完成最终结清申请单的审批并颁发最终结清证书的期限：</w:t>
      </w:r>
      <w:r>
        <w:rPr>
          <w:rFonts w:hint="eastAsia" w:ascii="仿宋" w:hAnsi="仿宋" w:eastAsia="仿宋" w:cs="仿宋"/>
          <w:color w:val="auto"/>
          <w:sz w:val="24"/>
          <w:highlight w:val="none"/>
          <w:u w:val="single"/>
        </w:rPr>
        <w:t>发包人应在收到承包人提交的最终结清申请单后14天内完成审批并向承包人颁发最终结清证书。</w:t>
      </w:r>
    </w:p>
    <w:p w14:paraId="47FA8E92">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（2）发包人完成支付的期限：</w:t>
      </w:r>
      <w:r>
        <w:rPr>
          <w:rFonts w:hint="eastAsia" w:ascii="仿宋" w:hAnsi="仿宋" w:eastAsia="仿宋" w:cs="仿宋"/>
          <w:color w:val="auto"/>
          <w:sz w:val="24"/>
          <w:highlight w:val="none"/>
          <w:u w:val="single"/>
        </w:rPr>
        <w:t>发包人应在颁发最终结清证书后，</w:t>
      </w:r>
      <w:r>
        <w:rPr>
          <w:rFonts w:hint="eastAsia" w:ascii="仿宋" w:hAnsi="仿宋" w:eastAsia="仿宋" w:cs="仿宋"/>
          <w:color w:val="auto"/>
          <w:kern w:val="0"/>
          <w:sz w:val="24"/>
          <w:highlight w:val="none"/>
          <w:u w:val="single"/>
        </w:rPr>
        <w:t>待</w:t>
      </w:r>
      <w:r>
        <w:rPr>
          <w:rFonts w:hint="eastAsia" w:ascii="仿宋" w:hAnsi="仿宋" w:eastAsia="仿宋" w:cs="仿宋"/>
          <w:color w:val="auto"/>
          <w:kern w:val="0"/>
          <w:sz w:val="24"/>
          <w:highlight w:val="none"/>
          <w:u w:val="single"/>
          <w:lang w:val="en-US" w:eastAsia="zh-CN"/>
        </w:rPr>
        <w:t>下一年度</w:t>
      </w:r>
      <w:r>
        <w:rPr>
          <w:rFonts w:hint="eastAsia" w:ascii="仿宋" w:hAnsi="仿宋" w:eastAsia="仿宋" w:cs="仿宋"/>
          <w:color w:val="auto"/>
          <w:kern w:val="0"/>
          <w:sz w:val="24"/>
          <w:highlight w:val="none"/>
          <w:u w:val="single"/>
        </w:rPr>
        <w:t>财政资金下达后支付</w:t>
      </w:r>
      <w:r>
        <w:rPr>
          <w:rFonts w:hint="eastAsia" w:ascii="仿宋" w:hAnsi="仿宋" w:eastAsia="仿宋" w:cs="仿宋"/>
          <w:color w:val="auto"/>
          <w:sz w:val="24"/>
          <w:highlight w:val="none"/>
          <w:u w:val="single"/>
        </w:rPr>
        <w:t>。</w:t>
      </w:r>
    </w:p>
    <w:p w14:paraId="378253F1">
      <w:pPr>
        <w:keepNext/>
        <w:keepLines/>
        <w:snapToGrid w:val="0"/>
        <w:spacing w:line="360" w:lineRule="auto"/>
        <w:ind w:firstLine="480" w:firstLineChars="200"/>
        <w:outlineLvl w:val="3"/>
        <w:rPr>
          <w:rFonts w:ascii="仿宋" w:hAnsi="仿宋" w:eastAsia="仿宋" w:cs="仿宋"/>
          <w:bCs/>
          <w:color w:val="auto"/>
          <w:sz w:val="24"/>
          <w:highlight w:val="none"/>
          <w:lang w:val="zh-CN"/>
        </w:rPr>
      </w:pPr>
      <w:bookmarkStart w:id="964" w:name="_Toc351203647"/>
      <w:bookmarkStart w:id="965" w:name="_Toc267251483"/>
      <w:bookmarkStart w:id="966" w:name="_Toc267251484"/>
      <w:bookmarkStart w:id="967" w:name="_Toc267251482"/>
      <w:r>
        <w:rPr>
          <w:rFonts w:hint="eastAsia" w:ascii="仿宋" w:hAnsi="仿宋" w:eastAsia="仿宋" w:cs="仿宋"/>
          <w:bCs/>
          <w:color w:val="auto"/>
          <w:sz w:val="24"/>
          <w:highlight w:val="none"/>
          <w:lang w:val="zh-CN"/>
        </w:rPr>
        <w:t>15. 缺陷责任期与保修</w:t>
      </w:r>
      <w:bookmarkEnd w:id="964"/>
    </w:p>
    <w:p w14:paraId="072EE89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15.2缺陷责任期</w:t>
      </w:r>
      <w:bookmarkEnd w:id="965"/>
    </w:p>
    <w:p w14:paraId="71E1D63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缺陷责任期的具体期限：</w:t>
      </w:r>
      <w:r>
        <w:rPr>
          <w:rFonts w:hint="eastAsia" w:ascii="仿宋" w:hAnsi="仿宋" w:eastAsia="仿宋" w:cs="仿宋"/>
          <w:color w:val="auto"/>
          <w:sz w:val="24"/>
          <w:highlight w:val="none"/>
          <w:u w:val="single"/>
        </w:rPr>
        <w:t>本工程质保期详见《工程质量保修书》，以竣工验收合格之日起计算。</w:t>
      </w:r>
    </w:p>
    <w:p w14:paraId="73870C5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15.3 质量保证金</w:t>
      </w:r>
    </w:p>
    <w:p w14:paraId="6B5111D1">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关于是否扣留质量保证金的约定：</w:t>
      </w:r>
      <w:r>
        <w:rPr>
          <w:rFonts w:hint="eastAsia" w:ascii="仿宋" w:hAnsi="仿宋" w:eastAsia="仿宋" w:cs="仿宋"/>
          <w:color w:val="auto"/>
          <w:sz w:val="24"/>
          <w:highlight w:val="none"/>
          <w:u w:val="single"/>
        </w:rPr>
        <w:t>不扣留</w:t>
      </w:r>
      <w:r>
        <w:rPr>
          <w:rFonts w:hint="eastAsia" w:ascii="仿宋" w:hAnsi="仿宋" w:eastAsia="仿宋" w:cs="仿宋"/>
          <w:color w:val="auto"/>
          <w:sz w:val="24"/>
          <w:highlight w:val="none"/>
        </w:rPr>
        <w:t>。在工程项目竣工前，承包人按专用合同条款第3.7条提供履约担保的，发包人不得同时预留工程质量保证金。</w:t>
      </w:r>
    </w:p>
    <w:p w14:paraId="7FF7F7C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15.3.1 承包人提供质量保证金的方式</w:t>
      </w:r>
    </w:p>
    <w:p w14:paraId="40CF5CB4">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质量保证金采用以下第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种方式：</w:t>
      </w:r>
    </w:p>
    <w:p w14:paraId="12EB6426">
      <w:pPr>
        <w:autoSpaceDE w:val="0"/>
        <w:autoSpaceDN w:val="0"/>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（1）质量保证金保函，保证金额为：</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 xml:space="preserve">； </w:t>
      </w:r>
    </w:p>
    <w:p w14:paraId="57AD1471">
      <w:pPr>
        <w:autoSpaceDE w:val="0"/>
        <w:autoSpaceDN w:val="0"/>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%的工程款；</w:t>
      </w:r>
    </w:p>
    <w:p w14:paraId="2B18E103">
      <w:pPr>
        <w:autoSpaceDE w:val="0"/>
        <w:autoSpaceDN w:val="0"/>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（3）其他方式:</w:t>
      </w:r>
      <w:r>
        <w:rPr>
          <w:rFonts w:hint="eastAsia" w:ascii="仿宋" w:hAnsi="仿宋" w:eastAsia="仿宋" w:cs="仿宋"/>
          <w:color w:val="auto"/>
          <w:sz w:val="24"/>
          <w:highlight w:val="none"/>
          <w:u w:val="single"/>
        </w:rPr>
        <w:t xml:space="preserve"> 非现金形式的支票、汇票、本票或者金融机构、担保机构出具的保函，金额为结算价的1.5%</w:t>
      </w:r>
      <w:r>
        <w:rPr>
          <w:rFonts w:hint="eastAsia" w:ascii="仿宋" w:hAnsi="仿宋" w:eastAsia="仿宋" w:cs="仿宋"/>
          <w:color w:val="auto"/>
          <w:kern w:val="0"/>
          <w:sz w:val="24"/>
          <w:highlight w:val="none"/>
        </w:rPr>
        <w:t>。</w:t>
      </w:r>
    </w:p>
    <w:p w14:paraId="56A1475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15.3.2 质量保证金的扣留 </w:t>
      </w:r>
    </w:p>
    <w:p w14:paraId="6E42F7C9">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质量保证金的扣留采取以下第</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种方式：</w:t>
      </w:r>
    </w:p>
    <w:p w14:paraId="0F107CF6">
      <w:pPr>
        <w:autoSpaceDE w:val="0"/>
        <w:autoSpaceDN w:val="0"/>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（1）在支付工程进度款时逐次扣留，在此情形下，质量保证金的计算基数不包括预付款的支付、扣回以及价格调整的金额；</w:t>
      </w:r>
    </w:p>
    <w:p w14:paraId="788C14F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（2）工程竣工结算时一次性扣留质量保证金；</w:t>
      </w:r>
    </w:p>
    <w:p w14:paraId="7039C3C3">
      <w:pPr>
        <w:autoSpaceDE w:val="0"/>
        <w:autoSpaceDN w:val="0"/>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（3）其他扣留方式: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w:t>
      </w:r>
    </w:p>
    <w:p w14:paraId="3A53168F">
      <w:pPr>
        <w:snapToGrid w:val="0"/>
        <w:spacing w:line="360" w:lineRule="auto"/>
        <w:ind w:firstLine="480" w:firstLineChars="200"/>
        <w:jc w:val="left"/>
        <w:rPr>
          <w:rFonts w:ascii="仿宋" w:hAnsi="仿宋" w:eastAsia="仿宋" w:cs="仿宋"/>
          <w:color w:val="auto"/>
          <w:kern w:val="0"/>
          <w:sz w:val="24"/>
          <w:highlight w:val="none"/>
          <w:u w:val="single"/>
        </w:rPr>
      </w:pPr>
      <w:r>
        <w:rPr>
          <w:rFonts w:hint="eastAsia" w:ascii="仿宋" w:hAnsi="仿宋" w:eastAsia="仿宋" w:cs="仿宋"/>
          <w:color w:val="auto"/>
          <w:sz w:val="24"/>
          <w:highlight w:val="none"/>
        </w:rPr>
        <w:t>关于质量保证金的补充约定：</w:t>
      </w:r>
      <w:r>
        <w:rPr>
          <w:rFonts w:hint="eastAsia" w:ascii="仿宋" w:hAnsi="仿宋" w:eastAsia="仿宋" w:cs="仿宋"/>
          <w:color w:val="auto"/>
          <w:sz w:val="24"/>
          <w:highlight w:val="none"/>
          <w:u w:val="single"/>
        </w:rPr>
        <w:t xml:space="preserve">  /  </w:t>
      </w:r>
    </w:p>
    <w:bookmarkEnd w:id="966"/>
    <w:bookmarkEnd w:id="967"/>
    <w:p w14:paraId="0172666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15.4保修</w:t>
      </w:r>
    </w:p>
    <w:bookmarkEnd w:id="936"/>
    <w:bookmarkEnd w:id="937"/>
    <w:bookmarkEnd w:id="938"/>
    <w:bookmarkEnd w:id="939"/>
    <w:bookmarkEnd w:id="940"/>
    <w:p w14:paraId="02BCA488">
      <w:pPr>
        <w:snapToGrid w:val="0"/>
        <w:spacing w:line="360" w:lineRule="auto"/>
        <w:ind w:firstLine="468" w:firstLineChars="195"/>
        <w:jc w:val="left"/>
        <w:rPr>
          <w:rFonts w:ascii="仿宋" w:hAnsi="仿宋" w:eastAsia="仿宋" w:cs="仿宋"/>
          <w:color w:val="auto"/>
          <w:sz w:val="24"/>
          <w:highlight w:val="none"/>
        </w:rPr>
      </w:pPr>
      <w:bookmarkStart w:id="968" w:name="_Toc351203648"/>
      <w:bookmarkStart w:id="969" w:name="_Toc280868717"/>
      <w:bookmarkStart w:id="970" w:name="_Toc280868718"/>
      <w:r>
        <w:rPr>
          <w:rFonts w:hint="eastAsia" w:ascii="仿宋" w:hAnsi="仿宋" w:eastAsia="仿宋" w:cs="仿宋"/>
          <w:color w:val="auto"/>
          <w:sz w:val="24"/>
          <w:highlight w:val="none"/>
        </w:rPr>
        <w:t>15.4.1 保修责任</w:t>
      </w:r>
    </w:p>
    <w:p w14:paraId="699C11D9">
      <w:pPr>
        <w:snapToGrid w:val="0"/>
        <w:spacing w:line="360" w:lineRule="auto"/>
        <w:ind w:firstLine="468" w:firstLineChars="195"/>
        <w:jc w:val="left"/>
        <w:rPr>
          <w:rFonts w:ascii="仿宋" w:hAnsi="仿宋" w:eastAsia="仿宋" w:cs="仿宋"/>
          <w:color w:val="auto"/>
          <w:sz w:val="24"/>
          <w:highlight w:val="none"/>
        </w:rPr>
      </w:pPr>
      <w:r>
        <w:rPr>
          <w:rFonts w:hint="eastAsia" w:ascii="仿宋" w:hAnsi="仿宋" w:eastAsia="仿宋" w:cs="仿宋"/>
          <w:color w:val="auto"/>
          <w:sz w:val="24"/>
          <w:highlight w:val="none"/>
        </w:rPr>
        <w:t>工程保修期为：</w:t>
      </w:r>
      <w:r>
        <w:rPr>
          <w:rFonts w:hint="eastAsia" w:ascii="仿宋" w:hAnsi="仿宋" w:eastAsia="仿宋" w:cs="仿宋"/>
          <w:color w:val="auto"/>
          <w:sz w:val="24"/>
          <w:highlight w:val="none"/>
          <w:u w:val="single"/>
        </w:rPr>
        <w:t>按本工程质量保修书规定执行</w:t>
      </w:r>
      <w:r>
        <w:rPr>
          <w:rFonts w:hint="eastAsia" w:ascii="仿宋" w:hAnsi="仿宋" w:eastAsia="仿宋" w:cs="仿宋"/>
          <w:color w:val="auto"/>
          <w:sz w:val="24"/>
          <w:highlight w:val="none"/>
        </w:rPr>
        <w:t xml:space="preserve"> 。 </w:t>
      </w:r>
    </w:p>
    <w:p w14:paraId="26FE4705">
      <w:pPr>
        <w:snapToGrid w:val="0"/>
        <w:spacing w:line="360" w:lineRule="auto"/>
        <w:ind w:firstLine="468" w:firstLineChars="195"/>
        <w:jc w:val="left"/>
        <w:rPr>
          <w:rFonts w:ascii="仿宋" w:hAnsi="仿宋" w:eastAsia="仿宋" w:cs="仿宋"/>
          <w:color w:val="auto"/>
          <w:sz w:val="24"/>
          <w:highlight w:val="none"/>
        </w:rPr>
      </w:pPr>
      <w:r>
        <w:rPr>
          <w:rFonts w:hint="eastAsia" w:ascii="仿宋" w:hAnsi="仿宋" w:eastAsia="仿宋" w:cs="仿宋"/>
          <w:color w:val="auto"/>
          <w:sz w:val="24"/>
          <w:highlight w:val="none"/>
        </w:rPr>
        <w:t>15.4.3 修复通知</w:t>
      </w:r>
    </w:p>
    <w:p w14:paraId="21CF42BF">
      <w:pPr>
        <w:snapToGrid w:val="0"/>
        <w:spacing w:line="360" w:lineRule="auto"/>
        <w:ind w:firstLine="468" w:firstLineChars="195"/>
        <w:jc w:val="left"/>
        <w:rPr>
          <w:rFonts w:ascii="仿宋" w:hAnsi="仿宋" w:eastAsia="仿宋" w:cs="仿宋"/>
          <w:color w:val="auto"/>
          <w:sz w:val="24"/>
          <w:highlight w:val="none"/>
        </w:rPr>
      </w:pPr>
      <w:r>
        <w:rPr>
          <w:rFonts w:hint="eastAsia" w:ascii="仿宋" w:hAnsi="仿宋" w:eastAsia="仿宋" w:cs="仿宋"/>
          <w:color w:val="auto"/>
          <w:sz w:val="24"/>
          <w:highlight w:val="none"/>
        </w:rPr>
        <w:t>承包人收到保修通知并到达工程现场的合理时间：</w:t>
      </w:r>
      <w:r>
        <w:rPr>
          <w:rFonts w:hint="eastAsia" w:ascii="仿宋" w:hAnsi="仿宋" w:eastAsia="仿宋" w:cs="仿宋"/>
          <w:color w:val="auto"/>
          <w:sz w:val="24"/>
          <w:highlight w:val="none"/>
          <w:u w:val="single"/>
        </w:rPr>
        <w:t>按本工程质量保修书规定执行</w:t>
      </w:r>
      <w:r>
        <w:rPr>
          <w:rFonts w:hint="eastAsia" w:ascii="仿宋" w:hAnsi="仿宋" w:eastAsia="仿宋" w:cs="仿宋"/>
          <w:color w:val="auto"/>
          <w:sz w:val="24"/>
          <w:highlight w:val="none"/>
        </w:rPr>
        <w:t>。</w:t>
      </w:r>
    </w:p>
    <w:p w14:paraId="2836D58F">
      <w:pPr>
        <w:keepNext/>
        <w:keepLines/>
        <w:snapToGrid w:val="0"/>
        <w:spacing w:line="360" w:lineRule="auto"/>
        <w:ind w:firstLine="480" w:firstLineChars="200"/>
        <w:outlineLvl w:val="3"/>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16. 违约</w:t>
      </w:r>
      <w:bookmarkEnd w:id="968"/>
    </w:p>
    <w:p w14:paraId="0DF331D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16.1 发包人违约</w:t>
      </w:r>
    </w:p>
    <w:p w14:paraId="33259B2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16.1.1发包人违约的情形</w:t>
      </w:r>
    </w:p>
    <w:p w14:paraId="32C40CF7">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发包人违约的其他情形：</w:t>
      </w:r>
      <w:r>
        <w:rPr>
          <w:rFonts w:hint="eastAsia" w:ascii="仿宋" w:hAnsi="仿宋" w:eastAsia="仿宋" w:cs="仿宋"/>
          <w:color w:val="auto"/>
          <w:sz w:val="24"/>
          <w:highlight w:val="none"/>
          <w:u w:val="single"/>
        </w:rPr>
        <w:t>按通用条款</w:t>
      </w:r>
      <w:r>
        <w:rPr>
          <w:rFonts w:hint="eastAsia" w:ascii="仿宋" w:hAnsi="仿宋" w:eastAsia="仿宋" w:cs="仿宋"/>
          <w:color w:val="auto"/>
          <w:sz w:val="24"/>
          <w:highlight w:val="none"/>
        </w:rPr>
        <w:t>。</w:t>
      </w:r>
    </w:p>
    <w:p w14:paraId="01F18D4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16.1.2 发包人违约的责任</w:t>
      </w:r>
    </w:p>
    <w:p w14:paraId="7762919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发包人违约责任的承担方式和计算方法：</w:t>
      </w:r>
    </w:p>
    <w:p w14:paraId="4B026DD8">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（1）因发包人原因未能在计划开工日期前7天内下达开工通知的违约责任：</w:t>
      </w:r>
      <w:r>
        <w:rPr>
          <w:rFonts w:hint="eastAsia" w:ascii="仿宋" w:hAnsi="仿宋" w:eastAsia="仿宋" w:cs="仿宋"/>
          <w:color w:val="auto"/>
          <w:sz w:val="24"/>
          <w:highlight w:val="none"/>
          <w:u w:val="single"/>
        </w:rPr>
        <w:t>按通用条款</w:t>
      </w:r>
      <w:r>
        <w:rPr>
          <w:rFonts w:hint="eastAsia" w:ascii="仿宋" w:hAnsi="仿宋" w:eastAsia="仿宋" w:cs="仿宋"/>
          <w:color w:val="auto"/>
          <w:sz w:val="24"/>
          <w:highlight w:val="none"/>
        </w:rPr>
        <w:t>。</w:t>
      </w:r>
    </w:p>
    <w:p w14:paraId="378C724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（2）因发包人原因未能按合同约定支付合同总价的违约责任：</w:t>
      </w:r>
      <w:r>
        <w:rPr>
          <w:rFonts w:hint="eastAsia" w:ascii="仿宋" w:hAnsi="仿宋" w:eastAsia="仿宋" w:cs="仿宋"/>
          <w:color w:val="auto"/>
          <w:sz w:val="24"/>
          <w:highlight w:val="none"/>
          <w:u w:val="single"/>
        </w:rPr>
        <w:t xml:space="preserve">  按通用条款 </w:t>
      </w:r>
      <w:r>
        <w:rPr>
          <w:rFonts w:hint="eastAsia" w:ascii="仿宋" w:hAnsi="仿宋" w:eastAsia="仿宋" w:cs="仿宋"/>
          <w:color w:val="auto"/>
          <w:sz w:val="24"/>
          <w:highlight w:val="none"/>
        </w:rPr>
        <w:t>。</w:t>
      </w:r>
    </w:p>
    <w:p w14:paraId="5720D3F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（3）发包人违反第10.1款〔变更的范围〕第（2）项约定，自行实施被取消的工作或转由他人实施的违约责任：</w:t>
      </w:r>
      <w:r>
        <w:rPr>
          <w:rFonts w:hint="eastAsia" w:ascii="仿宋" w:hAnsi="仿宋" w:eastAsia="仿宋" w:cs="仿宋"/>
          <w:color w:val="auto"/>
          <w:sz w:val="24"/>
          <w:highlight w:val="none"/>
          <w:u w:val="single"/>
        </w:rPr>
        <w:t xml:space="preserve"> 按通用条款 </w:t>
      </w:r>
      <w:r>
        <w:rPr>
          <w:rFonts w:hint="eastAsia" w:ascii="仿宋" w:hAnsi="仿宋" w:eastAsia="仿宋" w:cs="仿宋"/>
          <w:color w:val="auto"/>
          <w:sz w:val="24"/>
          <w:highlight w:val="none"/>
        </w:rPr>
        <w:t>。</w:t>
      </w:r>
    </w:p>
    <w:p w14:paraId="3993FA6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sz w:val="24"/>
          <w:highlight w:val="none"/>
          <w:u w:val="single"/>
        </w:rPr>
        <w:t xml:space="preserve"> 按通用条款 </w:t>
      </w:r>
      <w:r>
        <w:rPr>
          <w:rFonts w:hint="eastAsia" w:ascii="仿宋" w:hAnsi="仿宋" w:eastAsia="仿宋" w:cs="仿宋"/>
          <w:color w:val="auto"/>
          <w:sz w:val="24"/>
          <w:highlight w:val="none"/>
        </w:rPr>
        <w:t>。</w:t>
      </w:r>
    </w:p>
    <w:p w14:paraId="0E2FBB92">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（5）因发包人违反合同约定造成暂停施工的违约责任：</w:t>
      </w:r>
      <w:r>
        <w:rPr>
          <w:rFonts w:hint="eastAsia" w:ascii="仿宋" w:hAnsi="仿宋" w:eastAsia="仿宋" w:cs="仿宋"/>
          <w:color w:val="auto"/>
          <w:sz w:val="24"/>
          <w:highlight w:val="none"/>
          <w:u w:val="single"/>
        </w:rPr>
        <w:t xml:space="preserve"> 按通用条款 </w:t>
      </w:r>
      <w:r>
        <w:rPr>
          <w:rFonts w:hint="eastAsia" w:ascii="仿宋" w:hAnsi="仿宋" w:eastAsia="仿宋" w:cs="仿宋"/>
          <w:color w:val="auto"/>
          <w:sz w:val="24"/>
          <w:highlight w:val="none"/>
        </w:rPr>
        <w:t>。</w:t>
      </w:r>
    </w:p>
    <w:p w14:paraId="1A1466B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（6）发包人无正当理由没有在约定期限内发出复工指示，导致承包人无法复工的违约责任：</w:t>
      </w:r>
      <w:r>
        <w:rPr>
          <w:rFonts w:hint="eastAsia" w:ascii="仿宋" w:hAnsi="仿宋" w:eastAsia="仿宋" w:cs="仿宋"/>
          <w:color w:val="auto"/>
          <w:sz w:val="24"/>
          <w:highlight w:val="none"/>
          <w:u w:val="single"/>
        </w:rPr>
        <w:t xml:space="preserve">  按通用条款 </w:t>
      </w:r>
      <w:r>
        <w:rPr>
          <w:rFonts w:hint="eastAsia" w:ascii="仿宋" w:hAnsi="仿宋" w:eastAsia="仿宋" w:cs="仿宋"/>
          <w:color w:val="auto"/>
          <w:sz w:val="24"/>
          <w:highlight w:val="none"/>
        </w:rPr>
        <w:t>。</w:t>
      </w:r>
    </w:p>
    <w:p w14:paraId="02748E9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（7）其他：</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020F51E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16.1.3 因发包人违约解除合同</w:t>
      </w:r>
    </w:p>
    <w:p w14:paraId="0A56189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承包人按16.1.1项〔发包人违约的情形〕约定暂停施工满</w:t>
      </w:r>
      <w:r>
        <w:rPr>
          <w:rFonts w:hint="eastAsia" w:ascii="仿宋" w:hAnsi="仿宋" w:eastAsia="仿宋" w:cs="仿宋"/>
          <w:color w:val="auto"/>
          <w:sz w:val="24"/>
          <w:highlight w:val="none"/>
          <w:u w:val="single"/>
        </w:rPr>
        <w:t>28</w:t>
      </w:r>
      <w:r>
        <w:rPr>
          <w:rFonts w:hint="eastAsia" w:ascii="仿宋" w:hAnsi="仿宋" w:eastAsia="仿宋" w:cs="仿宋"/>
          <w:color w:val="auto"/>
          <w:sz w:val="24"/>
          <w:highlight w:val="none"/>
        </w:rPr>
        <w:t>天后发包人仍不纠正其违约行为并致使合同目的不能实现的，承包人有权解除合同。</w:t>
      </w:r>
    </w:p>
    <w:p w14:paraId="259EB61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16.2 承包人违约</w:t>
      </w:r>
    </w:p>
    <w:p w14:paraId="0BC52116">
      <w:pPr>
        <w:snapToGrid w:val="0"/>
        <w:spacing w:line="360" w:lineRule="auto"/>
        <w:ind w:left="105" w:leftChars="50" w:firstLine="491" w:firstLineChars="205"/>
        <w:rPr>
          <w:rFonts w:ascii="仿宋" w:hAnsi="仿宋" w:eastAsia="仿宋" w:cs="仿宋"/>
          <w:color w:val="auto"/>
          <w:sz w:val="24"/>
          <w:highlight w:val="none"/>
        </w:rPr>
      </w:pPr>
      <w:r>
        <w:rPr>
          <w:rFonts w:hint="eastAsia" w:ascii="仿宋" w:hAnsi="仿宋" w:eastAsia="仿宋" w:cs="仿宋"/>
          <w:color w:val="auto"/>
          <w:sz w:val="24"/>
          <w:highlight w:val="none"/>
        </w:rPr>
        <w:t>16.2.1 承包人违约的情形</w:t>
      </w:r>
    </w:p>
    <w:p w14:paraId="6A00707C">
      <w:pPr>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1、关于工期：</w:t>
      </w:r>
    </w:p>
    <w:p w14:paraId="7A1207A3">
      <w:pPr>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A、开工令发出后一周内开工，否则每延误一天按【5000】元扣除违约金；</w:t>
      </w:r>
    </w:p>
    <w:p w14:paraId="4063C0FC">
      <w:pPr>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B、竣工日期延误一天，按每天【5000】元扣除违约金。</w:t>
      </w:r>
    </w:p>
    <w:p w14:paraId="0CFE0B8C">
      <w:pPr>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2、关于人员： </w:t>
      </w:r>
    </w:p>
    <w:p w14:paraId="782B1E8C">
      <w:pPr>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A、项目负责人每月现场出勤时间未达到本月施工时间的80%的，即每月不少于24日历天，每少一天扣除违约金【2000】元。</w:t>
      </w:r>
      <w:r>
        <w:rPr>
          <w:rFonts w:hint="eastAsia" w:ascii="仿宋" w:hAnsi="仿宋" w:eastAsia="仿宋" w:cs="仿宋"/>
          <w:color w:val="auto"/>
          <w:sz w:val="24"/>
          <w:highlight w:val="none"/>
        </w:rPr>
        <w:t>其他</w:t>
      </w:r>
      <w:r>
        <w:rPr>
          <w:rFonts w:hint="eastAsia" w:ascii="仿宋" w:hAnsi="仿宋" w:eastAsia="仿宋" w:cs="仿宋"/>
          <w:color w:val="auto"/>
          <w:sz w:val="24"/>
          <w:highlight w:val="none"/>
          <w:u w:val="single"/>
        </w:rPr>
        <w:t>项目组人员</w:t>
      </w:r>
      <w:r>
        <w:rPr>
          <w:rFonts w:hint="eastAsia" w:ascii="仿宋" w:hAnsi="仿宋" w:eastAsia="仿宋" w:cs="仿宋"/>
          <w:color w:val="auto"/>
          <w:sz w:val="24"/>
          <w:highlight w:val="none"/>
        </w:rPr>
        <w:t>（不含项目负责人）</w:t>
      </w:r>
      <w:r>
        <w:rPr>
          <w:rFonts w:hint="eastAsia" w:ascii="仿宋" w:hAnsi="仿宋" w:eastAsia="仿宋" w:cs="仿宋"/>
          <w:color w:val="auto"/>
          <w:sz w:val="24"/>
          <w:highlight w:val="none"/>
          <w:u w:val="single"/>
        </w:rPr>
        <w:t>每月现场出勤时间未达到本月施工时间的90%的，即每月不少于27日历天，每少一天扣除违约金【1000】元。</w:t>
      </w:r>
    </w:p>
    <w:p w14:paraId="23C7E142">
      <w:pPr>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B、承包人没有为项目组人员缴纳社会保险的违约责任：承包人应在发包人要求的整改期限内完成整改，逾期未整改的，发包人有权扣除履约保证金，</w:t>
      </w:r>
      <w:r>
        <w:rPr>
          <w:rFonts w:ascii="仿宋" w:hAnsi="仿宋" w:eastAsia="仿宋" w:cs="仿宋"/>
          <w:color w:val="auto"/>
          <w:sz w:val="24"/>
          <w:highlight w:val="none"/>
          <w:u w:val="single"/>
        </w:rPr>
        <w:t>并</w:t>
      </w:r>
      <w:r>
        <w:rPr>
          <w:rFonts w:hint="eastAsia" w:ascii="仿宋" w:hAnsi="仿宋" w:eastAsia="仿宋" w:cs="仿宋"/>
          <w:color w:val="auto"/>
          <w:sz w:val="24"/>
          <w:highlight w:val="none"/>
          <w:u w:val="single"/>
        </w:rPr>
        <w:t>有权</w:t>
      </w:r>
      <w:r>
        <w:rPr>
          <w:rFonts w:ascii="仿宋" w:hAnsi="仿宋" w:eastAsia="仿宋" w:cs="仿宋"/>
          <w:color w:val="auto"/>
          <w:sz w:val="24"/>
          <w:highlight w:val="none"/>
          <w:u w:val="single"/>
        </w:rPr>
        <w:t>单方面解除本合同</w:t>
      </w:r>
      <w:r>
        <w:rPr>
          <w:rFonts w:hint="eastAsia" w:ascii="仿宋" w:hAnsi="仿宋" w:eastAsia="仿宋" w:cs="仿宋"/>
          <w:color w:val="auto"/>
          <w:sz w:val="24"/>
          <w:highlight w:val="none"/>
          <w:u w:val="single"/>
        </w:rPr>
        <w:t>。</w:t>
      </w:r>
    </w:p>
    <w:p w14:paraId="0D5F3C5B">
      <w:pPr>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C、主要施工管理人员未按投标时承诺到位或更换人员未按投标承诺到位，发包人有权扣除履约保证金。</w:t>
      </w:r>
    </w:p>
    <w:p w14:paraId="4BAEC5A2">
      <w:pPr>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D、项目负责人因无故缺席会议的，每发生一次扣除违约金【2000】元，技术负责人缺席每发生一次扣除违约金【1000】元，其他主要施工管理人员缺席每发生一次每次扣除违约金【500】元。</w:t>
      </w:r>
    </w:p>
    <w:p w14:paraId="026ECC7B">
      <w:pPr>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E、主要施工管理人员未经批准，擅自离开施工现场的，每发生一次扣除违约金【2000】元。</w:t>
      </w:r>
    </w:p>
    <w:p w14:paraId="65C77F3F">
      <w:pPr>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F、承包人无正当理由拒绝撤换主要施工管理人员，发包人有权扣除履约保证金，并有权单方面解除本合同。</w:t>
      </w:r>
    </w:p>
    <w:p w14:paraId="551A6E07">
      <w:pPr>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G、承包人擅自更换主要施工管理人员，每发生一次扣除违约金【5000】元。</w:t>
      </w:r>
    </w:p>
    <w:p w14:paraId="5C68CE75">
      <w:pPr>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3、关于质量：</w:t>
      </w:r>
    </w:p>
    <w:p w14:paraId="50706157">
      <w:pPr>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A、若由于施工质量到不到位，给发包人造成负面影响的，每发生一起处以【10000】元/次的扣除违约金。</w:t>
      </w:r>
    </w:p>
    <w:p w14:paraId="0D344BBD">
      <w:pPr>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B、发包人检查发现的质量问题，在书面整改通知或口头整改通知的时间内未整改，每延迟整改一天扣除违约金【1000】元/项；在施工过程中发现偷工减料现象、使用不合格或以次充好的材料，每发生一次扣除违约金【5000】元/次；经主管部门检查（包括发包人组织的检查）发现的明显质量问题，每发生一次扣除违约金【5000】元/项。</w:t>
      </w:r>
    </w:p>
    <w:p w14:paraId="693753C5">
      <w:pPr>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4、关于安全文明施工：</w:t>
      </w:r>
    </w:p>
    <w:p w14:paraId="2874F327">
      <w:pPr>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A、如在施工过程中经主管部门检查（包括发包人组织的检查）文明、安全施工不合格，每出现一次不合格，发包人向承包人扣除违约金【500】元；若不整改或整改后仍达不到要求，发包人视承包人违约，每次扣除违约金【1000】元。</w:t>
      </w:r>
    </w:p>
    <w:p w14:paraId="0A5D76A2">
      <w:pPr>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B、进入现场人员必须佩戴安全帽，未佩戴的每发现一次每人扣除违约金【200】元。</w:t>
      </w:r>
    </w:p>
    <w:p w14:paraId="2D0F8EC0">
      <w:pPr>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5、安全责任：</w:t>
      </w:r>
    </w:p>
    <w:p w14:paraId="5B4D4B66">
      <w:pPr>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A、施工过程中如有发生特大质量、安全事故的，扣除全部履约保证金并按照事故性质和损失确定违约金额，最高不超过合同总价，承包人须承担一切法律责任。</w:t>
      </w:r>
    </w:p>
    <w:p w14:paraId="7380B25C">
      <w:pPr>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6、承包人每延迟一日缴纳履约保证金，违约金则按应缴纳的履约保证金金额的0.05%计算，最高限额为本合同履约保证金的20%；承包人逾期10日，未按要求缴纳履约保证金的，发包人有权在要求承包人支付违约金的同时，单方面解除合同，并就由此造成的一切损失均由承包人负责赔偿。</w:t>
      </w:r>
    </w:p>
    <w:p w14:paraId="440FE0AD">
      <w:pPr>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7、承包人所供产品与投标承诺品牌、型号不符，发包人有权拒绝并要求承包人更换，承包人拒绝更换的发包人有权扣除全部履约保证金，单方解除合同并收回已支付款项，并按《中华人民共和国民法典》中的有关条款索赔，且赔偿额不受合同总价的限制。</w:t>
      </w:r>
    </w:p>
    <w:p w14:paraId="1F7D4BC6">
      <w:pPr>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8、承包人擅自将本合同的全部工程转由第三人承担（除同意分包的拆除工程内容以外），发包人可解除本合同，且承包人应按合同总价的30％向发包人支付违约金。如发生损失的，承包人还应赔偿</w:t>
      </w:r>
      <w:r>
        <w:rPr>
          <w:rFonts w:hint="eastAsia" w:ascii="仿宋" w:hAnsi="仿宋" w:eastAsia="仿宋" w:cs="仿宋"/>
          <w:color w:val="auto"/>
          <w:sz w:val="24"/>
          <w:highlight w:val="none"/>
          <w:u w:val="single"/>
          <w:lang w:eastAsia="zh-CN"/>
        </w:rPr>
        <w:t>发包人</w:t>
      </w:r>
      <w:r>
        <w:rPr>
          <w:rFonts w:hint="eastAsia" w:ascii="仿宋" w:hAnsi="仿宋" w:eastAsia="仿宋" w:cs="仿宋"/>
          <w:color w:val="auto"/>
          <w:sz w:val="24"/>
          <w:highlight w:val="none"/>
          <w:u w:val="single"/>
        </w:rPr>
        <w:t>损失。</w:t>
      </w:r>
    </w:p>
    <w:p w14:paraId="58209C5A">
      <w:pPr>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9、保密责任：未</w:t>
      </w:r>
      <w:r>
        <w:rPr>
          <w:rFonts w:hint="eastAsia" w:ascii="仿宋" w:hAnsi="仿宋" w:eastAsia="仿宋" w:cs="仿宋"/>
          <w:color w:val="auto"/>
          <w:sz w:val="24"/>
          <w:highlight w:val="none"/>
          <w:u w:val="single"/>
          <w:lang w:val="zh-CN"/>
        </w:rPr>
        <w:t>按保密管理条款规定执行的，每发现一次处违约金【10000】元，如发生泄密事件，除赔偿发包人损失外，还应承担全部法律责任。</w:t>
      </w:r>
    </w:p>
    <w:p w14:paraId="514D22B8">
      <w:pPr>
        <w:snapToGrid w:val="0"/>
        <w:spacing w:line="360" w:lineRule="auto"/>
        <w:ind w:left="0" w:leftChars="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10、本项目履约过程中，承包人承诺预留</w:t>
      </w:r>
      <w:r>
        <w:rPr>
          <w:rFonts w:hint="eastAsia" w:ascii="仿宋" w:hAnsi="仿宋" w:eastAsia="仿宋" w:cs="仿宋"/>
          <w:color w:val="auto"/>
          <w:sz w:val="24"/>
          <w:highlight w:val="none"/>
          <w:u w:val="single"/>
          <w:lang w:eastAsia="zh-CN"/>
        </w:rPr>
        <w:t>小微</w:t>
      </w:r>
      <w:r>
        <w:rPr>
          <w:rFonts w:hint="eastAsia" w:ascii="仿宋" w:hAnsi="仿宋" w:eastAsia="仿宋" w:cs="仿宋"/>
          <w:color w:val="auto"/>
          <w:sz w:val="24"/>
          <w:highlight w:val="none"/>
          <w:u w:val="single"/>
        </w:rPr>
        <w:t>企业的比例应达到合同总价的【100】%，若未达到此要求，发包人有权没收全部履约保证金，报送本级政府采购监管部门，提前列入失信行为记录名单，追究相关责任，且承包人应向发包人支付合同总价30%的违约金。</w:t>
      </w:r>
    </w:p>
    <w:p w14:paraId="01BA920D">
      <w:pPr>
        <w:snapToGrid w:val="0"/>
        <w:spacing w:line="360" w:lineRule="auto"/>
        <w:ind w:left="105" w:leftChars="50" w:firstLine="491" w:firstLineChars="205"/>
        <w:rPr>
          <w:rFonts w:ascii="仿宋" w:hAnsi="仿宋" w:eastAsia="仿宋" w:cs="仿宋"/>
          <w:color w:val="auto"/>
          <w:sz w:val="24"/>
          <w:highlight w:val="none"/>
        </w:rPr>
      </w:pPr>
      <w:r>
        <w:rPr>
          <w:rFonts w:hint="eastAsia" w:ascii="仿宋" w:hAnsi="仿宋" w:eastAsia="仿宋" w:cs="仿宋"/>
          <w:color w:val="auto"/>
          <w:sz w:val="24"/>
          <w:highlight w:val="none"/>
          <w:u w:val="single"/>
        </w:rPr>
        <w:t>11、缺陷责任期内，由承包人原因造成的缺陷，承包人应负责维修，并承担鉴定及维修费用。超过缺陷责任期但在质量保修期内的，由承包人据实承担相关费用。修复部分的质保期自修复之日起重新开始计算。</w:t>
      </w:r>
    </w:p>
    <w:p w14:paraId="25B479E5">
      <w:pPr>
        <w:snapToGrid w:val="0"/>
        <w:spacing w:line="360" w:lineRule="auto"/>
        <w:ind w:left="105" w:leftChars="50" w:firstLine="491" w:firstLineChars="205"/>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16.2.2承包人违约的责任</w:t>
      </w:r>
    </w:p>
    <w:p w14:paraId="453C492A">
      <w:pPr>
        <w:snapToGrid w:val="0"/>
        <w:spacing w:line="360" w:lineRule="auto"/>
        <w:ind w:left="105" w:leftChars="50" w:firstLine="491" w:firstLineChars="205"/>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承包人违约责任的承担方式和计算方法：所有违约金在工程结算时，一次性从工程款项中扣除。</w:t>
      </w:r>
    </w:p>
    <w:bookmarkEnd w:id="969"/>
    <w:p w14:paraId="16E239BB">
      <w:pPr>
        <w:spacing w:line="360" w:lineRule="auto"/>
        <w:ind w:firstLine="600" w:firstLineChars="250"/>
        <w:rPr>
          <w:rFonts w:ascii="仿宋" w:hAnsi="仿宋" w:eastAsia="仿宋" w:cs="仿宋"/>
          <w:color w:val="auto"/>
          <w:sz w:val="24"/>
          <w:highlight w:val="none"/>
        </w:rPr>
      </w:pPr>
      <w:bookmarkStart w:id="971" w:name="_Toc351203650"/>
      <w:r>
        <w:rPr>
          <w:rFonts w:hint="eastAsia" w:ascii="仿宋" w:hAnsi="仿宋" w:eastAsia="仿宋" w:cs="仿宋"/>
          <w:color w:val="auto"/>
          <w:sz w:val="24"/>
          <w:highlight w:val="none"/>
        </w:rPr>
        <w:t>16.2.3 因承包人违约解除合同</w:t>
      </w:r>
    </w:p>
    <w:p w14:paraId="3FFA1120">
      <w:pPr>
        <w:snapToGrid w:val="0"/>
        <w:spacing w:line="360" w:lineRule="auto"/>
        <w:ind w:left="105" w:leftChars="50" w:firstLine="491" w:firstLineChars="205"/>
        <w:rPr>
          <w:rFonts w:ascii="仿宋" w:hAnsi="仿宋" w:eastAsia="仿宋" w:cs="仿宋"/>
          <w:color w:val="auto"/>
          <w:sz w:val="24"/>
          <w:highlight w:val="none"/>
        </w:rPr>
      </w:pPr>
      <w:r>
        <w:rPr>
          <w:rFonts w:hint="eastAsia" w:ascii="仿宋" w:hAnsi="仿宋" w:eastAsia="仿宋" w:cs="仿宋"/>
          <w:color w:val="auto"/>
          <w:sz w:val="24"/>
          <w:highlight w:val="none"/>
        </w:rPr>
        <w:t>关于承包人违约解除合同的特别约定：</w:t>
      </w:r>
    </w:p>
    <w:p w14:paraId="755B48CC">
      <w:pPr>
        <w:snapToGrid w:val="0"/>
        <w:spacing w:line="360" w:lineRule="auto"/>
        <w:ind w:left="105" w:leftChars="50" w:firstLine="491" w:firstLineChars="205"/>
        <w:rPr>
          <w:rFonts w:ascii="仿宋" w:hAnsi="仿宋" w:eastAsia="仿宋" w:cs="仿宋"/>
          <w:color w:val="auto"/>
          <w:sz w:val="24"/>
          <w:highlight w:val="none"/>
        </w:rPr>
      </w:pPr>
      <w:r>
        <w:rPr>
          <w:rFonts w:hint="eastAsia" w:ascii="仿宋" w:hAnsi="仿宋" w:eastAsia="仿宋" w:cs="仿宋"/>
          <w:color w:val="auto"/>
          <w:sz w:val="24"/>
          <w:highlight w:val="none"/>
        </w:rPr>
        <w:t>A</w:t>
      </w:r>
      <w:r>
        <w:rPr>
          <w:rFonts w:hint="eastAsia" w:ascii="仿宋" w:hAnsi="仿宋" w:eastAsia="仿宋" w:cs="仿宋"/>
          <w:color w:val="auto"/>
          <w:sz w:val="24"/>
          <w:highlight w:val="none"/>
          <w:lang w:val="zh-CN"/>
        </w:rPr>
        <w:t>、不符合工程技术标准的；</w:t>
      </w:r>
    </w:p>
    <w:p w14:paraId="083EBF84">
      <w:pPr>
        <w:snapToGrid w:val="0"/>
        <w:spacing w:line="360" w:lineRule="auto"/>
        <w:ind w:left="105" w:leftChars="50" w:firstLine="491" w:firstLineChars="205"/>
        <w:rPr>
          <w:rFonts w:ascii="仿宋" w:hAnsi="仿宋" w:eastAsia="仿宋" w:cs="仿宋"/>
          <w:color w:val="auto"/>
          <w:sz w:val="24"/>
          <w:highlight w:val="none"/>
        </w:rPr>
      </w:pPr>
      <w:r>
        <w:rPr>
          <w:rFonts w:hint="eastAsia" w:ascii="仿宋" w:hAnsi="仿宋" w:eastAsia="仿宋" w:cs="仿宋"/>
          <w:color w:val="auto"/>
          <w:sz w:val="24"/>
          <w:highlight w:val="none"/>
        </w:rPr>
        <w:t>B</w:t>
      </w:r>
      <w:r>
        <w:rPr>
          <w:rFonts w:hint="eastAsia" w:ascii="仿宋" w:hAnsi="仿宋" w:eastAsia="仿宋" w:cs="仿宋"/>
          <w:color w:val="auto"/>
          <w:sz w:val="24"/>
          <w:highlight w:val="none"/>
          <w:lang w:val="zh-CN"/>
        </w:rPr>
        <w:t>、偷工减料的；</w:t>
      </w:r>
    </w:p>
    <w:p w14:paraId="4791CDC9">
      <w:pPr>
        <w:snapToGrid w:val="0"/>
        <w:spacing w:line="360" w:lineRule="auto"/>
        <w:ind w:left="105" w:leftChars="50" w:firstLine="491" w:firstLineChars="205"/>
        <w:rPr>
          <w:rFonts w:ascii="仿宋" w:hAnsi="仿宋" w:eastAsia="仿宋" w:cs="仿宋"/>
          <w:color w:val="auto"/>
          <w:sz w:val="24"/>
          <w:highlight w:val="none"/>
        </w:rPr>
      </w:pPr>
      <w:r>
        <w:rPr>
          <w:rFonts w:hint="eastAsia" w:ascii="仿宋" w:hAnsi="仿宋" w:eastAsia="仿宋" w:cs="仿宋"/>
          <w:color w:val="auto"/>
          <w:sz w:val="24"/>
          <w:highlight w:val="none"/>
        </w:rPr>
        <w:t>C</w:t>
      </w:r>
      <w:r>
        <w:rPr>
          <w:rFonts w:hint="eastAsia" w:ascii="仿宋" w:hAnsi="仿宋" w:eastAsia="仿宋" w:cs="仿宋"/>
          <w:color w:val="auto"/>
          <w:sz w:val="24"/>
          <w:highlight w:val="none"/>
          <w:lang w:val="zh-CN"/>
        </w:rPr>
        <w:t>、不按图施工的；</w:t>
      </w:r>
    </w:p>
    <w:p w14:paraId="395B5858">
      <w:pPr>
        <w:snapToGrid w:val="0"/>
        <w:spacing w:line="360" w:lineRule="auto"/>
        <w:ind w:left="105" w:leftChars="50" w:firstLine="491" w:firstLineChars="205"/>
        <w:rPr>
          <w:rFonts w:ascii="仿宋" w:hAnsi="仿宋" w:eastAsia="仿宋" w:cs="仿宋"/>
          <w:color w:val="auto"/>
          <w:sz w:val="24"/>
          <w:highlight w:val="none"/>
        </w:rPr>
      </w:pPr>
      <w:r>
        <w:rPr>
          <w:rFonts w:hint="eastAsia" w:ascii="仿宋" w:hAnsi="仿宋" w:eastAsia="仿宋" w:cs="仿宋"/>
          <w:color w:val="auto"/>
          <w:sz w:val="24"/>
          <w:highlight w:val="none"/>
        </w:rPr>
        <w:t>D</w:t>
      </w:r>
      <w:r>
        <w:rPr>
          <w:rFonts w:hint="eastAsia" w:ascii="仿宋" w:hAnsi="仿宋" w:eastAsia="仿宋" w:cs="仿宋"/>
          <w:color w:val="auto"/>
          <w:sz w:val="24"/>
          <w:highlight w:val="none"/>
          <w:lang w:val="zh-CN"/>
        </w:rPr>
        <w:t>、造成重特大责任事故的；</w:t>
      </w:r>
    </w:p>
    <w:p w14:paraId="4060B3CF">
      <w:pPr>
        <w:snapToGrid w:val="0"/>
        <w:spacing w:line="360" w:lineRule="auto"/>
        <w:ind w:left="105" w:leftChars="50" w:firstLine="491" w:firstLineChars="205"/>
        <w:rPr>
          <w:rFonts w:ascii="仿宋" w:hAnsi="仿宋" w:eastAsia="仿宋" w:cs="仿宋"/>
          <w:color w:val="auto"/>
          <w:sz w:val="24"/>
          <w:highlight w:val="none"/>
        </w:rPr>
      </w:pPr>
      <w:r>
        <w:rPr>
          <w:rFonts w:hint="eastAsia" w:ascii="仿宋" w:hAnsi="仿宋" w:eastAsia="仿宋" w:cs="仿宋"/>
          <w:color w:val="auto"/>
          <w:sz w:val="24"/>
          <w:highlight w:val="none"/>
        </w:rPr>
        <w:t>E</w:t>
      </w:r>
      <w:r>
        <w:rPr>
          <w:rFonts w:hint="eastAsia" w:ascii="仿宋" w:hAnsi="仿宋" w:eastAsia="仿宋" w:cs="仿宋"/>
          <w:color w:val="auto"/>
          <w:sz w:val="24"/>
          <w:highlight w:val="none"/>
          <w:lang w:val="zh-CN"/>
        </w:rPr>
        <w:t>、不文明安全施工的</w:t>
      </w:r>
      <w:r>
        <w:rPr>
          <w:rFonts w:hint="eastAsia" w:ascii="仿宋" w:hAnsi="仿宋" w:eastAsia="仿宋" w:cs="仿宋"/>
          <w:color w:val="auto"/>
          <w:sz w:val="24"/>
          <w:highlight w:val="none"/>
        </w:rPr>
        <w:t>；</w:t>
      </w:r>
    </w:p>
    <w:p w14:paraId="7B42FC39">
      <w:pPr>
        <w:snapToGrid w:val="0"/>
        <w:spacing w:line="360" w:lineRule="auto"/>
        <w:ind w:left="105" w:leftChars="50" w:firstLine="491" w:firstLineChars="205"/>
        <w:rPr>
          <w:rFonts w:ascii="仿宋" w:hAnsi="仿宋" w:eastAsia="仿宋" w:cs="仿宋"/>
          <w:color w:val="auto"/>
          <w:sz w:val="24"/>
          <w:highlight w:val="none"/>
          <w:lang w:val="zh-CN"/>
        </w:rPr>
      </w:pPr>
      <w:r>
        <w:rPr>
          <w:rFonts w:hint="eastAsia" w:ascii="仿宋" w:hAnsi="仿宋" w:eastAsia="仿宋" w:cs="仿宋"/>
          <w:color w:val="auto"/>
          <w:sz w:val="24"/>
          <w:highlight w:val="none"/>
        </w:rPr>
        <w:t>F</w:t>
      </w:r>
      <w:r>
        <w:rPr>
          <w:rFonts w:hint="eastAsia" w:ascii="仿宋" w:hAnsi="仿宋" w:eastAsia="仿宋" w:cs="仿宋"/>
          <w:color w:val="auto"/>
          <w:sz w:val="24"/>
          <w:highlight w:val="none"/>
          <w:lang w:val="zh-CN"/>
        </w:rPr>
        <w:t>、不服从现场指挥的；</w:t>
      </w:r>
    </w:p>
    <w:p w14:paraId="51FE4DBD">
      <w:pPr>
        <w:snapToGrid w:val="0"/>
        <w:spacing w:line="360" w:lineRule="auto"/>
        <w:ind w:left="105" w:leftChars="50" w:firstLine="491" w:firstLineChars="205"/>
        <w:rPr>
          <w:rFonts w:hint="eastAsia" w:ascii="仿宋" w:hAnsi="仿宋" w:eastAsia="仿宋" w:cs="仿宋"/>
          <w:color w:val="auto"/>
          <w:sz w:val="24"/>
          <w:highlight w:val="none"/>
          <w:u w:val="none"/>
        </w:rPr>
      </w:pPr>
      <w:r>
        <w:rPr>
          <w:rFonts w:hint="eastAsia" w:ascii="仿宋" w:hAnsi="仿宋" w:eastAsia="仿宋" w:cs="仿宋"/>
          <w:color w:val="auto"/>
          <w:sz w:val="24"/>
          <w:highlight w:val="none"/>
        </w:rPr>
        <w:t>G</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u w:val="single"/>
        </w:rPr>
        <w:t>工程质量不合格、不符合国家有关工程施工验收规范和标准的合格要求</w:t>
      </w:r>
      <w:r>
        <w:rPr>
          <w:rFonts w:hint="eastAsia" w:ascii="仿宋" w:hAnsi="仿宋" w:eastAsia="仿宋" w:cs="仿宋"/>
          <w:color w:val="auto"/>
          <w:sz w:val="24"/>
          <w:highlight w:val="none"/>
        </w:rPr>
        <w:t>。</w:t>
      </w:r>
    </w:p>
    <w:p w14:paraId="49245A8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发包人继续使用承包人在施工现场的材料、设备、临时工程、承包人文件和由承包人或以其名义编制的其他文件的费用承担方式：</w:t>
      </w:r>
      <w:r>
        <w:rPr>
          <w:rFonts w:hint="eastAsia" w:ascii="仿宋" w:hAnsi="仿宋" w:eastAsia="仿宋" w:cs="仿宋"/>
          <w:color w:val="auto"/>
          <w:sz w:val="24"/>
          <w:highlight w:val="none"/>
          <w:u w:val="single"/>
        </w:rPr>
        <w:t xml:space="preserve">  由承包人承担相应费用  </w:t>
      </w:r>
      <w:r>
        <w:rPr>
          <w:rFonts w:hint="eastAsia" w:ascii="仿宋" w:hAnsi="仿宋" w:eastAsia="仿宋" w:cs="仿宋"/>
          <w:color w:val="auto"/>
          <w:sz w:val="24"/>
          <w:highlight w:val="none"/>
        </w:rPr>
        <w:t>。</w:t>
      </w:r>
    </w:p>
    <w:p w14:paraId="0FB40B19">
      <w:pPr>
        <w:pStyle w:val="6"/>
        <w:tabs>
          <w:tab w:val="left" w:pos="630"/>
        </w:tabs>
        <w:spacing w:before="0" w:after="0" w:line="360" w:lineRule="auto"/>
        <w:ind w:left="863" w:leftChars="228" w:hanging="384" w:hangingChars="160"/>
        <w:rPr>
          <w:rFonts w:ascii="仿宋" w:hAnsi="仿宋" w:eastAsia="仿宋" w:cs="仿宋"/>
          <w:b w:val="0"/>
          <w:color w:val="auto"/>
          <w:sz w:val="24"/>
          <w:szCs w:val="24"/>
          <w:highlight w:val="none"/>
        </w:rPr>
      </w:pPr>
      <w:bookmarkStart w:id="972" w:name="_Toc351203649"/>
      <w:r>
        <w:rPr>
          <w:rFonts w:hint="eastAsia" w:ascii="仿宋" w:hAnsi="仿宋" w:eastAsia="仿宋" w:cs="仿宋"/>
          <w:b w:val="0"/>
          <w:color w:val="auto"/>
          <w:sz w:val="24"/>
          <w:szCs w:val="24"/>
          <w:highlight w:val="none"/>
        </w:rPr>
        <w:t>17. 不可抗力</w:t>
      </w:r>
      <w:bookmarkEnd w:id="972"/>
    </w:p>
    <w:p w14:paraId="4F8A00F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17.1 不可抗力的确认</w:t>
      </w:r>
    </w:p>
    <w:p w14:paraId="5A65330C">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除通用合同条款约定的不可抗力事件之外，视为不可抗力的其他情形：</w:t>
      </w:r>
      <w:r>
        <w:rPr>
          <w:rFonts w:hint="eastAsia" w:ascii="仿宋" w:hAnsi="仿宋" w:eastAsia="仿宋" w:cs="仿宋"/>
          <w:color w:val="auto"/>
          <w:sz w:val="24"/>
          <w:highlight w:val="none"/>
          <w:u w:val="single"/>
        </w:rPr>
        <w:t>（1）战争、敌对行动（不论宣战与否）、入侵、外敌行动；（2）叛乱、革命、暴动，或军事政变或篡夺政权，或内战；（3）由于任何核燃料或核燃料烧后的核废物、放射性毒气爆炸，或任何爆炸性核装置或核成分的其它危险性所能引起的离子辐射或放射性污染；（4）音速或超音速飞行的飞机或其它飞行装置产生的压力波；（5）暴乱、骚乱或混乱，但此类事件完全局限在承包人或其分包商所雇人员中间，并且是由于从事本工程而引起的除外；（6）经国家或地方有关部门认定的7级以上地震，10级以上大风，持续5天的特大暴雨，50年一遇持续7天的高温天气或严寒天气、洪水等自然灾害。</w:t>
      </w:r>
    </w:p>
    <w:p w14:paraId="3ACFF04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 因不可抗力解除合同</w:t>
      </w:r>
    </w:p>
    <w:p w14:paraId="18806C8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合同解除后，发包人应在商定或确定发包人应支付款项后</w:t>
      </w:r>
      <w:r>
        <w:rPr>
          <w:rFonts w:hint="eastAsia" w:ascii="仿宋" w:hAnsi="仿宋" w:eastAsia="仿宋" w:cs="仿宋"/>
          <w:color w:val="auto"/>
          <w:sz w:val="24"/>
          <w:highlight w:val="none"/>
          <w:u w:val="single"/>
        </w:rPr>
        <w:t>28</w:t>
      </w:r>
      <w:r>
        <w:rPr>
          <w:rFonts w:hint="eastAsia" w:ascii="仿宋" w:hAnsi="仿宋" w:eastAsia="仿宋" w:cs="仿宋"/>
          <w:color w:val="auto"/>
          <w:sz w:val="24"/>
          <w:highlight w:val="none"/>
        </w:rPr>
        <w:t>天内完成款项的支付。</w:t>
      </w:r>
    </w:p>
    <w:p w14:paraId="6200F02D">
      <w:pPr>
        <w:keepNext/>
        <w:keepLines/>
        <w:snapToGrid w:val="0"/>
        <w:spacing w:line="360" w:lineRule="auto"/>
        <w:ind w:firstLine="480" w:firstLineChars="200"/>
        <w:outlineLvl w:val="3"/>
        <w:rPr>
          <w:rFonts w:ascii="仿宋" w:hAnsi="仿宋" w:eastAsia="仿宋" w:cs="仿宋"/>
          <w:bCs/>
          <w:color w:val="auto"/>
          <w:sz w:val="24"/>
          <w:highlight w:val="none"/>
          <w:lang w:val="zh-CN"/>
        </w:rPr>
      </w:pPr>
      <w:r>
        <w:rPr>
          <w:rFonts w:hint="eastAsia" w:ascii="仿宋" w:hAnsi="仿宋" w:eastAsia="仿宋" w:cs="仿宋"/>
          <w:bCs/>
          <w:color w:val="auto"/>
          <w:sz w:val="24"/>
          <w:highlight w:val="none"/>
        </w:rPr>
        <w:t>18.</w:t>
      </w:r>
      <w:r>
        <w:rPr>
          <w:rFonts w:hint="eastAsia" w:ascii="仿宋" w:hAnsi="仿宋" w:eastAsia="仿宋" w:cs="仿宋"/>
          <w:bCs/>
          <w:color w:val="auto"/>
          <w:sz w:val="24"/>
          <w:highlight w:val="none"/>
          <w:lang w:val="zh-CN"/>
        </w:rPr>
        <w:t>保险</w:t>
      </w:r>
      <w:bookmarkEnd w:id="971"/>
    </w:p>
    <w:bookmarkEnd w:id="970"/>
    <w:p w14:paraId="03B8B0F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 工程保险</w:t>
      </w:r>
    </w:p>
    <w:p w14:paraId="5A9ECB64">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关于工程保险的特别约定：</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14:paraId="6B9ECE2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18.3其他保险</w:t>
      </w:r>
    </w:p>
    <w:p w14:paraId="794FFD7D">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关于其他保险的约定：</w:t>
      </w:r>
      <w:r>
        <w:rPr>
          <w:rFonts w:hint="eastAsia" w:ascii="仿宋" w:hAnsi="仿宋" w:eastAsia="仿宋" w:cs="仿宋"/>
          <w:color w:val="auto"/>
          <w:kern w:val="0"/>
          <w:sz w:val="24"/>
          <w:highlight w:val="none"/>
          <w:u w:val="single"/>
        </w:rPr>
        <w:t xml:space="preserve"> 承包人为建设工程和施工场地内的自有人员设备及第三方生命财产办理保险并支付保险费用，费用已包含在合同总价内。施工期间所发生的一切与本工程有关的承包人的人员、财产等意外伤害、损失，由承包人承担全部责任和费用  </w:t>
      </w:r>
      <w:r>
        <w:rPr>
          <w:rFonts w:hint="eastAsia" w:ascii="仿宋" w:hAnsi="仿宋" w:eastAsia="仿宋" w:cs="仿宋"/>
          <w:color w:val="auto"/>
          <w:kern w:val="0"/>
          <w:sz w:val="24"/>
          <w:highlight w:val="none"/>
        </w:rPr>
        <w:t>。</w:t>
      </w:r>
    </w:p>
    <w:p w14:paraId="1577CC05">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承包人是否应为其施工设备等办理财产保险：</w:t>
      </w:r>
      <w:r>
        <w:rPr>
          <w:rFonts w:hint="eastAsia" w:ascii="仿宋" w:hAnsi="仿宋" w:eastAsia="仿宋" w:cs="仿宋"/>
          <w:color w:val="auto"/>
          <w:sz w:val="24"/>
          <w:highlight w:val="none"/>
          <w:u w:val="single"/>
        </w:rPr>
        <w:t xml:space="preserve">   是   </w:t>
      </w:r>
      <w:r>
        <w:rPr>
          <w:rFonts w:hint="eastAsia" w:ascii="仿宋" w:hAnsi="仿宋" w:eastAsia="仿宋" w:cs="仿宋"/>
          <w:color w:val="auto"/>
          <w:sz w:val="24"/>
          <w:highlight w:val="none"/>
        </w:rPr>
        <w:t>。</w:t>
      </w:r>
    </w:p>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14:paraId="66390CF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18.7 通知义务</w:t>
      </w:r>
    </w:p>
    <w:p w14:paraId="6D68ABC9">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关于变更保险合同时的通知义务的约定：</w:t>
      </w:r>
      <w:bookmarkStart w:id="973" w:name="SOA_zyht_ywtz"/>
      <w:r>
        <w:rPr>
          <w:rFonts w:hint="eastAsia" w:ascii="仿宋" w:hAnsi="仿宋" w:eastAsia="仿宋" w:cs="仿宋"/>
          <w:color w:val="auto"/>
          <w:sz w:val="24"/>
          <w:highlight w:val="none"/>
          <w:u w:val="single"/>
        </w:rPr>
        <w:t>按通用条款执行</w:t>
      </w:r>
      <w:bookmarkEnd w:id="973"/>
      <w:r>
        <w:rPr>
          <w:rFonts w:hint="eastAsia" w:ascii="仿宋" w:hAnsi="仿宋" w:eastAsia="仿宋" w:cs="仿宋"/>
          <w:color w:val="auto"/>
          <w:sz w:val="24"/>
          <w:highlight w:val="none"/>
        </w:rPr>
        <w:t>。</w:t>
      </w:r>
    </w:p>
    <w:p w14:paraId="13CFA1EE">
      <w:pPr>
        <w:pStyle w:val="6"/>
        <w:spacing w:before="0" w:after="0" w:line="360" w:lineRule="auto"/>
        <w:ind w:left="863" w:leftChars="228" w:hanging="384" w:hangingChars="160"/>
        <w:rPr>
          <w:rFonts w:ascii="仿宋" w:hAnsi="仿宋" w:eastAsia="仿宋" w:cs="仿宋"/>
          <w:b w:val="0"/>
          <w:color w:val="auto"/>
          <w:sz w:val="24"/>
          <w:szCs w:val="24"/>
          <w:highlight w:val="none"/>
        </w:rPr>
      </w:pPr>
      <w:bookmarkStart w:id="974" w:name="_Toc351203651"/>
      <w:r>
        <w:rPr>
          <w:rFonts w:hint="eastAsia" w:ascii="仿宋" w:hAnsi="仿宋" w:eastAsia="仿宋" w:cs="仿宋"/>
          <w:b w:val="0"/>
          <w:color w:val="auto"/>
          <w:sz w:val="24"/>
          <w:szCs w:val="24"/>
          <w:highlight w:val="none"/>
        </w:rPr>
        <w:t>20. 争议解决</w:t>
      </w:r>
      <w:bookmarkEnd w:id="974"/>
    </w:p>
    <w:p w14:paraId="5C18ECF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20.3 争议评审</w:t>
      </w:r>
    </w:p>
    <w:p w14:paraId="4233987F">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合同当事人是否同意将工程争议提交争议评审小组决定：</w:t>
      </w:r>
      <w:r>
        <w:rPr>
          <w:rFonts w:hint="eastAsia" w:ascii="仿宋" w:hAnsi="仿宋" w:eastAsia="仿宋" w:cs="仿宋"/>
          <w:bCs/>
          <w:color w:val="auto"/>
          <w:sz w:val="24"/>
          <w:highlight w:val="none"/>
          <w:u w:val="single"/>
        </w:rPr>
        <w:t>否</w:t>
      </w:r>
      <w:r>
        <w:rPr>
          <w:rFonts w:hint="eastAsia" w:ascii="仿宋" w:hAnsi="仿宋" w:eastAsia="仿宋" w:cs="仿宋"/>
          <w:color w:val="auto"/>
          <w:sz w:val="24"/>
          <w:highlight w:val="none"/>
        </w:rPr>
        <w:t xml:space="preserve">。  </w:t>
      </w:r>
    </w:p>
    <w:p w14:paraId="0156650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20.3.1 争议评审小组的确定</w:t>
      </w:r>
    </w:p>
    <w:p w14:paraId="5E559968">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争议评审小组成员的确定：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11D691F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选定争议评审员的期限：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0D2011A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争议评审小组成员的报酬承担方式：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165B479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其他事项的约定：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2E339CD8">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20.3.2 争议评审小组的决定</w:t>
      </w:r>
    </w:p>
    <w:p w14:paraId="29C593F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合同当事人关于本项的约定：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33564CF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20.4仲裁或诉讼</w:t>
      </w:r>
    </w:p>
    <w:p w14:paraId="1A23D19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因合同及合同有关事项发生的争议，双方当事人一致同意提交</w:t>
      </w:r>
      <w:r>
        <w:rPr>
          <w:rFonts w:hint="eastAsia" w:ascii="仿宋" w:hAnsi="仿宋" w:eastAsia="仿宋" w:cs="仿宋"/>
          <w:b/>
          <w:color w:val="auto"/>
          <w:sz w:val="24"/>
          <w:highlight w:val="none"/>
        </w:rPr>
        <w:t>杭州仲裁委员会申请仲裁</w:t>
      </w:r>
      <w:r>
        <w:rPr>
          <w:rFonts w:hint="eastAsia" w:ascii="仿宋" w:hAnsi="仿宋" w:eastAsia="仿宋" w:cs="仿宋"/>
          <w:color w:val="auto"/>
          <w:sz w:val="24"/>
          <w:highlight w:val="none"/>
        </w:rPr>
        <w:t>；但双方当事人特别约定下列解决方式中第</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种方式解决争议的除外：</w:t>
      </w:r>
    </w:p>
    <w:p w14:paraId="77C8954B">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（1）提交</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仲裁委员会申请仲裁；</w:t>
      </w:r>
    </w:p>
    <w:p w14:paraId="7B14148B">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（2）依法向</w:t>
      </w:r>
      <w:r>
        <w:rPr>
          <w:rFonts w:hint="eastAsia" w:ascii="仿宋" w:hAnsi="仿宋" w:eastAsia="仿宋" w:cs="仿宋"/>
          <w:color w:val="auto"/>
          <w:sz w:val="24"/>
          <w:highlight w:val="none"/>
          <w:u w:val="single"/>
        </w:rPr>
        <w:t xml:space="preserve">  工程所在地  </w:t>
      </w:r>
      <w:r>
        <w:rPr>
          <w:rFonts w:hint="eastAsia" w:ascii="仿宋" w:hAnsi="仿宋" w:eastAsia="仿宋" w:cs="仿宋"/>
          <w:color w:val="auto"/>
          <w:sz w:val="24"/>
          <w:highlight w:val="none"/>
        </w:rPr>
        <w:t>人民法院起诉。</w:t>
      </w:r>
      <w:bookmarkEnd w:id="957"/>
      <w:bookmarkEnd w:id="958"/>
      <w:bookmarkEnd w:id="959"/>
      <w:bookmarkEnd w:id="960"/>
      <w:bookmarkEnd w:id="961"/>
      <w:bookmarkEnd w:id="962"/>
    </w:p>
    <w:p w14:paraId="36D74CCC">
      <w:pPr>
        <w:snapToGrid w:val="0"/>
        <w:spacing w:line="360" w:lineRule="auto"/>
        <w:ind w:firstLine="480" w:firstLineChars="200"/>
        <w:jc w:val="left"/>
        <w:rPr>
          <w:rFonts w:ascii="仿宋" w:hAnsi="仿宋" w:eastAsia="仿宋" w:cs="仿宋"/>
          <w:b/>
          <w:color w:val="auto"/>
          <w:sz w:val="24"/>
          <w:highlight w:val="none"/>
        </w:rPr>
      </w:pPr>
      <w:r>
        <w:rPr>
          <w:rFonts w:ascii="仿宋" w:hAnsi="仿宋" w:eastAsia="仿宋" w:cs="仿宋"/>
          <w:color w:val="auto"/>
          <w:sz w:val="24"/>
          <w:highlight w:val="none"/>
        </w:rPr>
        <w:t>21</w:t>
      </w:r>
      <w:r>
        <w:rPr>
          <w:rFonts w:hint="eastAsia" w:ascii="仿宋" w:hAnsi="仿宋" w:eastAsia="仿宋" w:cs="仿宋"/>
          <w:color w:val="auto"/>
          <w:sz w:val="24"/>
          <w:highlight w:val="none"/>
        </w:rPr>
        <w:t xml:space="preserve">.其他补充事项的约定  </w:t>
      </w:r>
    </w:p>
    <w:p w14:paraId="62B8B545">
      <w:pPr>
        <w:snapToGrid w:val="0"/>
        <w:spacing w:line="360" w:lineRule="auto"/>
        <w:ind w:firstLine="600" w:firstLineChars="25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合同双方确认，本合同及本合同约定的其它文件组成部分中的各项约定都是通过法定招标过程形成的合法成果，不存在与采购文件和承包人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2C5B2522">
      <w:pPr>
        <w:snapToGrid w:val="0"/>
        <w:spacing w:line="360" w:lineRule="auto"/>
        <w:ind w:firstLine="480" w:firstLineChars="200"/>
        <w:rPr>
          <w:rFonts w:ascii="仿宋" w:hAnsi="仿宋" w:eastAsia="仿宋" w:cs="仿宋"/>
          <w:color w:val="auto"/>
          <w:sz w:val="24"/>
          <w:highlight w:val="none"/>
        </w:rPr>
      </w:pPr>
    </w:p>
    <w:p w14:paraId="7404E8F5">
      <w:pPr>
        <w:pStyle w:val="44"/>
        <w:rPr>
          <w:rFonts w:ascii="仿宋" w:hAnsi="仿宋" w:eastAsia="仿宋" w:cs="仿宋"/>
          <w:color w:val="auto"/>
          <w:sz w:val="24"/>
          <w:highlight w:val="none"/>
        </w:rPr>
      </w:pPr>
    </w:p>
    <w:p w14:paraId="03540A6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合同附件：</w:t>
      </w:r>
    </w:p>
    <w:p w14:paraId="52B06F4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附件1：本项目主要施工管理人员名单</w:t>
      </w:r>
    </w:p>
    <w:p w14:paraId="1036CCB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：工程质量保修书</w:t>
      </w:r>
    </w:p>
    <w:p w14:paraId="4EE8F4E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附件3：机械设备清单</w:t>
      </w:r>
    </w:p>
    <w:p w14:paraId="5309F23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附件4：合同价格清单</w:t>
      </w:r>
    </w:p>
    <w:p w14:paraId="1277DABB">
      <w:pPr>
        <w:rPr>
          <w:color w:val="auto"/>
          <w:highlight w:val="none"/>
        </w:rPr>
      </w:pPr>
    </w:p>
    <w:p w14:paraId="24A20FDA">
      <w:pPr>
        <w:widowControl/>
        <w:adjustRightInd/>
        <w:jc w:val="left"/>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14:paraId="70CD2FEE">
      <w:pPr>
        <w:rPr>
          <w:rFonts w:ascii="仿宋" w:hAnsi="仿宋" w:eastAsia="仿宋" w:cs="仿宋"/>
          <w:color w:val="auto"/>
          <w:sz w:val="24"/>
          <w:highlight w:val="none"/>
        </w:rPr>
      </w:pPr>
      <w:r>
        <w:rPr>
          <w:rFonts w:hint="eastAsia" w:ascii="仿宋" w:hAnsi="仿宋" w:eastAsia="仿宋" w:cs="仿宋"/>
          <w:color w:val="auto"/>
          <w:sz w:val="24"/>
          <w:highlight w:val="none"/>
        </w:rPr>
        <w:t>附件1：</w:t>
      </w:r>
    </w:p>
    <w:p w14:paraId="42BF2E6E">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本项目主要施工管理人员名单</w:t>
      </w:r>
    </w:p>
    <w:tbl>
      <w:tblPr>
        <w:tblStyle w:val="62"/>
        <w:tblW w:w="9766" w:type="dxa"/>
        <w:jc w:val="center"/>
        <w:tblLayout w:type="fixed"/>
        <w:tblCellMar>
          <w:top w:w="0" w:type="dxa"/>
          <w:left w:w="0" w:type="dxa"/>
          <w:bottom w:w="0" w:type="dxa"/>
          <w:right w:w="0" w:type="dxa"/>
        </w:tblCellMar>
      </w:tblPr>
      <w:tblGrid>
        <w:gridCol w:w="423"/>
        <w:gridCol w:w="2019"/>
        <w:gridCol w:w="2442"/>
        <w:gridCol w:w="2442"/>
        <w:gridCol w:w="2440"/>
      </w:tblGrid>
      <w:tr w14:paraId="1F103C4B">
        <w:tblPrEx>
          <w:tblCellMar>
            <w:top w:w="0" w:type="dxa"/>
            <w:left w:w="0" w:type="dxa"/>
            <w:bottom w:w="0" w:type="dxa"/>
            <w:right w:w="0" w:type="dxa"/>
          </w:tblCellMar>
        </w:tblPrEx>
        <w:trPr>
          <w:trHeight w:val="90" w:hRule="atLeast"/>
          <w:jc w:val="center"/>
        </w:trPr>
        <w:tc>
          <w:tcPr>
            <w:tcW w:w="4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03EB8D">
            <w:pPr>
              <w:widowControl/>
              <w:autoSpaceDE w:val="0"/>
              <w:autoSpaceDN w:val="0"/>
              <w:spacing w:line="360" w:lineRule="auto"/>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2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96678A">
            <w:pPr>
              <w:widowControl/>
              <w:autoSpaceDE w:val="0"/>
              <w:autoSpaceDN w:val="0"/>
              <w:spacing w:line="360" w:lineRule="auto"/>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人员岗位</w:t>
            </w:r>
          </w:p>
        </w:tc>
        <w:tc>
          <w:tcPr>
            <w:tcW w:w="2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D42A5E">
            <w:pPr>
              <w:widowControl/>
              <w:autoSpaceDE w:val="0"/>
              <w:autoSpaceDN w:val="0"/>
              <w:spacing w:line="360" w:lineRule="auto"/>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人员姓名</w:t>
            </w:r>
          </w:p>
        </w:tc>
        <w:tc>
          <w:tcPr>
            <w:tcW w:w="2442" w:type="dxa"/>
            <w:tcBorders>
              <w:top w:val="single" w:color="000000" w:sz="4" w:space="0"/>
              <w:left w:val="single" w:color="000000" w:sz="4" w:space="0"/>
              <w:bottom w:val="single" w:color="000000" w:sz="4" w:space="0"/>
              <w:right w:val="single" w:color="000000" w:sz="4" w:space="0"/>
            </w:tcBorders>
            <w:vAlign w:val="center"/>
          </w:tcPr>
          <w:p w14:paraId="66EFA949">
            <w:pPr>
              <w:widowControl/>
              <w:autoSpaceDE w:val="0"/>
              <w:autoSpaceDN w:val="0"/>
              <w:spacing w:line="360" w:lineRule="auto"/>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身份证号码</w:t>
            </w:r>
          </w:p>
        </w:tc>
        <w:tc>
          <w:tcPr>
            <w:tcW w:w="2440" w:type="dxa"/>
            <w:tcBorders>
              <w:top w:val="single" w:color="000000" w:sz="4" w:space="0"/>
              <w:left w:val="single" w:color="000000" w:sz="4" w:space="0"/>
              <w:bottom w:val="single" w:color="000000" w:sz="4" w:space="0"/>
              <w:right w:val="single" w:color="000000" w:sz="4" w:space="0"/>
            </w:tcBorders>
            <w:vAlign w:val="center"/>
          </w:tcPr>
          <w:p w14:paraId="0AAFFA8D">
            <w:pPr>
              <w:widowControl/>
              <w:autoSpaceDE w:val="0"/>
              <w:autoSpaceDN w:val="0"/>
              <w:spacing w:line="360" w:lineRule="auto"/>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资格证书证号</w:t>
            </w:r>
          </w:p>
        </w:tc>
      </w:tr>
      <w:tr w14:paraId="62E0E389">
        <w:tblPrEx>
          <w:tblCellMar>
            <w:top w:w="0" w:type="dxa"/>
            <w:left w:w="0" w:type="dxa"/>
            <w:bottom w:w="0" w:type="dxa"/>
            <w:right w:w="0" w:type="dxa"/>
          </w:tblCellMar>
        </w:tblPrEx>
        <w:trPr>
          <w:trHeight w:val="90" w:hRule="atLeast"/>
          <w:jc w:val="center"/>
        </w:trPr>
        <w:tc>
          <w:tcPr>
            <w:tcW w:w="4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B68D42">
            <w:pPr>
              <w:widowControl/>
              <w:autoSpaceDE w:val="0"/>
              <w:autoSpaceDN w:val="0"/>
              <w:spacing w:line="360" w:lineRule="auto"/>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0E4B60">
            <w:pPr>
              <w:widowControl/>
              <w:autoSpaceDE w:val="0"/>
              <w:autoSpaceDN w:val="0"/>
              <w:spacing w:line="360" w:lineRule="auto"/>
              <w:jc w:val="center"/>
              <w:textAlignment w:val="center"/>
              <w:rPr>
                <w:rFonts w:ascii="仿宋" w:hAnsi="仿宋" w:eastAsia="仿宋" w:cs="仿宋"/>
                <w:color w:val="auto"/>
                <w:kern w:val="0"/>
                <w:sz w:val="24"/>
                <w:highlight w:val="none"/>
              </w:rPr>
            </w:pPr>
          </w:p>
        </w:tc>
        <w:tc>
          <w:tcPr>
            <w:tcW w:w="2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B35247">
            <w:pPr>
              <w:widowControl/>
              <w:autoSpaceDE w:val="0"/>
              <w:autoSpaceDN w:val="0"/>
              <w:spacing w:line="360" w:lineRule="auto"/>
              <w:jc w:val="center"/>
              <w:textAlignment w:val="center"/>
              <w:rPr>
                <w:rFonts w:ascii="仿宋" w:hAnsi="仿宋" w:eastAsia="仿宋" w:cs="仿宋"/>
                <w:color w:val="auto"/>
                <w:kern w:val="0"/>
                <w:sz w:val="24"/>
                <w:highlight w:val="none"/>
              </w:rPr>
            </w:pPr>
          </w:p>
        </w:tc>
        <w:tc>
          <w:tcPr>
            <w:tcW w:w="2442" w:type="dxa"/>
            <w:tcBorders>
              <w:top w:val="single" w:color="000000" w:sz="4" w:space="0"/>
              <w:left w:val="single" w:color="000000" w:sz="4" w:space="0"/>
              <w:bottom w:val="single" w:color="000000" w:sz="4" w:space="0"/>
              <w:right w:val="single" w:color="000000" w:sz="4" w:space="0"/>
            </w:tcBorders>
            <w:vAlign w:val="center"/>
          </w:tcPr>
          <w:p w14:paraId="75D33BB9">
            <w:pPr>
              <w:widowControl/>
              <w:autoSpaceDE w:val="0"/>
              <w:autoSpaceDN w:val="0"/>
              <w:spacing w:line="360" w:lineRule="auto"/>
              <w:jc w:val="center"/>
              <w:textAlignment w:val="center"/>
              <w:rPr>
                <w:rFonts w:ascii="仿宋" w:hAnsi="仿宋" w:eastAsia="仿宋" w:cs="仿宋"/>
                <w:color w:val="auto"/>
                <w:kern w:val="0"/>
                <w:sz w:val="24"/>
                <w:highlight w:val="none"/>
              </w:rPr>
            </w:pPr>
          </w:p>
        </w:tc>
        <w:tc>
          <w:tcPr>
            <w:tcW w:w="2440" w:type="dxa"/>
            <w:tcBorders>
              <w:top w:val="single" w:color="000000" w:sz="4" w:space="0"/>
              <w:left w:val="single" w:color="000000" w:sz="4" w:space="0"/>
              <w:bottom w:val="single" w:color="000000" w:sz="4" w:space="0"/>
              <w:right w:val="single" w:color="000000" w:sz="4" w:space="0"/>
            </w:tcBorders>
            <w:vAlign w:val="center"/>
          </w:tcPr>
          <w:p w14:paraId="7507191B">
            <w:pPr>
              <w:widowControl/>
              <w:autoSpaceDE w:val="0"/>
              <w:autoSpaceDN w:val="0"/>
              <w:spacing w:line="360" w:lineRule="auto"/>
              <w:jc w:val="center"/>
              <w:textAlignment w:val="center"/>
              <w:rPr>
                <w:rFonts w:ascii="仿宋" w:hAnsi="仿宋" w:eastAsia="仿宋" w:cs="仿宋"/>
                <w:color w:val="auto"/>
                <w:kern w:val="0"/>
                <w:sz w:val="24"/>
                <w:highlight w:val="none"/>
              </w:rPr>
            </w:pPr>
          </w:p>
        </w:tc>
      </w:tr>
      <w:tr w14:paraId="7B08173E">
        <w:tblPrEx>
          <w:tblCellMar>
            <w:top w:w="0" w:type="dxa"/>
            <w:left w:w="0" w:type="dxa"/>
            <w:bottom w:w="0" w:type="dxa"/>
            <w:right w:w="0" w:type="dxa"/>
          </w:tblCellMar>
        </w:tblPrEx>
        <w:trPr>
          <w:trHeight w:val="90" w:hRule="atLeast"/>
          <w:jc w:val="center"/>
        </w:trPr>
        <w:tc>
          <w:tcPr>
            <w:tcW w:w="4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9E5BA0">
            <w:pPr>
              <w:widowControl/>
              <w:autoSpaceDE w:val="0"/>
              <w:autoSpaceDN w:val="0"/>
              <w:spacing w:line="360" w:lineRule="auto"/>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2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83A8C4">
            <w:pPr>
              <w:widowControl/>
              <w:autoSpaceDE w:val="0"/>
              <w:autoSpaceDN w:val="0"/>
              <w:spacing w:line="360" w:lineRule="auto"/>
              <w:jc w:val="center"/>
              <w:textAlignment w:val="center"/>
              <w:rPr>
                <w:rFonts w:ascii="仿宋" w:hAnsi="仿宋" w:eastAsia="仿宋" w:cs="仿宋"/>
                <w:color w:val="auto"/>
                <w:kern w:val="0"/>
                <w:sz w:val="24"/>
                <w:highlight w:val="none"/>
              </w:rPr>
            </w:pPr>
          </w:p>
        </w:tc>
        <w:tc>
          <w:tcPr>
            <w:tcW w:w="2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19E061">
            <w:pPr>
              <w:widowControl/>
              <w:autoSpaceDE w:val="0"/>
              <w:autoSpaceDN w:val="0"/>
              <w:spacing w:line="360" w:lineRule="auto"/>
              <w:jc w:val="center"/>
              <w:textAlignment w:val="center"/>
              <w:rPr>
                <w:rFonts w:ascii="仿宋" w:hAnsi="仿宋" w:eastAsia="仿宋" w:cs="仿宋"/>
                <w:color w:val="auto"/>
                <w:kern w:val="0"/>
                <w:sz w:val="24"/>
                <w:highlight w:val="none"/>
              </w:rPr>
            </w:pPr>
          </w:p>
        </w:tc>
        <w:tc>
          <w:tcPr>
            <w:tcW w:w="2442" w:type="dxa"/>
            <w:tcBorders>
              <w:top w:val="single" w:color="000000" w:sz="4" w:space="0"/>
              <w:left w:val="single" w:color="000000" w:sz="4" w:space="0"/>
              <w:bottom w:val="single" w:color="000000" w:sz="4" w:space="0"/>
              <w:right w:val="single" w:color="000000" w:sz="4" w:space="0"/>
            </w:tcBorders>
            <w:vAlign w:val="center"/>
          </w:tcPr>
          <w:p w14:paraId="203C90CB">
            <w:pPr>
              <w:widowControl/>
              <w:autoSpaceDE w:val="0"/>
              <w:autoSpaceDN w:val="0"/>
              <w:spacing w:line="360" w:lineRule="auto"/>
              <w:jc w:val="center"/>
              <w:textAlignment w:val="center"/>
              <w:rPr>
                <w:rFonts w:ascii="仿宋" w:hAnsi="仿宋" w:eastAsia="仿宋" w:cs="仿宋"/>
                <w:color w:val="auto"/>
                <w:kern w:val="0"/>
                <w:sz w:val="24"/>
                <w:highlight w:val="none"/>
              </w:rPr>
            </w:pPr>
          </w:p>
        </w:tc>
        <w:tc>
          <w:tcPr>
            <w:tcW w:w="2440" w:type="dxa"/>
            <w:tcBorders>
              <w:top w:val="single" w:color="000000" w:sz="4" w:space="0"/>
              <w:left w:val="single" w:color="000000" w:sz="4" w:space="0"/>
              <w:bottom w:val="single" w:color="000000" w:sz="4" w:space="0"/>
              <w:right w:val="single" w:color="000000" w:sz="4" w:space="0"/>
            </w:tcBorders>
            <w:vAlign w:val="center"/>
          </w:tcPr>
          <w:p w14:paraId="2F938300">
            <w:pPr>
              <w:widowControl/>
              <w:autoSpaceDE w:val="0"/>
              <w:autoSpaceDN w:val="0"/>
              <w:spacing w:line="360" w:lineRule="auto"/>
              <w:jc w:val="center"/>
              <w:textAlignment w:val="center"/>
              <w:rPr>
                <w:rFonts w:ascii="仿宋" w:hAnsi="仿宋" w:eastAsia="仿宋" w:cs="仿宋"/>
                <w:color w:val="auto"/>
                <w:kern w:val="0"/>
                <w:sz w:val="24"/>
                <w:highlight w:val="none"/>
              </w:rPr>
            </w:pPr>
          </w:p>
        </w:tc>
      </w:tr>
      <w:tr w14:paraId="037A379A">
        <w:tblPrEx>
          <w:tblCellMar>
            <w:top w:w="0" w:type="dxa"/>
            <w:left w:w="0" w:type="dxa"/>
            <w:bottom w:w="0" w:type="dxa"/>
            <w:right w:w="0" w:type="dxa"/>
          </w:tblCellMar>
        </w:tblPrEx>
        <w:trPr>
          <w:trHeight w:val="90" w:hRule="atLeast"/>
          <w:jc w:val="center"/>
        </w:trPr>
        <w:tc>
          <w:tcPr>
            <w:tcW w:w="4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76F1B7">
            <w:pPr>
              <w:widowControl/>
              <w:autoSpaceDE w:val="0"/>
              <w:autoSpaceDN w:val="0"/>
              <w:spacing w:line="360" w:lineRule="auto"/>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2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91FD52">
            <w:pPr>
              <w:widowControl/>
              <w:autoSpaceDE w:val="0"/>
              <w:autoSpaceDN w:val="0"/>
              <w:spacing w:line="360" w:lineRule="auto"/>
              <w:jc w:val="center"/>
              <w:textAlignment w:val="center"/>
              <w:rPr>
                <w:rFonts w:ascii="仿宋" w:hAnsi="仿宋" w:eastAsia="仿宋" w:cs="仿宋"/>
                <w:color w:val="auto"/>
                <w:kern w:val="0"/>
                <w:sz w:val="24"/>
                <w:highlight w:val="none"/>
              </w:rPr>
            </w:pPr>
          </w:p>
        </w:tc>
        <w:tc>
          <w:tcPr>
            <w:tcW w:w="2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CA258D">
            <w:pPr>
              <w:widowControl/>
              <w:autoSpaceDE w:val="0"/>
              <w:autoSpaceDN w:val="0"/>
              <w:spacing w:line="360" w:lineRule="auto"/>
              <w:jc w:val="center"/>
              <w:textAlignment w:val="center"/>
              <w:rPr>
                <w:rFonts w:ascii="仿宋" w:hAnsi="仿宋" w:eastAsia="仿宋" w:cs="仿宋"/>
                <w:color w:val="auto"/>
                <w:kern w:val="0"/>
                <w:sz w:val="24"/>
                <w:highlight w:val="none"/>
              </w:rPr>
            </w:pPr>
          </w:p>
        </w:tc>
        <w:tc>
          <w:tcPr>
            <w:tcW w:w="2442" w:type="dxa"/>
            <w:tcBorders>
              <w:top w:val="single" w:color="000000" w:sz="4" w:space="0"/>
              <w:left w:val="single" w:color="000000" w:sz="4" w:space="0"/>
              <w:bottom w:val="single" w:color="000000" w:sz="4" w:space="0"/>
              <w:right w:val="single" w:color="000000" w:sz="4" w:space="0"/>
            </w:tcBorders>
            <w:vAlign w:val="center"/>
          </w:tcPr>
          <w:p w14:paraId="36832B36">
            <w:pPr>
              <w:widowControl/>
              <w:autoSpaceDE w:val="0"/>
              <w:autoSpaceDN w:val="0"/>
              <w:spacing w:line="360" w:lineRule="auto"/>
              <w:jc w:val="center"/>
              <w:textAlignment w:val="center"/>
              <w:rPr>
                <w:rFonts w:ascii="仿宋" w:hAnsi="仿宋" w:eastAsia="仿宋" w:cs="仿宋"/>
                <w:color w:val="auto"/>
                <w:kern w:val="0"/>
                <w:sz w:val="24"/>
                <w:highlight w:val="none"/>
              </w:rPr>
            </w:pPr>
          </w:p>
        </w:tc>
        <w:tc>
          <w:tcPr>
            <w:tcW w:w="2440" w:type="dxa"/>
            <w:tcBorders>
              <w:top w:val="single" w:color="000000" w:sz="4" w:space="0"/>
              <w:left w:val="single" w:color="000000" w:sz="4" w:space="0"/>
              <w:bottom w:val="single" w:color="000000" w:sz="4" w:space="0"/>
              <w:right w:val="single" w:color="000000" w:sz="4" w:space="0"/>
            </w:tcBorders>
            <w:vAlign w:val="center"/>
          </w:tcPr>
          <w:p w14:paraId="48B2FBA1">
            <w:pPr>
              <w:widowControl/>
              <w:autoSpaceDE w:val="0"/>
              <w:autoSpaceDN w:val="0"/>
              <w:spacing w:line="360" w:lineRule="auto"/>
              <w:jc w:val="center"/>
              <w:textAlignment w:val="center"/>
              <w:rPr>
                <w:rFonts w:ascii="仿宋" w:hAnsi="仿宋" w:eastAsia="仿宋" w:cs="仿宋"/>
                <w:color w:val="auto"/>
                <w:kern w:val="0"/>
                <w:sz w:val="24"/>
                <w:highlight w:val="none"/>
              </w:rPr>
            </w:pPr>
          </w:p>
        </w:tc>
      </w:tr>
      <w:tr w14:paraId="6673D7A2">
        <w:tblPrEx>
          <w:tblCellMar>
            <w:top w:w="0" w:type="dxa"/>
            <w:left w:w="0" w:type="dxa"/>
            <w:bottom w:w="0" w:type="dxa"/>
            <w:right w:w="0" w:type="dxa"/>
          </w:tblCellMar>
        </w:tblPrEx>
        <w:trPr>
          <w:trHeight w:val="90" w:hRule="atLeast"/>
          <w:jc w:val="center"/>
        </w:trPr>
        <w:tc>
          <w:tcPr>
            <w:tcW w:w="4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08148D">
            <w:pPr>
              <w:widowControl/>
              <w:autoSpaceDE w:val="0"/>
              <w:autoSpaceDN w:val="0"/>
              <w:spacing w:line="360" w:lineRule="auto"/>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2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32F146">
            <w:pPr>
              <w:widowControl/>
              <w:autoSpaceDE w:val="0"/>
              <w:autoSpaceDN w:val="0"/>
              <w:spacing w:line="360" w:lineRule="auto"/>
              <w:jc w:val="center"/>
              <w:textAlignment w:val="center"/>
              <w:rPr>
                <w:rFonts w:ascii="仿宋" w:hAnsi="仿宋" w:eastAsia="仿宋" w:cs="仿宋"/>
                <w:color w:val="auto"/>
                <w:kern w:val="0"/>
                <w:sz w:val="24"/>
                <w:highlight w:val="none"/>
              </w:rPr>
            </w:pPr>
          </w:p>
        </w:tc>
        <w:tc>
          <w:tcPr>
            <w:tcW w:w="2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300A05">
            <w:pPr>
              <w:widowControl/>
              <w:autoSpaceDE w:val="0"/>
              <w:autoSpaceDN w:val="0"/>
              <w:spacing w:line="360" w:lineRule="auto"/>
              <w:jc w:val="center"/>
              <w:textAlignment w:val="center"/>
              <w:rPr>
                <w:rFonts w:ascii="仿宋" w:hAnsi="仿宋" w:eastAsia="仿宋" w:cs="仿宋"/>
                <w:color w:val="auto"/>
                <w:kern w:val="0"/>
                <w:sz w:val="24"/>
                <w:highlight w:val="none"/>
              </w:rPr>
            </w:pPr>
          </w:p>
        </w:tc>
        <w:tc>
          <w:tcPr>
            <w:tcW w:w="2442" w:type="dxa"/>
            <w:tcBorders>
              <w:top w:val="single" w:color="000000" w:sz="4" w:space="0"/>
              <w:left w:val="single" w:color="000000" w:sz="4" w:space="0"/>
              <w:bottom w:val="single" w:color="000000" w:sz="4" w:space="0"/>
              <w:right w:val="single" w:color="000000" w:sz="4" w:space="0"/>
            </w:tcBorders>
            <w:vAlign w:val="center"/>
          </w:tcPr>
          <w:p w14:paraId="317BB72B">
            <w:pPr>
              <w:widowControl/>
              <w:autoSpaceDE w:val="0"/>
              <w:autoSpaceDN w:val="0"/>
              <w:spacing w:line="360" w:lineRule="auto"/>
              <w:jc w:val="center"/>
              <w:textAlignment w:val="center"/>
              <w:rPr>
                <w:rFonts w:ascii="仿宋" w:hAnsi="仿宋" w:eastAsia="仿宋" w:cs="仿宋"/>
                <w:color w:val="auto"/>
                <w:kern w:val="0"/>
                <w:sz w:val="24"/>
                <w:highlight w:val="none"/>
              </w:rPr>
            </w:pPr>
          </w:p>
        </w:tc>
        <w:tc>
          <w:tcPr>
            <w:tcW w:w="2440" w:type="dxa"/>
            <w:tcBorders>
              <w:top w:val="single" w:color="000000" w:sz="4" w:space="0"/>
              <w:left w:val="single" w:color="000000" w:sz="4" w:space="0"/>
              <w:bottom w:val="single" w:color="000000" w:sz="4" w:space="0"/>
              <w:right w:val="single" w:color="000000" w:sz="4" w:space="0"/>
            </w:tcBorders>
            <w:vAlign w:val="center"/>
          </w:tcPr>
          <w:p w14:paraId="6145E112">
            <w:pPr>
              <w:widowControl/>
              <w:autoSpaceDE w:val="0"/>
              <w:autoSpaceDN w:val="0"/>
              <w:spacing w:line="360" w:lineRule="auto"/>
              <w:jc w:val="center"/>
              <w:textAlignment w:val="center"/>
              <w:rPr>
                <w:rFonts w:ascii="仿宋" w:hAnsi="仿宋" w:eastAsia="仿宋" w:cs="仿宋"/>
                <w:color w:val="auto"/>
                <w:kern w:val="0"/>
                <w:sz w:val="24"/>
                <w:highlight w:val="none"/>
              </w:rPr>
            </w:pPr>
          </w:p>
        </w:tc>
      </w:tr>
      <w:tr w14:paraId="63AF87D9">
        <w:tblPrEx>
          <w:tblCellMar>
            <w:top w:w="0" w:type="dxa"/>
            <w:left w:w="0" w:type="dxa"/>
            <w:bottom w:w="0" w:type="dxa"/>
            <w:right w:w="0" w:type="dxa"/>
          </w:tblCellMar>
        </w:tblPrEx>
        <w:trPr>
          <w:trHeight w:val="90" w:hRule="atLeast"/>
          <w:jc w:val="center"/>
        </w:trPr>
        <w:tc>
          <w:tcPr>
            <w:tcW w:w="4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A0E3DC">
            <w:pPr>
              <w:widowControl/>
              <w:autoSpaceDE w:val="0"/>
              <w:autoSpaceDN w:val="0"/>
              <w:spacing w:line="360" w:lineRule="auto"/>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2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1C7CD3">
            <w:pPr>
              <w:widowControl/>
              <w:autoSpaceDE w:val="0"/>
              <w:autoSpaceDN w:val="0"/>
              <w:spacing w:line="360" w:lineRule="auto"/>
              <w:jc w:val="center"/>
              <w:textAlignment w:val="center"/>
              <w:rPr>
                <w:rFonts w:ascii="仿宋" w:hAnsi="仿宋" w:eastAsia="仿宋" w:cs="仿宋"/>
                <w:color w:val="auto"/>
                <w:kern w:val="0"/>
                <w:sz w:val="24"/>
                <w:highlight w:val="none"/>
              </w:rPr>
            </w:pPr>
          </w:p>
        </w:tc>
        <w:tc>
          <w:tcPr>
            <w:tcW w:w="2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C0788A">
            <w:pPr>
              <w:widowControl/>
              <w:autoSpaceDE w:val="0"/>
              <w:autoSpaceDN w:val="0"/>
              <w:spacing w:line="360" w:lineRule="auto"/>
              <w:jc w:val="center"/>
              <w:textAlignment w:val="center"/>
              <w:rPr>
                <w:rFonts w:ascii="仿宋" w:hAnsi="仿宋" w:eastAsia="仿宋" w:cs="仿宋"/>
                <w:color w:val="auto"/>
                <w:kern w:val="0"/>
                <w:sz w:val="24"/>
                <w:highlight w:val="none"/>
              </w:rPr>
            </w:pPr>
          </w:p>
        </w:tc>
        <w:tc>
          <w:tcPr>
            <w:tcW w:w="2442" w:type="dxa"/>
            <w:tcBorders>
              <w:top w:val="single" w:color="000000" w:sz="4" w:space="0"/>
              <w:left w:val="single" w:color="000000" w:sz="4" w:space="0"/>
              <w:bottom w:val="single" w:color="000000" w:sz="4" w:space="0"/>
              <w:right w:val="single" w:color="000000" w:sz="4" w:space="0"/>
            </w:tcBorders>
            <w:vAlign w:val="center"/>
          </w:tcPr>
          <w:p w14:paraId="15DD22EF">
            <w:pPr>
              <w:widowControl/>
              <w:autoSpaceDE w:val="0"/>
              <w:autoSpaceDN w:val="0"/>
              <w:spacing w:line="360" w:lineRule="auto"/>
              <w:jc w:val="center"/>
              <w:textAlignment w:val="center"/>
              <w:rPr>
                <w:rFonts w:ascii="仿宋" w:hAnsi="仿宋" w:eastAsia="仿宋" w:cs="仿宋"/>
                <w:color w:val="auto"/>
                <w:kern w:val="0"/>
                <w:sz w:val="24"/>
                <w:highlight w:val="none"/>
              </w:rPr>
            </w:pPr>
          </w:p>
        </w:tc>
        <w:tc>
          <w:tcPr>
            <w:tcW w:w="2440" w:type="dxa"/>
            <w:tcBorders>
              <w:top w:val="single" w:color="000000" w:sz="4" w:space="0"/>
              <w:left w:val="single" w:color="000000" w:sz="4" w:space="0"/>
              <w:bottom w:val="single" w:color="000000" w:sz="4" w:space="0"/>
              <w:right w:val="single" w:color="000000" w:sz="4" w:space="0"/>
            </w:tcBorders>
            <w:vAlign w:val="center"/>
          </w:tcPr>
          <w:p w14:paraId="78B8ECBD">
            <w:pPr>
              <w:widowControl/>
              <w:autoSpaceDE w:val="0"/>
              <w:autoSpaceDN w:val="0"/>
              <w:spacing w:line="360" w:lineRule="auto"/>
              <w:jc w:val="center"/>
              <w:textAlignment w:val="center"/>
              <w:rPr>
                <w:rFonts w:ascii="仿宋" w:hAnsi="仿宋" w:eastAsia="仿宋" w:cs="仿宋"/>
                <w:color w:val="auto"/>
                <w:kern w:val="0"/>
                <w:sz w:val="24"/>
                <w:highlight w:val="none"/>
              </w:rPr>
            </w:pPr>
          </w:p>
        </w:tc>
      </w:tr>
      <w:tr w14:paraId="23B9BE80">
        <w:tblPrEx>
          <w:tblCellMar>
            <w:top w:w="0" w:type="dxa"/>
            <w:left w:w="0" w:type="dxa"/>
            <w:bottom w:w="0" w:type="dxa"/>
            <w:right w:w="0" w:type="dxa"/>
          </w:tblCellMar>
        </w:tblPrEx>
        <w:trPr>
          <w:trHeight w:val="90" w:hRule="atLeast"/>
          <w:jc w:val="center"/>
        </w:trPr>
        <w:tc>
          <w:tcPr>
            <w:tcW w:w="4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ECBEA8">
            <w:pPr>
              <w:widowControl/>
              <w:autoSpaceDE w:val="0"/>
              <w:autoSpaceDN w:val="0"/>
              <w:spacing w:line="360" w:lineRule="auto"/>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2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507B99">
            <w:pPr>
              <w:widowControl/>
              <w:autoSpaceDE w:val="0"/>
              <w:autoSpaceDN w:val="0"/>
              <w:spacing w:line="360" w:lineRule="auto"/>
              <w:jc w:val="center"/>
              <w:textAlignment w:val="center"/>
              <w:rPr>
                <w:rFonts w:ascii="仿宋" w:hAnsi="仿宋" w:eastAsia="仿宋" w:cs="仿宋"/>
                <w:color w:val="auto"/>
                <w:kern w:val="0"/>
                <w:sz w:val="24"/>
                <w:highlight w:val="none"/>
              </w:rPr>
            </w:pPr>
          </w:p>
        </w:tc>
        <w:tc>
          <w:tcPr>
            <w:tcW w:w="2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38A1A2">
            <w:pPr>
              <w:widowControl/>
              <w:autoSpaceDE w:val="0"/>
              <w:autoSpaceDN w:val="0"/>
              <w:spacing w:line="360" w:lineRule="auto"/>
              <w:jc w:val="center"/>
              <w:textAlignment w:val="center"/>
              <w:rPr>
                <w:rFonts w:ascii="仿宋" w:hAnsi="仿宋" w:eastAsia="仿宋" w:cs="仿宋"/>
                <w:color w:val="auto"/>
                <w:kern w:val="0"/>
                <w:sz w:val="24"/>
                <w:highlight w:val="none"/>
              </w:rPr>
            </w:pPr>
          </w:p>
        </w:tc>
        <w:tc>
          <w:tcPr>
            <w:tcW w:w="2442" w:type="dxa"/>
            <w:tcBorders>
              <w:top w:val="single" w:color="000000" w:sz="4" w:space="0"/>
              <w:left w:val="single" w:color="000000" w:sz="4" w:space="0"/>
              <w:bottom w:val="single" w:color="000000" w:sz="4" w:space="0"/>
              <w:right w:val="single" w:color="000000" w:sz="4" w:space="0"/>
            </w:tcBorders>
            <w:vAlign w:val="center"/>
          </w:tcPr>
          <w:p w14:paraId="36FC105C">
            <w:pPr>
              <w:widowControl/>
              <w:autoSpaceDE w:val="0"/>
              <w:autoSpaceDN w:val="0"/>
              <w:spacing w:line="360" w:lineRule="auto"/>
              <w:jc w:val="center"/>
              <w:textAlignment w:val="center"/>
              <w:rPr>
                <w:rFonts w:ascii="仿宋" w:hAnsi="仿宋" w:eastAsia="仿宋" w:cs="仿宋"/>
                <w:color w:val="auto"/>
                <w:kern w:val="0"/>
                <w:sz w:val="24"/>
                <w:highlight w:val="none"/>
              </w:rPr>
            </w:pPr>
          </w:p>
        </w:tc>
        <w:tc>
          <w:tcPr>
            <w:tcW w:w="2440" w:type="dxa"/>
            <w:tcBorders>
              <w:top w:val="single" w:color="000000" w:sz="4" w:space="0"/>
              <w:left w:val="single" w:color="000000" w:sz="4" w:space="0"/>
              <w:bottom w:val="single" w:color="000000" w:sz="4" w:space="0"/>
              <w:right w:val="single" w:color="000000" w:sz="4" w:space="0"/>
            </w:tcBorders>
            <w:vAlign w:val="center"/>
          </w:tcPr>
          <w:p w14:paraId="426FC4C5">
            <w:pPr>
              <w:widowControl/>
              <w:autoSpaceDE w:val="0"/>
              <w:autoSpaceDN w:val="0"/>
              <w:spacing w:line="360" w:lineRule="auto"/>
              <w:jc w:val="center"/>
              <w:textAlignment w:val="center"/>
              <w:rPr>
                <w:rFonts w:ascii="仿宋" w:hAnsi="仿宋" w:eastAsia="仿宋" w:cs="仿宋"/>
                <w:color w:val="auto"/>
                <w:kern w:val="0"/>
                <w:sz w:val="24"/>
                <w:highlight w:val="none"/>
              </w:rPr>
            </w:pPr>
          </w:p>
        </w:tc>
      </w:tr>
      <w:tr w14:paraId="695FA3D1">
        <w:tblPrEx>
          <w:tblCellMar>
            <w:top w:w="0" w:type="dxa"/>
            <w:left w:w="0" w:type="dxa"/>
            <w:bottom w:w="0" w:type="dxa"/>
            <w:right w:w="0" w:type="dxa"/>
          </w:tblCellMar>
        </w:tblPrEx>
        <w:trPr>
          <w:trHeight w:val="90" w:hRule="atLeast"/>
          <w:jc w:val="center"/>
        </w:trPr>
        <w:tc>
          <w:tcPr>
            <w:tcW w:w="4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849477">
            <w:pPr>
              <w:widowControl/>
              <w:autoSpaceDE w:val="0"/>
              <w:autoSpaceDN w:val="0"/>
              <w:spacing w:line="360" w:lineRule="auto"/>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2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474C2C">
            <w:pPr>
              <w:widowControl/>
              <w:autoSpaceDE w:val="0"/>
              <w:autoSpaceDN w:val="0"/>
              <w:spacing w:line="360" w:lineRule="auto"/>
              <w:jc w:val="center"/>
              <w:textAlignment w:val="center"/>
              <w:rPr>
                <w:rFonts w:ascii="仿宋" w:hAnsi="仿宋" w:eastAsia="仿宋" w:cs="仿宋"/>
                <w:color w:val="auto"/>
                <w:kern w:val="0"/>
                <w:sz w:val="24"/>
                <w:highlight w:val="none"/>
              </w:rPr>
            </w:pPr>
          </w:p>
        </w:tc>
        <w:tc>
          <w:tcPr>
            <w:tcW w:w="2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18EAD6">
            <w:pPr>
              <w:widowControl/>
              <w:autoSpaceDE w:val="0"/>
              <w:autoSpaceDN w:val="0"/>
              <w:spacing w:line="360" w:lineRule="auto"/>
              <w:jc w:val="center"/>
              <w:textAlignment w:val="center"/>
              <w:rPr>
                <w:rFonts w:ascii="仿宋" w:hAnsi="仿宋" w:eastAsia="仿宋" w:cs="仿宋"/>
                <w:color w:val="auto"/>
                <w:kern w:val="0"/>
                <w:sz w:val="24"/>
                <w:highlight w:val="none"/>
              </w:rPr>
            </w:pPr>
          </w:p>
        </w:tc>
        <w:tc>
          <w:tcPr>
            <w:tcW w:w="2442" w:type="dxa"/>
            <w:tcBorders>
              <w:top w:val="single" w:color="000000" w:sz="4" w:space="0"/>
              <w:left w:val="single" w:color="000000" w:sz="4" w:space="0"/>
              <w:bottom w:val="single" w:color="000000" w:sz="4" w:space="0"/>
              <w:right w:val="single" w:color="000000" w:sz="4" w:space="0"/>
            </w:tcBorders>
            <w:vAlign w:val="center"/>
          </w:tcPr>
          <w:p w14:paraId="46B8687D">
            <w:pPr>
              <w:widowControl/>
              <w:autoSpaceDE w:val="0"/>
              <w:autoSpaceDN w:val="0"/>
              <w:spacing w:line="360" w:lineRule="auto"/>
              <w:jc w:val="center"/>
              <w:textAlignment w:val="center"/>
              <w:rPr>
                <w:rFonts w:ascii="仿宋" w:hAnsi="仿宋" w:eastAsia="仿宋" w:cs="仿宋"/>
                <w:color w:val="auto"/>
                <w:kern w:val="0"/>
                <w:sz w:val="24"/>
                <w:highlight w:val="none"/>
              </w:rPr>
            </w:pPr>
          </w:p>
        </w:tc>
        <w:tc>
          <w:tcPr>
            <w:tcW w:w="2440" w:type="dxa"/>
            <w:tcBorders>
              <w:top w:val="single" w:color="000000" w:sz="4" w:space="0"/>
              <w:left w:val="single" w:color="000000" w:sz="4" w:space="0"/>
              <w:bottom w:val="single" w:color="000000" w:sz="4" w:space="0"/>
              <w:right w:val="single" w:color="000000" w:sz="4" w:space="0"/>
            </w:tcBorders>
            <w:vAlign w:val="center"/>
          </w:tcPr>
          <w:p w14:paraId="0A3FC420">
            <w:pPr>
              <w:widowControl/>
              <w:autoSpaceDE w:val="0"/>
              <w:autoSpaceDN w:val="0"/>
              <w:spacing w:line="360" w:lineRule="auto"/>
              <w:jc w:val="center"/>
              <w:textAlignment w:val="center"/>
              <w:rPr>
                <w:rFonts w:ascii="仿宋" w:hAnsi="仿宋" w:eastAsia="仿宋" w:cs="仿宋"/>
                <w:color w:val="auto"/>
                <w:kern w:val="0"/>
                <w:sz w:val="24"/>
                <w:highlight w:val="none"/>
              </w:rPr>
            </w:pPr>
          </w:p>
        </w:tc>
      </w:tr>
      <w:tr w14:paraId="6723C22E">
        <w:tblPrEx>
          <w:tblCellMar>
            <w:top w:w="0" w:type="dxa"/>
            <w:left w:w="0" w:type="dxa"/>
            <w:bottom w:w="0" w:type="dxa"/>
            <w:right w:w="0" w:type="dxa"/>
          </w:tblCellMar>
        </w:tblPrEx>
        <w:trPr>
          <w:trHeight w:val="90" w:hRule="atLeast"/>
          <w:jc w:val="center"/>
        </w:trPr>
        <w:tc>
          <w:tcPr>
            <w:tcW w:w="4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47B106">
            <w:pPr>
              <w:widowControl/>
              <w:autoSpaceDE w:val="0"/>
              <w:autoSpaceDN w:val="0"/>
              <w:spacing w:line="360" w:lineRule="auto"/>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2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BD50DD">
            <w:pPr>
              <w:widowControl/>
              <w:autoSpaceDE w:val="0"/>
              <w:autoSpaceDN w:val="0"/>
              <w:spacing w:line="360" w:lineRule="auto"/>
              <w:jc w:val="center"/>
              <w:textAlignment w:val="center"/>
              <w:rPr>
                <w:rFonts w:ascii="仿宋" w:hAnsi="仿宋" w:eastAsia="仿宋" w:cs="仿宋"/>
                <w:color w:val="auto"/>
                <w:kern w:val="0"/>
                <w:sz w:val="24"/>
                <w:highlight w:val="none"/>
              </w:rPr>
            </w:pPr>
          </w:p>
        </w:tc>
        <w:tc>
          <w:tcPr>
            <w:tcW w:w="2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A8749C">
            <w:pPr>
              <w:widowControl/>
              <w:autoSpaceDE w:val="0"/>
              <w:autoSpaceDN w:val="0"/>
              <w:spacing w:line="360" w:lineRule="auto"/>
              <w:jc w:val="center"/>
              <w:textAlignment w:val="center"/>
              <w:rPr>
                <w:rFonts w:ascii="仿宋" w:hAnsi="仿宋" w:eastAsia="仿宋" w:cs="仿宋"/>
                <w:color w:val="auto"/>
                <w:kern w:val="0"/>
                <w:sz w:val="24"/>
                <w:highlight w:val="none"/>
              </w:rPr>
            </w:pPr>
          </w:p>
        </w:tc>
        <w:tc>
          <w:tcPr>
            <w:tcW w:w="2442" w:type="dxa"/>
            <w:tcBorders>
              <w:top w:val="single" w:color="000000" w:sz="4" w:space="0"/>
              <w:left w:val="single" w:color="000000" w:sz="4" w:space="0"/>
              <w:bottom w:val="single" w:color="000000" w:sz="4" w:space="0"/>
              <w:right w:val="single" w:color="000000" w:sz="4" w:space="0"/>
            </w:tcBorders>
            <w:vAlign w:val="center"/>
          </w:tcPr>
          <w:p w14:paraId="1BE5CB77">
            <w:pPr>
              <w:widowControl/>
              <w:autoSpaceDE w:val="0"/>
              <w:autoSpaceDN w:val="0"/>
              <w:spacing w:line="360" w:lineRule="auto"/>
              <w:jc w:val="center"/>
              <w:textAlignment w:val="center"/>
              <w:rPr>
                <w:rFonts w:ascii="仿宋" w:hAnsi="仿宋" w:eastAsia="仿宋" w:cs="仿宋"/>
                <w:color w:val="auto"/>
                <w:kern w:val="0"/>
                <w:sz w:val="24"/>
                <w:highlight w:val="none"/>
              </w:rPr>
            </w:pPr>
          </w:p>
        </w:tc>
        <w:tc>
          <w:tcPr>
            <w:tcW w:w="2440" w:type="dxa"/>
            <w:tcBorders>
              <w:top w:val="single" w:color="000000" w:sz="4" w:space="0"/>
              <w:left w:val="single" w:color="000000" w:sz="4" w:space="0"/>
              <w:bottom w:val="single" w:color="000000" w:sz="4" w:space="0"/>
              <w:right w:val="single" w:color="000000" w:sz="4" w:space="0"/>
            </w:tcBorders>
            <w:vAlign w:val="center"/>
          </w:tcPr>
          <w:p w14:paraId="2A1B41FB">
            <w:pPr>
              <w:widowControl/>
              <w:autoSpaceDE w:val="0"/>
              <w:autoSpaceDN w:val="0"/>
              <w:spacing w:line="360" w:lineRule="auto"/>
              <w:jc w:val="center"/>
              <w:textAlignment w:val="center"/>
              <w:rPr>
                <w:rFonts w:ascii="仿宋" w:hAnsi="仿宋" w:eastAsia="仿宋" w:cs="仿宋"/>
                <w:color w:val="auto"/>
                <w:kern w:val="0"/>
                <w:sz w:val="24"/>
                <w:highlight w:val="none"/>
              </w:rPr>
            </w:pPr>
          </w:p>
        </w:tc>
      </w:tr>
      <w:tr w14:paraId="047663EC">
        <w:tblPrEx>
          <w:tblCellMar>
            <w:top w:w="0" w:type="dxa"/>
            <w:left w:w="0" w:type="dxa"/>
            <w:bottom w:w="0" w:type="dxa"/>
            <w:right w:w="0" w:type="dxa"/>
          </w:tblCellMar>
        </w:tblPrEx>
        <w:trPr>
          <w:trHeight w:val="90" w:hRule="atLeast"/>
          <w:jc w:val="center"/>
        </w:trPr>
        <w:tc>
          <w:tcPr>
            <w:tcW w:w="4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99CB82">
            <w:pPr>
              <w:widowControl/>
              <w:autoSpaceDE w:val="0"/>
              <w:autoSpaceDN w:val="0"/>
              <w:spacing w:line="360" w:lineRule="auto"/>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w:t>
            </w:r>
          </w:p>
        </w:tc>
        <w:tc>
          <w:tcPr>
            <w:tcW w:w="2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D781C5">
            <w:pPr>
              <w:widowControl/>
              <w:autoSpaceDE w:val="0"/>
              <w:autoSpaceDN w:val="0"/>
              <w:spacing w:line="360" w:lineRule="auto"/>
              <w:jc w:val="center"/>
              <w:textAlignment w:val="center"/>
              <w:rPr>
                <w:rFonts w:ascii="仿宋" w:hAnsi="仿宋" w:eastAsia="仿宋" w:cs="仿宋"/>
                <w:color w:val="auto"/>
                <w:kern w:val="0"/>
                <w:sz w:val="24"/>
                <w:highlight w:val="none"/>
              </w:rPr>
            </w:pPr>
          </w:p>
        </w:tc>
        <w:tc>
          <w:tcPr>
            <w:tcW w:w="2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171D0B">
            <w:pPr>
              <w:widowControl/>
              <w:autoSpaceDE w:val="0"/>
              <w:autoSpaceDN w:val="0"/>
              <w:spacing w:line="360" w:lineRule="auto"/>
              <w:jc w:val="center"/>
              <w:textAlignment w:val="center"/>
              <w:rPr>
                <w:rFonts w:ascii="仿宋" w:hAnsi="仿宋" w:eastAsia="仿宋" w:cs="仿宋"/>
                <w:color w:val="auto"/>
                <w:kern w:val="0"/>
                <w:sz w:val="24"/>
                <w:highlight w:val="none"/>
              </w:rPr>
            </w:pPr>
          </w:p>
        </w:tc>
        <w:tc>
          <w:tcPr>
            <w:tcW w:w="2442" w:type="dxa"/>
            <w:tcBorders>
              <w:top w:val="single" w:color="000000" w:sz="4" w:space="0"/>
              <w:left w:val="single" w:color="000000" w:sz="4" w:space="0"/>
              <w:bottom w:val="single" w:color="000000" w:sz="4" w:space="0"/>
              <w:right w:val="single" w:color="000000" w:sz="4" w:space="0"/>
            </w:tcBorders>
            <w:vAlign w:val="center"/>
          </w:tcPr>
          <w:p w14:paraId="590E3924">
            <w:pPr>
              <w:widowControl/>
              <w:autoSpaceDE w:val="0"/>
              <w:autoSpaceDN w:val="0"/>
              <w:spacing w:line="360" w:lineRule="auto"/>
              <w:jc w:val="center"/>
              <w:textAlignment w:val="center"/>
              <w:rPr>
                <w:rFonts w:ascii="仿宋" w:hAnsi="仿宋" w:eastAsia="仿宋" w:cs="仿宋"/>
                <w:color w:val="auto"/>
                <w:kern w:val="0"/>
                <w:sz w:val="24"/>
                <w:highlight w:val="none"/>
              </w:rPr>
            </w:pPr>
          </w:p>
        </w:tc>
        <w:tc>
          <w:tcPr>
            <w:tcW w:w="2440" w:type="dxa"/>
            <w:tcBorders>
              <w:top w:val="single" w:color="000000" w:sz="4" w:space="0"/>
              <w:left w:val="single" w:color="000000" w:sz="4" w:space="0"/>
              <w:bottom w:val="single" w:color="000000" w:sz="4" w:space="0"/>
              <w:right w:val="single" w:color="000000" w:sz="4" w:space="0"/>
            </w:tcBorders>
            <w:vAlign w:val="center"/>
          </w:tcPr>
          <w:p w14:paraId="4FE59467">
            <w:pPr>
              <w:widowControl/>
              <w:autoSpaceDE w:val="0"/>
              <w:autoSpaceDN w:val="0"/>
              <w:spacing w:line="360" w:lineRule="auto"/>
              <w:jc w:val="center"/>
              <w:textAlignment w:val="center"/>
              <w:rPr>
                <w:rFonts w:ascii="仿宋" w:hAnsi="仿宋" w:eastAsia="仿宋" w:cs="仿宋"/>
                <w:color w:val="auto"/>
                <w:kern w:val="0"/>
                <w:sz w:val="24"/>
                <w:highlight w:val="none"/>
              </w:rPr>
            </w:pPr>
          </w:p>
        </w:tc>
      </w:tr>
    </w:tbl>
    <w:p w14:paraId="34D14867">
      <w:pPr>
        <w:rPr>
          <w:rFonts w:ascii="仿宋" w:hAnsi="仿宋" w:eastAsia="仿宋" w:cs="仿宋"/>
          <w:color w:val="auto"/>
          <w:sz w:val="24"/>
          <w:highlight w:val="none"/>
        </w:rPr>
      </w:pPr>
    </w:p>
    <w:p w14:paraId="352BE0D5">
      <w:pPr>
        <w:widowControl/>
        <w:adjustRightInd/>
        <w:jc w:val="left"/>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14:paraId="5145EFCF">
      <w:pPr>
        <w:adjustRightInd/>
        <w:spacing w:line="288"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附件2</w:t>
      </w:r>
    </w:p>
    <w:p w14:paraId="15EF7667">
      <w:pPr>
        <w:adjustRightInd/>
        <w:spacing w:line="288" w:lineRule="auto"/>
        <w:ind w:firstLine="480" w:firstLineChars="200"/>
        <w:jc w:val="center"/>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工程质量保修书</w:t>
      </w:r>
    </w:p>
    <w:p w14:paraId="0ABB0935">
      <w:pPr>
        <w:adjustRightInd/>
        <w:spacing w:line="288"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rPr>
        <w:t>发包人（全称）：</w:t>
      </w:r>
      <w:bookmarkStart w:id="975" w:name="SOA_zyht_zlbxfbr"/>
      <w:bookmarkEnd w:id="975"/>
      <w:r>
        <w:rPr>
          <w:rFonts w:hint="eastAsia" w:ascii="仿宋" w:hAnsi="仿宋" w:eastAsia="仿宋" w:cs="仿宋"/>
          <w:snapToGrid w:val="0"/>
          <w:color w:val="auto"/>
          <w:kern w:val="0"/>
          <w:sz w:val="24"/>
          <w:highlight w:val="none"/>
          <w:lang w:eastAsia="zh-CN"/>
        </w:rPr>
        <w:t>杭州市公安局监所管理支队</w:t>
      </w:r>
    </w:p>
    <w:p w14:paraId="013F4CEA">
      <w:pPr>
        <w:adjustRightInd/>
        <w:spacing w:line="288" w:lineRule="auto"/>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承包人（全称）：</w:t>
      </w:r>
      <w:bookmarkStart w:id="976" w:name="SOA_zyht_zlbxcbr"/>
      <w:bookmarkEnd w:id="976"/>
    </w:p>
    <w:p w14:paraId="3FBB30EE">
      <w:pPr>
        <w:adjustRightInd/>
        <w:spacing w:line="288" w:lineRule="auto"/>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发包人和承包人根据《中华人民共和国建筑法》和《建设工程质量管理条例》，经协商一致就</w:t>
      </w:r>
      <w:bookmarkStart w:id="977" w:name="SOA_zyht_gcqc"/>
      <w:bookmarkEnd w:id="977"/>
      <w:r>
        <w:rPr>
          <w:rFonts w:hint="eastAsia" w:ascii="仿宋" w:hAnsi="仿宋" w:eastAsia="仿宋" w:cs="仿宋"/>
          <w:snapToGrid w:val="0"/>
          <w:color w:val="auto"/>
          <w:kern w:val="0"/>
          <w:sz w:val="24"/>
          <w:highlight w:val="none"/>
          <w:u w:val="single"/>
          <w:lang w:val="en-US" w:eastAsia="zh-CN"/>
        </w:rPr>
        <w:t xml:space="preserve">            </w:t>
      </w:r>
      <w:r>
        <w:rPr>
          <w:rFonts w:hint="eastAsia" w:ascii="仿宋" w:hAnsi="仿宋" w:eastAsia="仿宋" w:cs="仿宋"/>
          <w:snapToGrid w:val="0"/>
          <w:color w:val="auto"/>
          <w:kern w:val="0"/>
          <w:sz w:val="24"/>
          <w:highlight w:val="none"/>
        </w:rPr>
        <w:t>（工程全称）签订工程质量保修书。</w:t>
      </w:r>
    </w:p>
    <w:p w14:paraId="375008FA">
      <w:pPr>
        <w:adjustRightInd/>
        <w:spacing w:line="288" w:lineRule="auto"/>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一、工程质量保修范围和内容</w:t>
      </w:r>
    </w:p>
    <w:p w14:paraId="075C69CD">
      <w:pPr>
        <w:adjustRightInd/>
        <w:spacing w:line="288" w:lineRule="auto"/>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承包人在质量保修期内，按照有关法律规定和合同约定，承担工程质量保修责任。</w:t>
      </w:r>
    </w:p>
    <w:p w14:paraId="664A0B12">
      <w:pPr>
        <w:adjustRightInd/>
        <w:spacing w:line="288" w:lineRule="auto"/>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bookmarkStart w:id="978" w:name="SOA_zyht_gczlbxfw"/>
      <w:r>
        <w:rPr>
          <w:rFonts w:hint="eastAsia" w:ascii="仿宋" w:hAnsi="仿宋" w:eastAsia="仿宋" w:cs="仿宋"/>
          <w:snapToGrid w:val="0"/>
          <w:color w:val="auto"/>
          <w:kern w:val="0"/>
          <w:sz w:val="24"/>
          <w:highlight w:val="none"/>
          <w:u w:val="single"/>
        </w:rPr>
        <w:t>双方约定对施工承包范围内的所有内容实行保修</w:t>
      </w:r>
      <w:bookmarkEnd w:id="978"/>
      <w:r>
        <w:rPr>
          <w:rFonts w:hint="eastAsia" w:ascii="仿宋" w:hAnsi="仿宋" w:eastAsia="仿宋" w:cs="仿宋"/>
          <w:snapToGrid w:val="0"/>
          <w:color w:val="auto"/>
          <w:kern w:val="0"/>
          <w:sz w:val="24"/>
          <w:highlight w:val="none"/>
        </w:rPr>
        <w:t>。</w:t>
      </w:r>
    </w:p>
    <w:p w14:paraId="6C84DA74">
      <w:pPr>
        <w:adjustRightInd/>
        <w:spacing w:line="288" w:lineRule="auto"/>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二、质量保修期</w:t>
      </w:r>
    </w:p>
    <w:p w14:paraId="660C2C12">
      <w:pPr>
        <w:adjustRightInd/>
        <w:spacing w:line="288"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根据《建设工程质量管理条例》及有关规定，工程的质量保修期如下：</w:t>
      </w:r>
    </w:p>
    <w:p w14:paraId="0E003F65">
      <w:pPr>
        <w:adjustRightInd/>
        <w:spacing w:line="288"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1．地基基础工程和主体结构工程为设计文件规定的工程合理使用年限；</w:t>
      </w:r>
    </w:p>
    <w:p w14:paraId="5136F3D2">
      <w:pPr>
        <w:adjustRightInd/>
        <w:spacing w:line="288"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2．屋面防水工程、有防水要求的卫生间、房间和外墙面的防渗为</w:t>
      </w:r>
      <w:r>
        <w:rPr>
          <w:rFonts w:hint="eastAsia" w:ascii="仿宋" w:hAnsi="仿宋" w:eastAsia="仿宋" w:cs="仿宋"/>
          <w:snapToGrid w:val="0"/>
          <w:color w:val="auto"/>
          <w:kern w:val="0"/>
          <w:sz w:val="24"/>
          <w:highlight w:val="none"/>
          <w:u w:val="single"/>
        </w:rPr>
        <w:t xml:space="preserve"> 5 </w:t>
      </w:r>
      <w:r>
        <w:rPr>
          <w:rFonts w:hint="eastAsia" w:ascii="仿宋" w:hAnsi="仿宋" w:eastAsia="仿宋" w:cs="仿宋"/>
          <w:snapToGrid w:val="0"/>
          <w:color w:val="auto"/>
          <w:kern w:val="0"/>
          <w:sz w:val="24"/>
          <w:highlight w:val="none"/>
        </w:rPr>
        <w:t>年；</w:t>
      </w:r>
    </w:p>
    <w:p w14:paraId="143BA50B">
      <w:pPr>
        <w:adjustRightInd/>
        <w:spacing w:line="288"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3．装修工程为</w:t>
      </w:r>
      <w:r>
        <w:rPr>
          <w:rFonts w:hint="eastAsia" w:ascii="仿宋" w:hAnsi="仿宋" w:eastAsia="仿宋" w:cs="仿宋"/>
          <w:snapToGrid w:val="0"/>
          <w:color w:val="auto"/>
          <w:kern w:val="0"/>
          <w:sz w:val="24"/>
          <w:highlight w:val="none"/>
          <w:u w:val="single"/>
        </w:rPr>
        <w:t xml:space="preserve">2 </w:t>
      </w:r>
      <w:r>
        <w:rPr>
          <w:rFonts w:hint="eastAsia" w:ascii="仿宋" w:hAnsi="仿宋" w:eastAsia="仿宋" w:cs="仿宋"/>
          <w:snapToGrid w:val="0"/>
          <w:color w:val="auto"/>
          <w:kern w:val="0"/>
          <w:sz w:val="24"/>
          <w:highlight w:val="none"/>
        </w:rPr>
        <w:t>年；</w:t>
      </w:r>
    </w:p>
    <w:p w14:paraId="79A62552">
      <w:pPr>
        <w:adjustRightInd/>
        <w:spacing w:line="288"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4．电气管线、给排水管道、设备安装工程为</w:t>
      </w:r>
      <w:bookmarkStart w:id="979" w:name="SOA_zyht_azbxnx"/>
      <w:bookmarkEnd w:id="979"/>
      <w:r>
        <w:rPr>
          <w:rFonts w:hint="eastAsia" w:ascii="仿宋" w:hAnsi="仿宋" w:eastAsia="仿宋" w:cs="仿宋"/>
          <w:snapToGrid w:val="0"/>
          <w:color w:val="auto"/>
          <w:kern w:val="0"/>
          <w:sz w:val="24"/>
          <w:highlight w:val="none"/>
          <w:u w:val="single"/>
        </w:rPr>
        <w:t>2</w:t>
      </w:r>
      <w:r>
        <w:rPr>
          <w:rFonts w:hint="eastAsia" w:ascii="仿宋" w:hAnsi="仿宋" w:eastAsia="仿宋" w:cs="仿宋"/>
          <w:snapToGrid w:val="0"/>
          <w:color w:val="auto"/>
          <w:kern w:val="0"/>
          <w:sz w:val="24"/>
          <w:highlight w:val="none"/>
        </w:rPr>
        <w:t>年；</w:t>
      </w:r>
    </w:p>
    <w:p w14:paraId="1995B285">
      <w:pPr>
        <w:adjustRightInd/>
        <w:spacing w:line="288"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5．供热与供冷系统为</w:t>
      </w:r>
      <w:bookmarkStart w:id="980" w:name="SOA_zyht_grbxnx"/>
      <w:r>
        <w:rPr>
          <w:rFonts w:hint="eastAsia" w:ascii="仿宋" w:hAnsi="仿宋" w:eastAsia="仿宋" w:cs="仿宋"/>
          <w:snapToGrid w:val="0"/>
          <w:color w:val="auto"/>
          <w:kern w:val="0"/>
          <w:sz w:val="24"/>
          <w:highlight w:val="none"/>
          <w:u w:val="single"/>
        </w:rPr>
        <w:t>2</w:t>
      </w:r>
      <w:bookmarkEnd w:id="980"/>
      <w:r>
        <w:rPr>
          <w:rFonts w:hint="eastAsia" w:ascii="仿宋" w:hAnsi="仿宋" w:eastAsia="仿宋" w:cs="仿宋"/>
          <w:snapToGrid w:val="0"/>
          <w:color w:val="auto"/>
          <w:kern w:val="0"/>
          <w:sz w:val="24"/>
          <w:highlight w:val="none"/>
        </w:rPr>
        <w:t>个采暖期、供冷期；</w:t>
      </w:r>
    </w:p>
    <w:p w14:paraId="4AE3B729">
      <w:pPr>
        <w:adjustRightInd/>
        <w:spacing w:line="288"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6．住宅小区内的给排水设施、道路等配套工程为</w:t>
      </w:r>
      <w:r>
        <w:rPr>
          <w:rFonts w:hint="eastAsia" w:ascii="仿宋" w:hAnsi="仿宋" w:eastAsia="仿宋" w:cs="仿宋"/>
          <w:snapToGrid w:val="0"/>
          <w:color w:val="auto"/>
          <w:kern w:val="0"/>
          <w:sz w:val="24"/>
          <w:highlight w:val="none"/>
          <w:u w:val="single"/>
        </w:rPr>
        <w:t>2</w:t>
      </w:r>
      <w:r>
        <w:rPr>
          <w:rFonts w:hint="eastAsia" w:ascii="仿宋" w:hAnsi="仿宋" w:eastAsia="仿宋" w:cs="仿宋"/>
          <w:snapToGrid w:val="0"/>
          <w:color w:val="auto"/>
          <w:kern w:val="0"/>
          <w:sz w:val="24"/>
          <w:highlight w:val="none"/>
        </w:rPr>
        <w:t>年；</w:t>
      </w:r>
    </w:p>
    <w:p w14:paraId="05DDB5A5">
      <w:pPr>
        <w:adjustRightInd/>
        <w:spacing w:line="288"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7．其他项目保修期限约定如下：。</w:t>
      </w:r>
    </w:p>
    <w:p w14:paraId="16F66EF1">
      <w:pPr>
        <w:adjustRightInd/>
        <w:spacing w:line="288" w:lineRule="auto"/>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质量保修期自工程竣工验收合格之日起计算。</w:t>
      </w:r>
    </w:p>
    <w:p w14:paraId="414BEA7F">
      <w:pPr>
        <w:adjustRightInd/>
        <w:spacing w:line="288" w:lineRule="auto"/>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三、缺陷责任期</w:t>
      </w:r>
    </w:p>
    <w:p w14:paraId="2F4EB120">
      <w:pPr>
        <w:adjustRightInd/>
        <w:spacing w:line="360"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工程缺陷责任期为</w:t>
      </w:r>
      <w:bookmarkStart w:id="981" w:name="SOA_zyht_gcqxq"/>
      <w:r>
        <w:rPr>
          <w:rFonts w:hint="eastAsia" w:ascii="仿宋" w:hAnsi="仿宋" w:eastAsia="仿宋" w:cs="仿宋"/>
          <w:snapToGrid w:val="0"/>
          <w:color w:val="auto"/>
          <w:kern w:val="0"/>
          <w:sz w:val="24"/>
          <w:highlight w:val="none"/>
          <w:u w:val="single"/>
        </w:rPr>
        <w:t xml:space="preserve">24 </w:t>
      </w:r>
      <w:bookmarkEnd w:id="981"/>
      <w:r>
        <w:rPr>
          <w:rFonts w:hint="eastAsia" w:ascii="仿宋" w:hAnsi="仿宋" w:eastAsia="仿宋" w:cs="仿宋"/>
          <w:snapToGrid w:val="0"/>
          <w:color w:val="auto"/>
          <w:kern w:val="0"/>
          <w:sz w:val="24"/>
          <w:highlight w:val="none"/>
        </w:rPr>
        <w:t>个月，缺陷责任期自工程通过竣工验收合格之日起计算。单位工程先于全部工程进行验收，单位工程缺陷责任期自单位工程验收合格之日起计算。</w:t>
      </w:r>
    </w:p>
    <w:p w14:paraId="5B8552AE">
      <w:pPr>
        <w:adjustRightInd/>
        <w:spacing w:line="288" w:lineRule="auto"/>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四、质量保修责任</w:t>
      </w:r>
    </w:p>
    <w:p w14:paraId="208F0684">
      <w:pPr>
        <w:adjustRightInd/>
        <w:spacing w:line="288" w:lineRule="auto"/>
        <w:ind w:left="105" w:leftChars="50" w:firstLine="491" w:firstLineChars="205"/>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属于保修范围、内容的项目，承包人应在收到通知后24小时内到达工程现场并修复缺陷或损坏。遇紧急情况需抢修的（影响发包人工作的情况视为紧急情况），应在收到通知后4小时内到达现场抢修，10小时内修复。承包人未在上述指定期限内派人维修或发生其他视为承包人未履行维修义务情形的，发包</w:t>
      </w:r>
      <w:r>
        <w:rPr>
          <w:rFonts w:ascii="仿宋" w:hAnsi="仿宋" w:eastAsia="仿宋" w:cs="仿宋"/>
          <w:snapToGrid w:val="0"/>
          <w:color w:val="auto"/>
          <w:kern w:val="0"/>
          <w:sz w:val="24"/>
          <w:highlight w:val="none"/>
        </w:rPr>
        <w:t>人</w:t>
      </w:r>
      <w:r>
        <w:rPr>
          <w:rFonts w:hint="eastAsia" w:ascii="仿宋" w:hAnsi="仿宋" w:eastAsia="仿宋" w:cs="仿宋"/>
          <w:snapToGrid w:val="0"/>
          <w:color w:val="auto"/>
          <w:kern w:val="0"/>
          <w:sz w:val="24"/>
          <w:highlight w:val="none"/>
        </w:rPr>
        <w:t>有权委托第三方进行维修，所产生相关费用包括维修费等均由承包人承担。</w:t>
      </w:r>
    </w:p>
    <w:p w14:paraId="18A6F8CA">
      <w:pPr>
        <w:adjustRightInd/>
        <w:spacing w:line="300" w:lineRule="auto"/>
        <w:ind w:left="105" w:leftChars="50" w:firstLine="491" w:firstLineChars="205"/>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CCFACF1">
      <w:pPr>
        <w:adjustRightInd/>
        <w:spacing w:line="300" w:lineRule="auto"/>
        <w:ind w:left="420" w:leftChars="200" w:firstLine="120" w:firstLineChars="5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3．质量保修完成后，由发包人组织验收。</w:t>
      </w:r>
    </w:p>
    <w:p w14:paraId="22ADA475">
      <w:pPr>
        <w:adjustRightInd/>
        <w:spacing w:line="300" w:lineRule="auto"/>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五、保修费用</w:t>
      </w:r>
    </w:p>
    <w:p w14:paraId="02AF8078">
      <w:pPr>
        <w:adjustRightInd/>
        <w:spacing w:line="300" w:lineRule="auto"/>
        <w:ind w:firstLine="48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保修费用由造成质量缺陷的责任方承担。</w:t>
      </w:r>
    </w:p>
    <w:p w14:paraId="268BDB09">
      <w:pPr>
        <w:adjustRightInd/>
        <w:spacing w:line="360" w:lineRule="auto"/>
        <w:jc w:val="left"/>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六、双方约定的其他工程质量保修事项：</w:t>
      </w:r>
      <w:r>
        <w:rPr>
          <w:rFonts w:hint="eastAsia" w:ascii="仿宋" w:hAnsi="仿宋" w:eastAsia="仿宋" w:cs="仿宋"/>
          <w:snapToGrid w:val="0"/>
          <w:color w:val="auto"/>
          <w:kern w:val="0"/>
          <w:sz w:val="24"/>
          <w:highlight w:val="none"/>
          <w:u w:val="single"/>
        </w:rPr>
        <w:t>发包人在保修期内发现质量问题并通知承包人，承包人应及时派专业人员进行维修，如承包人未及时派专业人员进行维修，发包人有权请其它人进行维修，由此产生的费用将从承包人的质量保修金中予以扣除，同时承包人将承担因维修延误给发包人造成的一切损失</w:t>
      </w:r>
      <w:r>
        <w:rPr>
          <w:rFonts w:hint="eastAsia" w:ascii="仿宋" w:hAnsi="仿宋" w:eastAsia="仿宋" w:cs="仿宋"/>
          <w:snapToGrid w:val="0"/>
          <w:color w:val="auto"/>
          <w:kern w:val="0"/>
          <w:sz w:val="24"/>
          <w:highlight w:val="none"/>
        </w:rPr>
        <w:t>。</w:t>
      </w:r>
    </w:p>
    <w:p w14:paraId="71509830">
      <w:pPr>
        <w:adjustRightInd/>
        <w:spacing w:line="300" w:lineRule="auto"/>
        <w:ind w:firstLine="456" w:firstLineChars="19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工程质量保修书由发包人、承包人在工程竣工验收前共同签署，作为施工合同附件，其有效期限至保修期满。</w:t>
      </w:r>
    </w:p>
    <w:p w14:paraId="6723FF14">
      <w:pPr>
        <w:adjustRightInd/>
        <w:spacing w:line="300" w:lineRule="auto"/>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发包人(公章)：</w:t>
      </w:r>
      <w:bookmarkStart w:id="982" w:name="SOA_zyht_fbr"/>
      <w:bookmarkEnd w:id="982"/>
      <w:r>
        <w:rPr>
          <w:rFonts w:hint="eastAsia" w:ascii="仿宋" w:hAnsi="仿宋" w:eastAsia="仿宋" w:cs="仿宋"/>
          <w:snapToGrid w:val="0"/>
          <w:color w:val="auto"/>
          <w:kern w:val="0"/>
          <w:sz w:val="24"/>
          <w:highlight w:val="none"/>
        </w:rPr>
        <w:t xml:space="preserve">                                承包人(公章)：</w:t>
      </w:r>
      <w:bookmarkStart w:id="983" w:name="SOA_zyht_cbr"/>
      <w:bookmarkEnd w:id="983"/>
    </w:p>
    <w:p w14:paraId="183D9153">
      <w:pPr>
        <w:adjustRightInd/>
        <w:spacing w:line="300" w:lineRule="auto"/>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地  址：</w:t>
      </w:r>
      <w:bookmarkStart w:id="984" w:name="SOA_zyht_fbrdz"/>
      <w:bookmarkEnd w:id="984"/>
      <w:r>
        <w:rPr>
          <w:rFonts w:hint="eastAsia" w:ascii="仿宋" w:hAnsi="仿宋" w:eastAsia="仿宋" w:cs="仿宋"/>
          <w:snapToGrid w:val="0"/>
          <w:color w:val="auto"/>
          <w:kern w:val="0"/>
          <w:sz w:val="24"/>
          <w:highlight w:val="none"/>
        </w:rPr>
        <w:t>                                      地  址：</w:t>
      </w:r>
      <w:bookmarkStart w:id="985" w:name="SOA_zyht_cbrdz"/>
      <w:bookmarkEnd w:id="985"/>
      <w:r>
        <w:rPr>
          <w:rFonts w:hint="eastAsia" w:ascii="仿宋" w:hAnsi="仿宋" w:eastAsia="仿宋" w:cs="仿宋"/>
          <w:snapToGrid w:val="0"/>
          <w:color w:val="auto"/>
          <w:kern w:val="0"/>
          <w:sz w:val="24"/>
          <w:highlight w:val="none"/>
        </w:rPr>
        <w:t></w:t>
      </w:r>
    </w:p>
    <w:p w14:paraId="417C43B7">
      <w:pPr>
        <w:adjustRightInd/>
        <w:spacing w:line="300" w:lineRule="auto"/>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法定代表人(签字)：</w:t>
      </w:r>
      <w:bookmarkStart w:id="986" w:name="SOA_zyht_fddbr1"/>
      <w:bookmarkEnd w:id="986"/>
      <w:r>
        <w:rPr>
          <w:rFonts w:hint="eastAsia" w:ascii="仿宋" w:hAnsi="仿宋" w:eastAsia="仿宋" w:cs="仿宋"/>
          <w:snapToGrid w:val="0"/>
          <w:color w:val="auto"/>
          <w:kern w:val="0"/>
          <w:sz w:val="24"/>
          <w:highlight w:val="none"/>
        </w:rPr>
        <w:t xml:space="preserve">                              法定代表人(签字)：</w:t>
      </w:r>
      <w:bookmarkStart w:id="987" w:name="SOA_zyht_fddbr2"/>
      <w:bookmarkEnd w:id="987"/>
    </w:p>
    <w:p w14:paraId="1D6C7CF3">
      <w:pPr>
        <w:adjustRightInd/>
        <w:spacing w:line="300" w:lineRule="auto"/>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委托代理人(签字)：</w:t>
      </w:r>
      <w:bookmarkStart w:id="988" w:name="SOA_zyht_wtdlr1"/>
      <w:bookmarkEnd w:id="988"/>
      <w:r>
        <w:rPr>
          <w:rFonts w:hint="eastAsia" w:ascii="仿宋" w:hAnsi="仿宋" w:eastAsia="仿宋" w:cs="仿宋"/>
          <w:snapToGrid w:val="0"/>
          <w:color w:val="auto"/>
          <w:kern w:val="0"/>
          <w:sz w:val="24"/>
          <w:highlight w:val="none"/>
        </w:rPr>
        <w:t xml:space="preserve">                              委托代理人(签字)：</w:t>
      </w:r>
      <w:bookmarkStart w:id="989" w:name="SOA_zyht_wtdlr2"/>
      <w:bookmarkEnd w:id="989"/>
    </w:p>
    <w:p w14:paraId="2DFDA14D">
      <w:pPr>
        <w:adjustRightInd/>
        <w:spacing w:line="300" w:lineRule="auto"/>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电  话：</w:t>
      </w:r>
      <w:bookmarkStart w:id="990" w:name="SOA_zyht_fbrdh1"/>
      <w:bookmarkEnd w:id="990"/>
      <w:r>
        <w:rPr>
          <w:rFonts w:hint="eastAsia" w:ascii="仿宋" w:hAnsi="仿宋" w:eastAsia="仿宋" w:cs="仿宋"/>
          <w:snapToGrid w:val="0"/>
          <w:color w:val="auto"/>
          <w:kern w:val="0"/>
          <w:sz w:val="24"/>
          <w:highlight w:val="none"/>
        </w:rPr>
        <w:t xml:space="preserve">                                      电  话：</w:t>
      </w:r>
      <w:bookmarkStart w:id="991" w:name="SOA_zyht_cbrdh"/>
      <w:bookmarkEnd w:id="991"/>
      <w:r>
        <w:rPr>
          <w:rFonts w:hint="eastAsia" w:ascii="仿宋" w:hAnsi="仿宋" w:eastAsia="仿宋" w:cs="仿宋"/>
          <w:snapToGrid w:val="0"/>
          <w:color w:val="auto"/>
          <w:kern w:val="0"/>
          <w:sz w:val="24"/>
          <w:highlight w:val="none"/>
        </w:rPr>
        <w:t xml:space="preserve"> </w:t>
      </w:r>
    </w:p>
    <w:p w14:paraId="345736C9">
      <w:pPr>
        <w:adjustRightInd/>
        <w:spacing w:line="300" w:lineRule="auto"/>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传  真：</w:t>
      </w:r>
      <w:bookmarkStart w:id="992" w:name="SOA_zyht_fbrcz"/>
      <w:bookmarkEnd w:id="992"/>
      <w:r>
        <w:rPr>
          <w:rFonts w:hint="eastAsia" w:ascii="仿宋" w:hAnsi="仿宋" w:eastAsia="仿宋" w:cs="仿宋"/>
          <w:snapToGrid w:val="0"/>
          <w:color w:val="auto"/>
          <w:kern w:val="0"/>
          <w:sz w:val="24"/>
          <w:highlight w:val="none"/>
        </w:rPr>
        <w:t xml:space="preserve">                                        传  真：</w:t>
      </w:r>
      <w:bookmarkStart w:id="993" w:name="SOA_zyht_cbrcz"/>
      <w:bookmarkEnd w:id="993"/>
      <w:r>
        <w:rPr>
          <w:rFonts w:hint="eastAsia" w:ascii="仿宋" w:hAnsi="仿宋" w:eastAsia="仿宋" w:cs="仿宋"/>
          <w:snapToGrid w:val="0"/>
          <w:color w:val="auto"/>
          <w:kern w:val="0"/>
          <w:sz w:val="24"/>
          <w:highlight w:val="none"/>
        </w:rPr>
        <w:t></w:t>
      </w:r>
    </w:p>
    <w:p w14:paraId="4EBE2AC0">
      <w:pPr>
        <w:adjustRightInd/>
        <w:spacing w:line="300" w:lineRule="auto"/>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开户银行：</w:t>
      </w:r>
      <w:bookmarkStart w:id="994" w:name="SOA_zyht_fbrkhyh"/>
      <w:bookmarkEnd w:id="994"/>
      <w:r>
        <w:rPr>
          <w:rFonts w:hint="eastAsia" w:ascii="仿宋" w:hAnsi="仿宋" w:eastAsia="仿宋" w:cs="仿宋"/>
          <w:snapToGrid w:val="0"/>
          <w:color w:val="auto"/>
          <w:kern w:val="0"/>
          <w:sz w:val="24"/>
          <w:highlight w:val="none"/>
        </w:rPr>
        <w:t xml:space="preserve">                                      开户银行：</w:t>
      </w:r>
      <w:bookmarkStart w:id="995" w:name="SOA_zyht_cbrkhyh"/>
      <w:bookmarkEnd w:id="995"/>
    </w:p>
    <w:p w14:paraId="2CCF032E">
      <w:pPr>
        <w:adjustRightInd/>
        <w:spacing w:line="300" w:lineRule="auto"/>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账  号：</w:t>
      </w:r>
      <w:bookmarkStart w:id="996" w:name="SOA_zyht_fbrzh"/>
      <w:bookmarkEnd w:id="996"/>
      <w:r>
        <w:rPr>
          <w:rFonts w:hint="eastAsia" w:ascii="仿宋" w:hAnsi="仿宋" w:eastAsia="仿宋" w:cs="仿宋"/>
          <w:snapToGrid w:val="0"/>
          <w:color w:val="auto"/>
          <w:kern w:val="0"/>
          <w:sz w:val="24"/>
          <w:highlight w:val="none"/>
        </w:rPr>
        <w:t>                                    账 号：</w:t>
      </w:r>
      <w:bookmarkStart w:id="997" w:name="SOA_zyht_cbrzh"/>
      <w:bookmarkEnd w:id="997"/>
    </w:p>
    <w:p w14:paraId="7316CA23">
      <w:pPr>
        <w:adjustRightInd/>
        <w:spacing w:line="300" w:lineRule="auto"/>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邮政编码：</w:t>
      </w:r>
      <w:bookmarkStart w:id="998" w:name="SOA_zyht_fbryb"/>
      <w:bookmarkEnd w:id="998"/>
      <w:r>
        <w:rPr>
          <w:rFonts w:hint="eastAsia" w:ascii="仿宋" w:hAnsi="仿宋" w:eastAsia="仿宋" w:cs="仿宋"/>
          <w:snapToGrid w:val="0"/>
          <w:color w:val="auto"/>
          <w:kern w:val="0"/>
          <w:sz w:val="24"/>
          <w:highlight w:val="none"/>
        </w:rPr>
        <w:t xml:space="preserve">                                      邮政编码：</w:t>
      </w:r>
      <w:bookmarkStart w:id="999" w:name="SOA_zyht_cbryb"/>
      <w:bookmarkEnd w:id="999"/>
    </w:p>
    <w:p w14:paraId="0BE7EF6B">
      <w:pPr>
        <w:adjustRightInd/>
        <w:spacing w:line="300" w:lineRule="auto"/>
        <w:rPr>
          <w:rFonts w:ascii="仿宋" w:hAnsi="仿宋" w:eastAsia="仿宋" w:cs="仿宋"/>
          <w:snapToGrid w:val="0"/>
          <w:color w:val="auto"/>
          <w:kern w:val="0"/>
          <w:sz w:val="24"/>
          <w:highlight w:val="none"/>
        </w:rPr>
      </w:pPr>
    </w:p>
    <w:p w14:paraId="6F9CB66C">
      <w:pPr>
        <w:adjustRightInd/>
        <w:spacing w:line="300" w:lineRule="auto"/>
        <w:rPr>
          <w:rFonts w:ascii="仿宋" w:hAnsi="仿宋" w:eastAsia="仿宋" w:cs="仿宋"/>
          <w:snapToGrid w:val="0"/>
          <w:color w:val="auto"/>
          <w:kern w:val="0"/>
          <w:sz w:val="24"/>
          <w:highlight w:val="none"/>
        </w:rPr>
      </w:pPr>
    </w:p>
    <w:p w14:paraId="066D0FEE">
      <w:pPr>
        <w:adjustRightInd/>
        <w:spacing w:line="300" w:lineRule="auto"/>
        <w:rPr>
          <w:rFonts w:ascii="仿宋" w:hAnsi="仿宋" w:eastAsia="仿宋" w:cs="仿宋"/>
          <w:snapToGrid w:val="0"/>
          <w:color w:val="auto"/>
          <w:kern w:val="0"/>
          <w:sz w:val="24"/>
          <w:highlight w:val="none"/>
        </w:rPr>
      </w:pPr>
    </w:p>
    <w:p w14:paraId="3DDDE795">
      <w:pPr>
        <w:adjustRightInd/>
        <w:spacing w:line="300" w:lineRule="auto"/>
        <w:rPr>
          <w:rFonts w:ascii="仿宋" w:hAnsi="仿宋" w:eastAsia="仿宋" w:cs="仿宋"/>
          <w:snapToGrid w:val="0"/>
          <w:color w:val="auto"/>
          <w:kern w:val="0"/>
          <w:sz w:val="24"/>
          <w:highlight w:val="none"/>
        </w:rPr>
      </w:pPr>
    </w:p>
    <w:p w14:paraId="2E9BF127">
      <w:pPr>
        <w:adjustRightInd/>
        <w:spacing w:line="300" w:lineRule="auto"/>
        <w:rPr>
          <w:rFonts w:ascii="仿宋" w:hAnsi="仿宋" w:eastAsia="仿宋" w:cs="仿宋"/>
          <w:snapToGrid w:val="0"/>
          <w:color w:val="auto"/>
          <w:kern w:val="0"/>
          <w:sz w:val="24"/>
          <w:highlight w:val="none"/>
        </w:rPr>
      </w:pPr>
    </w:p>
    <w:p w14:paraId="18866C24">
      <w:pPr>
        <w:adjustRightInd/>
        <w:spacing w:line="300" w:lineRule="auto"/>
        <w:rPr>
          <w:rFonts w:ascii="仿宋" w:hAnsi="仿宋" w:eastAsia="仿宋" w:cs="仿宋"/>
          <w:snapToGrid w:val="0"/>
          <w:color w:val="auto"/>
          <w:kern w:val="0"/>
          <w:sz w:val="24"/>
          <w:highlight w:val="none"/>
        </w:rPr>
      </w:pPr>
    </w:p>
    <w:p w14:paraId="6FB1D4EB">
      <w:pPr>
        <w:adjustRightInd/>
        <w:spacing w:line="300" w:lineRule="auto"/>
        <w:rPr>
          <w:rFonts w:ascii="仿宋" w:hAnsi="仿宋" w:eastAsia="仿宋" w:cs="仿宋"/>
          <w:snapToGrid w:val="0"/>
          <w:color w:val="auto"/>
          <w:kern w:val="0"/>
          <w:sz w:val="24"/>
          <w:highlight w:val="none"/>
        </w:rPr>
      </w:pPr>
    </w:p>
    <w:p w14:paraId="49F96CB5">
      <w:pPr>
        <w:adjustRightInd/>
        <w:spacing w:line="300" w:lineRule="auto"/>
        <w:rPr>
          <w:rFonts w:ascii="仿宋" w:hAnsi="仿宋" w:eastAsia="仿宋" w:cs="仿宋"/>
          <w:snapToGrid w:val="0"/>
          <w:color w:val="auto"/>
          <w:kern w:val="0"/>
          <w:sz w:val="24"/>
          <w:highlight w:val="none"/>
        </w:rPr>
      </w:pPr>
    </w:p>
    <w:p w14:paraId="0825AD89">
      <w:pPr>
        <w:adjustRightInd/>
        <w:spacing w:line="300" w:lineRule="auto"/>
        <w:rPr>
          <w:rFonts w:ascii="仿宋" w:hAnsi="仿宋" w:eastAsia="仿宋" w:cs="仿宋"/>
          <w:snapToGrid w:val="0"/>
          <w:color w:val="auto"/>
          <w:kern w:val="0"/>
          <w:sz w:val="24"/>
          <w:highlight w:val="none"/>
        </w:rPr>
      </w:pPr>
    </w:p>
    <w:p w14:paraId="62F6BA60">
      <w:pPr>
        <w:snapToGrid w:val="0"/>
        <w:spacing w:line="360" w:lineRule="auto"/>
        <w:jc w:val="center"/>
        <w:outlineLvl w:val="0"/>
        <w:rPr>
          <w:rFonts w:ascii="仿宋" w:hAnsi="仿宋" w:eastAsia="仿宋" w:cs="仿宋"/>
          <w:b/>
          <w:color w:val="auto"/>
          <w:sz w:val="36"/>
          <w:szCs w:val="20"/>
          <w:highlight w:val="none"/>
        </w:rPr>
        <w:sectPr>
          <w:headerReference r:id="rId12" w:type="first"/>
          <w:footerReference r:id="rId14" w:type="first"/>
          <w:footerReference r:id="rId13" w:type="default"/>
          <w:pgSz w:w="11906" w:h="16838"/>
          <w:pgMar w:top="1440" w:right="1080" w:bottom="1440" w:left="1080" w:header="851" w:footer="992" w:gutter="0"/>
          <w:cols w:space="720" w:num="1"/>
          <w:titlePg/>
          <w:docGrid w:linePitch="312" w:charSpace="0"/>
        </w:sectPr>
      </w:pPr>
    </w:p>
    <w:p w14:paraId="619F7976">
      <w:pPr>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附件3</w:t>
      </w:r>
    </w:p>
    <w:p w14:paraId="197A5119">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机械设备清单</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80"/>
        <w:gridCol w:w="2494"/>
        <w:gridCol w:w="1572"/>
        <w:gridCol w:w="1186"/>
        <w:gridCol w:w="1368"/>
        <w:gridCol w:w="1702"/>
      </w:tblGrid>
      <w:tr w14:paraId="7E0CA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trPr>
        <w:tc>
          <w:tcPr>
            <w:tcW w:w="755" w:type="pct"/>
            <w:tcBorders>
              <w:top w:val="single" w:color="auto" w:sz="4" w:space="0"/>
              <w:left w:val="single" w:color="auto" w:sz="4" w:space="0"/>
              <w:bottom w:val="single" w:color="auto" w:sz="4" w:space="0"/>
              <w:right w:val="single" w:color="auto" w:sz="4" w:space="0"/>
            </w:tcBorders>
            <w:vAlign w:val="center"/>
          </w:tcPr>
          <w:p w14:paraId="4039E13D">
            <w:pPr>
              <w:autoSpaceDE w:val="0"/>
              <w:autoSpaceDN w:val="0"/>
              <w:spacing w:line="320" w:lineRule="exact"/>
              <w:jc w:val="center"/>
              <w:rPr>
                <w:rFonts w:ascii="仿宋" w:hAnsi="仿宋" w:eastAsia="仿宋" w:cs="仿宋"/>
                <w:bCs/>
                <w:color w:val="auto"/>
                <w:kern w:val="0"/>
                <w:szCs w:val="21"/>
                <w:highlight w:val="none"/>
              </w:rPr>
            </w:pPr>
            <w:r>
              <w:rPr>
                <w:rFonts w:hint="eastAsia" w:ascii="仿宋" w:hAnsi="仿宋" w:eastAsia="仿宋" w:cs="仿宋"/>
                <w:bCs/>
                <w:color w:val="auto"/>
                <w:szCs w:val="21"/>
                <w:highlight w:val="none"/>
              </w:rPr>
              <w:t>序号</w:t>
            </w:r>
          </w:p>
        </w:tc>
        <w:tc>
          <w:tcPr>
            <w:tcW w:w="1272" w:type="pct"/>
            <w:tcBorders>
              <w:top w:val="single" w:color="auto" w:sz="4" w:space="0"/>
              <w:left w:val="single" w:color="auto" w:sz="4" w:space="0"/>
              <w:bottom w:val="single" w:color="auto" w:sz="4" w:space="0"/>
              <w:right w:val="single" w:color="auto" w:sz="4" w:space="0"/>
            </w:tcBorders>
            <w:vAlign w:val="center"/>
          </w:tcPr>
          <w:p w14:paraId="3CEBAA80">
            <w:pPr>
              <w:autoSpaceDE w:val="0"/>
              <w:autoSpaceDN w:val="0"/>
              <w:spacing w:line="320" w:lineRule="exact"/>
              <w:jc w:val="center"/>
              <w:rPr>
                <w:rFonts w:ascii="仿宋" w:hAnsi="仿宋" w:eastAsia="仿宋" w:cs="仿宋"/>
                <w:bCs/>
                <w:color w:val="auto"/>
                <w:kern w:val="0"/>
                <w:szCs w:val="21"/>
                <w:highlight w:val="none"/>
              </w:rPr>
            </w:pPr>
            <w:r>
              <w:rPr>
                <w:rFonts w:hint="eastAsia" w:ascii="仿宋" w:hAnsi="仿宋" w:eastAsia="仿宋" w:cs="仿宋"/>
                <w:bCs/>
                <w:color w:val="auto"/>
                <w:szCs w:val="21"/>
                <w:highlight w:val="none"/>
              </w:rPr>
              <w:t>机械或设备名称</w:t>
            </w:r>
          </w:p>
        </w:tc>
        <w:tc>
          <w:tcPr>
            <w:tcW w:w="802" w:type="pct"/>
            <w:tcBorders>
              <w:top w:val="single" w:color="auto" w:sz="4" w:space="0"/>
              <w:left w:val="single" w:color="auto" w:sz="4" w:space="0"/>
              <w:bottom w:val="single" w:color="auto" w:sz="4" w:space="0"/>
              <w:right w:val="single" w:color="auto" w:sz="4" w:space="0"/>
            </w:tcBorders>
            <w:vAlign w:val="center"/>
          </w:tcPr>
          <w:p w14:paraId="190B11DE">
            <w:pPr>
              <w:autoSpaceDE w:val="0"/>
              <w:autoSpaceDN w:val="0"/>
              <w:spacing w:line="320" w:lineRule="exact"/>
              <w:jc w:val="center"/>
              <w:rPr>
                <w:rFonts w:ascii="仿宋" w:hAnsi="仿宋" w:eastAsia="仿宋" w:cs="仿宋"/>
                <w:bCs/>
                <w:color w:val="auto"/>
                <w:kern w:val="0"/>
                <w:szCs w:val="21"/>
                <w:highlight w:val="none"/>
              </w:rPr>
            </w:pPr>
            <w:r>
              <w:rPr>
                <w:rFonts w:hint="eastAsia" w:ascii="仿宋" w:hAnsi="仿宋" w:eastAsia="仿宋" w:cs="仿宋"/>
                <w:bCs/>
                <w:color w:val="auto"/>
                <w:szCs w:val="21"/>
                <w:highlight w:val="none"/>
              </w:rPr>
              <w:t>规格</w:t>
            </w:r>
          </w:p>
          <w:p w14:paraId="4E4DECA2">
            <w:pPr>
              <w:autoSpaceDE w:val="0"/>
              <w:autoSpaceDN w:val="0"/>
              <w:spacing w:line="320" w:lineRule="exact"/>
              <w:jc w:val="center"/>
              <w:rPr>
                <w:rFonts w:ascii="仿宋" w:hAnsi="仿宋" w:eastAsia="仿宋" w:cs="仿宋"/>
                <w:bCs/>
                <w:color w:val="auto"/>
                <w:kern w:val="0"/>
                <w:szCs w:val="21"/>
                <w:highlight w:val="none"/>
              </w:rPr>
            </w:pPr>
            <w:r>
              <w:rPr>
                <w:rFonts w:hint="eastAsia" w:ascii="仿宋" w:hAnsi="仿宋" w:eastAsia="仿宋" w:cs="仿宋"/>
                <w:bCs/>
                <w:color w:val="auto"/>
                <w:szCs w:val="21"/>
                <w:highlight w:val="none"/>
              </w:rPr>
              <w:t>型号</w:t>
            </w:r>
          </w:p>
        </w:tc>
        <w:tc>
          <w:tcPr>
            <w:tcW w:w="605" w:type="pct"/>
            <w:tcBorders>
              <w:top w:val="single" w:color="auto" w:sz="4" w:space="0"/>
              <w:left w:val="single" w:color="auto" w:sz="4" w:space="0"/>
              <w:bottom w:val="single" w:color="auto" w:sz="4" w:space="0"/>
              <w:right w:val="single" w:color="auto" w:sz="4" w:space="0"/>
            </w:tcBorders>
            <w:vAlign w:val="center"/>
          </w:tcPr>
          <w:p w14:paraId="54FD3FD0">
            <w:pPr>
              <w:autoSpaceDE w:val="0"/>
              <w:autoSpaceDN w:val="0"/>
              <w:spacing w:line="320" w:lineRule="exact"/>
              <w:jc w:val="center"/>
              <w:rPr>
                <w:rFonts w:ascii="仿宋" w:hAnsi="仿宋" w:eastAsia="仿宋" w:cs="仿宋"/>
                <w:bCs/>
                <w:color w:val="auto"/>
                <w:kern w:val="0"/>
                <w:szCs w:val="21"/>
                <w:highlight w:val="none"/>
              </w:rPr>
            </w:pPr>
            <w:r>
              <w:rPr>
                <w:rFonts w:hint="eastAsia" w:ascii="仿宋" w:hAnsi="仿宋" w:eastAsia="仿宋" w:cs="仿宋"/>
                <w:bCs/>
                <w:color w:val="auto"/>
                <w:szCs w:val="21"/>
                <w:highlight w:val="none"/>
              </w:rPr>
              <w:t>数量</w:t>
            </w:r>
          </w:p>
        </w:tc>
        <w:tc>
          <w:tcPr>
            <w:tcW w:w="698" w:type="pct"/>
            <w:tcBorders>
              <w:top w:val="single" w:color="auto" w:sz="4" w:space="0"/>
              <w:left w:val="single" w:color="auto" w:sz="4" w:space="0"/>
              <w:bottom w:val="single" w:color="auto" w:sz="4" w:space="0"/>
              <w:right w:val="single" w:color="auto" w:sz="4" w:space="0"/>
            </w:tcBorders>
            <w:vAlign w:val="center"/>
          </w:tcPr>
          <w:p w14:paraId="719BA408">
            <w:pPr>
              <w:autoSpaceDE w:val="0"/>
              <w:autoSpaceDN w:val="0"/>
              <w:spacing w:line="320" w:lineRule="exact"/>
              <w:jc w:val="center"/>
              <w:rPr>
                <w:rFonts w:ascii="仿宋" w:hAnsi="仿宋" w:eastAsia="仿宋" w:cs="仿宋"/>
                <w:bCs/>
                <w:color w:val="auto"/>
                <w:kern w:val="0"/>
                <w:szCs w:val="21"/>
                <w:highlight w:val="none"/>
              </w:rPr>
            </w:pPr>
            <w:r>
              <w:rPr>
                <w:rFonts w:hint="eastAsia" w:ascii="仿宋" w:hAnsi="仿宋" w:eastAsia="仿宋" w:cs="仿宋"/>
                <w:bCs/>
                <w:color w:val="auto"/>
                <w:szCs w:val="21"/>
                <w:highlight w:val="none"/>
              </w:rPr>
              <w:t>产地</w:t>
            </w:r>
          </w:p>
        </w:tc>
        <w:tc>
          <w:tcPr>
            <w:tcW w:w="869" w:type="pct"/>
            <w:tcBorders>
              <w:top w:val="single" w:color="auto" w:sz="4" w:space="0"/>
              <w:left w:val="single" w:color="auto" w:sz="4" w:space="0"/>
              <w:bottom w:val="single" w:color="auto" w:sz="4" w:space="0"/>
              <w:right w:val="single" w:color="auto" w:sz="4" w:space="0"/>
            </w:tcBorders>
            <w:vAlign w:val="center"/>
          </w:tcPr>
          <w:p w14:paraId="782A170C">
            <w:pPr>
              <w:autoSpaceDE w:val="0"/>
              <w:autoSpaceDN w:val="0"/>
              <w:spacing w:line="320" w:lineRule="exact"/>
              <w:jc w:val="center"/>
              <w:rPr>
                <w:rFonts w:ascii="仿宋" w:hAnsi="仿宋" w:eastAsia="仿宋" w:cs="仿宋"/>
                <w:bCs/>
                <w:color w:val="auto"/>
                <w:kern w:val="0"/>
                <w:szCs w:val="21"/>
                <w:highlight w:val="none"/>
              </w:rPr>
            </w:pPr>
            <w:r>
              <w:rPr>
                <w:rFonts w:hint="eastAsia" w:ascii="仿宋" w:hAnsi="仿宋" w:eastAsia="仿宋" w:cs="仿宋"/>
                <w:bCs/>
                <w:color w:val="auto"/>
                <w:szCs w:val="21"/>
                <w:highlight w:val="none"/>
              </w:rPr>
              <w:t>备注</w:t>
            </w:r>
          </w:p>
        </w:tc>
      </w:tr>
      <w:tr w14:paraId="05B29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trPr>
        <w:tc>
          <w:tcPr>
            <w:tcW w:w="755" w:type="pct"/>
            <w:tcBorders>
              <w:top w:val="single" w:color="auto" w:sz="4" w:space="0"/>
              <w:left w:val="single" w:color="auto" w:sz="4" w:space="0"/>
              <w:bottom w:val="single" w:color="auto" w:sz="4" w:space="0"/>
              <w:right w:val="single" w:color="auto" w:sz="4" w:space="0"/>
            </w:tcBorders>
            <w:vAlign w:val="center"/>
          </w:tcPr>
          <w:p w14:paraId="389EBEDD">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1272" w:type="pct"/>
            <w:tcBorders>
              <w:top w:val="single" w:color="auto" w:sz="4" w:space="0"/>
              <w:left w:val="single" w:color="auto" w:sz="4" w:space="0"/>
              <w:bottom w:val="single" w:color="auto" w:sz="4" w:space="0"/>
              <w:right w:val="single" w:color="auto" w:sz="4" w:space="0"/>
            </w:tcBorders>
            <w:vAlign w:val="center"/>
          </w:tcPr>
          <w:p w14:paraId="0559755B">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802" w:type="pct"/>
            <w:tcBorders>
              <w:top w:val="single" w:color="auto" w:sz="4" w:space="0"/>
              <w:left w:val="single" w:color="auto" w:sz="4" w:space="0"/>
              <w:bottom w:val="single" w:color="auto" w:sz="4" w:space="0"/>
              <w:right w:val="single" w:color="auto" w:sz="4" w:space="0"/>
            </w:tcBorders>
            <w:vAlign w:val="center"/>
          </w:tcPr>
          <w:p w14:paraId="6ED4CD3B">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605" w:type="pct"/>
            <w:tcBorders>
              <w:top w:val="single" w:color="auto" w:sz="4" w:space="0"/>
              <w:left w:val="single" w:color="auto" w:sz="4" w:space="0"/>
              <w:bottom w:val="single" w:color="auto" w:sz="4" w:space="0"/>
              <w:right w:val="single" w:color="auto" w:sz="4" w:space="0"/>
            </w:tcBorders>
            <w:vAlign w:val="center"/>
          </w:tcPr>
          <w:p w14:paraId="4F36601B">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698" w:type="pct"/>
            <w:tcBorders>
              <w:top w:val="single" w:color="auto" w:sz="4" w:space="0"/>
              <w:left w:val="single" w:color="auto" w:sz="4" w:space="0"/>
              <w:bottom w:val="single" w:color="auto" w:sz="4" w:space="0"/>
              <w:right w:val="single" w:color="auto" w:sz="4" w:space="0"/>
            </w:tcBorders>
            <w:vAlign w:val="center"/>
          </w:tcPr>
          <w:p w14:paraId="2E3447AD">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869" w:type="pct"/>
            <w:tcBorders>
              <w:top w:val="single" w:color="auto" w:sz="4" w:space="0"/>
              <w:left w:val="single" w:color="auto" w:sz="4" w:space="0"/>
              <w:bottom w:val="single" w:color="auto" w:sz="4" w:space="0"/>
              <w:right w:val="single" w:color="auto" w:sz="4" w:space="0"/>
            </w:tcBorders>
            <w:vAlign w:val="center"/>
          </w:tcPr>
          <w:p w14:paraId="76ADEBFD">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r>
      <w:tr w14:paraId="2F6B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trPr>
        <w:tc>
          <w:tcPr>
            <w:tcW w:w="755" w:type="pct"/>
            <w:tcBorders>
              <w:top w:val="single" w:color="auto" w:sz="4" w:space="0"/>
              <w:left w:val="single" w:color="auto" w:sz="4" w:space="0"/>
              <w:bottom w:val="single" w:color="auto" w:sz="4" w:space="0"/>
              <w:right w:val="single" w:color="auto" w:sz="4" w:space="0"/>
            </w:tcBorders>
            <w:vAlign w:val="center"/>
          </w:tcPr>
          <w:p w14:paraId="77F1405D">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1272" w:type="pct"/>
            <w:tcBorders>
              <w:top w:val="single" w:color="auto" w:sz="4" w:space="0"/>
              <w:left w:val="single" w:color="auto" w:sz="4" w:space="0"/>
              <w:bottom w:val="single" w:color="auto" w:sz="4" w:space="0"/>
              <w:right w:val="single" w:color="auto" w:sz="4" w:space="0"/>
            </w:tcBorders>
            <w:vAlign w:val="center"/>
          </w:tcPr>
          <w:p w14:paraId="478F399D">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802" w:type="pct"/>
            <w:tcBorders>
              <w:top w:val="single" w:color="auto" w:sz="4" w:space="0"/>
              <w:left w:val="single" w:color="auto" w:sz="4" w:space="0"/>
              <w:bottom w:val="single" w:color="auto" w:sz="4" w:space="0"/>
              <w:right w:val="single" w:color="auto" w:sz="4" w:space="0"/>
            </w:tcBorders>
            <w:vAlign w:val="center"/>
          </w:tcPr>
          <w:p w14:paraId="1DAB839A">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605" w:type="pct"/>
            <w:tcBorders>
              <w:top w:val="single" w:color="auto" w:sz="4" w:space="0"/>
              <w:left w:val="single" w:color="auto" w:sz="4" w:space="0"/>
              <w:bottom w:val="single" w:color="auto" w:sz="4" w:space="0"/>
              <w:right w:val="single" w:color="auto" w:sz="4" w:space="0"/>
            </w:tcBorders>
            <w:vAlign w:val="center"/>
          </w:tcPr>
          <w:p w14:paraId="33034EFA">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698" w:type="pct"/>
            <w:tcBorders>
              <w:top w:val="single" w:color="auto" w:sz="4" w:space="0"/>
              <w:left w:val="single" w:color="auto" w:sz="4" w:space="0"/>
              <w:bottom w:val="single" w:color="auto" w:sz="4" w:space="0"/>
              <w:right w:val="single" w:color="auto" w:sz="4" w:space="0"/>
            </w:tcBorders>
            <w:vAlign w:val="center"/>
          </w:tcPr>
          <w:p w14:paraId="4E4C2131">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869" w:type="pct"/>
            <w:tcBorders>
              <w:top w:val="single" w:color="auto" w:sz="4" w:space="0"/>
              <w:left w:val="single" w:color="auto" w:sz="4" w:space="0"/>
              <w:bottom w:val="single" w:color="auto" w:sz="4" w:space="0"/>
              <w:right w:val="single" w:color="auto" w:sz="4" w:space="0"/>
            </w:tcBorders>
            <w:vAlign w:val="center"/>
          </w:tcPr>
          <w:p w14:paraId="255AFB58">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r>
      <w:tr w14:paraId="4F5B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trPr>
        <w:tc>
          <w:tcPr>
            <w:tcW w:w="755" w:type="pct"/>
            <w:tcBorders>
              <w:top w:val="single" w:color="auto" w:sz="4" w:space="0"/>
              <w:left w:val="single" w:color="auto" w:sz="4" w:space="0"/>
              <w:bottom w:val="single" w:color="auto" w:sz="4" w:space="0"/>
              <w:right w:val="single" w:color="auto" w:sz="4" w:space="0"/>
            </w:tcBorders>
            <w:vAlign w:val="center"/>
          </w:tcPr>
          <w:p w14:paraId="5EF22D05">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1272" w:type="pct"/>
            <w:tcBorders>
              <w:top w:val="single" w:color="auto" w:sz="4" w:space="0"/>
              <w:left w:val="single" w:color="auto" w:sz="4" w:space="0"/>
              <w:bottom w:val="single" w:color="auto" w:sz="4" w:space="0"/>
              <w:right w:val="single" w:color="auto" w:sz="4" w:space="0"/>
            </w:tcBorders>
            <w:vAlign w:val="center"/>
          </w:tcPr>
          <w:p w14:paraId="7106ED03">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802" w:type="pct"/>
            <w:tcBorders>
              <w:top w:val="single" w:color="auto" w:sz="4" w:space="0"/>
              <w:left w:val="single" w:color="auto" w:sz="4" w:space="0"/>
              <w:bottom w:val="single" w:color="auto" w:sz="4" w:space="0"/>
              <w:right w:val="single" w:color="auto" w:sz="4" w:space="0"/>
            </w:tcBorders>
            <w:vAlign w:val="center"/>
          </w:tcPr>
          <w:p w14:paraId="3EE6F886">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605" w:type="pct"/>
            <w:tcBorders>
              <w:top w:val="single" w:color="auto" w:sz="4" w:space="0"/>
              <w:left w:val="single" w:color="auto" w:sz="4" w:space="0"/>
              <w:bottom w:val="single" w:color="auto" w:sz="4" w:space="0"/>
              <w:right w:val="single" w:color="auto" w:sz="4" w:space="0"/>
            </w:tcBorders>
            <w:vAlign w:val="center"/>
          </w:tcPr>
          <w:p w14:paraId="38965012">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698" w:type="pct"/>
            <w:tcBorders>
              <w:top w:val="single" w:color="auto" w:sz="4" w:space="0"/>
              <w:left w:val="single" w:color="auto" w:sz="4" w:space="0"/>
              <w:bottom w:val="single" w:color="auto" w:sz="4" w:space="0"/>
              <w:right w:val="single" w:color="auto" w:sz="4" w:space="0"/>
            </w:tcBorders>
            <w:vAlign w:val="center"/>
          </w:tcPr>
          <w:p w14:paraId="1A8946E1">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869" w:type="pct"/>
            <w:tcBorders>
              <w:top w:val="single" w:color="auto" w:sz="4" w:space="0"/>
              <w:left w:val="single" w:color="auto" w:sz="4" w:space="0"/>
              <w:bottom w:val="single" w:color="auto" w:sz="4" w:space="0"/>
              <w:right w:val="single" w:color="auto" w:sz="4" w:space="0"/>
            </w:tcBorders>
            <w:vAlign w:val="center"/>
          </w:tcPr>
          <w:p w14:paraId="5CCDCBED">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r>
      <w:tr w14:paraId="17C93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trPr>
        <w:tc>
          <w:tcPr>
            <w:tcW w:w="755" w:type="pct"/>
            <w:tcBorders>
              <w:top w:val="single" w:color="auto" w:sz="4" w:space="0"/>
              <w:left w:val="single" w:color="auto" w:sz="4" w:space="0"/>
              <w:bottom w:val="single" w:color="auto" w:sz="4" w:space="0"/>
              <w:right w:val="single" w:color="auto" w:sz="4" w:space="0"/>
            </w:tcBorders>
            <w:vAlign w:val="center"/>
          </w:tcPr>
          <w:p w14:paraId="7D06566A">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1272" w:type="pct"/>
            <w:tcBorders>
              <w:top w:val="single" w:color="auto" w:sz="4" w:space="0"/>
              <w:left w:val="single" w:color="auto" w:sz="4" w:space="0"/>
              <w:bottom w:val="single" w:color="auto" w:sz="4" w:space="0"/>
              <w:right w:val="single" w:color="auto" w:sz="4" w:space="0"/>
            </w:tcBorders>
            <w:vAlign w:val="center"/>
          </w:tcPr>
          <w:p w14:paraId="4C91C4DB">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802" w:type="pct"/>
            <w:tcBorders>
              <w:top w:val="single" w:color="auto" w:sz="4" w:space="0"/>
              <w:left w:val="single" w:color="auto" w:sz="4" w:space="0"/>
              <w:bottom w:val="single" w:color="auto" w:sz="4" w:space="0"/>
              <w:right w:val="single" w:color="auto" w:sz="4" w:space="0"/>
            </w:tcBorders>
            <w:vAlign w:val="center"/>
          </w:tcPr>
          <w:p w14:paraId="57C95FAE">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605" w:type="pct"/>
            <w:tcBorders>
              <w:top w:val="single" w:color="auto" w:sz="4" w:space="0"/>
              <w:left w:val="single" w:color="auto" w:sz="4" w:space="0"/>
              <w:bottom w:val="single" w:color="auto" w:sz="4" w:space="0"/>
              <w:right w:val="single" w:color="auto" w:sz="4" w:space="0"/>
            </w:tcBorders>
            <w:vAlign w:val="center"/>
          </w:tcPr>
          <w:p w14:paraId="612FE77B">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698" w:type="pct"/>
            <w:tcBorders>
              <w:top w:val="single" w:color="auto" w:sz="4" w:space="0"/>
              <w:left w:val="single" w:color="auto" w:sz="4" w:space="0"/>
              <w:bottom w:val="single" w:color="auto" w:sz="4" w:space="0"/>
              <w:right w:val="single" w:color="auto" w:sz="4" w:space="0"/>
            </w:tcBorders>
            <w:vAlign w:val="center"/>
          </w:tcPr>
          <w:p w14:paraId="2F98FD54">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869" w:type="pct"/>
            <w:tcBorders>
              <w:top w:val="single" w:color="auto" w:sz="4" w:space="0"/>
              <w:left w:val="single" w:color="auto" w:sz="4" w:space="0"/>
              <w:bottom w:val="single" w:color="auto" w:sz="4" w:space="0"/>
              <w:right w:val="single" w:color="auto" w:sz="4" w:space="0"/>
            </w:tcBorders>
            <w:vAlign w:val="center"/>
          </w:tcPr>
          <w:p w14:paraId="7206306B">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r>
      <w:tr w14:paraId="22D9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trPr>
        <w:tc>
          <w:tcPr>
            <w:tcW w:w="755" w:type="pct"/>
            <w:tcBorders>
              <w:top w:val="single" w:color="auto" w:sz="4" w:space="0"/>
              <w:left w:val="single" w:color="auto" w:sz="4" w:space="0"/>
              <w:bottom w:val="single" w:color="auto" w:sz="4" w:space="0"/>
              <w:right w:val="single" w:color="auto" w:sz="4" w:space="0"/>
            </w:tcBorders>
            <w:vAlign w:val="center"/>
          </w:tcPr>
          <w:p w14:paraId="1AF37B8F">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1272" w:type="pct"/>
            <w:tcBorders>
              <w:top w:val="single" w:color="auto" w:sz="4" w:space="0"/>
              <w:left w:val="single" w:color="auto" w:sz="4" w:space="0"/>
              <w:bottom w:val="single" w:color="auto" w:sz="4" w:space="0"/>
              <w:right w:val="single" w:color="auto" w:sz="4" w:space="0"/>
            </w:tcBorders>
            <w:vAlign w:val="center"/>
          </w:tcPr>
          <w:p w14:paraId="7C670F57">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802" w:type="pct"/>
            <w:tcBorders>
              <w:top w:val="single" w:color="auto" w:sz="4" w:space="0"/>
              <w:left w:val="single" w:color="auto" w:sz="4" w:space="0"/>
              <w:bottom w:val="single" w:color="auto" w:sz="4" w:space="0"/>
              <w:right w:val="single" w:color="auto" w:sz="4" w:space="0"/>
            </w:tcBorders>
            <w:vAlign w:val="center"/>
          </w:tcPr>
          <w:p w14:paraId="0AC0A57C">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605" w:type="pct"/>
            <w:tcBorders>
              <w:top w:val="single" w:color="auto" w:sz="4" w:space="0"/>
              <w:left w:val="single" w:color="auto" w:sz="4" w:space="0"/>
              <w:bottom w:val="single" w:color="auto" w:sz="4" w:space="0"/>
              <w:right w:val="single" w:color="auto" w:sz="4" w:space="0"/>
            </w:tcBorders>
            <w:vAlign w:val="center"/>
          </w:tcPr>
          <w:p w14:paraId="6412001B">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698" w:type="pct"/>
            <w:tcBorders>
              <w:top w:val="single" w:color="auto" w:sz="4" w:space="0"/>
              <w:left w:val="single" w:color="auto" w:sz="4" w:space="0"/>
              <w:bottom w:val="single" w:color="auto" w:sz="4" w:space="0"/>
              <w:right w:val="single" w:color="auto" w:sz="4" w:space="0"/>
            </w:tcBorders>
            <w:vAlign w:val="center"/>
          </w:tcPr>
          <w:p w14:paraId="652F9EB3">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869" w:type="pct"/>
            <w:tcBorders>
              <w:top w:val="single" w:color="auto" w:sz="4" w:space="0"/>
              <w:left w:val="single" w:color="auto" w:sz="4" w:space="0"/>
              <w:bottom w:val="single" w:color="auto" w:sz="4" w:space="0"/>
              <w:right w:val="single" w:color="auto" w:sz="4" w:space="0"/>
            </w:tcBorders>
            <w:vAlign w:val="center"/>
          </w:tcPr>
          <w:p w14:paraId="3EAF6087">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r>
      <w:tr w14:paraId="31C6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trPr>
        <w:tc>
          <w:tcPr>
            <w:tcW w:w="755" w:type="pct"/>
            <w:tcBorders>
              <w:top w:val="single" w:color="auto" w:sz="4" w:space="0"/>
              <w:left w:val="single" w:color="auto" w:sz="4" w:space="0"/>
              <w:bottom w:val="single" w:color="auto" w:sz="4" w:space="0"/>
              <w:right w:val="single" w:color="auto" w:sz="4" w:space="0"/>
            </w:tcBorders>
            <w:vAlign w:val="center"/>
          </w:tcPr>
          <w:p w14:paraId="6D7ECCC0">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1272" w:type="pct"/>
            <w:tcBorders>
              <w:top w:val="single" w:color="auto" w:sz="4" w:space="0"/>
              <w:left w:val="single" w:color="auto" w:sz="4" w:space="0"/>
              <w:bottom w:val="single" w:color="auto" w:sz="4" w:space="0"/>
              <w:right w:val="single" w:color="auto" w:sz="4" w:space="0"/>
            </w:tcBorders>
            <w:vAlign w:val="center"/>
          </w:tcPr>
          <w:p w14:paraId="4866EBA4">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802" w:type="pct"/>
            <w:tcBorders>
              <w:top w:val="single" w:color="auto" w:sz="4" w:space="0"/>
              <w:left w:val="single" w:color="auto" w:sz="4" w:space="0"/>
              <w:bottom w:val="single" w:color="auto" w:sz="4" w:space="0"/>
              <w:right w:val="single" w:color="auto" w:sz="4" w:space="0"/>
            </w:tcBorders>
            <w:vAlign w:val="center"/>
          </w:tcPr>
          <w:p w14:paraId="167BD145">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605" w:type="pct"/>
            <w:tcBorders>
              <w:top w:val="single" w:color="auto" w:sz="4" w:space="0"/>
              <w:left w:val="single" w:color="auto" w:sz="4" w:space="0"/>
              <w:bottom w:val="single" w:color="auto" w:sz="4" w:space="0"/>
              <w:right w:val="single" w:color="auto" w:sz="4" w:space="0"/>
            </w:tcBorders>
            <w:vAlign w:val="center"/>
          </w:tcPr>
          <w:p w14:paraId="7E61E8DA">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698" w:type="pct"/>
            <w:tcBorders>
              <w:top w:val="single" w:color="auto" w:sz="4" w:space="0"/>
              <w:left w:val="single" w:color="auto" w:sz="4" w:space="0"/>
              <w:bottom w:val="single" w:color="auto" w:sz="4" w:space="0"/>
              <w:right w:val="single" w:color="auto" w:sz="4" w:space="0"/>
            </w:tcBorders>
            <w:vAlign w:val="center"/>
          </w:tcPr>
          <w:p w14:paraId="60D00860">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869" w:type="pct"/>
            <w:tcBorders>
              <w:top w:val="single" w:color="auto" w:sz="4" w:space="0"/>
              <w:left w:val="single" w:color="auto" w:sz="4" w:space="0"/>
              <w:bottom w:val="single" w:color="auto" w:sz="4" w:space="0"/>
              <w:right w:val="single" w:color="auto" w:sz="4" w:space="0"/>
            </w:tcBorders>
            <w:vAlign w:val="center"/>
          </w:tcPr>
          <w:p w14:paraId="53532A76">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r>
      <w:tr w14:paraId="34774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trPr>
        <w:tc>
          <w:tcPr>
            <w:tcW w:w="755" w:type="pct"/>
            <w:tcBorders>
              <w:top w:val="single" w:color="auto" w:sz="4" w:space="0"/>
              <w:left w:val="single" w:color="auto" w:sz="4" w:space="0"/>
              <w:bottom w:val="single" w:color="auto" w:sz="4" w:space="0"/>
              <w:right w:val="single" w:color="auto" w:sz="4" w:space="0"/>
            </w:tcBorders>
            <w:vAlign w:val="center"/>
          </w:tcPr>
          <w:p w14:paraId="7B5A6DEC">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1272" w:type="pct"/>
            <w:tcBorders>
              <w:top w:val="single" w:color="auto" w:sz="4" w:space="0"/>
              <w:left w:val="single" w:color="auto" w:sz="4" w:space="0"/>
              <w:bottom w:val="single" w:color="auto" w:sz="4" w:space="0"/>
              <w:right w:val="single" w:color="auto" w:sz="4" w:space="0"/>
            </w:tcBorders>
            <w:vAlign w:val="center"/>
          </w:tcPr>
          <w:p w14:paraId="5A257F6C">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802" w:type="pct"/>
            <w:tcBorders>
              <w:top w:val="single" w:color="auto" w:sz="4" w:space="0"/>
              <w:left w:val="single" w:color="auto" w:sz="4" w:space="0"/>
              <w:bottom w:val="single" w:color="auto" w:sz="4" w:space="0"/>
              <w:right w:val="single" w:color="auto" w:sz="4" w:space="0"/>
            </w:tcBorders>
            <w:vAlign w:val="center"/>
          </w:tcPr>
          <w:p w14:paraId="0DF1A180">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605" w:type="pct"/>
            <w:tcBorders>
              <w:top w:val="single" w:color="auto" w:sz="4" w:space="0"/>
              <w:left w:val="single" w:color="auto" w:sz="4" w:space="0"/>
              <w:bottom w:val="single" w:color="auto" w:sz="4" w:space="0"/>
              <w:right w:val="single" w:color="auto" w:sz="4" w:space="0"/>
            </w:tcBorders>
            <w:vAlign w:val="center"/>
          </w:tcPr>
          <w:p w14:paraId="79EC481B">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698" w:type="pct"/>
            <w:tcBorders>
              <w:top w:val="single" w:color="auto" w:sz="4" w:space="0"/>
              <w:left w:val="single" w:color="auto" w:sz="4" w:space="0"/>
              <w:bottom w:val="single" w:color="auto" w:sz="4" w:space="0"/>
              <w:right w:val="single" w:color="auto" w:sz="4" w:space="0"/>
            </w:tcBorders>
            <w:vAlign w:val="center"/>
          </w:tcPr>
          <w:p w14:paraId="1FBDE91B">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869" w:type="pct"/>
            <w:tcBorders>
              <w:top w:val="single" w:color="auto" w:sz="4" w:space="0"/>
              <w:left w:val="single" w:color="auto" w:sz="4" w:space="0"/>
              <w:bottom w:val="single" w:color="auto" w:sz="4" w:space="0"/>
              <w:right w:val="single" w:color="auto" w:sz="4" w:space="0"/>
            </w:tcBorders>
            <w:vAlign w:val="center"/>
          </w:tcPr>
          <w:p w14:paraId="25DE899C">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r>
      <w:tr w14:paraId="1EC5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trPr>
        <w:tc>
          <w:tcPr>
            <w:tcW w:w="755" w:type="pct"/>
            <w:tcBorders>
              <w:top w:val="single" w:color="auto" w:sz="4" w:space="0"/>
              <w:left w:val="single" w:color="auto" w:sz="4" w:space="0"/>
              <w:bottom w:val="single" w:color="auto" w:sz="4" w:space="0"/>
              <w:right w:val="single" w:color="auto" w:sz="4" w:space="0"/>
            </w:tcBorders>
            <w:vAlign w:val="center"/>
          </w:tcPr>
          <w:p w14:paraId="7B08BDDE">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1272" w:type="pct"/>
            <w:tcBorders>
              <w:top w:val="single" w:color="auto" w:sz="4" w:space="0"/>
              <w:left w:val="single" w:color="auto" w:sz="4" w:space="0"/>
              <w:bottom w:val="single" w:color="auto" w:sz="4" w:space="0"/>
              <w:right w:val="single" w:color="auto" w:sz="4" w:space="0"/>
            </w:tcBorders>
            <w:vAlign w:val="center"/>
          </w:tcPr>
          <w:p w14:paraId="4D8C22FA">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802" w:type="pct"/>
            <w:tcBorders>
              <w:top w:val="single" w:color="auto" w:sz="4" w:space="0"/>
              <w:left w:val="single" w:color="auto" w:sz="4" w:space="0"/>
              <w:bottom w:val="single" w:color="auto" w:sz="4" w:space="0"/>
              <w:right w:val="single" w:color="auto" w:sz="4" w:space="0"/>
            </w:tcBorders>
            <w:vAlign w:val="center"/>
          </w:tcPr>
          <w:p w14:paraId="143EB6C5">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605" w:type="pct"/>
            <w:tcBorders>
              <w:top w:val="single" w:color="auto" w:sz="4" w:space="0"/>
              <w:left w:val="single" w:color="auto" w:sz="4" w:space="0"/>
              <w:bottom w:val="single" w:color="auto" w:sz="4" w:space="0"/>
              <w:right w:val="single" w:color="auto" w:sz="4" w:space="0"/>
            </w:tcBorders>
            <w:vAlign w:val="center"/>
          </w:tcPr>
          <w:p w14:paraId="1821EF43">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698" w:type="pct"/>
            <w:tcBorders>
              <w:top w:val="single" w:color="auto" w:sz="4" w:space="0"/>
              <w:left w:val="single" w:color="auto" w:sz="4" w:space="0"/>
              <w:bottom w:val="single" w:color="auto" w:sz="4" w:space="0"/>
              <w:right w:val="single" w:color="auto" w:sz="4" w:space="0"/>
            </w:tcBorders>
            <w:vAlign w:val="center"/>
          </w:tcPr>
          <w:p w14:paraId="11C8DCF6">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869" w:type="pct"/>
            <w:tcBorders>
              <w:top w:val="single" w:color="auto" w:sz="4" w:space="0"/>
              <w:left w:val="single" w:color="auto" w:sz="4" w:space="0"/>
              <w:bottom w:val="single" w:color="auto" w:sz="4" w:space="0"/>
              <w:right w:val="single" w:color="auto" w:sz="4" w:space="0"/>
            </w:tcBorders>
            <w:vAlign w:val="center"/>
          </w:tcPr>
          <w:p w14:paraId="78A54D51">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r>
      <w:tr w14:paraId="23B89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trPr>
        <w:tc>
          <w:tcPr>
            <w:tcW w:w="755" w:type="pct"/>
            <w:tcBorders>
              <w:top w:val="single" w:color="auto" w:sz="4" w:space="0"/>
              <w:left w:val="single" w:color="auto" w:sz="4" w:space="0"/>
              <w:bottom w:val="single" w:color="auto" w:sz="4" w:space="0"/>
              <w:right w:val="single" w:color="auto" w:sz="4" w:space="0"/>
            </w:tcBorders>
            <w:vAlign w:val="center"/>
          </w:tcPr>
          <w:p w14:paraId="75375652">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1272" w:type="pct"/>
            <w:tcBorders>
              <w:top w:val="single" w:color="auto" w:sz="4" w:space="0"/>
              <w:left w:val="single" w:color="auto" w:sz="4" w:space="0"/>
              <w:bottom w:val="single" w:color="auto" w:sz="4" w:space="0"/>
              <w:right w:val="single" w:color="auto" w:sz="4" w:space="0"/>
            </w:tcBorders>
            <w:vAlign w:val="center"/>
          </w:tcPr>
          <w:p w14:paraId="11331341">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802" w:type="pct"/>
            <w:tcBorders>
              <w:top w:val="single" w:color="auto" w:sz="4" w:space="0"/>
              <w:left w:val="single" w:color="auto" w:sz="4" w:space="0"/>
              <w:bottom w:val="single" w:color="auto" w:sz="4" w:space="0"/>
              <w:right w:val="single" w:color="auto" w:sz="4" w:space="0"/>
            </w:tcBorders>
            <w:vAlign w:val="center"/>
          </w:tcPr>
          <w:p w14:paraId="065D7B1D">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605" w:type="pct"/>
            <w:tcBorders>
              <w:top w:val="single" w:color="auto" w:sz="4" w:space="0"/>
              <w:left w:val="single" w:color="auto" w:sz="4" w:space="0"/>
              <w:bottom w:val="single" w:color="auto" w:sz="4" w:space="0"/>
              <w:right w:val="single" w:color="auto" w:sz="4" w:space="0"/>
            </w:tcBorders>
            <w:vAlign w:val="center"/>
          </w:tcPr>
          <w:p w14:paraId="235F423B">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698" w:type="pct"/>
            <w:tcBorders>
              <w:top w:val="single" w:color="auto" w:sz="4" w:space="0"/>
              <w:left w:val="single" w:color="auto" w:sz="4" w:space="0"/>
              <w:bottom w:val="single" w:color="auto" w:sz="4" w:space="0"/>
              <w:right w:val="single" w:color="auto" w:sz="4" w:space="0"/>
            </w:tcBorders>
            <w:vAlign w:val="center"/>
          </w:tcPr>
          <w:p w14:paraId="3A7CB11D">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869" w:type="pct"/>
            <w:tcBorders>
              <w:top w:val="single" w:color="auto" w:sz="4" w:space="0"/>
              <w:left w:val="single" w:color="auto" w:sz="4" w:space="0"/>
              <w:bottom w:val="single" w:color="auto" w:sz="4" w:space="0"/>
              <w:right w:val="single" w:color="auto" w:sz="4" w:space="0"/>
            </w:tcBorders>
            <w:vAlign w:val="center"/>
          </w:tcPr>
          <w:p w14:paraId="78F904DC">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r>
      <w:tr w14:paraId="2FE5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trPr>
        <w:tc>
          <w:tcPr>
            <w:tcW w:w="755" w:type="pct"/>
            <w:tcBorders>
              <w:top w:val="single" w:color="auto" w:sz="4" w:space="0"/>
              <w:left w:val="single" w:color="auto" w:sz="4" w:space="0"/>
              <w:bottom w:val="single" w:color="auto" w:sz="4" w:space="0"/>
              <w:right w:val="single" w:color="auto" w:sz="4" w:space="0"/>
            </w:tcBorders>
            <w:vAlign w:val="center"/>
          </w:tcPr>
          <w:p w14:paraId="755E3134">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1272" w:type="pct"/>
            <w:tcBorders>
              <w:top w:val="single" w:color="auto" w:sz="4" w:space="0"/>
              <w:left w:val="single" w:color="auto" w:sz="4" w:space="0"/>
              <w:bottom w:val="single" w:color="auto" w:sz="4" w:space="0"/>
              <w:right w:val="single" w:color="auto" w:sz="4" w:space="0"/>
            </w:tcBorders>
            <w:vAlign w:val="center"/>
          </w:tcPr>
          <w:p w14:paraId="2D167A7F">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802" w:type="pct"/>
            <w:tcBorders>
              <w:top w:val="single" w:color="auto" w:sz="4" w:space="0"/>
              <w:left w:val="single" w:color="auto" w:sz="4" w:space="0"/>
              <w:bottom w:val="single" w:color="auto" w:sz="4" w:space="0"/>
              <w:right w:val="single" w:color="auto" w:sz="4" w:space="0"/>
            </w:tcBorders>
            <w:vAlign w:val="center"/>
          </w:tcPr>
          <w:p w14:paraId="66CF6670">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605" w:type="pct"/>
            <w:tcBorders>
              <w:top w:val="single" w:color="auto" w:sz="4" w:space="0"/>
              <w:left w:val="single" w:color="auto" w:sz="4" w:space="0"/>
              <w:bottom w:val="single" w:color="auto" w:sz="4" w:space="0"/>
              <w:right w:val="single" w:color="auto" w:sz="4" w:space="0"/>
            </w:tcBorders>
            <w:vAlign w:val="center"/>
          </w:tcPr>
          <w:p w14:paraId="5A140BFA">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698" w:type="pct"/>
            <w:tcBorders>
              <w:top w:val="single" w:color="auto" w:sz="4" w:space="0"/>
              <w:left w:val="single" w:color="auto" w:sz="4" w:space="0"/>
              <w:bottom w:val="single" w:color="auto" w:sz="4" w:space="0"/>
              <w:right w:val="single" w:color="auto" w:sz="4" w:space="0"/>
            </w:tcBorders>
            <w:vAlign w:val="center"/>
          </w:tcPr>
          <w:p w14:paraId="4912B47A">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869" w:type="pct"/>
            <w:tcBorders>
              <w:top w:val="single" w:color="auto" w:sz="4" w:space="0"/>
              <w:left w:val="single" w:color="auto" w:sz="4" w:space="0"/>
              <w:bottom w:val="single" w:color="auto" w:sz="4" w:space="0"/>
              <w:right w:val="single" w:color="auto" w:sz="4" w:space="0"/>
            </w:tcBorders>
            <w:vAlign w:val="center"/>
          </w:tcPr>
          <w:p w14:paraId="3C37A2D1">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r>
      <w:tr w14:paraId="428BE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trPr>
        <w:tc>
          <w:tcPr>
            <w:tcW w:w="755" w:type="pct"/>
            <w:tcBorders>
              <w:top w:val="single" w:color="auto" w:sz="4" w:space="0"/>
              <w:left w:val="single" w:color="auto" w:sz="4" w:space="0"/>
              <w:bottom w:val="single" w:color="auto" w:sz="4" w:space="0"/>
              <w:right w:val="single" w:color="auto" w:sz="4" w:space="0"/>
            </w:tcBorders>
            <w:vAlign w:val="center"/>
          </w:tcPr>
          <w:p w14:paraId="2C9ED58D">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1272" w:type="pct"/>
            <w:tcBorders>
              <w:top w:val="single" w:color="auto" w:sz="4" w:space="0"/>
              <w:left w:val="single" w:color="auto" w:sz="4" w:space="0"/>
              <w:bottom w:val="single" w:color="auto" w:sz="4" w:space="0"/>
              <w:right w:val="single" w:color="auto" w:sz="4" w:space="0"/>
            </w:tcBorders>
            <w:vAlign w:val="center"/>
          </w:tcPr>
          <w:p w14:paraId="52215B1C">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802" w:type="pct"/>
            <w:tcBorders>
              <w:top w:val="single" w:color="auto" w:sz="4" w:space="0"/>
              <w:left w:val="single" w:color="auto" w:sz="4" w:space="0"/>
              <w:bottom w:val="single" w:color="auto" w:sz="4" w:space="0"/>
              <w:right w:val="single" w:color="auto" w:sz="4" w:space="0"/>
            </w:tcBorders>
            <w:vAlign w:val="center"/>
          </w:tcPr>
          <w:p w14:paraId="24A448D2">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605" w:type="pct"/>
            <w:tcBorders>
              <w:top w:val="single" w:color="auto" w:sz="4" w:space="0"/>
              <w:left w:val="single" w:color="auto" w:sz="4" w:space="0"/>
              <w:bottom w:val="single" w:color="auto" w:sz="4" w:space="0"/>
              <w:right w:val="single" w:color="auto" w:sz="4" w:space="0"/>
            </w:tcBorders>
            <w:vAlign w:val="center"/>
          </w:tcPr>
          <w:p w14:paraId="5E2D91CB">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698" w:type="pct"/>
            <w:tcBorders>
              <w:top w:val="single" w:color="auto" w:sz="4" w:space="0"/>
              <w:left w:val="single" w:color="auto" w:sz="4" w:space="0"/>
              <w:bottom w:val="single" w:color="auto" w:sz="4" w:space="0"/>
              <w:right w:val="single" w:color="auto" w:sz="4" w:space="0"/>
            </w:tcBorders>
            <w:vAlign w:val="center"/>
          </w:tcPr>
          <w:p w14:paraId="05671F31">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869" w:type="pct"/>
            <w:tcBorders>
              <w:top w:val="single" w:color="auto" w:sz="4" w:space="0"/>
              <w:left w:val="single" w:color="auto" w:sz="4" w:space="0"/>
              <w:bottom w:val="single" w:color="auto" w:sz="4" w:space="0"/>
              <w:right w:val="single" w:color="auto" w:sz="4" w:space="0"/>
            </w:tcBorders>
            <w:vAlign w:val="center"/>
          </w:tcPr>
          <w:p w14:paraId="58DCBEBA">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r>
      <w:tr w14:paraId="1D6B2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trPr>
        <w:tc>
          <w:tcPr>
            <w:tcW w:w="755" w:type="pct"/>
            <w:tcBorders>
              <w:top w:val="single" w:color="auto" w:sz="4" w:space="0"/>
              <w:left w:val="single" w:color="auto" w:sz="4" w:space="0"/>
              <w:bottom w:val="single" w:color="auto" w:sz="4" w:space="0"/>
              <w:right w:val="single" w:color="auto" w:sz="4" w:space="0"/>
            </w:tcBorders>
            <w:vAlign w:val="center"/>
          </w:tcPr>
          <w:p w14:paraId="17915FAF">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1272" w:type="pct"/>
            <w:tcBorders>
              <w:top w:val="single" w:color="auto" w:sz="4" w:space="0"/>
              <w:left w:val="single" w:color="auto" w:sz="4" w:space="0"/>
              <w:bottom w:val="single" w:color="auto" w:sz="4" w:space="0"/>
              <w:right w:val="single" w:color="auto" w:sz="4" w:space="0"/>
            </w:tcBorders>
            <w:vAlign w:val="center"/>
          </w:tcPr>
          <w:p w14:paraId="3177C798">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802" w:type="pct"/>
            <w:tcBorders>
              <w:top w:val="single" w:color="auto" w:sz="4" w:space="0"/>
              <w:left w:val="single" w:color="auto" w:sz="4" w:space="0"/>
              <w:bottom w:val="single" w:color="auto" w:sz="4" w:space="0"/>
              <w:right w:val="single" w:color="auto" w:sz="4" w:space="0"/>
            </w:tcBorders>
            <w:vAlign w:val="center"/>
          </w:tcPr>
          <w:p w14:paraId="278B2E38">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605" w:type="pct"/>
            <w:tcBorders>
              <w:top w:val="single" w:color="auto" w:sz="4" w:space="0"/>
              <w:left w:val="single" w:color="auto" w:sz="4" w:space="0"/>
              <w:bottom w:val="single" w:color="auto" w:sz="4" w:space="0"/>
              <w:right w:val="single" w:color="auto" w:sz="4" w:space="0"/>
            </w:tcBorders>
            <w:vAlign w:val="center"/>
          </w:tcPr>
          <w:p w14:paraId="7D2CADD4">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698" w:type="pct"/>
            <w:tcBorders>
              <w:top w:val="single" w:color="auto" w:sz="4" w:space="0"/>
              <w:left w:val="single" w:color="auto" w:sz="4" w:space="0"/>
              <w:bottom w:val="single" w:color="auto" w:sz="4" w:space="0"/>
              <w:right w:val="single" w:color="auto" w:sz="4" w:space="0"/>
            </w:tcBorders>
            <w:vAlign w:val="center"/>
          </w:tcPr>
          <w:p w14:paraId="06108298">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869" w:type="pct"/>
            <w:tcBorders>
              <w:top w:val="single" w:color="auto" w:sz="4" w:space="0"/>
              <w:left w:val="single" w:color="auto" w:sz="4" w:space="0"/>
              <w:bottom w:val="single" w:color="auto" w:sz="4" w:space="0"/>
              <w:right w:val="single" w:color="auto" w:sz="4" w:space="0"/>
            </w:tcBorders>
            <w:vAlign w:val="center"/>
          </w:tcPr>
          <w:p w14:paraId="53E4F3EC">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r>
      <w:tr w14:paraId="06BD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trPr>
        <w:tc>
          <w:tcPr>
            <w:tcW w:w="755" w:type="pct"/>
            <w:tcBorders>
              <w:top w:val="single" w:color="auto" w:sz="4" w:space="0"/>
              <w:left w:val="single" w:color="auto" w:sz="4" w:space="0"/>
              <w:bottom w:val="single" w:color="auto" w:sz="4" w:space="0"/>
              <w:right w:val="single" w:color="auto" w:sz="4" w:space="0"/>
            </w:tcBorders>
            <w:vAlign w:val="center"/>
          </w:tcPr>
          <w:p w14:paraId="7FDE0417">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1272" w:type="pct"/>
            <w:tcBorders>
              <w:top w:val="single" w:color="auto" w:sz="4" w:space="0"/>
              <w:left w:val="single" w:color="auto" w:sz="4" w:space="0"/>
              <w:bottom w:val="single" w:color="auto" w:sz="4" w:space="0"/>
              <w:right w:val="single" w:color="auto" w:sz="4" w:space="0"/>
            </w:tcBorders>
            <w:vAlign w:val="center"/>
          </w:tcPr>
          <w:p w14:paraId="16257D2F">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802" w:type="pct"/>
            <w:tcBorders>
              <w:top w:val="single" w:color="auto" w:sz="4" w:space="0"/>
              <w:left w:val="single" w:color="auto" w:sz="4" w:space="0"/>
              <w:bottom w:val="single" w:color="auto" w:sz="4" w:space="0"/>
              <w:right w:val="single" w:color="auto" w:sz="4" w:space="0"/>
            </w:tcBorders>
            <w:vAlign w:val="center"/>
          </w:tcPr>
          <w:p w14:paraId="0ACAE640">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605" w:type="pct"/>
            <w:tcBorders>
              <w:top w:val="single" w:color="auto" w:sz="4" w:space="0"/>
              <w:left w:val="single" w:color="auto" w:sz="4" w:space="0"/>
              <w:bottom w:val="single" w:color="auto" w:sz="4" w:space="0"/>
              <w:right w:val="single" w:color="auto" w:sz="4" w:space="0"/>
            </w:tcBorders>
            <w:vAlign w:val="center"/>
          </w:tcPr>
          <w:p w14:paraId="76D8119D">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698" w:type="pct"/>
            <w:tcBorders>
              <w:top w:val="single" w:color="auto" w:sz="4" w:space="0"/>
              <w:left w:val="single" w:color="auto" w:sz="4" w:space="0"/>
              <w:bottom w:val="single" w:color="auto" w:sz="4" w:space="0"/>
              <w:right w:val="single" w:color="auto" w:sz="4" w:space="0"/>
            </w:tcBorders>
            <w:vAlign w:val="center"/>
          </w:tcPr>
          <w:p w14:paraId="0DA1B62E">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869" w:type="pct"/>
            <w:tcBorders>
              <w:top w:val="single" w:color="auto" w:sz="4" w:space="0"/>
              <w:left w:val="single" w:color="auto" w:sz="4" w:space="0"/>
              <w:bottom w:val="single" w:color="auto" w:sz="4" w:space="0"/>
              <w:right w:val="single" w:color="auto" w:sz="4" w:space="0"/>
            </w:tcBorders>
            <w:vAlign w:val="center"/>
          </w:tcPr>
          <w:p w14:paraId="0884CB95">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r>
      <w:tr w14:paraId="36A07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trPr>
        <w:tc>
          <w:tcPr>
            <w:tcW w:w="755" w:type="pct"/>
            <w:tcBorders>
              <w:top w:val="single" w:color="auto" w:sz="4" w:space="0"/>
              <w:left w:val="single" w:color="auto" w:sz="4" w:space="0"/>
              <w:bottom w:val="single" w:color="auto" w:sz="4" w:space="0"/>
              <w:right w:val="single" w:color="auto" w:sz="4" w:space="0"/>
            </w:tcBorders>
            <w:vAlign w:val="center"/>
          </w:tcPr>
          <w:p w14:paraId="59AB75C3">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1272" w:type="pct"/>
            <w:tcBorders>
              <w:top w:val="single" w:color="auto" w:sz="4" w:space="0"/>
              <w:left w:val="single" w:color="auto" w:sz="4" w:space="0"/>
              <w:bottom w:val="single" w:color="auto" w:sz="4" w:space="0"/>
              <w:right w:val="single" w:color="auto" w:sz="4" w:space="0"/>
            </w:tcBorders>
            <w:vAlign w:val="center"/>
          </w:tcPr>
          <w:p w14:paraId="42267508">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802" w:type="pct"/>
            <w:tcBorders>
              <w:top w:val="single" w:color="auto" w:sz="4" w:space="0"/>
              <w:left w:val="single" w:color="auto" w:sz="4" w:space="0"/>
              <w:bottom w:val="single" w:color="auto" w:sz="4" w:space="0"/>
              <w:right w:val="single" w:color="auto" w:sz="4" w:space="0"/>
            </w:tcBorders>
            <w:vAlign w:val="center"/>
          </w:tcPr>
          <w:p w14:paraId="1F7AA489">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605" w:type="pct"/>
            <w:tcBorders>
              <w:top w:val="single" w:color="auto" w:sz="4" w:space="0"/>
              <w:left w:val="single" w:color="auto" w:sz="4" w:space="0"/>
              <w:bottom w:val="single" w:color="auto" w:sz="4" w:space="0"/>
              <w:right w:val="single" w:color="auto" w:sz="4" w:space="0"/>
            </w:tcBorders>
            <w:vAlign w:val="center"/>
          </w:tcPr>
          <w:p w14:paraId="51DF05B9">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698" w:type="pct"/>
            <w:tcBorders>
              <w:top w:val="single" w:color="auto" w:sz="4" w:space="0"/>
              <w:left w:val="single" w:color="auto" w:sz="4" w:space="0"/>
              <w:bottom w:val="single" w:color="auto" w:sz="4" w:space="0"/>
              <w:right w:val="single" w:color="auto" w:sz="4" w:space="0"/>
            </w:tcBorders>
            <w:vAlign w:val="center"/>
          </w:tcPr>
          <w:p w14:paraId="253A62AB">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c>
          <w:tcPr>
            <w:tcW w:w="869" w:type="pct"/>
            <w:tcBorders>
              <w:top w:val="single" w:color="auto" w:sz="4" w:space="0"/>
              <w:left w:val="single" w:color="auto" w:sz="4" w:space="0"/>
              <w:bottom w:val="single" w:color="auto" w:sz="4" w:space="0"/>
              <w:right w:val="single" w:color="auto" w:sz="4" w:space="0"/>
            </w:tcBorders>
            <w:vAlign w:val="center"/>
          </w:tcPr>
          <w:p w14:paraId="6B8C88A8">
            <w:pPr>
              <w:keepNext/>
              <w:keepLines/>
              <w:autoSpaceDE w:val="0"/>
              <w:autoSpaceDN w:val="0"/>
              <w:spacing w:before="340" w:after="330" w:line="320" w:lineRule="exact"/>
              <w:jc w:val="center"/>
              <w:outlineLvl w:val="0"/>
              <w:rPr>
                <w:rFonts w:ascii="仿宋" w:hAnsi="仿宋" w:eastAsia="仿宋" w:cs="仿宋"/>
                <w:bCs/>
                <w:color w:val="auto"/>
                <w:kern w:val="0"/>
                <w:szCs w:val="21"/>
                <w:highlight w:val="none"/>
              </w:rPr>
            </w:pPr>
          </w:p>
        </w:tc>
      </w:tr>
    </w:tbl>
    <w:p w14:paraId="5BF6EA02">
      <w:pPr>
        <w:pStyle w:val="44"/>
        <w:rPr>
          <w:color w:val="auto"/>
          <w:highlight w:val="none"/>
        </w:rPr>
        <w:sectPr>
          <w:pgSz w:w="11906" w:h="16838"/>
          <w:pgMar w:top="1440" w:right="1080" w:bottom="1440" w:left="1080" w:header="851" w:footer="992" w:gutter="0"/>
          <w:cols w:space="720" w:num="1"/>
          <w:titlePg/>
          <w:docGrid w:linePitch="312" w:charSpace="0"/>
        </w:sectPr>
      </w:pPr>
    </w:p>
    <w:p w14:paraId="0CB311CE">
      <w:pPr>
        <w:rPr>
          <w:rFonts w:ascii="仿宋" w:hAnsi="仿宋" w:eastAsia="仿宋" w:cs="仿宋"/>
          <w:color w:val="auto"/>
          <w:sz w:val="24"/>
          <w:highlight w:val="none"/>
        </w:rPr>
      </w:pPr>
      <w:r>
        <w:rPr>
          <w:rFonts w:hint="eastAsia" w:ascii="仿宋" w:hAnsi="仿宋" w:eastAsia="仿宋" w:cs="仿宋"/>
          <w:color w:val="auto"/>
          <w:sz w:val="24"/>
          <w:highlight w:val="none"/>
        </w:rPr>
        <w:t>附件4：</w:t>
      </w:r>
    </w:p>
    <w:p w14:paraId="1173F9D4">
      <w:pPr>
        <w:jc w:val="center"/>
        <w:rPr>
          <w:rFonts w:ascii="仿宋" w:hAnsi="仿宋" w:eastAsia="仿宋" w:cs="仿宋"/>
          <w:b/>
          <w:color w:val="auto"/>
          <w:sz w:val="36"/>
          <w:szCs w:val="20"/>
          <w:highlight w:val="none"/>
        </w:rPr>
      </w:pPr>
      <w:r>
        <w:rPr>
          <w:rFonts w:hint="eastAsia" w:ascii="仿宋" w:hAnsi="仿宋" w:eastAsia="仿宋" w:cs="仿宋"/>
          <w:color w:val="auto"/>
          <w:sz w:val="24"/>
          <w:highlight w:val="none"/>
        </w:rPr>
        <w:t>合同价格清单</w:t>
      </w:r>
    </w:p>
    <w:p w14:paraId="7DCE1509">
      <w:pP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33429896">
      <w:pPr>
        <w:snapToGrid w:val="0"/>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8"/>
      <w:bookmarkEnd w:id="399"/>
      <w:r>
        <w:rPr>
          <w:rFonts w:hint="eastAsia" w:ascii="仿宋" w:hAnsi="仿宋" w:eastAsia="仿宋" w:cs="仿宋"/>
          <w:b/>
          <w:color w:val="auto"/>
          <w:sz w:val="36"/>
          <w:szCs w:val="20"/>
          <w:highlight w:val="none"/>
        </w:rPr>
        <w:t>应提交的有关格式范例</w:t>
      </w:r>
    </w:p>
    <w:p w14:paraId="0A2F6A45">
      <w:pPr>
        <w:adjustRightInd/>
        <w:spacing w:line="300" w:lineRule="auto"/>
        <w:rPr>
          <w:rFonts w:ascii="仿宋" w:hAnsi="仿宋" w:eastAsia="仿宋" w:cs="仿宋"/>
          <w:b/>
          <w:color w:val="auto"/>
          <w:kern w:val="0"/>
          <w:sz w:val="36"/>
          <w:szCs w:val="36"/>
          <w:highlight w:val="none"/>
        </w:rPr>
      </w:pPr>
    </w:p>
    <w:p w14:paraId="535B342F">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61239ACA">
      <w:pPr>
        <w:pStyle w:val="84"/>
        <w:rPr>
          <w:color w:val="auto"/>
          <w:highlight w:val="none"/>
        </w:rPr>
      </w:pPr>
      <w:r>
        <w:rPr>
          <w:rFonts w:hint="eastAsia"/>
          <w:color w:val="auto"/>
          <w:highlight w:val="none"/>
        </w:rPr>
        <w:t>目录</w:t>
      </w:r>
    </w:p>
    <w:p w14:paraId="7D5318A1">
      <w:pPr>
        <w:adjustRightInd/>
        <w:spacing w:line="300" w:lineRule="auto"/>
        <w:rPr>
          <w:rFonts w:ascii="仿宋" w:hAnsi="仿宋" w:eastAsia="仿宋" w:cs="仿宋"/>
          <w:b/>
          <w:color w:val="auto"/>
          <w:kern w:val="0"/>
          <w:sz w:val="36"/>
          <w:szCs w:val="36"/>
          <w:highlight w:val="none"/>
        </w:rPr>
      </w:pPr>
    </w:p>
    <w:p w14:paraId="20024F8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41C29BC5">
      <w:pPr>
        <w:snapToGrid w:val="0"/>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21034AB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4A6BE6C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61772955">
      <w:pPr>
        <w:snapToGrid w:val="0"/>
        <w:spacing w:line="360" w:lineRule="auto"/>
        <w:ind w:firstLine="480" w:firstLineChars="200"/>
        <w:rPr>
          <w:rFonts w:ascii="仿宋" w:hAnsi="仿宋" w:eastAsia="仿宋" w:cs="仿宋"/>
          <w:color w:val="auto"/>
          <w:sz w:val="24"/>
          <w:highlight w:val="none"/>
        </w:rPr>
      </w:pPr>
    </w:p>
    <w:p w14:paraId="247CF709">
      <w:pPr>
        <w:spacing w:line="360" w:lineRule="auto"/>
        <w:ind w:firstLine="480" w:firstLineChars="200"/>
        <w:rPr>
          <w:rFonts w:ascii="仿宋" w:hAnsi="仿宋" w:eastAsia="仿宋" w:cs="仿宋"/>
          <w:color w:val="auto"/>
          <w:sz w:val="24"/>
          <w:highlight w:val="none"/>
        </w:rPr>
      </w:pPr>
    </w:p>
    <w:p w14:paraId="44172A14">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2C4A1BF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杭州市公安局监所管理支队</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浙江信达咨询监理有限公司</w:t>
      </w:r>
      <w:r>
        <w:rPr>
          <w:rFonts w:hint="eastAsia" w:ascii="仿宋" w:hAnsi="仿宋" w:eastAsia="仿宋" w:cs="仿宋"/>
          <w:color w:val="auto"/>
          <w:sz w:val="24"/>
          <w:highlight w:val="none"/>
        </w:rPr>
        <w:t>：</w:t>
      </w:r>
    </w:p>
    <w:p w14:paraId="215CCC0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强制隔离戒毒所消防整改项目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HZSGAJ-2024-24（代)</w:t>
      </w:r>
      <w:r>
        <w:rPr>
          <w:rFonts w:hint="eastAsia" w:ascii="仿宋" w:hAnsi="仿宋" w:eastAsia="仿宋" w:cs="仿宋"/>
          <w:color w:val="auto"/>
          <w:sz w:val="24"/>
          <w:highlight w:val="none"/>
        </w:rPr>
        <w:t>】政府采购活动，郑重承诺：</w:t>
      </w:r>
    </w:p>
    <w:p w14:paraId="1AC395A0">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08B700A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281EAEB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644A1C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2FE4E35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74D5FE2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12B64A3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727FD76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615A0EC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6A4A1A6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1AED318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06E9EED8">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165EE4C4">
      <w:pPr>
        <w:snapToGrid w:val="0"/>
        <w:spacing w:line="360" w:lineRule="auto"/>
        <w:ind w:right="480"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    日</w:t>
      </w:r>
    </w:p>
    <w:p w14:paraId="6B20EA57">
      <w:pPr>
        <w:snapToGrid w:val="0"/>
        <w:spacing w:line="360" w:lineRule="auto"/>
        <w:ind w:right="480"/>
        <w:jc w:val="center"/>
        <w:rPr>
          <w:rFonts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380F4CB0">
      <w:pPr>
        <w:widowControl/>
        <w:spacing w:line="360" w:lineRule="auto"/>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26D73F68">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[以联合体形式参与的，提供联合协议（附件5）；本项目不接受联合体或者供应商不以联合体形式投参与的，则不需要提供]</w:t>
      </w:r>
    </w:p>
    <w:p w14:paraId="16D04E8B">
      <w:pPr>
        <w:snapToGrid w:val="0"/>
        <w:spacing w:line="360" w:lineRule="auto"/>
        <w:ind w:right="480"/>
        <w:jc w:val="center"/>
        <w:rPr>
          <w:rFonts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53064407">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3A2BAE2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（根据竞争性磋商公告落实政府采购政策需满足的资格要求选择提供相应的材料；未要求的，无需提供）</w:t>
      </w:r>
    </w:p>
    <w:p w14:paraId="7CEDE00E">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.专门面向中小企业，工程全部由符合政策要求的中小企业（或小微企业）承建的，提供相应的中小企业声明函（附件7）。 </w:t>
      </w:r>
    </w:p>
    <w:p w14:paraId="519930AC">
      <w:pPr>
        <w:widowControl/>
        <w:spacing w:line="360" w:lineRule="auto"/>
        <w:ind w:firstLine="480"/>
        <w:jc w:val="left"/>
        <w:rPr>
          <w:rFonts w:ascii="仿宋" w:hAnsi="仿宋" w:eastAsia="仿宋" w:cs="仿宋"/>
          <w:color w:val="auto"/>
          <w:sz w:val="24"/>
          <w:highlight w:val="none"/>
        </w:rPr>
      </w:pPr>
    </w:p>
    <w:p w14:paraId="41290CEA">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要求以联合体形式参加的，提供联合协议（附件5）和中小企业声明函（附件7），联合协议中中小企业合同金额应当达到竞争性磋商公告载明的比例；如果供应商本身提供所有标的均由中小企业承建的，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14E1286E">
      <w:pPr>
        <w:snapToGrid w:val="0"/>
        <w:spacing w:before="50" w:after="50" w:line="360" w:lineRule="auto"/>
        <w:jc w:val="center"/>
        <w:rPr>
          <w:rFonts w:ascii="仿宋" w:hAnsi="仿宋" w:eastAsia="仿宋" w:cs="仿宋"/>
          <w:color w:val="auto"/>
          <w:sz w:val="24"/>
          <w:highlight w:val="none"/>
        </w:rPr>
      </w:pPr>
    </w:p>
    <w:p w14:paraId="0C739FE2">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要求合同分包的，提供分包意向协议（附件6）和中小企业声明函（附件7），分包意向协议中中小企业合同金额应当达到竞争性磋商公告载明的比例；如果供应商本身提供所有标的均由中小企业承建，</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33DB38C1">
      <w:pPr>
        <w:widowControl/>
        <w:spacing w:line="360" w:lineRule="auto"/>
        <w:ind w:left="150"/>
        <w:jc w:val="center"/>
        <w:rPr>
          <w:rFonts w:ascii="仿宋" w:hAnsi="仿宋" w:eastAsia="仿宋" w:cs="仿宋"/>
          <w:b/>
          <w:color w:val="auto"/>
          <w:kern w:val="0"/>
          <w:sz w:val="32"/>
          <w:szCs w:val="32"/>
          <w:highlight w:val="none"/>
        </w:rPr>
      </w:pPr>
    </w:p>
    <w:p w14:paraId="50138F3E">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11339746">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（根据竞争性磋商公告本项目的特定资格要求提供相应的材料；未要求的，无需提供）</w:t>
      </w:r>
    </w:p>
    <w:p w14:paraId="5C5C117F">
      <w:pPr>
        <w:rPr>
          <w:rFonts w:ascii="仿宋" w:hAnsi="仿宋" w:eastAsia="仿宋" w:cs="仿宋"/>
          <w:color w:val="auto"/>
          <w:highlight w:val="none"/>
        </w:rPr>
      </w:pPr>
    </w:p>
    <w:p w14:paraId="2B718381">
      <w:pPr>
        <w:snapToGrid w:val="0"/>
        <w:spacing w:line="360" w:lineRule="auto"/>
        <w:ind w:right="480"/>
        <w:jc w:val="center"/>
        <w:rPr>
          <w:rFonts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00E86490">
      <w:pPr>
        <w:adjustRightInd/>
        <w:spacing w:line="300" w:lineRule="auto"/>
        <w:rPr>
          <w:rFonts w:ascii="仿宋" w:eastAsia="仿宋" w:cs="仿宋"/>
          <w:b/>
          <w:color w:val="auto"/>
          <w:kern w:val="0"/>
          <w:sz w:val="36"/>
          <w:szCs w:val="36"/>
          <w:highlight w:val="none"/>
        </w:rPr>
      </w:pPr>
    </w:p>
    <w:p w14:paraId="21E31DBA">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41CA4CE6">
      <w:pPr>
        <w:pStyle w:val="84"/>
        <w:rPr>
          <w:color w:val="auto"/>
          <w:highlight w:val="none"/>
        </w:rPr>
      </w:pPr>
      <w:r>
        <w:rPr>
          <w:rFonts w:hint="eastAsia"/>
          <w:color w:val="auto"/>
          <w:highlight w:val="none"/>
        </w:rPr>
        <w:t>目录</w:t>
      </w:r>
    </w:p>
    <w:p w14:paraId="66C2D8C7">
      <w:pPr>
        <w:numPr>
          <w:ilvl w:val="255"/>
          <w:numId w:val="0"/>
        </w:num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（1）响应函……………………………………………………………………………（页码）</w:t>
      </w:r>
    </w:p>
    <w:p w14:paraId="409CED6B">
      <w:pPr>
        <w:numPr>
          <w:ilvl w:val="255"/>
          <w:numId w:val="0"/>
        </w:num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（2）授权委托书或法定代表人（单位负责人、自然人本人）身份证明……………（页码）</w:t>
      </w:r>
    </w:p>
    <w:p w14:paraId="703B6B2C">
      <w:pPr>
        <w:snapToGrid w:val="0"/>
        <w:spacing w:line="360" w:lineRule="auto"/>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rPr>
        <w:t>（3）分包意向协议………………………………………………………………………（页码）</w:t>
      </w:r>
    </w:p>
    <w:p w14:paraId="28CE458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（4）符合性审查资料……………………………………………………………………（页码）</w:t>
      </w:r>
    </w:p>
    <w:p w14:paraId="6670F72E">
      <w:pPr>
        <w:snapToGrid w:val="0"/>
        <w:spacing w:line="360" w:lineRule="auto"/>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rPr>
        <w:t>（5）评审标准相应的商务技术资料……………………………………………………（页码）（6）商务技术偏离表……………………………………………………………………（页码）</w:t>
      </w:r>
    </w:p>
    <w:p w14:paraId="286FDDD6">
      <w:pPr>
        <w:snapToGrid w:val="0"/>
        <w:spacing w:line="360" w:lineRule="auto"/>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sz w:val="24"/>
          <w:highlight w:val="none"/>
        </w:rPr>
        <w:t>…………………………………………………（页码）</w:t>
      </w:r>
    </w:p>
    <w:p w14:paraId="2C5C6709">
      <w:pPr>
        <w:snapToGrid w:val="0"/>
        <w:spacing w:line="360" w:lineRule="auto"/>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）承诺书</w:t>
      </w:r>
      <w:r>
        <w:rPr>
          <w:rFonts w:hint="eastAsia" w:ascii="仿宋" w:hAnsi="仿宋" w:eastAsia="仿宋" w:cs="仿宋"/>
          <w:color w:val="auto"/>
          <w:sz w:val="24"/>
          <w:highlight w:val="none"/>
        </w:rPr>
        <w:t>……………………………………………………………………………（页码）</w:t>
      </w:r>
    </w:p>
    <w:p w14:paraId="2B07ECEC">
      <w:pPr>
        <w:snapToGrid w:val="0"/>
        <w:spacing w:line="360" w:lineRule="auto"/>
        <w:jc w:val="center"/>
        <w:rPr>
          <w:rFonts w:ascii="仿宋" w:hAnsi="仿宋" w:eastAsia="仿宋" w:cs="仿宋"/>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4AEA2434">
      <w:pPr>
        <w:snapToGrid w:val="0"/>
        <w:jc w:val="center"/>
        <w:rPr>
          <w:rFonts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一、响应函</w:t>
      </w:r>
    </w:p>
    <w:p w14:paraId="2FE319A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杭州市公安局监所管理支队</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浙江信达咨询监理有限公司</w:t>
      </w:r>
      <w:r>
        <w:rPr>
          <w:rFonts w:hint="eastAsia" w:ascii="仿宋" w:hAnsi="仿宋" w:eastAsia="仿宋" w:cs="仿宋"/>
          <w:color w:val="auto"/>
          <w:sz w:val="24"/>
          <w:highlight w:val="none"/>
        </w:rPr>
        <w:t>：</w:t>
      </w:r>
    </w:p>
    <w:p w14:paraId="40A9222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lang w:eastAsia="zh-CN"/>
        </w:rPr>
        <w:t>强制隔离戒毒所消防整改项目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HZSGAJ-2024-24（代)</w:t>
      </w:r>
      <w:r>
        <w:rPr>
          <w:rFonts w:hint="eastAsia" w:ascii="仿宋" w:hAnsi="仿宋" w:eastAsia="仿宋" w:cs="仿宋"/>
          <w:color w:val="auto"/>
          <w:sz w:val="24"/>
          <w:highlight w:val="none"/>
        </w:rPr>
        <w:t>】采购的有关活动，并对此项目提交响应文件及报价。为此：</w:t>
      </w:r>
    </w:p>
    <w:p w14:paraId="2379DCB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1、我方承诺响应文件有效期从提交响应文件的截止之日起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本响应文件在响应文件有效期满之前均具有约束力。</w:t>
      </w:r>
    </w:p>
    <w:p w14:paraId="1986246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2、我方的响应文件包括以下内容：</w:t>
      </w:r>
    </w:p>
    <w:p w14:paraId="3A99A3DD">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D3E1F67">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14:paraId="3E01202D">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5A205653">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37C2E62B">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2AEB4BF5">
      <w:pPr>
        <w:snapToGrid w:val="0"/>
        <w:spacing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3B3E83E1">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2.2.1响应函；</w:t>
      </w:r>
    </w:p>
    <w:p w14:paraId="2612E72D">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7AF4D26E">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31695A19">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7081FFC6">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2.2.5评审标准相应的商务技术资料；</w:t>
      </w:r>
    </w:p>
    <w:p w14:paraId="216790DD">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2.2.6商务技术偏离表；</w:t>
      </w:r>
    </w:p>
    <w:p w14:paraId="67508721">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p>
    <w:p w14:paraId="280C38D2">
      <w:pPr>
        <w:snapToGrid w:val="0"/>
        <w:spacing w:line="360" w:lineRule="auto"/>
        <w:ind w:left="420" w:leftChars="200"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2.2.8承诺书</w:t>
      </w:r>
    </w:p>
    <w:p w14:paraId="1736BCB3">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088162EE">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2.3.1报价单；</w:t>
      </w:r>
    </w:p>
    <w:p w14:paraId="3EE05633">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2.3.2已标价工程量清单；</w:t>
      </w:r>
    </w:p>
    <w:p w14:paraId="0AEC3C5F">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2.3.3中小企业声明函（如果有）。</w:t>
      </w:r>
    </w:p>
    <w:p w14:paraId="6945526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3、我方承诺除商务技术偏离表列出的偏离外，我方响应采购文件的全部要求。对响应文件中材料的真实性、合法性负责。</w:t>
      </w:r>
    </w:p>
    <w:p w14:paraId="719F27A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4、如我方成交，我方承诺：</w:t>
      </w:r>
    </w:p>
    <w:p w14:paraId="11893E86">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4.1在收到成交通知书后，在成交通知书规定的期限内与你方签订合同； </w:t>
      </w:r>
    </w:p>
    <w:p w14:paraId="492E9698">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C167F12">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4.3按照采购文件要求提交履约保证金； </w:t>
      </w:r>
    </w:p>
    <w:p w14:paraId="5C142A8D">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2533F2E">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1F05532D">
      <w:pPr>
        <w:spacing w:line="360" w:lineRule="auto"/>
        <w:ind w:firstLine="5280" w:firstLineChars="2200"/>
        <w:rPr>
          <w:rFonts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14:paraId="73399A5D">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398AF1C">
      <w:pPr>
        <w:snapToGrid w:val="0"/>
        <w:spacing w:line="360" w:lineRule="auto"/>
        <w:ind w:left="420" w:leftChars="200" w:firstLine="4200" w:firstLineChars="1750"/>
        <w:rPr>
          <w:rFonts w:ascii="仿宋" w:hAnsi="仿宋" w:eastAsia="仿宋" w:cs="仿宋"/>
          <w:color w:val="auto"/>
          <w:kern w:val="0"/>
          <w:sz w:val="24"/>
          <w:highlight w:val="none"/>
          <w:u w:val="single"/>
        </w:rPr>
      </w:pPr>
    </w:p>
    <w:p w14:paraId="164E7E1D">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B07539B">
      <w:pPr>
        <w:snapToGrid w:val="0"/>
        <w:spacing w:line="360" w:lineRule="auto"/>
        <w:jc w:val="center"/>
        <w:rPr>
          <w:rFonts w:ascii="仿宋" w:hAnsi="仿宋" w:eastAsia="仿宋" w:cs="仿宋"/>
          <w:b/>
          <w:color w:val="auto"/>
          <w:kern w:val="0"/>
          <w:sz w:val="32"/>
          <w:szCs w:val="32"/>
          <w:highlight w:val="none"/>
        </w:rPr>
      </w:pPr>
    </w:p>
    <w:p w14:paraId="1C6C03F3">
      <w:pPr>
        <w:snapToGrid w:val="0"/>
        <w:spacing w:line="360" w:lineRule="auto"/>
        <w:rPr>
          <w:rFonts w:ascii="仿宋" w:hAnsi="仿宋" w:eastAsia="仿宋" w:cs="仿宋"/>
          <w:color w:val="auto"/>
          <w:sz w:val="24"/>
          <w:highlight w:val="none"/>
        </w:rPr>
      </w:pPr>
    </w:p>
    <w:p w14:paraId="1F402BA0">
      <w:pPr>
        <w:jc w:val="center"/>
        <w:rPr>
          <w:rFonts w:ascii="仿宋" w:hAnsi="仿宋" w:eastAsia="仿宋" w:cs="仿宋"/>
          <w:b/>
          <w:color w:val="auto"/>
          <w:kern w:val="0"/>
          <w:sz w:val="32"/>
          <w:szCs w:val="32"/>
          <w:highlight w:val="none"/>
        </w:rPr>
      </w:pPr>
    </w:p>
    <w:p w14:paraId="286F4738">
      <w:pPr>
        <w:jc w:val="center"/>
        <w:rPr>
          <w:rFonts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7C50751A">
      <w:pPr>
        <w:snapToGrid w:val="0"/>
        <w:jc w:val="center"/>
        <w:rPr>
          <w:rFonts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二、授权委托书或法定代表人（单位负责人、自然人本人）身份证明</w:t>
      </w:r>
    </w:p>
    <w:p w14:paraId="1C4A942C">
      <w:pPr>
        <w:snapToGrid w:val="0"/>
        <w:spacing w:line="360" w:lineRule="auto"/>
        <w:rPr>
          <w:rFonts w:ascii="仿宋" w:hAnsi="仿宋" w:eastAsia="仿宋" w:cs="仿宋"/>
          <w:color w:val="auto"/>
          <w:sz w:val="24"/>
          <w:highlight w:val="none"/>
        </w:rPr>
      </w:pPr>
    </w:p>
    <w:p w14:paraId="2C7E9C42">
      <w:pPr>
        <w:snapToGrid w:val="0"/>
        <w:jc w:val="center"/>
        <w:rPr>
          <w:rFonts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授权委托书（适用于非联合体</w:t>
      </w:r>
      <w:r>
        <w:rPr>
          <w:rFonts w:hint="eastAsia" w:ascii="仿宋" w:hAnsi="仿宋" w:eastAsia="仿宋" w:cs="仿宋"/>
          <w:b/>
          <w:bCs/>
          <w:color w:val="auto"/>
          <w:sz w:val="32"/>
          <w:szCs w:val="32"/>
          <w:highlight w:val="none"/>
        </w:rPr>
        <w:t>响应</w:t>
      </w:r>
      <w:r>
        <w:rPr>
          <w:rFonts w:hint="eastAsia" w:ascii="仿宋" w:hAnsi="仿宋" w:eastAsia="仿宋" w:cs="仿宋"/>
          <w:b/>
          <w:bCs/>
          <w:color w:val="auto"/>
          <w:sz w:val="32"/>
          <w:szCs w:val="32"/>
          <w:highlight w:val="none"/>
          <w:lang w:val="zh-CN"/>
        </w:rPr>
        <w:t>）</w:t>
      </w:r>
    </w:p>
    <w:p w14:paraId="40CE95E1">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杭州市公安局监所管理支队</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浙江信达咨询监理有限公司</w:t>
      </w:r>
      <w:r>
        <w:rPr>
          <w:rFonts w:hint="eastAsia" w:ascii="仿宋" w:hAnsi="仿宋" w:eastAsia="仿宋" w:cs="仿宋"/>
          <w:color w:val="auto"/>
          <w:kern w:val="0"/>
          <w:sz w:val="24"/>
          <w:highlight w:val="none"/>
          <w:lang w:val="zh-CN"/>
        </w:rPr>
        <w:t>：</w:t>
      </w:r>
    </w:p>
    <w:p w14:paraId="51BA0801">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强制隔离戒毒所消防整改项目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HZSGAJ-2024-24（代)</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的一切事项，其法律后果由我方承担。</w:t>
      </w:r>
    </w:p>
    <w:p w14:paraId="401BAA93">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14:paraId="76200EE8">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6F8BBA3C">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38A623E5">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20DC107D">
      <w:pPr>
        <w:snapToGrid w:val="0"/>
        <w:spacing w:line="360" w:lineRule="auto"/>
        <w:rPr>
          <w:rFonts w:ascii="仿宋" w:hAnsi="仿宋" w:eastAsia="仿宋" w:cs="仿宋"/>
          <w:color w:val="auto"/>
          <w:sz w:val="24"/>
          <w:highlight w:val="none"/>
        </w:rPr>
      </w:pPr>
    </w:p>
    <w:p w14:paraId="51DE2631">
      <w:pPr>
        <w:snapToGrid w:val="0"/>
        <w:spacing w:line="360" w:lineRule="auto"/>
        <w:rPr>
          <w:rFonts w:ascii="仿宋" w:hAnsi="仿宋" w:eastAsia="仿宋" w:cs="仿宋"/>
          <w:color w:val="auto"/>
          <w:sz w:val="24"/>
          <w:highlight w:val="none"/>
        </w:rPr>
      </w:pPr>
    </w:p>
    <w:p w14:paraId="5F24D50B">
      <w:pPr>
        <w:snapToGrid w:val="0"/>
        <w:spacing w:line="360" w:lineRule="auto"/>
        <w:rPr>
          <w:rFonts w:ascii="仿宋" w:hAnsi="仿宋" w:eastAsia="仿宋" w:cs="仿宋"/>
          <w:color w:val="auto"/>
          <w:sz w:val="24"/>
          <w:highlight w:val="none"/>
        </w:rPr>
      </w:pPr>
    </w:p>
    <w:p w14:paraId="34893756">
      <w:pPr>
        <w:snapToGrid w:val="0"/>
        <w:jc w:val="center"/>
        <w:rPr>
          <w:rFonts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授权委托书（适用于联合体</w:t>
      </w:r>
      <w:r>
        <w:rPr>
          <w:rFonts w:hint="eastAsia" w:ascii="仿宋" w:hAnsi="仿宋" w:eastAsia="仿宋" w:cs="仿宋"/>
          <w:b/>
          <w:bCs/>
          <w:color w:val="auto"/>
          <w:sz w:val="32"/>
          <w:szCs w:val="32"/>
          <w:highlight w:val="none"/>
        </w:rPr>
        <w:t>响应</w:t>
      </w:r>
      <w:r>
        <w:rPr>
          <w:rFonts w:hint="eastAsia" w:ascii="仿宋" w:hAnsi="仿宋" w:eastAsia="仿宋" w:cs="仿宋"/>
          <w:b/>
          <w:bCs/>
          <w:color w:val="auto"/>
          <w:sz w:val="32"/>
          <w:szCs w:val="32"/>
          <w:highlight w:val="none"/>
          <w:lang w:val="zh-CN"/>
        </w:rPr>
        <w:t>）</w:t>
      </w:r>
    </w:p>
    <w:p w14:paraId="44F9628A">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杭州市公安局监所管理支队</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浙江信达咨询监理有限公司</w:t>
      </w:r>
      <w:r>
        <w:rPr>
          <w:rFonts w:hint="eastAsia" w:ascii="仿宋" w:hAnsi="仿宋" w:eastAsia="仿宋" w:cs="仿宋"/>
          <w:color w:val="auto"/>
          <w:kern w:val="0"/>
          <w:sz w:val="24"/>
          <w:highlight w:val="none"/>
          <w:lang w:val="zh-CN"/>
        </w:rPr>
        <w:t>：</w:t>
      </w:r>
    </w:p>
    <w:p w14:paraId="4E078302">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强制隔离戒毒所消防整改项目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HZSGAJ-2024-24（代)</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的一切事项，其法律后果由我方承担。</w:t>
      </w:r>
    </w:p>
    <w:p w14:paraId="04BAF009">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260D9BF">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095C6B2A">
      <w:pPr>
        <w:jc w:val="center"/>
        <w:rPr>
          <w:rFonts w:ascii="仿宋" w:hAnsi="仿宋" w:eastAsia="仿宋" w:cs="仿宋"/>
          <w:b/>
          <w:color w:val="auto"/>
          <w:kern w:val="0"/>
          <w:sz w:val="32"/>
          <w:szCs w:val="32"/>
          <w:highlight w:val="none"/>
        </w:rPr>
      </w:pPr>
    </w:p>
    <w:p w14:paraId="063C5235">
      <w:pPr>
        <w:jc w:val="center"/>
        <w:rPr>
          <w:rFonts w:ascii="仿宋" w:hAnsi="仿宋" w:eastAsia="仿宋" w:cs="仿宋"/>
          <w:b/>
          <w:color w:val="auto"/>
          <w:kern w:val="0"/>
          <w:sz w:val="32"/>
          <w:szCs w:val="32"/>
          <w:highlight w:val="none"/>
        </w:rPr>
      </w:pPr>
    </w:p>
    <w:p w14:paraId="1A1B0087">
      <w:pPr>
        <w:jc w:val="center"/>
        <w:rPr>
          <w:rFonts w:ascii="仿宋" w:hAnsi="仿宋" w:eastAsia="仿宋" w:cs="仿宋"/>
          <w:b/>
          <w:color w:val="auto"/>
          <w:kern w:val="0"/>
          <w:sz w:val="32"/>
          <w:szCs w:val="32"/>
          <w:highlight w:val="none"/>
        </w:rPr>
      </w:pPr>
    </w:p>
    <w:p w14:paraId="3F7B8BEC">
      <w:pPr>
        <w:rPr>
          <w:rFonts w:ascii="仿宋" w:hAnsi="仿宋" w:eastAsia="仿宋" w:cs="仿宋"/>
          <w:color w:val="auto"/>
          <w:highlight w:val="none"/>
        </w:rPr>
      </w:pPr>
    </w:p>
    <w:p w14:paraId="49A21682">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28F252B">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C3DFFDD">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13242D4">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5577B2A">
      <w:pPr>
        <w:snapToGrid w:val="0"/>
        <w:jc w:val="center"/>
        <w:rPr>
          <w:rFonts w:ascii="仿宋" w:hAnsi="仿宋" w:eastAsia="仿宋" w:cs="仿宋"/>
          <w:b/>
          <w:bCs/>
          <w:color w:val="auto"/>
          <w:sz w:val="32"/>
          <w:szCs w:val="32"/>
          <w:highlight w:val="none"/>
          <w:lang w:val="zh-CN"/>
        </w:rPr>
      </w:pPr>
    </w:p>
    <w:p w14:paraId="55994C97">
      <w:pPr>
        <w:snapToGrid w:val="0"/>
        <w:jc w:val="center"/>
        <w:rPr>
          <w:rFonts w:ascii="仿宋" w:hAnsi="仿宋" w:eastAsia="仿宋" w:cs="仿宋"/>
          <w:b/>
          <w:bCs/>
          <w:color w:val="auto"/>
          <w:sz w:val="32"/>
          <w:szCs w:val="32"/>
          <w:highlight w:val="none"/>
          <w:lang w:val="zh-CN"/>
        </w:rPr>
      </w:pPr>
    </w:p>
    <w:p w14:paraId="47C5DEDB">
      <w:pPr>
        <w:snapToGrid w:val="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法定代表人、单位负责人或自然人本人</w:t>
      </w:r>
      <w:r>
        <w:rPr>
          <w:rFonts w:hint="eastAsia" w:ascii="仿宋" w:hAnsi="仿宋" w:eastAsia="仿宋" w:cs="仿宋"/>
          <w:b/>
          <w:bCs/>
          <w:color w:val="auto"/>
          <w:sz w:val="32"/>
          <w:szCs w:val="32"/>
          <w:highlight w:val="none"/>
        </w:rPr>
        <w:t>的身份证明（适用于法定代表人、单位负责人或者自然人本人代表供应商参加响应）</w:t>
      </w:r>
    </w:p>
    <w:p w14:paraId="5708D5FD">
      <w:pPr>
        <w:pStyle w:val="148"/>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8EE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7644166">
            <w:pPr>
              <w:pStyle w:val="148"/>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05570548">
            <w:pPr>
              <w:pStyle w:val="148"/>
              <w:adjustRightInd w:val="0"/>
              <w:spacing w:line="360" w:lineRule="auto"/>
              <w:rPr>
                <w:rFonts w:ascii="仿宋" w:hAnsi="仿宋" w:eastAsia="仿宋" w:cs="仿宋"/>
                <w:bCs/>
                <w:color w:val="auto"/>
                <w:sz w:val="24"/>
                <w:highlight w:val="none"/>
              </w:rPr>
            </w:pPr>
          </w:p>
        </w:tc>
      </w:tr>
    </w:tbl>
    <w:p w14:paraId="1FA84525">
      <w:pPr>
        <w:snapToGrid w:val="0"/>
        <w:spacing w:line="360" w:lineRule="auto"/>
        <w:ind w:firstLine="576"/>
        <w:jc w:val="center"/>
        <w:rPr>
          <w:rFonts w:ascii="仿宋" w:hAnsi="仿宋" w:eastAsia="仿宋" w:cs="仿宋"/>
          <w:color w:val="auto"/>
          <w:kern w:val="0"/>
          <w:sz w:val="24"/>
          <w:highlight w:val="none"/>
          <w:lang w:val="zh-CN"/>
        </w:rPr>
      </w:pPr>
    </w:p>
    <w:p w14:paraId="3F26DCCE">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14:paraId="0C12DB19">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9393437">
      <w:pPr>
        <w:jc w:val="center"/>
        <w:rPr>
          <w:rFonts w:ascii="仿宋" w:hAnsi="仿宋" w:eastAsia="仿宋" w:cs="仿宋"/>
          <w:b/>
          <w:color w:val="auto"/>
          <w:kern w:val="0"/>
          <w:sz w:val="32"/>
          <w:szCs w:val="32"/>
          <w:highlight w:val="none"/>
        </w:rPr>
      </w:pPr>
    </w:p>
    <w:p w14:paraId="7B651E82">
      <w:pPr>
        <w:jc w:val="center"/>
        <w:rPr>
          <w:rFonts w:ascii="仿宋" w:hAnsi="仿宋" w:eastAsia="仿宋" w:cs="仿宋"/>
          <w:b/>
          <w:color w:val="auto"/>
          <w:kern w:val="0"/>
          <w:sz w:val="32"/>
          <w:szCs w:val="32"/>
          <w:highlight w:val="none"/>
        </w:rPr>
      </w:pPr>
    </w:p>
    <w:p w14:paraId="68C78E45">
      <w:pPr>
        <w:jc w:val="center"/>
        <w:rPr>
          <w:rFonts w:ascii="仿宋" w:hAnsi="仿宋" w:eastAsia="仿宋" w:cs="仿宋"/>
          <w:b/>
          <w:color w:val="auto"/>
          <w:kern w:val="0"/>
          <w:sz w:val="32"/>
          <w:szCs w:val="32"/>
          <w:highlight w:val="none"/>
        </w:rPr>
      </w:pPr>
    </w:p>
    <w:p w14:paraId="7BF12DDD">
      <w:pPr>
        <w:jc w:val="center"/>
        <w:rPr>
          <w:rFonts w:ascii="仿宋" w:hAnsi="仿宋" w:eastAsia="仿宋" w:cs="仿宋"/>
          <w:b/>
          <w:color w:val="auto"/>
          <w:kern w:val="0"/>
          <w:sz w:val="32"/>
          <w:szCs w:val="32"/>
          <w:highlight w:val="none"/>
        </w:rPr>
      </w:pPr>
    </w:p>
    <w:p w14:paraId="5897C00E">
      <w:pPr>
        <w:jc w:val="center"/>
        <w:rPr>
          <w:rFonts w:ascii="仿宋" w:hAnsi="仿宋" w:eastAsia="仿宋" w:cs="仿宋"/>
          <w:b/>
          <w:color w:val="auto"/>
          <w:kern w:val="0"/>
          <w:sz w:val="32"/>
          <w:szCs w:val="32"/>
          <w:highlight w:val="none"/>
        </w:rPr>
      </w:pPr>
    </w:p>
    <w:p w14:paraId="5F2F2BB4">
      <w:pPr>
        <w:jc w:val="center"/>
        <w:rPr>
          <w:rFonts w:ascii="仿宋" w:hAnsi="仿宋" w:eastAsia="仿宋" w:cs="仿宋"/>
          <w:b/>
          <w:color w:val="auto"/>
          <w:kern w:val="0"/>
          <w:sz w:val="32"/>
          <w:szCs w:val="32"/>
          <w:highlight w:val="none"/>
        </w:rPr>
      </w:pPr>
    </w:p>
    <w:p w14:paraId="585A0574">
      <w:pPr>
        <w:jc w:val="center"/>
        <w:rPr>
          <w:rFonts w:ascii="仿宋" w:hAnsi="仿宋" w:eastAsia="仿宋" w:cs="仿宋"/>
          <w:b/>
          <w:color w:val="auto"/>
          <w:kern w:val="0"/>
          <w:sz w:val="32"/>
          <w:szCs w:val="32"/>
          <w:highlight w:val="none"/>
        </w:rPr>
      </w:pPr>
    </w:p>
    <w:p w14:paraId="304DD6AD">
      <w:pPr>
        <w:jc w:val="center"/>
        <w:rPr>
          <w:rFonts w:ascii="仿宋" w:hAnsi="仿宋" w:eastAsia="仿宋" w:cs="仿宋"/>
          <w:b/>
          <w:color w:val="auto"/>
          <w:kern w:val="0"/>
          <w:sz w:val="32"/>
          <w:szCs w:val="32"/>
          <w:highlight w:val="none"/>
        </w:rPr>
      </w:pPr>
    </w:p>
    <w:p w14:paraId="169CBA5E">
      <w:pPr>
        <w:jc w:val="center"/>
        <w:rPr>
          <w:rFonts w:ascii="仿宋" w:hAnsi="仿宋" w:eastAsia="仿宋" w:cs="仿宋"/>
          <w:b/>
          <w:color w:val="auto"/>
          <w:kern w:val="0"/>
          <w:sz w:val="32"/>
          <w:szCs w:val="32"/>
          <w:highlight w:val="none"/>
        </w:rPr>
      </w:pPr>
    </w:p>
    <w:p w14:paraId="6C02A7B6">
      <w:pPr>
        <w:jc w:val="center"/>
        <w:rPr>
          <w:rFonts w:ascii="仿宋" w:hAnsi="仿宋" w:eastAsia="仿宋" w:cs="仿宋"/>
          <w:b/>
          <w:color w:val="auto"/>
          <w:kern w:val="0"/>
          <w:sz w:val="32"/>
          <w:szCs w:val="32"/>
          <w:highlight w:val="none"/>
        </w:rPr>
      </w:pPr>
    </w:p>
    <w:p w14:paraId="42695F21">
      <w:pPr>
        <w:snapToGrid w:val="0"/>
        <w:spacing w:line="360" w:lineRule="auto"/>
        <w:ind w:right="480"/>
        <w:rPr>
          <w:rFonts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617C4914">
      <w:pPr>
        <w:snapToGrid w:val="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三、分包意向协议</w:t>
      </w:r>
    </w:p>
    <w:p w14:paraId="4430A2C5">
      <w:pPr>
        <w:widowControl/>
        <w:spacing w:line="360" w:lineRule="auto"/>
        <w:ind w:firstLine="120" w:firstLineChars="50"/>
        <w:jc w:val="left"/>
        <w:rPr>
          <w:rFonts w:ascii="仿宋" w:hAnsi="仿宋" w:eastAsia="仿宋" w:cs="仿宋"/>
          <w:color w:val="auto"/>
          <w:sz w:val="24"/>
          <w:highlight w:val="none"/>
        </w:rPr>
      </w:pPr>
      <w:bookmarkStart w:id="1000"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成交后以分包方式履行合同的，提供分包意向协议(附件6)；采购人不同意分包或者供应商成交后不以分包方式履行合同的，则不需要提供。</w:t>
      </w:r>
      <w:r>
        <w:rPr>
          <w:rFonts w:hint="eastAsia" w:ascii="仿宋" w:hAnsi="仿宋" w:eastAsia="仿宋" w:cs="仿宋"/>
          <w:color w:val="auto"/>
          <w:sz w:val="24"/>
          <w:highlight w:val="none"/>
        </w:rPr>
        <w:t>]</w:t>
      </w:r>
    </w:p>
    <w:bookmarkEnd w:id="1000"/>
    <w:p w14:paraId="766684B8">
      <w:pPr>
        <w:snapToGrid w:val="0"/>
        <w:spacing w:line="360" w:lineRule="auto"/>
        <w:rPr>
          <w:rFonts w:ascii="仿宋" w:hAnsi="仿宋" w:eastAsia="仿宋" w:cs="仿宋"/>
          <w:color w:val="auto"/>
          <w:kern w:val="0"/>
          <w:sz w:val="24"/>
          <w:highlight w:val="none"/>
        </w:rPr>
      </w:pPr>
    </w:p>
    <w:p w14:paraId="5526C5E6">
      <w:pPr>
        <w:snapToGrid w:val="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四、符合性审查资料</w:t>
      </w:r>
    </w:p>
    <w:p w14:paraId="322E33F0">
      <w:pPr>
        <w:jc w:val="center"/>
        <w:rPr>
          <w:rFonts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B84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28DD4E5">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2E3B6AB3">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45FA9832">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1040F9E2">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响应文件中的</w:t>
            </w:r>
          </w:p>
          <w:p w14:paraId="021A8EC9">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3B809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9170BA">
            <w:pP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14:paraId="268ACB1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响应文件按照采购文件要求签署、盖章。</w:t>
            </w:r>
          </w:p>
        </w:tc>
        <w:tc>
          <w:tcPr>
            <w:tcW w:w="2551" w:type="dxa"/>
            <w:vAlign w:val="center"/>
          </w:tcPr>
          <w:p w14:paraId="2D04C578">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需要使用电子签名或者签字盖章的响应文件的组成部分</w:t>
            </w:r>
          </w:p>
        </w:tc>
        <w:tc>
          <w:tcPr>
            <w:tcW w:w="1418" w:type="dxa"/>
            <w:vAlign w:val="center"/>
          </w:tcPr>
          <w:p w14:paraId="4B96309B">
            <w:pPr>
              <w:rPr>
                <w:rFonts w:ascii="仿宋" w:hAnsi="仿宋" w:eastAsia="仿宋" w:cs="仿宋"/>
                <w:color w:val="auto"/>
                <w:sz w:val="24"/>
                <w:highlight w:val="none"/>
              </w:rPr>
            </w:pPr>
            <w:r>
              <w:rPr>
                <w:rFonts w:hint="eastAsia" w:ascii="仿宋" w:hAnsi="仿宋" w:eastAsia="仿宋" w:cs="仿宋"/>
                <w:color w:val="auto"/>
                <w:sz w:val="24"/>
                <w:highlight w:val="none"/>
              </w:rPr>
              <w:t>见响应文件</w:t>
            </w:r>
          </w:p>
          <w:p w14:paraId="6748B111">
            <w:pP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695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D39E1B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center"/>
          </w:tcPr>
          <w:p w14:paraId="33488E3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91FB522">
            <w:pPr>
              <w:rPr>
                <w:rFonts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vAlign w:val="center"/>
          </w:tcPr>
          <w:p w14:paraId="202BB93B">
            <w:pPr>
              <w:rPr>
                <w:rFonts w:ascii="仿宋" w:hAnsi="仿宋" w:eastAsia="仿宋" w:cs="仿宋"/>
                <w:color w:val="auto"/>
                <w:sz w:val="24"/>
                <w:highlight w:val="none"/>
              </w:rPr>
            </w:pPr>
            <w:r>
              <w:rPr>
                <w:rFonts w:hint="eastAsia" w:ascii="仿宋" w:hAnsi="仿宋" w:eastAsia="仿宋" w:cs="仿宋"/>
                <w:color w:val="auto"/>
                <w:sz w:val="24"/>
                <w:highlight w:val="none"/>
              </w:rPr>
              <w:t>见响应文件</w:t>
            </w:r>
          </w:p>
          <w:p w14:paraId="22E3DBB3">
            <w:pPr>
              <w:pStyle w:val="2"/>
              <w:jc w:val="both"/>
              <w:rPr>
                <w:rFonts w:ascii="仿宋" w:eastAsia="仿宋" w:cs="仿宋"/>
                <w:color w:val="auto"/>
                <w:highlight w:val="none"/>
                <w:lang w:val="en-US"/>
              </w:rPr>
            </w:pPr>
            <w:r>
              <w:rPr>
                <w:rFonts w:hint="eastAsia" w:ascii="仿宋" w:eastAsia="仿宋" w:cs="仿宋"/>
                <w:b w:val="0"/>
                <w:bCs w:val="0"/>
                <w:color w:val="auto"/>
                <w:sz w:val="24"/>
                <w:szCs w:val="24"/>
                <w:highlight w:val="none"/>
                <w:lang w:val="en-US"/>
              </w:rPr>
              <w:t>第</w:t>
            </w:r>
            <w:r>
              <w:rPr>
                <w:rFonts w:hint="eastAsia" w:ascii="仿宋" w:eastAsia="仿宋" w:cs="仿宋"/>
                <w:b w:val="0"/>
                <w:bCs w:val="0"/>
                <w:color w:val="auto"/>
                <w:sz w:val="24"/>
                <w:szCs w:val="24"/>
                <w:highlight w:val="none"/>
                <w:u w:val="single"/>
                <w:lang w:val="en-US"/>
              </w:rPr>
              <w:t xml:space="preserve">  </w:t>
            </w:r>
            <w:r>
              <w:rPr>
                <w:rFonts w:hint="eastAsia" w:ascii="仿宋" w:eastAsia="仿宋" w:cs="仿宋"/>
                <w:b w:val="0"/>
                <w:bCs w:val="0"/>
                <w:color w:val="auto"/>
                <w:sz w:val="24"/>
                <w:szCs w:val="24"/>
                <w:highlight w:val="none"/>
                <w:lang w:val="en-US"/>
              </w:rPr>
              <w:t>页</w:t>
            </w:r>
          </w:p>
        </w:tc>
      </w:tr>
      <w:tr w14:paraId="5718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F5791">
            <w:pP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center"/>
          </w:tcPr>
          <w:p w14:paraId="0D52F76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响应文件中承诺的响应文件有效期不少于采购文件中载明的响应文件有效期。</w:t>
            </w:r>
          </w:p>
        </w:tc>
        <w:tc>
          <w:tcPr>
            <w:tcW w:w="2551" w:type="dxa"/>
            <w:vAlign w:val="center"/>
          </w:tcPr>
          <w:p w14:paraId="2780A595">
            <w:pPr>
              <w:rPr>
                <w:rFonts w:ascii="仿宋" w:hAnsi="仿宋" w:eastAsia="仿宋" w:cs="仿宋"/>
                <w:color w:val="auto"/>
                <w:sz w:val="24"/>
                <w:highlight w:val="none"/>
              </w:rPr>
            </w:pPr>
            <w:r>
              <w:rPr>
                <w:rFonts w:hint="eastAsia" w:ascii="仿宋" w:hAnsi="仿宋" w:eastAsia="仿宋" w:cs="仿宋"/>
                <w:color w:val="auto"/>
                <w:sz w:val="24"/>
                <w:highlight w:val="none"/>
              </w:rPr>
              <w:t>响应函</w:t>
            </w:r>
          </w:p>
        </w:tc>
        <w:tc>
          <w:tcPr>
            <w:tcW w:w="1418" w:type="dxa"/>
            <w:vAlign w:val="center"/>
          </w:tcPr>
          <w:p w14:paraId="2C09D15E">
            <w:pPr>
              <w:rPr>
                <w:rFonts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0DA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8F7F48">
            <w:pP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vAlign w:val="center"/>
          </w:tcPr>
          <w:p w14:paraId="7B169E7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响应文件满足采购文件的其它实质性要求。</w:t>
            </w:r>
          </w:p>
        </w:tc>
        <w:tc>
          <w:tcPr>
            <w:tcW w:w="2551" w:type="dxa"/>
            <w:vAlign w:val="center"/>
          </w:tcPr>
          <w:p w14:paraId="1A5C507C">
            <w:pPr>
              <w:rPr>
                <w:rFonts w:ascii="仿宋" w:hAnsi="仿宋" w:eastAsia="仿宋" w:cs="仿宋"/>
                <w:color w:val="auto"/>
                <w:sz w:val="24"/>
                <w:highlight w:val="none"/>
              </w:rPr>
            </w:pPr>
            <w:r>
              <w:rPr>
                <w:rFonts w:hint="eastAsia" w:ascii="仿宋" w:hAnsi="仿宋" w:eastAsia="仿宋" w:cs="仿宋"/>
                <w:color w:val="auto"/>
                <w:kern w:val="0"/>
                <w:sz w:val="24"/>
                <w:highlight w:val="none"/>
              </w:rPr>
              <w:t>采购文件其它实质性要求相应的材料（“▲” 系指实质性要求条款，采购文件无其它实质性要求的，无需提供）</w:t>
            </w:r>
          </w:p>
        </w:tc>
        <w:tc>
          <w:tcPr>
            <w:tcW w:w="1418" w:type="dxa"/>
            <w:vAlign w:val="center"/>
          </w:tcPr>
          <w:p w14:paraId="2AB09307">
            <w:pPr>
              <w:rPr>
                <w:rFonts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7B3323CC">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89BD414">
      <w:pPr>
        <w:jc w:val="center"/>
        <w:rPr>
          <w:rFonts w:ascii="仿宋" w:hAnsi="仿宋" w:eastAsia="仿宋" w:cs="仿宋"/>
          <w:b/>
          <w:color w:val="auto"/>
          <w:kern w:val="0"/>
          <w:sz w:val="32"/>
          <w:szCs w:val="32"/>
          <w:highlight w:val="none"/>
        </w:rPr>
      </w:pPr>
    </w:p>
    <w:p w14:paraId="423D8598">
      <w:pPr>
        <w:jc w:val="center"/>
        <w:rPr>
          <w:rFonts w:ascii="仿宋" w:hAnsi="仿宋" w:eastAsia="仿宋" w:cs="仿宋"/>
          <w:b/>
          <w:color w:val="auto"/>
          <w:kern w:val="0"/>
          <w:sz w:val="32"/>
          <w:szCs w:val="32"/>
          <w:highlight w:val="none"/>
        </w:rPr>
      </w:pPr>
    </w:p>
    <w:p w14:paraId="20C2286C">
      <w:pPr>
        <w:jc w:val="center"/>
        <w:rPr>
          <w:rFonts w:ascii="仿宋" w:hAnsi="仿宋" w:eastAsia="仿宋" w:cs="仿宋"/>
          <w:b/>
          <w:color w:val="auto"/>
          <w:kern w:val="0"/>
          <w:sz w:val="32"/>
          <w:szCs w:val="32"/>
          <w:highlight w:val="none"/>
        </w:rPr>
      </w:pPr>
    </w:p>
    <w:p w14:paraId="5C1B106A">
      <w:pPr>
        <w:jc w:val="center"/>
        <w:rPr>
          <w:rFonts w:ascii="仿宋" w:hAnsi="仿宋" w:eastAsia="仿宋" w:cs="仿宋"/>
          <w:b/>
          <w:color w:val="auto"/>
          <w:kern w:val="0"/>
          <w:sz w:val="32"/>
          <w:szCs w:val="32"/>
          <w:highlight w:val="none"/>
        </w:rPr>
      </w:pPr>
    </w:p>
    <w:p w14:paraId="71976F8C">
      <w:pPr>
        <w:jc w:val="center"/>
        <w:rPr>
          <w:rFonts w:ascii="仿宋" w:hAnsi="仿宋" w:eastAsia="仿宋" w:cs="仿宋"/>
          <w:b/>
          <w:color w:val="auto"/>
          <w:kern w:val="0"/>
          <w:sz w:val="32"/>
          <w:szCs w:val="32"/>
          <w:highlight w:val="none"/>
        </w:rPr>
      </w:pPr>
    </w:p>
    <w:p w14:paraId="118D20A8">
      <w:pPr>
        <w:jc w:val="center"/>
        <w:rPr>
          <w:rFonts w:ascii="仿宋" w:hAnsi="仿宋" w:eastAsia="仿宋" w:cs="仿宋"/>
          <w:b/>
          <w:color w:val="auto"/>
          <w:kern w:val="0"/>
          <w:sz w:val="32"/>
          <w:szCs w:val="32"/>
          <w:highlight w:val="none"/>
        </w:rPr>
      </w:pPr>
    </w:p>
    <w:p w14:paraId="54AA0B52">
      <w:pPr>
        <w:jc w:val="center"/>
        <w:rPr>
          <w:rFonts w:ascii="仿宋" w:hAnsi="仿宋" w:eastAsia="仿宋" w:cs="仿宋"/>
          <w:b/>
          <w:color w:val="auto"/>
          <w:kern w:val="0"/>
          <w:sz w:val="32"/>
          <w:szCs w:val="32"/>
          <w:highlight w:val="none"/>
        </w:rPr>
      </w:pPr>
    </w:p>
    <w:p w14:paraId="24BCCFB9">
      <w:pPr>
        <w:jc w:val="center"/>
        <w:rPr>
          <w:rFonts w:ascii="仿宋" w:hAnsi="仿宋" w:eastAsia="仿宋" w:cs="仿宋"/>
          <w:b/>
          <w:color w:val="auto"/>
          <w:kern w:val="0"/>
          <w:sz w:val="32"/>
          <w:szCs w:val="32"/>
          <w:highlight w:val="none"/>
        </w:rPr>
      </w:pPr>
    </w:p>
    <w:p w14:paraId="35AC1470">
      <w:pPr>
        <w:jc w:val="center"/>
        <w:rPr>
          <w:rFonts w:ascii="仿宋" w:hAnsi="仿宋" w:eastAsia="仿宋" w:cs="仿宋"/>
          <w:b/>
          <w:color w:val="auto"/>
          <w:kern w:val="0"/>
          <w:sz w:val="32"/>
          <w:szCs w:val="32"/>
          <w:highlight w:val="none"/>
        </w:rPr>
      </w:pPr>
    </w:p>
    <w:p w14:paraId="7AD19E87">
      <w:pPr>
        <w:jc w:val="center"/>
        <w:rPr>
          <w:rFonts w:ascii="仿宋" w:hAnsi="仿宋" w:eastAsia="仿宋" w:cs="仿宋"/>
          <w:b/>
          <w:color w:val="auto"/>
          <w:kern w:val="0"/>
          <w:sz w:val="32"/>
          <w:szCs w:val="32"/>
          <w:highlight w:val="none"/>
        </w:rPr>
      </w:pPr>
    </w:p>
    <w:p w14:paraId="29FEBBFB">
      <w:pPr>
        <w:snapToGrid w:val="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五、评审标准相应的商务技术资料</w:t>
      </w:r>
    </w:p>
    <w:p w14:paraId="008A2E9E">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（按采购文件第四部分评审办法前附表中“响应文件中评审标准相应的商务技术资料目录”提供资料。）</w:t>
      </w:r>
    </w:p>
    <w:p w14:paraId="62E4D016">
      <w:pPr>
        <w:jc w:val="center"/>
        <w:rPr>
          <w:rFonts w:ascii="仿宋" w:hAnsi="仿宋" w:eastAsia="仿宋" w:cs="仿宋"/>
          <w:b/>
          <w:color w:val="auto"/>
          <w:kern w:val="0"/>
          <w:sz w:val="32"/>
          <w:szCs w:val="32"/>
          <w:highlight w:val="none"/>
        </w:rPr>
      </w:pPr>
    </w:p>
    <w:p w14:paraId="65AA01B9">
      <w:pPr>
        <w:jc w:val="center"/>
        <w:rPr>
          <w:rFonts w:ascii="仿宋" w:hAnsi="仿宋" w:eastAsia="仿宋" w:cs="仿宋"/>
          <w:b/>
          <w:color w:val="auto"/>
          <w:kern w:val="0"/>
          <w:sz w:val="32"/>
          <w:szCs w:val="32"/>
          <w:highlight w:val="none"/>
        </w:rPr>
      </w:pPr>
    </w:p>
    <w:p w14:paraId="56ECB275">
      <w:pPr>
        <w:jc w:val="center"/>
        <w:rPr>
          <w:rFonts w:ascii="仿宋" w:hAnsi="仿宋" w:eastAsia="仿宋" w:cs="仿宋"/>
          <w:b/>
          <w:color w:val="auto"/>
          <w:kern w:val="0"/>
          <w:sz w:val="32"/>
          <w:szCs w:val="32"/>
          <w:highlight w:val="none"/>
        </w:rPr>
      </w:pPr>
    </w:p>
    <w:p w14:paraId="2943F905">
      <w:pPr>
        <w:jc w:val="center"/>
        <w:rPr>
          <w:rFonts w:ascii="仿宋" w:hAnsi="仿宋" w:eastAsia="仿宋" w:cs="仿宋"/>
          <w:b/>
          <w:color w:val="auto"/>
          <w:kern w:val="0"/>
          <w:sz w:val="32"/>
          <w:szCs w:val="32"/>
          <w:highlight w:val="none"/>
        </w:rPr>
      </w:pPr>
    </w:p>
    <w:p w14:paraId="0A37CF7A">
      <w:pPr>
        <w:jc w:val="center"/>
        <w:rPr>
          <w:rFonts w:ascii="仿宋" w:hAnsi="仿宋" w:eastAsia="仿宋" w:cs="仿宋"/>
          <w:b/>
          <w:color w:val="auto"/>
          <w:kern w:val="0"/>
          <w:sz w:val="32"/>
          <w:szCs w:val="32"/>
          <w:highlight w:val="none"/>
        </w:rPr>
      </w:pPr>
    </w:p>
    <w:p w14:paraId="62555061">
      <w:pPr>
        <w:snapToGrid w:val="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087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BD3173">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7F784679">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采购文件章节及具体内容</w:t>
            </w:r>
          </w:p>
        </w:tc>
        <w:tc>
          <w:tcPr>
            <w:tcW w:w="3546" w:type="dxa"/>
          </w:tcPr>
          <w:p w14:paraId="74A11BBC">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响应文件章节及具体内容</w:t>
            </w:r>
          </w:p>
        </w:tc>
        <w:tc>
          <w:tcPr>
            <w:tcW w:w="1276" w:type="dxa"/>
          </w:tcPr>
          <w:p w14:paraId="430F3CAF">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6101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76437A">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353121CB">
            <w:pPr>
              <w:jc w:val="center"/>
              <w:rPr>
                <w:rFonts w:ascii="仿宋" w:hAnsi="仿宋" w:eastAsia="仿宋" w:cs="仿宋"/>
                <w:b/>
                <w:color w:val="auto"/>
                <w:kern w:val="0"/>
                <w:sz w:val="32"/>
                <w:szCs w:val="32"/>
                <w:highlight w:val="none"/>
              </w:rPr>
            </w:pPr>
          </w:p>
        </w:tc>
        <w:tc>
          <w:tcPr>
            <w:tcW w:w="3546" w:type="dxa"/>
          </w:tcPr>
          <w:p w14:paraId="2DAABCC9">
            <w:pPr>
              <w:jc w:val="center"/>
              <w:rPr>
                <w:rFonts w:ascii="仿宋" w:hAnsi="仿宋" w:eastAsia="仿宋" w:cs="仿宋"/>
                <w:b/>
                <w:color w:val="auto"/>
                <w:kern w:val="0"/>
                <w:sz w:val="32"/>
                <w:szCs w:val="32"/>
                <w:highlight w:val="none"/>
              </w:rPr>
            </w:pPr>
          </w:p>
        </w:tc>
        <w:tc>
          <w:tcPr>
            <w:tcW w:w="1276" w:type="dxa"/>
          </w:tcPr>
          <w:p w14:paraId="3313F57D">
            <w:pPr>
              <w:jc w:val="center"/>
              <w:rPr>
                <w:rFonts w:ascii="仿宋" w:hAnsi="仿宋" w:eastAsia="仿宋" w:cs="仿宋"/>
                <w:b/>
                <w:color w:val="auto"/>
                <w:kern w:val="0"/>
                <w:sz w:val="32"/>
                <w:szCs w:val="32"/>
                <w:highlight w:val="none"/>
              </w:rPr>
            </w:pPr>
          </w:p>
        </w:tc>
      </w:tr>
      <w:tr w14:paraId="7C7B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13A8F0">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3BE775E3">
            <w:pPr>
              <w:jc w:val="center"/>
              <w:rPr>
                <w:rFonts w:ascii="仿宋" w:hAnsi="仿宋" w:eastAsia="仿宋" w:cs="仿宋"/>
                <w:b/>
                <w:color w:val="auto"/>
                <w:kern w:val="0"/>
                <w:sz w:val="32"/>
                <w:szCs w:val="32"/>
                <w:highlight w:val="none"/>
              </w:rPr>
            </w:pPr>
          </w:p>
        </w:tc>
        <w:tc>
          <w:tcPr>
            <w:tcW w:w="3546" w:type="dxa"/>
          </w:tcPr>
          <w:p w14:paraId="466F64A6">
            <w:pPr>
              <w:jc w:val="center"/>
              <w:rPr>
                <w:rFonts w:ascii="仿宋" w:hAnsi="仿宋" w:eastAsia="仿宋" w:cs="仿宋"/>
                <w:b/>
                <w:color w:val="auto"/>
                <w:kern w:val="0"/>
                <w:sz w:val="32"/>
                <w:szCs w:val="32"/>
                <w:highlight w:val="none"/>
              </w:rPr>
            </w:pPr>
          </w:p>
        </w:tc>
        <w:tc>
          <w:tcPr>
            <w:tcW w:w="1276" w:type="dxa"/>
          </w:tcPr>
          <w:p w14:paraId="2946D89F">
            <w:pPr>
              <w:jc w:val="center"/>
              <w:rPr>
                <w:rFonts w:ascii="仿宋" w:hAnsi="仿宋" w:eastAsia="仿宋" w:cs="仿宋"/>
                <w:b/>
                <w:color w:val="auto"/>
                <w:kern w:val="0"/>
                <w:sz w:val="32"/>
                <w:szCs w:val="32"/>
                <w:highlight w:val="none"/>
              </w:rPr>
            </w:pPr>
          </w:p>
        </w:tc>
      </w:tr>
      <w:tr w14:paraId="5573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55E066F">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45363A5B">
            <w:pPr>
              <w:jc w:val="center"/>
              <w:rPr>
                <w:rFonts w:ascii="仿宋" w:hAnsi="仿宋" w:eastAsia="仿宋" w:cs="仿宋"/>
                <w:b/>
                <w:color w:val="auto"/>
                <w:kern w:val="0"/>
                <w:sz w:val="32"/>
                <w:szCs w:val="32"/>
                <w:highlight w:val="none"/>
              </w:rPr>
            </w:pPr>
          </w:p>
        </w:tc>
        <w:tc>
          <w:tcPr>
            <w:tcW w:w="3546" w:type="dxa"/>
          </w:tcPr>
          <w:p w14:paraId="785AEB30">
            <w:pPr>
              <w:jc w:val="center"/>
              <w:rPr>
                <w:rFonts w:ascii="仿宋" w:hAnsi="仿宋" w:eastAsia="仿宋" w:cs="仿宋"/>
                <w:b/>
                <w:color w:val="auto"/>
                <w:kern w:val="0"/>
                <w:sz w:val="32"/>
                <w:szCs w:val="32"/>
                <w:highlight w:val="none"/>
              </w:rPr>
            </w:pPr>
          </w:p>
        </w:tc>
        <w:tc>
          <w:tcPr>
            <w:tcW w:w="1276" w:type="dxa"/>
          </w:tcPr>
          <w:p w14:paraId="04BDFB21">
            <w:pPr>
              <w:jc w:val="center"/>
              <w:rPr>
                <w:rFonts w:ascii="仿宋" w:hAnsi="仿宋" w:eastAsia="仿宋" w:cs="仿宋"/>
                <w:b/>
                <w:color w:val="auto"/>
                <w:kern w:val="0"/>
                <w:sz w:val="32"/>
                <w:szCs w:val="32"/>
                <w:highlight w:val="none"/>
              </w:rPr>
            </w:pPr>
          </w:p>
        </w:tc>
      </w:tr>
    </w:tbl>
    <w:p w14:paraId="56217107">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供应商保证：除商务技术偏离表列出的偏离外，供应商响应采购文件的全部要求</w:t>
      </w:r>
    </w:p>
    <w:p w14:paraId="3F9C0252">
      <w:pPr>
        <w:jc w:val="center"/>
        <w:rPr>
          <w:rFonts w:ascii="仿宋" w:hAnsi="仿宋" w:eastAsia="仿宋" w:cs="仿宋"/>
          <w:b/>
          <w:color w:val="auto"/>
          <w:kern w:val="0"/>
          <w:sz w:val="32"/>
          <w:szCs w:val="32"/>
          <w:highlight w:val="none"/>
        </w:rPr>
      </w:pPr>
    </w:p>
    <w:p w14:paraId="30E30C2A">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5EB1AF8">
      <w:pPr>
        <w:ind w:firstLine="1911" w:firstLineChars="595"/>
        <w:rPr>
          <w:rFonts w:ascii="仿宋" w:hAnsi="仿宋" w:eastAsia="仿宋" w:cs="仿宋"/>
          <w:b/>
          <w:bCs/>
          <w:color w:val="auto"/>
          <w:sz w:val="32"/>
          <w:szCs w:val="32"/>
          <w:highlight w:val="none"/>
        </w:rPr>
        <w:sectPr>
          <w:footerReference r:id="rId16" w:type="first"/>
          <w:footerReference r:id="rId15" w:type="default"/>
          <w:pgSz w:w="11906" w:h="16838"/>
          <w:pgMar w:top="1440" w:right="1080" w:bottom="1440" w:left="1080" w:header="851" w:footer="992" w:gutter="0"/>
          <w:cols w:space="720" w:num="1"/>
          <w:titlePg/>
          <w:docGrid w:linePitch="312" w:charSpace="0"/>
        </w:sectPr>
      </w:pPr>
    </w:p>
    <w:p w14:paraId="4EAC37FA">
      <w:pPr>
        <w:snapToGrid w:val="0"/>
        <w:jc w:val="center"/>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七</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08228553">
      <w:pPr>
        <w:snapToGrid w:val="0"/>
        <w:spacing w:line="360" w:lineRule="auto"/>
        <w:rPr>
          <w:rFonts w:ascii="仿宋" w:hAnsi="仿宋" w:eastAsia="仿宋" w:cs="仿宋"/>
          <w:color w:val="auto"/>
          <w:sz w:val="24"/>
          <w:highlight w:val="none"/>
        </w:rPr>
      </w:pPr>
    </w:p>
    <w:p w14:paraId="2D2678FE">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杭州市公安局监所管理支队</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浙江信达咨询监理有限公司</w:t>
      </w:r>
      <w:r>
        <w:rPr>
          <w:rFonts w:hint="eastAsia" w:ascii="仿宋" w:hAnsi="仿宋" w:eastAsia="仿宋" w:cs="仿宋"/>
          <w:color w:val="auto"/>
          <w:kern w:val="0"/>
          <w:sz w:val="24"/>
          <w:highlight w:val="none"/>
          <w:lang w:val="zh-CN"/>
        </w:rPr>
        <w:t>：</w:t>
      </w:r>
    </w:p>
    <w:p w14:paraId="37580E06">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68A59104">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4ACC9E02">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3BF0B6CC">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50676CEF">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38A966D3">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五、不为项目有关人员个人装修住房、婚丧嫁娶、配偶子女工作安排等提供好处；</w:t>
      </w:r>
    </w:p>
    <w:p w14:paraId="2F5AC525">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2FEA2312">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9442092">
      <w:pPr>
        <w:autoSpaceDE w:val="0"/>
        <w:autoSpaceDN w:val="0"/>
        <w:spacing w:line="360" w:lineRule="auto"/>
        <w:ind w:left="2"/>
        <w:jc w:val="left"/>
        <w:rPr>
          <w:rFonts w:ascii="仿宋" w:hAnsi="仿宋" w:eastAsia="仿宋" w:cs="仿宋"/>
          <w:color w:val="auto"/>
          <w:kern w:val="0"/>
          <w:sz w:val="24"/>
          <w:highlight w:val="none"/>
          <w:lang w:val="zh-CN"/>
        </w:rPr>
      </w:pPr>
    </w:p>
    <w:p w14:paraId="69BEF5C4">
      <w:pPr>
        <w:autoSpaceDE w:val="0"/>
        <w:autoSpaceDN w:val="0"/>
        <w:spacing w:line="360" w:lineRule="auto"/>
        <w:ind w:left="2"/>
        <w:jc w:val="left"/>
        <w:rPr>
          <w:rFonts w:ascii="仿宋" w:hAnsi="仿宋" w:eastAsia="仿宋" w:cs="仿宋"/>
          <w:color w:val="auto"/>
          <w:kern w:val="0"/>
          <w:sz w:val="24"/>
          <w:highlight w:val="none"/>
          <w:lang w:val="zh-CN"/>
        </w:rPr>
      </w:pPr>
    </w:p>
    <w:p w14:paraId="47407F39">
      <w:pPr>
        <w:autoSpaceDE w:val="0"/>
        <w:autoSpaceDN w:val="0"/>
        <w:spacing w:line="360" w:lineRule="auto"/>
        <w:ind w:left="2"/>
        <w:jc w:val="left"/>
        <w:rPr>
          <w:rFonts w:ascii="仿宋" w:hAnsi="仿宋" w:eastAsia="仿宋" w:cs="仿宋"/>
          <w:color w:val="auto"/>
          <w:kern w:val="0"/>
          <w:sz w:val="24"/>
          <w:highlight w:val="none"/>
          <w:lang w:val="zh-CN"/>
        </w:rPr>
      </w:pPr>
    </w:p>
    <w:p w14:paraId="6DC06370">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48A997E3">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B40C3F8">
      <w:pPr>
        <w:spacing w:line="360" w:lineRule="auto"/>
        <w:jc w:val="center"/>
        <w:rPr>
          <w:rFonts w:ascii="仿宋" w:hAnsi="仿宋" w:eastAsia="仿宋" w:cs="仿宋"/>
          <w:b/>
          <w:bCs/>
          <w:color w:val="auto"/>
          <w:sz w:val="24"/>
          <w:highlight w:val="none"/>
        </w:rPr>
      </w:pPr>
    </w:p>
    <w:p w14:paraId="6AEBAC07">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9242C92">
      <w:pPr>
        <w:widowControl/>
        <w:adjustRightInd/>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br w:type="page"/>
      </w:r>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承诺书</w:t>
      </w:r>
    </w:p>
    <w:p w14:paraId="4E3C532F">
      <w:pPr>
        <w:snapToGrid w:val="0"/>
        <w:spacing w:line="360" w:lineRule="auto"/>
        <w:rPr>
          <w:rFonts w:ascii="仿宋" w:hAnsi="仿宋" w:eastAsia="仿宋" w:cs="仿宋"/>
          <w:color w:val="auto"/>
          <w:sz w:val="24"/>
          <w:highlight w:val="none"/>
        </w:rPr>
      </w:pPr>
    </w:p>
    <w:p w14:paraId="4A406547">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杭州市公安局监所管理支队、浙江信达咨询监理有限公司：</w:t>
      </w:r>
    </w:p>
    <w:p w14:paraId="7180DB7E">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我单位响应你单位项目采购要求参加磋商响应。在这次磋商响应过程中和中标后，我们郑重承诺：</w:t>
      </w:r>
    </w:p>
    <w:p w14:paraId="00917559">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照财政部《关于政府采购支持绿色建材促进建筑品质提升试点工作的通知财库〔2020〕31号》规定，为落实绿色建材采购要求，我方后续施工所投入使用的建筑材料承诺满足《绿色建筑和绿色建材政府采购基本要求（试行）》等有关规定。</w:t>
      </w:r>
    </w:p>
    <w:p w14:paraId="6EC77CE3">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p>
    <w:p w14:paraId="60708807">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p>
    <w:p w14:paraId="7C7A48C7">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p>
    <w:p w14:paraId="3FF80DCC">
      <w:pPr>
        <w:autoSpaceDE w:val="0"/>
        <w:autoSpaceDN w:val="0"/>
        <w:spacing w:line="360" w:lineRule="auto"/>
        <w:ind w:left="2" w:leftChars="1" w:firstLine="480" w:firstLineChars="200"/>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供应商名称（公章）：</w:t>
      </w:r>
    </w:p>
    <w:p w14:paraId="40EBDB25">
      <w:pPr>
        <w:autoSpaceDE w:val="0"/>
        <w:autoSpaceDN w:val="0"/>
        <w:spacing w:line="360" w:lineRule="auto"/>
        <w:ind w:left="2" w:leftChars="1" w:firstLine="480" w:firstLineChars="200"/>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01EE9977">
      <w:pPr>
        <w:spacing w:line="360" w:lineRule="auto"/>
        <w:jc w:val="center"/>
        <w:rPr>
          <w:rFonts w:ascii="仿宋" w:hAnsi="仿宋" w:eastAsia="仿宋" w:cs="仿宋"/>
          <w:b/>
          <w:bCs/>
          <w:color w:val="auto"/>
          <w:sz w:val="24"/>
          <w:highlight w:val="none"/>
        </w:rPr>
        <w:sectPr>
          <w:pgSz w:w="11906" w:h="16838"/>
          <w:pgMar w:top="1440" w:right="1080" w:bottom="1440" w:left="1080" w:header="851" w:footer="992" w:gutter="0"/>
          <w:cols w:space="720" w:num="1"/>
          <w:titlePg/>
          <w:docGrid w:linePitch="312" w:charSpace="0"/>
        </w:sectPr>
      </w:pPr>
    </w:p>
    <w:p w14:paraId="5FD5E8BE">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6C27D527">
      <w:pPr>
        <w:pStyle w:val="84"/>
        <w:rPr>
          <w:color w:val="auto"/>
          <w:highlight w:val="none"/>
        </w:rPr>
      </w:pPr>
      <w:r>
        <w:rPr>
          <w:rFonts w:hint="eastAsia"/>
          <w:color w:val="auto"/>
          <w:highlight w:val="none"/>
        </w:rPr>
        <w:t>目录</w:t>
      </w:r>
    </w:p>
    <w:p w14:paraId="78F77B4A">
      <w:pPr>
        <w:adjustRightInd/>
        <w:spacing w:line="300" w:lineRule="auto"/>
        <w:rPr>
          <w:rFonts w:ascii="仿宋" w:hAnsi="仿宋" w:eastAsia="仿宋" w:cs="仿宋"/>
          <w:b/>
          <w:color w:val="auto"/>
          <w:kern w:val="0"/>
          <w:sz w:val="36"/>
          <w:szCs w:val="36"/>
          <w:highlight w:val="none"/>
        </w:rPr>
      </w:pPr>
    </w:p>
    <w:p w14:paraId="2CF1300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（1）报价单…………………………………………………………………………（页码）</w:t>
      </w:r>
    </w:p>
    <w:p w14:paraId="75AABB0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（2）报价情况说明…………………………………………………………………（页码）</w:t>
      </w:r>
    </w:p>
    <w:p w14:paraId="7025788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（3）已标价工程量清单……………………………………………………………（页码）</w:t>
      </w:r>
    </w:p>
    <w:p w14:paraId="3E0731E3">
      <w:pPr>
        <w:snapToGrid w:val="0"/>
        <w:spacing w:line="360" w:lineRule="auto"/>
        <w:ind w:right="480"/>
        <w:jc w:val="center"/>
        <w:rPr>
          <w:rFonts w:ascii="仿宋" w:hAnsi="仿宋" w:eastAsia="仿宋" w:cs="仿宋"/>
          <w:b/>
          <w:color w:val="auto"/>
          <w:kern w:val="0"/>
          <w:sz w:val="32"/>
          <w:szCs w:val="32"/>
          <w:highlight w:val="none"/>
        </w:rPr>
      </w:pPr>
    </w:p>
    <w:p w14:paraId="01B64513">
      <w:pPr>
        <w:snapToGrid w:val="0"/>
        <w:spacing w:line="360" w:lineRule="auto"/>
        <w:ind w:right="480"/>
        <w:jc w:val="center"/>
        <w:rPr>
          <w:rFonts w:ascii="仿宋" w:hAnsi="仿宋" w:eastAsia="仿宋" w:cs="仿宋"/>
          <w:b/>
          <w:color w:val="auto"/>
          <w:kern w:val="0"/>
          <w:sz w:val="32"/>
          <w:szCs w:val="32"/>
          <w:highlight w:val="none"/>
        </w:rPr>
      </w:pPr>
    </w:p>
    <w:p w14:paraId="1696E73D">
      <w:pPr>
        <w:snapToGrid w:val="0"/>
        <w:spacing w:line="360" w:lineRule="auto"/>
        <w:ind w:right="480"/>
        <w:jc w:val="center"/>
        <w:rPr>
          <w:rFonts w:ascii="仿宋" w:hAnsi="仿宋" w:eastAsia="仿宋" w:cs="仿宋"/>
          <w:b/>
          <w:color w:val="auto"/>
          <w:kern w:val="0"/>
          <w:sz w:val="32"/>
          <w:szCs w:val="32"/>
          <w:highlight w:val="none"/>
        </w:rPr>
      </w:pPr>
    </w:p>
    <w:p w14:paraId="60E2CE5A">
      <w:pPr>
        <w:snapToGrid w:val="0"/>
        <w:spacing w:line="360" w:lineRule="auto"/>
        <w:ind w:right="480"/>
        <w:jc w:val="center"/>
        <w:rPr>
          <w:rFonts w:ascii="仿宋" w:hAnsi="仿宋" w:eastAsia="仿宋" w:cs="仿宋"/>
          <w:b/>
          <w:color w:val="auto"/>
          <w:kern w:val="0"/>
          <w:sz w:val="32"/>
          <w:szCs w:val="32"/>
          <w:highlight w:val="none"/>
        </w:rPr>
      </w:pPr>
    </w:p>
    <w:p w14:paraId="025BB4DB">
      <w:pPr>
        <w:snapToGrid w:val="0"/>
        <w:spacing w:line="360" w:lineRule="auto"/>
        <w:ind w:right="480"/>
        <w:jc w:val="center"/>
        <w:rPr>
          <w:rFonts w:ascii="仿宋" w:hAnsi="仿宋" w:eastAsia="仿宋" w:cs="仿宋"/>
          <w:b/>
          <w:color w:val="auto"/>
          <w:kern w:val="0"/>
          <w:sz w:val="32"/>
          <w:szCs w:val="32"/>
          <w:highlight w:val="none"/>
        </w:rPr>
      </w:pPr>
    </w:p>
    <w:p w14:paraId="27125947">
      <w:pPr>
        <w:snapToGrid w:val="0"/>
        <w:spacing w:line="360" w:lineRule="auto"/>
        <w:ind w:right="480"/>
        <w:jc w:val="center"/>
        <w:rPr>
          <w:rFonts w:ascii="仿宋" w:hAnsi="仿宋" w:eastAsia="仿宋" w:cs="仿宋"/>
          <w:b/>
          <w:color w:val="auto"/>
          <w:kern w:val="0"/>
          <w:sz w:val="32"/>
          <w:szCs w:val="32"/>
          <w:highlight w:val="none"/>
        </w:rPr>
      </w:pPr>
    </w:p>
    <w:p w14:paraId="1DCECC87">
      <w:pPr>
        <w:snapToGrid w:val="0"/>
        <w:spacing w:line="360" w:lineRule="auto"/>
        <w:ind w:right="480"/>
        <w:jc w:val="center"/>
        <w:rPr>
          <w:rFonts w:ascii="仿宋" w:hAnsi="仿宋" w:eastAsia="仿宋" w:cs="仿宋"/>
          <w:b/>
          <w:color w:val="auto"/>
          <w:kern w:val="0"/>
          <w:sz w:val="32"/>
          <w:szCs w:val="32"/>
          <w:highlight w:val="none"/>
        </w:rPr>
      </w:pPr>
    </w:p>
    <w:p w14:paraId="54F28A8B">
      <w:pPr>
        <w:snapToGrid w:val="0"/>
        <w:spacing w:line="360" w:lineRule="auto"/>
        <w:ind w:right="480"/>
        <w:jc w:val="center"/>
        <w:rPr>
          <w:rFonts w:ascii="仿宋" w:hAnsi="仿宋" w:eastAsia="仿宋" w:cs="仿宋"/>
          <w:b/>
          <w:color w:val="auto"/>
          <w:kern w:val="0"/>
          <w:sz w:val="32"/>
          <w:szCs w:val="32"/>
          <w:highlight w:val="none"/>
        </w:rPr>
      </w:pPr>
    </w:p>
    <w:p w14:paraId="08F1583D">
      <w:pPr>
        <w:snapToGrid w:val="0"/>
        <w:spacing w:line="360" w:lineRule="auto"/>
        <w:ind w:right="480"/>
        <w:jc w:val="center"/>
        <w:rPr>
          <w:rFonts w:ascii="仿宋" w:hAnsi="仿宋" w:eastAsia="仿宋" w:cs="仿宋"/>
          <w:b/>
          <w:color w:val="auto"/>
          <w:kern w:val="0"/>
          <w:sz w:val="32"/>
          <w:szCs w:val="32"/>
          <w:highlight w:val="none"/>
        </w:rPr>
      </w:pPr>
    </w:p>
    <w:p w14:paraId="03022C72">
      <w:pPr>
        <w:snapToGrid w:val="0"/>
        <w:spacing w:line="360" w:lineRule="auto"/>
        <w:ind w:right="480"/>
        <w:jc w:val="center"/>
        <w:rPr>
          <w:rFonts w:ascii="仿宋" w:hAnsi="仿宋" w:eastAsia="仿宋" w:cs="仿宋"/>
          <w:b/>
          <w:color w:val="auto"/>
          <w:kern w:val="0"/>
          <w:sz w:val="32"/>
          <w:szCs w:val="32"/>
          <w:highlight w:val="none"/>
        </w:rPr>
      </w:pPr>
    </w:p>
    <w:p w14:paraId="5BBB82FE">
      <w:pPr>
        <w:snapToGrid w:val="0"/>
        <w:spacing w:line="360" w:lineRule="auto"/>
        <w:ind w:right="480"/>
        <w:jc w:val="center"/>
        <w:rPr>
          <w:rFonts w:ascii="仿宋" w:hAnsi="仿宋" w:eastAsia="仿宋" w:cs="仿宋"/>
          <w:b/>
          <w:color w:val="auto"/>
          <w:kern w:val="0"/>
          <w:sz w:val="32"/>
          <w:szCs w:val="32"/>
          <w:highlight w:val="none"/>
        </w:rPr>
      </w:pPr>
    </w:p>
    <w:p w14:paraId="7D8BBB4B">
      <w:pPr>
        <w:snapToGrid w:val="0"/>
        <w:spacing w:line="360" w:lineRule="auto"/>
        <w:ind w:right="480"/>
        <w:jc w:val="center"/>
        <w:rPr>
          <w:rFonts w:ascii="仿宋" w:hAnsi="仿宋" w:eastAsia="仿宋" w:cs="仿宋"/>
          <w:b/>
          <w:color w:val="auto"/>
          <w:kern w:val="0"/>
          <w:sz w:val="32"/>
          <w:szCs w:val="32"/>
          <w:highlight w:val="none"/>
        </w:rPr>
      </w:pPr>
    </w:p>
    <w:p w14:paraId="44850E42">
      <w:pPr>
        <w:snapToGrid w:val="0"/>
        <w:spacing w:line="360" w:lineRule="auto"/>
        <w:ind w:right="480"/>
        <w:jc w:val="center"/>
        <w:rPr>
          <w:rFonts w:ascii="仿宋" w:hAnsi="仿宋" w:eastAsia="仿宋" w:cs="仿宋"/>
          <w:b/>
          <w:color w:val="auto"/>
          <w:kern w:val="0"/>
          <w:sz w:val="32"/>
          <w:szCs w:val="32"/>
          <w:highlight w:val="none"/>
        </w:rPr>
      </w:pPr>
    </w:p>
    <w:p w14:paraId="26965DBA">
      <w:pPr>
        <w:snapToGrid w:val="0"/>
        <w:spacing w:line="360" w:lineRule="auto"/>
        <w:ind w:right="480"/>
        <w:jc w:val="center"/>
        <w:rPr>
          <w:rFonts w:ascii="仿宋" w:hAnsi="仿宋" w:eastAsia="仿宋" w:cs="仿宋"/>
          <w:b/>
          <w:color w:val="auto"/>
          <w:kern w:val="0"/>
          <w:sz w:val="32"/>
          <w:szCs w:val="32"/>
          <w:highlight w:val="none"/>
        </w:rPr>
      </w:pPr>
    </w:p>
    <w:p w14:paraId="2DA53030">
      <w:pPr>
        <w:snapToGrid w:val="0"/>
        <w:spacing w:line="360" w:lineRule="auto"/>
        <w:ind w:right="480"/>
        <w:jc w:val="center"/>
        <w:rPr>
          <w:rFonts w:ascii="仿宋" w:hAnsi="仿宋" w:eastAsia="仿宋" w:cs="仿宋"/>
          <w:b/>
          <w:color w:val="auto"/>
          <w:kern w:val="0"/>
          <w:sz w:val="32"/>
          <w:szCs w:val="32"/>
          <w:highlight w:val="none"/>
        </w:rPr>
      </w:pPr>
    </w:p>
    <w:p w14:paraId="21099D2A">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footerReference r:id="rId19" w:type="first"/>
          <w:headerReference r:id="rId17" w:type="default"/>
          <w:footerReference r:id="rId18" w:type="default"/>
          <w:pgSz w:w="11906" w:h="16838"/>
          <w:pgMar w:top="1440" w:right="1080" w:bottom="1440" w:left="1080" w:header="851" w:footer="992" w:gutter="0"/>
          <w:cols w:space="720" w:num="1"/>
          <w:titlePg/>
          <w:docGrid w:linePitch="312" w:charSpace="0"/>
        </w:sectPr>
      </w:pPr>
    </w:p>
    <w:p w14:paraId="2626E2D5">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一、报价单</w:t>
      </w:r>
    </w:p>
    <w:p w14:paraId="1F673B14">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杭州市公安局监所管理支队</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浙江信达咨询监理有限公司</w:t>
      </w:r>
      <w:r>
        <w:rPr>
          <w:rFonts w:hint="eastAsia" w:ascii="仿宋" w:hAnsi="仿宋" w:eastAsia="仿宋" w:cs="仿宋"/>
          <w:color w:val="auto"/>
          <w:kern w:val="0"/>
          <w:sz w:val="24"/>
          <w:highlight w:val="none"/>
          <w:lang w:val="zh-CN"/>
        </w:rPr>
        <w:t>：</w:t>
      </w:r>
    </w:p>
    <w:p w14:paraId="2FB2F8DA">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仿宋" w:hAnsi="仿宋" w:eastAsia="仿宋" w:cs="仿宋"/>
          <w:color w:val="auto"/>
          <w:sz w:val="24"/>
          <w:highlight w:val="none"/>
          <w:lang w:eastAsia="zh-CN"/>
        </w:rPr>
        <w:t>强制隔离戒毒所消防整改项目</w:t>
      </w:r>
      <w:r>
        <w:rPr>
          <w:rFonts w:hint="eastAsia" w:ascii="仿宋" w:hAnsi="仿宋" w:eastAsia="仿宋" w:cs="仿宋"/>
          <w:color w:val="auto"/>
          <w:kern w:val="0"/>
          <w:sz w:val="24"/>
          <w:highlight w:val="none"/>
          <w:lang w:val="zh-CN"/>
        </w:rPr>
        <w:t>【项目编号：</w:t>
      </w:r>
      <w:r>
        <w:rPr>
          <w:rFonts w:hint="eastAsia" w:ascii="仿宋" w:hAnsi="仿宋" w:eastAsia="仿宋" w:cs="仿宋"/>
          <w:color w:val="auto"/>
          <w:kern w:val="0"/>
          <w:sz w:val="24"/>
          <w:highlight w:val="none"/>
          <w:lang w:eastAsia="zh-CN"/>
        </w:rPr>
        <w:t>HZSGAJ-2024-24（代)</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3BBD5028">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0BAD4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2212AE2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项目名称</w:t>
            </w:r>
          </w:p>
        </w:tc>
        <w:tc>
          <w:tcPr>
            <w:tcW w:w="1843" w:type="dxa"/>
          </w:tcPr>
          <w:p w14:paraId="0F1D6E82">
            <w:pPr>
              <w:spacing w:line="360" w:lineRule="auto"/>
              <w:jc w:val="center"/>
              <w:rPr>
                <w:rFonts w:ascii="仿宋" w:hAnsi="仿宋" w:eastAsia="仿宋" w:cs="仿宋"/>
                <w:b/>
                <w:color w:val="auto"/>
                <w:sz w:val="24"/>
                <w:highlight w:val="none"/>
              </w:rPr>
            </w:pPr>
          </w:p>
          <w:p w14:paraId="20C86FAF">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施工范围</w:t>
            </w:r>
          </w:p>
        </w:tc>
        <w:tc>
          <w:tcPr>
            <w:tcW w:w="3118" w:type="dxa"/>
            <w:vAlign w:val="center"/>
          </w:tcPr>
          <w:p w14:paraId="2E4754D1">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施工工期</w:t>
            </w:r>
          </w:p>
        </w:tc>
        <w:tc>
          <w:tcPr>
            <w:tcW w:w="2552" w:type="dxa"/>
            <w:vAlign w:val="center"/>
          </w:tcPr>
          <w:p w14:paraId="221201E2">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项目负责人</w:t>
            </w:r>
          </w:p>
        </w:tc>
        <w:tc>
          <w:tcPr>
            <w:tcW w:w="1984" w:type="dxa"/>
            <w:vAlign w:val="center"/>
          </w:tcPr>
          <w:p w14:paraId="5EC9F80E">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执业证书信息</w:t>
            </w:r>
          </w:p>
        </w:tc>
        <w:tc>
          <w:tcPr>
            <w:tcW w:w="3119" w:type="dxa"/>
            <w:vAlign w:val="center"/>
          </w:tcPr>
          <w:p w14:paraId="4230CF26">
            <w:pPr>
              <w:spacing w:line="360" w:lineRule="auto"/>
              <w:jc w:val="center"/>
              <w:rPr>
                <w:rFonts w:ascii="仿宋" w:hAnsi="仿宋" w:eastAsia="仿宋" w:cs="仿宋"/>
                <w:b/>
                <w:color w:val="auto"/>
                <w:sz w:val="24"/>
                <w:highlight w:val="none"/>
              </w:rPr>
            </w:pPr>
          </w:p>
          <w:p w14:paraId="1B7ED64D">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7AE0E8AD">
            <w:pPr>
              <w:spacing w:line="360" w:lineRule="auto"/>
              <w:jc w:val="center"/>
              <w:rPr>
                <w:rFonts w:ascii="仿宋" w:hAnsi="仿宋" w:eastAsia="仿宋" w:cs="仿宋"/>
                <w:b/>
                <w:color w:val="auto"/>
                <w:sz w:val="24"/>
                <w:highlight w:val="none"/>
              </w:rPr>
            </w:pPr>
          </w:p>
        </w:tc>
      </w:tr>
      <w:tr w14:paraId="275A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4E1E0369">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强制隔离戒毒所消防整改项目</w:t>
            </w:r>
          </w:p>
        </w:tc>
        <w:tc>
          <w:tcPr>
            <w:tcW w:w="1843" w:type="dxa"/>
            <w:vAlign w:val="center"/>
          </w:tcPr>
          <w:p w14:paraId="36BFE675">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工程量清单、图纸所包含的全部内容</w:t>
            </w:r>
          </w:p>
        </w:tc>
        <w:tc>
          <w:tcPr>
            <w:tcW w:w="3118" w:type="dxa"/>
            <w:vAlign w:val="center"/>
          </w:tcPr>
          <w:p w14:paraId="48AB1876">
            <w:pPr>
              <w:snapToGrid w:val="0"/>
              <w:spacing w:line="360" w:lineRule="auto"/>
              <w:jc w:val="center"/>
              <w:rPr>
                <w:rFonts w:ascii="仿宋" w:hAnsi="仿宋" w:eastAsia="仿宋" w:cs="仿宋"/>
                <w:color w:val="auto"/>
                <w:sz w:val="24"/>
                <w:highlight w:val="none"/>
              </w:rPr>
            </w:pPr>
          </w:p>
        </w:tc>
        <w:tc>
          <w:tcPr>
            <w:tcW w:w="2552" w:type="dxa"/>
            <w:vAlign w:val="center"/>
          </w:tcPr>
          <w:p w14:paraId="225086D8">
            <w:pPr>
              <w:spacing w:line="360" w:lineRule="auto"/>
              <w:jc w:val="center"/>
              <w:rPr>
                <w:rFonts w:ascii="仿宋" w:hAnsi="仿宋" w:eastAsia="仿宋" w:cs="仿宋"/>
                <w:color w:val="auto"/>
                <w:sz w:val="24"/>
                <w:highlight w:val="none"/>
              </w:rPr>
            </w:pPr>
          </w:p>
        </w:tc>
        <w:tc>
          <w:tcPr>
            <w:tcW w:w="1984" w:type="dxa"/>
            <w:vAlign w:val="center"/>
          </w:tcPr>
          <w:p w14:paraId="002D4ECD">
            <w:pPr>
              <w:spacing w:line="360" w:lineRule="auto"/>
              <w:jc w:val="center"/>
              <w:rPr>
                <w:rFonts w:ascii="仿宋" w:hAnsi="仿宋" w:eastAsia="仿宋" w:cs="仿宋"/>
                <w:color w:val="auto"/>
                <w:sz w:val="24"/>
                <w:highlight w:val="none"/>
              </w:rPr>
            </w:pPr>
          </w:p>
        </w:tc>
        <w:tc>
          <w:tcPr>
            <w:tcW w:w="3119" w:type="dxa"/>
            <w:vAlign w:val="center"/>
          </w:tcPr>
          <w:p w14:paraId="4B8AA21E">
            <w:pPr>
              <w:spacing w:line="360" w:lineRule="auto"/>
              <w:jc w:val="center"/>
              <w:rPr>
                <w:rFonts w:ascii="仿宋" w:hAnsi="仿宋" w:eastAsia="仿宋" w:cs="仿宋"/>
                <w:color w:val="auto"/>
                <w:sz w:val="24"/>
                <w:highlight w:val="none"/>
              </w:rPr>
            </w:pPr>
          </w:p>
        </w:tc>
      </w:tr>
      <w:tr w14:paraId="5906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7906AFDD">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磋商报价（小写）</w:t>
            </w:r>
          </w:p>
        </w:tc>
        <w:tc>
          <w:tcPr>
            <w:tcW w:w="7655" w:type="dxa"/>
            <w:gridSpan w:val="3"/>
            <w:vAlign w:val="center"/>
          </w:tcPr>
          <w:p w14:paraId="35C141F2">
            <w:pPr>
              <w:spacing w:line="360" w:lineRule="auto"/>
              <w:jc w:val="center"/>
              <w:rPr>
                <w:rFonts w:ascii="仿宋" w:hAnsi="仿宋" w:eastAsia="仿宋" w:cs="仿宋"/>
                <w:color w:val="auto"/>
                <w:sz w:val="24"/>
                <w:highlight w:val="none"/>
              </w:rPr>
            </w:pPr>
          </w:p>
        </w:tc>
      </w:tr>
      <w:tr w14:paraId="78F0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25677AA7">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磋商报价（大写）</w:t>
            </w:r>
          </w:p>
        </w:tc>
        <w:tc>
          <w:tcPr>
            <w:tcW w:w="7655" w:type="dxa"/>
            <w:gridSpan w:val="3"/>
            <w:vAlign w:val="center"/>
          </w:tcPr>
          <w:p w14:paraId="5BC448BF">
            <w:pPr>
              <w:spacing w:line="360" w:lineRule="auto"/>
              <w:jc w:val="center"/>
              <w:rPr>
                <w:rFonts w:ascii="仿宋" w:hAnsi="仿宋" w:eastAsia="仿宋" w:cs="仿宋"/>
                <w:color w:val="auto"/>
                <w:sz w:val="24"/>
                <w:highlight w:val="none"/>
              </w:rPr>
            </w:pPr>
          </w:p>
        </w:tc>
      </w:tr>
    </w:tbl>
    <w:p w14:paraId="37EA1052">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58A22E62">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1、供应商需按本表格式填写，否则视为响应文件含有采购人不能接受的附加条件，响应文件无效。</w:t>
      </w:r>
    </w:p>
    <w:p w14:paraId="7B44E585">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报价单》名称栏中，供应商不能作出合理解释的，视为响应文件含有采购人不能接受的附加条件的，响应文件无效。</w:t>
      </w:r>
    </w:p>
    <w:p w14:paraId="1E4E689C">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3、特别提示：采购代理机构将对项目名称和项目编号，成交供应商名称、地址和成交金额、施工范围、施工工期、项目负责人、执业证书信息、品牌（如果有）、规格型号、数量、单价等予以公示。</w:t>
      </w:r>
    </w:p>
    <w:p w14:paraId="5DA6CA98">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1D021B3">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14:paraId="6081CE14">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53FD9BAC">
      <w:pPr>
        <w:pStyle w:val="692"/>
        <w:keepNext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仿宋" w:hAnsi="仿宋" w:eastAsia="仿宋" w:cs="仿宋"/>
          <w:color w:val="auto"/>
          <w:kern w:val="2"/>
          <w:sz w:val="32"/>
          <w:szCs w:val="32"/>
          <w:highlight w:val="none"/>
        </w:rPr>
        <w:t>二、报价情况说明（如果有）</w:t>
      </w:r>
    </w:p>
    <w:p w14:paraId="5063FEA3">
      <w:pPr>
        <w:snapToGrid w:val="0"/>
        <w:spacing w:before="120" w:after="120"/>
        <w:rPr>
          <w:color w:val="auto"/>
          <w:highlight w:val="none"/>
        </w:rPr>
      </w:pPr>
    </w:p>
    <w:p w14:paraId="1D621ACF">
      <w:pPr>
        <w:tabs>
          <w:tab w:val="left" w:pos="1313"/>
        </w:tabs>
        <w:snapToGrid w:val="0"/>
        <w:spacing w:before="120" w:after="120"/>
        <w:jc w:val="left"/>
        <w:rPr>
          <w:rFonts w:ascii="宋体" w:hAnsi="宋体" w:cs="宋体"/>
          <w:color w:val="auto"/>
          <w:sz w:val="24"/>
          <w:highlight w:val="none"/>
        </w:rPr>
      </w:pPr>
      <w:r>
        <w:rPr>
          <w:rFonts w:hint="eastAsia" w:ascii="仿宋" w:hAnsi="仿宋" w:eastAsia="仿宋" w:cs="仿宋"/>
          <w:color w:val="auto"/>
          <w:sz w:val="24"/>
          <w:highlight w:val="none"/>
        </w:rPr>
        <w:t>（如供应商报价低于项目预算50%的，应当提交本文档，详细阐述不影响产品质量或者诚信履约的具体原因）</w:t>
      </w:r>
    </w:p>
    <w:p w14:paraId="3FEFD54C">
      <w:pP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5D650002">
      <w:pPr>
        <w:pStyle w:val="692"/>
        <w:keepNext w:val="0"/>
        <w:pageBreakBefore w:val="0"/>
        <w:tabs>
          <w:tab w:val="clear" w:pos="720"/>
        </w:tabs>
        <w:snapToGrid w:val="0"/>
        <w:spacing w:before="120" w:after="120"/>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三、已标价工程量清单</w:t>
      </w:r>
    </w:p>
    <w:p w14:paraId="7B4CC362">
      <w:pPr>
        <w:ind w:right="420"/>
        <w:rPr>
          <w:rFonts w:ascii="仿宋" w:hAnsi="仿宋" w:eastAsia="仿宋" w:cs="仿宋"/>
          <w:color w:val="auto"/>
          <w:sz w:val="24"/>
          <w:highlight w:val="none"/>
        </w:rPr>
      </w:pPr>
      <w:r>
        <w:rPr>
          <w:rFonts w:hint="eastAsia" w:ascii="仿宋" w:hAnsi="仿宋" w:eastAsia="仿宋" w:cs="仿宋"/>
          <w:color w:val="auto"/>
          <w:sz w:val="24"/>
          <w:highlight w:val="none"/>
        </w:rPr>
        <w:t xml:space="preserve">注：按采购文件工程量清单编制 </w:t>
      </w:r>
    </w:p>
    <w:p w14:paraId="1FACC168">
      <w:pPr>
        <w:pStyle w:val="61"/>
        <w:ind w:firstLine="480"/>
        <w:rPr>
          <w:rFonts w:ascii="仿宋" w:hAnsi="仿宋" w:eastAsia="仿宋" w:cs="仿宋"/>
          <w:color w:val="auto"/>
          <w:sz w:val="24"/>
          <w:highlight w:val="none"/>
        </w:rPr>
      </w:pPr>
    </w:p>
    <w:p w14:paraId="258CE8DE">
      <w:pPr>
        <w:pStyle w:val="61"/>
        <w:ind w:firstLine="480"/>
        <w:rPr>
          <w:rFonts w:ascii="仿宋" w:hAnsi="仿宋" w:eastAsia="仿宋" w:cs="仿宋"/>
          <w:color w:val="auto"/>
          <w:sz w:val="24"/>
          <w:highlight w:val="none"/>
        </w:rPr>
        <w:sectPr>
          <w:footerReference r:id="rId23" w:type="first"/>
          <w:headerReference r:id="rId20" w:type="default"/>
          <w:footerReference r:id="rId21" w:type="default"/>
          <w:footerReference r:id="rId22" w:type="even"/>
          <w:pgSz w:w="11906" w:h="16838"/>
          <w:pgMar w:top="1440" w:right="1080" w:bottom="1440" w:left="1080" w:header="851" w:footer="992" w:gutter="0"/>
          <w:cols w:space="720" w:num="1"/>
          <w:titlePg/>
          <w:docGrid w:linePitch="312" w:charSpace="0"/>
        </w:sectPr>
      </w:pPr>
    </w:p>
    <w:p w14:paraId="41B21125">
      <w:pPr>
        <w:pStyle w:val="692"/>
        <w:keepNext w:val="0"/>
        <w:pageBreakBefore w:val="0"/>
        <w:tabs>
          <w:tab w:val="clear" w:pos="720"/>
        </w:tabs>
        <w:snapToGrid w:val="0"/>
        <w:spacing w:before="120" w:after="120"/>
        <w:ind w:firstLine="643"/>
        <w:outlineLvl w:val="9"/>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四、</w:t>
      </w:r>
      <w:r>
        <w:rPr>
          <w:rFonts w:hint="eastAsia" w:ascii="仿宋" w:hAnsi="仿宋" w:eastAsia="仿宋" w:cs="仿宋"/>
          <w:color w:val="auto"/>
          <w:sz w:val="32"/>
          <w:szCs w:val="32"/>
          <w:highlight w:val="none"/>
        </w:rPr>
        <w:t>中小企业声明函</w:t>
      </w:r>
      <w:bookmarkStart w:id="1001" w:name="_Hlk101259491"/>
      <w:r>
        <w:rPr>
          <w:rFonts w:hint="eastAsia" w:ascii="仿宋" w:hAnsi="仿宋" w:eastAsia="仿宋" w:cs="仿宋"/>
          <w:color w:val="auto"/>
          <w:sz w:val="32"/>
          <w:szCs w:val="32"/>
          <w:highlight w:val="none"/>
        </w:rPr>
        <w:t>（如果有）</w:t>
      </w:r>
      <w:bookmarkEnd w:id="1001"/>
    </w:p>
    <w:p w14:paraId="37FB242E">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DFB151B">
      <w:pPr>
        <w:widowControl/>
        <w:adjustRightInd/>
        <w:jc w:val="left"/>
        <w:rPr>
          <w:rFonts w:ascii="仿宋" w:hAnsi="仿宋" w:eastAsia="仿宋" w:cs="仿宋"/>
          <w:b/>
          <w:color w:val="auto"/>
          <w:kern w:val="0"/>
          <w:sz w:val="36"/>
          <w:szCs w:val="36"/>
          <w:highlight w:val="none"/>
        </w:rPr>
      </w:pPr>
      <w:bookmarkStart w:id="1002" w:name="_Toc465665161"/>
      <w:r>
        <w:rPr>
          <w:rFonts w:ascii="仿宋" w:hAnsi="仿宋" w:eastAsia="仿宋" w:cs="仿宋"/>
          <w:b/>
          <w:color w:val="auto"/>
          <w:kern w:val="0"/>
          <w:sz w:val="36"/>
          <w:szCs w:val="36"/>
          <w:highlight w:val="none"/>
        </w:rPr>
        <w:br w:type="page"/>
      </w:r>
    </w:p>
    <w:p w14:paraId="011966E1">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附件</w:t>
      </w:r>
      <w:bookmarkEnd w:id="1002"/>
    </w:p>
    <w:p w14:paraId="52C540DA">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7B514AB8">
      <w:pPr>
        <w:spacing w:line="360" w:lineRule="auto"/>
        <w:jc w:val="center"/>
        <w:rPr>
          <w:rFonts w:ascii="仿宋" w:hAnsi="仿宋" w:eastAsia="仿宋" w:cs="仿宋"/>
          <w:b/>
          <w:color w:val="auto"/>
          <w:spacing w:val="6"/>
          <w:sz w:val="32"/>
          <w:szCs w:val="32"/>
          <w:highlight w:val="none"/>
        </w:rPr>
      </w:pPr>
      <w:bookmarkStart w:id="1003" w:name="OLE_LINK14"/>
      <w:bookmarkStart w:id="1004" w:name="OLE_LINK13"/>
      <w:r>
        <w:rPr>
          <w:rFonts w:hint="eastAsia" w:ascii="仿宋" w:hAnsi="仿宋" w:eastAsia="仿宋" w:cs="仿宋"/>
          <w:b/>
          <w:color w:val="auto"/>
          <w:spacing w:val="6"/>
          <w:sz w:val="32"/>
          <w:szCs w:val="32"/>
          <w:highlight w:val="none"/>
        </w:rPr>
        <w:t>残疾人福利性单位声明函</w:t>
      </w:r>
    </w:p>
    <w:bookmarkEnd w:id="1003"/>
    <w:bookmarkEnd w:id="1004"/>
    <w:p w14:paraId="4FEC47D2">
      <w:pPr>
        <w:spacing w:line="360" w:lineRule="auto"/>
        <w:rPr>
          <w:rFonts w:ascii="仿宋" w:hAnsi="仿宋" w:eastAsia="仿宋" w:cs="仿宋"/>
          <w:b/>
          <w:color w:val="auto"/>
          <w:spacing w:val="6"/>
          <w:sz w:val="30"/>
          <w:szCs w:val="30"/>
          <w:highlight w:val="none"/>
        </w:rPr>
      </w:pPr>
    </w:p>
    <w:p w14:paraId="76187D0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A0995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1AA1A476">
      <w:pPr>
        <w:spacing w:line="360" w:lineRule="auto"/>
        <w:ind w:firstLine="480" w:firstLineChars="200"/>
        <w:rPr>
          <w:rFonts w:ascii="仿宋" w:hAnsi="仿宋" w:eastAsia="仿宋" w:cs="仿宋"/>
          <w:color w:val="auto"/>
          <w:sz w:val="24"/>
          <w:highlight w:val="none"/>
        </w:rPr>
      </w:pPr>
    </w:p>
    <w:p w14:paraId="7635B11F">
      <w:pPr>
        <w:spacing w:line="360" w:lineRule="auto"/>
        <w:ind w:firstLine="480" w:firstLineChars="200"/>
        <w:rPr>
          <w:rFonts w:ascii="仿宋" w:hAnsi="仿宋" w:eastAsia="仿宋" w:cs="仿宋"/>
          <w:color w:val="auto"/>
          <w:sz w:val="24"/>
          <w:highlight w:val="none"/>
        </w:rPr>
      </w:pPr>
    </w:p>
    <w:p w14:paraId="25577B55">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供应商名称（电子签名）</w:t>
      </w:r>
      <w:r>
        <w:rPr>
          <w:rFonts w:hint="eastAsia" w:ascii="仿宋" w:hAnsi="仿宋" w:eastAsia="仿宋" w:cs="仿宋"/>
          <w:color w:val="auto"/>
          <w:sz w:val="24"/>
          <w:highlight w:val="none"/>
        </w:rPr>
        <w:t>：</w:t>
      </w:r>
    </w:p>
    <w:p w14:paraId="424BF47D">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03645EF8">
      <w:pPr>
        <w:spacing w:line="360" w:lineRule="auto"/>
        <w:ind w:firstLine="480" w:firstLineChars="200"/>
        <w:rPr>
          <w:rFonts w:ascii="仿宋" w:hAnsi="仿宋" w:eastAsia="仿宋" w:cs="仿宋"/>
          <w:color w:val="auto"/>
          <w:sz w:val="24"/>
          <w:highlight w:val="none"/>
        </w:rPr>
      </w:pPr>
    </w:p>
    <w:p w14:paraId="7C1516EE">
      <w:pPr>
        <w:spacing w:line="360" w:lineRule="auto"/>
        <w:ind w:firstLine="420" w:firstLineChars="200"/>
        <w:rPr>
          <w:rFonts w:ascii="仿宋" w:hAnsi="仿宋" w:eastAsia="仿宋" w:cs="仿宋"/>
          <w:color w:val="auto"/>
          <w:highlight w:val="none"/>
        </w:rPr>
      </w:pPr>
    </w:p>
    <w:p w14:paraId="593963BA">
      <w:pPr>
        <w:spacing w:line="360" w:lineRule="auto"/>
        <w:ind w:firstLine="420" w:firstLineChars="200"/>
        <w:rPr>
          <w:rFonts w:ascii="仿宋" w:hAnsi="仿宋" w:eastAsia="仿宋" w:cs="仿宋"/>
          <w:color w:val="auto"/>
          <w:highlight w:val="none"/>
        </w:rPr>
      </w:pPr>
    </w:p>
    <w:p w14:paraId="436F89AB">
      <w:pPr>
        <w:spacing w:line="360" w:lineRule="auto"/>
        <w:ind w:firstLine="420" w:firstLineChars="200"/>
        <w:rPr>
          <w:rFonts w:ascii="仿宋" w:hAnsi="仿宋" w:eastAsia="仿宋" w:cs="仿宋"/>
          <w:color w:val="auto"/>
          <w:highlight w:val="none"/>
        </w:rPr>
      </w:pPr>
    </w:p>
    <w:p w14:paraId="2179039B">
      <w:pPr>
        <w:spacing w:line="360" w:lineRule="auto"/>
        <w:ind w:firstLine="420" w:firstLineChars="200"/>
        <w:rPr>
          <w:rFonts w:ascii="仿宋" w:hAnsi="仿宋" w:eastAsia="仿宋" w:cs="仿宋"/>
          <w:color w:val="auto"/>
          <w:highlight w:val="none"/>
        </w:rPr>
      </w:pPr>
    </w:p>
    <w:p w14:paraId="5BBF2AA5">
      <w:pPr>
        <w:spacing w:line="360" w:lineRule="auto"/>
        <w:rPr>
          <w:rFonts w:ascii="仿宋" w:hAnsi="仿宋" w:eastAsia="仿宋" w:cs="仿宋"/>
          <w:b/>
          <w:color w:val="auto"/>
          <w:sz w:val="24"/>
          <w:highlight w:val="none"/>
        </w:rPr>
      </w:pPr>
    </w:p>
    <w:p w14:paraId="4C80882D">
      <w:pPr>
        <w:spacing w:line="360" w:lineRule="auto"/>
        <w:rPr>
          <w:rFonts w:ascii="仿宋" w:hAnsi="仿宋" w:eastAsia="仿宋" w:cs="仿宋"/>
          <w:b/>
          <w:color w:val="auto"/>
          <w:sz w:val="24"/>
          <w:highlight w:val="none"/>
        </w:rPr>
      </w:pPr>
    </w:p>
    <w:p w14:paraId="0800D2FA">
      <w:pPr>
        <w:spacing w:line="360" w:lineRule="auto"/>
        <w:rPr>
          <w:rFonts w:ascii="仿宋" w:hAnsi="仿宋" w:eastAsia="仿宋" w:cs="仿宋"/>
          <w:b/>
          <w:color w:val="auto"/>
          <w:sz w:val="24"/>
          <w:highlight w:val="none"/>
        </w:rPr>
      </w:pPr>
    </w:p>
    <w:p w14:paraId="7644C313">
      <w:pPr>
        <w:spacing w:line="360" w:lineRule="auto"/>
        <w:rPr>
          <w:rFonts w:ascii="仿宋" w:hAnsi="仿宋" w:eastAsia="仿宋" w:cs="仿宋"/>
          <w:b/>
          <w:color w:val="auto"/>
          <w:sz w:val="24"/>
          <w:highlight w:val="none"/>
        </w:rPr>
      </w:pPr>
    </w:p>
    <w:p w14:paraId="26C04DA1">
      <w:pPr>
        <w:spacing w:line="360" w:lineRule="auto"/>
        <w:rPr>
          <w:rFonts w:ascii="仿宋" w:hAnsi="仿宋" w:eastAsia="仿宋" w:cs="仿宋"/>
          <w:b/>
          <w:color w:val="auto"/>
          <w:sz w:val="24"/>
          <w:highlight w:val="none"/>
        </w:rPr>
      </w:pPr>
    </w:p>
    <w:p w14:paraId="6BC0C54F">
      <w:pPr>
        <w:spacing w:line="360" w:lineRule="auto"/>
        <w:rPr>
          <w:rFonts w:ascii="仿宋" w:hAnsi="仿宋" w:eastAsia="仿宋" w:cs="仿宋"/>
          <w:b/>
          <w:color w:val="auto"/>
          <w:sz w:val="24"/>
          <w:highlight w:val="none"/>
        </w:rPr>
      </w:pPr>
    </w:p>
    <w:p w14:paraId="50B9BAD9">
      <w:pPr>
        <w:spacing w:line="360" w:lineRule="auto"/>
        <w:rPr>
          <w:rFonts w:ascii="仿宋" w:hAnsi="仿宋" w:eastAsia="仿宋" w:cs="仿宋"/>
          <w:b/>
          <w:color w:val="auto"/>
          <w:sz w:val="24"/>
          <w:highlight w:val="none"/>
        </w:rPr>
      </w:pPr>
    </w:p>
    <w:p w14:paraId="0BBC9F2F">
      <w:pPr>
        <w:spacing w:line="360" w:lineRule="auto"/>
        <w:rPr>
          <w:rFonts w:ascii="仿宋" w:hAnsi="仿宋" w:eastAsia="仿宋" w:cs="仿宋"/>
          <w:b/>
          <w:color w:val="auto"/>
          <w:sz w:val="24"/>
          <w:highlight w:val="none"/>
        </w:rPr>
      </w:pPr>
    </w:p>
    <w:p w14:paraId="70EBA7ED">
      <w:pPr>
        <w:widowControl/>
        <w:adjustRightInd/>
        <w:jc w:val="left"/>
        <w:rPr>
          <w:rFonts w:ascii="仿宋" w:hAnsi="仿宋" w:eastAsia="仿宋" w:cs="仿宋"/>
          <w:b/>
          <w:color w:val="auto"/>
          <w:spacing w:val="6"/>
          <w:sz w:val="32"/>
          <w:szCs w:val="32"/>
          <w:highlight w:val="none"/>
        </w:rPr>
      </w:pPr>
      <w:r>
        <w:rPr>
          <w:rFonts w:ascii="仿宋" w:hAnsi="仿宋" w:eastAsia="仿宋" w:cs="仿宋"/>
          <w:b/>
          <w:color w:val="auto"/>
          <w:spacing w:val="6"/>
          <w:sz w:val="32"/>
          <w:szCs w:val="32"/>
          <w:highlight w:val="none"/>
        </w:rPr>
        <w:br w:type="page"/>
      </w:r>
    </w:p>
    <w:p w14:paraId="6DD43E6B">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45E95045">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64F78F1B">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70D597F9">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684F468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14:paraId="4D6DCFE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345CA40E">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3C5A6AF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14:paraId="3A0E9AD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 邮编：</w:t>
      </w:r>
    </w:p>
    <w:p w14:paraId="34B5A13A">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135B37D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113C51D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3FE6EC6A">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2D98D24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3A083B7F">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0B254C86">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14:paraId="0500BF26">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7F82EA6C">
      <w:pPr>
        <w:snapToGrid w:val="0"/>
        <w:spacing w:line="360" w:lineRule="auto"/>
        <w:rPr>
          <w:rFonts w:ascii="仿宋" w:hAnsi="仿宋" w:eastAsia="仿宋" w:cs="仿宋"/>
          <w:color w:val="auto"/>
          <w:sz w:val="24"/>
          <w:highlight w:val="none"/>
        </w:rPr>
      </w:pPr>
    </w:p>
    <w:p w14:paraId="5B18F330">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43483A3C">
      <w:pPr>
        <w:snapToGrid w:val="0"/>
        <w:spacing w:line="360" w:lineRule="auto"/>
        <w:rPr>
          <w:rFonts w:ascii="仿宋" w:hAnsi="仿宋" w:eastAsia="仿宋" w:cs="仿宋"/>
          <w:color w:val="auto"/>
          <w:sz w:val="24"/>
          <w:highlight w:val="none"/>
          <w:u w:val="dotted"/>
        </w:rPr>
      </w:pPr>
    </w:p>
    <w:p w14:paraId="55C2D300">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0CE0F2A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4FAD72BA">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5B534504">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4CB561E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F16154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448334E">
      <w:pPr>
        <w:spacing w:line="360" w:lineRule="auto"/>
        <w:jc w:val="center"/>
        <w:rPr>
          <w:rFonts w:ascii="仿宋" w:hAnsi="仿宋" w:eastAsia="仿宋" w:cs="仿宋"/>
          <w:b/>
          <w:bCs/>
          <w:color w:val="auto"/>
          <w:sz w:val="24"/>
          <w:highlight w:val="none"/>
        </w:rPr>
      </w:pPr>
    </w:p>
    <w:p w14:paraId="73DA3C1E">
      <w:pPr>
        <w:spacing w:line="360" w:lineRule="auto"/>
        <w:rPr>
          <w:rFonts w:ascii="仿宋" w:hAnsi="仿宋" w:eastAsia="仿宋" w:cs="仿宋"/>
          <w:b/>
          <w:color w:val="auto"/>
          <w:sz w:val="24"/>
          <w:highlight w:val="none"/>
        </w:rPr>
      </w:pPr>
    </w:p>
    <w:p w14:paraId="0C091187">
      <w:pPr>
        <w:spacing w:line="360" w:lineRule="auto"/>
        <w:rPr>
          <w:rFonts w:ascii="仿宋" w:hAnsi="仿宋" w:eastAsia="仿宋" w:cs="仿宋"/>
          <w:b/>
          <w:color w:val="auto"/>
          <w:sz w:val="24"/>
          <w:highlight w:val="none"/>
        </w:rPr>
      </w:pPr>
    </w:p>
    <w:p w14:paraId="422D9EF0">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DC1B012">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619D4B48">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6588893">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73E0505D">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7FE33D7B">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6EA68ECB">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2D1C12D2">
      <w:pPr>
        <w:widowControl/>
        <w:spacing w:line="360" w:lineRule="auto"/>
        <w:ind w:firstLine="600" w:firstLineChars="200"/>
        <w:jc w:val="left"/>
        <w:rPr>
          <w:rFonts w:ascii="仿宋" w:hAnsi="仿宋" w:eastAsia="仿宋" w:cs="仿宋"/>
          <w:color w:val="auto"/>
          <w:sz w:val="30"/>
          <w:szCs w:val="30"/>
          <w:highlight w:val="none"/>
        </w:rPr>
      </w:pPr>
    </w:p>
    <w:p w14:paraId="2D8BB0BE">
      <w:pPr>
        <w:spacing w:line="360" w:lineRule="auto"/>
        <w:jc w:val="center"/>
        <w:rPr>
          <w:rFonts w:ascii="仿宋" w:hAnsi="仿宋" w:eastAsia="仿宋" w:cs="仿宋"/>
          <w:b/>
          <w:color w:val="auto"/>
          <w:spacing w:val="6"/>
          <w:sz w:val="32"/>
          <w:szCs w:val="32"/>
          <w:highlight w:val="none"/>
        </w:rPr>
      </w:pPr>
    </w:p>
    <w:p w14:paraId="694F4948">
      <w:pPr>
        <w:spacing w:line="360" w:lineRule="auto"/>
        <w:jc w:val="center"/>
        <w:rPr>
          <w:rFonts w:ascii="仿宋" w:hAnsi="仿宋" w:eastAsia="仿宋" w:cs="仿宋"/>
          <w:b/>
          <w:color w:val="auto"/>
          <w:spacing w:val="6"/>
          <w:sz w:val="32"/>
          <w:szCs w:val="32"/>
          <w:highlight w:val="none"/>
        </w:rPr>
      </w:pPr>
    </w:p>
    <w:p w14:paraId="47B377EC">
      <w:pPr>
        <w:spacing w:line="360" w:lineRule="auto"/>
        <w:jc w:val="center"/>
        <w:rPr>
          <w:rFonts w:ascii="仿宋" w:hAnsi="仿宋" w:eastAsia="仿宋" w:cs="仿宋"/>
          <w:b/>
          <w:color w:val="auto"/>
          <w:spacing w:val="6"/>
          <w:sz w:val="32"/>
          <w:szCs w:val="32"/>
          <w:highlight w:val="none"/>
        </w:rPr>
      </w:pPr>
    </w:p>
    <w:p w14:paraId="60AEF18E">
      <w:pPr>
        <w:spacing w:line="360" w:lineRule="auto"/>
        <w:jc w:val="center"/>
        <w:rPr>
          <w:rFonts w:ascii="仿宋" w:hAnsi="仿宋" w:eastAsia="仿宋" w:cs="仿宋"/>
          <w:b/>
          <w:color w:val="auto"/>
          <w:spacing w:val="6"/>
          <w:sz w:val="32"/>
          <w:szCs w:val="32"/>
          <w:highlight w:val="none"/>
        </w:rPr>
      </w:pPr>
    </w:p>
    <w:p w14:paraId="7075D268">
      <w:pPr>
        <w:spacing w:line="360" w:lineRule="auto"/>
        <w:jc w:val="center"/>
        <w:rPr>
          <w:rFonts w:ascii="仿宋" w:hAnsi="仿宋" w:eastAsia="仿宋" w:cs="仿宋"/>
          <w:b/>
          <w:color w:val="auto"/>
          <w:spacing w:val="6"/>
          <w:sz w:val="32"/>
          <w:szCs w:val="32"/>
          <w:highlight w:val="none"/>
        </w:rPr>
      </w:pPr>
    </w:p>
    <w:p w14:paraId="42411B5F">
      <w:pPr>
        <w:spacing w:line="360" w:lineRule="auto"/>
        <w:jc w:val="center"/>
        <w:rPr>
          <w:rFonts w:ascii="仿宋" w:hAnsi="仿宋" w:eastAsia="仿宋" w:cs="仿宋"/>
          <w:b/>
          <w:color w:val="auto"/>
          <w:spacing w:val="6"/>
          <w:sz w:val="32"/>
          <w:szCs w:val="32"/>
          <w:highlight w:val="none"/>
        </w:rPr>
      </w:pPr>
    </w:p>
    <w:p w14:paraId="101895B1">
      <w:pPr>
        <w:spacing w:line="360" w:lineRule="auto"/>
        <w:jc w:val="center"/>
        <w:rPr>
          <w:rFonts w:ascii="仿宋" w:hAnsi="仿宋" w:eastAsia="仿宋" w:cs="仿宋"/>
          <w:b/>
          <w:color w:val="auto"/>
          <w:spacing w:val="6"/>
          <w:sz w:val="32"/>
          <w:szCs w:val="32"/>
          <w:highlight w:val="none"/>
        </w:rPr>
      </w:pPr>
    </w:p>
    <w:p w14:paraId="39D80E23">
      <w:pPr>
        <w:spacing w:line="360" w:lineRule="auto"/>
        <w:jc w:val="center"/>
        <w:rPr>
          <w:rFonts w:ascii="仿宋" w:hAnsi="仿宋" w:eastAsia="仿宋" w:cs="仿宋"/>
          <w:b/>
          <w:color w:val="auto"/>
          <w:spacing w:val="6"/>
          <w:sz w:val="32"/>
          <w:szCs w:val="32"/>
          <w:highlight w:val="none"/>
        </w:rPr>
      </w:pPr>
    </w:p>
    <w:p w14:paraId="19499DB0">
      <w:pPr>
        <w:spacing w:line="360" w:lineRule="auto"/>
        <w:jc w:val="center"/>
        <w:rPr>
          <w:rFonts w:ascii="仿宋" w:hAnsi="仿宋" w:eastAsia="仿宋" w:cs="仿宋"/>
          <w:b/>
          <w:color w:val="auto"/>
          <w:spacing w:val="6"/>
          <w:sz w:val="32"/>
          <w:szCs w:val="32"/>
          <w:highlight w:val="none"/>
        </w:rPr>
      </w:pPr>
    </w:p>
    <w:p w14:paraId="6B2D5FDF">
      <w:pPr>
        <w:spacing w:line="360" w:lineRule="auto"/>
        <w:jc w:val="center"/>
        <w:rPr>
          <w:rFonts w:ascii="仿宋" w:hAnsi="仿宋" w:eastAsia="仿宋" w:cs="仿宋"/>
          <w:b/>
          <w:color w:val="auto"/>
          <w:spacing w:val="6"/>
          <w:sz w:val="32"/>
          <w:szCs w:val="32"/>
          <w:highlight w:val="none"/>
        </w:rPr>
      </w:pPr>
    </w:p>
    <w:p w14:paraId="22E889D4">
      <w:pPr>
        <w:spacing w:line="360" w:lineRule="auto"/>
        <w:jc w:val="center"/>
        <w:rPr>
          <w:rFonts w:ascii="仿宋" w:hAnsi="仿宋" w:eastAsia="仿宋" w:cs="仿宋"/>
          <w:b/>
          <w:color w:val="auto"/>
          <w:spacing w:val="6"/>
          <w:sz w:val="32"/>
          <w:szCs w:val="32"/>
          <w:highlight w:val="none"/>
        </w:rPr>
      </w:pPr>
    </w:p>
    <w:p w14:paraId="27D32B21">
      <w:pPr>
        <w:spacing w:line="360" w:lineRule="auto"/>
        <w:jc w:val="center"/>
        <w:rPr>
          <w:rFonts w:ascii="仿宋" w:hAnsi="仿宋" w:eastAsia="仿宋" w:cs="仿宋"/>
          <w:b/>
          <w:color w:val="auto"/>
          <w:spacing w:val="6"/>
          <w:sz w:val="32"/>
          <w:szCs w:val="32"/>
          <w:highlight w:val="none"/>
        </w:rPr>
      </w:pPr>
    </w:p>
    <w:p w14:paraId="76D02073">
      <w:pPr>
        <w:spacing w:line="360" w:lineRule="auto"/>
        <w:jc w:val="left"/>
        <w:rPr>
          <w:rFonts w:ascii="仿宋" w:hAnsi="仿宋" w:eastAsia="仿宋" w:cs="仿宋"/>
          <w:b/>
          <w:color w:val="auto"/>
          <w:spacing w:val="6"/>
          <w:sz w:val="32"/>
          <w:szCs w:val="32"/>
          <w:highlight w:val="none"/>
        </w:rPr>
      </w:pPr>
    </w:p>
    <w:p w14:paraId="3A657574">
      <w:pPr>
        <w:spacing w:line="360" w:lineRule="auto"/>
        <w:jc w:val="left"/>
        <w:rPr>
          <w:rFonts w:ascii="仿宋" w:hAnsi="仿宋" w:eastAsia="仿宋" w:cs="仿宋"/>
          <w:b/>
          <w:color w:val="auto"/>
          <w:spacing w:val="6"/>
          <w:sz w:val="32"/>
          <w:szCs w:val="32"/>
          <w:highlight w:val="none"/>
        </w:rPr>
      </w:pPr>
    </w:p>
    <w:p w14:paraId="5F8B0DD4">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0B11DD39">
      <w:pPr>
        <w:spacing w:line="360" w:lineRule="auto"/>
        <w:jc w:val="center"/>
        <w:rPr>
          <w:rFonts w:ascii="仿宋" w:hAnsi="仿宋" w:eastAsia="仿宋" w:cs="仿宋"/>
          <w:b/>
          <w:color w:val="auto"/>
          <w:sz w:val="24"/>
          <w:highlight w:val="none"/>
        </w:rPr>
      </w:pPr>
    </w:p>
    <w:p w14:paraId="702FC825">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5FD33AC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656972E2">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79D14A8E">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5F6724C3">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14:paraId="4DC246A3">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293C6400">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 xml:space="preserve">：                  </w:t>
      </w:r>
    </w:p>
    <w:p w14:paraId="6D590A7C">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址：邮编：</w:t>
      </w:r>
    </w:p>
    <w:p w14:paraId="737CC958">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14:paraId="737A8FE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691748D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059DD23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1A72D0D7">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D823E0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14:paraId="5D853AFE">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1EC20E64">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0C64C12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5E7F340F">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14:paraId="32DACA2F">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14:paraId="7ABB522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578FFB1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07DFAA4D">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3AF0D932">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0270D5F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357BD270">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14:paraId="4B1CAE5A">
      <w:pPr>
        <w:spacing w:line="360" w:lineRule="auto"/>
        <w:rPr>
          <w:rFonts w:ascii="仿宋" w:hAnsi="仿宋" w:eastAsia="仿宋" w:cs="仿宋"/>
          <w:color w:val="auto"/>
          <w:sz w:val="24"/>
          <w:highlight w:val="none"/>
          <w:u w:val="dotted"/>
        </w:rPr>
      </w:pPr>
    </w:p>
    <w:p w14:paraId="4434B876">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14:paraId="0BCC6C5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0775212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14:paraId="4A4D2A1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p>
    <w:p w14:paraId="3DF60448">
      <w:pPr>
        <w:spacing w:line="360" w:lineRule="auto"/>
        <w:rPr>
          <w:rFonts w:ascii="仿宋" w:hAnsi="仿宋" w:eastAsia="仿宋" w:cs="仿宋"/>
          <w:color w:val="auto"/>
          <w:sz w:val="24"/>
          <w:highlight w:val="none"/>
          <w:u w:val="dotted"/>
        </w:rPr>
      </w:pPr>
    </w:p>
    <w:p w14:paraId="0A5E5D4F">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7633DAFB">
      <w:pPr>
        <w:spacing w:line="360" w:lineRule="auto"/>
        <w:rPr>
          <w:rFonts w:ascii="仿宋" w:hAnsi="仿宋" w:eastAsia="仿宋" w:cs="仿宋"/>
          <w:color w:val="auto"/>
          <w:sz w:val="24"/>
          <w:highlight w:val="none"/>
          <w:u w:val="dotted"/>
        </w:rPr>
      </w:pPr>
    </w:p>
    <w:p w14:paraId="3730263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4BD5E687">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4DE719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37C5959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p>
    <w:p w14:paraId="5741174C">
      <w:pPr>
        <w:spacing w:line="360" w:lineRule="auto"/>
        <w:rPr>
          <w:rFonts w:ascii="仿宋" w:hAnsi="仿宋" w:eastAsia="仿宋" w:cs="仿宋"/>
          <w:color w:val="auto"/>
          <w:sz w:val="24"/>
          <w:highlight w:val="none"/>
          <w:u w:val="single"/>
        </w:rPr>
      </w:pPr>
    </w:p>
    <w:p w14:paraId="2BFE393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65EED0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8B9EBCA">
      <w:pPr>
        <w:spacing w:line="360" w:lineRule="auto"/>
        <w:rPr>
          <w:rFonts w:ascii="仿宋" w:hAnsi="仿宋" w:eastAsia="仿宋" w:cs="仿宋"/>
          <w:b/>
          <w:color w:val="auto"/>
          <w:sz w:val="24"/>
          <w:highlight w:val="none"/>
        </w:rPr>
      </w:pPr>
    </w:p>
    <w:p w14:paraId="2722EEFA">
      <w:pPr>
        <w:spacing w:line="360" w:lineRule="auto"/>
        <w:rPr>
          <w:rFonts w:ascii="仿宋" w:hAnsi="仿宋" w:eastAsia="仿宋" w:cs="仿宋"/>
          <w:b/>
          <w:color w:val="auto"/>
          <w:sz w:val="24"/>
          <w:highlight w:val="none"/>
        </w:rPr>
      </w:pPr>
    </w:p>
    <w:p w14:paraId="3D0312A9">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4933DB31">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100357C">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31633891">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770B419">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5F71E797">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4A9AC411">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5BB395F0">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5BEB053E">
      <w:pPr>
        <w:spacing w:line="360" w:lineRule="auto"/>
        <w:rPr>
          <w:rFonts w:ascii="仿宋" w:hAnsi="仿宋" w:eastAsia="仿宋" w:cs="仿宋"/>
          <w:b/>
          <w:color w:val="auto"/>
          <w:sz w:val="24"/>
          <w:highlight w:val="none"/>
        </w:rPr>
      </w:pPr>
    </w:p>
    <w:p w14:paraId="314B6BCF">
      <w:pPr>
        <w:autoSpaceDE w:val="0"/>
        <w:autoSpaceDN w:val="0"/>
        <w:jc w:val="center"/>
        <w:rPr>
          <w:rFonts w:ascii="仿宋" w:hAnsi="仿宋" w:eastAsia="仿宋" w:cs="仿宋"/>
          <w:b/>
          <w:color w:val="auto"/>
          <w:spacing w:val="6"/>
          <w:sz w:val="32"/>
          <w:szCs w:val="32"/>
          <w:highlight w:val="none"/>
        </w:rPr>
      </w:pPr>
    </w:p>
    <w:p w14:paraId="4A566FED">
      <w:pPr>
        <w:autoSpaceDE w:val="0"/>
        <w:autoSpaceDN w:val="0"/>
        <w:jc w:val="center"/>
        <w:rPr>
          <w:rFonts w:ascii="仿宋" w:hAnsi="仿宋" w:eastAsia="仿宋" w:cs="仿宋"/>
          <w:b/>
          <w:color w:val="auto"/>
          <w:spacing w:val="6"/>
          <w:sz w:val="32"/>
          <w:szCs w:val="32"/>
          <w:highlight w:val="none"/>
        </w:rPr>
      </w:pPr>
    </w:p>
    <w:p w14:paraId="03E99F79">
      <w:pPr>
        <w:autoSpaceDE w:val="0"/>
        <w:autoSpaceDN w:val="0"/>
        <w:jc w:val="center"/>
        <w:rPr>
          <w:rFonts w:ascii="仿宋" w:hAnsi="仿宋" w:eastAsia="仿宋" w:cs="仿宋"/>
          <w:b/>
          <w:color w:val="auto"/>
          <w:spacing w:val="6"/>
          <w:sz w:val="32"/>
          <w:szCs w:val="32"/>
          <w:highlight w:val="none"/>
        </w:rPr>
      </w:pPr>
    </w:p>
    <w:p w14:paraId="787C74BD">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17E0B1DB">
      <w:pPr>
        <w:spacing w:line="360" w:lineRule="auto"/>
        <w:rPr>
          <w:rFonts w:ascii="仿宋" w:hAnsi="仿宋" w:eastAsia="仿宋" w:cs="仿宋"/>
          <w:color w:val="auto"/>
          <w:sz w:val="24"/>
          <w:highlight w:val="none"/>
          <w:u w:val="single"/>
        </w:rPr>
      </w:pPr>
    </w:p>
    <w:p w14:paraId="4A12EFF4">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single"/>
          <w:lang w:eastAsia="zh-CN"/>
        </w:rPr>
        <w:t>杭州市公安局监所管理支队</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浙江信达咨询监理有限公司</w:t>
      </w:r>
    </w:p>
    <w:p w14:paraId="3F4C90C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(供应商全称)是中华人民共和国依法登记注册的合法企业，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强制隔离戒毒所消防整改项目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HZSGAJ-2024-24（代)</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5A68FCA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34A5D6CF">
      <w:pPr>
        <w:spacing w:line="360" w:lineRule="auto"/>
        <w:ind w:firstLine="494"/>
        <w:rPr>
          <w:rFonts w:ascii="仿宋" w:hAnsi="仿宋" w:eastAsia="仿宋" w:cs="仿宋"/>
          <w:color w:val="auto"/>
          <w:sz w:val="24"/>
          <w:highlight w:val="none"/>
        </w:rPr>
      </w:pPr>
    </w:p>
    <w:p w14:paraId="0B72BB70">
      <w:pPr>
        <w:spacing w:line="360" w:lineRule="auto"/>
        <w:ind w:firstLine="494"/>
        <w:rPr>
          <w:rFonts w:ascii="仿宋" w:hAnsi="仿宋" w:eastAsia="仿宋" w:cs="仿宋"/>
          <w:color w:val="auto"/>
          <w:sz w:val="24"/>
          <w:highlight w:val="none"/>
        </w:rPr>
      </w:pPr>
    </w:p>
    <w:p w14:paraId="4E3DDF7C">
      <w:pPr>
        <w:spacing w:line="360" w:lineRule="auto"/>
        <w:ind w:firstLine="494"/>
        <w:rPr>
          <w:rFonts w:ascii="仿宋" w:hAnsi="仿宋" w:eastAsia="仿宋" w:cs="仿宋"/>
          <w:color w:val="auto"/>
          <w:sz w:val="24"/>
          <w:highlight w:val="none"/>
        </w:rPr>
      </w:pPr>
    </w:p>
    <w:p w14:paraId="36099FAB">
      <w:pPr>
        <w:spacing w:line="360" w:lineRule="auto"/>
        <w:ind w:firstLine="494"/>
        <w:rPr>
          <w:rFonts w:ascii="仿宋" w:hAnsi="仿宋" w:eastAsia="仿宋" w:cs="仿宋"/>
          <w:color w:val="auto"/>
          <w:sz w:val="24"/>
          <w:highlight w:val="none"/>
        </w:rPr>
      </w:pPr>
    </w:p>
    <w:p w14:paraId="2C82DB3F">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供应商（法定名称章）：</w:t>
      </w:r>
    </w:p>
    <w:p w14:paraId="596011F9">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F383645">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62BE3520">
      <w:pPr>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13kkY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XeSRh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1"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6HB/2y4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YxHptgAAAAKAQAADwAAAAAAAAABACAAAAAiAAAAZHJzL2Rvd25yZXYueG1sUEsB&#10;AhQAFAAAAAgAh07iQOhwf9suAgAAggQAAA4AAAAAAAAAAQAgAAAAJwEAAGRycy9lMm9Eb2MueG1s&#10;UEsFBgAAAAAGAAYAWQEAAMcFA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w:t>供应商</w:t>
      </w:r>
      <w:r>
        <w:rPr>
          <w:rFonts w:hint="eastAsia" w:ascii="仿宋" w:hAnsi="仿宋" w:eastAsia="仿宋" w:cs="仿宋"/>
          <w:color w:val="auto"/>
          <w:sz w:val="24"/>
          <w:highlight w:val="none"/>
        </w:rPr>
        <w:t>法定名称章（印模）                供应商“XX专用章”（印模）</w:t>
      </w:r>
    </w:p>
    <w:p w14:paraId="1AE78ECD">
      <w:pPr>
        <w:autoSpaceDE w:val="0"/>
        <w:autoSpaceDN w:val="0"/>
        <w:jc w:val="center"/>
        <w:rPr>
          <w:rFonts w:ascii="仿宋" w:hAnsi="仿宋" w:eastAsia="仿宋" w:cs="仿宋"/>
          <w:b/>
          <w:color w:val="auto"/>
          <w:spacing w:val="6"/>
          <w:sz w:val="32"/>
          <w:szCs w:val="32"/>
          <w:highlight w:val="none"/>
        </w:rPr>
      </w:pPr>
    </w:p>
    <w:p w14:paraId="62DC9D4C">
      <w:pPr>
        <w:autoSpaceDE w:val="0"/>
        <w:autoSpaceDN w:val="0"/>
        <w:jc w:val="center"/>
        <w:rPr>
          <w:rFonts w:ascii="仿宋" w:hAnsi="仿宋" w:eastAsia="仿宋" w:cs="仿宋"/>
          <w:b/>
          <w:color w:val="auto"/>
          <w:spacing w:val="6"/>
          <w:sz w:val="32"/>
          <w:szCs w:val="32"/>
          <w:highlight w:val="none"/>
        </w:rPr>
      </w:pPr>
    </w:p>
    <w:p w14:paraId="01EC1FCD">
      <w:pPr>
        <w:autoSpaceDE w:val="0"/>
        <w:autoSpaceDN w:val="0"/>
        <w:jc w:val="center"/>
        <w:rPr>
          <w:rFonts w:ascii="仿宋" w:hAnsi="仿宋" w:eastAsia="仿宋" w:cs="仿宋"/>
          <w:b/>
          <w:color w:val="auto"/>
          <w:spacing w:val="6"/>
          <w:sz w:val="32"/>
          <w:szCs w:val="32"/>
          <w:highlight w:val="none"/>
        </w:rPr>
      </w:pPr>
    </w:p>
    <w:p w14:paraId="001D6312">
      <w:pPr>
        <w:autoSpaceDE w:val="0"/>
        <w:autoSpaceDN w:val="0"/>
        <w:jc w:val="center"/>
        <w:rPr>
          <w:rFonts w:ascii="仿宋" w:hAnsi="仿宋" w:eastAsia="仿宋" w:cs="仿宋"/>
          <w:b/>
          <w:color w:val="auto"/>
          <w:spacing w:val="6"/>
          <w:sz w:val="32"/>
          <w:szCs w:val="32"/>
          <w:highlight w:val="none"/>
        </w:rPr>
      </w:pPr>
    </w:p>
    <w:p w14:paraId="29A2D2A8">
      <w:pPr>
        <w:autoSpaceDE w:val="0"/>
        <w:autoSpaceDN w:val="0"/>
        <w:jc w:val="center"/>
        <w:rPr>
          <w:rFonts w:ascii="仿宋" w:hAnsi="仿宋" w:eastAsia="仿宋" w:cs="仿宋"/>
          <w:b/>
          <w:color w:val="auto"/>
          <w:spacing w:val="6"/>
          <w:sz w:val="32"/>
          <w:szCs w:val="32"/>
          <w:highlight w:val="none"/>
        </w:rPr>
      </w:pPr>
    </w:p>
    <w:p w14:paraId="6691539C">
      <w:pPr>
        <w:autoSpaceDE w:val="0"/>
        <w:autoSpaceDN w:val="0"/>
        <w:jc w:val="center"/>
        <w:rPr>
          <w:rFonts w:ascii="仿宋" w:hAnsi="仿宋" w:eastAsia="仿宋" w:cs="仿宋"/>
          <w:b/>
          <w:color w:val="auto"/>
          <w:spacing w:val="6"/>
          <w:sz w:val="32"/>
          <w:szCs w:val="32"/>
          <w:highlight w:val="none"/>
        </w:rPr>
      </w:pPr>
    </w:p>
    <w:p w14:paraId="712C0B97">
      <w:pPr>
        <w:autoSpaceDE w:val="0"/>
        <w:autoSpaceDN w:val="0"/>
        <w:jc w:val="center"/>
        <w:rPr>
          <w:rFonts w:ascii="仿宋" w:hAnsi="仿宋" w:eastAsia="仿宋" w:cs="仿宋"/>
          <w:b/>
          <w:color w:val="auto"/>
          <w:spacing w:val="6"/>
          <w:sz w:val="32"/>
          <w:szCs w:val="32"/>
          <w:highlight w:val="none"/>
        </w:rPr>
      </w:pPr>
    </w:p>
    <w:p w14:paraId="6AF4CCEF">
      <w:pPr>
        <w:autoSpaceDE w:val="0"/>
        <w:autoSpaceDN w:val="0"/>
        <w:jc w:val="center"/>
        <w:rPr>
          <w:rFonts w:ascii="仿宋" w:hAnsi="仿宋" w:eastAsia="仿宋" w:cs="仿宋"/>
          <w:b/>
          <w:color w:val="auto"/>
          <w:spacing w:val="6"/>
          <w:sz w:val="32"/>
          <w:szCs w:val="32"/>
          <w:highlight w:val="none"/>
        </w:rPr>
      </w:pPr>
    </w:p>
    <w:p w14:paraId="5B5320B7">
      <w:pPr>
        <w:autoSpaceDE w:val="0"/>
        <w:autoSpaceDN w:val="0"/>
        <w:jc w:val="center"/>
        <w:rPr>
          <w:rFonts w:ascii="仿宋" w:hAnsi="仿宋" w:eastAsia="仿宋" w:cs="仿宋"/>
          <w:b/>
          <w:color w:val="auto"/>
          <w:spacing w:val="6"/>
          <w:sz w:val="32"/>
          <w:szCs w:val="32"/>
          <w:highlight w:val="none"/>
        </w:rPr>
      </w:pPr>
    </w:p>
    <w:p w14:paraId="3100E9EE">
      <w:pPr>
        <w:autoSpaceDE w:val="0"/>
        <w:autoSpaceDN w:val="0"/>
        <w:jc w:val="center"/>
        <w:rPr>
          <w:rFonts w:ascii="仿宋" w:hAnsi="仿宋" w:eastAsia="仿宋" w:cs="仿宋"/>
          <w:b/>
          <w:color w:val="auto"/>
          <w:spacing w:val="6"/>
          <w:sz w:val="32"/>
          <w:szCs w:val="32"/>
          <w:highlight w:val="none"/>
        </w:rPr>
      </w:pPr>
    </w:p>
    <w:p w14:paraId="06094419">
      <w:pPr>
        <w:autoSpaceDE w:val="0"/>
        <w:autoSpaceDN w:val="0"/>
        <w:jc w:val="center"/>
        <w:rPr>
          <w:rFonts w:ascii="仿宋" w:hAnsi="仿宋" w:eastAsia="仿宋" w:cs="仿宋"/>
          <w:b/>
          <w:color w:val="auto"/>
          <w:spacing w:val="6"/>
          <w:sz w:val="32"/>
          <w:szCs w:val="32"/>
          <w:highlight w:val="none"/>
        </w:rPr>
      </w:pPr>
    </w:p>
    <w:p w14:paraId="5BE6134B">
      <w:pPr>
        <w:autoSpaceDE w:val="0"/>
        <w:autoSpaceDN w:val="0"/>
        <w:jc w:val="center"/>
        <w:rPr>
          <w:rFonts w:ascii="仿宋" w:hAnsi="仿宋" w:eastAsia="仿宋" w:cs="仿宋"/>
          <w:b/>
          <w:color w:val="auto"/>
          <w:spacing w:val="6"/>
          <w:sz w:val="32"/>
          <w:szCs w:val="32"/>
          <w:highlight w:val="none"/>
        </w:rPr>
      </w:pPr>
    </w:p>
    <w:p w14:paraId="53D03474">
      <w:pPr>
        <w:autoSpaceDE w:val="0"/>
        <w:autoSpaceDN w:val="0"/>
        <w:jc w:val="center"/>
        <w:rPr>
          <w:rFonts w:ascii="仿宋" w:hAnsi="仿宋" w:eastAsia="仿宋" w:cs="仿宋"/>
          <w:b/>
          <w:color w:val="auto"/>
          <w:spacing w:val="6"/>
          <w:sz w:val="32"/>
          <w:szCs w:val="32"/>
          <w:highlight w:val="none"/>
        </w:rPr>
      </w:pPr>
    </w:p>
    <w:p w14:paraId="394E367C">
      <w:pPr>
        <w:autoSpaceDE w:val="0"/>
        <w:autoSpaceDN w:val="0"/>
        <w:jc w:val="center"/>
        <w:rPr>
          <w:rFonts w:ascii="仿宋" w:hAnsi="仿宋" w:eastAsia="仿宋" w:cs="仿宋"/>
          <w:b/>
          <w:color w:val="auto"/>
          <w:spacing w:val="6"/>
          <w:sz w:val="32"/>
          <w:szCs w:val="32"/>
          <w:highlight w:val="none"/>
        </w:rPr>
      </w:pPr>
    </w:p>
    <w:p w14:paraId="5407B906">
      <w:pPr>
        <w:autoSpaceDE w:val="0"/>
        <w:autoSpaceDN w:val="0"/>
        <w:jc w:val="center"/>
        <w:rPr>
          <w:rFonts w:ascii="仿宋" w:hAnsi="仿宋" w:eastAsia="仿宋" w:cs="仿宋"/>
          <w:b/>
          <w:color w:val="auto"/>
          <w:spacing w:val="6"/>
          <w:sz w:val="32"/>
          <w:szCs w:val="32"/>
          <w:highlight w:val="none"/>
        </w:rPr>
      </w:pPr>
    </w:p>
    <w:p w14:paraId="667C065B">
      <w:pPr>
        <w:autoSpaceDE w:val="0"/>
        <w:autoSpaceDN w:val="0"/>
        <w:jc w:val="center"/>
        <w:rPr>
          <w:rFonts w:ascii="仿宋" w:hAnsi="仿宋" w:eastAsia="仿宋" w:cs="仿宋"/>
          <w:b/>
          <w:color w:val="auto"/>
          <w:spacing w:val="6"/>
          <w:sz w:val="32"/>
          <w:szCs w:val="32"/>
          <w:highlight w:val="none"/>
        </w:rPr>
      </w:pPr>
    </w:p>
    <w:p w14:paraId="79E5942F">
      <w:pPr>
        <w:autoSpaceDE w:val="0"/>
        <w:autoSpaceDN w:val="0"/>
        <w:jc w:val="center"/>
        <w:rPr>
          <w:rFonts w:ascii="仿宋" w:hAnsi="仿宋" w:eastAsia="仿宋" w:cs="仿宋"/>
          <w:b/>
          <w:color w:val="auto"/>
          <w:spacing w:val="6"/>
          <w:sz w:val="32"/>
          <w:szCs w:val="32"/>
          <w:highlight w:val="none"/>
        </w:rPr>
      </w:pPr>
    </w:p>
    <w:p w14:paraId="4C2C7700">
      <w:pPr>
        <w:autoSpaceDE w:val="0"/>
        <w:autoSpaceDN w:val="0"/>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2E49FC96">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（以联合体形式参与的，提供联合协议；本项目不接受联合体或者供应商不以联合体形式参与的，则不需要提供）</w:t>
      </w:r>
    </w:p>
    <w:p w14:paraId="29A4AF9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强制隔离戒毒所消防整改项目</w:t>
      </w:r>
      <w:r>
        <w:rPr>
          <w:rFonts w:hint="eastAsia" w:ascii="仿宋" w:hAnsi="仿宋" w:eastAsia="仿宋" w:cs="仿宋"/>
          <w:color w:val="auto"/>
          <w:sz w:val="24"/>
          <w:highlight w:val="none"/>
        </w:rPr>
        <w:t>【项目编号：            】</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 xml:space="preserve">。 </w:t>
      </w:r>
    </w:p>
    <w:p w14:paraId="6B0B982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6B5E200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授权代表根据采购文件规定及</w:t>
      </w:r>
      <w:r>
        <w:rPr>
          <w:rFonts w:hint="eastAsia" w:ascii="仿宋" w:hAnsi="仿宋" w:eastAsia="仿宋" w:cs="仿宋"/>
          <w:color w:val="auto"/>
          <w:kern w:val="0"/>
          <w:sz w:val="24"/>
          <w:highlight w:val="none"/>
        </w:rPr>
        <w:t>响应内容</w:t>
      </w:r>
      <w:r>
        <w:rPr>
          <w:rFonts w:hint="eastAsia" w:ascii="仿宋" w:hAnsi="仿宋" w:eastAsia="仿宋" w:cs="仿宋"/>
          <w:color w:val="auto"/>
          <w:kern w:val="0"/>
          <w:sz w:val="24"/>
          <w:highlight w:val="none"/>
          <w:lang w:val="zh-CN"/>
        </w:rPr>
        <w:t>而对采购人、采购代理机构所作的任何合法承诺，包括书面澄清及相应等均对联合投标各方产生约束力。</w:t>
      </w:r>
    </w:p>
    <w:p w14:paraId="75EDCD8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中，分工如下：</w:t>
      </w:r>
    </w:p>
    <w:p w14:paraId="3B4B44C7">
      <w:pPr>
        <w:snapToGrid w:val="0"/>
        <w:spacing w:line="360" w:lineRule="auto"/>
        <w:ind w:firstLine="576"/>
        <w:rPr>
          <w:rFonts w:ascii="仿宋" w:hAnsi="仿宋" w:eastAsia="仿宋" w:cs="仿宋"/>
          <w:color w:val="auto"/>
          <w:kern w:val="0"/>
          <w:sz w:val="24"/>
          <w:highlight w:val="none"/>
          <w:lang w:val="zh-CN"/>
        </w:rPr>
      </w:pPr>
      <w:bookmarkStart w:id="1005"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p>
    <w:p w14:paraId="084D073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p>
    <w:p w14:paraId="1C8E8306">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1005"/>
    <w:p w14:paraId="6319690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7678EAA7">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提供的全部工程由小微企业承建，其合同份额占到合同总金额%以上；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w:t>
      </w:r>
      <w:r>
        <w:rPr>
          <w:rFonts w:hint="eastAsia" w:ascii="仿宋" w:hAnsi="仿宋" w:eastAsia="仿宋" w:cs="仿宋"/>
          <w:b/>
          <w:color w:val="auto"/>
          <w:kern w:val="0"/>
          <w:sz w:val="24"/>
          <w:highlight w:val="none"/>
        </w:rPr>
        <w:t>磋商</w:t>
      </w:r>
      <w:r>
        <w:rPr>
          <w:rFonts w:hint="eastAsia" w:ascii="仿宋" w:hAnsi="仿宋" w:eastAsia="仿宋" w:cs="仿宋"/>
          <w:b/>
          <w:color w:val="auto"/>
          <w:kern w:val="0"/>
          <w:sz w:val="24"/>
          <w:highlight w:val="none"/>
          <w:lang w:val="zh-CN"/>
        </w:rPr>
        <w:t>的，联合协议约定小微企业的合同份额占到合同总金额30%以上的，对联合体报价给予</w:t>
      </w: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%的扣除。供应商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22B2C6F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2、中小企业合同金额达到%，其中小微企业合同金额达到%</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7C2F30E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五、如果成交，</w:t>
      </w:r>
      <w:r>
        <w:rPr>
          <w:rFonts w:hint="eastAsia" w:ascii="仿宋" w:hAnsi="仿宋" w:eastAsia="仿宋" w:cs="仿宋"/>
          <w:color w:val="auto"/>
          <w:sz w:val="24"/>
          <w:highlight w:val="none"/>
        </w:rPr>
        <w:t>联合体各成员方共同与采购人签订合同，并就采购合同约定的事项对采购人承担连带责任。</w:t>
      </w:r>
    </w:p>
    <w:p w14:paraId="38FB1A8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的其他事宜：</w:t>
      </w:r>
    </w:p>
    <w:p w14:paraId="5C65425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2269486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7A62F66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54AE384C">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A3AB2EB">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C33DFAC">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D59F1C2">
      <w:pPr>
        <w:autoSpaceDE w:val="0"/>
        <w:autoSpaceDN w:val="0"/>
        <w:jc w:val="center"/>
        <w:rPr>
          <w:rFonts w:ascii="仿宋" w:hAnsi="仿宋" w:eastAsia="仿宋" w:cs="仿宋"/>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1D601C52">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49D9C9B1">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highlight w:val="none"/>
        </w:rPr>
        <w:t>）</w:t>
      </w:r>
    </w:p>
    <w:p w14:paraId="7A07449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强制隔离戒毒所消防整改项目</w:t>
      </w:r>
      <w:r>
        <w:rPr>
          <w:rFonts w:hint="eastAsia" w:ascii="仿宋" w:hAnsi="仿宋" w:eastAsia="仿宋" w:cs="仿宋"/>
          <w:color w:val="auto"/>
          <w:sz w:val="24"/>
          <w:highlight w:val="none"/>
        </w:rPr>
        <w:t>【项目编号：         】</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7ADEDD3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7EA3FAC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382F25E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66E7683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082640D1">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（分包供应商X,……）提供的工程全部由小微企业承建，</w:t>
      </w:r>
      <w:r>
        <w:rPr>
          <w:rFonts w:hint="eastAsia" w:ascii="仿宋" w:hAnsi="仿宋" w:eastAsia="仿宋" w:cs="仿宋"/>
          <w:color w:val="auto"/>
          <w:kern w:val="0"/>
          <w:sz w:val="24"/>
          <w:highlight w:val="none"/>
        </w:rPr>
        <w:t>其合同份额占到合同总金额%以上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%的扣除。供应商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079B2B3F">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1006" w:name="_Hlk101133173"/>
      <w:r>
        <w:rPr>
          <w:rFonts w:hint="eastAsia" w:ascii="仿宋" w:hAnsi="仿宋" w:eastAsia="仿宋" w:cs="仿宋"/>
          <w:color w:val="auto"/>
          <w:sz w:val="24"/>
          <w:highlight w:val="none"/>
        </w:rPr>
        <w:t>中小企业合同金额达到%，其中小微企业合同金额达到%</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要求合同分包形式参加的项目或采购包，供应商按采购文件第一部分竞争性磋商公告申请人的资格要求中规定的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1006"/>
    </w:p>
    <w:p w14:paraId="3D26958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5A028B4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1645D91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24FD9FE8">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469DC45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57EBAD82">
      <w:pPr>
        <w:snapToGrid w:val="0"/>
        <w:spacing w:line="360" w:lineRule="auto"/>
        <w:ind w:firstLine="576"/>
        <w:rPr>
          <w:rFonts w:ascii="仿宋" w:hAnsi="仿宋" w:eastAsia="仿宋" w:cs="仿宋"/>
          <w:color w:val="auto"/>
          <w:kern w:val="0"/>
          <w:sz w:val="24"/>
          <w:highlight w:val="none"/>
          <w:lang w:val="zh-CN"/>
        </w:rPr>
      </w:pPr>
    </w:p>
    <w:p w14:paraId="7A792F5D">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w:t>
      </w:r>
    </w:p>
    <w:p w14:paraId="5FE8D98B">
      <w:pPr>
        <w:snapToGrid w:val="0"/>
        <w:spacing w:line="360" w:lineRule="auto"/>
        <w:ind w:firstLine="5640" w:firstLineChars="235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5953D273">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C58E02D">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4F6EEA7">
      <w:pPr>
        <w:autoSpaceDE w:val="0"/>
        <w:autoSpaceDN w:val="0"/>
        <w:jc w:val="center"/>
        <w:rPr>
          <w:rFonts w:ascii="仿宋" w:hAnsi="仿宋" w:eastAsia="仿宋" w:cs="仿宋"/>
          <w:b/>
          <w:color w:val="auto"/>
          <w:spacing w:val="6"/>
          <w:sz w:val="32"/>
          <w:szCs w:val="32"/>
          <w:highlight w:val="none"/>
        </w:rPr>
      </w:pPr>
    </w:p>
    <w:p w14:paraId="45251C1C">
      <w:pPr>
        <w:autoSpaceDE w:val="0"/>
        <w:autoSpaceDN w:val="0"/>
        <w:jc w:val="center"/>
        <w:rPr>
          <w:rFonts w:ascii="仿宋" w:hAnsi="仿宋" w:eastAsia="仿宋" w:cs="仿宋"/>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2EAC6F13">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附件7：</w:t>
      </w:r>
      <w:r>
        <w:rPr>
          <w:rFonts w:hint="eastAsia" w:ascii="仿宋" w:hAnsi="仿宋" w:eastAsia="仿宋" w:cs="仿宋"/>
          <w:b/>
          <w:color w:val="auto"/>
          <w:sz w:val="32"/>
          <w:szCs w:val="32"/>
          <w:highlight w:val="none"/>
        </w:rPr>
        <w:t>中小企业声明函</w:t>
      </w:r>
    </w:p>
    <w:p w14:paraId="6A358DF2">
      <w:pPr>
        <w:spacing w:line="360" w:lineRule="auto"/>
        <w:jc w:val="center"/>
        <w:rPr>
          <w:rFonts w:ascii="仿宋" w:hAnsi="仿宋" w:eastAsia="仿宋" w:cs="仿宋"/>
          <w:color w:val="auto"/>
          <w:sz w:val="24"/>
          <w:highlight w:val="none"/>
          <w:u w:val="single"/>
        </w:rPr>
      </w:pPr>
    </w:p>
    <w:p w14:paraId="46425D21">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w:t>
      </w:r>
    </w:p>
    <w:p w14:paraId="1E82D37F">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lang w:eastAsia="zh-CN"/>
        </w:rPr>
        <w:t>杭州市公安局监所管理支队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强制隔离戒毒所消防整改项目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3846D09">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552FC850">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4017D5D6">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28646FE2">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47F9E902">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789EF07B">
      <w:pPr>
        <w:spacing w:line="360" w:lineRule="auto"/>
        <w:ind w:firstLine="480" w:firstLineChars="200"/>
        <w:rPr>
          <w:rFonts w:ascii="仿宋" w:hAnsi="仿宋" w:eastAsia="仿宋" w:cs="仿宋"/>
          <w:color w:val="auto"/>
          <w:sz w:val="24"/>
          <w:highlight w:val="none"/>
        </w:rPr>
      </w:pPr>
    </w:p>
    <w:p w14:paraId="71090646">
      <w:pPr>
        <w:snapToGrid w:val="0"/>
        <w:spacing w:line="360" w:lineRule="auto"/>
        <w:ind w:firstLine="5160" w:firstLineChars="215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4A30930D">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14:paraId="4E2F031F">
      <w:pPr>
        <w:spacing w:line="360" w:lineRule="auto"/>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05195225">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w:t>
      </w:r>
    </w:p>
    <w:p w14:paraId="00241523">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81F74ED">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818D468">
      <w:pPr>
        <w:spacing w:line="360" w:lineRule="auto"/>
        <w:ind w:right="420" w:firstLine="480" w:firstLineChars="200"/>
        <w:rPr>
          <w:rFonts w:hint="eastAsia" w:ascii="仿宋" w:hAnsi="仿宋" w:eastAsia="仿宋" w:cs="仿宋"/>
          <w:color w:val="auto"/>
          <w:sz w:val="24"/>
          <w:highlight w:val="none"/>
        </w:rPr>
      </w:pPr>
    </w:p>
    <w:p w14:paraId="7CCE5560">
      <w:pPr>
        <w:spacing w:line="360" w:lineRule="auto"/>
        <w:ind w:right="420" w:firstLine="480" w:firstLineChars="200"/>
        <w:rPr>
          <w:rFonts w:hint="eastAsia" w:ascii="仿宋" w:hAnsi="仿宋" w:eastAsia="仿宋" w:cs="仿宋"/>
          <w:color w:val="auto"/>
          <w:sz w:val="24"/>
          <w:highlight w:val="none"/>
        </w:rPr>
      </w:pPr>
    </w:p>
    <w:p w14:paraId="17BBD255">
      <w:pPr>
        <w:spacing w:line="360" w:lineRule="auto"/>
        <w:ind w:right="420" w:firstLine="480" w:firstLineChars="200"/>
        <w:rPr>
          <w:rFonts w:hint="eastAsia" w:ascii="仿宋" w:hAnsi="仿宋" w:eastAsia="仿宋" w:cs="仿宋"/>
          <w:color w:val="auto"/>
          <w:sz w:val="24"/>
          <w:highlight w:val="none"/>
        </w:rPr>
      </w:pPr>
    </w:p>
    <w:p w14:paraId="1AC6844C">
      <w:pPr>
        <w:spacing w:line="360" w:lineRule="auto"/>
        <w:ind w:right="420" w:firstLine="480" w:firstLineChars="200"/>
        <w:rPr>
          <w:rFonts w:hint="eastAsia" w:ascii="仿宋" w:hAnsi="仿宋" w:eastAsia="仿宋" w:cs="仿宋"/>
          <w:color w:val="auto"/>
          <w:sz w:val="24"/>
          <w:highlight w:val="none"/>
        </w:rPr>
      </w:pPr>
    </w:p>
    <w:p w14:paraId="2A535C0D">
      <w:pPr>
        <w:spacing w:line="360" w:lineRule="auto"/>
        <w:ind w:right="420" w:firstLine="480" w:firstLineChars="200"/>
        <w:rPr>
          <w:rFonts w:hint="eastAsia" w:ascii="仿宋" w:hAnsi="仿宋" w:eastAsia="仿宋" w:cs="仿宋"/>
          <w:color w:val="auto"/>
          <w:sz w:val="24"/>
          <w:highlight w:val="none"/>
        </w:rPr>
      </w:pPr>
    </w:p>
    <w:p w14:paraId="605CC0E7">
      <w:pPr>
        <w:spacing w:line="360" w:lineRule="auto"/>
        <w:ind w:right="420" w:firstLine="480" w:firstLineChars="200"/>
        <w:rPr>
          <w:rFonts w:hint="eastAsia" w:ascii="仿宋" w:hAnsi="仿宋" w:eastAsia="仿宋" w:cs="仿宋"/>
          <w:color w:val="auto"/>
          <w:sz w:val="24"/>
          <w:highlight w:val="none"/>
        </w:rPr>
      </w:pPr>
    </w:p>
    <w:p w14:paraId="31C56708">
      <w:pPr>
        <w:spacing w:line="360" w:lineRule="auto"/>
        <w:ind w:right="420" w:firstLine="0"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附件8：工程量清单（另附）</w:t>
      </w:r>
    </w:p>
    <w:p w14:paraId="408F8129">
      <w:pPr>
        <w:spacing w:line="360" w:lineRule="auto"/>
        <w:ind w:right="420" w:firstLine="482" w:firstLineChars="200"/>
        <w:rPr>
          <w:rFonts w:hint="eastAsia" w:ascii="仿宋" w:hAnsi="仿宋" w:eastAsia="仿宋" w:cs="仿宋"/>
          <w:b/>
          <w:bCs/>
          <w:color w:val="auto"/>
          <w:sz w:val="24"/>
          <w:highlight w:val="none"/>
        </w:rPr>
      </w:pPr>
    </w:p>
    <w:p w14:paraId="7B905BE8">
      <w:pPr>
        <w:pStyle w:val="26"/>
        <w:spacing w:line="240" w:lineRule="auto"/>
        <w:ind w:firstLine="0" w:firstLineChars="0"/>
        <w:rPr>
          <w:rFonts w:ascii="仿宋" w:hAnsi="仿宋" w:eastAsia="仿宋" w:cs="仿宋"/>
          <w:color w:val="auto"/>
          <w:highlight w:val="none"/>
        </w:rPr>
      </w:pPr>
      <w:r>
        <w:rPr>
          <w:rFonts w:hint="eastAsia" w:ascii="仿宋" w:hAnsi="仿宋" w:eastAsia="仿宋" w:cs="仿宋"/>
          <w:b/>
          <w:bCs/>
          <w:color w:val="auto"/>
          <w:sz w:val="24"/>
          <w:highlight w:val="none"/>
        </w:rPr>
        <w:t>附件9：图纸（另附）</w:t>
      </w:r>
    </w:p>
    <w:sectPr>
      <w:pgSz w:w="11906" w:h="16838"/>
      <w:pgMar w:top="1440" w:right="1080" w:bottom="1440" w:left="1080" w:header="851"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AFBD5">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43C566">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143C566">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96DDD">
    <w:pPr>
      <w:pStyle w:val="41"/>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4E5D4">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6C94E5D4">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9106894">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179AB">
    <w:pPr>
      <w:pStyle w:val="41"/>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B728D">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5BB728D">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5EE32425">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C0F44">
    <w:pPr>
      <w:pStyle w:val="41"/>
      <w:jc w:val="center"/>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135B41">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106</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5135B41">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106</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57A20">
    <w:pPr>
      <w:pStyle w:val="41"/>
      <w:framePr w:wrap="around" w:vAnchor="text" w:hAnchor="margin" w:xAlign="right" w:y="1"/>
      <w:rPr>
        <w:rStyle w:val="72"/>
      </w:rPr>
    </w:pPr>
    <w:r>
      <w:fldChar w:fldCharType="begin"/>
    </w:r>
    <w:r>
      <w:rPr>
        <w:rStyle w:val="72"/>
      </w:rPr>
      <w:instrText xml:space="preserve">PAGE  </w:instrText>
    </w:r>
    <w:r>
      <w:fldChar w:fldCharType="end"/>
    </w:r>
  </w:p>
  <w:p w14:paraId="0EEA30F5">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0DEFD">
    <w:pPr>
      <w:pStyle w:val="41"/>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169BA">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106</w:t>
                          </w:r>
                          <w:r>
                            <w:rPr>
                              <w:rFonts w:hint="eastAsia" w:ascii="仿宋_GB2312" w:eastAsia="仿宋_GB2312"/>
                              <w:kern w:val="0"/>
                              <w:szCs w:val="21"/>
                            </w:rPr>
                            <w:fldChar w:fldCharType="end"/>
                          </w:r>
                          <w:bookmarkStart w:id="1007" w:name="_Toc36110187"/>
                          <w:bookmarkStart w:id="1008" w:name="_Toc164085800"/>
                          <w:bookmarkStart w:id="1009" w:name="_Toc91899912"/>
                          <w:bookmarkStart w:id="1010" w:name="_Toc131845147"/>
                          <w:r>
                            <w:rPr>
                              <w:rFonts w:hint="eastAsia" w:ascii="仿宋_GB2312" w:eastAsia="仿宋_GB2312"/>
                              <w:kern w:val="0"/>
                              <w:szCs w:val="21"/>
                            </w:rPr>
                            <w:t xml:space="preserve"> 页</w:t>
                          </w:r>
                          <w:bookmarkEnd w:id="1007"/>
                          <w:bookmarkEnd w:id="1008"/>
                          <w:bookmarkEnd w:id="1009"/>
                          <w:bookmarkEnd w:id="1010"/>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9A169BA">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106</w:t>
                    </w:r>
                    <w:r>
                      <w:rPr>
                        <w:rFonts w:hint="eastAsia" w:ascii="仿宋_GB2312" w:eastAsia="仿宋_GB2312"/>
                        <w:kern w:val="0"/>
                        <w:szCs w:val="21"/>
                      </w:rPr>
                      <w:fldChar w:fldCharType="end"/>
                    </w:r>
                    <w:bookmarkStart w:id="1007" w:name="_Toc36110187"/>
                    <w:bookmarkStart w:id="1008" w:name="_Toc164085800"/>
                    <w:bookmarkStart w:id="1009" w:name="_Toc91899912"/>
                    <w:bookmarkStart w:id="1010" w:name="_Toc131845147"/>
                    <w:r>
                      <w:rPr>
                        <w:rFonts w:hint="eastAsia" w:ascii="仿宋_GB2312" w:eastAsia="仿宋_GB2312"/>
                        <w:kern w:val="0"/>
                        <w:szCs w:val="21"/>
                      </w:rPr>
                      <w:t xml:space="preserve"> 页</w:t>
                    </w:r>
                    <w:bookmarkEnd w:id="1007"/>
                    <w:bookmarkEnd w:id="1008"/>
                    <w:bookmarkEnd w:id="1009"/>
                    <w:bookmarkEnd w:id="1010"/>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F4B73">
    <w:pPr>
      <w:pStyle w:val="41"/>
      <w:framePr w:wrap="around" w:vAnchor="text" w:hAnchor="margin" w:xAlign="right" w:y="1"/>
      <w:rPr>
        <w:rStyle w:val="72"/>
      </w:rPr>
    </w:pPr>
    <w:r>
      <w:fldChar w:fldCharType="begin"/>
    </w:r>
    <w:r>
      <w:rPr>
        <w:rStyle w:val="72"/>
      </w:rPr>
      <w:instrText xml:space="preserve">PAGE  </w:instrText>
    </w:r>
    <w:r>
      <w:fldChar w:fldCharType="end"/>
    </w:r>
  </w:p>
  <w:p w14:paraId="267ED6A4">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1AA27">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D2A1DB">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BD2A1DB">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422FB">
    <w:pPr>
      <w:pStyle w:val="41"/>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EAFBDA">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1EAFBDA">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03A7B">
    <w:pPr>
      <w:pStyle w:val="41"/>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4ED5CE">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44ED5CE">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4D808">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D228DC">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DD228DC">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C3C9D1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A78BC">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E07B05">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1E07B05">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192ED2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C8898">
    <w:pPr>
      <w:pStyle w:val="4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C1C467">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FC1C467">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5B5FC3C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81A51">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52D91">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C852D91">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05A05C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B8397">
    <w:pPr>
      <w:pBdr>
        <w:bottom w:val="single" w:color="auto" w:sz="6" w:space="0"/>
      </w:pBdr>
      <w:tabs>
        <w:tab w:val="center" w:pos="4535"/>
        <w:tab w:val="right" w:pos="9070"/>
      </w:tabs>
      <w:jc w:val="right"/>
      <w:rPr>
        <w:rFonts w:ascii="仿宋_GB2312"/>
        <w:b/>
        <w:i/>
        <w:iCs/>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5C96D">
    <w:pPr>
      <w:pStyle w:val="42"/>
      <w:jc w:val="right"/>
    </w:pPr>
    <w:r>
      <w:rPr>
        <w:rFonts w:hint="eastAsia"/>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59FDC">
    <w:pPr>
      <w:pBdr>
        <w:bottom w:val="single" w:color="auto" w:sz="6" w:space="0"/>
      </w:pBdr>
      <w:tabs>
        <w:tab w:val="center" w:pos="4535"/>
        <w:tab w:val="right" w:pos="9070"/>
      </w:tabs>
      <w:jc w:val="right"/>
      <w:rPr>
        <w:rFonts w:ascii="仿宋_GB2312"/>
        <w:b/>
        <w:i/>
        <w:iCs/>
        <w:u w:val="single"/>
      </w:rPr>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13E93">
    <w:pPr>
      <w:pStyle w:val="42"/>
      <w:jc w:val="right"/>
    </w:pPr>
    <w:r>
      <w:rPr>
        <w:rFonts w:hint="eastAsia"/>
      </w:rPr>
      <w:t>杭州市政府采购竞争性磋商文件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2CAE5">
    <w:pPr>
      <w:pBdr>
        <w:bottom w:val="single" w:color="auto" w:sz="6" w:space="0"/>
      </w:pBdr>
      <w:tabs>
        <w:tab w:val="center" w:pos="4535"/>
        <w:tab w:val="right" w:pos="9070"/>
      </w:tabs>
      <w:jc w:val="right"/>
      <w:rPr>
        <w:rFonts w:ascii="仿宋_GB2312"/>
        <w:b/>
        <w:i/>
        <w:iCs/>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2E63E">
    <w:pPr>
      <w:pBdr>
        <w:bottom w:val="single" w:color="auto" w:sz="6" w:space="0"/>
      </w:pBdr>
      <w:tabs>
        <w:tab w:val="center" w:pos="4535"/>
        <w:tab w:val="right" w:pos="9070"/>
      </w:tabs>
      <w:jc w:val="right"/>
      <w:rPr>
        <w:rFonts w:ascii="仿宋_GB2312" w:eastAsia="仿宋_GB2312"/>
        <w:b/>
        <w:i/>
        <w:u w:val="single"/>
      </w:rPr>
    </w:pPr>
    <w:r>
      <w:rPr>
        <w:lang w:val="zh-CN"/>
      </w:rPr>
      <w:t>杭州市政府采购</w:t>
    </w:r>
    <w:r>
      <w:rPr>
        <w:rFonts w:hint="eastAsia"/>
        <w:lang w:val="zh-CN"/>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D1D39">
    <w:pPr>
      <w:pBdr>
        <w:bottom w:val="single" w:color="auto" w:sz="6" w:space="0"/>
      </w:pBdr>
      <w:tabs>
        <w:tab w:val="center" w:pos="4535"/>
        <w:tab w:val="right" w:pos="9070"/>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518CFF"/>
    <w:multiLevelType w:val="singleLevel"/>
    <w:tmpl w:val="30518CFF"/>
    <w:lvl w:ilvl="0" w:tentative="0">
      <w:start w:val="1"/>
      <w:numFmt w:val="decimal"/>
      <w:suff w:val="nothing"/>
      <w:lvlText w:val="（%1）"/>
      <w:lvlJc w:val="left"/>
    </w:lvl>
  </w:abstractNum>
  <w:abstractNum w:abstractNumId="1">
    <w:nsid w:val="35066AB9"/>
    <w:multiLevelType w:val="singleLevel"/>
    <w:tmpl w:val="35066AB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hMzM4YzVlMTBkMWM4MjU2NTNhZGI3ZDI4OGVjMT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AF5"/>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2D8F"/>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C75"/>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4A2"/>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41F"/>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93F"/>
    <w:rsid w:val="000F1604"/>
    <w:rsid w:val="000F1BC9"/>
    <w:rsid w:val="000F2843"/>
    <w:rsid w:val="000F287A"/>
    <w:rsid w:val="000F2940"/>
    <w:rsid w:val="000F2AB3"/>
    <w:rsid w:val="000F3D08"/>
    <w:rsid w:val="000F4495"/>
    <w:rsid w:val="000F45EB"/>
    <w:rsid w:val="000F4A05"/>
    <w:rsid w:val="000F4AA8"/>
    <w:rsid w:val="000F4AEA"/>
    <w:rsid w:val="000F4BE7"/>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17E14"/>
    <w:rsid w:val="00120010"/>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064F"/>
    <w:rsid w:val="00131C2D"/>
    <w:rsid w:val="0013202C"/>
    <w:rsid w:val="00132704"/>
    <w:rsid w:val="00132CBF"/>
    <w:rsid w:val="00133707"/>
    <w:rsid w:val="00133742"/>
    <w:rsid w:val="00133B70"/>
    <w:rsid w:val="00133E97"/>
    <w:rsid w:val="00133FFD"/>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3C4F"/>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6DAA"/>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0B10"/>
    <w:rsid w:val="001C10BD"/>
    <w:rsid w:val="001C1F01"/>
    <w:rsid w:val="001C2092"/>
    <w:rsid w:val="001C232F"/>
    <w:rsid w:val="001C2544"/>
    <w:rsid w:val="001C2A17"/>
    <w:rsid w:val="001C31F5"/>
    <w:rsid w:val="001C6047"/>
    <w:rsid w:val="001C6698"/>
    <w:rsid w:val="001C6C5B"/>
    <w:rsid w:val="001C7399"/>
    <w:rsid w:val="001C7B3E"/>
    <w:rsid w:val="001C7C3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3F7A"/>
    <w:rsid w:val="001E4B2C"/>
    <w:rsid w:val="001E507F"/>
    <w:rsid w:val="001E56C2"/>
    <w:rsid w:val="001E59FB"/>
    <w:rsid w:val="001E7F81"/>
    <w:rsid w:val="001F0FD1"/>
    <w:rsid w:val="001F1526"/>
    <w:rsid w:val="001F19D1"/>
    <w:rsid w:val="001F1CB9"/>
    <w:rsid w:val="001F1F18"/>
    <w:rsid w:val="001F2F92"/>
    <w:rsid w:val="001F3235"/>
    <w:rsid w:val="001F54FE"/>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032"/>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D99"/>
    <w:rsid w:val="00237EAE"/>
    <w:rsid w:val="00237FA2"/>
    <w:rsid w:val="002403D5"/>
    <w:rsid w:val="002406C2"/>
    <w:rsid w:val="00240C1F"/>
    <w:rsid w:val="00240F55"/>
    <w:rsid w:val="00240F67"/>
    <w:rsid w:val="00241144"/>
    <w:rsid w:val="0024249D"/>
    <w:rsid w:val="00242510"/>
    <w:rsid w:val="00242CC9"/>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9C"/>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87F86"/>
    <w:rsid w:val="002903C5"/>
    <w:rsid w:val="0029041B"/>
    <w:rsid w:val="00290A99"/>
    <w:rsid w:val="00290EAF"/>
    <w:rsid w:val="00290F68"/>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05B"/>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1F8C"/>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C7BBE"/>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3F3"/>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807"/>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6CB7"/>
    <w:rsid w:val="003373A6"/>
    <w:rsid w:val="00337409"/>
    <w:rsid w:val="003375D1"/>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6F68"/>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40A"/>
    <w:rsid w:val="003735B9"/>
    <w:rsid w:val="00373634"/>
    <w:rsid w:val="00374677"/>
    <w:rsid w:val="0037510C"/>
    <w:rsid w:val="00375850"/>
    <w:rsid w:val="0037632F"/>
    <w:rsid w:val="00376794"/>
    <w:rsid w:val="00377B26"/>
    <w:rsid w:val="00381014"/>
    <w:rsid w:val="00381604"/>
    <w:rsid w:val="00381C68"/>
    <w:rsid w:val="00381F60"/>
    <w:rsid w:val="00383204"/>
    <w:rsid w:val="00383AB0"/>
    <w:rsid w:val="003847BB"/>
    <w:rsid w:val="00384814"/>
    <w:rsid w:val="00384C0A"/>
    <w:rsid w:val="00385B16"/>
    <w:rsid w:val="00385B96"/>
    <w:rsid w:val="0038637D"/>
    <w:rsid w:val="003868E3"/>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551"/>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C24"/>
    <w:rsid w:val="003E006E"/>
    <w:rsid w:val="003E0947"/>
    <w:rsid w:val="003E0E96"/>
    <w:rsid w:val="003E20F7"/>
    <w:rsid w:val="003E336A"/>
    <w:rsid w:val="003E3E2F"/>
    <w:rsid w:val="003E4048"/>
    <w:rsid w:val="003E4CE5"/>
    <w:rsid w:val="003E5FF5"/>
    <w:rsid w:val="003E604C"/>
    <w:rsid w:val="003E60DA"/>
    <w:rsid w:val="003E6E00"/>
    <w:rsid w:val="003E7111"/>
    <w:rsid w:val="003E76DC"/>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A5E"/>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6EC7"/>
    <w:rsid w:val="00417264"/>
    <w:rsid w:val="004210C0"/>
    <w:rsid w:val="004211DD"/>
    <w:rsid w:val="00421762"/>
    <w:rsid w:val="00421D4B"/>
    <w:rsid w:val="00421ED8"/>
    <w:rsid w:val="00422907"/>
    <w:rsid w:val="00423125"/>
    <w:rsid w:val="00423309"/>
    <w:rsid w:val="004233AD"/>
    <w:rsid w:val="00424446"/>
    <w:rsid w:val="00424867"/>
    <w:rsid w:val="00425040"/>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E2E"/>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4EC"/>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3FD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276"/>
    <w:rsid w:val="004824A9"/>
    <w:rsid w:val="00482FF7"/>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9E"/>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BE8"/>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D64"/>
    <w:rsid w:val="004B0E4A"/>
    <w:rsid w:val="004B18F4"/>
    <w:rsid w:val="004B1A98"/>
    <w:rsid w:val="004B2463"/>
    <w:rsid w:val="004B2E9D"/>
    <w:rsid w:val="004B305F"/>
    <w:rsid w:val="004B34C4"/>
    <w:rsid w:val="004B34E8"/>
    <w:rsid w:val="004B3981"/>
    <w:rsid w:val="004B3A03"/>
    <w:rsid w:val="004B419F"/>
    <w:rsid w:val="004B4EA9"/>
    <w:rsid w:val="004B5B6E"/>
    <w:rsid w:val="004B5C96"/>
    <w:rsid w:val="004B6124"/>
    <w:rsid w:val="004B62CE"/>
    <w:rsid w:val="004B645F"/>
    <w:rsid w:val="004B6E50"/>
    <w:rsid w:val="004B728F"/>
    <w:rsid w:val="004B7317"/>
    <w:rsid w:val="004B75B2"/>
    <w:rsid w:val="004B75C6"/>
    <w:rsid w:val="004B7A16"/>
    <w:rsid w:val="004C02C5"/>
    <w:rsid w:val="004C0AC3"/>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6F2"/>
    <w:rsid w:val="004C77FF"/>
    <w:rsid w:val="004C7A0B"/>
    <w:rsid w:val="004C7DB0"/>
    <w:rsid w:val="004C7FFC"/>
    <w:rsid w:val="004D0223"/>
    <w:rsid w:val="004D0C4C"/>
    <w:rsid w:val="004D0D11"/>
    <w:rsid w:val="004D16A3"/>
    <w:rsid w:val="004D16B2"/>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1F1"/>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3FAC"/>
    <w:rsid w:val="004F43A7"/>
    <w:rsid w:val="004F447B"/>
    <w:rsid w:val="004F497C"/>
    <w:rsid w:val="004F4FAC"/>
    <w:rsid w:val="004F4FE8"/>
    <w:rsid w:val="004F531B"/>
    <w:rsid w:val="004F560C"/>
    <w:rsid w:val="004F5DBB"/>
    <w:rsid w:val="004F60B4"/>
    <w:rsid w:val="004F61A3"/>
    <w:rsid w:val="004F6874"/>
    <w:rsid w:val="004F7922"/>
    <w:rsid w:val="004F7A1F"/>
    <w:rsid w:val="004F7B47"/>
    <w:rsid w:val="004F7CC5"/>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3C1D"/>
    <w:rsid w:val="0051440E"/>
    <w:rsid w:val="00514480"/>
    <w:rsid w:val="005148CD"/>
    <w:rsid w:val="00515180"/>
    <w:rsid w:val="00515973"/>
    <w:rsid w:val="00516069"/>
    <w:rsid w:val="005167E0"/>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6462"/>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786"/>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7F8"/>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5E8F"/>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311"/>
    <w:rsid w:val="00637F27"/>
    <w:rsid w:val="006405EC"/>
    <w:rsid w:val="00640A4D"/>
    <w:rsid w:val="006418F2"/>
    <w:rsid w:val="00641A84"/>
    <w:rsid w:val="00641B05"/>
    <w:rsid w:val="00641DA1"/>
    <w:rsid w:val="00641E5B"/>
    <w:rsid w:val="00642C69"/>
    <w:rsid w:val="0064330A"/>
    <w:rsid w:val="0064335B"/>
    <w:rsid w:val="00643BE3"/>
    <w:rsid w:val="00643F89"/>
    <w:rsid w:val="00644334"/>
    <w:rsid w:val="0064487C"/>
    <w:rsid w:val="00644B36"/>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EA3"/>
    <w:rsid w:val="00662F1F"/>
    <w:rsid w:val="00663D15"/>
    <w:rsid w:val="00664FB5"/>
    <w:rsid w:val="00665030"/>
    <w:rsid w:val="00665670"/>
    <w:rsid w:val="006659EA"/>
    <w:rsid w:val="006661E8"/>
    <w:rsid w:val="00666424"/>
    <w:rsid w:val="0066676C"/>
    <w:rsid w:val="006673B9"/>
    <w:rsid w:val="0066790C"/>
    <w:rsid w:val="00667C7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43D"/>
    <w:rsid w:val="006A6786"/>
    <w:rsid w:val="006A77AD"/>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13A"/>
    <w:rsid w:val="006D2F72"/>
    <w:rsid w:val="006D399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1C40"/>
    <w:rsid w:val="006E20D9"/>
    <w:rsid w:val="006E27DC"/>
    <w:rsid w:val="006E2902"/>
    <w:rsid w:val="006E2F9D"/>
    <w:rsid w:val="006E37C6"/>
    <w:rsid w:val="006E39A3"/>
    <w:rsid w:val="006E3A75"/>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1B5"/>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633"/>
    <w:rsid w:val="00707967"/>
    <w:rsid w:val="00710257"/>
    <w:rsid w:val="00710587"/>
    <w:rsid w:val="007107D5"/>
    <w:rsid w:val="007119DC"/>
    <w:rsid w:val="00711CC7"/>
    <w:rsid w:val="0071230A"/>
    <w:rsid w:val="0071294A"/>
    <w:rsid w:val="00712BDD"/>
    <w:rsid w:val="00712E1E"/>
    <w:rsid w:val="00712F37"/>
    <w:rsid w:val="00713A6B"/>
    <w:rsid w:val="00713CB5"/>
    <w:rsid w:val="00714769"/>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A35"/>
    <w:rsid w:val="00742D32"/>
    <w:rsid w:val="00742E9B"/>
    <w:rsid w:val="00743761"/>
    <w:rsid w:val="007444E6"/>
    <w:rsid w:val="0074592C"/>
    <w:rsid w:val="00745C91"/>
    <w:rsid w:val="00746098"/>
    <w:rsid w:val="00746D58"/>
    <w:rsid w:val="00747578"/>
    <w:rsid w:val="007475AC"/>
    <w:rsid w:val="00750ACA"/>
    <w:rsid w:val="00750CF6"/>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2E0"/>
    <w:rsid w:val="007660EC"/>
    <w:rsid w:val="007662C7"/>
    <w:rsid w:val="00766862"/>
    <w:rsid w:val="007675DD"/>
    <w:rsid w:val="007702BF"/>
    <w:rsid w:val="007705F0"/>
    <w:rsid w:val="00771CAC"/>
    <w:rsid w:val="00772036"/>
    <w:rsid w:val="0077256C"/>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A7A"/>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E7E1F"/>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4A2"/>
    <w:rsid w:val="00803D82"/>
    <w:rsid w:val="00803D98"/>
    <w:rsid w:val="0080471D"/>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7671"/>
    <w:rsid w:val="00830052"/>
    <w:rsid w:val="008300D0"/>
    <w:rsid w:val="008308D8"/>
    <w:rsid w:val="00831040"/>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0C3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A65"/>
    <w:rsid w:val="00853F7D"/>
    <w:rsid w:val="0085517F"/>
    <w:rsid w:val="0085562D"/>
    <w:rsid w:val="00855A78"/>
    <w:rsid w:val="00856154"/>
    <w:rsid w:val="00856286"/>
    <w:rsid w:val="0085657E"/>
    <w:rsid w:val="00856F0E"/>
    <w:rsid w:val="008573AF"/>
    <w:rsid w:val="008576B0"/>
    <w:rsid w:val="008576CC"/>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6617"/>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450"/>
    <w:rsid w:val="00890A64"/>
    <w:rsid w:val="00890C40"/>
    <w:rsid w:val="0089122E"/>
    <w:rsid w:val="008912A7"/>
    <w:rsid w:val="008917C2"/>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274"/>
    <w:rsid w:val="008A232D"/>
    <w:rsid w:val="008A3182"/>
    <w:rsid w:val="008A3C76"/>
    <w:rsid w:val="008A3D54"/>
    <w:rsid w:val="008A3E10"/>
    <w:rsid w:val="008A411C"/>
    <w:rsid w:val="008A4630"/>
    <w:rsid w:val="008A47CE"/>
    <w:rsid w:val="008A4DFA"/>
    <w:rsid w:val="008A58BE"/>
    <w:rsid w:val="008A5F2F"/>
    <w:rsid w:val="008A6BAE"/>
    <w:rsid w:val="008A7350"/>
    <w:rsid w:val="008A7609"/>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720"/>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6DE"/>
    <w:rsid w:val="008E58A3"/>
    <w:rsid w:val="008E5938"/>
    <w:rsid w:val="008E6109"/>
    <w:rsid w:val="008E6A39"/>
    <w:rsid w:val="008E6DD7"/>
    <w:rsid w:val="008E76BB"/>
    <w:rsid w:val="008F1764"/>
    <w:rsid w:val="008F1A26"/>
    <w:rsid w:val="008F1E3D"/>
    <w:rsid w:val="008F235C"/>
    <w:rsid w:val="008F2362"/>
    <w:rsid w:val="008F290B"/>
    <w:rsid w:val="008F2F11"/>
    <w:rsid w:val="008F3369"/>
    <w:rsid w:val="008F33A6"/>
    <w:rsid w:val="008F35EC"/>
    <w:rsid w:val="008F4FE8"/>
    <w:rsid w:val="008F4FED"/>
    <w:rsid w:val="008F5008"/>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5F7F"/>
    <w:rsid w:val="0091627F"/>
    <w:rsid w:val="00916E45"/>
    <w:rsid w:val="0092077A"/>
    <w:rsid w:val="00920DC0"/>
    <w:rsid w:val="009219F3"/>
    <w:rsid w:val="009221CB"/>
    <w:rsid w:val="00922320"/>
    <w:rsid w:val="00923643"/>
    <w:rsid w:val="00923E1A"/>
    <w:rsid w:val="009245CC"/>
    <w:rsid w:val="0092490A"/>
    <w:rsid w:val="00925464"/>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474"/>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39"/>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33D1"/>
    <w:rsid w:val="00974022"/>
    <w:rsid w:val="009743E8"/>
    <w:rsid w:val="009745D8"/>
    <w:rsid w:val="00974E0A"/>
    <w:rsid w:val="00974F3B"/>
    <w:rsid w:val="0097552A"/>
    <w:rsid w:val="0097564A"/>
    <w:rsid w:val="00975974"/>
    <w:rsid w:val="00975D06"/>
    <w:rsid w:val="00975D63"/>
    <w:rsid w:val="00975DAE"/>
    <w:rsid w:val="00976BBE"/>
    <w:rsid w:val="00976C9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3A9"/>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2D1"/>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CDD"/>
    <w:rsid w:val="009C724B"/>
    <w:rsid w:val="009C7266"/>
    <w:rsid w:val="009C748A"/>
    <w:rsid w:val="009C7825"/>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9F7582"/>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2DA1"/>
    <w:rsid w:val="00A2334E"/>
    <w:rsid w:val="00A23442"/>
    <w:rsid w:val="00A249D2"/>
    <w:rsid w:val="00A254AB"/>
    <w:rsid w:val="00A259F2"/>
    <w:rsid w:val="00A266CC"/>
    <w:rsid w:val="00A26BBA"/>
    <w:rsid w:val="00A26DB4"/>
    <w:rsid w:val="00A27425"/>
    <w:rsid w:val="00A3023E"/>
    <w:rsid w:val="00A305C5"/>
    <w:rsid w:val="00A30919"/>
    <w:rsid w:val="00A314F4"/>
    <w:rsid w:val="00A31F05"/>
    <w:rsid w:val="00A31FD2"/>
    <w:rsid w:val="00A33674"/>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690"/>
    <w:rsid w:val="00A65EFB"/>
    <w:rsid w:val="00A66E28"/>
    <w:rsid w:val="00A67429"/>
    <w:rsid w:val="00A677E7"/>
    <w:rsid w:val="00A67CE9"/>
    <w:rsid w:val="00A70590"/>
    <w:rsid w:val="00A7062E"/>
    <w:rsid w:val="00A70834"/>
    <w:rsid w:val="00A71542"/>
    <w:rsid w:val="00A7171F"/>
    <w:rsid w:val="00A71FA0"/>
    <w:rsid w:val="00A71FBD"/>
    <w:rsid w:val="00A720E2"/>
    <w:rsid w:val="00A72727"/>
    <w:rsid w:val="00A727D8"/>
    <w:rsid w:val="00A72C1A"/>
    <w:rsid w:val="00A732FB"/>
    <w:rsid w:val="00A7463E"/>
    <w:rsid w:val="00A758E2"/>
    <w:rsid w:val="00A765B1"/>
    <w:rsid w:val="00A772F2"/>
    <w:rsid w:val="00A77828"/>
    <w:rsid w:val="00A77BAA"/>
    <w:rsid w:val="00A800F9"/>
    <w:rsid w:val="00A803A6"/>
    <w:rsid w:val="00A8073D"/>
    <w:rsid w:val="00A8091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2A61"/>
    <w:rsid w:val="00AA30E8"/>
    <w:rsid w:val="00AA3243"/>
    <w:rsid w:val="00AA388F"/>
    <w:rsid w:val="00AA3C4C"/>
    <w:rsid w:val="00AA408E"/>
    <w:rsid w:val="00AA4DA9"/>
    <w:rsid w:val="00AA4F6D"/>
    <w:rsid w:val="00AA50CE"/>
    <w:rsid w:val="00AA536B"/>
    <w:rsid w:val="00AA57C9"/>
    <w:rsid w:val="00AA5A5C"/>
    <w:rsid w:val="00AA5A6F"/>
    <w:rsid w:val="00AA5B43"/>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272"/>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2AA0"/>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B22"/>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FC7"/>
    <w:rsid w:val="00B2125C"/>
    <w:rsid w:val="00B21676"/>
    <w:rsid w:val="00B219E1"/>
    <w:rsid w:val="00B21ECF"/>
    <w:rsid w:val="00B22150"/>
    <w:rsid w:val="00B226DE"/>
    <w:rsid w:val="00B22FB5"/>
    <w:rsid w:val="00B241D5"/>
    <w:rsid w:val="00B24BE9"/>
    <w:rsid w:val="00B24D03"/>
    <w:rsid w:val="00B2551D"/>
    <w:rsid w:val="00B25C9A"/>
    <w:rsid w:val="00B25F8C"/>
    <w:rsid w:val="00B260BE"/>
    <w:rsid w:val="00B26677"/>
    <w:rsid w:val="00B26A96"/>
    <w:rsid w:val="00B274E3"/>
    <w:rsid w:val="00B2765C"/>
    <w:rsid w:val="00B27C4B"/>
    <w:rsid w:val="00B27FE0"/>
    <w:rsid w:val="00B30563"/>
    <w:rsid w:val="00B3069E"/>
    <w:rsid w:val="00B30A76"/>
    <w:rsid w:val="00B31246"/>
    <w:rsid w:val="00B312D1"/>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D3B"/>
    <w:rsid w:val="00B62F0A"/>
    <w:rsid w:val="00B63484"/>
    <w:rsid w:val="00B634B7"/>
    <w:rsid w:val="00B634F1"/>
    <w:rsid w:val="00B637EF"/>
    <w:rsid w:val="00B63EF6"/>
    <w:rsid w:val="00B6440A"/>
    <w:rsid w:val="00B64F41"/>
    <w:rsid w:val="00B65788"/>
    <w:rsid w:val="00B65844"/>
    <w:rsid w:val="00B66043"/>
    <w:rsid w:val="00B66054"/>
    <w:rsid w:val="00B6677F"/>
    <w:rsid w:val="00B66B59"/>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45F"/>
    <w:rsid w:val="00B90D8D"/>
    <w:rsid w:val="00B91263"/>
    <w:rsid w:val="00B91B61"/>
    <w:rsid w:val="00B91E6E"/>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57"/>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554"/>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1B4E"/>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E90"/>
    <w:rsid w:val="00C24FFB"/>
    <w:rsid w:val="00C25CFF"/>
    <w:rsid w:val="00C25EA6"/>
    <w:rsid w:val="00C26164"/>
    <w:rsid w:val="00C261C1"/>
    <w:rsid w:val="00C26574"/>
    <w:rsid w:val="00C26DBF"/>
    <w:rsid w:val="00C27199"/>
    <w:rsid w:val="00C27204"/>
    <w:rsid w:val="00C27798"/>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462"/>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18"/>
    <w:rsid w:val="00C643ED"/>
    <w:rsid w:val="00C64534"/>
    <w:rsid w:val="00C64D93"/>
    <w:rsid w:val="00C64F49"/>
    <w:rsid w:val="00C64F71"/>
    <w:rsid w:val="00C64F9E"/>
    <w:rsid w:val="00C650E3"/>
    <w:rsid w:val="00C65200"/>
    <w:rsid w:val="00C65BD3"/>
    <w:rsid w:val="00C65CE0"/>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87F8A"/>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07F"/>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510"/>
    <w:rsid w:val="00CC7617"/>
    <w:rsid w:val="00CC7E0D"/>
    <w:rsid w:val="00CC7E97"/>
    <w:rsid w:val="00CD00EB"/>
    <w:rsid w:val="00CD1255"/>
    <w:rsid w:val="00CD1484"/>
    <w:rsid w:val="00CD1892"/>
    <w:rsid w:val="00CD1C01"/>
    <w:rsid w:val="00CD1D00"/>
    <w:rsid w:val="00CD2009"/>
    <w:rsid w:val="00CD256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48E"/>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5C0"/>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61C"/>
    <w:rsid w:val="00D45C61"/>
    <w:rsid w:val="00D45DDC"/>
    <w:rsid w:val="00D5064C"/>
    <w:rsid w:val="00D50C94"/>
    <w:rsid w:val="00D511E7"/>
    <w:rsid w:val="00D517ED"/>
    <w:rsid w:val="00D5251C"/>
    <w:rsid w:val="00D5266B"/>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213"/>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ACF"/>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15D"/>
    <w:rsid w:val="00DB540C"/>
    <w:rsid w:val="00DB6C0A"/>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16B"/>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178"/>
    <w:rsid w:val="00E07715"/>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888"/>
    <w:rsid w:val="00E42E94"/>
    <w:rsid w:val="00E43006"/>
    <w:rsid w:val="00E4312A"/>
    <w:rsid w:val="00E4331B"/>
    <w:rsid w:val="00E43440"/>
    <w:rsid w:val="00E43551"/>
    <w:rsid w:val="00E437FA"/>
    <w:rsid w:val="00E45A2C"/>
    <w:rsid w:val="00E45EB8"/>
    <w:rsid w:val="00E46A6B"/>
    <w:rsid w:val="00E46A9C"/>
    <w:rsid w:val="00E46D01"/>
    <w:rsid w:val="00E47DB1"/>
    <w:rsid w:val="00E50BDD"/>
    <w:rsid w:val="00E510CF"/>
    <w:rsid w:val="00E513D7"/>
    <w:rsid w:val="00E519FE"/>
    <w:rsid w:val="00E5206C"/>
    <w:rsid w:val="00E52AAB"/>
    <w:rsid w:val="00E5448E"/>
    <w:rsid w:val="00E54E0D"/>
    <w:rsid w:val="00E55247"/>
    <w:rsid w:val="00E552CE"/>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1E28"/>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1D7"/>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54F"/>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C06"/>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5134"/>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3FF"/>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BB0"/>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8A0"/>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027"/>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5A8"/>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77"/>
    <w:rsid w:val="00FD6AF0"/>
    <w:rsid w:val="00FD704D"/>
    <w:rsid w:val="00FD74EF"/>
    <w:rsid w:val="00FD79B8"/>
    <w:rsid w:val="00FD79F6"/>
    <w:rsid w:val="00FE033F"/>
    <w:rsid w:val="00FE07A8"/>
    <w:rsid w:val="00FE0AD1"/>
    <w:rsid w:val="00FE0CC0"/>
    <w:rsid w:val="00FE1852"/>
    <w:rsid w:val="00FE1963"/>
    <w:rsid w:val="00FE1981"/>
    <w:rsid w:val="00FE1BF1"/>
    <w:rsid w:val="00FE2E4D"/>
    <w:rsid w:val="00FE33DB"/>
    <w:rsid w:val="00FE33F5"/>
    <w:rsid w:val="00FE352A"/>
    <w:rsid w:val="00FE37DD"/>
    <w:rsid w:val="00FE3C31"/>
    <w:rsid w:val="00FE4015"/>
    <w:rsid w:val="00FE447D"/>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92C1C"/>
    <w:rsid w:val="019F7441"/>
    <w:rsid w:val="01B37585"/>
    <w:rsid w:val="01C65DA5"/>
    <w:rsid w:val="01D55165"/>
    <w:rsid w:val="01DB19F7"/>
    <w:rsid w:val="01DF6BF8"/>
    <w:rsid w:val="01EC2C57"/>
    <w:rsid w:val="02187E2F"/>
    <w:rsid w:val="025F0711"/>
    <w:rsid w:val="02665C24"/>
    <w:rsid w:val="026B2E25"/>
    <w:rsid w:val="02824D4D"/>
    <w:rsid w:val="02825C61"/>
    <w:rsid w:val="029437F2"/>
    <w:rsid w:val="02DC4B10"/>
    <w:rsid w:val="02DD76CE"/>
    <w:rsid w:val="02F36323"/>
    <w:rsid w:val="02F5619C"/>
    <w:rsid w:val="030F1660"/>
    <w:rsid w:val="0326446A"/>
    <w:rsid w:val="032D5555"/>
    <w:rsid w:val="03634626"/>
    <w:rsid w:val="036634D2"/>
    <w:rsid w:val="03BC371C"/>
    <w:rsid w:val="03DD35E4"/>
    <w:rsid w:val="03F040A4"/>
    <w:rsid w:val="04076900"/>
    <w:rsid w:val="041A5A3B"/>
    <w:rsid w:val="042311BA"/>
    <w:rsid w:val="042B157A"/>
    <w:rsid w:val="04427F72"/>
    <w:rsid w:val="04461F7D"/>
    <w:rsid w:val="048F763B"/>
    <w:rsid w:val="049F330E"/>
    <w:rsid w:val="04AA775C"/>
    <w:rsid w:val="04AF1889"/>
    <w:rsid w:val="04C64E6C"/>
    <w:rsid w:val="04F66F48"/>
    <w:rsid w:val="05200083"/>
    <w:rsid w:val="05251E14"/>
    <w:rsid w:val="05A16594"/>
    <w:rsid w:val="05A7762D"/>
    <w:rsid w:val="05E46AC6"/>
    <w:rsid w:val="060E5941"/>
    <w:rsid w:val="06110FAF"/>
    <w:rsid w:val="06111BEC"/>
    <w:rsid w:val="061E21DC"/>
    <w:rsid w:val="06493CA7"/>
    <w:rsid w:val="065A6178"/>
    <w:rsid w:val="066F1CF3"/>
    <w:rsid w:val="06930BB8"/>
    <w:rsid w:val="06EA39DF"/>
    <w:rsid w:val="06FA53AA"/>
    <w:rsid w:val="07040B56"/>
    <w:rsid w:val="07245D42"/>
    <w:rsid w:val="07264C62"/>
    <w:rsid w:val="075D792C"/>
    <w:rsid w:val="0779354C"/>
    <w:rsid w:val="078C0CE5"/>
    <w:rsid w:val="07A46B95"/>
    <w:rsid w:val="08061376"/>
    <w:rsid w:val="080A5500"/>
    <w:rsid w:val="082527CA"/>
    <w:rsid w:val="08452D77"/>
    <w:rsid w:val="086401F8"/>
    <w:rsid w:val="08661343"/>
    <w:rsid w:val="08751CAA"/>
    <w:rsid w:val="087E4C40"/>
    <w:rsid w:val="08923AEE"/>
    <w:rsid w:val="08A871D0"/>
    <w:rsid w:val="08D66AD6"/>
    <w:rsid w:val="08DA33A3"/>
    <w:rsid w:val="08E80F13"/>
    <w:rsid w:val="09115F4B"/>
    <w:rsid w:val="09335624"/>
    <w:rsid w:val="0944690F"/>
    <w:rsid w:val="09535675"/>
    <w:rsid w:val="095A6AEA"/>
    <w:rsid w:val="095F057D"/>
    <w:rsid w:val="09642282"/>
    <w:rsid w:val="09733572"/>
    <w:rsid w:val="09772C16"/>
    <w:rsid w:val="098353B5"/>
    <w:rsid w:val="09966C5E"/>
    <w:rsid w:val="099B47C0"/>
    <w:rsid w:val="099C4BF6"/>
    <w:rsid w:val="09A92330"/>
    <w:rsid w:val="09B06B87"/>
    <w:rsid w:val="09C13146"/>
    <w:rsid w:val="09D20B14"/>
    <w:rsid w:val="09D24960"/>
    <w:rsid w:val="09E04166"/>
    <w:rsid w:val="0A0E07D1"/>
    <w:rsid w:val="0A1C0718"/>
    <w:rsid w:val="0A3E7710"/>
    <w:rsid w:val="0A4F2D63"/>
    <w:rsid w:val="0A5B7E63"/>
    <w:rsid w:val="0A703465"/>
    <w:rsid w:val="0AA374A5"/>
    <w:rsid w:val="0AAB7649"/>
    <w:rsid w:val="0ABC5606"/>
    <w:rsid w:val="0ABD41D3"/>
    <w:rsid w:val="0AF811E2"/>
    <w:rsid w:val="0AF82D12"/>
    <w:rsid w:val="0B30404E"/>
    <w:rsid w:val="0B4C6C14"/>
    <w:rsid w:val="0B547599"/>
    <w:rsid w:val="0B631A88"/>
    <w:rsid w:val="0B683D45"/>
    <w:rsid w:val="0B7B7FAE"/>
    <w:rsid w:val="0B7F3F11"/>
    <w:rsid w:val="0B884417"/>
    <w:rsid w:val="0BAC0749"/>
    <w:rsid w:val="0BAC4F18"/>
    <w:rsid w:val="0BF6188C"/>
    <w:rsid w:val="0BF73C91"/>
    <w:rsid w:val="0BFF694C"/>
    <w:rsid w:val="0C170175"/>
    <w:rsid w:val="0C571A41"/>
    <w:rsid w:val="0C5C1171"/>
    <w:rsid w:val="0C5E1CBC"/>
    <w:rsid w:val="0C615B50"/>
    <w:rsid w:val="0C8445DA"/>
    <w:rsid w:val="0C8551CE"/>
    <w:rsid w:val="0C87121B"/>
    <w:rsid w:val="0CAA69BB"/>
    <w:rsid w:val="0CC007F7"/>
    <w:rsid w:val="0CC617AC"/>
    <w:rsid w:val="0CE618DF"/>
    <w:rsid w:val="0CF92D00"/>
    <w:rsid w:val="0CF956B3"/>
    <w:rsid w:val="0CFE707A"/>
    <w:rsid w:val="0D063BDA"/>
    <w:rsid w:val="0D08375F"/>
    <w:rsid w:val="0D15123D"/>
    <w:rsid w:val="0D184CFB"/>
    <w:rsid w:val="0D2C13BC"/>
    <w:rsid w:val="0D4A7419"/>
    <w:rsid w:val="0D827401"/>
    <w:rsid w:val="0D84094E"/>
    <w:rsid w:val="0D8A00E9"/>
    <w:rsid w:val="0D8D589E"/>
    <w:rsid w:val="0DA01C73"/>
    <w:rsid w:val="0DD63300"/>
    <w:rsid w:val="0DF50604"/>
    <w:rsid w:val="0DF702FE"/>
    <w:rsid w:val="0E060E51"/>
    <w:rsid w:val="0E3C42C8"/>
    <w:rsid w:val="0E5604B2"/>
    <w:rsid w:val="0E6D5D79"/>
    <w:rsid w:val="0E9D0089"/>
    <w:rsid w:val="0EA22A67"/>
    <w:rsid w:val="0EB803EE"/>
    <w:rsid w:val="0EF94D4B"/>
    <w:rsid w:val="0F4958DC"/>
    <w:rsid w:val="0F515DF7"/>
    <w:rsid w:val="0F596BA8"/>
    <w:rsid w:val="0F6248D2"/>
    <w:rsid w:val="0F693536"/>
    <w:rsid w:val="0F7B0511"/>
    <w:rsid w:val="0F7B76D9"/>
    <w:rsid w:val="0F816ACD"/>
    <w:rsid w:val="0F9832DB"/>
    <w:rsid w:val="0FA20B46"/>
    <w:rsid w:val="0FBF3FD2"/>
    <w:rsid w:val="0FBF7FF3"/>
    <w:rsid w:val="0FD50659"/>
    <w:rsid w:val="0FDE1960"/>
    <w:rsid w:val="10597F53"/>
    <w:rsid w:val="10646583"/>
    <w:rsid w:val="10672EF5"/>
    <w:rsid w:val="107D4B15"/>
    <w:rsid w:val="108A3C80"/>
    <w:rsid w:val="10C26171"/>
    <w:rsid w:val="10F33360"/>
    <w:rsid w:val="10FC16EA"/>
    <w:rsid w:val="110F1D40"/>
    <w:rsid w:val="11266F33"/>
    <w:rsid w:val="118963A1"/>
    <w:rsid w:val="11C6522A"/>
    <w:rsid w:val="11E104CC"/>
    <w:rsid w:val="11E20309"/>
    <w:rsid w:val="12255233"/>
    <w:rsid w:val="123D5E0E"/>
    <w:rsid w:val="12530213"/>
    <w:rsid w:val="127723A9"/>
    <w:rsid w:val="12862074"/>
    <w:rsid w:val="12883966"/>
    <w:rsid w:val="128F39C6"/>
    <w:rsid w:val="129E45B4"/>
    <w:rsid w:val="12D81596"/>
    <w:rsid w:val="12FF7805"/>
    <w:rsid w:val="13072A44"/>
    <w:rsid w:val="13187937"/>
    <w:rsid w:val="135F4BE2"/>
    <w:rsid w:val="136C0D50"/>
    <w:rsid w:val="137E2620"/>
    <w:rsid w:val="1385033B"/>
    <w:rsid w:val="139B1A0A"/>
    <w:rsid w:val="139D25C7"/>
    <w:rsid w:val="13BF3CE4"/>
    <w:rsid w:val="141008D8"/>
    <w:rsid w:val="14125FE6"/>
    <w:rsid w:val="141F1EA3"/>
    <w:rsid w:val="14256DFF"/>
    <w:rsid w:val="145552DF"/>
    <w:rsid w:val="146D271E"/>
    <w:rsid w:val="14982588"/>
    <w:rsid w:val="149A5AD9"/>
    <w:rsid w:val="14A7619D"/>
    <w:rsid w:val="150536C3"/>
    <w:rsid w:val="150C1963"/>
    <w:rsid w:val="151447A0"/>
    <w:rsid w:val="151D4FE0"/>
    <w:rsid w:val="152B4878"/>
    <w:rsid w:val="153011E1"/>
    <w:rsid w:val="154A6454"/>
    <w:rsid w:val="15762120"/>
    <w:rsid w:val="15860480"/>
    <w:rsid w:val="15975277"/>
    <w:rsid w:val="15D45BCF"/>
    <w:rsid w:val="15F63BCE"/>
    <w:rsid w:val="16A8729C"/>
    <w:rsid w:val="16B33777"/>
    <w:rsid w:val="16BC70A7"/>
    <w:rsid w:val="16C6339E"/>
    <w:rsid w:val="1705217F"/>
    <w:rsid w:val="172F2D79"/>
    <w:rsid w:val="17557BEF"/>
    <w:rsid w:val="176A0F9C"/>
    <w:rsid w:val="17D349C1"/>
    <w:rsid w:val="1830729E"/>
    <w:rsid w:val="18316649"/>
    <w:rsid w:val="1870062C"/>
    <w:rsid w:val="18817102"/>
    <w:rsid w:val="18830A15"/>
    <w:rsid w:val="18852B28"/>
    <w:rsid w:val="188B5321"/>
    <w:rsid w:val="18CE3AAC"/>
    <w:rsid w:val="19081158"/>
    <w:rsid w:val="198765D2"/>
    <w:rsid w:val="19932372"/>
    <w:rsid w:val="19A20DD5"/>
    <w:rsid w:val="19AE03F1"/>
    <w:rsid w:val="19C45861"/>
    <w:rsid w:val="1A071A03"/>
    <w:rsid w:val="1A0C4C42"/>
    <w:rsid w:val="1A1F16AE"/>
    <w:rsid w:val="1A2331BE"/>
    <w:rsid w:val="1A2A20FA"/>
    <w:rsid w:val="1A3B5C77"/>
    <w:rsid w:val="1A984BAD"/>
    <w:rsid w:val="1AB8220E"/>
    <w:rsid w:val="1AD03EF7"/>
    <w:rsid w:val="1AE4166C"/>
    <w:rsid w:val="1AF06CFB"/>
    <w:rsid w:val="1AF11B8D"/>
    <w:rsid w:val="1B11359C"/>
    <w:rsid w:val="1B2A271F"/>
    <w:rsid w:val="1B530544"/>
    <w:rsid w:val="1B713184"/>
    <w:rsid w:val="1BA209CF"/>
    <w:rsid w:val="1BB4777D"/>
    <w:rsid w:val="1BD75AB8"/>
    <w:rsid w:val="1C0459C2"/>
    <w:rsid w:val="1C1A0C3F"/>
    <w:rsid w:val="1C1B3B4A"/>
    <w:rsid w:val="1C357D1D"/>
    <w:rsid w:val="1C714B8B"/>
    <w:rsid w:val="1C7725CD"/>
    <w:rsid w:val="1C88086E"/>
    <w:rsid w:val="1CA63CAC"/>
    <w:rsid w:val="1CF05A89"/>
    <w:rsid w:val="1D266CE1"/>
    <w:rsid w:val="1D3963AF"/>
    <w:rsid w:val="1D3D0FE5"/>
    <w:rsid w:val="1D6A673C"/>
    <w:rsid w:val="1D9247AE"/>
    <w:rsid w:val="1DB567EC"/>
    <w:rsid w:val="1DCE74BF"/>
    <w:rsid w:val="1DD51E9A"/>
    <w:rsid w:val="1DF51A98"/>
    <w:rsid w:val="1E3D060F"/>
    <w:rsid w:val="1E3F7D2E"/>
    <w:rsid w:val="1E4134E4"/>
    <w:rsid w:val="1E5062B3"/>
    <w:rsid w:val="1E523514"/>
    <w:rsid w:val="1E714A66"/>
    <w:rsid w:val="1E802593"/>
    <w:rsid w:val="1E8B6156"/>
    <w:rsid w:val="1EA703CC"/>
    <w:rsid w:val="1EB7330C"/>
    <w:rsid w:val="1EEC4097"/>
    <w:rsid w:val="1F0A0FF3"/>
    <w:rsid w:val="1F204D21"/>
    <w:rsid w:val="1F4E7AE0"/>
    <w:rsid w:val="1F5771FF"/>
    <w:rsid w:val="1F904124"/>
    <w:rsid w:val="1FE868A9"/>
    <w:rsid w:val="20034907"/>
    <w:rsid w:val="20146532"/>
    <w:rsid w:val="20173E4B"/>
    <w:rsid w:val="204E48BC"/>
    <w:rsid w:val="204F13EA"/>
    <w:rsid w:val="208921B3"/>
    <w:rsid w:val="20973DEB"/>
    <w:rsid w:val="20B26522"/>
    <w:rsid w:val="20B44310"/>
    <w:rsid w:val="20CF4C51"/>
    <w:rsid w:val="20EA37A2"/>
    <w:rsid w:val="211116EB"/>
    <w:rsid w:val="21493D8D"/>
    <w:rsid w:val="21555156"/>
    <w:rsid w:val="216133FC"/>
    <w:rsid w:val="21D56769"/>
    <w:rsid w:val="21E52EF3"/>
    <w:rsid w:val="21FB5D7B"/>
    <w:rsid w:val="22015E94"/>
    <w:rsid w:val="220B1C3D"/>
    <w:rsid w:val="221D1D20"/>
    <w:rsid w:val="22334A87"/>
    <w:rsid w:val="227377F4"/>
    <w:rsid w:val="22BE6801"/>
    <w:rsid w:val="233500BF"/>
    <w:rsid w:val="23377FF7"/>
    <w:rsid w:val="233F5DA8"/>
    <w:rsid w:val="236B425F"/>
    <w:rsid w:val="237C2E6E"/>
    <w:rsid w:val="23836192"/>
    <w:rsid w:val="2389277A"/>
    <w:rsid w:val="23901F29"/>
    <w:rsid w:val="239C0061"/>
    <w:rsid w:val="23A70E65"/>
    <w:rsid w:val="23B908A4"/>
    <w:rsid w:val="23E95BEF"/>
    <w:rsid w:val="23FD0064"/>
    <w:rsid w:val="241412F8"/>
    <w:rsid w:val="245375B0"/>
    <w:rsid w:val="245F7918"/>
    <w:rsid w:val="24642C0A"/>
    <w:rsid w:val="24A845B4"/>
    <w:rsid w:val="24B22173"/>
    <w:rsid w:val="24B95AD9"/>
    <w:rsid w:val="24BE24DA"/>
    <w:rsid w:val="24CF5825"/>
    <w:rsid w:val="24D663E6"/>
    <w:rsid w:val="24D77F2B"/>
    <w:rsid w:val="24FC4195"/>
    <w:rsid w:val="2548320E"/>
    <w:rsid w:val="256A02D1"/>
    <w:rsid w:val="258B00E2"/>
    <w:rsid w:val="25A917A6"/>
    <w:rsid w:val="25BE27CC"/>
    <w:rsid w:val="25F74A5C"/>
    <w:rsid w:val="2628662C"/>
    <w:rsid w:val="262D45DE"/>
    <w:rsid w:val="26752EBD"/>
    <w:rsid w:val="26871DC8"/>
    <w:rsid w:val="26A53EF9"/>
    <w:rsid w:val="26A94201"/>
    <w:rsid w:val="26AC274F"/>
    <w:rsid w:val="26F44914"/>
    <w:rsid w:val="27044A29"/>
    <w:rsid w:val="271D34C8"/>
    <w:rsid w:val="276142BF"/>
    <w:rsid w:val="27783712"/>
    <w:rsid w:val="277D53F6"/>
    <w:rsid w:val="27907362"/>
    <w:rsid w:val="28333E1D"/>
    <w:rsid w:val="28343E2C"/>
    <w:rsid w:val="28454BD6"/>
    <w:rsid w:val="28455253"/>
    <w:rsid w:val="28551971"/>
    <w:rsid w:val="285B1C53"/>
    <w:rsid w:val="289F7086"/>
    <w:rsid w:val="28BA7F95"/>
    <w:rsid w:val="28C32028"/>
    <w:rsid w:val="28CC490F"/>
    <w:rsid w:val="28DE40AA"/>
    <w:rsid w:val="290D6316"/>
    <w:rsid w:val="29345E77"/>
    <w:rsid w:val="294C65AD"/>
    <w:rsid w:val="29806583"/>
    <w:rsid w:val="298B3C4C"/>
    <w:rsid w:val="29A173B2"/>
    <w:rsid w:val="29C50162"/>
    <w:rsid w:val="29F26D24"/>
    <w:rsid w:val="2A15033F"/>
    <w:rsid w:val="2A1662C1"/>
    <w:rsid w:val="2A1C7367"/>
    <w:rsid w:val="2A2815FA"/>
    <w:rsid w:val="2A6D6092"/>
    <w:rsid w:val="2A7D76B4"/>
    <w:rsid w:val="2AA3048F"/>
    <w:rsid w:val="2AAC36BA"/>
    <w:rsid w:val="2ADB7427"/>
    <w:rsid w:val="2B360732"/>
    <w:rsid w:val="2B437463"/>
    <w:rsid w:val="2B7807EE"/>
    <w:rsid w:val="2BA50BF7"/>
    <w:rsid w:val="2BBB02AC"/>
    <w:rsid w:val="2BBF00EC"/>
    <w:rsid w:val="2BC37CFD"/>
    <w:rsid w:val="2BD26D94"/>
    <w:rsid w:val="2BD5237F"/>
    <w:rsid w:val="2BE536CE"/>
    <w:rsid w:val="2BE758D9"/>
    <w:rsid w:val="2C09049E"/>
    <w:rsid w:val="2C0A653C"/>
    <w:rsid w:val="2C191F85"/>
    <w:rsid w:val="2CE82D6F"/>
    <w:rsid w:val="2D282E4E"/>
    <w:rsid w:val="2D343236"/>
    <w:rsid w:val="2D42160A"/>
    <w:rsid w:val="2D7032D6"/>
    <w:rsid w:val="2DD15014"/>
    <w:rsid w:val="2DF72DE4"/>
    <w:rsid w:val="2E0220AF"/>
    <w:rsid w:val="2E0A2E34"/>
    <w:rsid w:val="2E304118"/>
    <w:rsid w:val="2E4B082A"/>
    <w:rsid w:val="2E4E6DE3"/>
    <w:rsid w:val="2E5D4E86"/>
    <w:rsid w:val="2E5D790B"/>
    <w:rsid w:val="2E821554"/>
    <w:rsid w:val="2E941184"/>
    <w:rsid w:val="2E9A3C18"/>
    <w:rsid w:val="2EBB0FEE"/>
    <w:rsid w:val="2EC63002"/>
    <w:rsid w:val="2F0A6B38"/>
    <w:rsid w:val="2F297139"/>
    <w:rsid w:val="2F946CCB"/>
    <w:rsid w:val="2FD25781"/>
    <w:rsid w:val="2FDC745C"/>
    <w:rsid w:val="2FEB7E18"/>
    <w:rsid w:val="2FFD7934"/>
    <w:rsid w:val="303C1F0A"/>
    <w:rsid w:val="30733ACD"/>
    <w:rsid w:val="307F2116"/>
    <w:rsid w:val="308C3862"/>
    <w:rsid w:val="309379D8"/>
    <w:rsid w:val="30A270F7"/>
    <w:rsid w:val="30DF1478"/>
    <w:rsid w:val="30EC586F"/>
    <w:rsid w:val="314A30C8"/>
    <w:rsid w:val="314F4A90"/>
    <w:rsid w:val="319C6071"/>
    <w:rsid w:val="31A11ECE"/>
    <w:rsid w:val="31AC537E"/>
    <w:rsid w:val="31E3679B"/>
    <w:rsid w:val="31E732FD"/>
    <w:rsid w:val="32293CB0"/>
    <w:rsid w:val="32517576"/>
    <w:rsid w:val="32B23428"/>
    <w:rsid w:val="32BE5C2C"/>
    <w:rsid w:val="32D63C1D"/>
    <w:rsid w:val="32FB6478"/>
    <w:rsid w:val="330251F1"/>
    <w:rsid w:val="332410BB"/>
    <w:rsid w:val="33263B3F"/>
    <w:rsid w:val="336963EB"/>
    <w:rsid w:val="33816EEB"/>
    <w:rsid w:val="33D017F1"/>
    <w:rsid w:val="33EB55CD"/>
    <w:rsid w:val="33EC4C02"/>
    <w:rsid w:val="340D2360"/>
    <w:rsid w:val="3410665D"/>
    <w:rsid w:val="34211214"/>
    <w:rsid w:val="342E63AB"/>
    <w:rsid w:val="343D3B77"/>
    <w:rsid w:val="344C76DD"/>
    <w:rsid w:val="34572B3B"/>
    <w:rsid w:val="347B1C97"/>
    <w:rsid w:val="34950E68"/>
    <w:rsid w:val="34952610"/>
    <w:rsid w:val="34986E94"/>
    <w:rsid w:val="34AF62C9"/>
    <w:rsid w:val="34CB4388"/>
    <w:rsid w:val="34DB4543"/>
    <w:rsid w:val="34F62A78"/>
    <w:rsid w:val="34FA6E12"/>
    <w:rsid w:val="354D7158"/>
    <w:rsid w:val="35890953"/>
    <w:rsid w:val="358D5588"/>
    <w:rsid w:val="35B30245"/>
    <w:rsid w:val="35B6664E"/>
    <w:rsid w:val="35C75A5A"/>
    <w:rsid w:val="35CE453D"/>
    <w:rsid w:val="35D71385"/>
    <w:rsid w:val="363A3B40"/>
    <w:rsid w:val="363D0C3D"/>
    <w:rsid w:val="365302AE"/>
    <w:rsid w:val="36607A0A"/>
    <w:rsid w:val="366E227C"/>
    <w:rsid w:val="366F2E0D"/>
    <w:rsid w:val="367B6A5C"/>
    <w:rsid w:val="36A302BA"/>
    <w:rsid w:val="36A74ADA"/>
    <w:rsid w:val="36AD60D5"/>
    <w:rsid w:val="36B224F9"/>
    <w:rsid w:val="36EC0CC9"/>
    <w:rsid w:val="373635C3"/>
    <w:rsid w:val="373F410B"/>
    <w:rsid w:val="377B2654"/>
    <w:rsid w:val="37971BCD"/>
    <w:rsid w:val="37BA1D5F"/>
    <w:rsid w:val="37EE7094"/>
    <w:rsid w:val="382637FF"/>
    <w:rsid w:val="38296C89"/>
    <w:rsid w:val="383002EB"/>
    <w:rsid w:val="38586797"/>
    <w:rsid w:val="38BC0149"/>
    <w:rsid w:val="38D87D1C"/>
    <w:rsid w:val="38DE0004"/>
    <w:rsid w:val="38E13639"/>
    <w:rsid w:val="39636459"/>
    <w:rsid w:val="396B7F6C"/>
    <w:rsid w:val="396E0AAB"/>
    <w:rsid w:val="39882115"/>
    <w:rsid w:val="39947416"/>
    <w:rsid w:val="39B417A9"/>
    <w:rsid w:val="39B61D86"/>
    <w:rsid w:val="39FC5695"/>
    <w:rsid w:val="3A006D8E"/>
    <w:rsid w:val="3A204F94"/>
    <w:rsid w:val="3A3651E5"/>
    <w:rsid w:val="3A3F4604"/>
    <w:rsid w:val="3A454E26"/>
    <w:rsid w:val="3A526BA4"/>
    <w:rsid w:val="3A744481"/>
    <w:rsid w:val="3A8C7BEF"/>
    <w:rsid w:val="3A906246"/>
    <w:rsid w:val="3B2349B7"/>
    <w:rsid w:val="3B616CFF"/>
    <w:rsid w:val="3B6259F6"/>
    <w:rsid w:val="3B7261A2"/>
    <w:rsid w:val="3B976654"/>
    <w:rsid w:val="3B985F13"/>
    <w:rsid w:val="3BC01EFC"/>
    <w:rsid w:val="3BCA786A"/>
    <w:rsid w:val="3BD31E2F"/>
    <w:rsid w:val="3BF15831"/>
    <w:rsid w:val="3C105946"/>
    <w:rsid w:val="3C471448"/>
    <w:rsid w:val="3C5F759A"/>
    <w:rsid w:val="3C6C525A"/>
    <w:rsid w:val="3C925059"/>
    <w:rsid w:val="3CCE23CB"/>
    <w:rsid w:val="3CCE71EB"/>
    <w:rsid w:val="3CD17D17"/>
    <w:rsid w:val="3D1B449C"/>
    <w:rsid w:val="3D1D647D"/>
    <w:rsid w:val="3D3C7F39"/>
    <w:rsid w:val="3D440F09"/>
    <w:rsid w:val="3D4504A0"/>
    <w:rsid w:val="3D6459D0"/>
    <w:rsid w:val="3D8734BB"/>
    <w:rsid w:val="3D9A11D4"/>
    <w:rsid w:val="3DA16D89"/>
    <w:rsid w:val="3DA27EAF"/>
    <w:rsid w:val="3DA364BE"/>
    <w:rsid w:val="3DE041CB"/>
    <w:rsid w:val="3DFBABF8"/>
    <w:rsid w:val="3E0D48F6"/>
    <w:rsid w:val="3E1868B4"/>
    <w:rsid w:val="3E280CDE"/>
    <w:rsid w:val="3E3341DF"/>
    <w:rsid w:val="3E377251"/>
    <w:rsid w:val="3E42664B"/>
    <w:rsid w:val="3E5A7334"/>
    <w:rsid w:val="3E6C4BDD"/>
    <w:rsid w:val="3E7B5D6B"/>
    <w:rsid w:val="3E843E66"/>
    <w:rsid w:val="3E8F51FE"/>
    <w:rsid w:val="3E926F87"/>
    <w:rsid w:val="3E9A59DE"/>
    <w:rsid w:val="3EAF4836"/>
    <w:rsid w:val="3EC33DFA"/>
    <w:rsid w:val="3F060E16"/>
    <w:rsid w:val="3F1D1096"/>
    <w:rsid w:val="3F2F0234"/>
    <w:rsid w:val="3F6363FE"/>
    <w:rsid w:val="3F756B8F"/>
    <w:rsid w:val="3F95482B"/>
    <w:rsid w:val="3FD51BAA"/>
    <w:rsid w:val="40167D4F"/>
    <w:rsid w:val="4019356B"/>
    <w:rsid w:val="404C3184"/>
    <w:rsid w:val="40592157"/>
    <w:rsid w:val="406E1CAE"/>
    <w:rsid w:val="40A0133A"/>
    <w:rsid w:val="40C31A53"/>
    <w:rsid w:val="40E038CA"/>
    <w:rsid w:val="40E36D0A"/>
    <w:rsid w:val="40FF545D"/>
    <w:rsid w:val="410067C8"/>
    <w:rsid w:val="4148347A"/>
    <w:rsid w:val="416176D3"/>
    <w:rsid w:val="418F0D2A"/>
    <w:rsid w:val="41953A29"/>
    <w:rsid w:val="419D570E"/>
    <w:rsid w:val="41D01505"/>
    <w:rsid w:val="41F63994"/>
    <w:rsid w:val="4214377C"/>
    <w:rsid w:val="42474939"/>
    <w:rsid w:val="424C3C57"/>
    <w:rsid w:val="42613FF3"/>
    <w:rsid w:val="42660D96"/>
    <w:rsid w:val="427B49CB"/>
    <w:rsid w:val="428359FE"/>
    <w:rsid w:val="428667D2"/>
    <w:rsid w:val="42CD1CE0"/>
    <w:rsid w:val="42E1381E"/>
    <w:rsid w:val="42ED6459"/>
    <w:rsid w:val="42FE58DD"/>
    <w:rsid w:val="43174B3D"/>
    <w:rsid w:val="432471E3"/>
    <w:rsid w:val="43290598"/>
    <w:rsid w:val="434B790E"/>
    <w:rsid w:val="4360274F"/>
    <w:rsid w:val="4367334B"/>
    <w:rsid w:val="43727149"/>
    <w:rsid w:val="43784FA8"/>
    <w:rsid w:val="43977AB6"/>
    <w:rsid w:val="43A3342B"/>
    <w:rsid w:val="43BA1989"/>
    <w:rsid w:val="43C77C27"/>
    <w:rsid w:val="43DE09EE"/>
    <w:rsid w:val="44002FAD"/>
    <w:rsid w:val="440C3663"/>
    <w:rsid w:val="441C37AA"/>
    <w:rsid w:val="445A46AE"/>
    <w:rsid w:val="449101DD"/>
    <w:rsid w:val="44B615DE"/>
    <w:rsid w:val="44DE1391"/>
    <w:rsid w:val="44E56EC9"/>
    <w:rsid w:val="45021F48"/>
    <w:rsid w:val="451B225C"/>
    <w:rsid w:val="452410C9"/>
    <w:rsid w:val="45317DFB"/>
    <w:rsid w:val="456048E3"/>
    <w:rsid w:val="456D3CE4"/>
    <w:rsid w:val="4579042C"/>
    <w:rsid w:val="457F0571"/>
    <w:rsid w:val="45851176"/>
    <w:rsid w:val="45B61450"/>
    <w:rsid w:val="45C55BC2"/>
    <w:rsid w:val="45C63B94"/>
    <w:rsid w:val="45F60406"/>
    <w:rsid w:val="45F62336"/>
    <w:rsid w:val="460E7DA5"/>
    <w:rsid w:val="46222CF8"/>
    <w:rsid w:val="463A67BA"/>
    <w:rsid w:val="46422483"/>
    <w:rsid w:val="4659254A"/>
    <w:rsid w:val="465B0637"/>
    <w:rsid w:val="465E3F0D"/>
    <w:rsid w:val="466A16E6"/>
    <w:rsid w:val="46893F2B"/>
    <w:rsid w:val="46C444E6"/>
    <w:rsid w:val="46C4686E"/>
    <w:rsid w:val="477B778F"/>
    <w:rsid w:val="478203EC"/>
    <w:rsid w:val="47B025FA"/>
    <w:rsid w:val="47E43C68"/>
    <w:rsid w:val="47FF170E"/>
    <w:rsid w:val="4809698F"/>
    <w:rsid w:val="4811697D"/>
    <w:rsid w:val="48346740"/>
    <w:rsid w:val="487A3E25"/>
    <w:rsid w:val="488B5503"/>
    <w:rsid w:val="48937E21"/>
    <w:rsid w:val="489A0361"/>
    <w:rsid w:val="48A74A10"/>
    <w:rsid w:val="48A8102D"/>
    <w:rsid w:val="48B94FF3"/>
    <w:rsid w:val="48E37AAB"/>
    <w:rsid w:val="48FD4B4C"/>
    <w:rsid w:val="490A68E0"/>
    <w:rsid w:val="491055FE"/>
    <w:rsid w:val="495F5B3E"/>
    <w:rsid w:val="496B43A3"/>
    <w:rsid w:val="496F77D7"/>
    <w:rsid w:val="497654FD"/>
    <w:rsid w:val="49B64211"/>
    <w:rsid w:val="49D41AAC"/>
    <w:rsid w:val="49F6167F"/>
    <w:rsid w:val="4A064FA0"/>
    <w:rsid w:val="4A16615C"/>
    <w:rsid w:val="4A4424D7"/>
    <w:rsid w:val="4A485467"/>
    <w:rsid w:val="4A764214"/>
    <w:rsid w:val="4AB82D0F"/>
    <w:rsid w:val="4AEB7664"/>
    <w:rsid w:val="4AEC6043"/>
    <w:rsid w:val="4AFD7C19"/>
    <w:rsid w:val="4B0567D1"/>
    <w:rsid w:val="4B236AAE"/>
    <w:rsid w:val="4B2F799D"/>
    <w:rsid w:val="4B707271"/>
    <w:rsid w:val="4B9739F7"/>
    <w:rsid w:val="4BEE2503"/>
    <w:rsid w:val="4BF727EA"/>
    <w:rsid w:val="4C076A44"/>
    <w:rsid w:val="4C245A30"/>
    <w:rsid w:val="4C9131F6"/>
    <w:rsid w:val="4CAF7561"/>
    <w:rsid w:val="4CB6685F"/>
    <w:rsid w:val="4CC367FE"/>
    <w:rsid w:val="4CEC04E6"/>
    <w:rsid w:val="4D077F3C"/>
    <w:rsid w:val="4D123355"/>
    <w:rsid w:val="4D2A3B31"/>
    <w:rsid w:val="4D312C52"/>
    <w:rsid w:val="4D89348D"/>
    <w:rsid w:val="4D905305"/>
    <w:rsid w:val="4D964A72"/>
    <w:rsid w:val="4D9C1254"/>
    <w:rsid w:val="4D9E5B15"/>
    <w:rsid w:val="4DB42505"/>
    <w:rsid w:val="4E793892"/>
    <w:rsid w:val="4E800872"/>
    <w:rsid w:val="4EC569ED"/>
    <w:rsid w:val="4ECC3A05"/>
    <w:rsid w:val="4ED50EA1"/>
    <w:rsid w:val="4EEC050C"/>
    <w:rsid w:val="4F02503B"/>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43A06"/>
    <w:rsid w:val="519D3C50"/>
    <w:rsid w:val="51A0432A"/>
    <w:rsid w:val="51A86090"/>
    <w:rsid w:val="51B7396D"/>
    <w:rsid w:val="51DE72D9"/>
    <w:rsid w:val="520D476A"/>
    <w:rsid w:val="522E4CC3"/>
    <w:rsid w:val="5244713B"/>
    <w:rsid w:val="52615633"/>
    <w:rsid w:val="526F4DE4"/>
    <w:rsid w:val="52977FD4"/>
    <w:rsid w:val="52A25790"/>
    <w:rsid w:val="52A96B6F"/>
    <w:rsid w:val="52B45975"/>
    <w:rsid w:val="52D94AA4"/>
    <w:rsid w:val="52EA3A62"/>
    <w:rsid w:val="52EB1642"/>
    <w:rsid w:val="52F50BB8"/>
    <w:rsid w:val="53015DA8"/>
    <w:rsid w:val="53097272"/>
    <w:rsid w:val="534C1537"/>
    <w:rsid w:val="53544462"/>
    <w:rsid w:val="5397158E"/>
    <w:rsid w:val="53B467D5"/>
    <w:rsid w:val="53E325D5"/>
    <w:rsid w:val="54013861"/>
    <w:rsid w:val="54487265"/>
    <w:rsid w:val="544D6070"/>
    <w:rsid w:val="54605E1E"/>
    <w:rsid w:val="5469370E"/>
    <w:rsid w:val="548961E1"/>
    <w:rsid w:val="54B3506A"/>
    <w:rsid w:val="54C271A3"/>
    <w:rsid w:val="54CA0D16"/>
    <w:rsid w:val="54DD4057"/>
    <w:rsid w:val="54E7490F"/>
    <w:rsid w:val="550764A4"/>
    <w:rsid w:val="550B2BF6"/>
    <w:rsid w:val="55214EB5"/>
    <w:rsid w:val="55364EFD"/>
    <w:rsid w:val="554673BC"/>
    <w:rsid w:val="555D4828"/>
    <w:rsid w:val="55676C2B"/>
    <w:rsid w:val="557A4C8B"/>
    <w:rsid w:val="558931E1"/>
    <w:rsid w:val="55923347"/>
    <w:rsid w:val="55925180"/>
    <w:rsid w:val="55983B1B"/>
    <w:rsid w:val="55A8376B"/>
    <w:rsid w:val="55DC29B6"/>
    <w:rsid w:val="55DD4241"/>
    <w:rsid w:val="561E4D16"/>
    <w:rsid w:val="563765C0"/>
    <w:rsid w:val="56690780"/>
    <w:rsid w:val="566B6D1E"/>
    <w:rsid w:val="56B04E48"/>
    <w:rsid w:val="57032A2C"/>
    <w:rsid w:val="57075A56"/>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D5B72"/>
    <w:rsid w:val="587C29ED"/>
    <w:rsid w:val="58917D2F"/>
    <w:rsid w:val="5894085C"/>
    <w:rsid w:val="58A502F2"/>
    <w:rsid w:val="58AE4F0C"/>
    <w:rsid w:val="58B85899"/>
    <w:rsid w:val="58E363A9"/>
    <w:rsid w:val="590823F5"/>
    <w:rsid w:val="591E264C"/>
    <w:rsid w:val="595E1678"/>
    <w:rsid w:val="596D5BD4"/>
    <w:rsid w:val="597E3DD8"/>
    <w:rsid w:val="59A2435F"/>
    <w:rsid w:val="59F80043"/>
    <w:rsid w:val="5A09252F"/>
    <w:rsid w:val="5A0B2778"/>
    <w:rsid w:val="5A2A7C7B"/>
    <w:rsid w:val="5A3E2560"/>
    <w:rsid w:val="5A5D3B6E"/>
    <w:rsid w:val="5A637A76"/>
    <w:rsid w:val="5A6C56BF"/>
    <w:rsid w:val="5A6D33BA"/>
    <w:rsid w:val="5A736072"/>
    <w:rsid w:val="5A792B1F"/>
    <w:rsid w:val="5A874767"/>
    <w:rsid w:val="5AA85BE2"/>
    <w:rsid w:val="5AAD6F28"/>
    <w:rsid w:val="5ABE2749"/>
    <w:rsid w:val="5AD63A24"/>
    <w:rsid w:val="5ADC06D2"/>
    <w:rsid w:val="5AE51A4D"/>
    <w:rsid w:val="5B2E1A1D"/>
    <w:rsid w:val="5B843A1C"/>
    <w:rsid w:val="5B873E3F"/>
    <w:rsid w:val="5BC50439"/>
    <w:rsid w:val="5C02690E"/>
    <w:rsid w:val="5C196DA7"/>
    <w:rsid w:val="5C2A048C"/>
    <w:rsid w:val="5C4D2220"/>
    <w:rsid w:val="5C80234E"/>
    <w:rsid w:val="5C8A680C"/>
    <w:rsid w:val="5D0C4701"/>
    <w:rsid w:val="5D0F0395"/>
    <w:rsid w:val="5D221076"/>
    <w:rsid w:val="5D397964"/>
    <w:rsid w:val="5D5A391C"/>
    <w:rsid w:val="5D5F10C0"/>
    <w:rsid w:val="5D790E2F"/>
    <w:rsid w:val="5D891B7B"/>
    <w:rsid w:val="5D8C7085"/>
    <w:rsid w:val="5DAD38EE"/>
    <w:rsid w:val="5DB844E7"/>
    <w:rsid w:val="5DC15DAE"/>
    <w:rsid w:val="5E006862"/>
    <w:rsid w:val="5E0207B9"/>
    <w:rsid w:val="5E025791"/>
    <w:rsid w:val="5E1834A1"/>
    <w:rsid w:val="5E261785"/>
    <w:rsid w:val="5E2F3086"/>
    <w:rsid w:val="5E4A7017"/>
    <w:rsid w:val="5E542CA4"/>
    <w:rsid w:val="5E552BBA"/>
    <w:rsid w:val="5E611C10"/>
    <w:rsid w:val="5E7A0F3F"/>
    <w:rsid w:val="5EF328CE"/>
    <w:rsid w:val="5EFC7377"/>
    <w:rsid w:val="5F06174D"/>
    <w:rsid w:val="5F3A3602"/>
    <w:rsid w:val="5F45733B"/>
    <w:rsid w:val="5F5F1938"/>
    <w:rsid w:val="5F6277C6"/>
    <w:rsid w:val="5F6D0B1D"/>
    <w:rsid w:val="5F8D0B82"/>
    <w:rsid w:val="5FA9154E"/>
    <w:rsid w:val="5FCC5339"/>
    <w:rsid w:val="5FE34A5B"/>
    <w:rsid w:val="5FFE1E36"/>
    <w:rsid w:val="60025813"/>
    <w:rsid w:val="60232584"/>
    <w:rsid w:val="60491D64"/>
    <w:rsid w:val="607330CE"/>
    <w:rsid w:val="60812469"/>
    <w:rsid w:val="60825176"/>
    <w:rsid w:val="609F2AC4"/>
    <w:rsid w:val="60B4213E"/>
    <w:rsid w:val="60C12976"/>
    <w:rsid w:val="60F14EB3"/>
    <w:rsid w:val="60FA2EE8"/>
    <w:rsid w:val="61054A27"/>
    <w:rsid w:val="610A52BC"/>
    <w:rsid w:val="610D059B"/>
    <w:rsid w:val="611759A9"/>
    <w:rsid w:val="611A350A"/>
    <w:rsid w:val="611D2366"/>
    <w:rsid w:val="61421856"/>
    <w:rsid w:val="615227C4"/>
    <w:rsid w:val="61654E3F"/>
    <w:rsid w:val="6182292A"/>
    <w:rsid w:val="619F7F92"/>
    <w:rsid w:val="61D75138"/>
    <w:rsid w:val="61F94C26"/>
    <w:rsid w:val="62000E56"/>
    <w:rsid w:val="620D18E9"/>
    <w:rsid w:val="624F3E49"/>
    <w:rsid w:val="62632286"/>
    <w:rsid w:val="62885958"/>
    <w:rsid w:val="62900691"/>
    <w:rsid w:val="62F40B65"/>
    <w:rsid w:val="62FC2CFE"/>
    <w:rsid w:val="63024505"/>
    <w:rsid w:val="635600A5"/>
    <w:rsid w:val="635B1DB5"/>
    <w:rsid w:val="63711FED"/>
    <w:rsid w:val="63880DDC"/>
    <w:rsid w:val="638D750D"/>
    <w:rsid w:val="63A92B04"/>
    <w:rsid w:val="63AC6CC0"/>
    <w:rsid w:val="63F23480"/>
    <w:rsid w:val="63F37DE5"/>
    <w:rsid w:val="64055776"/>
    <w:rsid w:val="641F5B67"/>
    <w:rsid w:val="64240056"/>
    <w:rsid w:val="643E143A"/>
    <w:rsid w:val="64491666"/>
    <w:rsid w:val="648B6EEF"/>
    <w:rsid w:val="64C158BF"/>
    <w:rsid w:val="64CE2EAA"/>
    <w:rsid w:val="653C3090"/>
    <w:rsid w:val="653D52B2"/>
    <w:rsid w:val="65854376"/>
    <w:rsid w:val="658767BE"/>
    <w:rsid w:val="65892531"/>
    <w:rsid w:val="658A21EE"/>
    <w:rsid w:val="65D8184D"/>
    <w:rsid w:val="66195831"/>
    <w:rsid w:val="662E75B1"/>
    <w:rsid w:val="66342C2E"/>
    <w:rsid w:val="663E784C"/>
    <w:rsid w:val="66787BD0"/>
    <w:rsid w:val="668B6A45"/>
    <w:rsid w:val="67112C4A"/>
    <w:rsid w:val="672F3F24"/>
    <w:rsid w:val="673E055F"/>
    <w:rsid w:val="67551CE3"/>
    <w:rsid w:val="67A22552"/>
    <w:rsid w:val="67B22DCC"/>
    <w:rsid w:val="67BA767C"/>
    <w:rsid w:val="67BE71AA"/>
    <w:rsid w:val="67CF7323"/>
    <w:rsid w:val="67D90273"/>
    <w:rsid w:val="67DE5875"/>
    <w:rsid w:val="67E55852"/>
    <w:rsid w:val="67EB1AB4"/>
    <w:rsid w:val="67F67319"/>
    <w:rsid w:val="67FA1285"/>
    <w:rsid w:val="68551F4F"/>
    <w:rsid w:val="687C10C9"/>
    <w:rsid w:val="68840C16"/>
    <w:rsid w:val="68876EFB"/>
    <w:rsid w:val="68884654"/>
    <w:rsid w:val="689F444F"/>
    <w:rsid w:val="68B96DBB"/>
    <w:rsid w:val="68CA2805"/>
    <w:rsid w:val="68E937A3"/>
    <w:rsid w:val="68F40965"/>
    <w:rsid w:val="68FB149A"/>
    <w:rsid w:val="693E15D3"/>
    <w:rsid w:val="69627681"/>
    <w:rsid w:val="6977531D"/>
    <w:rsid w:val="69CC2BFF"/>
    <w:rsid w:val="69FD55B8"/>
    <w:rsid w:val="6A0B1C62"/>
    <w:rsid w:val="6A2406C8"/>
    <w:rsid w:val="6A3F5235"/>
    <w:rsid w:val="6A9A1ADF"/>
    <w:rsid w:val="6A9E3D31"/>
    <w:rsid w:val="6ADE0BD1"/>
    <w:rsid w:val="6AE81378"/>
    <w:rsid w:val="6AE96859"/>
    <w:rsid w:val="6B147746"/>
    <w:rsid w:val="6B24787C"/>
    <w:rsid w:val="6B2B457D"/>
    <w:rsid w:val="6B573233"/>
    <w:rsid w:val="6B5B6274"/>
    <w:rsid w:val="6B935D53"/>
    <w:rsid w:val="6BAA06AD"/>
    <w:rsid w:val="6BBC3D3A"/>
    <w:rsid w:val="6BE3246B"/>
    <w:rsid w:val="6C1316F7"/>
    <w:rsid w:val="6C196F71"/>
    <w:rsid w:val="6C226FCB"/>
    <w:rsid w:val="6C2418C5"/>
    <w:rsid w:val="6C282FEC"/>
    <w:rsid w:val="6C31226F"/>
    <w:rsid w:val="6C373A0E"/>
    <w:rsid w:val="6C517EC7"/>
    <w:rsid w:val="6C552F0B"/>
    <w:rsid w:val="6C6E4EE4"/>
    <w:rsid w:val="6C8C67B7"/>
    <w:rsid w:val="6C9D744C"/>
    <w:rsid w:val="6CB81EF4"/>
    <w:rsid w:val="6D167928"/>
    <w:rsid w:val="6D26299B"/>
    <w:rsid w:val="6D425856"/>
    <w:rsid w:val="6D4772EC"/>
    <w:rsid w:val="6D9078AF"/>
    <w:rsid w:val="6DAA3FEF"/>
    <w:rsid w:val="6DC0172B"/>
    <w:rsid w:val="6DCB690C"/>
    <w:rsid w:val="6DD41A5B"/>
    <w:rsid w:val="6DF43C2E"/>
    <w:rsid w:val="6DF51CA3"/>
    <w:rsid w:val="6E8335BD"/>
    <w:rsid w:val="6E8D50C2"/>
    <w:rsid w:val="6E8E12EF"/>
    <w:rsid w:val="6E972936"/>
    <w:rsid w:val="6ED446C5"/>
    <w:rsid w:val="6F2A7D94"/>
    <w:rsid w:val="6F8331F1"/>
    <w:rsid w:val="6F9B5D27"/>
    <w:rsid w:val="6FAE1A09"/>
    <w:rsid w:val="6FD75BF8"/>
    <w:rsid w:val="6FDA0D35"/>
    <w:rsid w:val="70044BF2"/>
    <w:rsid w:val="7069630F"/>
    <w:rsid w:val="707723D0"/>
    <w:rsid w:val="70902013"/>
    <w:rsid w:val="70F5661B"/>
    <w:rsid w:val="711F7209"/>
    <w:rsid w:val="71360107"/>
    <w:rsid w:val="713B688E"/>
    <w:rsid w:val="7148279F"/>
    <w:rsid w:val="71527D19"/>
    <w:rsid w:val="71566F75"/>
    <w:rsid w:val="719C786E"/>
    <w:rsid w:val="71D43752"/>
    <w:rsid w:val="71F1796A"/>
    <w:rsid w:val="71FB63D5"/>
    <w:rsid w:val="7210559A"/>
    <w:rsid w:val="72154626"/>
    <w:rsid w:val="72262B5D"/>
    <w:rsid w:val="72283FF7"/>
    <w:rsid w:val="722E7212"/>
    <w:rsid w:val="723A0474"/>
    <w:rsid w:val="725923E4"/>
    <w:rsid w:val="72864BF7"/>
    <w:rsid w:val="729023FC"/>
    <w:rsid w:val="7293389E"/>
    <w:rsid w:val="72BD79A6"/>
    <w:rsid w:val="72EE4878"/>
    <w:rsid w:val="72F554C7"/>
    <w:rsid w:val="72FF6E30"/>
    <w:rsid w:val="732744F2"/>
    <w:rsid w:val="735578CB"/>
    <w:rsid w:val="73623BD3"/>
    <w:rsid w:val="73C0646E"/>
    <w:rsid w:val="73D80563"/>
    <w:rsid w:val="742222F5"/>
    <w:rsid w:val="74476126"/>
    <w:rsid w:val="746E22E0"/>
    <w:rsid w:val="74706664"/>
    <w:rsid w:val="74724765"/>
    <w:rsid w:val="747F3682"/>
    <w:rsid w:val="74823248"/>
    <w:rsid w:val="749C4185"/>
    <w:rsid w:val="74A926B8"/>
    <w:rsid w:val="75067759"/>
    <w:rsid w:val="75250B51"/>
    <w:rsid w:val="752E6DCD"/>
    <w:rsid w:val="7551380D"/>
    <w:rsid w:val="755D394A"/>
    <w:rsid w:val="75600BE5"/>
    <w:rsid w:val="7564475C"/>
    <w:rsid w:val="7583797F"/>
    <w:rsid w:val="75973400"/>
    <w:rsid w:val="75A66D30"/>
    <w:rsid w:val="75D20F1D"/>
    <w:rsid w:val="75DA2C18"/>
    <w:rsid w:val="75F54412"/>
    <w:rsid w:val="761D08E0"/>
    <w:rsid w:val="76242D29"/>
    <w:rsid w:val="765D347C"/>
    <w:rsid w:val="76826699"/>
    <w:rsid w:val="769136B0"/>
    <w:rsid w:val="76C87133"/>
    <w:rsid w:val="76CD08D5"/>
    <w:rsid w:val="76DB4B92"/>
    <w:rsid w:val="77052AA4"/>
    <w:rsid w:val="77136511"/>
    <w:rsid w:val="77211A43"/>
    <w:rsid w:val="77340A39"/>
    <w:rsid w:val="77351FD0"/>
    <w:rsid w:val="77472422"/>
    <w:rsid w:val="7772DC99"/>
    <w:rsid w:val="777F31F2"/>
    <w:rsid w:val="77D1700D"/>
    <w:rsid w:val="77EC04CC"/>
    <w:rsid w:val="78775729"/>
    <w:rsid w:val="78A42DB0"/>
    <w:rsid w:val="78A656AB"/>
    <w:rsid w:val="78B2245C"/>
    <w:rsid w:val="78E172CC"/>
    <w:rsid w:val="78EA1D1F"/>
    <w:rsid w:val="78ED1F31"/>
    <w:rsid w:val="79036DC3"/>
    <w:rsid w:val="7904172F"/>
    <w:rsid w:val="790F7E27"/>
    <w:rsid w:val="792A231A"/>
    <w:rsid w:val="79316829"/>
    <w:rsid w:val="797578FF"/>
    <w:rsid w:val="797E66A9"/>
    <w:rsid w:val="798518A4"/>
    <w:rsid w:val="79A97383"/>
    <w:rsid w:val="79E27E8B"/>
    <w:rsid w:val="79F850CE"/>
    <w:rsid w:val="79FD443C"/>
    <w:rsid w:val="79FD67C2"/>
    <w:rsid w:val="7A1D1975"/>
    <w:rsid w:val="7A2B7977"/>
    <w:rsid w:val="7A3DA82B"/>
    <w:rsid w:val="7A3E5150"/>
    <w:rsid w:val="7A4670D6"/>
    <w:rsid w:val="7A534B63"/>
    <w:rsid w:val="7A615382"/>
    <w:rsid w:val="7A67303B"/>
    <w:rsid w:val="7A8E178E"/>
    <w:rsid w:val="7AAB1D04"/>
    <w:rsid w:val="7AAC2B89"/>
    <w:rsid w:val="7ABA4368"/>
    <w:rsid w:val="7AD05746"/>
    <w:rsid w:val="7AD225DE"/>
    <w:rsid w:val="7B257FFD"/>
    <w:rsid w:val="7B343476"/>
    <w:rsid w:val="7B5A2978"/>
    <w:rsid w:val="7B5A7E4C"/>
    <w:rsid w:val="7B667AF9"/>
    <w:rsid w:val="7B7468F8"/>
    <w:rsid w:val="7BEE0103"/>
    <w:rsid w:val="7C0A0FE4"/>
    <w:rsid w:val="7C1423E9"/>
    <w:rsid w:val="7C150F9F"/>
    <w:rsid w:val="7C254906"/>
    <w:rsid w:val="7C2B430A"/>
    <w:rsid w:val="7C590818"/>
    <w:rsid w:val="7C7C10F6"/>
    <w:rsid w:val="7C853BEA"/>
    <w:rsid w:val="7C881368"/>
    <w:rsid w:val="7CD442F6"/>
    <w:rsid w:val="7CD564F7"/>
    <w:rsid w:val="7CE27788"/>
    <w:rsid w:val="7CEB0027"/>
    <w:rsid w:val="7D0C32F1"/>
    <w:rsid w:val="7D0F408D"/>
    <w:rsid w:val="7D491C6C"/>
    <w:rsid w:val="7D5429C0"/>
    <w:rsid w:val="7D6E6D43"/>
    <w:rsid w:val="7D8FD8D6"/>
    <w:rsid w:val="7DB57A34"/>
    <w:rsid w:val="7DE247F1"/>
    <w:rsid w:val="7DE60973"/>
    <w:rsid w:val="7DEF0916"/>
    <w:rsid w:val="7E1E5218"/>
    <w:rsid w:val="7E4159BB"/>
    <w:rsid w:val="7E6C679B"/>
    <w:rsid w:val="7E8571CE"/>
    <w:rsid w:val="7E9A4E1F"/>
    <w:rsid w:val="7EA7723A"/>
    <w:rsid w:val="7EA86779"/>
    <w:rsid w:val="7EE4338D"/>
    <w:rsid w:val="7EF56FBB"/>
    <w:rsid w:val="7EF7590B"/>
    <w:rsid w:val="7EF9054E"/>
    <w:rsid w:val="7F0768EB"/>
    <w:rsid w:val="7F095DBA"/>
    <w:rsid w:val="7F143BEC"/>
    <w:rsid w:val="7F266502"/>
    <w:rsid w:val="7F362021"/>
    <w:rsid w:val="7F715AF2"/>
    <w:rsid w:val="7F7B47F9"/>
    <w:rsid w:val="7F7D4F3C"/>
    <w:rsid w:val="7F835D98"/>
    <w:rsid w:val="7F886E69"/>
    <w:rsid w:val="7F962B5B"/>
    <w:rsid w:val="7FA86E12"/>
    <w:rsid w:val="7FC71381"/>
    <w:rsid w:val="7FE74340"/>
    <w:rsid w:val="7FF7548C"/>
    <w:rsid w:val="AEE7BB5E"/>
    <w:rsid w:val="BB7FA927"/>
    <w:rsid w:val="BD6FF105"/>
    <w:rsid w:val="DA7B98F0"/>
    <w:rsid w:val="E9EEBCB3"/>
    <w:rsid w:val="EE6AEC53"/>
    <w:rsid w:val="EFF72F48"/>
    <w:rsid w:val="F3FF7052"/>
    <w:rsid w:val="F5FFD31F"/>
    <w:rsid w:val="FBD77F88"/>
    <w:rsid w:val="FBE730C5"/>
    <w:rsid w:val="FD57F5E3"/>
    <w:rsid w:val="FDED80A5"/>
    <w:rsid w:val="FEBE5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194"/>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0"/>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unhideWhenUsed/>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qFormat/>
    <w:uiPriority w:val="0"/>
    <w:rPr>
      <w:b/>
      <w:bCs/>
    </w:rPr>
  </w:style>
  <w:style w:type="paragraph" w:styleId="61">
    <w:name w:val="Body Text First Indent 2"/>
    <w:basedOn w:val="26"/>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0"/>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仿宋" w:hAnsi="仿宋" w:eastAsia="仿宋"/>
      <w:b/>
      <w:sz w:val="36"/>
      <w:szCs w:val="36"/>
    </w:rPr>
  </w:style>
  <w:style w:type="paragraph" w:customStyle="1" w:styleId="84">
    <w:name w:val="*正文"/>
    <w:basedOn w:val="1"/>
    <w:link w:val="83"/>
    <w:qFormat/>
    <w:uiPriority w:val="0"/>
    <w:pPr>
      <w:snapToGrid w:val="0"/>
      <w:spacing w:line="360" w:lineRule="auto"/>
      <w:jc w:val="center"/>
    </w:pPr>
    <w:rPr>
      <w:rFonts w:ascii="仿宋" w:hAnsi="仿宋" w:eastAsia="仿宋"/>
      <w:b/>
      <w:kern w:val="0"/>
      <w:sz w:val="36"/>
      <w:szCs w:val="36"/>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2"/>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7"/>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标题 3 Char"/>
    <w:basedOn w:val="69"/>
    <w:link w:val="4"/>
    <w:qFormat/>
    <w:uiPriority w:val="0"/>
    <w:rPr>
      <w:b/>
      <w:bCs/>
      <w:kern w:val="2"/>
      <w:sz w:val="32"/>
      <w:szCs w:val="32"/>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9"/>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
    <w:basedOn w:val="69"/>
    <w:qFormat/>
    <w:uiPriority w:val="0"/>
    <w:rPr>
      <w:kern w:val="2"/>
      <w:sz w:val="18"/>
      <w:szCs w:val="18"/>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qFormat/>
    <w:uiPriority w:val="0"/>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0"/>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4"/>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0"/>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99"/>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Char1"/>
    <w:qFormat/>
    <w:uiPriority w:val="0"/>
    <w:rPr>
      <w:rFonts w:eastAsia="宋体"/>
      <w:kern w:val="2"/>
      <w:sz w:val="18"/>
      <w:szCs w:val="18"/>
      <w:lang w:val="en-US" w:eastAsia="zh-CN" w:bidi="ar-SA"/>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basedOn w:val="69"/>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2"/>
    <w:qFormat/>
    <w:uiPriority w:val="0"/>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paragraph" w:styleId="930">
    <w:name w:val="List Paragraph"/>
    <w:basedOn w:val="1"/>
    <w:qFormat/>
    <w:uiPriority w:val="34"/>
    <w:pPr>
      <w:spacing w:line="360" w:lineRule="auto"/>
      <w:ind w:firstLine="200" w:firstLineChars="200"/>
    </w:pPr>
    <w:rPr>
      <w:rFonts w:eastAsia="楷体_GB2312" w:cs="Lucida Sans"/>
      <w:sz w:val="24"/>
    </w:rPr>
  </w:style>
  <w:style w:type="character" w:customStyle="1" w:styleId="931">
    <w:name w:val="尾注文本 Char"/>
    <w:link w:val="39"/>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样式 标题 2 + Times New Roman 四号 非加粗 段前: 5 磅 段后: 0 磅 行距: 固定值 20..."/>
    <w:basedOn w:val="2"/>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4">
    <w:name w:val="p16"/>
    <w:basedOn w:val="1"/>
    <w:qFormat/>
    <w:uiPriority w:val="0"/>
    <w:pPr>
      <w:widowControl/>
      <w:spacing w:before="100" w:after="100"/>
      <w:jc w:val="left"/>
    </w:pPr>
    <w:rPr>
      <w:rFonts w:ascii="宋体" w:hAnsi="宋体" w:cs="宋体"/>
      <w:color w:val="000000"/>
      <w:kern w:val="0"/>
      <w:sz w:val="24"/>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页眉 字符"/>
    <w:qFormat/>
    <w:uiPriority w:val="99"/>
    <w:rPr>
      <w:kern w:val="2"/>
      <w:sz w:val="18"/>
      <w:szCs w:val="18"/>
    </w:rPr>
  </w:style>
  <w:style w:type="paragraph" w:styleId="967">
    <w:name w:val="No Spacing"/>
    <w:basedOn w:val="1"/>
    <w:link w:val="969"/>
    <w:qFormat/>
    <w:uiPriority w:val="99"/>
    <w:rPr>
      <w:szCs w:val="22"/>
    </w:rPr>
  </w:style>
  <w:style w:type="character" w:customStyle="1" w:styleId="968">
    <w:name w:val="页眉 字符1"/>
    <w:qFormat/>
    <w:uiPriority w:val="99"/>
    <w:rPr>
      <w:kern w:val="2"/>
      <w:sz w:val="18"/>
      <w:szCs w:val="18"/>
    </w:rPr>
  </w:style>
  <w:style w:type="character" w:customStyle="1" w:styleId="969">
    <w:name w:val="无间隔 Char"/>
    <w:link w:val="967"/>
    <w:qFormat/>
    <w:uiPriority w:val="99"/>
    <w:rPr>
      <w:kern w:val="2"/>
      <w:sz w:val="21"/>
      <w:szCs w:val="22"/>
    </w:rPr>
  </w:style>
  <w:style w:type="paragraph" w:customStyle="1" w:styleId="970">
    <w:name w:val="正文文字"/>
    <w:basedOn w:val="1"/>
    <w:qFormat/>
    <w:uiPriority w:val="0"/>
    <w:pPr>
      <w:widowControl/>
      <w:adjustRightInd/>
      <w:spacing w:line="952" w:lineRule="atLeast"/>
      <w:ind w:firstLine="419"/>
      <w:textAlignment w:val="baseline"/>
    </w:pPr>
    <w:rPr>
      <w:b/>
      <w:color w:val="000000"/>
      <w:kern w:val="0"/>
      <w:sz w:val="44"/>
      <w:szCs w:val="20"/>
      <w:u w:color="000000"/>
    </w:rPr>
  </w:style>
  <w:style w:type="paragraph" w:customStyle="1" w:styleId="971">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972">
    <w:name w:val="标题1"/>
    <w:basedOn w:val="69"/>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108</Pages>
  <Words>21078</Words>
  <Characters>22358</Characters>
  <Lines>451</Lines>
  <Paragraphs>127</Paragraphs>
  <TotalTime>18</TotalTime>
  <ScaleCrop>false</ScaleCrop>
  <LinksUpToDate>false</LinksUpToDate>
  <CharactersWithSpaces>22608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2023-04-05T05:03:00Z</dcterms:created>
  <dc:creator>玥</dc:creator>
  <cp:lastModifiedBy>WPS_1648092203</cp:lastModifiedBy>
  <cp:lastPrinted>2024-08-20T11:44:00Z</cp:lastPrinted>
  <dcterms:modified xsi:type="dcterms:W3CDTF">2024-11-20T11:37:48Z</dcterms:modified>
  <dc:title>杭州市市民卡扩大发卡工程</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F8809A649F1FAEA6655DC46635697277</vt:lpwstr>
  </property>
  <property fmtid="{D5CDD505-2E9C-101B-9397-08002B2CF9AE}" pid="5" name="commondata">
    <vt:lpwstr>eyJoZGlkIjoiNGNlMmFkMDQ1NDY0ZmRiM2Q0NjY4NTFjN2IwMTllYjMifQ==</vt:lpwstr>
  </property>
</Properties>
</file>