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B3DEC4">
      <w:pPr>
        <w:adjustRightInd w:val="0"/>
        <w:snapToGrid w:val="0"/>
        <w:spacing w:line="288" w:lineRule="auto"/>
        <w:ind w:firstLine="428"/>
        <w:rPr>
          <w:rFonts w:ascii="楷体" w:hAnsi="楷体" w:eastAsia="楷体" w:cs="Times New Roman"/>
          <w:b/>
          <w:color w:val="auto"/>
          <w:spacing w:val="-6"/>
          <w:sz w:val="44"/>
          <w:szCs w:val="44"/>
          <w:highlight w:val="none"/>
        </w:rPr>
      </w:pPr>
    </w:p>
    <w:p w14:paraId="0DB0A6BA">
      <w:pPr>
        <w:adjustRightInd w:val="0"/>
        <w:snapToGrid w:val="0"/>
        <w:spacing w:line="288" w:lineRule="auto"/>
        <w:ind w:firstLine="428"/>
        <w:rPr>
          <w:rFonts w:ascii="楷体" w:hAnsi="楷体" w:eastAsia="楷体" w:cs="Times New Roman"/>
          <w:b/>
          <w:color w:val="auto"/>
          <w:spacing w:val="-6"/>
          <w:sz w:val="44"/>
          <w:szCs w:val="44"/>
          <w:highlight w:val="none"/>
        </w:rPr>
      </w:pPr>
    </w:p>
    <w:p w14:paraId="3D07D156">
      <w:pPr>
        <w:adjustRightInd w:val="0"/>
        <w:snapToGrid w:val="0"/>
        <w:spacing w:line="288" w:lineRule="auto"/>
        <w:ind w:firstLine="428"/>
        <w:rPr>
          <w:rFonts w:ascii="楷体" w:hAnsi="楷体" w:eastAsia="楷体" w:cs="Times New Roman"/>
          <w:b/>
          <w:color w:val="auto"/>
          <w:spacing w:val="-6"/>
          <w:sz w:val="44"/>
          <w:szCs w:val="44"/>
          <w:highlight w:val="none"/>
        </w:rPr>
      </w:pPr>
    </w:p>
    <w:p w14:paraId="49B0E154">
      <w:pPr>
        <w:adjustRightInd w:val="0"/>
        <w:snapToGrid w:val="0"/>
        <w:spacing w:line="288" w:lineRule="auto"/>
        <w:ind w:firstLine="482"/>
        <w:jc w:val="center"/>
        <w:rPr>
          <w:rFonts w:ascii="楷体" w:hAnsi="楷体" w:eastAsia="楷体" w:cs="楷体"/>
          <w:b/>
          <w:bCs/>
          <w:color w:val="auto"/>
          <w:sz w:val="48"/>
          <w:szCs w:val="48"/>
          <w:highlight w:val="none"/>
        </w:rPr>
      </w:pPr>
      <w:r>
        <w:rPr>
          <w:rFonts w:hint="eastAsia" w:ascii="楷体" w:hAnsi="楷体" w:eastAsia="楷体" w:cs="楷体"/>
          <w:b/>
          <w:bCs/>
          <w:color w:val="auto"/>
          <w:sz w:val="48"/>
          <w:szCs w:val="48"/>
          <w:highlight w:val="none"/>
        </w:rPr>
        <w:t>浙江交通职业技术学院</w:t>
      </w:r>
    </w:p>
    <w:p w14:paraId="7FA3290F">
      <w:pPr>
        <w:adjustRightInd w:val="0"/>
        <w:snapToGrid w:val="0"/>
        <w:spacing w:line="288" w:lineRule="auto"/>
        <w:ind w:firstLine="482"/>
        <w:jc w:val="center"/>
        <w:rPr>
          <w:rFonts w:ascii="楷体" w:hAnsi="楷体" w:eastAsia="楷体" w:cs="楷体"/>
          <w:b/>
          <w:bCs/>
          <w:color w:val="auto"/>
          <w:sz w:val="48"/>
          <w:szCs w:val="48"/>
          <w:highlight w:val="none"/>
        </w:rPr>
      </w:pPr>
      <w:r>
        <w:rPr>
          <w:rFonts w:hint="eastAsia" w:ascii="楷体" w:hAnsi="楷体" w:eastAsia="楷体" w:cs="楷体"/>
          <w:b/>
          <w:bCs/>
          <w:color w:val="auto"/>
          <w:sz w:val="48"/>
          <w:szCs w:val="48"/>
          <w:highlight w:val="none"/>
        </w:rPr>
        <w:t>长兴校区道路装饰工程</w:t>
      </w:r>
    </w:p>
    <w:p w14:paraId="5B62D1C5">
      <w:pPr>
        <w:adjustRightInd w:val="0"/>
        <w:snapToGrid w:val="0"/>
        <w:spacing w:line="288" w:lineRule="auto"/>
        <w:ind w:firstLine="480"/>
        <w:jc w:val="center"/>
        <w:rPr>
          <w:rFonts w:ascii="楷体" w:hAnsi="楷体" w:eastAsia="楷体" w:cs="楷体"/>
          <w:b/>
          <w:bCs/>
          <w:color w:val="auto"/>
          <w:sz w:val="48"/>
          <w:szCs w:val="48"/>
          <w:highlight w:val="none"/>
        </w:rPr>
      </w:pPr>
    </w:p>
    <w:p w14:paraId="45EF2E0E">
      <w:pPr>
        <w:adjustRightInd w:val="0"/>
        <w:snapToGrid w:val="0"/>
        <w:spacing w:line="288" w:lineRule="auto"/>
        <w:ind w:firstLine="480"/>
        <w:jc w:val="center"/>
        <w:rPr>
          <w:rFonts w:ascii="楷体" w:hAnsi="楷体" w:eastAsia="楷体" w:cs="楷体"/>
          <w:b/>
          <w:bCs/>
          <w:color w:val="auto"/>
          <w:sz w:val="48"/>
          <w:szCs w:val="48"/>
          <w:highlight w:val="none"/>
        </w:rPr>
      </w:pPr>
    </w:p>
    <w:p w14:paraId="3D0C6AE2">
      <w:pPr>
        <w:adjustRightInd w:val="0"/>
        <w:snapToGrid w:val="0"/>
        <w:spacing w:line="288" w:lineRule="auto"/>
        <w:ind w:firstLine="723"/>
        <w:jc w:val="center"/>
        <w:rPr>
          <w:rFonts w:ascii="楷体" w:hAnsi="楷体" w:eastAsia="楷体" w:cs="楷体"/>
          <w:b/>
          <w:bCs/>
          <w:color w:val="auto"/>
          <w:sz w:val="72"/>
          <w:szCs w:val="72"/>
          <w:highlight w:val="none"/>
        </w:rPr>
      </w:pPr>
      <w:r>
        <w:rPr>
          <w:rFonts w:hint="eastAsia" w:ascii="楷体" w:hAnsi="楷体" w:eastAsia="楷体" w:cs="楷体"/>
          <w:b/>
          <w:bCs/>
          <w:color w:val="auto"/>
          <w:sz w:val="72"/>
          <w:szCs w:val="72"/>
          <w:highlight w:val="none"/>
        </w:rPr>
        <w:t>磋商文件</w:t>
      </w:r>
    </w:p>
    <w:p w14:paraId="38934655">
      <w:pPr>
        <w:adjustRightInd w:val="0"/>
        <w:snapToGrid w:val="0"/>
        <w:spacing w:line="288" w:lineRule="auto"/>
        <w:jc w:val="center"/>
        <w:rPr>
          <w:rFonts w:ascii="楷体" w:hAnsi="楷体" w:eastAsia="楷体" w:cs="楷体"/>
          <w:b/>
          <w:bCs/>
          <w:color w:val="auto"/>
          <w:sz w:val="36"/>
          <w:szCs w:val="36"/>
          <w:highlight w:val="none"/>
        </w:rPr>
      </w:pPr>
      <w:r>
        <w:rPr>
          <w:rFonts w:hint="eastAsia" w:ascii="楷体" w:hAnsi="楷体" w:eastAsia="楷体" w:cs="楷体"/>
          <w:b/>
          <w:bCs/>
          <w:color w:val="auto"/>
          <w:sz w:val="36"/>
          <w:szCs w:val="36"/>
          <w:highlight w:val="none"/>
        </w:rPr>
        <w:t>（线上电子交易）</w:t>
      </w:r>
    </w:p>
    <w:p w14:paraId="6EE958C2">
      <w:pPr>
        <w:adjustRightInd w:val="0"/>
        <w:snapToGrid w:val="0"/>
        <w:spacing w:line="288" w:lineRule="auto"/>
        <w:ind w:firstLine="360"/>
        <w:jc w:val="center"/>
        <w:rPr>
          <w:rFonts w:ascii="楷体" w:hAnsi="楷体" w:eastAsia="楷体" w:cs="楷体"/>
          <w:b/>
          <w:bCs/>
          <w:color w:val="auto"/>
          <w:sz w:val="36"/>
          <w:szCs w:val="36"/>
          <w:highlight w:val="none"/>
        </w:rPr>
      </w:pPr>
    </w:p>
    <w:p w14:paraId="543DB040">
      <w:pPr>
        <w:adjustRightInd w:val="0"/>
        <w:snapToGrid w:val="0"/>
        <w:spacing w:line="288" w:lineRule="auto"/>
        <w:ind w:firstLine="360"/>
        <w:jc w:val="center"/>
        <w:rPr>
          <w:rFonts w:ascii="楷体" w:hAnsi="楷体" w:eastAsia="楷体" w:cs="楷体"/>
          <w:b/>
          <w:bCs/>
          <w:color w:val="auto"/>
          <w:sz w:val="36"/>
          <w:szCs w:val="36"/>
          <w:highlight w:val="none"/>
        </w:rPr>
      </w:pPr>
    </w:p>
    <w:p w14:paraId="539E816B">
      <w:pPr>
        <w:adjustRightInd w:val="0"/>
        <w:snapToGrid w:val="0"/>
        <w:spacing w:line="288" w:lineRule="auto"/>
        <w:ind w:firstLine="301"/>
        <w:rPr>
          <w:rFonts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t xml:space="preserve">项目名称：长兴校区道路装饰工程 </w:t>
      </w:r>
    </w:p>
    <w:p w14:paraId="5EA3146C">
      <w:pPr>
        <w:adjustRightInd w:val="0"/>
        <w:snapToGrid w:val="0"/>
        <w:spacing w:line="288" w:lineRule="auto"/>
        <w:ind w:firstLine="301"/>
        <w:rPr>
          <w:rFonts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t xml:space="preserve">项目编号：QSZB-Z(G)-C24307(CS) </w:t>
      </w:r>
    </w:p>
    <w:p w14:paraId="34C305C1">
      <w:pPr>
        <w:adjustRightInd w:val="0"/>
        <w:snapToGrid w:val="0"/>
        <w:spacing w:line="288" w:lineRule="auto"/>
        <w:ind w:firstLine="301"/>
        <w:rPr>
          <w:rFonts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t xml:space="preserve">采 购 人：浙江交通职业技术学院 </w:t>
      </w:r>
    </w:p>
    <w:p w14:paraId="2BF0E843">
      <w:pPr>
        <w:adjustRightInd w:val="0"/>
        <w:snapToGrid w:val="0"/>
        <w:spacing w:line="288" w:lineRule="auto"/>
        <w:ind w:firstLine="301"/>
        <w:rPr>
          <w:rFonts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t>采购代理机构：浙江求是招标代理有限公司</w:t>
      </w:r>
    </w:p>
    <w:p w14:paraId="4E2D96BC">
      <w:pPr>
        <w:adjustRightInd w:val="0"/>
        <w:snapToGrid w:val="0"/>
        <w:spacing w:line="288" w:lineRule="auto"/>
        <w:ind w:firstLine="301"/>
        <w:rPr>
          <w:rFonts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t>采购计划文号：</w:t>
      </w:r>
      <w:r>
        <w:rPr>
          <w:color w:val="auto"/>
          <w:highlight w:val="none"/>
        </w:rPr>
        <w:fldChar w:fldCharType="begin"/>
      </w:r>
      <w:r>
        <w:rPr>
          <w:color w:val="auto"/>
          <w:highlight w:val="none"/>
        </w:rPr>
        <w:instrText xml:space="preserve"> HYPERLINK "https://pay.zcygov.cn/purchaseplan_front/" \l "/plan/list/view?id=1000000000013840842" \t "https://www.zcygov.cn/delegation-order/_procurement_/order/orderInfo/detail/_blank" </w:instrText>
      </w:r>
      <w:r>
        <w:rPr>
          <w:color w:val="auto"/>
          <w:highlight w:val="none"/>
        </w:rPr>
        <w:fldChar w:fldCharType="separate"/>
      </w:r>
      <w:r>
        <w:rPr>
          <w:rFonts w:hint="eastAsia" w:ascii="楷体" w:hAnsi="楷体" w:eastAsia="楷体" w:cs="楷体"/>
          <w:b/>
          <w:bCs/>
          <w:color w:val="auto"/>
          <w:sz w:val="30"/>
          <w:szCs w:val="30"/>
          <w:highlight w:val="none"/>
        </w:rPr>
        <w:t>[2024]54293号</w:t>
      </w:r>
      <w:r>
        <w:rPr>
          <w:rFonts w:hint="eastAsia" w:ascii="楷体" w:hAnsi="楷体" w:eastAsia="楷体" w:cs="楷体"/>
          <w:b/>
          <w:bCs/>
          <w:color w:val="auto"/>
          <w:sz w:val="30"/>
          <w:szCs w:val="30"/>
          <w:highlight w:val="none"/>
        </w:rPr>
        <w:fldChar w:fldCharType="end"/>
      </w:r>
    </w:p>
    <w:p w14:paraId="276C1582">
      <w:pPr>
        <w:widowControl/>
        <w:adjustRightInd w:val="0"/>
        <w:snapToGrid w:val="0"/>
        <w:spacing w:line="288" w:lineRule="auto"/>
        <w:ind w:firstLine="301"/>
        <w:jc w:val="left"/>
        <w:rPr>
          <w:rFonts w:ascii="楷体" w:hAnsi="楷体" w:eastAsia="楷体" w:cs="楷体"/>
          <w:b/>
          <w:bCs/>
          <w:color w:val="auto"/>
          <w:sz w:val="30"/>
          <w:szCs w:val="30"/>
          <w:highlight w:val="none"/>
        </w:rPr>
      </w:pPr>
      <w:r>
        <w:rPr>
          <w:rFonts w:ascii="楷体" w:hAnsi="楷体" w:eastAsia="楷体" w:cs="楷体"/>
          <w:b/>
          <w:bCs/>
          <w:color w:val="auto"/>
          <w:sz w:val="30"/>
          <w:szCs w:val="30"/>
          <w:highlight w:val="none"/>
        </w:rPr>
        <w:br w:type="page"/>
      </w:r>
    </w:p>
    <w:p w14:paraId="0E86503F">
      <w:pPr>
        <w:adjustRightInd w:val="0"/>
        <w:snapToGrid w:val="0"/>
        <w:spacing w:line="288" w:lineRule="auto"/>
        <w:ind w:firstLine="300"/>
        <w:rPr>
          <w:rFonts w:ascii="楷体" w:hAnsi="楷体" w:eastAsia="楷体" w:cs="楷体"/>
          <w:b/>
          <w:bCs/>
          <w:color w:val="auto"/>
          <w:sz w:val="30"/>
          <w:szCs w:val="30"/>
          <w:highlight w:val="none"/>
        </w:rPr>
      </w:pPr>
    </w:p>
    <w:p w14:paraId="2411F10F">
      <w:pPr>
        <w:adjustRightInd w:val="0"/>
        <w:snapToGrid w:val="0"/>
        <w:spacing w:line="288" w:lineRule="auto"/>
        <w:ind w:firstLine="482"/>
        <w:jc w:val="center"/>
        <w:outlineLvl w:val="0"/>
        <w:rPr>
          <w:rFonts w:ascii="楷体" w:hAnsi="楷体" w:eastAsia="楷体" w:cs="楷体"/>
          <w:b/>
          <w:bCs/>
          <w:color w:val="auto"/>
          <w:sz w:val="48"/>
          <w:szCs w:val="48"/>
          <w:highlight w:val="none"/>
        </w:rPr>
      </w:pPr>
      <w:r>
        <w:rPr>
          <w:rFonts w:hint="eastAsia" w:ascii="楷体" w:hAnsi="楷体" w:eastAsia="楷体" w:cs="楷体"/>
          <w:b/>
          <w:bCs/>
          <w:color w:val="auto"/>
          <w:sz w:val="48"/>
          <w:szCs w:val="48"/>
          <w:highlight w:val="none"/>
        </w:rPr>
        <w:t xml:space="preserve">目 </w:t>
      </w:r>
      <w:r>
        <w:rPr>
          <w:rFonts w:ascii="楷体" w:hAnsi="楷体" w:eastAsia="楷体" w:cs="楷体"/>
          <w:b/>
          <w:bCs/>
          <w:color w:val="auto"/>
          <w:sz w:val="48"/>
          <w:szCs w:val="48"/>
          <w:highlight w:val="none"/>
        </w:rPr>
        <w:t xml:space="preserve"> </w:t>
      </w:r>
      <w:r>
        <w:rPr>
          <w:rFonts w:hint="eastAsia" w:ascii="楷体" w:hAnsi="楷体" w:eastAsia="楷体" w:cs="楷体"/>
          <w:b/>
          <w:bCs/>
          <w:color w:val="auto"/>
          <w:sz w:val="48"/>
          <w:szCs w:val="48"/>
          <w:highlight w:val="none"/>
        </w:rPr>
        <w:t>录</w:t>
      </w:r>
    </w:p>
    <w:p w14:paraId="6C1B6D77">
      <w:pPr>
        <w:adjustRightInd w:val="0"/>
        <w:snapToGrid w:val="0"/>
        <w:spacing w:line="288" w:lineRule="auto"/>
        <w:ind w:firstLine="300"/>
        <w:rPr>
          <w:rFonts w:ascii="楷体" w:hAnsi="楷体" w:eastAsia="楷体" w:cs="楷体"/>
          <w:b/>
          <w:bCs/>
          <w:color w:val="auto"/>
          <w:sz w:val="30"/>
          <w:szCs w:val="30"/>
          <w:highlight w:val="none"/>
        </w:rPr>
      </w:pPr>
    </w:p>
    <w:p w14:paraId="75CBC33F">
      <w:pPr>
        <w:adjustRightInd w:val="0"/>
        <w:snapToGrid w:val="0"/>
        <w:spacing w:line="288" w:lineRule="auto"/>
        <w:ind w:firstLine="708" w:firstLineChars="235"/>
        <w:rPr>
          <w:rFonts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t>第一章  采购邀请</w:t>
      </w:r>
    </w:p>
    <w:p w14:paraId="39A8477C">
      <w:pPr>
        <w:adjustRightInd w:val="0"/>
        <w:snapToGrid w:val="0"/>
        <w:spacing w:line="288" w:lineRule="auto"/>
        <w:ind w:firstLine="708" w:firstLineChars="235"/>
        <w:rPr>
          <w:rFonts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t>第二章  采购需求</w:t>
      </w:r>
    </w:p>
    <w:p w14:paraId="314D2BC8">
      <w:pPr>
        <w:adjustRightInd w:val="0"/>
        <w:snapToGrid w:val="0"/>
        <w:spacing w:line="288" w:lineRule="auto"/>
        <w:ind w:firstLine="708" w:firstLineChars="235"/>
        <w:rPr>
          <w:rFonts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t>第三章  供应商须知</w:t>
      </w:r>
    </w:p>
    <w:p w14:paraId="21CABA5C">
      <w:pPr>
        <w:adjustRightInd w:val="0"/>
        <w:snapToGrid w:val="0"/>
        <w:spacing w:line="288" w:lineRule="auto"/>
        <w:ind w:firstLine="708" w:firstLineChars="235"/>
        <w:rPr>
          <w:rFonts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t>第四章  评审方法和评审标准</w:t>
      </w:r>
    </w:p>
    <w:p w14:paraId="401FFF3A">
      <w:pPr>
        <w:adjustRightInd w:val="0"/>
        <w:snapToGrid w:val="0"/>
        <w:spacing w:line="288" w:lineRule="auto"/>
        <w:ind w:firstLine="708" w:firstLineChars="235"/>
        <w:rPr>
          <w:rFonts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t>第五章  拟签订的合同文本</w:t>
      </w:r>
    </w:p>
    <w:p w14:paraId="115062B5">
      <w:pPr>
        <w:adjustRightInd w:val="0"/>
        <w:snapToGrid w:val="0"/>
        <w:spacing w:line="288" w:lineRule="auto"/>
        <w:ind w:firstLine="708" w:firstLineChars="235"/>
        <w:rPr>
          <w:rFonts w:ascii="楷体" w:hAnsi="楷体" w:eastAsia="楷体" w:cs="楷体"/>
          <w:b/>
          <w:bCs/>
          <w:color w:val="auto"/>
          <w:sz w:val="30"/>
          <w:szCs w:val="30"/>
          <w:highlight w:val="none"/>
        </w:rPr>
      </w:pPr>
      <w:r>
        <w:rPr>
          <w:rFonts w:hint="eastAsia" w:ascii="楷体" w:hAnsi="楷体" w:eastAsia="楷体" w:cs="楷体"/>
          <w:b/>
          <w:bCs/>
          <w:color w:val="auto"/>
          <w:sz w:val="30"/>
          <w:szCs w:val="30"/>
          <w:highlight w:val="none"/>
        </w:rPr>
        <w:t>第六章  响应文件格式</w:t>
      </w:r>
    </w:p>
    <w:p w14:paraId="63BE33E6">
      <w:pPr>
        <w:widowControl/>
        <w:jc w:val="left"/>
        <w:rPr>
          <w:color w:val="auto"/>
          <w:highlight w:val="none"/>
        </w:rPr>
      </w:pPr>
    </w:p>
    <w:p w14:paraId="5497343F">
      <w:pPr>
        <w:widowControl/>
        <w:jc w:val="left"/>
        <w:rPr>
          <w:color w:val="auto"/>
          <w:highlight w:val="none"/>
        </w:rPr>
        <w:sectPr>
          <w:headerReference r:id="rId3" w:type="default"/>
          <w:footerReference r:id="rId4" w:type="default"/>
          <w:pgSz w:w="11906" w:h="16838"/>
          <w:pgMar w:top="1247" w:right="1247" w:bottom="1247" w:left="1247" w:header="142" w:footer="725" w:gutter="0"/>
          <w:pgNumType w:start="1"/>
          <w:cols w:space="425" w:num="1"/>
          <w:docGrid w:type="lines" w:linePitch="312" w:charSpace="0"/>
        </w:sectPr>
      </w:pPr>
    </w:p>
    <w:p w14:paraId="55225D44">
      <w:pPr>
        <w:adjustRightInd w:val="0"/>
        <w:snapToGrid w:val="0"/>
        <w:spacing w:line="288" w:lineRule="auto"/>
        <w:ind w:firstLine="321"/>
        <w:jc w:val="center"/>
        <w:outlineLvl w:val="0"/>
        <w:rPr>
          <w:rFonts w:cs="楷体"/>
          <w:color w:val="auto"/>
          <w:sz w:val="21"/>
          <w:szCs w:val="21"/>
          <w:highlight w:val="none"/>
        </w:rPr>
      </w:pPr>
      <w:r>
        <w:rPr>
          <w:rFonts w:hint="eastAsia"/>
          <w:b/>
          <w:bCs/>
          <w:color w:val="auto"/>
          <w:sz w:val="32"/>
          <w:szCs w:val="32"/>
          <w:highlight w:val="none"/>
        </w:rPr>
        <w:t xml:space="preserve">第一章 </w:t>
      </w:r>
      <w:r>
        <w:rPr>
          <w:b/>
          <w:bCs/>
          <w:color w:val="auto"/>
          <w:sz w:val="32"/>
          <w:szCs w:val="32"/>
          <w:highlight w:val="none"/>
        </w:rPr>
        <w:t xml:space="preserve"> </w:t>
      </w:r>
      <w:r>
        <w:rPr>
          <w:rFonts w:hint="eastAsia"/>
          <w:b/>
          <w:bCs/>
          <w:color w:val="auto"/>
          <w:sz w:val="32"/>
          <w:szCs w:val="32"/>
          <w:highlight w:val="none"/>
        </w:rPr>
        <w:t>采购邀请</w:t>
      </w:r>
    </w:p>
    <w:p w14:paraId="07F5DEE5">
      <w:pPr>
        <w:pBdr>
          <w:top w:val="single" w:color="auto" w:sz="4" w:space="1"/>
          <w:left w:val="single" w:color="auto" w:sz="4" w:space="4"/>
          <w:bottom w:val="single" w:color="auto" w:sz="4" w:space="1"/>
          <w:right w:val="single" w:color="auto" w:sz="4" w:space="4"/>
        </w:pBdr>
        <w:adjustRightInd w:val="0"/>
        <w:snapToGrid w:val="0"/>
        <w:spacing w:line="288" w:lineRule="auto"/>
        <w:ind w:firstLine="422" w:firstLineChars="200"/>
        <w:rPr>
          <w:b/>
          <w:color w:val="auto"/>
          <w:sz w:val="21"/>
          <w:szCs w:val="21"/>
          <w:highlight w:val="none"/>
        </w:rPr>
      </w:pPr>
      <w:r>
        <w:rPr>
          <w:rFonts w:hint="eastAsia"/>
          <w:b/>
          <w:color w:val="auto"/>
          <w:sz w:val="21"/>
          <w:szCs w:val="21"/>
          <w:highlight w:val="none"/>
        </w:rPr>
        <w:t>项目概况</w:t>
      </w:r>
    </w:p>
    <w:p w14:paraId="2665ED5C">
      <w:pPr>
        <w:pBdr>
          <w:top w:val="single" w:color="auto" w:sz="4" w:space="1"/>
          <w:left w:val="single" w:color="auto" w:sz="4" w:space="4"/>
          <w:bottom w:val="single" w:color="auto" w:sz="4" w:space="1"/>
          <w:right w:val="single" w:color="auto" w:sz="4" w:space="4"/>
        </w:pBdr>
        <w:adjustRightInd w:val="0"/>
        <w:snapToGrid w:val="0"/>
        <w:spacing w:line="288" w:lineRule="auto"/>
        <w:ind w:firstLine="422" w:firstLineChars="200"/>
        <w:rPr>
          <w:b/>
          <w:color w:val="auto"/>
          <w:sz w:val="21"/>
          <w:szCs w:val="21"/>
          <w:highlight w:val="none"/>
        </w:rPr>
      </w:pPr>
      <w:r>
        <w:rPr>
          <w:rFonts w:hint="eastAsia"/>
          <w:b/>
          <w:color w:val="auto"/>
          <w:sz w:val="21"/>
          <w:szCs w:val="21"/>
          <w:highlight w:val="none"/>
          <w:u w:val="single"/>
        </w:rPr>
        <w:t xml:space="preserve"> 长兴校区道路装饰工程 </w:t>
      </w:r>
      <w:r>
        <w:rPr>
          <w:rFonts w:hint="eastAsia"/>
          <w:b/>
          <w:color w:val="auto"/>
          <w:sz w:val="21"/>
          <w:szCs w:val="21"/>
          <w:highlight w:val="none"/>
        </w:rPr>
        <w:t>采购项目的潜在供应商应在</w:t>
      </w:r>
      <w:r>
        <w:rPr>
          <w:rFonts w:hint="eastAsia"/>
          <w:b/>
          <w:color w:val="auto"/>
          <w:sz w:val="21"/>
          <w:szCs w:val="21"/>
          <w:highlight w:val="none"/>
          <w:u w:val="single"/>
        </w:rPr>
        <w:t xml:space="preserve"> 政府采购云平台（https://www.zcygov.cn） </w:t>
      </w:r>
      <w:r>
        <w:rPr>
          <w:rFonts w:hint="eastAsia"/>
          <w:b/>
          <w:color w:val="auto"/>
          <w:sz w:val="21"/>
          <w:szCs w:val="21"/>
          <w:highlight w:val="none"/>
        </w:rPr>
        <w:t>获取（下载）采购文件，并于</w:t>
      </w:r>
      <w:r>
        <w:rPr>
          <w:rFonts w:hint="eastAsia"/>
          <w:b/>
          <w:color w:val="auto"/>
          <w:sz w:val="21"/>
          <w:szCs w:val="21"/>
          <w:highlight w:val="none"/>
          <w:u w:val="single"/>
        </w:rPr>
        <w:t xml:space="preserve"> 2024年</w:t>
      </w:r>
      <w:r>
        <w:rPr>
          <w:rFonts w:hint="eastAsia"/>
          <w:b/>
          <w:color w:val="auto"/>
          <w:sz w:val="21"/>
          <w:szCs w:val="21"/>
          <w:highlight w:val="none"/>
          <w:u w:val="single"/>
          <w:lang w:val="en-US" w:eastAsia="zh-CN"/>
        </w:rPr>
        <w:t>10</w:t>
      </w:r>
      <w:r>
        <w:rPr>
          <w:rFonts w:hint="eastAsia"/>
          <w:b/>
          <w:color w:val="auto"/>
          <w:sz w:val="21"/>
          <w:szCs w:val="21"/>
          <w:highlight w:val="none"/>
          <w:u w:val="single"/>
        </w:rPr>
        <w:t>月</w:t>
      </w:r>
      <w:r>
        <w:rPr>
          <w:rFonts w:hint="eastAsia"/>
          <w:b/>
          <w:color w:val="auto"/>
          <w:sz w:val="21"/>
          <w:szCs w:val="21"/>
          <w:highlight w:val="none"/>
          <w:u w:val="single"/>
          <w:lang w:val="en-US" w:eastAsia="zh-CN"/>
        </w:rPr>
        <w:t>23</w:t>
      </w:r>
      <w:r>
        <w:rPr>
          <w:rFonts w:hint="eastAsia"/>
          <w:b/>
          <w:color w:val="auto"/>
          <w:sz w:val="21"/>
          <w:szCs w:val="21"/>
          <w:highlight w:val="none"/>
          <w:u w:val="single"/>
        </w:rPr>
        <w:t>日</w:t>
      </w:r>
      <w:r>
        <w:rPr>
          <w:rFonts w:hint="eastAsia"/>
          <w:b/>
          <w:color w:val="auto"/>
          <w:sz w:val="21"/>
          <w:szCs w:val="21"/>
          <w:highlight w:val="none"/>
          <w:u w:val="single"/>
          <w:lang w:val="en-US" w:eastAsia="zh-CN"/>
        </w:rPr>
        <w:t>13</w:t>
      </w:r>
      <w:r>
        <w:rPr>
          <w:rFonts w:hint="eastAsia"/>
          <w:b/>
          <w:color w:val="auto"/>
          <w:sz w:val="21"/>
          <w:szCs w:val="21"/>
          <w:highlight w:val="none"/>
          <w:u w:val="single"/>
        </w:rPr>
        <w:t xml:space="preserve">:30:00 </w:t>
      </w:r>
      <w:r>
        <w:rPr>
          <w:rFonts w:hint="eastAsia"/>
          <w:b/>
          <w:bCs/>
          <w:color w:val="auto"/>
          <w:sz w:val="21"/>
          <w:szCs w:val="21"/>
          <w:highlight w:val="none"/>
        </w:rPr>
        <w:t>（北京时间）前提交（上传）响应文件</w:t>
      </w:r>
      <w:r>
        <w:rPr>
          <w:rFonts w:hint="eastAsia"/>
          <w:b/>
          <w:color w:val="auto"/>
          <w:sz w:val="21"/>
          <w:szCs w:val="21"/>
          <w:highlight w:val="none"/>
        </w:rPr>
        <w:t>。</w:t>
      </w:r>
    </w:p>
    <w:p w14:paraId="00AE1A7F">
      <w:pPr>
        <w:adjustRightInd w:val="0"/>
        <w:snapToGrid w:val="0"/>
        <w:spacing w:line="288" w:lineRule="auto"/>
        <w:ind w:firstLine="211"/>
        <w:rPr>
          <w:b/>
          <w:color w:val="auto"/>
          <w:sz w:val="21"/>
          <w:szCs w:val="21"/>
          <w:highlight w:val="none"/>
        </w:rPr>
      </w:pPr>
      <w:bookmarkStart w:id="0" w:name="_Toc28359079"/>
      <w:bookmarkStart w:id="1" w:name="_Toc28359002"/>
      <w:bookmarkStart w:id="2" w:name="_Toc35393790"/>
      <w:bookmarkStart w:id="3" w:name="_Toc35393621"/>
      <w:bookmarkStart w:id="4" w:name="_Hlk24379207"/>
      <w:r>
        <w:rPr>
          <w:rFonts w:hint="eastAsia"/>
          <w:b/>
          <w:color w:val="auto"/>
          <w:sz w:val="21"/>
          <w:szCs w:val="21"/>
          <w:highlight w:val="none"/>
        </w:rPr>
        <w:t>一、项目基本情况</w:t>
      </w:r>
      <w:bookmarkEnd w:id="0"/>
      <w:bookmarkEnd w:id="1"/>
      <w:bookmarkEnd w:id="2"/>
      <w:bookmarkEnd w:id="3"/>
    </w:p>
    <w:p w14:paraId="06D57FD4">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1</w:t>
      </w:r>
      <w:r>
        <w:rPr>
          <w:color w:val="auto"/>
          <w:sz w:val="21"/>
          <w:szCs w:val="21"/>
          <w:highlight w:val="none"/>
        </w:rPr>
        <w:t>.</w:t>
      </w:r>
      <w:r>
        <w:rPr>
          <w:rFonts w:hint="eastAsia"/>
          <w:color w:val="auto"/>
          <w:sz w:val="21"/>
          <w:szCs w:val="21"/>
          <w:highlight w:val="none"/>
        </w:rPr>
        <w:t>项目编号：</w:t>
      </w:r>
      <w:r>
        <w:rPr>
          <w:rFonts w:hint="eastAsia"/>
          <w:bCs/>
          <w:color w:val="auto"/>
          <w:sz w:val="21"/>
          <w:szCs w:val="21"/>
          <w:highlight w:val="none"/>
        </w:rPr>
        <w:t xml:space="preserve">QSZB-Z(G)-C24307(CS)  </w:t>
      </w:r>
    </w:p>
    <w:p w14:paraId="022E2DB9">
      <w:pPr>
        <w:adjustRightInd w:val="0"/>
        <w:snapToGrid w:val="0"/>
        <w:spacing w:line="288" w:lineRule="auto"/>
        <w:ind w:firstLine="420" w:firstLineChars="200"/>
        <w:rPr>
          <w:color w:val="auto"/>
          <w:sz w:val="21"/>
          <w:szCs w:val="21"/>
          <w:highlight w:val="none"/>
        </w:rPr>
      </w:pPr>
      <w:r>
        <w:rPr>
          <w:color w:val="auto"/>
          <w:sz w:val="21"/>
          <w:szCs w:val="21"/>
          <w:highlight w:val="none"/>
        </w:rPr>
        <w:t>2.</w:t>
      </w:r>
      <w:r>
        <w:rPr>
          <w:rFonts w:hint="eastAsia"/>
          <w:color w:val="auto"/>
          <w:sz w:val="21"/>
          <w:szCs w:val="21"/>
          <w:highlight w:val="none"/>
        </w:rPr>
        <w:t>项目名称：长兴校区道路装饰工程</w:t>
      </w:r>
    </w:p>
    <w:p w14:paraId="155D8DF4">
      <w:pPr>
        <w:adjustRightInd w:val="0"/>
        <w:snapToGrid w:val="0"/>
        <w:spacing w:line="288" w:lineRule="auto"/>
        <w:ind w:firstLine="420" w:firstLineChars="200"/>
        <w:rPr>
          <w:color w:val="auto"/>
          <w:sz w:val="21"/>
          <w:szCs w:val="21"/>
          <w:highlight w:val="none"/>
        </w:rPr>
      </w:pPr>
      <w:r>
        <w:rPr>
          <w:color w:val="auto"/>
          <w:sz w:val="21"/>
          <w:szCs w:val="21"/>
          <w:highlight w:val="none"/>
        </w:rPr>
        <w:t>3.</w:t>
      </w:r>
      <w:r>
        <w:rPr>
          <w:rFonts w:hint="eastAsia"/>
          <w:color w:val="auto"/>
          <w:sz w:val="21"/>
          <w:szCs w:val="21"/>
          <w:highlight w:val="none"/>
        </w:rPr>
        <w:t>采购方式：竞争性磋商</w:t>
      </w:r>
    </w:p>
    <w:bookmarkEnd w:id="4"/>
    <w:p w14:paraId="02253B90">
      <w:pPr>
        <w:adjustRightInd w:val="0"/>
        <w:snapToGrid w:val="0"/>
        <w:spacing w:line="288" w:lineRule="auto"/>
        <w:ind w:firstLine="420" w:firstLineChars="200"/>
        <w:rPr>
          <w:color w:val="auto"/>
          <w:sz w:val="21"/>
          <w:szCs w:val="21"/>
          <w:highlight w:val="none"/>
        </w:rPr>
      </w:pPr>
      <w:r>
        <w:rPr>
          <w:color w:val="auto"/>
          <w:sz w:val="21"/>
          <w:szCs w:val="21"/>
          <w:highlight w:val="none"/>
        </w:rPr>
        <w:t>4.</w:t>
      </w:r>
      <w:r>
        <w:rPr>
          <w:rFonts w:hint="eastAsia"/>
          <w:color w:val="auto"/>
          <w:sz w:val="21"/>
          <w:szCs w:val="21"/>
          <w:highlight w:val="none"/>
        </w:rPr>
        <w:t>预算金额：48万元</w:t>
      </w:r>
    </w:p>
    <w:p w14:paraId="27415E1D">
      <w:pPr>
        <w:adjustRightInd w:val="0"/>
        <w:snapToGrid w:val="0"/>
        <w:spacing w:line="288" w:lineRule="auto"/>
        <w:ind w:firstLine="420" w:firstLineChars="200"/>
        <w:rPr>
          <w:color w:val="auto"/>
          <w:sz w:val="21"/>
          <w:szCs w:val="21"/>
          <w:highlight w:val="none"/>
        </w:rPr>
      </w:pPr>
      <w:r>
        <w:rPr>
          <w:color w:val="auto"/>
          <w:sz w:val="21"/>
          <w:szCs w:val="21"/>
          <w:highlight w:val="none"/>
        </w:rPr>
        <w:t>5.</w:t>
      </w:r>
      <w:r>
        <w:rPr>
          <w:rFonts w:hint="eastAsia"/>
          <w:color w:val="auto"/>
          <w:sz w:val="21"/>
          <w:szCs w:val="21"/>
          <w:highlight w:val="none"/>
        </w:rPr>
        <w:t>最高限价（如有）：48万元</w:t>
      </w:r>
    </w:p>
    <w:p w14:paraId="50C01016">
      <w:pPr>
        <w:adjustRightInd w:val="0"/>
        <w:snapToGrid w:val="0"/>
        <w:spacing w:line="288" w:lineRule="auto"/>
        <w:ind w:firstLine="420" w:firstLineChars="200"/>
        <w:rPr>
          <w:color w:val="auto"/>
          <w:spacing w:val="-6"/>
          <w:sz w:val="21"/>
          <w:szCs w:val="21"/>
          <w:highlight w:val="none"/>
        </w:rPr>
      </w:pPr>
      <w:r>
        <w:rPr>
          <w:color w:val="auto"/>
          <w:sz w:val="21"/>
          <w:szCs w:val="21"/>
          <w:highlight w:val="none"/>
        </w:rPr>
        <w:t>6.</w:t>
      </w:r>
      <w:r>
        <w:rPr>
          <w:rFonts w:hint="eastAsia"/>
          <w:color w:val="auto"/>
          <w:sz w:val="21"/>
          <w:szCs w:val="21"/>
          <w:highlight w:val="none"/>
        </w:rPr>
        <w:t>合同履约期限：（1）工期：合同签订后35个日历天内完成制作安装及时花种植；（2）种植养护服务期</w:t>
      </w:r>
      <w:r>
        <w:rPr>
          <w:rFonts w:hint="eastAsia"/>
          <w:bCs/>
          <w:color w:val="auto"/>
          <w:sz w:val="21"/>
          <w:szCs w:val="21"/>
          <w:highlight w:val="none"/>
        </w:rPr>
        <w:t>一</w:t>
      </w:r>
      <w:r>
        <w:rPr>
          <w:bCs/>
          <w:color w:val="auto"/>
          <w:sz w:val="21"/>
          <w:szCs w:val="21"/>
          <w:highlight w:val="none"/>
        </w:rPr>
        <w:t>年</w:t>
      </w:r>
      <w:r>
        <w:rPr>
          <w:rFonts w:hint="eastAsia"/>
          <w:bCs/>
          <w:color w:val="auto"/>
          <w:sz w:val="21"/>
          <w:szCs w:val="21"/>
          <w:highlight w:val="none"/>
        </w:rPr>
        <w:t>，时花至少更换5次</w:t>
      </w:r>
      <w:r>
        <w:rPr>
          <w:rFonts w:hint="eastAsia"/>
          <w:color w:val="auto"/>
          <w:sz w:val="21"/>
          <w:szCs w:val="21"/>
          <w:highlight w:val="none"/>
        </w:rPr>
        <w:t>。</w:t>
      </w:r>
    </w:p>
    <w:p w14:paraId="2B3152A0">
      <w:pPr>
        <w:adjustRightInd w:val="0"/>
        <w:snapToGrid w:val="0"/>
        <w:spacing w:line="288" w:lineRule="auto"/>
        <w:ind w:firstLine="420" w:firstLineChars="200"/>
        <w:rPr>
          <w:color w:val="auto"/>
          <w:sz w:val="21"/>
          <w:szCs w:val="21"/>
          <w:highlight w:val="none"/>
        </w:rPr>
      </w:pPr>
      <w:r>
        <w:rPr>
          <w:color w:val="auto"/>
          <w:sz w:val="21"/>
          <w:szCs w:val="21"/>
          <w:highlight w:val="none"/>
        </w:rPr>
        <w:t>7.</w:t>
      </w:r>
      <w:r>
        <w:rPr>
          <w:rFonts w:hint="eastAsia"/>
          <w:color w:val="auto"/>
          <w:sz w:val="21"/>
          <w:szCs w:val="21"/>
          <w:highlight w:val="none"/>
        </w:rPr>
        <w:t>本项目（是）接受联合体响应。</w:t>
      </w:r>
    </w:p>
    <w:p w14:paraId="3AAB7F35">
      <w:pPr>
        <w:adjustRightInd w:val="0"/>
        <w:snapToGrid w:val="0"/>
        <w:spacing w:line="288" w:lineRule="auto"/>
        <w:ind w:firstLine="420" w:firstLineChars="200"/>
        <w:rPr>
          <w:color w:val="auto"/>
          <w:sz w:val="21"/>
          <w:szCs w:val="21"/>
          <w:highlight w:val="none"/>
        </w:rPr>
      </w:pPr>
      <w:r>
        <w:rPr>
          <w:color w:val="auto"/>
          <w:sz w:val="21"/>
          <w:szCs w:val="21"/>
          <w:highlight w:val="none"/>
        </w:rPr>
        <w:t>8.</w:t>
      </w:r>
      <w:r>
        <w:rPr>
          <w:rFonts w:hint="eastAsia"/>
          <w:color w:val="auto"/>
          <w:sz w:val="21"/>
          <w:szCs w:val="21"/>
          <w:highlight w:val="none"/>
        </w:rPr>
        <w:t>采购需求：</w:t>
      </w:r>
    </w:p>
    <w:tbl>
      <w:tblPr>
        <w:tblStyle w:val="3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838"/>
        <w:gridCol w:w="903"/>
        <w:gridCol w:w="905"/>
        <w:gridCol w:w="3982"/>
      </w:tblGrid>
      <w:tr w14:paraId="41E25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9" w:hRule="atLeast"/>
        </w:trPr>
        <w:tc>
          <w:tcPr>
            <w:tcW w:w="1993" w:type="pct"/>
            <w:tcBorders>
              <w:right w:val="single" w:color="auto" w:sz="4" w:space="0"/>
              <w:tl2br w:val="nil"/>
              <w:tr2bl w:val="nil"/>
            </w:tcBorders>
            <w:vAlign w:val="center"/>
          </w:tcPr>
          <w:p w14:paraId="42E5A39E">
            <w:pPr>
              <w:adjustRightInd w:val="0"/>
              <w:snapToGrid w:val="0"/>
              <w:spacing w:line="288" w:lineRule="auto"/>
              <w:ind w:firstLine="211"/>
              <w:jc w:val="center"/>
              <w:rPr>
                <w:b/>
                <w:bCs/>
                <w:color w:val="auto"/>
                <w:sz w:val="21"/>
                <w:szCs w:val="21"/>
                <w:highlight w:val="none"/>
              </w:rPr>
            </w:pPr>
            <w:r>
              <w:rPr>
                <w:rFonts w:hint="eastAsia"/>
                <w:b/>
                <w:bCs/>
                <w:color w:val="auto"/>
                <w:sz w:val="21"/>
                <w:szCs w:val="21"/>
                <w:highlight w:val="none"/>
              </w:rPr>
              <w:t>名称</w:t>
            </w:r>
          </w:p>
        </w:tc>
        <w:tc>
          <w:tcPr>
            <w:tcW w:w="469" w:type="pct"/>
            <w:tcBorders>
              <w:tl2br w:val="nil"/>
              <w:tr2bl w:val="nil"/>
            </w:tcBorders>
            <w:vAlign w:val="center"/>
          </w:tcPr>
          <w:p w14:paraId="26C2E3DA">
            <w:pPr>
              <w:adjustRightInd w:val="0"/>
              <w:snapToGrid w:val="0"/>
              <w:spacing w:line="288" w:lineRule="auto"/>
              <w:ind w:firstLine="211"/>
              <w:jc w:val="center"/>
              <w:rPr>
                <w:b/>
                <w:bCs/>
                <w:color w:val="auto"/>
                <w:sz w:val="21"/>
                <w:szCs w:val="21"/>
                <w:highlight w:val="none"/>
              </w:rPr>
            </w:pPr>
            <w:r>
              <w:rPr>
                <w:rFonts w:hint="eastAsia"/>
                <w:b/>
                <w:bCs/>
                <w:color w:val="auto"/>
                <w:sz w:val="21"/>
                <w:szCs w:val="21"/>
                <w:highlight w:val="none"/>
              </w:rPr>
              <w:t>数量</w:t>
            </w:r>
          </w:p>
        </w:tc>
        <w:tc>
          <w:tcPr>
            <w:tcW w:w="470" w:type="pct"/>
            <w:tcBorders>
              <w:tl2br w:val="nil"/>
              <w:tr2bl w:val="nil"/>
            </w:tcBorders>
            <w:vAlign w:val="center"/>
          </w:tcPr>
          <w:p w14:paraId="087DE909">
            <w:pPr>
              <w:adjustRightInd w:val="0"/>
              <w:snapToGrid w:val="0"/>
              <w:spacing w:line="288" w:lineRule="auto"/>
              <w:ind w:firstLine="211"/>
              <w:jc w:val="center"/>
              <w:rPr>
                <w:b/>
                <w:bCs/>
                <w:color w:val="auto"/>
                <w:sz w:val="21"/>
                <w:szCs w:val="21"/>
                <w:highlight w:val="none"/>
              </w:rPr>
            </w:pPr>
            <w:r>
              <w:rPr>
                <w:rFonts w:hint="eastAsia"/>
                <w:b/>
                <w:bCs/>
                <w:color w:val="auto"/>
                <w:sz w:val="21"/>
                <w:szCs w:val="21"/>
                <w:highlight w:val="none"/>
              </w:rPr>
              <w:t>单位</w:t>
            </w:r>
          </w:p>
        </w:tc>
        <w:tc>
          <w:tcPr>
            <w:tcW w:w="2068" w:type="pct"/>
            <w:tcBorders>
              <w:right w:val="single" w:color="auto" w:sz="4" w:space="0"/>
              <w:tl2br w:val="nil"/>
              <w:tr2bl w:val="nil"/>
            </w:tcBorders>
            <w:vAlign w:val="center"/>
          </w:tcPr>
          <w:p w14:paraId="38D60E68">
            <w:pPr>
              <w:adjustRightInd w:val="0"/>
              <w:snapToGrid w:val="0"/>
              <w:spacing w:line="288" w:lineRule="auto"/>
              <w:ind w:firstLine="211"/>
              <w:jc w:val="center"/>
              <w:rPr>
                <w:b/>
                <w:bCs/>
                <w:color w:val="auto"/>
                <w:sz w:val="21"/>
                <w:szCs w:val="21"/>
                <w:highlight w:val="none"/>
              </w:rPr>
            </w:pPr>
            <w:r>
              <w:rPr>
                <w:rFonts w:hint="eastAsia"/>
                <w:b/>
                <w:bCs/>
                <w:color w:val="auto"/>
                <w:sz w:val="21"/>
                <w:szCs w:val="21"/>
                <w:highlight w:val="none"/>
              </w:rPr>
              <w:t>简要技术需求或服务要求</w:t>
            </w:r>
          </w:p>
        </w:tc>
      </w:tr>
      <w:tr w14:paraId="71B2D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93" w:type="pct"/>
            <w:tcBorders>
              <w:right w:val="single" w:color="auto" w:sz="4" w:space="0"/>
              <w:tl2br w:val="nil"/>
              <w:tr2bl w:val="nil"/>
            </w:tcBorders>
            <w:vAlign w:val="center"/>
          </w:tcPr>
          <w:p w14:paraId="6B67713F">
            <w:pPr>
              <w:adjustRightInd w:val="0"/>
              <w:snapToGrid w:val="0"/>
              <w:spacing w:line="288" w:lineRule="auto"/>
              <w:ind w:firstLine="211"/>
              <w:jc w:val="center"/>
              <w:rPr>
                <w:bCs/>
                <w:color w:val="auto"/>
                <w:sz w:val="21"/>
                <w:szCs w:val="21"/>
                <w:highlight w:val="none"/>
              </w:rPr>
            </w:pPr>
            <w:r>
              <w:rPr>
                <w:rFonts w:hint="eastAsia"/>
                <w:bCs/>
                <w:color w:val="auto"/>
                <w:sz w:val="21"/>
                <w:szCs w:val="21"/>
                <w:highlight w:val="none"/>
              </w:rPr>
              <w:t>长兴校区道路装饰工程</w:t>
            </w:r>
          </w:p>
        </w:tc>
        <w:tc>
          <w:tcPr>
            <w:tcW w:w="469" w:type="pct"/>
            <w:tcBorders>
              <w:tl2br w:val="nil"/>
              <w:tr2bl w:val="nil"/>
            </w:tcBorders>
            <w:vAlign w:val="center"/>
          </w:tcPr>
          <w:p w14:paraId="7B080069">
            <w:pPr>
              <w:adjustRightInd w:val="0"/>
              <w:snapToGrid w:val="0"/>
              <w:spacing w:line="288" w:lineRule="auto"/>
              <w:ind w:firstLine="211"/>
              <w:jc w:val="center"/>
              <w:rPr>
                <w:bCs/>
                <w:color w:val="auto"/>
                <w:sz w:val="21"/>
                <w:szCs w:val="21"/>
                <w:highlight w:val="none"/>
              </w:rPr>
            </w:pPr>
            <w:r>
              <w:rPr>
                <w:rFonts w:hint="eastAsia"/>
                <w:bCs/>
                <w:color w:val="auto"/>
                <w:sz w:val="21"/>
                <w:szCs w:val="21"/>
                <w:highlight w:val="none"/>
              </w:rPr>
              <w:t>1</w:t>
            </w:r>
          </w:p>
        </w:tc>
        <w:tc>
          <w:tcPr>
            <w:tcW w:w="470" w:type="pct"/>
            <w:tcBorders>
              <w:tl2br w:val="nil"/>
              <w:tr2bl w:val="nil"/>
            </w:tcBorders>
            <w:vAlign w:val="center"/>
          </w:tcPr>
          <w:p w14:paraId="7575C226">
            <w:pPr>
              <w:adjustRightInd w:val="0"/>
              <w:snapToGrid w:val="0"/>
              <w:spacing w:line="288" w:lineRule="auto"/>
              <w:ind w:firstLine="211"/>
              <w:jc w:val="center"/>
              <w:rPr>
                <w:bCs/>
                <w:color w:val="auto"/>
                <w:sz w:val="21"/>
                <w:szCs w:val="21"/>
                <w:highlight w:val="none"/>
              </w:rPr>
            </w:pPr>
            <w:r>
              <w:rPr>
                <w:rFonts w:hint="eastAsia"/>
                <w:bCs/>
                <w:color w:val="auto"/>
                <w:sz w:val="21"/>
                <w:szCs w:val="21"/>
                <w:highlight w:val="none"/>
              </w:rPr>
              <w:t>项</w:t>
            </w:r>
          </w:p>
        </w:tc>
        <w:tc>
          <w:tcPr>
            <w:tcW w:w="2068" w:type="pct"/>
            <w:tcBorders>
              <w:right w:val="single" w:color="auto" w:sz="4" w:space="0"/>
              <w:tl2br w:val="nil"/>
              <w:tr2bl w:val="nil"/>
            </w:tcBorders>
            <w:vAlign w:val="center"/>
          </w:tcPr>
          <w:p w14:paraId="27B07C2B">
            <w:pPr>
              <w:adjustRightInd w:val="0"/>
              <w:snapToGrid w:val="0"/>
              <w:spacing w:line="288" w:lineRule="auto"/>
              <w:ind w:firstLine="211"/>
              <w:jc w:val="left"/>
              <w:rPr>
                <w:bCs/>
                <w:color w:val="auto"/>
                <w:sz w:val="21"/>
                <w:szCs w:val="21"/>
                <w:highlight w:val="none"/>
              </w:rPr>
            </w:pPr>
            <w:r>
              <w:rPr>
                <w:rFonts w:hint="eastAsia"/>
                <w:bCs/>
                <w:color w:val="auto"/>
                <w:sz w:val="21"/>
                <w:szCs w:val="21"/>
                <w:highlight w:val="none"/>
              </w:rPr>
              <w:t>项目主要内容为：定制各型号组合不锈钢隔离花箱178</w:t>
            </w:r>
            <w:r>
              <w:rPr>
                <w:bCs/>
                <w:color w:val="auto"/>
                <w:sz w:val="21"/>
                <w:szCs w:val="21"/>
                <w:highlight w:val="none"/>
              </w:rPr>
              <w:t>只，石球1</w:t>
            </w:r>
            <w:r>
              <w:rPr>
                <w:rFonts w:hint="eastAsia"/>
                <w:bCs/>
                <w:color w:val="auto"/>
                <w:sz w:val="21"/>
                <w:szCs w:val="21"/>
                <w:highlight w:val="none"/>
              </w:rPr>
              <w:t>58</w:t>
            </w:r>
            <w:r>
              <w:rPr>
                <w:bCs/>
                <w:color w:val="auto"/>
                <w:sz w:val="21"/>
                <w:szCs w:val="21"/>
                <w:highlight w:val="none"/>
              </w:rPr>
              <w:t>只，四季花卉种植、更换、清理、养护</w:t>
            </w:r>
            <w:r>
              <w:rPr>
                <w:rFonts w:hint="eastAsia"/>
                <w:bCs/>
                <w:color w:val="auto"/>
                <w:sz w:val="21"/>
                <w:szCs w:val="21"/>
                <w:highlight w:val="none"/>
              </w:rPr>
              <w:t>85</w:t>
            </w:r>
            <w:r>
              <w:rPr>
                <w:bCs/>
                <w:color w:val="auto"/>
                <w:sz w:val="21"/>
                <w:szCs w:val="21"/>
                <w:highlight w:val="none"/>
              </w:rPr>
              <w:t>平方米（服务期</w:t>
            </w:r>
            <w:r>
              <w:rPr>
                <w:rFonts w:hint="eastAsia"/>
                <w:bCs/>
                <w:color w:val="auto"/>
                <w:sz w:val="21"/>
                <w:szCs w:val="21"/>
                <w:highlight w:val="none"/>
              </w:rPr>
              <w:t>一</w:t>
            </w:r>
            <w:r>
              <w:rPr>
                <w:bCs/>
                <w:color w:val="auto"/>
                <w:sz w:val="21"/>
                <w:szCs w:val="21"/>
                <w:highlight w:val="none"/>
              </w:rPr>
              <w:t>年</w:t>
            </w:r>
            <w:r>
              <w:rPr>
                <w:rFonts w:hint="eastAsia"/>
                <w:bCs/>
                <w:color w:val="auto"/>
                <w:sz w:val="21"/>
                <w:szCs w:val="21"/>
                <w:highlight w:val="none"/>
              </w:rPr>
              <w:t>，至少更换5次</w:t>
            </w:r>
            <w:r>
              <w:rPr>
                <w:bCs/>
                <w:color w:val="auto"/>
                <w:sz w:val="21"/>
                <w:szCs w:val="21"/>
                <w:highlight w:val="none"/>
              </w:rPr>
              <w:t>），景观小品</w:t>
            </w:r>
            <w:r>
              <w:rPr>
                <w:rFonts w:hint="eastAsia"/>
                <w:bCs/>
                <w:color w:val="auto"/>
                <w:sz w:val="21"/>
                <w:szCs w:val="21"/>
                <w:highlight w:val="none"/>
              </w:rPr>
              <w:t>1项（包含景观石，黑松或罗汉松等植物）</w:t>
            </w:r>
            <w:r>
              <w:rPr>
                <w:bCs/>
                <w:color w:val="auto"/>
                <w:sz w:val="21"/>
                <w:szCs w:val="21"/>
                <w:highlight w:val="none"/>
              </w:rPr>
              <w:t>具体详见工程量清单。</w:t>
            </w:r>
          </w:p>
        </w:tc>
      </w:tr>
    </w:tbl>
    <w:p w14:paraId="72A7F7ED">
      <w:pPr>
        <w:adjustRightInd w:val="0"/>
        <w:snapToGrid w:val="0"/>
        <w:spacing w:line="288" w:lineRule="auto"/>
        <w:ind w:firstLine="211"/>
        <w:rPr>
          <w:b/>
          <w:color w:val="auto"/>
          <w:sz w:val="21"/>
          <w:szCs w:val="21"/>
          <w:highlight w:val="none"/>
        </w:rPr>
      </w:pPr>
      <w:bookmarkStart w:id="5" w:name="_Toc28359003"/>
      <w:bookmarkStart w:id="6" w:name="_Toc35393791"/>
      <w:bookmarkStart w:id="7" w:name="_Toc28359080"/>
      <w:bookmarkStart w:id="8" w:name="_Toc35393622"/>
      <w:r>
        <w:rPr>
          <w:rFonts w:hint="eastAsia"/>
          <w:b/>
          <w:color w:val="auto"/>
          <w:sz w:val="21"/>
          <w:szCs w:val="21"/>
          <w:highlight w:val="none"/>
        </w:rPr>
        <w:t>二、申请人的资格要求：</w:t>
      </w:r>
      <w:bookmarkEnd w:id="5"/>
      <w:bookmarkEnd w:id="6"/>
      <w:bookmarkEnd w:id="7"/>
      <w:bookmarkEnd w:id="8"/>
    </w:p>
    <w:p w14:paraId="75151A60">
      <w:pPr>
        <w:adjustRightInd w:val="0"/>
        <w:snapToGrid w:val="0"/>
        <w:spacing w:line="288" w:lineRule="auto"/>
        <w:ind w:firstLine="420" w:firstLineChars="200"/>
        <w:rPr>
          <w:rFonts w:cs="Times New Roman"/>
          <w:bCs/>
          <w:color w:val="auto"/>
          <w:sz w:val="21"/>
          <w:szCs w:val="21"/>
          <w:highlight w:val="none"/>
        </w:rPr>
      </w:pPr>
      <w:bookmarkStart w:id="9" w:name="_Toc28359081"/>
      <w:bookmarkStart w:id="10" w:name="_Toc28359004"/>
      <w:r>
        <w:rPr>
          <w:rFonts w:hint="eastAsia" w:cs="Times New Roman"/>
          <w:bCs/>
          <w:color w:val="auto"/>
          <w:sz w:val="21"/>
          <w:szCs w:val="21"/>
          <w:highlight w:val="none"/>
        </w:rPr>
        <w:t>1.满足《中华人民共和国政府采购法》第二十二条规定，未被“信用中国”（</w:t>
      </w:r>
      <w:r>
        <w:rPr>
          <w:rFonts w:cs="Times New Roman"/>
          <w:bCs/>
          <w:color w:val="auto"/>
          <w:sz w:val="21"/>
          <w:szCs w:val="21"/>
          <w:highlight w:val="none"/>
        </w:rPr>
        <w:t>www.creditchina.gov.cn</w:t>
      </w:r>
      <w:r>
        <w:rPr>
          <w:rFonts w:hint="eastAsia" w:cs="Times New Roman"/>
          <w:bCs/>
          <w:color w:val="auto"/>
          <w:sz w:val="21"/>
          <w:szCs w:val="21"/>
          <w:highlight w:val="none"/>
        </w:rPr>
        <w:t>）</w:t>
      </w:r>
      <w:r>
        <w:rPr>
          <w:rFonts w:cs="Times New Roman"/>
          <w:bCs/>
          <w:color w:val="auto"/>
          <w:sz w:val="21"/>
          <w:szCs w:val="21"/>
          <w:highlight w:val="none"/>
        </w:rPr>
        <w:t>、中国政府采购网（www.ccgp.gov.cn）列入失信被执行人、重大税收违法案件当事人名单、政府采购严重违法失信行为记录名单。</w:t>
      </w:r>
    </w:p>
    <w:p w14:paraId="739ECEBD">
      <w:pPr>
        <w:adjustRightInd w:val="0"/>
        <w:snapToGrid w:val="0"/>
        <w:spacing w:line="288" w:lineRule="auto"/>
        <w:ind w:firstLine="422" w:firstLineChars="200"/>
        <w:rPr>
          <w:rFonts w:cs="Times New Roman"/>
          <w:b/>
          <w:bCs/>
          <w:color w:val="auto"/>
          <w:sz w:val="21"/>
          <w:szCs w:val="21"/>
          <w:highlight w:val="none"/>
        </w:rPr>
      </w:pPr>
      <w:r>
        <w:rPr>
          <w:rFonts w:hint="eastAsia" w:cs="Times New Roman"/>
          <w:b/>
          <w:bCs/>
          <w:color w:val="auto"/>
          <w:sz w:val="21"/>
          <w:szCs w:val="21"/>
          <w:highlight w:val="none"/>
        </w:rPr>
        <w:t>2.落实政府采购政策需满足的资格要求：本项目整体专门面向中小企业采购。</w:t>
      </w:r>
    </w:p>
    <w:p w14:paraId="54CC1A54">
      <w:pPr>
        <w:adjustRightInd w:val="0"/>
        <w:snapToGrid w:val="0"/>
        <w:spacing w:line="288" w:lineRule="auto"/>
        <w:ind w:firstLine="422" w:firstLineChars="200"/>
        <w:rPr>
          <w:rFonts w:cs="Times New Roman"/>
          <w:b/>
          <w:bCs/>
          <w:color w:val="auto"/>
          <w:sz w:val="21"/>
          <w:szCs w:val="21"/>
          <w:highlight w:val="none"/>
        </w:rPr>
      </w:pPr>
      <w:r>
        <w:rPr>
          <w:rFonts w:cs="Times New Roman"/>
          <w:b/>
          <w:bCs/>
          <w:color w:val="auto"/>
          <w:sz w:val="21"/>
          <w:szCs w:val="21"/>
          <w:highlight w:val="none"/>
        </w:rPr>
        <w:t>工程由中小企业承建，即工程施工单位为中小企业；</w:t>
      </w:r>
    </w:p>
    <w:p w14:paraId="0EE8253E">
      <w:pPr>
        <w:adjustRightInd w:val="0"/>
        <w:snapToGrid w:val="0"/>
        <w:spacing w:line="288" w:lineRule="auto"/>
        <w:ind w:firstLine="422" w:firstLineChars="200"/>
        <w:rPr>
          <w:rFonts w:cs="Times New Roman"/>
          <w:b/>
          <w:bCs/>
          <w:color w:val="auto"/>
          <w:sz w:val="21"/>
          <w:szCs w:val="21"/>
          <w:highlight w:val="none"/>
        </w:rPr>
      </w:pPr>
      <w:r>
        <w:rPr>
          <w:rFonts w:hint="eastAsia" w:cs="Times New Roman"/>
          <w:b/>
          <w:bCs/>
          <w:color w:val="auto"/>
          <w:sz w:val="21"/>
          <w:szCs w:val="21"/>
          <w:highlight w:val="none"/>
        </w:rPr>
        <w:t>监狱企业、残疾人福利性单位视同小型、微型企业；</w:t>
      </w:r>
    </w:p>
    <w:p w14:paraId="5C8EF695">
      <w:pPr>
        <w:adjustRightInd w:val="0"/>
        <w:snapToGrid w:val="0"/>
        <w:spacing w:line="288" w:lineRule="auto"/>
        <w:ind w:firstLine="422" w:firstLineChars="200"/>
        <w:rPr>
          <w:rFonts w:cs="Times New Roman"/>
          <w:b/>
          <w:bCs/>
          <w:color w:val="auto"/>
          <w:sz w:val="21"/>
          <w:szCs w:val="21"/>
          <w:highlight w:val="none"/>
        </w:rPr>
      </w:pPr>
      <w:r>
        <w:rPr>
          <w:rFonts w:hint="eastAsia" w:cs="Times New Roman"/>
          <w:b/>
          <w:bCs/>
          <w:color w:val="auto"/>
          <w:sz w:val="21"/>
          <w:szCs w:val="21"/>
          <w:highlight w:val="none"/>
        </w:rPr>
        <w:t>本项目属性为：</w:t>
      </w:r>
      <w:r>
        <w:rPr>
          <w:rFonts w:cs="Times New Roman"/>
          <w:b/>
          <w:bCs/>
          <w:color w:val="auto"/>
          <w:sz w:val="21"/>
          <w:szCs w:val="21"/>
          <w:highlight w:val="none"/>
        </w:rPr>
        <w:t>工程</w:t>
      </w:r>
    </w:p>
    <w:p w14:paraId="3C823CEB">
      <w:pPr>
        <w:adjustRightInd w:val="0"/>
        <w:snapToGrid w:val="0"/>
        <w:spacing w:line="288" w:lineRule="auto"/>
        <w:ind w:firstLine="422" w:firstLineChars="200"/>
        <w:rPr>
          <w:rFonts w:cs="Times New Roman"/>
          <w:b/>
          <w:bCs/>
          <w:color w:val="auto"/>
          <w:sz w:val="21"/>
          <w:szCs w:val="21"/>
          <w:highlight w:val="none"/>
        </w:rPr>
      </w:pPr>
      <w:r>
        <w:rPr>
          <w:rFonts w:hint="eastAsia" w:cs="Times New Roman"/>
          <w:b/>
          <w:bCs/>
          <w:color w:val="auto"/>
          <w:sz w:val="21"/>
          <w:szCs w:val="21"/>
          <w:highlight w:val="none"/>
        </w:rPr>
        <w:t>采购标的对应的中小企业划分标准所属行业：建筑业。</w:t>
      </w:r>
    </w:p>
    <w:p w14:paraId="0F4BB5E4">
      <w:pPr>
        <w:adjustRightInd w:val="0"/>
        <w:snapToGrid w:val="0"/>
        <w:spacing w:line="288" w:lineRule="auto"/>
        <w:ind w:firstLine="422" w:firstLineChars="200"/>
        <w:rPr>
          <w:rFonts w:cs="Times New Roman"/>
          <w:b/>
          <w:bCs/>
          <w:color w:val="auto"/>
          <w:sz w:val="21"/>
          <w:szCs w:val="21"/>
          <w:highlight w:val="none"/>
        </w:rPr>
      </w:pPr>
      <w:r>
        <w:rPr>
          <w:rFonts w:hint="eastAsia" w:cs="Times New Roman"/>
          <w:b/>
          <w:bCs/>
          <w:color w:val="auto"/>
          <w:sz w:val="21"/>
          <w:szCs w:val="21"/>
          <w:highlight w:val="none"/>
        </w:rPr>
        <w:t>中小企业划型标准：营业收入</w:t>
      </w:r>
      <w:r>
        <w:rPr>
          <w:rFonts w:cs="Times New Roman"/>
          <w:b/>
          <w:bCs/>
          <w:color w:val="auto"/>
          <w:sz w:val="21"/>
          <w:szCs w:val="21"/>
          <w:highlight w:val="none"/>
        </w:rPr>
        <w:t>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E3D57A0">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3.本项目的特定资格要求：</w:t>
      </w:r>
    </w:p>
    <w:p w14:paraId="5D5FA391">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（1）拟派项目负责人具有园林绿化或相关专业中级及以上职称。</w:t>
      </w:r>
    </w:p>
    <w:p w14:paraId="592D13DD">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（2）供应商具有有效期内的企业安全生产许可证。</w:t>
      </w:r>
    </w:p>
    <w:p w14:paraId="6C34E4EE">
      <w:pPr>
        <w:adjustRightInd w:val="0"/>
        <w:snapToGrid w:val="0"/>
        <w:spacing w:line="288" w:lineRule="auto"/>
        <w:ind w:firstLine="211"/>
        <w:rPr>
          <w:b/>
          <w:color w:val="auto"/>
          <w:sz w:val="21"/>
          <w:szCs w:val="21"/>
          <w:highlight w:val="none"/>
        </w:rPr>
      </w:pPr>
      <w:bookmarkStart w:id="11" w:name="_Toc35393623"/>
      <w:bookmarkStart w:id="12" w:name="_Toc35393792"/>
      <w:r>
        <w:rPr>
          <w:rFonts w:hint="eastAsia"/>
          <w:b/>
          <w:color w:val="auto"/>
          <w:sz w:val="21"/>
          <w:szCs w:val="21"/>
          <w:highlight w:val="none"/>
        </w:rPr>
        <w:t>三、获取（下载）采购</w:t>
      </w:r>
      <w:bookmarkEnd w:id="9"/>
      <w:bookmarkEnd w:id="10"/>
      <w:bookmarkEnd w:id="11"/>
      <w:bookmarkEnd w:id="12"/>
    </w:p>
    <w:p w14:paraId="7161489A">
      <w:pPr>
        <w:adjustRightInd w:val="0"/>
        <w:snapToGrid w:val="0"/>
        <w:spacing w:line="288" w:lineRule="auto"/>
        <w:ind w:firstLine="420" w:firstLineChars="200"/>
        <w:rPr>
          <w:color w:val="auto"/>
          <w:sz w:val="21"/>
          <w:szCs w:val="21"/>
          <w:highlight w:val="none"/>
        </w:rPr>
      </w:pPr>
      <w:bookmarkStart w:id="13" w:name="_Toc28359005"/>
      <w:bookmarkStart w:id="14" w:name="_Toc28359082"/>
      <w:bookmarkStart w:id="15" w:name="_Toc35393624"/>
      <w:bookmarkStart w:id="16" w:name="_Toc35393793"/>
      <w:r>
        <w:rPr>
          <w:rFonts w:hint="eastAsia"/>
          <w:color w:val="auto"/>
          <w:sz w:val="21"/>
          <w:szCs w:val="21"/>
          <w:highlight w:val="none"/>
        </w:rPr>
        <w:t>时间：2024年</w:t>
      </w:r>
      <w:r>
        <w:rPr>
          <w:rFonts w:hint="eastAsia"/>
          <w:color w:val="auto"/>
          <w:sz w:val="21"/>
          <w:szCs w:val="21"/>
          <w:highlight w:val="none"/>
          <w:lang w:val="en-US" w:eastAsia="zh-CN"/>
        </w:rPr>
        <w:t>10</w:t>
      </w:r>
      <w:r>
        <w:rPr>
          <w:rFonts w:hint="eastAsia"/>
          <w:color w:val="auto"/>
          <w:sz w:val="21"/>
          <w:szCs w:val="21"/>
          <w:highlight w:val="none"/>
        </w:rPr>
        <w:t>月</w:t>
      </w:r>
      <w:r>
        <w:rPr>
          <w:rFonts w:hint="eastAsia"/>
          <w:color w:val="auto"/>
          <w:sz w:val="21"/>
          <w:szCs w:val="21"/>
          <w:highlight w:val="none"/>
          <w:lang w:val="en-US" w:eastAsia="zh-CN"/>
        </w:rPr>
        <w:t>9</w:t>
      </w:r>
      <w:r>
        <w:rPr>
          <w:rFonts w:hint="eastAsia"/>
          <w:color w:val="auto"/>
          <w:sz w:val="21"/>
          <w:szCs w:val="21"/>
          <w:highlight w:val="none"/>
        </w:rPr>
        <w:t>日至2024年</w:t>
      </w:r>
      <w:r>
        <w:rPr>
          <w:rFonts w:hint="eastAsia"/>
          <w:color w:val="auto"/>
          <w:sz w:val="21"/>
          <w:szCs w:val="21"/>
          <w:highlight w:val="none"/>
          <w:lang w:val="en-US" w:eastAsia="zh-CN"/>
        </w:rPr>
        <w:t>10</w:t>
      </w:r>
      <w:r>
        <w:rPr>
          <w:rFonts w:hint="eastAsia"/>
          <w:color w:val="auto"/>
          <w:sz w:val="21"/>
          <w:szCs w:val="21"/>
          <w:highlight w:val="none"/>
        </w:rPr>
        <w:t>月</w:t>
      </w:r>
      <w:r>
        <w:rPr>
          <w:rFonts w:hint="eastAsia"/>
          <w:color w:val="auto"/>
          <w:sz w:val="21"/>
          <w:szCs w:val="21"/>
          <w:highlight w:val="none"/>
          <w:lang w:val="en-US" w:eastAsia="zh-CN"/>
        </w:rPr>
        <w:t>23</w:t>
      </w:r>
      <w:r>
        <w:rPr>
          <w:rFonts w:hint="eastAsia"/>
          <w:color w:val="auto"/>
          <w:sz w:val="21"/>
          <w:szCs w:val="21"/>
          <w:highlight w:val="none"/>
        </w:rPr>
        <w:t>日，每天上午00:00至12:00，下午12:00至23:59（北京时间，线上获取法定节假日均可，线下获取文件法定节假日除外）</w:t>
      </w:r>
    </w:p>
    <w:p w14:paraId="341CF323">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地点（网址）：政府采购云平台（</w:t>
      </w:r>
      <w:r>
        <w:rPr>
          <w:color w:val="auto"/>
          <w:sz w:val="21"/>
          <w:szCs w:val="21"/>
          <w:highlight w:val="none"/>
        </w:rPr>
        <w:t>https://www.zcygov.cn</w:t>
      </w:r>
      <w:r>
        <w:rPr>
          <w:rFonts w:hint="eastAsia"/>
          <w:color w:val="auto"/>
          <w:sz w:val="21"/>
          <w:szCs w:val="21"/>
          <w:highlight w:val="none"/>
        </w:rPr>
        <w:t>）</w:t>
      </w:r>
    </w:p>
    <w:p w14:paraId="27CA56A7">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方式：供应商登录政采云平台（</w:t>
      </w:r>
      <w:r>
        <w:rPr>
          <w:color w:val="auto"/>
          <w:sz w:val="21"/>
          <w:szCs w:val="21"/>
          <w:highlight w:val="none"/>
        </w:rPr>
        <w:t>https://www.zcygov.cn</w:t>
      </w:r>
      <w:r>
        <w:rPr>
          <w:rFonts w:hint="eastAsia"/>
          <w:color w:val="auto"/>
          <w:sz w:val="21"/>
          <w:szCs w:val="21"/>
          <w:highlight w:val="none"/>
        </w:rPr>
        <w:t>）</w:t>
      </w:r>
      <w:r>
        <w:rPr>
          <w:color w:val="auto"/>
          <w:sz w:val="21"/>
          <w:szCs w:val="21"/>
          <w:highlight w:val="none"/>
        </w:rPr>
        <w:t>在线申请获取采购文件（进入“项目采购”应用，在获取采购文件菜单中选择项目，申请获取采购文件）</w:t>
      </w:r>
    </w:p>
    <w:p w14:paraId="4C4F626F">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售价（元）：0</w:t>
      </w:r>
    </w:p>
    <w:p w14:paraId="3F2EED3E">
      <w:pPr>
        <w:adjustRightInd w:val="0"/>
        <w:snapToGrid w:val="0"/>
        <w:spacing w:line="288" w:lineRule="auto"/>
        <w:ind w:firstLine="211"/>
        <w:rPr>
          <w:b/>
          <w:color w:val="auto"/>
          <w:sz w:val="21"/>
          <w:szCs w:val="21"/>
          <w:highlight w:val="none"/>
        </w:rPr>
      </w:pPr>
      <w:r>
        <w:rPr>
          <w:rFonts w:hint="eastAsia"/>
          <w:b/>
          <w:color w:val="auto"/>
          <w:sz w:val="21"/>
          <w:szCs w:val="21"/>
          <w:highlight w:val="none"/>
        </w:rPr>
        <w:t>四、</w:t>
      </w:r>
      <w:bookmarkEnd w:id="13"/>
      <w:bookmarkEnd w:id="14"/>
      <w:bookmarkEnd w:id="15"/>
      <w:bookmarkEnd w:id="16"/>
      <w:r>
        <w:rPr>
          <w:rFonts w:hint="eastAsia"/>
          <w:b/>
          <w:color w:val="auto"/>
          <w:sz w:val="21"/>
          <w:szCs w:val="21"/>
          <w:highlight w:val="none"/>
        </w:rPr>
        <w:t>响应文件提交（上传）</w:t>
      </w:r>
    </w:p>
    <w:p w14:paraId="542CA431">
      <w:pPr>
        <w:adjustRightInd w:val="0"/>
        <w:snapToGrid w:val="0"/>
        <w:spacing w:line="288" w:lineRule="auto"/>
        <w:ind w:firstLine="420" w:firstLineChars="200"/>
        <w:rPr>
          <w:bCs/>
          <w:color w:val="auto"/>
          <w:sz w:val="21"/>
          <w:szCs w:val="21"/>
          <w:highlight w:val="none"/>
        </w:rPr>
      </w:pPr>
      <w:r>
        <w:rPr>
          <w:rFonts w:hint="eastAsia"/>
          <w:bCs/>
          <w:color w:val="auto"/>
          <w:sz w:val="21"/>
          <w:szCs w:val="21"/>
          <w:highlight w:val="none"/>
        </w:rPr>
        <w:t>截止时间：2024年</w:t>
      </w:r>
      <w:r>
        <w:rPr>
          <w:rFonts w:hint="eastAsia"/>
          <w:color w:val="auto"/>
          <w:sz w:val="21"/>
          <w:szCs w:val="21"/>
          <w:highlight w:val="none"/>
          <w:lang w:val="en-US" w:eastAsia="zh-CN"/>
        </w:rPr>
        <w:t>10</w:t>
      </w:r>
      <w:r>
        <w:rPr>
          <w:rFonts w:hint="eastAsia"/>
          <w:color w:val="auto"/>
          <w:sz w:val="21"/>
          <w:szCs w:val="21"/>
          <w:highlight w:val="none"/>
        </w:rPr>
        <w:t>月</w:t>
      </w:r>
      <w:r>
        <w:rPr>
          <w:rFonts w:hint="eastAsia"/>
          <w:color w:val="auto"/>
          <w:sz w:val="21"/>
          <w:szCs w:val="21"/>
          <w:highlight w:val="none"/>
          <w:lang w:val="en-US" w:eastAsia="zh-CN"/>
        </w:rPr>
        <w:t>23</w:t>
      </w:r>
      <w:r>
        <w:rPr>
          <w:rFonts w:hint="eastAsia"/>
          <w:bCs/>
          <w:color w:val="auto"/>
          <w:sz w:val="21"/>
          <w:szCs w:val="21"/>
          <w:highlight w:val="none"/>
        </w:rPr>
        <w:t>日</w:t>
      </w:r>
      <w:r>
        <w:rPr>
          <w:rFonts w:hint="eastAsia"/>
          <w:bCs/>
          <w:color w:val="auto"/>
          <w:sz w:val="21"/>
          <w:szCs w:val="21"/>
          <w:highlight w:val="none"/>
          <w:lang w:val="en-US" w:eastAsia="zh-CN"/>
        </w:rPr>
        <w:t>13</w:t>
      </w:r>
      <w:r>
        <w:rPr>
          <w:rFonts w:hint="eastAsia"/>
          <w:bCs/>
          <w:color w:val="auto"/>
          <w:sz w:val="21"/>
          <w:szCs w:val="21"/>
          <w:highlight w:val="none"/>
        </w:rPr>
        <w:t>:30:00（北京时间）</w:t>
      </w:r>
    </w:p>
    <w:p w14:paraId="55FE7757">
      <w:pPr>
        <w:adjustRightInd w:val="0"/>
        <w:snapToGrid w:val="0"/>
        <w:spacing w:line="288" w:lineRule="auto"/>
        <w:ind w:firstLine="420" w:firstLineChars="200"/>
        <w:rPr>
          <w:bCs/>
          <w:color w:val="auto"/>
          <w:sz w:val="21"/>
          <w:szCs w:val="21"/>
          <w:highlight w:val="none"/>
        </w:rPr>
      </w:pPr>
      <w:r>
        <w:rPr>
          <w:rFonts w:hint="eastAsia"/>
          <w:bCs/>
          <w:color w:val="auto"/>
          <w:sz w:val="21"/>
          <w:szCs w:val="21"/>
          <w:highlight w:val="none"/>
        </w:rPr>
        <w:t>地点</w:t>
      </w:r>
      <w:r>
        <w:rPr>
          <w:rFonts w:hint="eastAsia"/>
          <w:color w:val="auto"/>
          <w:sz w:val="21"/>
          <w:szCs w:val="21"/>
          <w:highlight w:val="none"/>
        </w:rPr>
        <w:t>（网址）：政府采购云平台（https://www.zcygov.cn）</w:t>
      </w:r>
    </w:p>
    <w:p w14:paraId="10128658">
      <w:pPr>
        <w:adjustRightInd w:val="0"/>
        <w:snapToGrid w:val="0"/>
        <w:spacing w:line="288" w:lineRule="auto"/>
        <w:ind w:firstLine="211"/>
        <w:rPr>
          <w:b/>
          <w:color w:val="auto"/>
          <w:sz w:val="21"/>
          <w:szCs w:val="21"/>
          <w:highlight w:val="none"/>
        </w:rPr>
      </w:pPr>
      <w:bookmarkStart w:id="17" w:name="_Toc35393794"/>
      <w:bookmarkStart w:id="18" w:name="_Toc35393625"/>
      <w:bookmarkStart w:id="19" w:name="_Toc28359007"/>
      <w:bookmarkStart w:id="20" w:name="_Toc28359084"/>
      <w:r>
        <w:rPr>
          <w:rFonts w:hint="eastAsia"/>
          <w:b/>
          <w:color w:val="auto"/>
          <w:sz w:val="21"/>
          <w:szCs w:val="21"/>
          <w:highlight w:val="none"/>
        </w:rPr>
        <w:t>五、响应文件开启</w:t>
      </w:r>
    </w:p>
    <w:p w14:paraId="16FD709C">
      <w:pPr>
        <w:adjustRightInd w:val="0"/>
        <w:snapToGrid w:val="0"/>
        <w:spacing w:line="288" w:lineRule="auto"/>
        <w:ind w:firstLine="420" w:firstLineChars="200"/>
        <w:rPr>
          <w:bCs/>
          <w:color w:val="auto"/>
          <w:sz w:val="21"/>
          <w:szCs w:val="21"/>
          <w:highlight w:val="none"/>
        </w:rPr>
      </w:pPr>
      <w:r>
        <w:rPr>
          <w:rFonts w:hint="eastAsia"/>
          <w:bCs/>
          <w:color w:val="auto"/>
          <w:sz w:val="21"/>
          <w:szCs w:val="21"/>
          <w:highlight w:val="none"/>
        </w:rPr>
        <w:t>开启时间：2024年</w:t>
      </w:r>
      <w:r>
        <w:rPr>
          <w:rFonts w:hint="eastAsia"/>
          <w:color w:val="auto"/>
          <w:sz w:val="21"/>
          <w:szCs w:val="21"/>
          <w:highlight w:val="none"/>
          <w:lang w:val="en-US" w:eastAsia="zh-CN"/>
        </w:rPr>
        <w:t>10</w:t>
      </w:r>
      <w:r>
        <w:rPr>
          <w:rFonts w:hint="eastAsia"/>
          <w:color w:val="auto"/>
          <w:sz w:val="21"/>
          <w:szCs w:val="21"/>
          <w:highlight w:val="none"/>
        </w:rPr>
        <w:t>月</w:t>
      </w:r>
      <w:r>
        <w:rPr>
          <w:rFonts w:hint="eastAsia"/>
          <w:color w:val="auto"/>
          <w:sz w:val="21"/>
          <w:szCs w:val="21"/>
          <w:highlight w:val="none"/>
          <w:lang w:val="en-US" w:eastAsia="zh-CN"/>
        </w:rPr>
        <w:t>23</w:t>
      </w:r>
      <w:r>
        <w:rPr>
          <w:rFonts w:hint="eastAsia"/>
          <w:bCs/>
          <w:color w:val="auto"/>
          <w:sz w:val="21"/>
          <w:szCs w:val="21"/>
          <w:highlight w:val="none"/>
        </w:rPr>
        <w:t>日</w:t>
      </w:r>
      <w:r>
        <w:rPr>
          <w:rFonts w:hint="eastAsia"/>
          <w:bCs/>
          <w:color w:val="auto"/>
          <w:sz w:val="21"/>
          <w:szCs w:val="21"/>
          <w:highlight w:val="none"/>
          <w:lang w:val="en-US" w:eastAsia="zh-CN"/>
        </w:rPr>
        <w:t>13</w:t>
      </w:r>
      <w:r>
        <w:rPr>
          <w:rFonts w:hint="eastAsia"/>
          <w:bCs/>
          <w:color w:val="auto"/>
          <w:sz w:val="21"/>
          <w:szCs w:val="21"/>
          <w:highlight w:val="none"/>
        </w:rPr>
        <w:t>:30:00（北京时间）</w:t>
      </w:r>
    </w:p>
    <w:p w14:paraId="5BB0DA93">
      <w:pPr>
        <w:adjustRightInd w:val="0"/>
        <w:snapToGrid w:val="0"/>
        <w:spacing w:line="288" w:lineRule="auto"/>
        <w:ind w:firstLine="420" w:firstLineChars="200"/>
        <w:rPr>
          <w:bCs/>
          <w:color w:val="auto"/>
          <w:sz w:val="21"/>
          <w:szCs w:val="21"/>
          <w:highlight w:val="none"/>
        </w:rPr>
      </w:pPr>
      <w:r>
        <w:rPr>
          <w:rFonts w:hint="eastAsia"/>
          <w:bCs/>
          <w:color w:val="auto"/>
          <w:sz w:val="21"/>
          <w:szCs w:val="21"/>
          <w:highlight w:val="none"/>
        </w:rPr>
        <w:t>地点</w:t>
      </w:r>
      <w:r>
        <w:rPr>
          <w:rFonts w:hint="eastAsia"/>
          <w:color w:val="auto"/>
          <w:sz w:val="21"/>
          <w:szCs w:val="21"/>
          <w:highlight w:val="none"/>
        </w:rPr>
        <w:t>（网址）：政府采购云平台（</w:t>
      </w:r>
      <w:bookmarkStart w:id="61" w:name="_GoBack"/>
      <w:bookmarkEnd w:id="61"/>
      <w:r>
        <w:rPr>
          <w:rFonts w:hint="eastAsia"/>
          <w:color w:val="auto"/>
          <w:sz w:val="21"/>
          <w:szCs w:val="21"/>
          <w:highlight w:val="none"/>
        </w:rPr>
        <w:t>https://www.zcygov.cn）</w:t>
      </w:r>
      <w:r>
        <w:rPr>
          <w:rFonts w:hint="eastAsia" w:cs="Times New Roman"/>
          <w:color w:val="auto"/>
          <w:sz w:val="21"/>
          <w:szCs w:val="21"/>
          <w:highlight w:val="none"/>
        </w:rPr>
        <w:t>/杭州市西湖区玉古路173号中田大厦</w:t>
      </w:r>
      <w:r>
        <w:rPr>
          <w:rFonts w:hint="eastAsia" w:cs="Times New Roman"/>
          <w:color w:val="auto"/>
          <w:sz w:val="21"/>
          <w:szCs w:val="21"/>
          <w:highlight w:val="none"/>
          <w:lang w:val="en-US" w:eastAsia="zh-CN"/>
        </w:rPr>
        <w:t>16</w:t>
      </w:r>
      <w:r>
        <w:rPr>
          <w:rFonts w:hint="eastAsia" w:cs="Times New Roman"/>
          <w:color w:val="auto"/>
          <w:sz w:val="21"/>
          <w:szCs w:val="21"/>
          <w:highlight w:val="none"/>
        </w:rPr>
        <w:t>楼（求是招标会议室</w:t>
      </w:r>
      <w:r>
        <w:rPr>
          <w:rFonts w:hint="eastAsia" w:cs="Times New Roman"/>
          <w:color w:val="auto"/>
          <w:sz w:val="21"/>
          <w:szCs w:val="21"/>
          <w:highlight w:val="none"/>
          <w:lang w:val="en-US" w:eastAsia="zh-CN"/>
        </w:rPr>
        <w:t>7</w:t>
      </w:r>
      <w:r>
        <w:rPr>
          <w:rFonts w:hint="eastAsia" w:cs="Times New Roman"/>
          <w:color w:val="auto"/>
          <w:sz w:val="21"/>
          <w:szCs w:val="21"/>
          <w:highlight w:val="none"/>
        </w:rPr>
        <w:t>）</w:t>
      </w:r>
    </w:p>
    <w:p w14:paraId="7FDC491D">
      <w:pPr>
        <w:adjustRightInd w:val="0"/>
        <w:snapToGrid w:val="0"/>
        <w:spacing w:line="288" w:lineRule="auto"/>
        <w:ind w:firstLine="211"/>
        <w:rPr>
          <w:b/>
          <w:color w:val="auto"/>
          <w:sz w:val="21"/>
          <w:szCs w:val="21"/>
          <w:highlight w:val="none"/>
        </w:rPr>
      </w:pPr>
      <w:r>
        <w:rPr>
          <w:rFonts w:hint="eastAsia"/>
          <w:b/>
          <w:color w:val="auto"/>
          <w:sz w:val="21"/>
          <w:szCs w:val="21"/>
          <w:highlight w:val="none"/>
        </w:rPr>
        <w:t>六、公告期限</w:t>
      </w:r>
      <w:bookmarkEnd w:id="17"/>
      <w:bookmarkEnd w:id="18"/>
      <w:bookmarkEnd w:id="19"/>
      <w:bookmarkEnd w:id="20"/>
    </w:p>
    <w:p w14:paraId="14372CF8">
      <w:pPr>
        <w:adjustRightInd w:val="0"/>
        <w:snapToGrid w:val="0"/>
        <w:spacing w:line="288" w:lineRule="auto"/>
        <w:ind w:firstLine="420" w:firstLineChars="200"/>
        <w:rPr>
          <w:color w:val="auto"/>
          <w:kern w:val="0"/>
          <w:sz w:val="21"/>
          <w:szCs w:val="21"/>
          <w:highlight w:val="none"/>
        </w:rPr>
      </w:pPr>
      <w:r>
        <w:rPr>
          <w:rFonts w:hint="eastAsia"/>
          <w:color w:val="auto"/>
          <w:kern w:val="0"/>
          <w:sz w:val="21"/>
          <w:szCs w:val="21"/>
          <w:highlight w:val="none"/>
        </w:rPr>
        <w:t>自本公告发布之日起3个工作日。</w:t>
      </w:r>
    </w:p>
    <w:p w14:paraId="0EDAE5A1">
      <w:pPr>
        <w:adjustRightInd w:val="0"/>
        <w:snapToGrid w:val="0"/>
        <w:spacing w:line="288" w:lineRule="auto"/>
        <w:ind w:firstLine="211"/>
        <w:rPr>
          <w:b/>
          <w:color w:val="auto"/>
          <w:sz w:val="21"/>
          <w:szCs w:val="21"/>
          <w:highlight w:val="none"/>
        </w:rPr>
      </w:pPr>
      <w:bookmarkStart w:id="21" w:name="_Toc35393795"/>
      <w:bookmarkStart w:id="22" w:name="_Toc35393626"/>
      <w:r>
        <w:rPr>
          <w:rFonts w:hint="eastAsia"/>
          <w:b/>
          <w:color w:val="auto"/>
          <w:sz w:val="21"/>
          <w:szCs w:val="21"/>
          <w:highlight w:val="none"/>
        </w:rPr>
        <w:t>七、其他补充事宜</w:t>
      </w:r>
      <w:bookmarkEnd w:id="21"/>
      <w:bookmarkEnd w:id="22"/>
    </w:p>
    <w:p w14:paraId="45DB5AB6">
      <w:pPr>
        <w:adjustRightInd w:val="0"/>
        <w:snapToGrid w:val="0"/>
        <w:spacing w:line="288" w:lineRule="auto"/>
        <w:ind w:firstLine="420" w:firstLineChars="200"/>
        <w:rPr>
          <w:rFonts w:cs="Times New Roman"/>
          <w:color w:val="auto"/>
          <w:sz w:val="21"/>
          <w:szCs w:val="21"/>
          <w:highlight w:val="none"/>
        </w:rPr>
      </w:pPr>
      <w:bookmarkStart w:id="23" w:name="_Hlk97039575"/>
      <w:bookmarkStart w:id="24" w:name="_Toc35393796"/>
      <w:bookmarkStart w:id="25" w:name="_Toc28359085"/>
      <w:bookmarkStart w:id="26" w:name="_Toc28359008"/>
      <w:bookmarkStart w:id="27" w:name="_Toc35393627"/>
      <w:r>
        <w:rPr>
          <w:rFonts w:cs="Times New Roman"/>
          <w:color w:val="auto"/>
          <w:sz w:val="21"/>
          <w:szCs w:val="21"/>
          <w:highlight w:val="none"/>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1BC556DE">
      <w:pPr>
        <w:adjustRightInd w:val="0"/>
        <w:snapToGrid w:val="0"/>
        <w:spacing w:line="288" w:lineRule="auto"/>
        <w:ind w:firstLine="420" w:firstLineChars="200"/>
        <w:rPr>
          <w:rFonts w:cs="Times New Roman"/>
          <w:color w:val="auto"/>
          <w:sz w:val="21"/>
          <w:szCs w:val="21"/>
          <w:highlight w:val="none"/>
        </w:rPr>
      </w:pPr>
      <w:r>
        <w:rPr>
          <w:rFonts w:cs="Times New Roman"/>
          <w:color w:val="auto"/>
          <w:sz w:val="21"/>
          <w:szCs w:val="21"/>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BA27B81">
      <w:pPr>
        <w:adjustRightInd w:val="0"/>
        <w:snapToGrid w:val="0"/>
        <w:spacing w:line="288" w:lineRule="auto"/>
        <w:ind w:firstLine="420" w:firstLineChars="200"/>
        <w:rPr>
          <w:rFonts w:cs="Times New Roman"/>
          <w:color w:val="auto"/>
          <w:sz w:val="21"/>
          <w:szCs w:val="21"/>
          <w:highlight w:val="none"/>
        </w:rPr>
      </w:pPr>
      <w:r>
        <w:rPr>
          <w:rFonts w:cs="Times New Roman"/>
          <w:color w:val="auto"/>
          <w:sz w:val="21"/>
          <w:szCs w:val="21"/>
          <w:highlight w:val="none"/>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7875516">
      <w:pPr>
        <w:adjustRightInd w:val="0"/>
        <w:snapToGrid w:val="0"/>
        <w:spacing w:line="288" w:lineRule="auto"/>
        <w:ind w:firstLine="420" w:firstLineChars="200"/>
        <w:rPr>
          <w:rFonts w:cs="Times New Roman"/>
          <w:color w:val="auto"/>
          <w:sz w:val="21"/>
          <w:szCs w:val="21"/>
          <w:highlight w:val="none"/>
        </w:rPr>
      </w:pPr>
      <w:r>
        <w:rPr>
          <w:rFonts w:cs="Times New Roman"/>
          <w:color w:val="auto"/>
          <w:sz w:val="21"/>
          <w:szCs w:val="21"/>
          <w:highlight w:val="none"/>
        </w:rPr>
        <w:t>4.其他事项：</w:t>
      </w:r>
    </w:p>
    <w:p w14:paraId="4648BB5B">
      <w:pPr>
        <w:adjustRightInd w:val="0"/>
        <w:snapToGrid w:val="0"/>
        <w:spacing w:line="288" w:lineRule="auto"/>
        <w:ind w:firstLine="420" w:firstLineChars="200"/>
        <w:rPr>
          <w:rFonts w:cs="Times New Roman"/>
          <w:color w:val="auto"/>
          <w:sz w:val="21"/>
          <w:szCs w:val="21"/>
          <w:highlight w:val="none"/>
        </w:rPr>
      </w:pPr>
      <w:r>
        <w:rPr>
          <w:rFonts w:cs="Times New Roman"/>
          <w:color w:val="auto"/>
          <w:sz w:val="21"/>
          <w:szCs w:val="21"/>
          <w:highlight w:val="none"/>
        </w:rPr>
        <w:t>（</w:t>
      </w:r>
      <w:r>
        <w:rPr>
          <w:rFonts w:hint="eastAsia" w:cs="Times New Roman"/>
          <w:color w:val="auto"/>
          <w:sz w:val="21"/>
          <w:szCs w:val="21"/>
          <w:highlight w:val="none"/>
        </w:rPr>
        <w:t>1</w:t>
      </w:r>
      <w:r>
        <w:rPr>
          <w:rFonts w:cs="Times New Roman"/>
          <w:color w:val="auto"/>
          <w:sz w:val="21"/>
          <w:szCs w:val="21"/>
          <w:highlight w:val="none"/>
        </w:rPr>
        <w:t>）需要落实的政府采购政策：包括节约资源、保护环境、</w:t>
      </w:r>
      <w:r>
        <w:rPr>
          <w:rFonts w:hint="eastAsia" w:cs="Times New Roman"/>
          <w:color w:val="auto"/>
          <w:sz w:val="21"/>
          <w:szCs w:val="21"/>
          <w:highlight w:val="none"/>
        </w:rPr>
        <w:t>支持科技创新、</w:t>
      </w:r>
      <w:r>
        <w:rPr>
          <w:rFonts w:cs="Times New Roman"/>
          <w:color w:val="auto"/>
          <w:sz w:val="21"/>
          <w:szCs w:val="21"/>
          <w:highlight w:val="none"/>
        </w:rPr>
        <w:t>促进中小企业发展等。详见磋商文件的第</w:t>
      </w:r>
      <w:r>
        <w:rPr>
          <w:rFonts w:hint="eastAsia" w:cs="Times New Roman"/>
          <w:color w:val="auto"/>
          <w:sz w:val="21"/>
          <w:szCs w:val="21"/>
          <w:highlight w:val="none"/>
        </w:rPr>
        <w:t>三章-采购项目需要落实的政府采购政策</w:t>
      </w:r>
      <w:r>
        <w:rPr>
          <w:rFonts w:cs="Times New Roman"/>
          <w:color w:val="auto"/>
          <w:sz w:val="21"/>
          <w:szCs w:val="21"/>
          <w:highlight w:val="none"/>
        </w:rPr>
        <w:t>。</w:t>
      </w:r>
    </w:p>
    <w:bookmarkEnd w:id="23"/>
    <w:p w14:paraId="5857A042">
      <w:pPr>
        <w:adjustRightInd w:val="0"/>
        <w:snapToGrid w:val="0"/>
        <w:spacing w:line="288" w:lineRule="auto"/>
        <w:ind w:firstLine="420" w:firstLineChars="200"/>
        <w:rPr>
          <w:bCs/>
          <w:color w:val="auto"/>
          <w:sz w:val="21"/>
          <w:szCs w:val="21"/>
          <w:highlight w:val="none"/>
        </w:rPr>
      </w:pPr>
      <w:r>
        <w:rPr>
          <w:rFonts w:hint="eastAsia" w:cs="Times New Roman"/>
          <w:color w:val="auto"/>
          <w:sz w:val="21"/>
          <w:szCs w:val="21"/>
          <w:highlight w:val="none"/>
        </w:rPr>
        <w:t>▲</w:t>
      </w:r>
      <w:bookmarkStart w:id="28" w:name="_Hlk92271072"/>
      <w:r>
        <w:rPr>
          <w:rFonts w:hint="eastAsia" w:cs="Times New Roman"/>
          <w:color w:val="auto"/>
          <w:sz w:val="21"/>
          <w:szCs w:val="21"/>
          <w:highlight w:val="none"/>
        </w:rPr>
        <w:t>（2）</w:t>
      </w:r>
      <w:r>
        <w:rPr>
          <w:rFonts w:cs="Times New Roman"/>
          <w:color w:val="auto"/>
          <w:sz w:val="21"/>
          <w:szCs w:val="21"/>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bookmarkEnd w:id="28"/>
    </w:p>
    <w:p w14:paraId="176148F1">
      <w:pPr>
        <w:adjustRightInd w:val="0"/>
        <w:snapToGrid w:val="0"/>
        <w:spacing w:line="288" w:lineRule="auto"/>
        <w:ind w:firstLine="211"/>
        <w:rPr>
          <w:b/>
          <w:color w:val="auto"/>
          <w:sz w:val="21"/>
          <w:szCs w:val="21"/>
          <w:highlight w:val="none"/>
        </w:rPr>
      </w:pPr>
      <w:r>
        <w:rPr>
          <w:rFonts w:hint="eastAsia"/>
          <w:b/>
          <w:color w:val="auto"/>
          <w:sz w:val="21"/>
          <w:szCs w:val="21"/>
          <w:highlight w:val="none"/>
        </w:rPr>
        <w:t>八、凡对本次采购提出询问、质疑、投诉请按以下方式联系</w:t>
      </w:r>
      <w:bookmarkEnd w:id="24"/>
      <w:bookmarkEnd w:id="25"/>
      <w:bookmarkEnd w:id="26"/>
      <w:bookmarkEnd w:id="27"/>
    </w:p>
    <w:p w14:paraId="77025C0D">
      <w:pPr>
        <w:adjustRightInd w:val="0"/>
        <w:snapToGrid w:val="0"/>
        <w:spacing w:line="288" w:lineRule="auto"/>
        <w:ind w:firstLine="424" w:firstLineChars="202"/>
        <w:rPr>
          <w:color w:val="auto"/>
          <w:sz w:val="21"/>
          <w:szCs w:val="21"/>
          <w:highlight w:val="none"/>
        </w:rPr>
      </w:pPr>
      <w:r>
        <w:rPr>
          <w:color w:val="auto"/>
          <w:sz w:val="21"/>
          <w:szCs w:val="21"/>
          <w:highlight w:val="none"/>
        </w:rPr>
        <w:t>1.采购人信息</w:t>
      </w:r>
    </w:p>
    <w:p w14:paraId="31773CE1">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名称：浙江交通职业技术学院</w:t>
      </w:r>
    </w:p>
    <w:p w14:paraId="1E163D0A">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地址：杭州市余杭区古墩路</w:t>
      </w:r>
      <w:r>
        <w:rPr>
          <w:color w:val="auto"/>
          <w:sz w:val="21"/>
          <w:szCs w:val="21"/>
          <w:highlight w:val="none"/>
        </w:rPr>
        <w:t>1516号</w:t>
      </w:r>
    </w:p>
    <w:p w14:paraId="60203E7F">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传真：</w:t>
      </w:r>
      <w:r>
        <w:rPr>
          <w:color w:val="auto"/>
          <w:sz w:val="21"/>
          <w:szCs w:val="21"/>
          <w:highlight w:val="none"/>
        </w:rPr>
        <w:t>/</w:t>
      </w:r>
    </w:p>
    <w:p w14:paraId="1CE39CCA">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 xml:space="preserve">项目联系人（询问）：叶老师 </w:t>
      </w:r>
    </w:p>
    <w:p w14:paraId="5613BC95">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项目联系方式（询问）：13868084448</w:t>
      </w:r>
    </w:p>
    <w:p w14:paraId="15B4A519">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质疑联系人：李老师</w:t>
      </w:r>
    </w:p>
    <w:p w14:paraId="7A7941A4">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质疑联系方式：</w:t>
      </w:r>
      <w:r>
        <w:rPr>
          <w:color w:val="auto"/>
          <w:sz w:val="21"/>
          <w:szCs w:val="21"/>
          <w:highlight w:val="none"/>
        </w:rPr>
        <w:t>0571-88481917</w:t>
      </w:r>
    </w:p>
    <w:p w14:paraId="5A2900B1">
      <w:pPr>
        <w:adjustRightInd w:val="0"/>
        <w:snapToGrid w:val="0"/>
        <w:spacing w:line="288" w:lineRule="auto"/>
        <w:ind w:firstLine="424" w:firstLineChars="202"/>
        <w:rPr>
          <w:color w:val="auto"/>
          <w:sz w:val="21"/>
          <w:szCs w:val="21"/>
          <w:highlight w:val="none"/>
        </w:rPr>
      </w:pPr>
    </w:p>
    <w:p w14:paraId="5BEC8587">
      <w:pPr>
        <w:adjustRightInd w:val="0"/>
        <w:snapToGrid w:val="0"/>
        <w:spacing w:line="288" w:lineRule="auto"/>
        <w:ind w:firstLine="424" w:firstLineChars="202"/>
        <w:rPr>
          <w:color w:val="auto"/>
          <w:sz w:val="21"/>
          <w:szCs w:val="21"/>
          <w:highlight w:val="none"/>
        </w:rPr>
      </w:pPr>
      <w:r>
        <w:rPr>
          <w:color w:val="auto"/>
          <w:sz w:val="21"/>
          <w:szCs w:val="21"/>
          <w:highlight w:val="none"/>
        </w:rPr>
        <w:t>2.采购代理机构信息</w:t>
      </w:r>
    </w:p>
    <w:p w14:paraId="620D71C6">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名称：浙江求是招标代理有限公司</w:t>
      </w:r>
    </w:p>
    <w:p w14:paraId="11BC949C">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地址：杭州市西湖区玉古路</w:t>
      </w:r>
      <w:r>
        <w:rPr>
          <w:color w:val="auto"/>
          <w:sz w:val="21"/>
          <w:szCs w:val="21"/>
          <w:highlight w:val="none"/>
        </w:rPr>
        <w:t>173号中田大厦21楼</w:t>
      </w:r>
    </w:p>
    <w:p w14:paraId="62F2C816">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传真：</w:t>
      </w:r>
      <w:r>
        <w:rPr>
          <w:color w:val="auto"/>
          <w:sz w:val="21"/>
          <w:szCs w:val="21"/>
          <w:highlight w:val="none"/>
        </w:rPr>
        <w:t>/</w:t>
      </w:r>
    </w:p>
    <w:p w14:paraId="1D8D3AFF">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项目联系人（询问）：陈培特、李聪、温瑶、蒋晗、王莹</w:t>
      </w:r>
    </w:p>
    <w:p w14:paraId="73B96AB0">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项目联系方式（询问）：0571-87666115</w:t>
      </w:r>
    </w:p>
    <w:p w14:paraId="22C6E9CD">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质疑联系人：周安琪</w:t>
      </w:r>
    </w:p>
    <w:p w14:paraId="74CB5229">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质疑联系方式：</w:t>
      </w:r>
      <w:r>
        <w:rPr>
          <w:color w:val="auto"/>
          <w:sz w:val="21"/>
          <w:szCs w:val="21"/>
          <w:highlight w:val="none"/>
        </w:rPr>
        <w:t>0571-81110356</w:t>
      </w:r>
    </w:p>
    <w:p w14:paraId="16CC0019">
      <w:pPr>
        <w:adjustRightInd w:val="0"/>
        <w:snapToGrid w:val="0"/>
        <w:spacing w:line="288" w:lineRule="auto"/>
        <w:ind w:firstLine="424" w:firstLineChars="202"/>
        <w:rPr>
          <w:color w:val="auto"/>
          <w:sz w:val="21"/>
          <w:szCs w:val="21"/>
          <w:highlight w:val="none"/>
        </w:rPr>
      </w:pPr>
      <w:r>
        <w:rPr>
          <w:rFonts w:hint="eastAsia"/>
          <w:color w:val="auto"/>
          <w:sz w:val="21"/>
          <w:szCs w:val="21"/>
          <w:highlight w:val="none"/>
        </w:rPr>
        <w:t>质疑邮箱：</w:t>
      </w:r>
      <w:r>
        <w:rPr>
          <w:color w:val="auto"/>
          <w:sz w:val="21"/>
          <w:szCs w:val="21"/>
          <w:highlight w:val="none"/>
        </w:rPr>
        <w:t>jdkh@qszb.net</w:t>
      </w:r>
    </w:p>
    <w:p w14:paraId="2F9F3FA2">
      <w:pPr>
        <w:adjustRightInd w:val="0"/>
        <w:snapToGrid w:val="0"/>
        <w:spacing w:line="288" w:lineRule="auto"/>
        <w:ind w:firstLine="424" w:firstLineChars="202"/>
        <w:rPr>
          <w:rFonts w:cs="Times New Roman"/>
          <w:color w:val="auto"/>
          <w:sz w:val="21"/>
          <w:szCs w:val="21"/>
          <w:highlight w:val="none"/>
        </w:rPr>
      </w:pPr>
    </w:p>
    <w:p w14:paraId="4EAC753C">
      <w:pPr>
        <w:adjustRightInd w:val="0"/>
        <w:snapToGrid w:val="0"/>
        <w:spacing w:line="288" w:lineRule="auto"/>
        <w:ind w:firstLine="425" w:firstLineChars="215"/>
        <w:rPr>
          <w:rFonts w:cs="Times New Roman"/>
          <w:color w:val="auto"/>
          <w:spacing w:val="-6"/>
          <w:sz w:val="21"/>
          <w:szCs w:val="21"/>
          <w:highlight w:val="none"/>
        </w:rPr>
      </w:pPr>
      <w:r>
        <w:rPr>
          <w:rFonts w:cs="Times New Roman"/>
          <w:color w:val="auto"/>
          <w:spacing w:val="-6"/>
          <w:sz w:val="21"/>
          <w:szCs w:val="21"/>
          <w:highlight w:val="none"/>
        </w:rPr>
        <w:t>3.同级政府采购监督管理部门</w:t>
      </w:r>
    </w:p>
    <w:p w14:paraId="7C5F4545">
      <w:pPr>
        <w:adjustRightInd w:val="0"/>
        <w:snapToGrid w:val="0"/>
        <w:spacing w:line="288" w:lineRule="auto"/>
        <w:ind w:firstLine="425" w:firstLineChars="215"/>
        <w:rPr>
          <w:rFonts w:cs="Times New Roman"/>
          <w:color w:val="auto"/>
          <w:spacing w:val="-6"/>
          <w:sz w:val="21"/>
          <w:szCs w:val="21"/>
          <w:highlight w:val="none"/>
        </w:rPr>
      </w:pPr>
      <w:r>
        <w:rPr>
          <w:rFonts w:cs="Times New Roman"/>
          <w:color w:val="auto"/>
          <w:spacing w:val="-6"/>
          <w:sz w:val="21"/>
          <w:szCs w:val="21"/>
          <w:highlight w:val="none"/>
        </w:rPr>
        <w:t>名称：浙江省财政厅政府采购监管处、浙江省政府采购行政裁决服务中心（杭州）</w:t>
      </w:r>
    </w:p>
    <w:p w14:paraId="05B769BC">
      <w:pPr>
        <w:adjustRightInd w:val="0"/>
        <w:snapToGrid w:val="0"/>
        <w:spacing w:line="288" w:lineRule="auto"/>
        <w:ind w:firstLine="425" w:firstLineChars="215"/>
        <w:rPr>
          <w:rFonts w:cs="Times New Roman"/>
          <w:color w:val="auto"/>
          <w:spacing w:val="-6"/>
          <w:sz w:val="21"/>
          <w:szCs w:val="21"/>
          <w:highlight w:val="none"/>
        </w:rPr>
      </w:pPr>
      <w:r>
        <w:rPr>
          <w:rFonts w:cs="Times New Roman"/>
          <w:color w:val="auto"/>
          <w:spacing w:val="-6"/>
          <w:sz w:val="21"/>
          <w:szCs w:val="21"/>
          <w:highlight w:val="none"/>
        </w:rPr>
        <w:t>地址：杭州市上城区四季青街道新业路市民之家G03办公室</w:t>
      </w:r>
    </w:p>
    <w:p w14:paraId="7A1DAB76">
      <w:pPr>
        <w:adjustRightInd w:val="0"/>
        <w:snapToGrid w:val="0"/>
        <w:spacing w:line="288" w:lineRule="auto"/>
        <w:ind w:firstLine="425" w:firstLineChars="215"/>
        <w:rPr>
          <w:rFonts w:cs="Times New Roman"/>
          <w:color w:val="auto"/>
          <w:spacing w:val="-6"/>
          <w:sz w:val="21"/>
          <w:szCs w:val="21"/>
          <w:highlight w:val="none"/>
        </w:rPr>
      </w:pPr>
      <w:r>
        <w:rPr>
          <w:rFonts w:cs="Times New Roman"/>
          <w:color w:val="auto"/>
          <w:spacing w:val="-6"/>
          <w:sz w:val="21"/>
          <w:szCs w:val="21"/>
          <w:highlight w:val="none"/>
        </w:rPr>
        <w:t>传真：/</w:t>
      </w:r>
    </w:p>
    <w:p w14:paraId="1BC7F93F">
      <w:pPr>
        <w:adjustRightInd w:val="0"/>
        <w:snapToGrid w:val="0"/>
        <w:spacing w:line="288" w:lineRule="auto"/>
        <w:ind w:firstLine="425" w:firstLineChars="215"/>
        <w:rPr>
          <w:rFonts w:cs="Times New Roman"/>
          <w:color w:val="auto"/>
          <w:spacing w:val="-6"/>
          <w:sz w:val="21"/>
          <w:szCs w:val="21"/>
          <w:highlight w:val="none"/>
        </w:rPr>
      </w:pPr>
      <w:r>
        <w:rPr>
          <w:rFonts w:cs="Times New Roman"/>
          <w:color w:val="auto"/>
          <w:spacing w:val="-6"/>
          <w:sz w:val="21"/>
          <w:szCs w:val="21"/>
          <w:highlight w:val="none"/>
        </w:rPr>
        <w:t>联系人：朱女士、王女士</w:t>
      </w:r>
    </w:p>
    <w:p w14:paraId="1CFDA430">
      <w:pPr>
        <w:adjustRightInd w:val="0"/>
        <w:snapToGrid w:val="0"/>
        <w:spacing w:line="288" w:lineRule="auto"/>
        <w:ind w:firstLine="425" w:firstLineChars="215"/>
        <w:rPr>
          <w:rFonts w:cs="Times New Roman"/>
          <w:color w:val="auto"/>
          <w:spacing w:val="-6"/>
          <w:sz w:val="21"/>
          <w:szCs w:val="21"/>
          <w:highlight w:val="none"/>
        </w:rPr>
      </w:pPr>
      <w:r>
        <w:rPr>
          <w:rFonts w:cs="Times New Roman"/>
          <w:color w:val="auto"/>
          <w:spacing w:val="-6"/>
          <w:sz w:val="21"/>
          <w:szCs w:val="21"/>
          <w:highlight w:val="none"/>
        </w:rPr>
        <w:t>监督投诉电话：0571-85252453</w:t>
      </w:r>
    </w:p>
    <w:p w14:paraId="7E4571C9">
      <w:pPr>
        <w:adjustRightInd w:val="0"/>
        <w:snapToGrid w:val="0"/>
        <w:spacing w:line="288" w:lineRule="auto"/>
        <w:ind w:firstLine="425" w:firstLineChars="215"/>
        <w:rPr>
          <w:rFonts w:cs="Times New Roman"/>
          <w:color w:val="auto"/>
          <w:spacing w:val="-6"/>
          <w:sz w:val="21"/>
          <w:szCs w:val="21"/>
          <w:highlight w:val="none"/>
        </w:rPr>
      </w:pPr>
      <w:r>
        <w:rPr>
          <w:rFonts w:cs="Times New Roman"/>
          <w:color w:val="auto"/>
          <w:spacing w:val="-6"/>
          <w:sz w:val="21"/>
          <w:szCs w:val="21"/>
          <w:highlight w:val="none"/>
        </w:rPr>
        <w:t>政策咨询：何一平、冯华，0571-87058424、87055741</w:t>
      </w:r>
    </w:p>
    <w:p w14:paraId="5185C5A9">
      <w:pPr>
        <w:adjustRightInd w:val="0"/>
        <w:snapToGrid w:val="0"/>
        <w:spacing w:line="288" w:lineRule="auto"/>
        <w:ind w:firstLine="425" w:firstLineChars="215"/>
        <w:rPr>
          <w:rFonts w:cs="Times New Roman"/>
          <w:color w:val="auto"/>
          <w:spacing w:val="-6"/>
          <w:sz w:val="21"/>
          <w:szCs w:val="21"/>
          <w:highlight w:val="none"/>
        </w:rPr>
      </w:pPr>
      <w:r>
        <w:rPr>
          <w:rFonts w:cs="Times New Roman"/>
          <w:color w:val="auto"/>
          <w:spacing w:val="-6"/>
          <w:sz w:val="21"/>
          <w:szCs w:val="21"/>
          <w:highlight w:val="none"/>
        </w:rPr>
        <w:t>预算金额未达100万元的采购项目，由采购人处理采购争议。</w:t>
      </w:r>
    </w:p>
    <w:p w14:paraId="1985AA97">
      <w:pPr>
        <w:adjustRightInd w:val="0"/>
        <w:snapToGrid w:val="0"/>
        <w:spacing w:line="288" w:lineRule="auto"/>
        <w:ind w:firstLine="199"/>
        <w:rPr>
          <w:rFonts w:cs="Times New Roman"/>
          <w:color w:val="auto"/>
          <w:spacing w:val="-6"/>
          <w:sz w:val="21"/>
          <w:szCs w:val="21"/>
          <w:highlight w:val="none"/>
        </w:rPr>
      </w:pPr>
    </w:p>
    <w:p w14:paraId="4D629E00">
      <w:pPr>
        <w:adjustRightInd w:val="0"/>
        <w:snapToGrid w:val="0"/>
        <w:spacing w:line="288" w:lineRule="auto"/>
        <w:ind w:firstLine="420" w:firstLineChars="200"/>
        <w:rPr>
          <w:rFonts w:cs="Times New Roman"/>
          <w:color w:val="auto"/>
          <w:sz w:val="21"/>
          <w:szCs w:val="21"/>
          <w:highlight w:val="none"/>
        </w:rPr>
      </w:pPr>
      <w:r>
        <w:rPr>
          <w:rFonts w:hint="eastAsia" w:cs="Times New Roman"/>
          <w:color w:val="auto"/>
          <w:sz w:val="21"/>
          <w:szCs w:val="21"/>
          <w:highlight w:val="none"/>
        </w:rPr>
        <w:t>若对项目采购电子交易系统操作有疑问，可登录政采云（</w:t>
      </w:r>
      <w:r>
        <w:rPr>
          <w:rFonts w:cs="Times New Roman"/>
          <w:color w:val="auto"/>
          <w:sz w:val="21"/>
          <w:szCs w:val="21"/>
          <w:highlight w:val="none"/>
        </w:rPr>
        <w:t>https://www.zcygov.cn/），点击右侧咨询小采，获取采小蜜智能服务管家帮助，或拨打政采云服务热线95763获取热线服务帮助。</w:t>
      </w:r>
    </w:p>
    <w:p w14:paraId="13F9E3AF">
      <w:pPr>
        <w:adjustRightInd w:val="0"/>
        <w:snapToGrid w:val="0"/>
        <w:spacing w:line="288" w:lineRule="auto"/>
        <w:ind w:firstLine="420" w:firstLineChars="200"/>
        <w:rPr>
          <w:rFonts w:cs="Times New Roman"/>
          <w:color w:val="auto"/>
          <w:sz w:val="21"/>
          <w:szCs w:val="21"/>
          <w:highlight w:val="none"/>
        </w:rPr>
      </w:pPr>
      <w:r>
        <w:rPr>
          <w:rFonts w:cs="Times New Roman"/>
          <w:color w:val="auto"/>
          <w:sz w:val="21"/>
          <w:szCs w:val="21"/>
          <w:highlight w:val="none"/>
        </w:rPr>
        <w:t>CA问题联系电话（人工）：汇信CA 400-888-4636；天谷CA 400-087-8198。</w:t>
      </w:r>
    </w:p>
    <w:p w14:paraId="71241D5F">
      <w:pPr>
        <w:adjustRightInd w:val="0"/>
        <w:snapToGrid w:val="0"/>
        <w:spacing w:line="288" w:lineRule="auto"/>
        <w:ind w:firstLine="211"/>
        <w:rPr>
          <w:color w:val="auto"/>
          <w:sz w:val="21"/>
          <w:szCs w:val="21"/>
          <w:highlight w:val="none"/>
        </w:rPr>
      </w:pPr>
      <w:r>
        <w:rPr>
          <w:rFonts w:hint="eastAsia"/>
          <w:color w:val="auto"/>
          <w:sz w:val="21"/>
          <w:szCs w:val="21"/>
          <w:highlight w:val="none"/>
        </w:rPr>
        <w:br w:type="page"/>
      </w:r>
    </w:p>
    <w:p w14:paraId="6C7FCF49">
      <w:pPr>
        <w:adjustRightInd w:val="0"/>
        <w:snapToGrid w:val="0"/>
        <w:spacing w:line="288" w:lineRule="auto"/>
        <w:ind w:firstLine="321"/>
        <w:jc w:val="center"/>
        <w:outlineLvl w:val="0"/>
        <w:rPr>
          <w:b/>
          <w:bCs/>
          <w:color w:val="auto"/>
          <w:sz w:val="32"/>
          <w:szCs w:val="32"/>
          <w:highlight w:val="none"/>
        </w:rPr>
      </w:pPr>
      <w:r>
        <w:rPr>
          <w:rFonts w:hint="eastAsia"/>
          <w:b/>
          <w:bCs/>
          <w:color w:val="auto"/>
          <w:sz w:val="32"/>
          <w:szCs w:val="32"/>
          <w:highlight w:val="none"/>
        </w:rPr>
        <w:t>第二章  采购需求</w:t>
      </w:r>
    </w:p>
    <w:p w14:paraId="362787C0">
      <w:pPr>
        <w:adjustRightInd w:val="0"/>
        <w:snapToGrid w:val="0"/>
        <w:spacing w:line="288" w:lineRule="auto"/>
        <w:ind w:firstLine="211"/>
        <w:jc w:val="left"/>
        <w:outlineLvl w:val="1"/>
        <w:rPr>
          <w:b/>
          <w:bCs/>
          <w:color w:val="auto"/>
          <w:sz w:val="21"/>
          <w:szCs w:val="21"/>
          <w:highlight w:val="none"/>
        </w:rPr>
      </w:pPr>
      <w:r>
        <w:rPr>
          <w:rFonts w:hint="eastAsia"/>
          <w:b/>
          <w:bCs/>
          <w:color w:val="auto"/>
          <w:sz w:val="21"/>
          <w:szCs w:val="21"/>
          <w:highlight w:val="none"/>
        </w:rPr>
        <w:t>一、为落实政府采购政策需满足的要求：</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3302"/>
        <w:gridCol w:w="5608"/>
      </w:tblGrid>
      <w:tr w14:paraId="7F577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3" w:type="pct"/>
            <w:vAlign w:val="center"/>
          </w:tcPr>
          <w:p w14:paraId="4A9C1B77">
            <w:pPr>
              <w:adjustRightInd w:val="0"/>
              <w:snapToGrid w:val="0"/>
              <w:spacing w:line="288" w:lineRule="auto"/>
              <w:ind w:firstLine="211"/>
              <w:jc w:val="center"/>
              <w:rPr>
                <w:b/>
                <w:bCs/>
                <w:color w:val="auto"/>
                <w:sz w:val="21"/>
                <w:szCs w:val="21"/>
                <w:highlight w:val="none"/>
              </w:rPr>
            </w:pPr>
            <w:bookmarkStart w:id="29" w:name="_Hlk45005599"/>
            <w:r>
              <w:rPr>
                <w:rFonts w:hint="eastAsia"/>
                <w:b/>
                <w:bCs/>
                <w:color w:val="auto"/>
                <w:sz w:val="21"/>
                <w:szCs w:val="21"/>
                <w:highlight w:val="none"/>
              </w:rPr>
              <w:t>序号</w:t>
            </w:r>
          </w:p>
        </w:tc>
        <w:tc>
          <w:tcPr>
            <w:tcW w:w="1715" w:type="pct"/>
            <w:vAlign w:val="center"/>
          </w:tcPr>
          <w:p w14:paraId="04633C66">
            <w:pPr>
              <w:adjustRightInd w:val="0"/>
              <w:snapToGrid w:val="0"/>
              <w:spacing w:line="288" w:lineRule="auto"/>
              <w:ind w:firstLine="211"/>
              <w:jc w:val="center"/>
              <w:rPr>
                <w:b/>
                <w:bCs/>
                <w:color w:val="auto"/>
                <w:sz w:val="21"/>
                <w:szCs w:val="21"/>
                <w:highlight w:val="none"/>
              </w:rPr>
            </w:pPr>
            <w:r>
              <w:rPr>
                <w:rFonts w:hint="eastAsia"/>
                <w:b/>
                <w:bCs/>
                <w:color w:val="auto"/>
                <w:sz w:val="21"/>
                <w:szCs w:val="21"/>
                <w:highlight w:val="none"/>
              </w:rPr>
              <w:t>政策名称</w:t>
            </w:r>
          </w:p>
        </w:tc>
        <w:tc>
          <w:tcPr>
            <w:tcW w:w="2912" w:type="pct"/>
            <w:vAlign w:val="center"/>
          </w:tcPr>
          <w:p w14:paraId="20AE3820">
            <w:pPr>
              <w:adjustRightInd w:val="0"/>
              <w:snapToGrid w:val="0"/>
              <w:spacing w:line="288" w:lineRule="auto"/>
              <w:ind w:firstLine="211"/>
              <w:jc w:val="left"/>
              <w:rPr>
                <w:b/>
                <w:bCs/>
                <w:color w:val="auto"/>
                <w:sz w:val="21"/>
                <w:szCs w:val="21"/>
                <w:highlight w:val="none"/>
              </w:rPr>
            </w:pPr>
            <w:r>
              <w:rPr>
                <w:rFonts w:hint="eastAsia"/>
                <w:b/>
                <w:bCs/>
                <w:color w:val="auto"/>
                <w:sz w:val="21"/>
                <w:szCs w:val="21"/>
                <w:highlight w:val="none"/>
              </w:rPr>
              <w:t>内容</w:t>
            </w:r>
          </w:p>
        </w:tc>
      </w:tr>
      <w:tr w14:paraId="0BD5A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3" w:type="pct"/>
            <w:vAlign w:val="center"/>
          </w:tcPr>
          <w:p w14:paraId="3F5D41D2">
            <w:pPr>
              <w:adjustRightInd w:val="0"/>
              <w:snapToGrid w:val="0"/>
              <w:spacing w:line="288" w:lineRule="auto"/>
              <w:ind w:firstLine="211"/>
              <w:jc w:val="center"/>
              <w:rPr>
                <w:b/>
                <w:bCs/>
                <w:color w:val="auto"/>
                <w:sz w:val="21"/>
                <w:szCs w:val="21"/>
                <w:highlight w:val="none"/>
              </w:rPr>
            </w:pPr>
            <w:r>
              <w:rPr>
                <w:rFonts w:hint="eastAsia"/>
                <w:color w:val="auto"/>
                <w:sz w:val="21"/>
                <w:szCs w:val="21"/>
                <w:highlight w:val="none"/>
              </w:rPr>
              <w:t>1</w:t>
            </w:r>
          </w:p>
        </w:tc>
        <w:tc>
          <w:tcPr>
            <w:tcW w:w="1715" w:type="pct"/>
            <w:vAlign w:val="center"/>
          </w:tcPr>
          <w:p w14:paraId="18841E19">
            <w:pPr>
              <w:adjustRightInd w:val="0"/>
              <w:snapToGrid w:val="0"/>
              <w:spacing w:line="288" w:lineRule="auto"/>
              <w:ind w:firstLine="211"/>
              <w:jc w:val="center"/>
              <w:rPr>
                <w:b/>
                <w:bCs/>
                <w:color w:val="auto"/>
                <w:sz w:val="21"/>
                <w:szCs w:val="21"/>
                <w:highlight w:val="none"/>
              </w:rPr>
            </w:pPr>
            <w:r>
              <w:rPr>
                <w:rFonts w:hint="eastAsia"/>
                <w:color w:val="auto"/>
                <w:sz w:val="21"/>
                <w:szCs w:val="21"/>
                <w:highlight w:val="none"/>
              </w:rPr>
              <w:t>政府采购进口产品</w:t>
            </w:r>
          </w:p>
        </w:tc>
        <w:tc>
          <w:tcPr>
            <w:tcW w:w="2912" w:type="pct"/>
            <w:vAlign w:val="center"/>
          </w:tcPr>
          <w:p w14:paraId="2A567A56">
            <w:pPr>
              <w:adjustRightInd w:val="0"/>
              <w:snapToGrid w:val="0"/>
              <w:spacing w:line="288" w:lineRule="auto"/>
              <w:ind w:firstLine="211"/>
              <w:jc w:val="left"/>
              <w:rPr>
                <w:b/>
                <w:bCs/>
                <w:color w:val="auto"/>
                <w:sz w:val="21"/>
                <w:szCs w:val="21"/>
                <w:highlight w:val="none"/>
              </w:rPr>
            </w:pPr>
            <w:r>
              <w:rPr>
                <w:rFonts w:hint="eastAsia"/>
                <w:color w:val="auto"/>
                <w:sz w:val="21"/>
                <w:szCs w:val="21"/>
                <w:highlight w:val="none"/>
              </w:rPr>
              <w:t>不允许采购进口产品</w:t>
            </w:r>
          </w:p>
        </w:tc>
      </w:tr>
      <w:tr w14:paraId="3D8F7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3" w:type="pct"/>
            <w:vAlign w:val="center"/>
          </w:tcPr>
          <w:p w14:paraId="42993344">
            <w:pPr>
              <w:adjustRightInd w:val="0"/>
              <w:snapToGrid w:val="0"/>
              <w:spacing w:line="288" w:lineRule="auto"/>
              <w:ind w:firstLine="211"/>
              <w:jc w:val="center"/>
              <w:rPr>
                <w:b/>
                <w:bCs/>
                <w:color w:val="auto"/>
                <w:sz w:val="21"/>
                <w:szCs w:val="21"/>
                <w:highlight w:val="none"/>
              </w:rPr>
            </w:pPr>
            <w:r>
              <w:rPr>
                <w:rFonts w:hint="eastAsia"/>
                <w:color w:val="auto"/>
                <w:sz w:val="21"/>
                <w:szCs w:val="21"/>
                <w:highlight w:val="none"/>
              </w:rPr>
              <w:t>2</w:t>
            </w:r>
          </w:p>
        </w:tc>
        <w:tc>
          <w:tcPr>
            <w:tcW w:w="1715" w:type="pct"/>
            <w:vAlign w:val="center"/>
          </w:tcPr>
          <w:p w14:paraId="3247A6A8">
            <w:pPr>
              <w:adjustRightInd w:val="0"/>
              <w:snapToGrid w:val="0"/>
              <w:spacing w:line="288" w:lineRule="auto"/>
              <w:ind w:firstLine="211"/>
              <w:jc w:val="center"/>
              <w:rPr>
                <w:b/>
                <w:bCs/>
                <w:color w:val="auto"/>
                <w:sz w:val="21"/>
                <w:szCs w:val="21"/>
                <w:highlight w:val="none"/>
              </w:rPr>
            </w:pPr>
            <w:r>
              <w:rPr>
                <w:rFonts w:hint="eastAsia"/>
                <w:color w:val="auto"/>
                <w:sz w:val="21"/>
                <w:szCs w:val="21"/>
                <w:highlight w:val="none"/>
              </w:rPr>
              <w:t>政府强制采购节能产品</w:t>
            </w:r>
          </w:p>
        </w:tc>
        <w:tc>
          <w:tcPr>
            <w:tcW w:w="2912" w:type="pct"/>
            <w:vAlign w:val="center"/>
          </w:tcPr>
          <w:p w14:paraId="7BD9D447">
            <w:pPr>
              <w:adjustRightInd w:val="0"/>
              <w:snapToGrid w:val="0"/>
              <w:spacing w:line="288" w:lineRule="auto"/>
              <w:ind w:firstLine="211"/>
              <w:jc w:val="left"/>
              <w:rPr>
                <w:color w:val="auto"/>
                <w:sz w:val="21"/>
                <w:szCs w:val="21"/>
                <w:highlight w:val="none"/>
              </w:rPr>
            </w:pPr>
            <w:r>
              <w:rPr>
                <w:rFonts w:hint="eastAsia"/>
                <w:color w:val="auto"/>
                <w:sz w:val="21"/>
                <w:szCs w:val="21"/>
                <w:highlight w:val="none"/>
              </w:rPr>
              <w:t>▲政府强制采购的节能产品品目清单范围内的产品，供应商需在响应文件中提供国家确定的认证机构出具的、有效的节能产品认证证书。</w:t>
            </w:r>
          </w:p>
          <w:p w14:paraId="5062ADC0">
            <w:pPr>
              <w:adjustRightInd w:val="0"/>
              <w:snapToGrid w:val="0"/>
              <w:spacing w:line="288" w:lineRule="auto"/>
              <w:ind w:firstLine="211"/>
              <w:jc w:val="left"/>
              <w:rPr>
                <w:b/>
                <w:bCs/>
                <w:color w:val="auto"/>
                <w:sz w:val="21"/>
                <w:szCs w:val="21"/>
                <w:highlight w:val="none"/>
              </w:rPr>
            </w:pPr>
            <w:r>
              <w:rPr>
                <w:rFonts w:hint="eastAsia"/>
                <w:color w:val="auto"/>
                <w:sz w:val="21"/>
                <w:szCs w:val="21"/>
                <w:highlight w:val="none"/>
              </w:rPr>
              <w:t>详见磋商文件第六章“商务和技术文件”政府强制采购的节能产品清单范围详见附件：节能产品政府采购品目清单，如有冲突，以节能产品政府采购品目清单为准。</w:t>
            </w:r>
          </w:p>
        </w:tc>
      </w:tr>
      <w:tr w14:paraId="48FF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3" w:type="pct"/>
            <w:vAlign w:val="center"/>
          </w:tcPr>
          <w:p w14:paraId="1929137D">
            <w:pPr>
              <w:adjustRightInd w:val="0"/>
              <w:snapToGrid w:val="0"/>
              <w:spacing w:line="288" w:lineRule="auto"/>
              <w:ind w:firstLine="211"/>
              <w:jc w:val="center"/>
              <w:rPr>
                <w:b/>
                <w:bCs/>
                <w:color w:val="auto"/>
                <w:sz w:val="21"/>
                <w:szCs w:val="21"/>
                <w:highlight w:val="none"/>
              </w:rPr>
            </w:pPr>
            <w:r>
              <w:rPr>
                <w:rFonts w:hint="eastAsia"/>
                <w:color w:val="auto"/>
                <w:sz w:val="21"/>
                <w:szCs w:val="21"/>
                <w:highlight w:val="none"/>
              </w:rPr>
              <w:t>3</w:t>
            </w:r>
          </w:p>
        </w:tc>
        <w:tc>
          <w:tcPr>
            <w:tcW w:w="1715" w:type="pct"/>
            <w:vAlign w:val="center"/>
          </w:tcPr>
          <w:p w14:paraId="4E3D90A7">
            <w:pPr>
              <w:adjustRightInd w:val="0"/>
              <w:snapToGrid w:val="0"/>
              <w:spacing w:line="288" w:lineRule="auto"/>
              <w:ind w:firstLine="211"/>
              <w:jc w:val="center"/>
              <w:rPr>
                <w:b/>
                <w:bCs/>
                <w:color w:val="auto"/>
                <w:sz w:val="21"/>
                <w:szCs w:val="21"/>
                <w:highlight w:val="none"/>
              </w:rPr>
            </w:pPr>
            <w:r>
              <w:rPr>
                <w:rFonts w:hint="eastAsia"/>
                <w:color w:val="auto"/>
                <w:sz w:val="21"/>
                <w:szCs w:val="21"/>
                <w:highlight w:val="none"/>
              </w:rPr>
              <w:t>政府优先采购节能、环保产品</w:t>
            </w:r>
          </w:p>
        </w:tc>
        <w:tc>
          <w:tcPr>
            <w:tcW w:w="2912" w:type="pct"/>
            <w:vAlign w:val="center"/>
          </w:tcPr>
          <w:p w14:paraId="3C42B40F">
            <w:pPr>
              <w:adjustRightInd w:val="0"/>
              <w:snapToGrid w:val="0"/>
              <w:spacing w:line="288" w:lineRule="auto"/>
              <w:ind w:firstLine="211"/>
              <w:jc w:val="left"/>
              <w:rPr>
                <w:b/>
                <w:bCs/>
                <w:color w:val="auto"/>
                <w:sz w:val="21"/>
                <w:szCs w:val="21"/>
                <w:highlight w:val="none"/>
              </w:rPr>
            </w:pPr>
            <w:r>
              <w:rPr>
                <w:rFonts w:hint="eastAsia"/>
                <w:color w:val="auto"/>
                <w:sz w:val="21"/>
                <w:szCs w:val="21"/>
                <w:highlight w:val="none"/>
              </w:rPr>
              <w:t>提供材料详见磋商文件第六章“商务和技术文件”</w:t>
            </w:r>
          </w:p>
        </w:tc>
      </w:tr>
      <w:tr w14:paraId="2359C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3" w:type="pct"/>
            <w:vAlign w:val="center"/>
          </w:tcPr>
          <w:p w14:paraId="479611C4">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4</w:t>
            </w:r>
          </w:p>
        </w:tc>
        <w:tc>
          <w:tcPr>
            <w:tcW w:w="1715" w:type="pct"/>
            <w:vAlign w:val="center"/>
          </w:tcPr>
          <w:p w14:paraId="1D286FD4">
            <w:pPr>
              <w:adjustRightInd w:val="0"/>
              <w:snapToGrid w:val="0"/>
              <w:spacing w:line="288" w:lineRule="auto"/>
              <w:ind w:firstLine="211"/>
              <w:jc w:val="center"/>
              <w:rPr>
                <w:color w:val="auto"/>
                <w:sz w:val="21"/>
                <w:szCs w:val="18"/>
                <w:highlight w:val="none"/>
              </w:rPr>
            </w:pPr>
            <w:r>
              <w:rPr>
                <w:rFonts w:hint="eastAsia"/>
                <w:color w:val="auto"/>
                <w:sz w:val="21"/>
                <w:szCs w:val="18"/>
                <w:highlight w:val="none"/>
              </w:rPr>
              <w:t>政府采购支持科技创新</w:t>
            </w:r>
          </w:p>
        </w:tc>
        <w:tc>
          <w:tcPr>
            <w:tcW w:w="2912" w:type="pct"/>
            <w:vAlign w:val="center"/>
          </w:tcPr>
          <w:p w14:paraId="58A0D805">
            <w:pPr>
              <w:adjustRightInd w:val="0"/>
              <w:snapToGrid w:val="0"/>
              <w:spacing w:line="288" w:lineRule="auto"/>
              <w:ind w:firstLine="211"/>
              <w:jc w:val="left"/>
              <w:rPr>
                <w:color w:val="auto"/>
                <w:sz w:val="21"/>
                <w:szCs w:val="18"/>
                <w:highlight w:val="none"/>
              </w:rPr>
            </w:pPr>
            <w:r>
              <w:rPr>
                <w:rFonts w:hint="eastAsia"/>
                <w:color w:val="auto"/>
                <w:sz w:val="21"/>
                <w:szCs w:val="21"/>
                <w:highlight w:val="none"/>
              </w:rPr>
              <w:t>提供材料详见磋商文件第六章“商务和技术文件”</w:t>
            </w:r>
          </w:p>
        </w:tc>
      </w:tr>
      <w:tr w14:paraId="1AE57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3" w:type="pct"/>
            <w:vAlign w:val="center"/>
          </w:tcPr>
          <w:p w14:paraId="1E22873F">
            <w:pPr>
              <w:adjustRightInd w:val="0"/>
              <w:snapToGrid w:val="0"/>
              <w:spacing w:line="288" w:lineRule="auto"/>
              <w:ind w:firstLine="211"/>
              <w:jc w:val="center"/>
              <w:rPr>
                <w:b/>
                <w:bCs/>
                <w:color w:val="auto"/>
                <w:sz w:val="21"/>
                <w:szCs w:val="21"/>
                <w:highlight w:val="none"/>
              </w:rPr>
            </w:pPr>
            <w:r>
              <w:rPr>
                <w:rFonts w:hint="eastAsia"/>
                <w:color w:val="auto"/>
                <w:sz w:val="21"/>
                <w:szCs w:val="21"/>
                <w:highlight w:val="none"/>
              </w:rPr>
              <w:t>5</w:t>
            </w:r>
          </w:p>
        </w:tc>
        <w:tc>
          <w:tcPr>
            <w:tcW w:w="1715" w:type="pct"/>
            <w:vAlign w:val="center"/>
          </w:tcPr>
          <w:p w14:paraId="34655509">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政府采购促进中小企业发展</w:t>
            </w:r>
          </w:p>
        </w:tc>
        <w:tc>
          <w:tcPr>
            <w:tcW w:w="2912" w:type="pct"/>
            <w:vAlign w:val="center"/>
          </w:tcPr>
          <w:p w14:paraId="58A44F70">
            <w:pPr>
              <w:adjustRightInd w:val="0"/>
              <w:snapToGrid w:val="0"/>
              <w:spacing w:line="288" w:lineRule="auto"/>
              <w:ind w:firstLine="211"/>
              <w:jc w:val="left"/>
              <w:rPr>
                <w:color w:val="auto"/>
                <w:sz w:val="21"/>
                <w:szCs w:val="21"/>
                <w:highlight w:val="none"/>
              </w:rPr>
            </w:pPr>
            <w:r>
              <w:rPr>
                <w:rFonts w:hint="eastAsia"/>
                <w:color w:val="auto"/>
                <w:sz w:val="21"/>
                <w:szCs w:val="21"/>
                <w:highlight w:val="none"/>
              </w:rPr>
              <w:t>提供材料详见磋商文件第六章“资格文件”</w:t>
            </w:r>
          </w:p>
        </w:tc>
      </w:tr>
      <w:tr w14:paraId="4AEB1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3" w:type="pct"/>
            <w:vAlign w:val="center"/>
          </w:tcPr>
          <w:p w14:paraId="7B807941">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6</w:t>
            </w:r>
          </w:p>
        </w:tc>
        <w:tc>
          <w:tcPr>
            <w:tcW w:w="1715" w:type="pct"/>
            <w:vAlign w:val="center"/>
          </w:tcPr>
          <w:p w14:paraId="20CDF29F">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政府采购支持监狱企业发展</w:t>
            </w:r>
          </w:p>
        </w:tc>
        <w:tc>
          <w:tcPr>
            <w:tcW w:w="2912" w:type="pct"/>
            <w:vAlign w:val="center"/>
          </w:tcPr>
          <w:p w14:paraId="53077C98">
            <w:pPr>
              <w:adjustRightInd w:val="0"/>
              <w:snapToGrid w:val="0"/>
              <w:spacing w:line="288" w:lineRule="auto"/>
              <w:ind w:firstLine="211"/>
              <w:jc w:val="left"/>
              <w:rPr>
                <w:rFonts w:cs="Times New Roman"/>
                <w:b/>
                <w:bCs/>
                <w:color w:val="auto"/>
                <w:sz w:val="21"/>
                <w:szCs w:val="21"/>
                <w:highlight w:val="none"/>
              </w:rPr>
            </w:pPr>
            <w:r>
              <w:rPr>
                <w:rFonts w:hint="eastAsia"/>
                <w:color w:val="auto"/>
                <w:sz w:val="21"/>
                <w:szCs w:val="21"/>
                <w:highlight w:val="none"/>
              </w:rPr>
              <w:t>提供材料详见磋商文件第六章“资格文件”</w:t>
            </w:r>
          </w:p>
        </w:tc>
      </w:tr>
      <w:tr w14:paraId="76485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3" w:type="pct"/>
            <w:vAlign w:val="center"/>
          </w:tcPr>
          <w:p w14:paraId="4ED057BB">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7</w:t>
            </w:r>
          </w:p>
        </w:tc>
        <w:tc>
          <w:tcPr>
            <w:tcW w:w="1715" w:type="pct"/>
            <w:vAlign w:val="center"/>
          </w:tcPr>
          <w:p w14:paraId="1FEE88F7">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政府采购促进残疾人就业</w:t>
            </w:r>
          </w:p>
        </w:tc>
        <w:tc>
          <w:tcPr>
            <w:tcW w:w="2912" w:type="pct"/>
            <w:vAlign w:val="center"/>
          </w:tcPr>
          <w:p w14:paraId="7638C200">
            <w:pPr>
              <w:adjustRightInd w:val="0"/>
              <w:snapToGrid w:val="0"/>
              <w:spacing w:line="288" w:lineRule="auto"/>
              <w:ind w:firstLine="211"/>
              <w:jc w:val="left"/>
              <w:rPr>
                <w:color w:val="auto"/>
                <w:sz w:val="21"/>
                <w:szCs w:val="21"/>
                <w:highlight w:val="none"/>
              </w:rPr>
            </w:pPr>
            <w:r>
              <w:rPr>
                <w:rFonts w:hint="eastAsia"/>
                <w:color w:val="auto"/>
                <w:sz w:val="21"/>
                <w:szCs w:val="21"/>
                <w:highlight w:val="none"/>
              </w:rPr>
              <w:t>提供材料详见磋商文件第六章“资格文件”</w:t>
            </w:r>
          </w:p>
        </w:tc>
      </w:tr>
      <w:bookmarkEnd w:id="29"/>
    </w:tbl>
    <w:p w14:paraId="6DB6F293">
      <w:pPr>
        <w:adjustRightInd w:val="0"/>
        <w:snapToGrid w:val="0"/>
        <w:spacing w:line="288" w:lineRule="auto"/>
        <w:ind w:firstLine="211"/>
        <w:jc w:val="left"/>
        <w:rPr>
          <w:color w:val="auto"/>
          <w:sz w:val="21"/>
          <w:szCs w:val="21"/>
          <w:highlight w:val="none"/>
        </w:rPr>
      </w:pPr>
    </w:p>
    <w:p w14:paraId="2C0D29E6">
      <w:pPr>
        <w:adjustRightInd w:val="0"/>
        <w:snapToGrid w:val="0"/>
        <w:spacing w:line="288" w:lineRule="auto"/>
        <w:ind w:firstLine="211"/>
        <w:outlineLvl w:val="1"/>
        <w:rPr>
          <w:b/>
          <w:bCs/>
          <w:color w:val="auto"/>
          <w:sz w:val="21"/>
          <w:szCs w:val="21"/>
          <w:highlight w:val="none"/>
        </w:rPr>
      </w:pPr>
      <w:r>
        <w:rPr>
          <w:rFonts w:hint="eastAsia"/>
          <w:b/>
          <w:bCs/>
          <w:color w:val="auto"/>
          <w:sz w:val="21"/>
          <w:szCs w:val="21"/>
          <w:highlight w:val="none"/>
        </w:rPr>
        <w:t>二、采购内容及需求：</w:t>
      </w:r>
    </w:p>
    <w:p w14:paraId="7058889D">
      <w:pPr>
        <w:pStyle w:val="47"/>
        <w:numPr>
          <w:ilvl w:val="0"/>
          <w:numId w:val="4"/>
        </w:numPr>
        <w:spacing w:line="288" w:lineRule="auto"/>
        <w:ind w:hanging="442" w:firstLineChars="0"/>
        <w:outlineLvl w:val="2"/>
        <w:rPr>
          <w:b/>
          <w:bCs/>
          <w:color w:val="auto"/>
          <w:sz w:val="21"/>
          <w:szCs w:val="21"/>
          <w:highlight w:val="none"/>
        </w:rPr>
      </w:pPr>
      <w:r>
        <w:rPr>
          <w:b/>
          <w:bCs/>
          <w:color w:val="auto"/>
          <w:sz w:val="21"/>
          <w:szCs w:val="21"/>
          <w:highlight w:val="none"/>
        </w:rPr>
        <w:t>项目概况</w:t>
      </w:r>
    </w:p>
    <w:p w14:paraId="19EDA37F">
      <w:pPr>
        <w:spacing w:line="288" w:lineRule="auto"/>
        <w:ind w:firstLine="211"/>
        <w:rPr>
          <w:bCs/>
          <w:color w:val="auto"/>
          <w:sz w:val="21"/>
          <w:szCs w:val="21"/>
          <w:highlight w:val="none"/>
        </w:rPr>
      </w:pPr>
      <w:r>
        <w:rPr>
          <w:bCs/>
          <w:color w:val="auto"/>
          <w:sz w:val="21"/>
          <w:szCs w:val="21"/>
          <w:highlight w:val="none"/>
        </w:rPr>
        <w:t>1、浙江交通职业技术学院</w:t>
      </w:r>
      <w:r>
        <w:rPr>
          <w:rFonts w:hint="eastAsia"/>
          <w:bCs/>
          <w:color w:val="auto"/>
          <w:sz w:val="21"/>
          <w:szCs w:val="21"/>
          <w:highlight w:val="none"/>
        </w:rPr>
        <w:t>长兴校区道路装饰工程，涉及施工范围为道路装饰工程等</w:t>
      </w:r>
      <w:r>
        <w:rPr>
          <w:bCs/>
          <w:color w:val="auto"/>
          <w:sz w:val="21"/>
          <w:szCs w:val="21"/>
          <w:highlight w:val="none"/>
        </w:rPr>
        <w:t>。</w:t>
      </w:r>
    </w:p>
    <w:p w14:paraId="4659B53A">
      <w:pPr>
        <w:spacing w:line="288" w:lineRule="auto"/>
        <w:ind w:firstLine="211"/>
        <w:rPr>
          <w:bCs/>
          <w:color w:val="auto"/>
          <w:sz w:val="21"/>
          <w:szCs w:val="21"/>
          <w:highlight w:val="none"/>
        </w:rPr>
      </w:pPr>
      <w:r>
        <w:rPr>
          <w:bCs/>
          <w:color w:val="auto"/>
          <w:sz w:val="21"/>
          <w:szCs w:val="21"/>
          <w:highlight w:val="none"/>
        </w:rPr>
        <w:t>2、实施地点：浙江交通职业技术学院长兴校区。</w:t>
      </w:r>
    </w:p>
    <w:p w14:paraId="21D903CB">
      <w:pPr>
        <w:pStyle w:val="47"/>
        <w:numPr>
          <w:ilvl w:val="0"/>
          <w:numId w:val="4"/>
        </w:numPr>
        <w:spacing w:line="288" w:lineRule="auto"/>
        <w:ind w:hanging="442" w:firstLineChars="0"/>
        <w:outlineLvl w:val="2"/>
        <w:rPr>
          <w:b/>
          <w:bCs/>
          <w:color w:val="auto"/>
          <w:sz w:val="21"/>
          <w:szCs w:val="21"/>
          <w:highlight w:val="none"/>
        </w:rPr>
      </w:pPr>
      <w:r>
        <w:rPr>
          <w:b/>
          <w:bCs/>
          <w:color w:val="auto"/>
          <w:sz w:val="21"/>
          <w:szCs w:val="21"/>
          <w:highlight w:val="none"/>
        </w:rPr>
        <w:t>承包方式</w:t>
      </w:r>
    </w:p>
    <w:p w14:paraId="747D3CD6">
      <w:pPr>
        <w:spacing w:line="288" w:lineRule="auto"/>
        <w:ind w:firstLine="211"/>
        <w:rPr>
          <w:color w:val="auto"/>
          <w:sz w:val="21"/>
          <w:szCs w:val="21"/>
          <w:highlight w:val="none"/>
        </w:rPr>
      </w:pPr>
      <w:r>
        <w:rPr>
          <w:color w:val="auto"/>
          <w:sz w:val="21"/>
          <w:szCs w:val="21"/>
          <w:highlight w:val="none"/>
        </w:rPr>
        <w:t>1、供应商对本项目要求的全部工作、质量、安全、文明服务等实行全面承包。</w:t>
      </w:r>
    </w:p>
    <w:p w14:paraId="1118028F">
      <w:pPr>
        <w:spacing w:line="288" w:lineRule="auto"/>
        <w:ind w:firstLine="211"/>
        <w:rPr>
          <w:color w:val="auto"/>
          <w:sz w:val="21"/>
          <w:szCs w:val="21"/>
          <w:highlight w:val="none"/>
        </w:rPr>
      </w:pPr>
      <w:r>
        <w:rPr>
          <w:color w:val="auto"/>
          <w:sz w:val="21"/>
          <w:szCs w:val="21"/>
          <w:highlight w:val="none"/>
        </w:rPr>
        <w:t>2、为减少改造工程对采购人正常工作的影响，施工期间需要按采购人要求进行安全围护施工或临时调整施工时间等，供应商考虑应充分考虑施工作业环境或二次进场施工的种种不利因素，并将所需费用包含在磋商报价中。</w:t>
      </w:r>
    </w:p>
    <w:p w14:paraId="00A631FD">
      <w:pPr>
        <w:spacing w:line="288" w:lineRule="auto"/>
        <w:ind w:firstLine="211"/>
        <w:jc w:val="left"/>
        <w:rPr>
          <w:color w:val="auto"/>
          <w:sz w:val="21"/>
          <w:szCs w:val="21"/>
          <w:highlight w:val="none"/>
        </w:rPr>
      </w:pPr>
      <w:r>
        <w:rPr>
          <w:color w:val="auto"/>
          <w:sz w:val="21"/>
          <w:szCs w:val="21"/>
          <w:highlight w:val="none"/>
        </w:rPr>
        <w:t>3、采购人不组织集中现场踏勘，供应商应自行对现场和周围环境进行踏勘和了解，以获取有关编制响应文件和签署合同所需的各种资料。</w:t>
      </w:r>
    </w:p>
    <w:p w14:paraId="631F0D51">
      <w:pPr>
        <w:pStyle w:val="47"/>
        <w:numPr>
          <w:ilvl w:val="0"/>
          <w:numId w:val="4"/>
        </w:numPr>
        <w:spacing w:line="288" w:lineRule="auto"/>
        <w:ind w:hanging="442" w:firstLineChars="0"/>
        <w:outlineLvl w:val="2"/>
        <w:rPr>
          <w:b/>
          <w:bCs/>
          <w:color w:val="auto"/>
          <w:sz w:val="21"/>
          <w:szCs w:val="21"/>
          <w:highlight w:val="none"/>
        </w:rPr>
      </w:pPr>
      <w:r>
        <w:rPr>
          <w:b/>
          <w:bCs/>
          <w:color w:val="auto"/>
          <w:sz w:val="21"/>
          <w:szCs w:val="21"/>
          <w:highlight w:val="none"/>
        </w:rPr>
        <w:t>工程量清单</w:t>
      </w:r>
      <w:r>
        <w:rPr>
          <w:rFonts w:hint="eastAsia"/>
          <w:b/>
          <w:bCs/>
          <w:color w:val="auto"/>
          <w:sz w:val="21"/>
          <w:szCs w:val="21"/>
          <w:highlight w:val="none"/>
        </w:rPr>
        <w:t>——另附</w:t>
      </w:r>
    </w:p>
    <w:p w14:paraId="417A5A45">
      <w:pPr>
        <w:pStyle w:val="47"/>
        <w:numPr>
          <w:ilvl w:val="0"/>
          <w:numId w:val="4"/>
        </w:numPr>
        <w:spacing w:line="288" w:lineRule="auto"/>
        <w:ind w:hanging="442" w:firstLineChars="0"/>
        <w:outlineLvl w:val="2"/>
        <w:rPr>
          <w:b/>
          <w:bCs/>
          <w:color w:val="auto"/>
          <w:sz w:val="21"/>
          <w:szCs w:val="21"/>
          <w:highlight w:val="none"/>
        </w:rPr>
      </w:pPr>
      <w:r>
        <w:rPr>
          <w:b/>
          <w:bCs/>
          <w:color w:val="auto"/>
          <w:sz w:val="21"/>
          <w:szCs w:val="21"/>
          <w:highlight w:val="none"/>
        </w:rPr>
        <w:t>商务要求</w:t>
      </w:r>
    </w:p>
    <w:p w14:paraId="6AC3A990">
      <w:pPr>
        <w:spacing w:line="288" w:lineRule="auto"/>
        <w:ind w:left="1" w:firstLine="420" w:firstLineChars="200"/>
        <w:rPr>
          <w:color w:val="auto"/>
          <w:sz w:val="21"/>
          <w:szCs w:val="21"/>
          <w:highlight w:val="none"/>
        </w:rPr>
      </w:pPr>
      <w:r>
        <w:rPr>
          <w:color w:val="auto"/>
          <w:sz w:val="21"/>
          <w:szCs w:val="21"/>
          <w:highlight w:val="none"/>
        </w:rPr>
        <w:t>1、</w:t>
      </w:r>
      <w:r>
        <w:rPr>
          <w:rFonts w:hint="eastAsia"/>
          <w:color w:val="auto"/>
          <w:sz w:val="21"/>
          <w:szCs w:val="21"/>
          <w:highlight w:val="none"/>
        </w:rPr>
        <w:t>（1）工期：合同签订后35个日历天内完成制作安装及时花种植</w:t>
      </w:r>
    </w:p>
    <w:p w14:paraId="037E8846">
      <w:pPr>
        <w:spacing w:line="288" w:lineRule="auto"/>
        <w:ind w:left="1" w:firstLine="420" w:firstLineChars="200"/>
        <w:rPr>
          <w:color w:val="auto"/>
          <w:sz w:val="21"/>
          <w:szCs w:val="21"/>
          <w:highlight w:val="none"/>
        </w:rPr>
      </w:pPr>
      <w:r>
        <w:rPr>
          <w:rFonts w:hint="eastAsia"/>
          <w:color w:val="auto"/>
          <w:sz w:val="21"/>
          <w:szCs w:val="21"/>
          <w:highlight w:val="none"/>
        </w:rPr>
        <w:t>（2）种植养护服务期</w:t>
      </w:r>
      <w:r>
        <w:rPr>
          <w:rFonts w:hint="eastAsia"/>
          <w:bCs/>
          <w:color w:val="auto"/>
          <w:sz w:val="21"/>
          <w:szCs w:val="21"/>
          <w:highlight w:val="none"/>
        </w:rPr>
        <w:t>一</w:t>
      </w:r>
      <w:r>
        <w:rPr>
          <w:bCs/>
          <w:color w:val="auto"/>
          <w:sz w:val="21"/>
          <w:szCs w:val="21"/>
          <w:highlight w:val="none"/>
        </w:rPr>
        <w:t>年</w:t>
      </w:r>
      <w:r>
        <w:rPr>
          <w:rFonts w:hint="eastAsia"/>
          <w:bCs/>
          <w:color w:val="auto"/>
          <w:sz w:val="21"/>
          <w:szCs w:val="21"/>
          <w:highlight w:val="none"/>
        </w:rPr>
        <w:t>，时花至少更换5次</w:t>
      </w:r>
      <w:r>
        <w:rPr>
          <w:rFonts w:hint="eastAsia"/>
          <w:color w:val="auto"/>
          <w:sz w:val="21"/>
          <w:szCs w:val="21"/>
          <w:highlight w:val="none"/>
        </w:rPr>
        <w:t>。</w:t>
      </w:r>
    </w:p>
    <w:p w14:paraId="1FE9E96F">
      <w:pPr>
        <w:spacing w:line="288" w:lineRule="auto"/>
        <w:ind w:firstLine="420" w:firstLineChars="200"/>
        <w:rPr>
          <w:color w:val="auto"/>
          <w:sz w:val="21"/>
          <w:szCs w:val="21"/>
          <w:highlight w:val="none"/>
        </w:rPr>
      </w:pPr>
      <w:r>
        <w:rPr>
          <w:color w:val="auto"/>
          <w:sz w:val="21"/>
          <w:szCs w:val="21"/>
          <w:highlight w:val="none"/>
        </w:rPr>
        <w:t>2、质保期：验收合格之日起</w:t>
      </w:r>
      <w:r>
        <w:rPr>
          <w:rFonts w:hint="eastAsia"/>
          <w:color w:val="auto"/>
          <w:sz w:val="21"/>
          <w:szCs w:val="21"/>
          <w:highlight w:val="none"/>
        </w:rPr>
        <w:t>，</w:t>
      </w:r>
      <w:r>
        <w:rPr>
          <w:color w:val="auto"/>
          <w:sz w:val="21"/>
          <w:szCs w:val="21"/>
          <w:highlight w:val="none"/>
        </w:rPr>
        <w:t>详见工程质量保修书。</w:t>
      </w:r>
    </w:p>
    <w:p w14:paraId="6B82D0BD">
      <w:pPr>
        <w:snapToGrid w:val="0"/>
        <w:spacing w:line="288" w:lineRule="auto"/>
        <w:ind w:firstLine="420" w:firstLineChars="200"/>
        <w:rPr>
          <w:color w:val="auto"/>
          <w:sz w:val="21"/>
          <w:szCs w:val="21"/>
          <w:highlight w:val="none"/>
        </w:rPr>
      </w:pPr>
      <w:r>
        <w:rPr>
          <w:rFonts w:hint="eastAsia"/>
          <w:color w:val="auto"/>
          <w:sz w:val="21"/>
          <w:szCs w:val="21"/>
          <w:highlight w:val="none"/>
        </w:rPr>
        <w:t>3</w:t>
      </w:r>
      <w:r>
        <w:rPr>
          <w:color w:val="auto"/>
          <w:sz w:val="21"/>
          <w:szCs w:val="21"/>
          <w:highlight w:val="none"/>
        </w:rPr>
        <w:t>、质量目标：工程质量达到国家规定的验收合格标准，确保一次性验收合格。</w:t>
      </w:r>
    </w:p>
    <w:p w14:paraId="1EA5310F">
      <w:pPr>
        <w:spacing w:line="288" w:lineRule="auto"/>
        <w:ind w:firstLine="411" w:firstLineChars="196"/>
        <w:rPr>
          <w:bCs/>
          <w:color w:val="auto"/>
          <w:sz w:val="21"/>
          <w:szCs w:val="21"/>
          <w:highlight w:val="none"/>
        </w:rPr>
      </w:pPr>
      <w:r>
        <w:rPr>
          <w:bCs/>
          <w:color w:val="auto"/>
          <w:sz w:val="21"/>
          <w:szCs w:val="21"/>
          <w:highlight w:val="none"/>
        </w:rPr>
        <w:t>4</w:t>
      </w:r>
      <w:r>
        <w:rPr>
          <w:rFonts w:hint="eastAsia"/>
          <w:bCs/>
          <w:color w:val="auto"/>
          <w:sz w:val="21"/>
          <w:szCs w:val="21"/>
          <w:highlight w:val="none"/>
        </w:rPr>
        <w:t>、承包人在施工期间应按学校规章制度要求执行，实行严控管理，所有人员非审批不得擅自进入学校不能进入的相关区域。</w:t>
      </w:r>
    </w:p>
    <w:p w14:paraId="2B4369FB">
      <w:pPr>
        <w:spacing w:line="288" w:lineRule="auto"/>
        <w:ind w:firstLine="411" w:firstLineChars="196"/>
        <w:rPr>
          <w:bCs/>
          <w:color w:val="auto"/>
          <w:sz w:val="21"/>
          <w:szCs w:val="21"/>
          <w:highlight w:val="none"/>
        </w:rPr>
      </w:pPr>
      <w:r>
        <w:rPr>
          <w:rFonts w:hint="eastAsia"/>
          <w:bCs/>
          <w:color w:val="auto"/>
          <w:sz w:val="21"/>
          <w:szCs w:val="21"/>
          <w:highlight w:val="none"/>
        </w:rPr>
        <w:t>5、付款方式：详见“合同主要条款”中的“合同款的支付”。</w:t>
      </w:r>
    </w:p>
    <w:p w14:paraId="59896FE3">
      <w:pPr>
        <w:pStyle w:val="47"/>
        <w:numPr>
          <w:ilvl w:val="0"/>
          <w:numId w:val="4"/>
        </w:numPr>
        <w:spacing w:line="288" w:lineRule="auto"/>
        <w:ind w:hanging="442" w:firstLineChars="0"/>
        <w:outlineLvl w:val="2"/>
        <w:rPr>
          <w:b/>
          <w:bCs/>
          <w:color w:val="auto"/>
          <w:sz w:val="21"/>
          <w:szCs w:val="21"/>
          <w:highlight w:val="none"/>
        </w:rPr>
      </w:pPr>
      <w:r>
        <w:rPr>
          <w:rFonts w:hint="eastAsia"/>
          <w:b/>
          <w:bCs/>
          <w:color w:val="auto"/>
          <w:sz w:val="21"/>
          <w:szCs w:val="21"/>
          <w:highlight w:val="none"/>
        </w:rPr>
        <w:t>时花种植、养护质量管理及要求：</w:t>
      </w:r>
    </w:p>
    <w:p w14:paraId="238139BF">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1.本项目要求中标人建立日常巡查制度，巡查人员对所管辖的地块两天巡查一次，发现问题及时整改。建立养护管理工作台账，做好养护工作日报、月报、年报，健全养护档案制度。</w:t>
      </w:r>
    </w:p>
    <w:p w14:paraId="6BD15C8B">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2.</w:t>
      </w:r>
      <w:r>
        <w:rPr>
          <w:rFonts w:hint="eastAsia"/>
          <w:b/>
          <w:color w:val="auto"/>
          <w:sz w:val="21"/>
          <w:szCs w:val="21"/>
          <w:highlight w:val="none"/>
        </w:rPr>
        <w:t>本项目要求中标人提供全年用花计划和图案布置方案，布置方案实施前必须经采购单位的认可</w:t>
      </w:r>
      <w:r>
        <w:rPr>
          <w:rFonts w:hint="eastAsia"/>
          <w:color w:val="auto"/>
          <w:sz w:val="21"/>
          <w:szCs w:val="21"/>
          <w:highlight w:val="none"/>
        </w:rPr>
        <w:t>。在实施期间，采购单位如要调整花卉布置方案，中标人须无条件服从采购单位的临时变更要求。</w:t>
      </w:r>
    </w:p>
    <w:p w14:paraId="54FE92EF">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3.中标人所用时花的规格、品种、面积等详见工程量清单及时花分类表且必须符合采购单位的要求，质量必须符合国家现行规范和标准中规定的时花质量，且经采购单位验收同意后方可使用。中标人须严格按工程量清单及采购人要求实施，当中标人选定的品种质量达不到预期质量目标要求时，采购人有要求更换的权利。完工后应及时向采购人提出验收。</w:t>
      </w:r>
    </w:p>
    <w:p w14:paraId="7B1D3478">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4.时花必须造型整齐、美观，叶色青绿、花色艳丽，植株健康、无病虫害，生长态势良好。到场开花率达到30%及以上，到场后必须经采购单位验收认可后方可种植。</w:t>
      </w:r>
    </w:p>
    <w:p w14:paraId="65DCE6EA">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5.种植密度：时花种植密度为64株/㎡，花箱种植密度80株/㎡，详见工程量清单（可根据植株大小适当调整）。</w:t>
      </w:r>
    </w:p>
    <w:p w14:paraId="0A0EB041">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6.种植要求：株高或蓬径不低于：H=10cm或W=10cm；种植后效果达到黄土不露天，无缺株倒伏，无枯枝无残花败叶，无杂草，保活率达到100%。绿地、花箱内的种植土应根据现场实际情况回填或清运。</w:t>
      </w:r>
    </w:p>
    <w:p w14:paraId="749805A3">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7.</w:t>
      </w:r>
      <w:bookmarkStart w:id="30" w:name="_Hlk93069735"/>
      <w:r>
        <w:rPr>
          <w:color w:val="auto"/>
          <w:sz w:val="21"/>
          <w:szCs w:val="21"/>
          <w:highlight w:val="none"/>
        </w:rPr>
        <w:t>时花种植一年内至少更换五次，不足五次则扣减。每次必须保证时花品种6种及以上，每个时花品种不超过20%，如有更换其它品种情况的，需经甲方同意。同一品种时花必须集中更换，每次更换须在一周内完成。（注：时花种类详见时花分类表。）</w:t>
      </w:r>
      <w:bookmarkEnd w:id="30"/>
      <w:r>
        <w:rPr>
          <w:rFonts w:hint="eastAsia"/>
          <w:color w:val="auto"/>
          <w:sz w:val="21"/>
          <w:szCs w:val="21"/>
          <w:highlight w:val="none"/>
        </w:rPr>
        <w:t xml:space="preserve"> </w:t>
      </w:r>
    </w:p>
    <w:p w14:paraId="478490DC">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8.时花更换同一种植区块不能连续两期采用相同的品种。每次更换时花前，须向采购单位提交具体时花种植方案（包括时花数量、比例、花坛布置形式等），经采购单位同意后方可种植。采购单位有权指定每次规定品种时花种植比例，中标人应在采购单位规定的时间内合理安排时花种植事项，清理好场地，保持道路整洁，完工后报采购单位验收，以确保工程质量。</w:t>
      </w:r>
    </w:p>
    <w:p w14:paraId="6E7EFAFB">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9.完成时花更换，经过10天的养护后，应及时向采购单位提出验收，验收由采购单位组织。如验收不合格，中标人除整改达到合格外，另需承担不合格部分合同价款10%的违约金；如两次验收为不合格或两次补种后重新验收仍为不合格，采购单位有权单方面解除合同，且中标人仍应承担相应责任。项目移交时，所有时花种植区域须完成场地清理工作。</w:t>
      </w:r>
    </w:p>
    <w:p w14:paraId="3E1E7AF1">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10.种植养护期内，要求时花养护质量达到《城市绿地养护管理质量标准》（DB 3301/T 0286—2019）要求（养护成活率为100%，如死亡按同规格、同品种补种，补种部分养护成活率须达到100%。），养护期内，须及时更换死亡及生长不良的时花，并接受采购单位的养护考核。</w:t>
      </w:r>
    </w:p>
    <w:p w14:paraId="357A09A3">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11.由中标人负责时花的日常养护，包括浇水、施肥、拔草、病虫害防治等一系列工作，由于养护不当造成的死亡、缺株，由中标人及时负责补种。</w:t>
      </w:r>
    </w:p>
    <w:p w14:paraId="65724129">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12.在养护期内发生病虫害应在2天内治理完毕，或按采购单位要求及时进行更换。</w:t>
      </w:r>
    </w:p>
    <w:p w14:paraId="66565E20">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13.必须清除时花内杂草、杂物、垃圾、石块等，确保常年清洁，平时没有积尘。在重大活动中出现责任事故，采购单位有权进行处罚，直至终止合同。</w:t>
      </w:r>
    </w:p>
    <w:p w14:paraId="7487A225">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14.因人为或其它因素造成时花损坏，中标人必须在2小时内完成现场清理并在2天内补种完毕，否则</w:t>
      </w:r>
      <w:bookmarkStart w:id="31" w:name="_Hlk93069901"/>
      <w:r>
        <w:rPr>
          <w:rFonts w:hint="eastAsia"/>
          <w:color w:val="auto"/>
          <w:sz w:val="21"/>
          <w:szCs w:val="21"/>
          <w:highlight w:val="none"/>
        </w:rPr>
        <w:t>按补种时花实际发生费用的2倍从合同价中扣除</w:t>
      </w:r>
      <w:bookmarkEnd w:id="31"/>
      <w:r>
        <w:rPr>
          <w:rFonts w:hint="eastAsia"/>
          <w:color w:val="auto"/>
          <w:sz w:val="21"/>
          <w:szCs w:val="21"/>
          <w:highlight w:val="none"/>
        </w:rPr>
        <w:t>。</w:t>
      </w:r>
    </w:p>
    <w:p w14:paraId="78B1A893">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15.完成时花更换后中标人须将撤下的草花、包装袋等垃圾及时清理外运，施工现场产生的泥浆及时清洗干净；日常养护期间，浇水、施肥、拔草、病虫害防治等一系列养护工作完成后，须及时清理现场，做到随时保洁。</w:t>
      </w:r>
    </w:p>
    <w:p w14:paraId="2B9F35A8">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16.养护期间，由第三方造成（以行政主管部门出具相关书面证明为准）的损失按中标价补偿，费用按实结算。</w:t>
      </w:r>
    </w:p>
    <w:p w14:paraId="014E0C9A">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17.结果公示期间，采购单位将视情况对中标人进行实地考察基地。</w:t>
      </w:r>
    </w:p>
    <w:p w14:paraId="1171B5DD">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18.服务期内，如有以下情况将进行相应的处罚：</w:t>
      </w:r>
    </w:p>
    <w:p w14:paraId="42CDE92C">
      <w:pPr>
        <w:widowControl/>
        <w:spacing w:line="288" w:lineRule="auto"/>
        <w:ind w:firstLine="420" w:firstLineChars="200"/>
        <w:jc w:val="left"/>
        <w:textAlignment w:val="center"/>
        <w:rPr>
          <w:color w:val="auto"/>
          <w:sz w:val="21"/>
          <w:szCs w:val="21"/>
          <w:highlight w:val="none"/>
        </w:rPr>
      </w:pPr>
      <w:r>
        <w:rPr>
          <w:color w:val="auto"/>
          <w:sz w:val="21"/>
          <w:szCs w:val="21"/>
          <w:highlight w:val="none"/>
        </w:rPr>
        <w:t>（1）</w:t>
      </w:r>
      <w:r>
        <w:rPr>
          <w:rFonts w:hint="eastAsia"/>
          <w:color w:val="auto"/>
          <w:sz w:val="21"/>
          <w:szCs w:val="21"/>
          <w:highlight w:val="none"/>
        </w:rPr>
        <w:t>因供应商未能按时供货、服务</w:t>
      </w:r>
      <w:r>
        <w:rPr>
          <w:color w:val="auto"/>
          <w:sz w:val="21"/>
          <w:szCs w:val="21"/>
          <w:highlight w:val="none"/>
        </w:rPr>
        <w:t>过程中衔接不当</w:t>
      </w:r>
      <w:r>
        <w:rPr>
          <w:rFonts w:hint="eastAsia"/>
          <w:color w:val="auto"/>
          <w:sz w:val="21"/>
          <w:szCs w:val="21"/>
          <w:highlight w:val="none"/>
        </w:rPr>
        <w:t>或质量问题返工等原因导致工期延误的，每超过一个自然日从该项目工程款中扣除1000元/日。</w:t>
      </w:r>
    </w:p>
    <w:p w14:paraId="5D6D3AC5">
      <w:pPr>
        <w:widowControl/>
        <w:spacing w:line="288" w:lineRule="auto"/>
        <w:ind w:firstLine="420" w:firstLineChars="200"/>
        <w:jc w:val="left"/>
        <w:textAlignment w:val="center"/>
        <w:rPr>
          <w:color w:val="auto"/>
          <w:sz w:val="21"/>
          <w:szCs w:val="21"/>
          <w:highlight w:val="none"/>
        </w:rPr>
      </w:pPr>
      <w:r>
        <w:rPr>
          <w:color w:val="auto"/>
          <w:sz w:val="21"/>
          <w:szCs w:val="21"/>
          <w:highlight w:val="none"/>
        </w:rPr>
        <w:t>（</w:t>
      </w:r>
      <w:r>
        <w:rPr>
          <w:rFonts w:hint="eastAsia"/>
          <w:color w:val="auto"/>
          <w:sz w:val="21"/>
          <w:szCs w:val="21"/>
          <w:highlight w:val="none"/>
        </w:rPr>
        <w:t>2</w:t>
      </w:r>
      <w:r>
        <w:rPr>
          <w:color w:val="auto"/>
          <w:sz w:val="21"/>
          <w:szCs w:val="21"/>
          <w:highlight w:val="none"/>
        </w:rPr>
        <w:t>）如造成较大负面影响的经采购人核实后扣除5000元/次。</w:t>
      </w:r>
    </w:p>
    <w:p w14:paraId="297587F2">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（3）如供应商在合同执行协过程中同，不服从甲方的统一管理和指挥，或违反施工安全管理规定的，经查实后罚款2</w:t>
      </w:r>
      <w:r>
        <w:rPr>
          <w:color w:val="auto"/>
          <w:sz w:val="21"/>
          <w:szCs w:val="21"/>
          <w:highlight w:val="none"/>
        </w:rPr>
        <w:t>000</w:t>
      </w:r>
      <w:r>
        <w:rPr>
          <w:rFonts w:hint="eastAsia"/>
          <w:color w:val="auto"/>
          <w:sz w:val="21"/>
          <w:szCs w:val="21"/>
          <w:highlight w:val="none"/>
        </w:rPr>
        <w:t>元一次。</w:t>
      </w:r>
    </w:p>
    <w:p w14:paraId="5EE6856E">
      <w:pPr>
        <w:widowControl/>
        <w:spacing w:line="288" w:lineRule="auto"/>
        <w:ind w:firstLine="420" w:firstLineChars="200"/>
        <w:jc w:val="left"/>
        <w:textAlignment w:val="center"/>
        <w:rPr>
          <w:color w:val="auto"/>
          <w:sz w:val="21"/>
          <w:szCs w:val="21"/>
          <w:highlight w:val="none"/>
        </w:rPr>
      </w:pPr>
      <w:r>
        <w:rPr>
          <w:color w:val="auto"/>
          <w:sz w:val="21"/>
          <w:szCs w:val="21"/>
          <w:highlight w:val="none"/>
        </w:rPr>
        <w:t>注：以上违约情况，如情节特别严重、造成影响特别恶劣的，甲方除按合同约定扣除违约金外，还有权终止合同。</w:t>
      </w:r>
    </w:p>
    <w:p w14:paraId="3857DDF6">
      <w:pPr>
        <w:pStyle w:val="47"/>
        <w:numPr>
          <w:ilvl w:val="0"/>
          <w:numId w:val="4"/>
        </w:numPr>
        <w:spacing w:line="288" w:lineRule="auto"/>
        <w:ind w:hanging="442" w:firstLineChars="0"/>
        <w:outlineLvl w:val="2"/>
        <w:rPr>
          <w:b/>
          <w:bCs/>
          <w:color w:val="auto"/>
          <w:sz w:val="21"/>
          <w:szCs w:val="21"/>
          <w:highlight w:val="none"/>
        </w:rPr>
      </w:pPr>
      <w:r>
        <w:rPr>
          <w:rFonts w:hint="eastAsia"/>
          <w:b/>
          <w:bCs/>
          <w:color w:val="auto"/>
          <w:sz w:val="21"/>
          <w:szCs w:val="21"/>
          <w:highlight w:val="none"/>
        </w:rPr>
        <w:t>人员、机械要求：</w:t>
      </w:r>
    </w:p>
    <w:p w14:paraId="5F55EEA9">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▲1.本项目须配备1名现场负责人，具有园林相关专业中级及以上职称或花卉园艺工中级及以上资格证书，并做到随叫随到。</w:t>
      </w:r>
    </w:p>
    <w:p w14:paraId="7E692204">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2. 其余现场作业人员配备必须满足本项目的需要，要求身体健康、无重大疾病、能胜任室外作业，并在上岗作业前为其办理意外险、第三者责任险等意外伤害保险，并将保险凭证复印件交给采购人备案。</w:t>
      </w:r>
    </w:p>
    <w:p w14:paraId="6FEA0DEC">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3.种植养护作业所需机械必须满足日常需要，须投入洒水车1辆（核定载质量3吨及以上）、农药作业车1辆（①车辆如是投标人自有车辆，须提供购置车辆发票和车辆行驶证，且年审须在有效期内；②车辆如是投标人租赁车辆，需提供有效的租赁合同和车辆行驶证，且年审须在有效期内；③投标人无自有车辆及租赁车辆的可提供承诺书（格式参照附件））。如不提供或提供的不符合要求的，视为不响应采购需求，其投标文件无效。</w:t>
      </w:r>
    </w:p>
    <w:p w14:paraId="5B874D07">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4.遇重大活动和节日、市民和上级的要求、自然灾害、突发事件等，中标人必须按采购人的要求做好积极响应工作，如不服从采购人统一调度指挥的，采购人有权安排其它人员实施相关工作，产生的费用在合同价款中扣除。积极满足各类节日、师生和上级的要求、配合完成各类检查，做好政府联动等投诉件或反映件的处理、及时整改等工作。</w:t>
      </w:r>
    </w:p>
    <w:p w14:paraId="25BAF5E1">
      <w:pPr>
        <w:pStyle w:val="47"/>
        <w:numPr>
          <w:ilvl w:val="0"/>
          <w:numId w:val="4"/>
        </w:numPr>
        <w:spacing w:line="288" w:lineRule="auto"/>
        <w:ind w:hanging="442" w:firstLineChars="0"/>
        <w:outlineLvl w:val="2"/>
        <w:rPr>
          <w:b/>
          <w:bCs/>
          <w:color w:val="auto"/>
          <w:sz w:val="21"/>
          <w:szCs w:val="21"/>
          <w:highlight w:val="none"/>
        </w:rPr>
      </w:pPr>
      <w:r>
        <w:rPr>
          <w:rFonts w:hint="eastAsia"/>
          <w:b/>
          <w:bCs/>
          <w:color w:val="auto"/>
          <w:sz w:val="21"/>
          <w:szCs w:val="21"/>
          <w:highlight w:val="none"/>
        </w:rPr>
        <w:t>安全要求：</w:t>
      </w:r>
    </w:p>
    <w:p w14:paraId="670E98DA">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1.严格遵守国家有关安全生产的法律法规，做好安全生产工作，确保人员安全。所有种植养护工作必须符合国家有关的环保、安全等相关的法律法规要求，遵守城区管理的相关制度。</w:t>
      </w:r>
    </w:p>
    <w:p w14:paraId="3419E17F">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2.种植养护过程中，由安全员负责现场安全，更换的时花按指定地点有序摆放，不得侵占道路和妨碍交通安全。种植养护作业人员统一工作服，遵守校园安全管理规定，确保施工安全。</w:t>
      </w:r>
    </w:p>
    <w:p w14:paraId="50F3D1EF">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3.使用车辆及驾驶员要求符合交通规则。中标人在种植养护期间，若发生与本工程相关的安全事故和治安纠纷事件，一切法律和经济责任均由中标人承担，采购人概不负责。由于中标人安全措施不力、养护工作不到位、违反安全操作规程而导致责任事故或伤害的，所发生的费用均由中标人自负，且采购人保留追究责任的权利。</w:t>
      </w:r>
    </w:p>
    <w:p w14:paraId="1FDDF9A4">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4.加强应急管理</w:t>
      </w:r>
    </w:p>
    <w:p w14:paraId="3B8EE439">
      <w:pPr>
        <w:widowControl/>
        <w:spacing w:line="288" w:lineRule="auto"/>
        <w:ind w:firstLine="420" w:firstLineChars="200"/>
        <w:jc w:val="left"/>
        <w:textAlignment w:val="center"/>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w:instrText>
      </w:r>
      <w:r>
        <w:rPr>
          <w:rFonts w:hint="eastAsia"/>
          <w:color w:val="auto"/>
          <w:sz w:val="21"/>
          <w:szCs w:val="21"/>
          <w:highlight w:val="none"/>
        </w:rPr>
        <w:instrText xml:space="preserve">= 1 \* GB3</w:instrText>
      </w:r>
      <w:r>
        <w:rPr>
          <w:color w:val="auto"/>
          <w:sz w:val="21"/>
          <w:szCs w:val="21"/>
          <w:highlight w:val="none"/>
        </w:rPr>
        <w:instrText xml:space="preserve"> </w:instrText>
      </w:r>
      <w:r>
        <w:rPr>
          <w:color w:val="auto"/>
          <w:sz w:val="21"/>
          <w:szCs w:val="21"/>
          <w:highlight w:val="none"/>
        </w:rPr>
        <w:fldChar w:fldCharType="separate"/>
      </w:r>
      <w:r>
        <w:rPr>
          <w:rFonts w:hint="eastAsia"/>
          <w:color w:val="auto"/>
          <w:sz w:val="21"/>
          <w:szCs w:val="21"/>
          <w:highlight w:val="none"/>
        </w:rPr>
        <w:t>①</w:t>
      </w:r>
      <w:r>
        <w:rPr>
          <w:color w:val="auto"/>
          <w:sz w:val="21"/>
          <w:szCs w:val="21"/>
          <w:highlight w:val="none"/>
        </w:rPr>
        <w:fldChar w:fldCharType="end"/>
      </w:r>
      <w:r>
        <w:rPr>
          <w:rFonts w:hint="eastAsia"/>
          <w:color w:val="auto"/>
          <w:sz w:val="21"/>
          <w:szCs w:val="21"/>
          <w:highlight w:val="none"/>
        </w:rPr>
        <w:t xml:space="preserve"> 制定灾害性天气应急预案，建立应急救灾队伍，将应急预案和人员名单上报采购人备案。</w:t>
      </w:r>
    </w:p>
    <w:p w14:paraId="7E002BD6">
      <w:pPr>
        <w:widowControl/>
        <w:spacing w:line="288" w:lineRule="auto"/>
        <w:ind w:firstLine="420" w:firstLineChars="200"/>
        <w:jc w:val="left"/>
        <w:textAlignment w:val="center"/>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w:instrText>
      </w:r>
      <w:r>
        <w:rPr>
          <w:rFonts w:hint="eastAsia"/>
          <w:color w:val="auto"/>
          <w:sz w:val="21"/>
          <w:szCs w:val="21"/>
          <w:highlight w:val="none"/>
        </w:rPr>
        <w:instrText xml:space="preserve">= 2 \* GB3</w:instrText>
      </w:r>
      <w:r>
        <w:rPr>
          <w:color w:val="auto"/>
          <w:sz w:val="21"/>
          <w:szCs w:val="21"/>
          <w:highlight w:val="none"/>
        </w:rPr>
        <w:instrText xml:space="preserve"> </w:instrText>
      </w:r>
      <w:r>
        <w:rPr>
          <w:color w:val="auto"/>
          <w:sz w:val="21"/>
          <w:szCs w:val="21"/>
          <w:highlight w:val="none"/>
        </w:rPr>
        <w:fldChar w:fldCharType="separate"/>
      </w:r>
      <w:r>
        <w:rPr>
          <w:rFonts w:hint="eastAsia"/>
          <w:color w:val="auto"/>
          <w:sz w:val="21"/>
          <w:szCs w:val="21"/>
          <w:highlight w:val="none"/>
        </w:rPr>
        <w:t>②</w:t>
      </w:r>
      <w:r>
        <w:rPr>
          <w:color w:val="auto"/>
          <w:sz w:val="21"/>
          <w:szCs w:val="21"/>
          <w:highlight w:val="none"/>
        </w:rPr>
        <w:fldChar w:fldCharType="end"/>
      </w:r>
      <w:r>
        <w:rPr>
          <w:rFonts w:hint="eastAsia"/>
          <w:color w:val="auto"/>
          <w:sz w:val="21"/>
          <w:szCs w:val="21"/>
          <w:highlight w:val="none"/>
        </w:rPr>
        <w:t xml:space="preserve"> 建立应急备货制，备货的内容有：抗旱、防汛、抗台、抗寒、抗雪等物资；备用时花。</w:t>
      </w:r>
    </w:p>
    <w:p w14:paraId="6AA4041E">
      <w:pPr>
        <w:widowControl/>
        <w:spacing w:line="288" w:lineRule="auto"/>
        <w:ind w:firstLine="420" w:firstLineChars="200"/>
        <w:jc w:val="left"/>
        <w:textAlignment w:val="center"/>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w:instrText>
      </w:r>
      <w:r>
        <w:rPr>
          <w:rFonts w:hint="eastAsia"/>
          <w:color w:val="auto"/>
          <w:sz w:val="21"/>
          <w:szCs w:val="21"/>
          <w:highlight w:val="none"/>
        </w:rPr>
        <w:instrText xml:space="preserve">= 3 \* GB3</w:instrText>
      </w:r>
      <w:r>
        <w:rPr>
          <w:color w:val="auto"/>
          <w:sz w:val="21"/>
          <w:szCs w:val="21"/>
          <w:highlight w:val="none"/>
        </w:rPr>
        <w:instrText xml:space="preserve"> </w:instrText>
      </w:r>
      <w:r>
        <w:rPr>
          <w:color w:val="auto"/>
          <w:sz w:val="21"/>
          <w:szCs w:val="21"/>
          <w:highlight w:val="none"/>
        </w:rPr>
        <w:fldChar w:fldCharType="separate"/>
      </w:r>
      <w:r>
        <w:rPr>
          <w:rFonts w:hint="eastAsia"/>
          <w:color w:val="auto"/>
          <w:sz w:val="21"/>
          <w:szCs w:val="21"/>
          <w:highlight w:val="none"/>
        </w:rPr>
        <w:t>③</w:t>
      </w:r>
      <w:r>
        <w:rPr>
          <w:color w:val="auto"/>
          <w:sz w:val="21"/>
          <w:szCs w:val="21"/>
          <w:highlight w:val="none"/>
        </w:rPr>
        <w:fldChar w:fldCharType="end"/>
      </w:r>
      <w:r>
        <w:rPr>
          <w:rFonts w:hint="eastAsia"/>
          <w:color w:val="auto"/>
          <w:sz w:val="21"/>
          <w:szCs w:val="21"/>
          <w:highlight w:val="none"/>
        </w:rPr>
        <w:t xml:space="preserve"> 遇灾害性天气，听从甲方统一指挥，及时组织人员夏季抗旱、抗台，冬季遇积雪必须及时组织人员进行抗雪，并对损坏时花做好调换重栽工作。 </w:t>
      </w:r>
    </w:p>
    <w:p w14:paraId="2044957F">
      <w:pPr>
        <w:widowControl/>
        <w:spacing w:line="288" w:lineRule="auto"/>
        <w:ind w:firstLine="420" w:firstLineChars="200"/>
        <w:jc w:val="left"/>
        <w:textAlignment w:val="center"/>
        <w:rPr>
          <w:color w:val="auto"/>
          <w:sz w:val="21"/>
          <w:szCs w:val="21"/>
          <w:highlight w:val="none"/>
        </w:rPr>
      </w:pPr>
      <w:r>
        <w:rPr>
          <w:color w:val="auto"/>
          <w:sz w:val="21"/>
          <w:szCs w:val="21"/>
          <w:highlight w:val="none"/>
        </w:rPr>
        <w:fldChar w:fldCharType="begin"/>
      </w:r>
      <w:r>
        <w:rPr>
          <w:color w:val="auto"/>
          <w:sz w:val="21"/>
          <w:szCs w:val="21"/>
          <w:highlight w:val="none"/>
        </w:rPr>
        <w:instrText xml:space="preserve"> </w:instrText>
      </w:r>
      <w:r>
        <w:rPr>
          <w:rFonts w:hint="eastAsia"/>
          <w:color w:val="auto"/>
          <w:sz w:val="21"/>
          <w:szCs w:val="21"/>
          <w:highlight w:val="none"/>
        </w:rPr>
        <w:instrText xml:space="preserve">= 4 \* GB3</w:instrText>
      </w:r>
      <w:r>
        <w:rPr>
          <w:color w:val="auto"/>
          <w:sz w:val="21"/>
          <w:szCs w:val="21"/>
          <w:highlight w:val="none"/>
        </w:rPr>
        <w:instrText xml:space="preserve"> </w:instrText>
      </w:r>
      <w:r>
        <w:rPr>
          <w:color w:val="auto"/>
          <w:sz w:val="21"/>
          <w:szCs w:val="21"/>
          <w:highlight w:val="none"/>
        </w:rPr>
        <w:fldChar w:fldCharType="separate"/>
      </w:r>
      <w:r>
        <w:rPr>
          <w:rFonts w:hint="eastAsia"/>
          <w:color w:val="auto"/>
          <w:sz w:val="21"/>
          <w:szCs w:val="21"/>
          <w:highlight w:val="none"/>
        </w:rPr>
        <w:t>④</w:t>
      </w:r>
      <w:r>
        <w:rPr>
          <w:color w:val="auto"/>
          <w:sz w:val="21"/>
          <w:szCs w:val="21"/>
          <w:highlight w:val="none"/>
        </w:rPr>
        <w:fldChar w:fldCharType="end"/>
      </w:r>
      <w:r>
        <w:rPr>
          <w:rFonts w:hint="eastAsia"/>
          <w:color w:val="auto"/>
          <w:sz w:val="21"/>
          <w:szCs w:val="21"/>
          <w:highlight w:val="none"/>
        </w:rPr>
        <w:t xml:space="preserve"> 中标人如未按采购人要求落实到位的，采购人将另行实施，所需费用从中标人合同价款中扣除。</w:t>
      </w:r>
    </w:p>
    <w:p w14:paraId="7E1AD921">
      <w:pPr>
        <w:pStyle w:val="47"/>
        <w:numPr>
          <w:ilvl w:val="0"/>
          <w:numId w:val="4"/>
        </w:numPr>
        <w:spacing w:line="288" w:lineRule="auto"/>
        <w:ind w:hanging="442" w:firstLineChars="0"/>
        <w:outlineLvl w:val="2"/>
        <w:rPr>
          <w:b/>
          <w:bCs/>
          <w:color w:val="auto"/>
          <w:sz w:val="21"/>
          <w:szCs w:val="21"/>
          <w:highlight w:val="none"/>
        </w:rPr>
      </w:pPr>
      <w:r>
        <w:rPr>
          <w:rFonts w:hint="eastAsia"/>
          <w:b/>
          <w:bCs/>
          <w:color w:val="auto"/>
          <w:sz w:val="21"/>
          <w:szCs w:val="21"/>
          <w:highlight w:val="none"/>
        </w:rPr>
        <w:t>报价要求：</w:t>
      </w:r>
    </w:p>
    <w:p w14:paraId="7FF333DF">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1.投标人应按投标文件格式要求填写，每一项目只允许有一个报价，任何有选择的报价将不予接受。投标人未填单价或合价的项目，在实施后，采购人将不予以支付，并视为该项费用已包括在其他有价款的单价或合价内。</w:t>
      </w:r>
    </w:p>
    <w:p w14:paraId="459F086E">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2.本项目采用固定单价承包方式，单价包含完成工程量清单项目每一计算单位所发生的所有费用，应包括但不限于苗木、花卉价、运输费、用工用料、机械使用、原有花卉清除、原有花坛种植土回填、余土及废料外运、种植补植费、土壤改良费、遮荫费、养护费（巡视、修剪、浇水、除杂草、补种、施肥、防病除害等）、卫生保洁费、水电费、综合管理费、利润、税金、风险费等为完成本项目的一切费用。如在实施期间有需要实施而未列入报价的费用，将被视为均已包含在报价中，中标后除采购文件及合同条款规定外，不得以任何理由调整报价或追加任何费用。</w:t>
      </w:r>
    </w:p>
    <w:p w14:paraId="36F7EDAE">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3.本工程量清单子目报价要求各投标人根据现场实际情况、项目特征内容综合报价，对于没有在清单中列出的工作内容或清单特征描述不够详尽之处，要求各投标人根据惯例并结合规范、现场情况等在相应子目中综合考虑，今后不做调整。</w:t>
      </w:r>
    </w:p>
    <w:p w14:paraId="127D5402">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4.本项目工程量清单中所提供的工程量固定不变（因项目需要而增项或甩项的除外），增项或甩项部分所增减的时花养护费按中标单价计算。</w:t>
      </w:r>
    </w:p>
    <w:p w14:paraId="4387DB71">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5.投标人应自行到现场踏勘以充分了解现场位置、情况、道路、储存空间、装卸限制及任何其他足以影响报价的情况，任何因忽视或误解现场情况而导致的索赔或工期延长申请将不被批准。</w:t>
      </w:r>
    </w:p>
    <w:p w14:paraId="2C8E3042">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6.在种植养护管理过程中，必须注意对周边已完工程和设施的保护，所需费用进入投标报价。如有损坏，由中标人负责修复并承担相关经济赔偿责任。</w:t>
      </w:r>
    </w:p>
    <w:p w14:paraId="648D5424">
      <w:pPr>
        <w:widowControl/>
        <w:spacing w:line="288" w:lineRule="auto"/>
        <w:ind w:firstLine="420" w:firstLineChars="200"/>
        <w:jc w:val="left"/>
        <w:textAlignment w:val="center"/>
        <w:rPr>
          <w:color w:val="auto"/>
          <w:sz w:val="21"/>
          <w:szCs w:val="21"/>
          <w:highlight w:val="none"/>
        </w:rPr>
      </w:pPr>
      <w:r>
        <w:rPr>
          <w:rFonts w:hint="eastAsia"/>
          <w:color w:val="auto"/>
          <w:sz w:val="21"/>
          <w:szCs w:val="21"/>
          <w:highlight w:val="none"/>
        </w:rPr>
        <w:t>7.由于第三方原因造成的损失、损坏的，由中标人自行与第三方协商解决，协商不一致的，由采购人出面与第三方进行协商解决，由此所发生的费用按投标单位由损坏责任人人承担。</w:t>
      </w:r>
    </w:p>
    <w:p w14:paraId="1DA9D960">
      <w:pPr>
        <w:widowControl/>
        <w:spacing w:line="288" w:lineRule="auto"/>
        <w:ind w:firstLine="420" w:firstLineChars="200"/>
        <w:jc w:val="left"/>
        <w:textAlignment w:val="center"/>
        <w:rPr>
          <w:color w:val="auto"/>
          <w:sz w:val="21"/>
          <w:szCs w:val="21"/>
          <w:highlight w:val="none"/>
        </w:rPr>
      </w:pPr>
    </w:p>
    <w:p w14:paraId="7FC5239F">
      <w:pPr>
        <w:pStyle w:val="47"/>
        <w:numPr>
          <w:ilvl w:val="0"/>
          <w:numId w:val="4"/>
        </w:numPr>
        <w:spacing w:line="288" w:lineRule="auto"/>
        <w:ind w:hanging="442" w:firstLineChars="0"/>
        <w:outlineLvl w:val="2"/>
        <w:rPr>
          <w:b/>
          <w:bCs/>
          <w:color w:val="auto"/>
          <w:sz w:val="21"/>
          <w:szCs w:val="21"/>
          <w:highlight w:val="none"/>
        </w:rPr>
      </w:pPr>
      <w:bookmarkStart w:id="32" w:name="_Toc230073619"/>
      <w:r>
        <w:rPr>
          <w:b/>
          <w:bCs/>
          <w:color w:val="auto"/>
          <w:sz w:val="21"/>
          <w:szCs w:val="21"/>
          <w:highlight w:val="none"/>
        </w:rPr>
        <w:t>发包方式</w:t>
      </w:r>
      <w:bookmarkEnd w:id="32"/>
    </w:p>
    <w:p w14:paraId="54B8B2DB">
      <w:pPr>
        <w:snapToGrid w:val="0"/>
        <w:spacing w:line="288" w:lineRule="auto"/>
        <w:ind w:firstLine="420" w:firstLineChars="200"/>
        <w:rPr>
          <w:color w:val="auto"/>
          <w:sz w:val="21"/>
          <w:szCs w:val="21"/>
          <w:highlight w:val="none"/>
        </w:rPr>
      </w:pPr>
      <w:r>
        <w:rPr>
          <w:color w:val="auto"/>
          <w:sz w:val="21"/>
          <w:szCs w:val="21"/>
          <w:highlight w:val="none"/>
        </w:rPr>
        <w:t>包工包料、保质量、包工期、包安全文明施工总承包。</w:t>
      </w:r>
    </w:p>
    <w:p w14:paraId="627B0D0F">
      <w:pPr>
        <w:pStyle w:val="47"/>
        <w:numPr>
          <w:ilvl w:val="0"/>
          <w:numId w:val="4"/>
        </w:numPr>
        <w:spacing w:line="288" w:lineRule="auto"/>
        <w:ind w:hanging="442" w:firstLineChars="0"/>
        <w:outlineLvl w:val="2"/>
        <w:rPr>
          <w:b/>
          <w:bCs/>
          <w:color w:val="auto"/>
          <w:sz w:val="21"/>
          <w:szCs w:val="21"/>
          <w:highlight w:val="none"/>
        </w:rPr>
      </w:pPr>
      <w:r>
        <w:rPr>
          <w:b/>
          <w:bCs/>
          <w:color w:val="auto"/>
          <w:sz w:val="21"/>
          <w:szCs w:val="21"/>
          <w:highlight w:val="none"/>
        </w:rPr>
        <w:t>其他需求</w:t>
      </w:r>
    </w:p>
    <w:p w14:paraId="4B704BAA">
      <w:pPr>
        <w:spacing w:line="288" w:lineRule="auto"/>
        <w:ind w:firstLine="411" w:firstLineChars="196"/>
        <w:rPr>
          <w:color w:val="auto"/>
          <w:sz w:val="21"/>
          <w:szCs w:val="21"/>
          <w:highlight w:val="none"/>
        </w:rPr>
      </w:pPr>
      <w:r>
        <w:rPr>
          <w:color w:val="auto"/>
          <w:sz w:val="21"/>
          <w:szCs w:val="21"/>
          <w:highlight w:val="none"/>
        </w:rPr>
        <w:t>1、请提供针对本项目的施工总体方案；</w:t>
      </w:r>
    </w:p>
    <w:p w14:paraId="019F3A39">
      <w:pPr>
        <w:spacing w:line="288" w:lineRule="auto"/>
        <w:ind w:firstLine="411" w:firstLineChars="196"/>
        <w:rPr>
          <w:color w:val="auto"/>
          <w:sz w:val="21"/>
          <w:szCs w:val="21"/>
          <w:highlight w:val="none"/>
        </w:rPr>
      </w:pPr>
      <w:r>
        <w:rPr>
          <w:color w:val="auto"/>
          <w:sz w:val="21"/>
          <w:szCs w:val="21"/>
          <w:highlight w:val="none"/>
        </w:rPr>
        <w:t>2、请提供针对本</w:t>
      </w:r>
      <w:r>
        <w:rPr>
          <w:rFonts w:hint="eastAsia"/>
          <w:color w:val="auto"/>
          <w:sz w:val="21"/>
          <w:szCs w:val="21"/>
          <w:highlight w:val="none"/>
        </w:rPr>
        <w:t>项目特殊施工环境采取</w:t>
      </w:r>
      <w:r>
        <w:rPr>
          <w:color w:val="auto"/>
          <w:sz w:val="21"/>
          <w:szCs w:val="21"/>
          <w:highlight w:val="none"/>
        </w:rPr>
        <w:t>的施工方案；</w:t>
      </w:r>
    </w:p>
    <w:p w14:paraId="164D010E">
      <w:pPr>
        <w:spacing w:line="288" w:lineRule="auto"/>
        <w:ind w:firstLine="411" w:firstLineChars="196"/>
        <w:rPr>
          <w:color w:val="auto"/>
          <w:sz w:val="21"/>
          <w:szCs w:val="21"/>
          <w:highlight w:val="none"/>
        </w:rPr>
      </w:pPr>
      <w:r>
        <w:rPr>
          <w:color w:val="auto"/>
          <w:sz w:val="21"/>
          <w:szCs w:val="21"/>
          <w:highlight w:val="none"/>
        </w:rPr>
        <w:t>3、其提供本项目投入的施工机械设备和检测设备情况介绍；</w:t>
      </w:r>
    </w:p>
    <w:p w14:paraId="66E68397">
      <w:pPr>
        <w:spacing w:line="288" w:lineRule="auto"/>
        <w:ind w:firstLine="411" w:firstLineChars="196"/>
        <w:rPr>
          <w:color w:val="auto"/>
          <w:sz w:val="21"/>
          <w:szCs w:val="21"/>
          <w:highlight w:val="none"/>
        </w:rPr>
      </w:pPr>
      <w:r>
        <w:rPr>
          <w:color w:val="auto"/>
          <w:sz w:val="21"/>
          <w:szCs w:val="21"/>
          <w:highlight w:val="none"/>
        </w:rPr>
        <w:t>4、请提供本项目各专业工种的配置和劳动力的投入情况介绍及劳动力安排组织与管理措施；</w:t>
      </w:r>
    </w:p>
    <w:p w14:paraId="6F3E95B8">
      <w:pPr>
        <w:spacing w:line="288" w:lineRule="auto"/>
        <w:ind w:firstLine="411" w:firstLineChars="196"/>
        <w:rPr>
          <w:color w:val="auto"/>
          <w:sz w:val="21"/>
          <w:szCs w:val="21"/>
          <w:highlight w:val="none"/>
        </w:rPr>
      </w:pPr>
      <w:r>
        <w:rPr>
          <w:color w:val="auto"/>
          <w:sz w:val="21"/>
          <w:szCs w:val="21"/>
          <w:highlight w:val="none"/>
        </w:rPr>
        <w:t>5、</w:t>
      </w:r>
      <w:r>
        <w:rPr>
          <w:rFonts w:hint="eastAsia"/>
          <w:color w:val="auto"/>
          <w:sz w:val="21"/>
          <w:szCs w:val="21"/>
          <w:highlight w:val="none"/>
        </w:rPr>
        <w:t>请提供针对本项目的施工进度安排；</w:t>
      </w:r>
    </w:p>
    <w:p w14:paraId="4E244C00">
      <w:pPr>
        <w:spacing w:line="288" w:lineRule="auto"/>
        <w:ind w:firstLine="420" w:firstLineChars="200"/>
        <w:rPr>
          <w:color w:val="auto"/>
          <w:sz w:val="21"/>
          <w:szCs w:val="21"/>
          <w:highlight w:val="none"/>
        </w:rPr>
      </w:pPr>
      <w:r>
        <w:rPr>
          <w:rFonts w:hint="eastAsia"/>
          <w:color w:val="auto"/>
          <w:sz w:val="21"/>
          <w:szCs w:val="21"/>
          <w:highlight w:val="none"/>
        </w:rPr>
        <w:t>6、</w:t>
      </w:r>
      <w:r>
        <w:rPr>
          <w:color w:val="auto"/>
          <w:sz w:val="21"/>
          <w:szCs w:val="21"/>
          <w:highlight w:val="none"/>
        </w:rPr>
        <w:t>请提供针对本项目的工期承诺、</w:t>
      </w:r>
      <w:r>
        <w:rPr>
          <w:rFonts w:hint="eastAsia"/>
          <w:color w:val="auto"/>
          <w:sz w:val="21"/>
          <w:szCs w:val="21"/>
          <w:highlight w:val="none"/>
        </w:rPr>
        <w:t>工期履约的保证</w:t>
      </w:r>
      <w:r>
        <w:rPr>
          <w:color w:val="auto"/>
          <w:sz w:val="21"/>
          <w:szCs w:val="21"/>
          <w:highlight w:val="none"/>
        </w:rPr>
        <w:t>措施；</w:t>
      </w:r>
    </w:p>
    <w:p w14:paraId="037F5495">
      <w:pPr>
        <w:spacing w:line="288" w:lineRule="auto"/>
        <w:ind w:firstLine="411" w:firstLineChars="196"/>
        <w:rPr>
          <w:color w:val="auto"/>
          <w:sz w:val="21"/>
          <w:szCs w:val="21"/>
          <w:highlight w:val="none"/>
        </w:rPr>
      </w:pPr>
      <w:r>
        <w:rPr>
          <w:rFonts w:hint="eastAsia"/>
          <w:color w:val="auto"/>
          <w:sz w:val="21"/>
          <w:szCs w:val="21"/>
          <w:highlight w:val="none"/>
        </w:rPr>
        <w:t>7</w:t>
      </w:r>
      <w:r>
        <w:rPr>
          <w:color w:val="auto"/>
          <w:sz w:val="21"/>
          <w:szCs w:val="21"/>
          <w:highlight w:val="none"/>
        </w:rPr>
        <w:t>、请提供针对本项目的安全、文明施工的保证措施；</w:t>
      </w:r>
    </w:p>
    <w:p w14:paraId="3B8BA2DD">
      <w:pPr>
        <w:spacing w:line="288" w:lineRule="auto"/>
        <w:ind w:firstLine="411" w:firstLineChars="196"/>
        <w:rPr>
          <w:color w:val="auto"/>
          <w:sz w:val="21"/>
          <w:szCs w:val="21"/>
          <w:highlight w:val="none"/>
        </w:rPr>
      </w:pPr>
      <w:r>
        <w:rPr>
          <w:rFonts w:hint="eastAsia"/>
          <w:color w:val="auto"/>
          <w:sz w:val="21"/>
          <w:szCs w:val="21"/>
          <w:highlight w:val="none"/>
        </w:rPr>
        <w:t>8</w:t>
      </w:r>
      <w:r>
        <w:rPr>
          <w:color w:val="auto"/>
          <w:sz w:val="21"/>
          <w:szCs w:val="21"/>
          <w:highlight w:val="none"/>
        </w:rPr>
        <w:t>、请提供确保工程质量的技术组织措施方案；</w:t>
      </w:r>
    </w:p>
    <w:p w14:paraId="2ED078B0">
      <w:pPr>
        <w:spacing w:line="288" w:lineRule="auto"/>
        <w:ind w:firstLine="411" w:firstLineChars="196"/>
        <w:rPr>
          <w:color w:val="auto"/>
          <w:sz w:val="21"/>
          <w:szCs w:val="21"/>
          <w:highlight w:val="none"/>
        </w:rPr>
      </w:pPr>
      <w:r>
        <w:rPr>
          <w:rFonts w:hint="eastAsia"/>
          <w:color w:val="auto"/>
          <w:sz w:val="21"/>
          <w:szCs w:val="21"/>
          <w:highlight w:val="none"/>
        </w:rPr>
        <w:t>9</w:t>
      </w:r>
      <w:r>
        <w:rPr>
          <w:color w:val="auto"/>
          <w:sz w:val="21"/>
          <w:szCs w:val="21"/>
          <w:highlight w:val="none"/>
        </w:rPr>
        <w:t>、请提供针对本项目的选用材料品牌和质量保证措施介绍；</w:t>
      </w:r>
    </w:p>
    <w:p w14:paraId="1EB70BEA">
      <w:pPr>
        <w:spacing w:line="288" w:lineRule="auto"/>
        <w:ind w:firstLine="411" w:firstLineChars="196"/>
        <w:rPr>
          <w:color w:val="auto"/>
          <w:sz w:val="21"/>
          <w:szCs w:val="21"/>
          <w:highlight w:val="none"/>
        </w:rPr>
      </w:pPr>
      <w:r>
        <w:rPr>
          <w:rFonts w:hint="eastAsia"/>
          <w:color w:val="auto"/>
          <w:sz w:val="21"/>
          <w:szCs w:val="21"/>
          <w:highlight w:val="none"/>
        </w:rPr>
        <w:t>10</w:t>
      </w:r>
      <w:r>
        <w:rPr>
          <w:color w:val="auto"/>
          <w:sz w:val="21"/>
          <w:szCs w:val="21"/>
          <w:highlight w:val="none"/>
        </w:rPr>
        <w:t>、请提供针对本项目的施工突发情况的应急预案；</w:t>
      </w:r>
    </w:p>
    <w:p w14:paraId="15B6A87B">
      <w:pPr>
        <w:spacing w:line="288" w:lineRule="auto"/>
        <w:ind w:firstLine="420" w:firstLineChars="200"/>
        <w:rPr>
          <w:color w:val="auto"/>
          <w:sz w:val="21"/>
          <w:szCs w:val="21"/>
          <w:highlight w:val="none"/>
        </w:rPr>
      </w:pPr>
      <w:r>
        <w:rPr>
          <w:rFonts w:hint="eastAsia"/>
          <w:color w:val="auto"/>
          <w:sz w:val="21"/>
          <w:szCs w:val="21"/>
          <w:highlight w:val="none"/>
        </w:rPr>
        <w:t>11</w:t>
      </w:r>
      <w:r>
        <w:rPr>
          <w:color w:val="auto"/>
          <w:sz w:val="21"/>
          <w:szCs w:val="21"/>
          <w:highlight w:val="none"/>
        </w:rPr>
        <w:t>、请提供工程交付使用后的保修服务和其它服务承诺。</w:t>
      </w:r>
    </w:p>
    <w:p w14:paraId="4A0306FF">
      <w:pPr>
        <w:spacing w:line="288" w:lineRule="auto"/>
        <w:ind w:firstLine="420" w:firstLineChars="200"/>
        <w:rPr>
          <w:color w:val="auto"/>
          <w:sz w:val="21"/>
          <w:szCs w:val="21"/>
          <w:highlight w:val="none"/>
        </w:rPr>
      </w:pPr>
    </w:p>
    <w:p w14:paraId="2E81488B">
      <w:pPr>
        <w:spacing w:line="288" w:lineRule="auto"/>
        <w:ind w:firstLine="420" w:firstLineChars="200"/>
        <w:rPr>
          <w:color w:val="auto"/>
          <w:sz w:val="21"/>
          <w:szCs w:val="21"/>
          <w:highlight w:val="none"/>
        </w:rPr>
      </w:pPr>
    </w:p>
    <w:p w14:paraId="411944ED">
      <w:pPr>
        <w:spacing w:line="288" w:lineRule="auto"/>
        <w:ind w:firstLine="420" w:firstLineChars="200"/>
        <w:rPr>
          <w:color w:val="auto"/>
          <w:sz w:val="21"/>
          <w:szCs w:val="21"/>
          <w:highlight w:val="none"/>
        </w:rPr>
      </w:pPr>
    </w:p>
    <w:p w14:paraId="4FBAC3BF">
      <w:pPr>
        <w:spacing w:line="288" w:lineRule="auto"/>
        <w:ind w:firstLine="420" w:firstLineChars="200"/>
        <w:rPr>
          <w:color w:val="auto"/>
          <w:sz w:val="21"/>
          <w:szCs w:val="21"/>
          <w:highlight w:val="none"/>
        </w:rPr>
      </w:pPr>
    </w:p>
    <w:p w14:paraId="69109825">
      <w:pPr>
        <w:spacing w:line="288" w:lineRule="auto"/>
        <w:ind w:firstLine="422" w:firstLineChars="200"/>
        <w:rPr>
          <w:b/>
          <w:color w:val="auto"/>
          <w:sz w:val="21"/>
          <w:szCs w:val="21"/>
          <w:highlight w:val="none"/>
        </w:rPr>
      </w:pPr>
    </w:p>
    <w:p w14:paraId="65FA0B05">
      <w:pPr>
        <w:pStyle w:val="47"/>
        <w:numPr>
          <w:ilvl w:val="0"/>
          <w:numId w:val="4"/>
        </w:numPr>
        <w:spacing w:line="288" w:lineRule="auto"/>
        <w:ind w:hanging="442" w:firstLineChars="0"/>
        <w:outlineLvl w:val="2"/>
        <w:rPr>
          <w:b/>
          <w:bCs/>
          <w:color w:val="auto"/>
          <w:sz w:val="21"/>
          <w:szCs w:val="21"/>
          <w:highlight w:val="none"/>
        </w:rPr>
      </w:pPr>
      <w:r>
        <w:rPr>
          <w:rFonts w:hint="eastAsia"/>
          <w:b/>
          <w:bCs/>
          <w:color w:val="auto"/>
          <w:sz w:val="21"/>
          <w:szCs w:val="21"/>
          <w:highlight w:val="none"/>
        </w:rPr>
        <w:t>时花品种分类表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686"/>
        <w:gridCol w:w="4250"/>
        <w:gridCol w:w="3946"/>
      </w:tblGrid>
      <w:tr w14:paraId="6514D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388" w:type="pct"/>
            <w:vMerge w:val="restart"/>
            <w:noWrap/>
            <w:vAlign w:val="center"/>
          </w:tcPr>
          <w:p w14:paraId="69BE4BE4">
            <w:pPr>
              <w:ind w:firstLine="211"/>
              <w:jc w:val="left"/>
              <w:rPr>
                <w:color w:val="auto"/>
                <w:sz w:val="21"/>
                <w:szCs w:val="21"/>
                <w:highlight w:val="none"/>
              </w:rPr>
            </w:pPr>
            <w:r>
              <w:rPr>
                <w:rFonts w:hint="eastAsia"/>
                <w:color w:val="auto"/>
                <w:sz w:val="21"/>
                <w:szCs w:val="21"/>
                <w:highlight w:val="none"/>
              </w:rPr>
              <w:t>更换次数</w:t>
            </w:r>
          </w:p>
        </w:tc>
        <w:tc>
          <w:tcPr>
            <w:tcW w:w="356" w:type="pct"/>
            <w:vMerge w:val="restart"/>
            <w:noWrap/>
            <w:vAlign w:val="center"/>
          </w:tcPr>
          <w:p w14:paraId="5BFE0898">
            <w:pPr>
              <w:ind w:firstLine="211"/>
              <w:jc w:val="left"/>
              <w:rPr>
                <w:color w:val="auto"/>
                <w:sz w:val="21"/>
                <w:szCs w:val="21"/>
                <w:highlight w:val="none"/>
              </w:rPr>
            </w:pPr>
            <w:r>
              <w:rPr>
                <w:rFonts w:hint="eastAsia"/>
                <w:color w:val="auto"/>
                <w:sz w:val="21"/>
                <w:szCs w:val="21"/>
                <w:highlight w:val="none"/>
              </w:rPr>
              <w:t>更换</w:t>
            </w:r>
          </w:p>
          <w:p w14:paraId="3C364A5A">
            <w:pPr>
              <w:ind w:firstLine="211"/>
              <w:jc w:val="left"/>
              <w:rPr>
                <w:color w:val="auto"/>
                <w:sz w:val="21"/>
                <w:szCs w:val="21"/>
                <w:highlight w:val="none"/>
              </w:rPr>
            </w:pPr>
            <w:r>
              <w:rPr>
                <w:rFonts w:hint="eastAsia"/>
                <w:color w:val="auto"/>
                <w:sz w:val="21"/>
                <w:szCs w:val="21"/>
                <w:highlight w:val="none"/>
              </w:rPr>
              <w:t>时间</w:t>
            </w:r>
          </w:p>
        </w:tc>
        <w:tc>
          <w:tcPr>
            <w:tcW w:w="4254" w:type="pct"/>
            <w:gridSpan w:val="2"/>
            <w:noWrap/>
            <w:vAlign w:val="center"/>
          </w:tcPr>
          <w:p w14:paraId="6B943214">
            <w:pPr>
              <w:ind w:firstLine="211"/>
              <w:jc w:val="left"/>
              <w:rPr>
                <w:color w:val="auto"/>
                <w:sz w:val="21"/>
                <w:szCs w:val="21"/>
                <w:highlight w:val="none"/>
              </w:rPr>
            </w:pPr>
            <w:r>
              <w:rPr>
                <w:rFonts w:hint="eastAsia"/>
                <w:color w:val="auto"/>
                <w:sz w:val="21"/>
                <w:szCs w:val="21"/>
                <w:highlight w:val="none"/>
              </w:rPr>
              <w:t>选用花卉</w:t>
            </w:r>
          </w:p>
        </w:tc>
      </w:tr>
      <w:tr w14:paraId="3DA08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388" w:type="pct"/>
            <w:vMerge w:val="continue"/>
            <w:noWrap/>
            <w:vAlign w:val="center"/>
          </w:tcPr>
          <w:p w14:paraId="3DAA71CE">
            <w:pPr>
              <w:ind w:firstLine="211"/>
              <w:jc w:val="left"/>
              <w:rPr>
                <w:color w:val="auto"/>
                <w:sz w:val="21"/>
                <w:szCs w:val="21"/>
                <w:highlight w:val="none"/>
              </w:rPr>
            </w:pPr>
          </w:p>
        </w:tc>
        <w:tc>
          <w:tcPr>
            <w:tcW w:w="356" w:type="pct"/>
            <w:vMerge w:val="continue"/>
            <w:noWrap/>
            <w:vAlign w:val="center"/>
          </w:tcPr>
          <w:p w14:paraId="4BC09702">
            <w:pPr>
              <w:ind w:firstLine="211"/>
              <w:jc w:val="left"/>
              <w:rPr>
                <w:color w:val="auto"/>
                <w:sz w:val="21"/>
                <w:szCs w:val="21"/>
                <w:highlight w:val="none"/>
              </w:rPr>
            </w:pPr>
          </w:p>
        </w:tc>
        <w:tc>
          <w:tcPr>
            <w:tcW w:w="2207" w:type="pct"/>
            <w:noWrap/>
            <w:vAlign w:val="center"/>
          </w:tcPr>
          <w:p w14:paraId="35889581">
            <w:pPr>
              <w:ind w:firstLine="211"/>
              <w:jc w:val="left"/>
              <w:rPr>
                <w:color w:val="auto"/>
                <w:sz w:val="21"/>
                <w:szCs w:val="21"/>
                <w:highlight w:val="none"/>
              </w:rPr>
            </w:pPr>
            <w:r>
              <w:rPr>
                <w:rFonts w:hint="eastAsia"/>
                <w:color w:val="auto"/>
                <w:sz w:val="21"/>
                <w:szCs w:val="21"/>
                <w:highlight w:val="none"/>
              </w:rPr>
              <w:t>常用花卉</w:t>
            </w:r>
          </w:p>
        </w:tc>
        <w:tc>
          <w:tcPr>
            <w:tcW w:w="2047" w:type="pct"/>
            <w:noWrap/>
            <w:vAlign w:val="center"/>
          </w:tcPr>
          <w:p w14:paraId="3AB9A8E1">
            <w:pPr>
              <w:ind w:firstLine="211"/>
              <w:jc w:val="left"/>
              <w:rPr>
                <w:color w:val="auto"/>
                <w:sz w:val="21"/>
                <w:szCs w:val="21"/>
                <w:highlight w:val="none"/>
              </w:rPr>
            </w:pPr>
            <w:r>
              <w:rPr>
                <w:rFonts w:hint="eastAsia"/>
                <w:color w:val="auto"/>
                <w:sz w:val="21"/>
                <w:szCs w:val="21"/>
                <w:highlight w:val="none"/>
              </w:rPr>
              <w:t>备选花卉</w:t>
            </w:r>
          </w:p>
        </w:tc>
      </w:tr>
      <w:tr w14:paraId="2B3D2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pct"/>
            <w:noWrap/>
            <w:vAlign w:val="center"/>
          </w:tcPr>
          <w:p w14:paraId="19A89A0B">
            <w:pPr>
              <w:ind w:firstLine="211"/>
              <w:jc w:val="left"/>
              <w:rPr>
                <w:color w:val="auto"/>
                <w:sz w:val="21"/>
                <w:szCs w:val="21"/>
                <w:highlight w:val="none"/>
              </w:rPr>
            </w:pPr>
            <w:r>
              <w:rPr>
                <w:rFonts w:hint="eastAsia"/>
                <w:color w:val="auto"/>
                <w:sz w:val="21"/>
                <w:szCs w:val="21"/>
                <w:highlight w:val="none"/>
              </w:rPr>
              <w:t>第一次</w:t>
            </w:r>
          </w:p>
        </w:tc>
        <w:tc>
          <w:tcPr>
            <w:tcW w:w="356" w:type="pct"/>
            <w:noWrap/>
            <w:vAlign w:val="center"/>
          </w:tcPr>
          <w:p w14:paraId="2AA0C9EC">
            <w:pPr>
              <w:ind w:firstLine="211"/>
              <w:jc w:val="left"/>
              <w:rPr>
                <w:color w:val="auto"/>
                <w:sz w:val="21"/>
                <w:szCs w:val="21"/>
                <w:highlight w:val="none"/>
              </w:rPr>
            </w:pPr>
            <w:r>
              <w:rPr>
                <w:rFonts w:hint="eastAsia"/>
                <w:color w:val="auto"/>
                <w:sz w:val="21"/>
                <w:szCs w:val="21"/>
                <w:highlight w:val="none"/>
              </w:rPr>
              <w:t>三月至五月</w:t>
            </w:r>
          </w:p>
        </w:tc>
        <w:tc>
          <w:tcPr>
            <w:tcW w:w="2207" w:type="pct"/>
            <w:noWrap/>
            <w:vAlign w:val="center"/>
          </w:tcPr>
          <w:p w14:paraId="74C092A2">
            <w:pPr>
              <w:ind w:firstLine="211"/>
              <w:jc w:val="left"/>
              <w:rPr>
                <w:color w:val="auto"/>
                <w:sz w:val="21"/>
                <w:szCs w:val="21"/>
                <w:highlight w:val="none"/>
              </w:rPr>
            </w:pPr>
            <w:r>
              <w:rPr>
                <w:rFonts w:hint="eastAsia"/>
                <w:color w:val="auto"/>
                <w:sz w:val="21"/>
                <w:szCs w:val="21"/>
                <w:highlight w:val="none"/>
              </w:rPr>
              <w:t>长春花、石竹、藿香蓟、金鱼草、羽衣甘蓝、四季海棠、一串红、矢车菊、黄晶菊、矮牵牛、孔雀草、玛格丽特菊、瓜叶菊、报春花、长寿花、朱唇、三色堇、月季、金盏菊、天竺葵、紫罗兰、美女樱、大花萱草、翠菊、蜀葵</w:t>
            </w:r>
          </w:p>
        </w:tc>
        <w:tc>
          <w:tcPr>
            <w:tcW w:w="2047" w:type="pct"/>
            <w:noWrap/>
            <w:vAlign w:val="center"/>
          </w:tcPr>
          <w:p w14:paraId="33D41412">
            <w:pPr>
              <w:ind w:firstLine="211"/>
              <w:jc w:val="left"/>
              <w:rPr>
                <w:color w:val="auto"/>
                <w:sz w:val="21"/>
                <w:szCs w:val="21"/>
                <w:highlight w:val="none"/>
              </w:rPr>
            </w:pPr>
            <w:r>
              <w:rPr>
                <w:rFonts w:hint="eastAsia"/>
                <w:color w:val="auto"/>
                <w:sz w:val="21"/>
                <w:szCs w:val="21"/>
                <w:highlight w:val="none"/>
              </w:rPr>
              <w:t>酢浆草、蜀葵、五色草、香雪球、虞美人、羽扇豆、水仙、雏菊、银杯草、荷包牡丹、鸢尾、</w:t>
            </w:r>
            <w:r>
              <w:rPr>
                <w:color w:val="auto"/>
                <w:highlight w:val="none"/>
              </w:rPr>
              <w:fldChar w:fldCharType="begin"/>
            </w:r>
            <w:r>
              <w:rPr>
                <w:color w:val="auto"/>
                <w:highlight w:val="none"/>
              </w:rPr>
              <w:instrText xml:space="preserve"> HYPERLINK "https://www.cmeii.com/huahuizhongzilei/2819.html" \t "_blank" </w:instrText>
            </w:r>
            <w:r>
              <w:rPr>
                <w:color w:val="auto"/>
                <w:highlight w:val="none"/>
              </w:rPr>
              <w:fldChar w:fldCharType="separate"/>
            </w:r>
            <w:r>
              <w:rPr>
                <w:rStyle w:val="37"/>
                <w:rFonts w:hint="eastAsia"/>
                <w:color w:val="auto"/>
                <w:sz w:val="21"/>
                <w:szCs w:val="21"/>
                <w:highlight w:val="none"/>
              </w:rPr>
              <w:t>花菱草</w:t>
            </w:r>
            <w:r>
              <w:rPr>
                <w:rStyle w:val="37"/>
                <w:rFonts w:hint="eastAsia"/>
                <w:color w:val="auto"/>
                <w:sz w:val="21"/>
                <w:szCs w:val="21"/>
                <w:highlight w:val="none"/>
              </w:rPr>
              <w:fldChar w:fldCharType="end"/>
            </w:r>
            <w:r>
              <w:rPr>
                <w:rFonts w:hint="eastAsia"/>
                <w:color w:val="auto"/>
                <w:sz w:val="21"/>
                <w:szCs w:val="21"/>
                <w:highlight w:val="none"/>
              </w:rPr>
              <w:t>、郁金香、佛甲草、芍药、花烟草、福禄考、樱草、勿忘草、白晶菊、钓钟柳、风铃草</w:t>
            </w:r>
          </w:p>
        </w:tc>
      </w:tr>
      <w:tr w14:paraId="10AD9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388" w:type="pct"/>
            <w:noWrap/>
            <w:vAlign w:val="center"/>
          </w:tcPr>
          <w:p w14:paraId="222CB860">
            <w:pPr>
              <w:ind w:firstLine="211"/>
              <w:jc w:val="left"/>
              <w:rPr>
                <w:color w:val="auto"/>
                <w:sz w:val="21"/>
                <w:szCs w:val="21"/>
                <w:highlight w:val="none"/>
              </w:rPr>
            </w:pPr>
            <w:r>
              <w:rPr>
                <w:rFonts w:hint="eastAsia"/>
                <w:color w:val="auto"/>
                <w:sz w:val="21"/>
                <w:szCs w:val="21"/>
                <w:highlight w:val="none"/>
              </w:rPr>
              <w:t>第二次</w:t>
            </w:r>
          </w:p>
        </w:tc>
        <w:tc>
          <w:tcPr>
            <w:tcW w:w="356" w:type="pct"/>
            <w:noWrap/>
            <w:vAlign w:val="center"/>
          </w:tcPr>
          <w:p w14:paraId="3BAE6B38">
            <w:pPr>
              <w:ind w:firstLine="211"/>
              <w:jc w:val="left"/>
              <w:rPr>
                <w:color w:val="auto"/>
                <w:sz w:val="21"/>
                <w:szCs w:val="21"/>
                <w:highlight w:val="none"/>
              </w:rPr>
            </w:pPr>
            <w:r>
              <w:rPr>
                <w:rFonts w:hint="eastAsia"/>
                <w:color w:val="auto"/>
                <w:sz w:val="21"/>
                <w:szCs w:val="21"/>
                <w:highlight w:val="none"/>
              </w:rPr>
              <w:t>六月至七月</w:t>
            </w:r>
          </w:p>
        </w:tc>
        <w:tc>
          <w:tcPr>
            <w:tcW w:w="2207" w:type="pct"/>
            <w:noWrap/>
            <w:vAlign w:val="center"/>
          </w:tcPr>
          <w:p w14:paraId="7217E695">
            <w:pPr>
              <w:ind w:firstLine="211"/>
              <w:jc w:val="left"/>
              <w:rPr>
                <w:color w:val="auto"/>
                <w:sz w:val="21"/>
                <w:szCs w:val="21"/>
                <w:highlight w:val="none"/>
              </w:rPr>
            </w:pPr>
            <w:r>
              <w:rPr>
                <w:rFonts w:hint="eastAsia"/>
                <w:color w:val="auto"/>
                <w:sz w:val="21"/>
                <w:szCs w:val="21"/>
                <w:highlight w:val="none"/>
              </w:rPr>
              <w:t>美女樱、硫华菊、长春花、鸡冠花、波斯菊、百日草、鼠尾草、千日红、半枝莲、石竹、四季海棠、朱唇、三色堇、月季、喜林草</w:t>
            </w:r>
          </w:p>
        </w:tc>
        <w:tc>
          <w:tcPr>
            <w:tcW w:w="2047" w:type="pct"/>
            <w:noWrap/>
            <w:vAlign w:val="center"/>
          </w:tcPr>
          <w:p w14:paraId="282B7C88">
            <w:pPr>
              <w:ind w:firstLine="211"/>
              <w:jc w:val="left"/>
              <w:rPr>
                <w:color w:val="auto"/>
                <w:sz w:val="21"/>
                <w:szCs w:val="21"/>
                <w:highlight w:val="none"/>
              </w:rPr>
            </w:pPr>
            <w:r>
              <w:rPr>
                <w:rFonts w:hint="eastAsia"/>
                <w:color w:val="auto"/>
                <w:sz w:val="21"/>
                <w:szCs w:val="21"/>
                <w:highlight w:val="none"/>
              </w:rPr>
              <w:t>薰衣草、花烟草、荷包牡丹、芍药、</w:t>
            </w:r>
            <w:r>
              <w:rPr>
                <w:color w:val="auto"/>
                <w:highlight w:val="none"/>
              </w:rPr>
              <w:fldChar w:fldCharType="begin"/>
            </w:r>
            <w:r>
              <w:rPr>
                <w:color w:val="auto"/>
                <w:highlight w:val="none"/>
              </w:rPr>
              <w:instrText xml:space="preserve"> HYPERLINK "https://www.cmeii.com/huahuizhongzilei/2819.html" \t "_blank" </w:instrText>
            </w:r>
            <w:r>
              <w:rPr>
                <w:color w:val="auto"/>
                <w:highlight w:val="none"/>
              </w:rPr>
              <w:fldChar w:fldCharType="separate"/>
            </w:r>
            <w:r>
              <w:rPr>
                <w:rStyle w:val="37"/>
                <w:rFonts w:hint="eastAsia"/>
                <w:color w:val="auto"/>
                <w:sz w:val="21"/>
                <w:szCs w:val="21"/>
                <w:highlight w:val="none"/>
              </w:rPr>
              <w:t>花菱草</w:t>
            </w:r>
            <w:r>
              <w:rPr>
                <w:rStyle w:val="37"/>
                <w:rFonts w:hint="eastAsia"/>
                <w:color w:val="auto"/>
                <w:sz w:val="21"/>
                <w:szCs w:val="21"/>
                <w:highlight w:val="none"/>
              </w:rPr>
              <w:fldChar w:fldCharType="end"/>
            </w:r>
            <w:r>
              <w:rPr>
                <w:rFonts w:hint="eastAsia"/>
                <w:color w:val="auto"/>
                <w:sz w:val="21"/>
                <w:szCs w:val="21"/>
                <w:highlight w:val="none"/>
              </w:rPr>
              <w:t>、松果菊、洋凤仙、桔梗、洋凤仙、月见草、醉蝶花、香豌豆、彩叶芋、柳穿鱼、松果菊</w:t>
            </w:r>
          </w:p>
        </w:tc>
      </w:tr>
      <w:tr w14:paraId="263C4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8" w:type="pct"/>
            <w:noWrap/>
            <w:vAlign w:val="center"/>
          </w:tcPr>
          <w:p w14:paraId="20CEC49C">
            <w:pPr>
              <w:ind w:firstLine="211"/>
              <w:jc w:val="left"/>
              <w:rPr>
                <w:color w:val="auto"/>
                <w:sz w:val="21"/>
                <w:szCs w:val="21"/>
                <w:highlight w:val="none"/>
              </w:rPr>
            </w:pPr>
            <w:r>
              <w:rPr>
                <w:rFonts w:hint="eastAsia"/>
                <w:color w:val="auto"/>
                <w:sz w:val="21"/>
                <w:szCs w:val="21"/>
                <w:highlight w:val="none"/>
              </w:rPr>
              <w:t>第三次</w:t>
            </w:r>
          </w:p>
        </w:tc>
        <w:tc>
          <w:tcPr>
            <w:tcW w:w="356" w:type="pct"/>
            <w:noWrap/>
            <w:vAlign w:val="center"/>
          </w:tcPr>
          <w:p w14:paraId="246BD985">
            <w:pPr>
              <w:ind w:firstLine="211"/>
              <w:jc w:val="left"/>
              <w:rPr>
                <w:color w:val="auto"/>
                <w:sz w:val="21"/>
                <w:szCs w:val="21"/>
                <w:highlight w:val="none"/>
              </w:rPr>
            </w:pPr>
            <w:r>
              <w:rPr>
                <w:rFonts w:hint="eastAsia"/>
                <w:color w:val="auto"/>
                <w:sz w:val="21"/>
                <w:szCs w:val="21"/>
                <w:highlight w:val="none"/>
              </w:rPr>
              <w:t>八月至九月</w:t>
            </w:r>
          </w:p>
        </w:tc>
        <w:tc>
          <w:tcPr>
            <w:tcW w:w="2207" w:type="pct"/>
            <w:noWrap/>
            <w:vAlign w:val="center"/>
          </w:tcPr>
          <w:p w14:paraId="54719BBA">
            <w:pPr>
              <w:ind w:firstLine="211"/>
              <w:jc w:val="left"/>
              <w:rPr>
                <w:color w:val="auto"/>
                <w:sz w:val="21"/>
                <w:szCs w:val="21"/>
                <w:highlight w:val="none"/>
              </w:rPr>
            </w:pPr>
            <w:r>
              <w:rPr>
                <w:rFonts w:hint="eastAsia"/>
                <w:color w:val="auto"/>
                <w:sz w:val="21"/>
                <w:szCs w:val="21"/>
                <w:highlight w:val="none"/>
              </w:rPr>
              <w:t>长春花、孔雀草、观赏辣椒、朱唇、彩叶草、夏堇、鸡冠花、矮牵牛、万寿菊、美女樱、半枝莲、金盏菊、一串红、四季海棠、蜡菊</w:t>
            </w:r>
          </w:p>
        </w:tc>
        <w:tc>
          <w:tcPr>
            <w:tcW w:w="2047" w:type="pct"/>
            <w:noWrap/>
            <w:vAlign w:val="center"/>
          </w:tcPr>
          <w:p w14:paraId="4C58A4BA">
            <w:pPr>
              <w:ind w:firstLine="211"/>
              <w:jc w:val="left"/>
              <w:rPr>
                <w:color w:val="auto"/>
                <w:sz w:val="21"/>
                <w:szCs w:val="21"/>
                <w:highlight w:val="none"/>
              </w:rPr>
            </w:pPr>
            <w:r>
              <w:rPr>
                <w:rFonts w:hint="eastAsia"/>
                <w:color w:val="auto"/>
                <w:sz w:val="21"/>
                <w:szCs w:val="21"/>
                <w:highlight w:val="none"/>
              </w:rPr>
              <w:t>银杯草、</w:t>
            </w:r>
            <w:r>
              <w:rPr>
                <w:color w:val="auto"/>
                <w:highlight w:val="none"/>
              </w:rPr>
              <w:fldChar w:fldCharType="begin"/>
            </w:r>
            <w:r>
              <w:rPr>
                <w:color w:val="auto"/>
                <w:highlight w:val="none"/>
              </w:rPr>
              <w:instrText xml:space="preserve"> HYPERLINK "https://www.cmeii.com/huahuizhongzilei/2819.html" \t "_blank" </w:instrText>
            </w:r>
            <w:r>
              <w:rPr>
                <w:color w:val="auto"/>
                <w:highlight w:val="none"/>
              </w:rPr>
              <w:fldChar w:fldCharType="separate"/>
            </w:r>
            <w:r>
              <w:rPr>
                <w:rStyle w:val="37"/>
                <w:rFonts w:hint="eastAsia"/>
                <w:color w:val="auto"/>
                <w:sz w:val="21"/>
                <w:szCs w:val="21"/>
                <w:highlight w:val="none"/>
              </w:rPr>
              <w:t>花菱草</w:t>
            </w:r>
            <w:r>
              <w:rPr>
                <w:rStyle w:val="37"/>
                <w:rFonts w:hint="eastAsia"/>
                <w:color w:val="auto"/>
                <w:sz w:val="21"/>
                <w:szCs w:val="21"/>
                <w:highlight w:val="none"/>
              </w:rPr>
              <w:fldChar w:fldCharType="end"/>
            </w:r>
            <w:r>
              <w:rPr>
                <w:rFonts w:hint="eastAsia"/>
                <w:color w:val="auto"/>
                <w:sz w:val="21"/>
                <w:szCs w:val="21"/>
                <w:highlight w:val="none"/>
              </w:rPr>
              <w:t>、福禄考、长药八宝、大花萱草、落新妇、柳穿鱼、桔梗、旱金莲、银叶菊、金鱼草、葱莲、醉蝶花、玉簪、</w:t>
            </w:r>
          </w:p>
        </w:tc>
      </w:tr>
      <w:tr w14:paraId="5108D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388" w:type="pct"/>
            <w:noWrap/>
            <w:vAlign w:val="center"/>
          </w:tcPr>
          <w:p w14:paraId="161F40AF">
            <w:pPr>
              <w:ind w:firstLine="211"/>
              <w:jc w:val="left"/>
              <w:rPr>
                <w:color w:val="auto"/>
                <w:sz w:val="21"/>
                <w:szCs w:val="21"/>
                <w:highlight w:val="none"/>
              </w:rPr>
            </w:pPr>
            <w:r>
              <w:rPr>
                <w:rFonts w:hint="eastAsia"/>
                <w:color w:val="auto"/>
                <w:sz w:val="21"/>
                <w:szCs w:val="21"/>
                <w:highlight w:val="none"/>
              </w:rPr>
              <w:t>第四次</w:t>
            </w:r>
          </w:p>
        </w:tc>
        <w:tc>
          <w:tcPr>
            <w:tcW w:w="356" w:type="pct"/>
            <w:noWrap/>
            <w:vAlign w:val="center"/>
          </w:tcPr>
          <w:p w14:paraId="32B7C4BC">
            <w:pPr>
              <w:ind w:firstLine="211"/>
              <w:jc w:val="left"/>
              <w:rPr>
                <w:color w:val="auto"/>
                <w:sz w:val="21"/>
                <w:szCs w:val="21"/>
                <w:highlight w:val="none"/>
              </w:rPr>
            </w:pPr>
            <w:r>
              <w:rPr>
                <w:rFonts w:hint="eastAsia"/>
                <w:color w:val="auto"/>
                <w:sz w:val="21"/>
                <w:szCs w:val="21"/>
                <w:highlight w:val="none"/>
              </w:rPr>
              <w:t>十月至十一月</w:t>
            </w:r>
          </w:p>
        </w:tc>
        <w:tc>
          <w:tcPr>
            <w:tcW w:w="2207" w:type="pct"/>
            <w:noWrap/>
            <w:vAlign w:val="center"/>
          </w:tcPr>
          <w:p w14:paraId="75EA0936">
            <w:pPr>
              <w:ind w:firstLine="211"/>
              <w:jc w:val="left"/>
              <w:rPr>
                <w:color w:val="auto"/>
                <w:sz w:val="21"/>
                <w:szCs w:val="21"/>
                <w:highlight w:val="none"/>
              </w:rPr>
            </w:pPr>
            <w:r>
              <w:rPr>
                <w:rFonts w:hint="eastAsia"/>
                <w:color w:val="auto"/>
                <w:sz w:val="21"/>
                <w:szCs w:val="21"/>
                <w:highlight w:val="none"/>
              </w:rPr>
              <w:t>长春花、孔雀草、百日草、矮牵牛、洋凤仙、万寿菊、鸡冠花、四季海棠、千日红、翠菊、一串红、美女樱、红叶甜菜、玛格丽特菊、勋章菊</w:t>
            </w:r>
          </w:p>
        </w:tc>
        <w:tc>
          <w:tcPr>
            <w:tcW w:w="2047" w:type="pct"/>
            <w:noWrap/>
            <w:vAlign w:val="center"/>
          </w:tcPr>
          <w:p w14:paraId="07ACE645">
            <w:pPr>
              <w:ind w:firstLine="211"/>
              <w:jc w:val="left"/>
              <w:rPr>
                <w:color w:val="auto"/>
                <w:sz w:val="21"/>
                <w:szCs w:val="21"/>
                <w:highlight w:val="none"/>
              </w:rPr>
            </w:pPr>
            <w:r>
              <w:rPr>
                <w:rFonts w:hint="eastAsia"/>
                <w:color w:val="auto"/>
                <w:sz w:val="21"/>
                <w:szCs w:val="21"/>
                <w:highlight w:val="none"/>
              </w:rPr>
              <w:t>大丽花、藿香蓟、旱金莲、天人菊、长药八宝、彩叶芋、大花萱草、地被菊、福禄考、火炬花、玉簪、假龙头、五色草、荷兰菊、紫茉莉</w:t>
            </w:r>
          </w:p>
        </w:tc>
      </w:tr>
      <w:tr w14:paraId="389E3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3" w:hRule="atLeast"/>
          <w:jc w:val="center"/>
        </w:trPr>
        <w:tc>
          <w:tcPr>
            <w:tcW w:w="388" w:type="pct"/>
            <w:noWrap/>
            <w:vAlign w:val="center"/>
          </w:tcPr>
          <w:p w14:paraId="3263FB0C">
            <w:pPr>
              <w:ind w:firstLine="211"/>
              <w:jc w:val="left"/>
              <w:rPr>
                <w:color w:val="auto"/>
                <w:sz w:val="21"/>
                <w:szCs w:val="21"/>
                <w:highlight w:val="none"/>
              </w:rPr>
            </w:pPr>
            <w:r>
              <w:rPr>
                <w:rFonts w:hint="eastAsia"/>
                <w:color w:val="auto"/>
                <w:sz w:val="21"/>
                <w:szCs w:val="21"/>
                <w:highlight w:val="none"/>
              </w:rPr>
              <w:t>第五次</w:t>
            </w:r>
          </w:p>
        </w:tc>
        <w:tc>
          <w:tcPr>
            <w:tcW w:w="356" w:type="pct"/>
            <w:noWrap/>
            <w:vAlign w:val="center"/>
          </w:tcPr>
          <w:p w14:paraId="23AE2586">
            <w:pPr>
              <w:ind w:firstLine="211"/>
              <w:jc w:val="left"/>
              <w:rPr>
                <w:color w:val="auto"/>
                <w:sz w:val="21"/>
                <w:szCs w:val="21"/>
                <w:highlight w:val="none"/>
              </w:rPr>
            </w:pPr>
            <w:r>
              <w:rPr>
                <w:rFonts w:hint="eastAsia"/>
                <w:color w:val="auto"/>
                <w:sz w:val="21"/>
                <w:szCs w:val="21"/>
                <w:highlight w:val="none"/>
              </w:rPr>
              <w:t>十二月至次年二月</w:t>
            </w:r>
          </w:p>
        </w:tc>
        <w:tc>
          <w:tcPr>
            <w:tcW w:w="2207" w:type="pct"/>
            <w:noWrap/>
            <w:vAlign w:val="center"/>
          </w:tcPr>
          <w:p w14:paraId="6A07CECA">
            <w:pPr>
              <w:ind w:firstLine="211"/>
              <w:jc w:val="left"/>
              <w:rPr>
                <w:color w:val="auto"/>
                <w:sz w:val="21"/>
                <w:szCs w:val="21"/>
                <w:highlight w:val="none"/>
              </w:rPr>
            </w:pPr>
            <w:r>
              <w:rPr>
                <w:rFonts w:hint="eastAsia"/>
                <w:color w:val="auto"/>
                <w:sz w:val="21"/>
                <w:szCs w:val="21"/>
                <w:highlight w:val="none"/>
              </w:rPr>
              <w:t>三色堇、金盏菊、石竹、紫罗兰、雏菊、金鱼草、羽衣甘蓝、红叶甜菜、银叶菊、玛格丽特菊、长寿花、瓜叶菊、长春花、五色草、矢车菊</w:t>
            </w:r>
          </w:p>
        </w:tc>
        <w:tc>
          <w:tcPr>
            <w:tcW w:w="2047" w:type="pct"/>
            <w:noWrap/>
            <w:vAlign w:val="center"/>
          </w:tcPr>
          <w:p w14:paraId="1F78C2A0">
            <w:pPr>
              <w:ind w:firstLine="211"/>
              <w:jc w:val="left"/>
              <w:rPr>
                <w:color w:val="auto"/>
                <w:sz w:val="21"/>
                <w:szCs w:val="21"/>
                <w:highlight w:val="none"/>
              </w:rPr>
            </w:pPr>
            <w:r>
              <w:rPr>
                <w:rFonts w:hint="eastAsia"/>
                <w:color w:val="auto"/>
                <w:sz w:val="21"/>
                <w:szCs w:val="21"/>
                <w:highlight w:val="none"/>
              </w:rPr>
              <w:t>四季海棠、藿香蓟、天竺葵、蜀葵、白晶菊</w:t>
            </w:r>
          </w:p>
        </w:tc>
      </w:tr>
      <w:tr w14:paraId="6F82E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5000" w:type="pct"/>
            <w:gridSpan w:val="4"/>
            <w:noWrap/>
            <w:vAlign w:val="center"/>
          </w:tcPr>
          <w:p w14:paraId="19197581">
            <w:pPr>
              <w:ind w:firstLine="211"/>
              <w:jc w:val="left"/>
              <w:rPr>
                <w:color w:val="auto"/>
                <w:sz w:val="21"/>
                <w:szCs w:val="21"/>
                <w:highlight w:val="none"/>
              </w:rPr>
            </w:pPr>
            <w:r>
              <w:rPr>
                <w:rFonts w:hint="eastAsia"/>
                <w:color w:val="auto"/>
                <w:sz w:val="21"/>
                <w:szCs w:val="21"/>
                <w:highlight w:val="none"/>
              </w:rPr>
              <w:t>注：色系主要为红色、黄色、粉色、紫色；实施过程中的实际种植数量及品种必须满足甲方的要求，每期种植前制定鲜花种植配置方案，鲜花种植配置方案须书面提交采购人确认，并由采购人核实书面回复后，方可实施种植。</w:t>
            </w:r>
          </w:p>
          <w:p w14:paraId="081D33FD">
            <w:pPr>
              <w:ind w:firstLine="211"/>
              <w:jc w:val="left"/>
              <w:rPr>
                <w:color w:val="auto"/>
                <w:sz w:val="21"/>
                <w:szCs w:val="21"/>
                <w:highlight w:val="none"/>
              </w:rPr>
            </w:pPr>
            <w:r>
              <w:rPr>
                <w:rFonts w:hint="eastAsia"/>
                <w:color w:val="auto"/>
                <w:sz w:val="21"/>
                <w:szCs w:val="21"/>
                <w:highlight w:val="none"/>
              </w:rPr>
              <w:t>一年更换五次，部分更换时间可按实际天气情况进行调整,花卉种类不限于以上表格品种。</w:t>
            </w:r>
          </w:p>
        </w:tc>
      </w:tr>
    </w:tbl>
    <w:p w14:paraId="54FC1DB2">
      <w:pPr>
        <w:rPr>
          <w:color w:val="auto"/>
          <w:highlight w:val="none"/>
        </w:rPr>
      </w:pPr>
    </w:p>
    <w:p w14:paraId="72DB3BD9">
      <w:pPr>
        <w:rPr>
          <w:color w:val="auto"/>
          <w:highlight w:val="none"/>
        </w:rPr>
      </w:pPr>
    </w:p>
    <w:p w14:paraId="4679768D">
      <w:pPr>
        <w:rPr>
          <w:color w:val="auto"/>
          <w:highlight w:val="none"/>
        </w:rPr>
      </w:pPr>
    </w:p>
    <w:p w14:paraId="53BD25D5">
      <w:pPr>
        <w:rPr>
          <w:color w:val="auto"/>
          <w:highlight w:val="none"/>
        </w:rPr>
      </w:pPr>
    </w:p>
    <w:p w14:paraId="2DEB87C8">
      <w:pPr>
        <w:spacing w:line="288" w:lineRule="auto"/>
        <w:ind w:firstLine="411" w:firstLineChars="196"/>
        <w:rPr>
          <w:color w:val="auto"/>
          <w:sz w:val="21"/>
          <w:szCs w:val="21"/>
          <w:highlight w:val="none"/>
        </w:rPr>
      </w:pPr>
      <w:r>
        <w:rPr>
          <w:rFonts w:hint="eastAsia"/>
          <w:color w:val="auto"/>
          <w:sz w:val="21"/>
          <w:szCs w:val="21"/>
          <w:highlight w:val="none"/>
        </w:rPr>
        <w:t>花镜摆放效果图（参考）：</w:t>
      </w:r>
    </w:p>
    <w:p w14:paraId="64B96F80">
      <w:pPr>
        <w:ind w:firstLine="361"/>
        <w:rPr>
          <w:color w:val="auto"/>
          <w:highlight w:val="none"/>
        </w:rPr>
      </w:pPr>
      <w:r>
        <w:rPr>
          <w:rFonts w:hint="eastAsia"/>
          <w:color w:val="auto"/>
          <w:highlight w:val="none"/>
        </w:rPr>
        <w:drawing>
          <wp:anchor distT="0" distB="0" distL="114300" distR="114300" simplePos="0" relativeHeight="251664384" behindDoc="0" locked="0" layoutInCell="1" allowOverlap="1">
            <wp:simplePos x="0" y="0"/>
            <wp:positionH relativeFrom="column">
              <wp:posOffset>3154045</wp:posOffset>
            </wp:positionH>
            <wp:positionV relativeFrom="page">
              <wp:posOffset>3708400</wp:posOffset>
            </wp:positionV>
            <wp:extent cx="2850515" cy="1855470"/>
            <wp:effectExtent l="0" t="0" r="6985" b="11430"/>
            <wp:wrapSquare wrapText="bothSides"/>
            <wp:docPr id="284910263"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10263" name="图片 7" descr="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50515" cy="1855470"/>
                    </a:xfrm>
                    <a:prstGeom prst="rect">
                      <a:avLst/>
                    </a:prstGeom>
                    <a:noFill/>
                    <a:ln>
                      <a:noFill/>
                    </a:ln>
                  </pic:spPr>
                </pic:pic>
              </a:graphicData>
            </a:graphic>
          </wp:anchor>
        </w:drawing>
      </w:r>
      <w:r>
        <w:rPr>
          <w:rFonts w:hint="eastAsia"/>
          <w:color w:val="auto"/>
          <w:highlight w:val="none"/>
        </w:rPr>
        <w:drawing>
          <wp:anchor distT="0" distB="0" distL="114300" distR="114300" simplePos="0" relativeHeight="251662336" behindDoc="0" locked="0" layoutInCell="1" allowOverlap="1">
            <wp:simplePos x="0" y="0"/>
            <wp:positionH relativeFrom="column">
              <wp:posOffset>90170</wp:posOffset>
            </wp:positionH>
            <wp:positionV relativeFrom="page">
              <wp:posOffset>3817620</wp:posOffset>
            </wp:positionV>
            <wp:extent cx="2755900" cy="1739265"/>
            <wp:effectExtent l="0" t="0" r="6350" b="13335"/>
            <wp:wrapSquare wrapText="bothSides"/>
            <wp:docPr id="715955714"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55714" name="图片 8" desc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55900" cy="1739265"/>
                    </a:xfrm>
                    <a:prstGeom prst="rect">
                      <a:avLst/>
                    </a:prstGeom>
                    <a:noFill/>
                    <a:ln>
                      <a:noFill/>
                    </a:ln>
                  </pic:spPr>
                </pic:pic>
              </a:graphicData>
            </a:graphic>
          </wp:anchor>
        </w:drawing>
      </w:r>
      <w:r>
        <w:rPr>
          <w:rFonts w:hint="eastAsia"/>
          <w:color w:val="auto"/>
          <w:highlight w:val="none"/>
        </w:rPr>
        <w:drawing>
          <wp:anchor distT="0" distB="0" distL="114300" distR="114300" simplePos="0" relativeHeight="251661312" behindDoc="1" locked="0" layoutInCell="1" allowOverlap="1">
            <wp:simplePos x="0" y="0"/>
            <wp:positionH relativeFrom="column">
              <wp:posOffset>147955</wp:posOffset>
            </wp:positionH>
            <wp:positionV relativeFrom="paragraph">
              <wp:posOffset>113030</wp:posOffset>
            </wp:positionV>
            <wp:extent cx="2692400" cy="1871980"/>
            <wp:effectExtent l="0" t="0" r="12700" b="13970"/>
            <wp:wrapTight wrapText="bothSides">
              <wp:wrapPolygon>
                <wp:start x="0" y="0"/>
                <wp:lineTo x="0" y="21322"/>
                <wp:lineTo x="21396" y="21322"/>
                <wp:lineTo x="21396" y="0"/>
                <wp:lineTo x="0" y="0"/>
              </wp:wrapPolygon>
            </wp:wrapTight>
            <wp:docPr id="1987832843"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832843" name="图片 9"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692400" cy="1871980"/>
                    </a:xfrm>
                    <a:prstGeom prst="rect">
                      <a:avLst/>
                    </a:prstGeom>
                    <a:noFill/>
                    <a:ln>
                      <a:noFill/>
                    </a:ln>
                  </pic:spPr>
                </pic:pic>
              </a:graphicData>
            </a:graphic>
          </wp:anchor>
        </w:drawing>
      </w:r>
      <w:r>
        <w:rPr>
          <w:rFonts w:hint="eastAsia"/>
          <w:color w:val="auto"/>
          <w:highlight w:val="none"/>
        </w:rPr>
        <w:drawing>
          <wp:anchor distT="0" distB="0" distL="114300" distR="114300" simplePos="0" relativeHeight="251660288" behindDoc="0" locked="0" layoutInCell="1" allowOverlap="1">
            <wp:simplePos x="0" y="0"/>
            <wp:positionH relativeFrom="column">
              <wp:posOffset>3154045</wp:posOffset>
            </wp:positionH>
            <wp:positionV relativeFrom="paragraph">
              <wp:posOffset>116205</wp:posOffset>
            </wp:positionV>
            <wp:extent cx="2851150" cy="1958975"/>
            <wp:effectExtent l="0" t="0" r="6350" b="3175"/>
            <wp:wrapSquare wrapText="bothSides"/>
            <wp:docPr id="1267147602"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47602" name="图片 10" descr="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851150" cy="1958975"/>
                    </a:xfrm>
                    <a:prstGeom prst="rect">
                      <a:avLst/>
                    </a:prstGeom>
                    <a:noFill/>
                    <a:ln>
                      <a:noFill/>
                    </a:ln>
                    <a:effectLst/>
                  </pic:spPr>
                </pic:pic>
              </a:graphicData>
            </a:graphic>
          </wp:anchor>
        </w:drawing>
      </w:r>
      <w:r>
        <w:rPr>
          <w:rFonts w:hint="eastAsia"/>
          <w:color w:val="auto"/>
          <w:highlight w:val="none"/>
        </w:rPr>
        <w:t xml:space="preserve">                                                </w:t>
      </w:r>
    </w:p>
    <w:p w14:paraId="17A223D4">
      <w:pPr>
        <w:ind w:firstLine="361"/>
        <w:rPr>
          <w:color w:val="auto"/>
          <w:highlight w:val="none"/>
        </w:rPr>
      </w:pPr>
    </w:p>
    <w:p w14:paraId="71FF4602">
      <w:pPr>
        <w:ind w:firstLine="361"/>
        <w:rPr>
          <w:color w:val="auto"/>
          <w:highlight w:val="none"/>
        </w:rPr>
      </w:pPr>
      <w:r>
        <w:rPr>
          <w:rFonts w:hint="eastAsia"/>
          <w:color w:val="auto"/>
          <w:highlight w:val="none"/>
        </w:rPr>
        <w:drawing>
          <wp:anchor distT="0" distB="0" distL="114300" distR="114300" simplePos="0" relativeHeight="251663360" behindDoc="0" locked="0" layoutInCell="1" allowOverlap="1">
            <wp:simplePos x="0" y="0"/>
            <wp:positionH relativeFrom="column">
              <wp:posOffset>12065</wp:posOffset>
            </wp:positionH>
            <wp:positionV relativeFrom="page">
              <wp:posOffset>5918835</wp:posOffset>
            </wp:positionV>
            <wp:extent cx="2667000" cy="1869440"/>
            <wp:effectExtent l="0" t="0" r="0" b="16510"/>
            <wp:wrapSquare wrapText="bothSides"/>
            <wp:docPr id="72050095"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0095" name="图片 6" descr="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667000" cy="1869440"/>
                    </a:xfrm>
                    <a:prstGeom prst="rect">
                      <a:avLst/>
                    </a:prstGeom>
                    <a:noFill/>
                    <a:ln>
                      <a:noFill/>
                    </a:ln>
                  </pic:spPr>
                </pic:pic>
              </a:graphicData>
            </a:graphic>
          </wp:anchor>
        </w:drawing>
      </w:r>
    </w:p>
    <w:p w14:paraId="676C0027">
      <w:pPr>
        <w:ind w:firstLine="361"/>
        <w:rPr>
          <w:color w:val="auto"/>
          <w:highlight w:val="none"/>
        </w:rPr>
      </w:pPr>
    </w:p>
    <w:p w14:paraId="16DB2A88">
      <w:pPr>
        <w:ind w:firstLine="361"/>
        <w:rPr>
          <w:color w:val="auto"/>
          <w:highlight w:val="none"/>
        </w:rPr>
      </w:pPr>
    </w:p>
    <w:p w14:paraId="48080B97">
      <w:pPr>
        <w:ind w:firstLine="361"/>
        <w:rPr>
          <w:color w:val="auto"/>
          <w:highlight w:val="none"/>
        </w:rPr>
      </w:pPr>
    </w:p>
    <w:p w14:paraId="5EE25510">
      <w:pPr>
        <w:ind w:firstLine="361"/>
        <w:rPr>
          <w:color w:val="auto"/>
          <w:highlight w:val="none"/>
        </w:rPr>
      </w:pPr>
    </w:p>
    <w:p w14:paraId="693522A0">
      <w:pPr>
        <w:ind w:firstLine="361"/>
        <w:rPr>
          <w:color w:val="auto"/>
          <w:highlight w:val="none"/>
        </w:rPr>
      </w:pPr>
    </w:p>
    <w:p w14:paraId="3583F0FE">
      <w:pPr>
        <w:ind w:firstLine="361"/>
        <w:rPr>
          <w:color w:val="auto"/>
          <w:highlight w:val="none"/>
        </w:rPr>
      </w:pPr>
    </w:p>
    <w:p w14:paraId="6A45A900">
      <w:pPr>
        <w:ind w:firstLine="361"/>
        <w:rPr>
          <w:color w:val="auto"/>
          <w:highlight w:val="none"/>
        </w:rPr>
      </w:pPr>
    </w:p>
    <w:p w14:paraId="4C995DB4">
      <w:pPr>
        <w:ind w:firstLine="361"/>
        <w:rPr>
          <w:color w:val="auto"/>
          <w:highlight w:val="none"/>
        </w:rPr>
      </w:pPr>
    </w:p>
    <w:p w14:paraId="09B5AFEF">
      <w:pPr>
        <w:ind w:firstLine="361"/>
        <w:rPr>
          <w:color w:val="auto"/>
          <w:highlight w:val="none"/>
        </w:rPr>
      </w:pPr>
    </w:p>
    <w:p w14:paraId="1F5CACE0">
      <w:pPr>
        <w:ind w:firstLine="361"/>
        <w:rPr>
          <w:color w:val="auto"/>
          <w:highlight w:val="none"/>
        </w:rPr>
      </w:pPr>
    </w:p>
    <w:p w14:paraId="68C96CFD">
      <w:pPr>
        <w:pStyle w:val="47"/>
        <w:numPr>
          <w:ilvl w:val="0"/>
          <w:numId w:val="4"/>
        </w:numPr>
        <w:spacing w:line="288" w:lineRule="auto"/>
        <w:ind w:hanging="442" w:firstLineChars="0"/>
        <w:outlineLvl w:val="2"/>
        <w:rPr>
          <w:b/>
          <w:bCs/>
          <w:color w:val="auto"/>
          <w:sz w:val="21"/>
          <w:szCs w:val="21"/>
          <w:highlight w:val="none"/>
        </w:rPr>
      </w:pPr>
      <w:r>
        <w:rPr>
          <w:rFonts w:hint="eastAsia"/>
          <w:b/>
          <w:bCs/>
          <w:color w:val="auto"/>
          <w:sz w:val="21"/>
          <w:szCs w:val="21"/>
          <w:highlight w:val="none"/>
        </w:rPr>
        <w:t>花岗岩石球要求</w:t>
      </w:r>
    </w:p>
    <w:p w14:paraId="13B4BD82">
      <w:pPr>
        <w:spacing w:line="288" w:lineRule="auto"/>
        <w:ind w:firstLine="411" w:firstLineChars="196"/>
        <w:rPr>
          <w:color w:val="auto"/>
          <w:sz w:val="21"/>
          <w:szCs w:val="21"/>
          <w:highlight w:val="none"/>
        </w:rPr>
      </w:pPr>
      <w:r>
        <w:rPr>
          <w:rFonts w:hint="eastAsia"/>
          <w:color w:val="auto"/>
          <w:sz w:val="21"/>
          <w:szCs w:val="21"/>
          <w:highlight w:val="none"/>
        </w:rPr>
        <w:t>1.采用</w:t>
      </w:r>
      <w:r>
        <w:rPr>
          <w:color w:val="auto"/>
          <w:sz w:val="21"/>
          <w:szCs w:val="21"/>
          <w:highlight w:val="none"/>
        </w:rPr>
        <w:t>天然花岗岩（芝麻灰或者芝麻白）整体水磨抛光，</w:t>
      </w:r>
      <w:r>
        <w:rPr>
          <w:rFonts w:hint="eastAsia"/>
          <w:color w:val="auto"/>
          <w:sz w:val="21"/>
          <w:szCs w:val="21"/>
          <w:highlight w:val="none"/>
        </w:rPr>
        <w:t>造型美观大方，</w:t>
      </w:r>
      <w:r>
        <w:rPr>
          <w:color w:val="auto"/>
          <w:sz w:val="21"/>
          <w:szCs w:val="21"/>
          <w:highlight w:val="none"/>
        </w:rPr>
        <w:t>外观规整光滑，无破损、</w:t>
      </w:r>
      <w:r>
        <w:rPr>
          <w:rFonts w:hint="eastAsia"/>
          <w:color w:val="auto"/>
          <w:sz w:val="21"/>
          <w:szCs w:val="21"/>
          <w:highlight w:val="none"/>
        </w:rPr>
        <w:t>无疤痕。</w:t>
      </w:r>
    </w:p>
    <w:p w14:paraId="3733743A">
      <w:pPr>
        <w:spacing w:line="288" w:lineRule="auto"/>
        <w:ind w:firstLine="411" w:firstLineChars="196"/>
        <w:rPr>
          <w:color w:val="auto"/>
          <w:sz w:val="21"/>
          <w:szCs w:val="21"/>
          <w:highlight w:val="none"/>
        </w:rPr>
      </w:pPr>
      <w:r>
        <w:rPr>
          <w:rFonts w:hint="eastAsia"/>
          <w:color w:val="auto"/>
          <w:sz w:val="21"/>
          <w:szCs w:val="21"/>
          <w:highlight w:val="none"/>
        </w:rPr>
        <w:t>2. 按业主要求在校园内部合适位置摆放，如不合理或业主需要要求调整的，供应商应无条件配合。</w:t>
      </w:r>
    </w:p>
    <w:p w14:paraId="4F7A47C0">
      <w:pPr>
        <w:ind w:firstLine="361"/>
        <w:rPr>
          <w:color w:val="auto"/>
          <w:highlight w:val="none"/>
        </w:rPr>
      </w:pPr>
    </w:p>
    <w:p w14:paraId="1EB768C0">
      <w:pPr>
        <w:ind w:firstLine="361"/>
        <w:rPr>
          <w:color w:val="auto"/>
          <w:highlight w:val="none"/>
        </w:rPr>
      </w:pPr>
    </w:p>
    <w:p w14:paraId="3E4797AA">
      <w:pPr>
        <w:ind w:firstLine="361"/>
        <w:rPr>
          <w:color w:val="auto"/>
          <w:highlight w:val="none"/>
        </w:rPr>
      </w:pPr>
      <w:r>
        <w:rPr>
          <w:color w:val="auto"/>
          <w:highlight w:val="none"/>
        </w:rPr>
        <w:drawing>
          <wp:anchor distT="0" distB="0" distL="114300" distR="114300" simplePos="0" relativeHeight="251668480" behindDoc="0" locked="0" layoutInCell="1" allowOverlap="1">
            <wp:simplePos x="0" y="0"/>
            <wp:positionH relativeFrom="margin">
              <wp:posOffset>99060</wp:posOffset>
            </wp:positionH>
            <wp:positionV relativeFrom="margin">
              <wp:posOffset>635</wp:posOffset>
            </wp:positionV>
            <wp:extent cx="2552065" cy="2561590"/>
            <wp:effectExtent l="0" t="0" r="635" b="10160"/>
            <wp:wrapSquare wrapText="bothSides"/>
            <wp:docPr id="2" name="图片 2" descr="C:\Users\admin\Documents\WeChat Files\ynyn11\FileStorage\Temp\9b60e5211bffca215fb7d7567c89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ocuments\WeChat Files\ynyn11\FileStorage\Temp\9b60e5211bffca215fb7d7567c8990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552065" cy="2561590"/>
                    </a:xfrm>
                    <a:prstGeom prst="rect">
                      <a:avLst/>
                    </a:prstGeom>
                    <a:noFill/>
                    <a:ln>
                      <a:noFill/>
                    </a:ln>
                  </pic:spPr>
                </pic:pic>
              </a:graphicData>
            </a:graphic>
          </wp:anchor>
        </w:drawing>
      </w:r>
    </w:p>
    <w:p w14:paraId="249641B2">
      <w:pPr>
        <w:ind w:firstLine="361"/>
        <w:rPr>
          <w:color w:val="auto"/>
          <w:highlight w:val="none"/>
        </w:rPr>
      </w:pPr>
    </w:p>
    <w:p w14:paraId="0E039FCD">
      <w:pPr>
        <w:rPr>
          <w:color w:val="auto"/>
          <w:highlight w:val="none"/>
        </w:rPr>
      </w:pPr>
    </w:p>
    <w:p w14:paraId="327BEF25">
      <w:pPr>
        <w:ind w:firstLine="361"/>
        <w:rPr>
          <w:color w:val="auto"/>
          <w:highlight w:val="none"/>
        </w:rPr>
      </w:pPr>
    </w:p>
    <w:p w14:paraId="1BC91033">
      <w:pPr>
        <w:ind w:firstLine="361"/>
        <w:rPr>
          <w:color w:val="auto"/>
          <w:highlight w:val="none"/>
        </w:rPr>
      </w:pPr>
    </w:p>
    <w:p w14:paraId="097DC955">
      <w:pPr>
        <w:ind w:firstLine="361"/>
        <w:rPr>
          <w:color w:val="auto"/>
          <w:highlight w:val="none"/>
        </w:rPr>
      </w:pPr>
    </w:p>
    <w:p w14:paraId="3DE2320B">
      <w:pPr>
        <w:ind w:firstLine="361"/>
        <w:rPr>
          <w:color w:val="auto"/>
          <w:highlight w:val="none"/>
        </w:rPr>
      </w:pPr>
    </w:p>
    <w:p w14:paraId="75B4AD65">
      <w:pPr>
        <w:ind w:firstLine="361"/>
        <w:rPr>
          <w:color w:val="auto"/>
          <w:highlight w:val="none"/>
        </w:rPr>
      </w:pPr>
    </w:p>
    <w:p w14:paraId="03207B7D">
      <w:pPr>
        <w:ind w:firstLine="361"/>
        <w:rPr>
          <w:color w:val="auto"/>
          <w:highlight w:val="none"/>
        </w:rPr>
      </w:pPr>
    </w:p>
    <w:p w14:paraId="0309C760">
      <w:pPr>
        <w:ind w:firstLine="361"/>
        <w:rPr>
          <w:color w:val="auto"/>
          <w:highlight w:val="none"/>
        </w:rPr>
      </w:pPr>
    </w:p>
    <w:p w14:paraId="2DC9F26A">
      <w:pPr>
        <w:rPr>
          <w:color w:val="auto"/>
          <w:highlight w:val="none"/>
        </w:rPr>
      </w:pPr>
    </w:p>
    <w:p w14:paraId="1E2BD5EB">
      <w:pPr>
        <w:pStyle w:val="47"/>
        <w:numPr>
          <w:ilvl w:val="0"/>
          <w:numId w:val="4"/>
        </w:numPr>
        <w:spacing w:line="288" w:lineRule="auto"/>
        <w:ind w:hanging="442" w:firstLineChars="0"/>
        <w:outlineLvl w:val="2"/>
        <w:rPr>
          <w:b/>
          <w:bCs/>
          <w:color w:val="auto"/>
          <w:sz w:val="21"/>
          <w:szCs w:val="21"/>
          <w:highlight w:val="none"/>
        </w:rPr>
      </w:pPr>
      <w:r>
        <w:rPr>
          <w:rFonts w:hint="eastAsia"/>
          <w:b/>
          <w:bCs/>
          <w:color w:val="auto"/>
          <w:sz w:val="21"/>
          <w:szCs w:val="21"/>
          <w:highlight w:val="none"/>
        </w:rPr>
        <w:t>不锈钢花箱质量技术要求</w:t>
      </w:r>
    </w:p>
    <w:p w14:paraId="663D25F2">
      <w:pPr>
        <w:spacing w:line="288" w:lineRule="auto"/>
        <w:ind w:firstLine="411" w:firstLineChars="196"/>
        <w:rPr>
          <w:color w:val="auto"/>
          <w:sz w:val="21"/>
          <w:szCs w:val="21"/>
          <w:highlight w:val="none"/>
        </w:rPr>
      </w:pPr>
      <w:r>
        <w:rPr>
          <w:rFonts w:hint="eastAsia"/>
          <w:color w:val="auto"/>
          <w:sz w:val="21"/>
          <w:szCs w:val="21"/>
          <w:highlight w:val="none"/>
        </w:rPr>
        <w:t>1.花箱制作工艺：花箱采用激光雕刻机下料打定位孔和固定孔，折弯机对每个面进行折弯处理初步加固成型，再进行焊接组装起来，完成后进行打磨抛光，对焊疤和缝隙等进行处理，下一步进入粉末喷涂工艺，进行前需要先进行表面抛丸处理，完成后进行酸洗清理表面油污，后烘干，再次酸洗并且烘干，最后进行两次氟碳油漆；所有焊接工艺均采用氩弧焊接。</w:t>
      </w:r>
    </w:p>
    <w:p w14:paraId="3A3A605F">
      <w:pPr>
        <w:spacing w:line="288" w:lineRule="auto"/>
        <w:ind w:firstLine="411" w:firstLineChars="196"/>
        <w:rPr>
          <w:color w:val="auto"/>
          <w:sz w:val="21"/>
          <w:szCs w:val="21"/>
          <w:highlight w:val="none"/>
        </w:rPr>
      </w:pPr>
      <w:r>
        <w:rPr>
          <w:rFonts w:hint="eastAsia"/>
          <w:color w:val="auto"/>
          <w:sz w:val="21"/>
          <w:szCs w:val="21"/>
          <w:highlight w:val="none"/>
        </w:rPr>
        <w:t>2.花箱材质及规格：花箱外壳、托盘（厚度大于1.0mm）和骨架均采用不锈钢材质。</w:t>
      </w:r>
    </w:p>
    <w:p w14:paraId="244E7D92">
      <w:pPr>
        <w:spacing w:line="288" w:lineRule="auto"/>
        <w:ind w:firstLine="411" w:firstLineChars="196"/>
        <w:rPr>
          <w:color w:val="auto"/>
          <w:sz w:val="21"/>
          <w:szCs w:val="21"/>
          <w:highlight w:val="none"/>
        </w:rPr>
      </w:pPr>
      <w:r>
        <w:rPr>
          <w:rFonts w:hint="eastAsia"/>
          <w:color w:val="auto"/>
          <w:sz w:val="21"/>
          <w:szCs w:val="21"/>
          <w:highlight w:val="none"/>
        </w:rPr>
        <w:t>3.花箱喷涂采用氟碳漆喷涂、花箱主颜色为深灰色，丝印学校LOGO标志，漆面厚度90um。</w:t>
      </w:r>
    </w:p>
    <w:p w14:paraId="31E0E241">
      <w:pPr>
        <w:spacing w:line="288" w:lineRule="auto"/>
        <w:ind w:firstLine="411" w:firstLineChars="196"/>
        <w:rPr>
          <w:color w:val="auto"/>
          <w:sz w:val="21"/>
          <w:szCs w:val="21"/>
          <w:highlight w:val="none"/>
        </w:rPr>
      </w:pPr>
      <w:r>
        <w:rPr>
          <w:rFonts w:hint="eastAsia"/>
          <w:color w:val="auto"/>
          <w:sz w:val="21"/>
          <w:szCs w:val="21"/>
          <w:highlight w:val="none"/>
        </w:rPr>
        <w:t>4.具体做法参照花箱构造示意图要求，由中标单位深化后经校方认可再进行批量生产加工。</w:t>
      </w:r>
    </w:p>
    <w:p w14:paraId="16A47B2F">
      <w:pPr>
        <w:spacing w:line="288" w:lineRule="auto"/>
        <w:ind w:firstLine="411" w:firstLineChars="196"/>
        <w:rPr>
          <w:color w:val="auto"/>
          <w:sz w:val="21"/>
          <w:szCs w:val="21"/>
          <w:highlight w:val="none"/>
        </w:rPr>
      </w:pPr>
      <w:r>
        <w:rPr>
          <w:rFonts w:hint="eastAsia"/>
          <w:color w:val="auto"/>
          <w:sz w:val="21"/>
          <w:szCs w:val="21"/>
          <w:highlight w:val="none"/>
        </w:rPr>
        <w:t>5. 按业主要求在校园内部合适位置摆放，如不合理或业主需要要求调整的，供应商应无条件配合。</w:t>
      </w:r>
    </w:p>
    <w:p w14:paraId="57680DC9">
      <w:pPr>
        <w:ind w:firstLine="361"/>
        <w:rPr>
          <w:rFonts w:ascii="仿宋" w:hAnsi="仿宋" w:eastAsia="仿宋"/>
          <w:color w:val="auto"/>
          <w:highlight w:val="none"/>
        </w:rPr>
      </w:pPr>
    </w:p>
    <w:p w14:paraId="70B829E4">
      <w:pPr>
        <w:ind w:firstLine="361"/>
        <w:rPr>
          <w:color w:val="auto"/>
          <w:highlight w:val="none"/>
        </w:rPr>
      </w:pPr>
      <w:r>
        <w:rPr>
          <w:color w:val="auto"/>
          <w:highlight w:val="none"/>
        </w:rPr>
        <w:drawing>
          <wp:anchor distT="0" distB="0" distL="114300" distR="114300" simplePos="0" relativeHeight="251665408" behindDoc="1" locked="0" layoutInCell="1" allowOverlap="1">
            <wp:simplePos x="0" y="0"/>
            <wp:positionH relativeFrom="column">
              <wp:posOffset>2919095</wp:posOffset>
            </wp:positionH>
            <wp:positionV relativeFrom="paragraph">
              <wp:posOffset>24765</wp:posOffset>
            </wp:positionV>
            <wp:extent cx="2895600" cy="2179320"/>
            <wp:effectExtent l="0" t="0" r="0" b="0"/>
            <wp:wrapTight wrapText="bothSides">
              <wp:wrapPolygon>
                <wp:start x="0" y="0"/>
                <wp:lineTo x="0" y="21336"/>
                <wp:lineTo x="21458" y="21336"/>
                <wp:lineTo x="21458" y="0"/>
                <wp:lineTo x="0" y="0"/>
              </wp:wrapPolygon>
            </wp:wrapTight>
            <wp:docPr id="15140671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67120"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895600" cy="2179320"/>
                    </a:xfrm>
                    <a:prstGeom prst="rect">
                      <a:avLst/>
                    </a:prstGeom>
                    <a:noFill/>
                    <a:ln>
                      <a:noFill/>
                    </a:ln>
                  </pic:spPr>
                </pic:pic>
              </a:graphicData>
            </a:graphic>
          </wp:anchor>
        </w:drawing>
      </w:r>
      <w:r>
        <w:rPr>
          <w:color w:val="auto"/>
          <w:highlight w:val="none"/>
        </w:rPr>
        <w:drawing>
          <wp:inline distT="0" distB="0" distL="0" distR="0">
            <wp:extent cx="2449830" cy="2431415"/>
            <wp:effectExtent l="0" t="0" r="7620" b="6985"/>
            <wp:docPr id="9" name="图片 9" descr="C:\Users\admin\Documents\WeChat Files\ynyn11\FileStorage\Temp\89012942468ac76db1ee9ea26917e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ocuments\WeChat Files\ynyn11\FileStorage\Temp\89012942468ac76db1ee9ea26917ef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52236" cy="2434210"/>
                    </a:xfrm>
                    <a:prstGeom prst="rect">
                      <a:avLst/>
                    </a:prstGeom>
                    <a:noFill/>
                    <a:ln>
                      <a:noFill/>
                    </a:ln>
                  </pic:spPr>
                </pic:pic>
              </a:graphicData>
            </a:graphic>
          </wp:inline>
        </w:drawing>
      </w:r>
    </w:p>
    <w:p w14:paraId="0033C601">
      <w:pPr>
        <w:ind w:firstLine="361"/>
        <w:rPr>
          <w:color w:val="auto"/>
          <w:highlight w:val="none"/>
        </w:rPr>
      </w:pPr>
    </w:p>
    <w:p w14:paraId="6D3C28E8">
      <w:pPr>
        <w:ind w:firstLine="361"/>
        <w:rPr>
          <w:color w:val="auto"/>
          <w:highlight w:val="none"/>
        </w:rPr>
      </w:pPr>
    </w:p>
    <w:p w14:paraId="6AFD2303">
      <w:pPr>
        <w:ind w:firstLine="361"/>
        <w:rPr>
          <w:color w:val="auto"/>
          <w:highlight w:val="none"/>
        </w:rPr>
      </w:pPr>
      <w:r>
        <w:rPr>
          <w:color w:val="auto"/>
          <w:highlight w:val="none"/>
        </w:rPr>
        <w:drawing>
          <wp:anchor distT="0" distB="0" distL="114300" distR="114300" simplePos="0" relativeHeight="251669504" behindDoc="0" locked="0" layoutInCell="1" allowOverlap="1">
            <wp:simplePos x="0" y="0"/>
            <wp:positionH relativeFrom="margin">
              <wp:posOffset>171450</wp:posOffset>
            </wp:positionH>
            <wp:positionV relativeFrom="margin">
              <wp:posOffset>-718820</wp:posOffset>
            </wp:positionV>
            <wp:extent cx="4847590" cy="3632200"/>
            <wp:effectExtent l="0" t="0" r="10160" b="0"/>
            <wp:wrapSquare wrapText="bothSides"/>
            <wp:docPr id="7" name="图片 7" descr="C:\Users\admin\Documents\WeChat Files\ynyn11\FileStorage\Temp\a87f5d62dff57486cffdd815ca1d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ocuments\WeChat Files\ynyn11\FileStorage\Temp\a87f5d62dff57486cffdd815ca1d76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847590" cy="3632200"/>
                    </a:xfrm>
                    <a:prstGeom prst="rect">
                      <a:avLst/>
                    </a:prstGeom>
                    <a:noFill/>
                    <a:ln>
                      <a:noFill/>
                    </a:ln>
                  </pic:spPr>
                </pic:pic>
              </a:graphicData>
            </a:graphic>
          </wp:anchor>
        </w:drawing>
      </w:r>
      <w:r>
        <w:rPr>
          <w:color w:val="auto"/>
          <w:highlight w:val="none"/>
        </w:rPr>
        <w:drawing>
          <wp:anchor distT="0" distB="0" distL="114300" distR="114300" simplePos="0" relativeHeight="251666432" behindDoc="0" locked="0" layoutInCell="1" allowOverlap="1">
            <wp:simplePos x="0" y="0"/>
            <wp:positionH relativeFrom="margin">
              <wp:posOffset>296545</wp:posOffset>
            </wp:positionH>
            <wp:positionV relativeFrom="margin">
              <wp:posOffset>2957195</wp:posOffset>
            </wp:positionV>
            <wp:extent cx="2544445" cy="2165985"/>
            <wp:effectExtent l="0" t="0" r="8255" b="5715"/>
            <wp:wrapSquare wrapText="bothSides"/>
            <wp:docPr id="5" name="图片 5" descr="C:\Users\admin\Documents\WeChat Files\ynyn11\FileStorage\Temp\9992016c40c03bd9afc095486f87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ocuments\WeChat Files\ynyn11\FileStorage\Temp\9992016c40c03bd9afc095486f8718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44445" cy="2165985"/>
                    </a:xfrm>
                    <a:prstGeom prst="rect">
                      <a:avLst/>
                    </a:prstGeom>
                    <a:noFill/>
                    <a:ln>
                      <a:noFill/>
                    </a:ln>
                  </pic:spPr>
                </pic:pic>
              </a:graphicData>
            </a:graphic>
          </wp:anchor>
        </w:drawing>
      </w:r>
      <w:r>
        <w:rPr>
          <w:color w:val="auto"/>
          <w:highlight w:val="none"/>
        </w:rPr>
        <w:drawing>
          <wp:anchor distT="0" distB="0" distL="114300" distR="114300" simplePos="0" relativeHeight="251667456" behindDoc="0" locked="0" layoutInCell="1" allowOverlap="1">
            <wp:simplePos x="0" y="0"/>
            <wp:positionH relativeFrom="margin">
              <wp:posOffset>356870</wp:posOffset>
            </wp:positionH>
            <wp:positionV relativeFrom="margin">
              <wp:posOffset>5658485</wp:posOffset>
            </wp:positionV>
            <wp:extent cx="2303145" cy="1940560"/>
            <wp:effectExtent l="0" t="0" r="1905" b="2540"/>
            <wp:wrapSquare wrapText="bothSides"/>
            <wp:docPr id="6" name="图片 6" descr="C:\Users\admin\Documents\WeChat Files\ynyn11\FileStorage\Temp\7c86fbe635e2d04e2b82b57d05cda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ocuments\WeChat Files\ynyn11\FileStorage\Temp\7c86fbe635e2d04e2b82b57d05cda6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303145" cy="1940560"/>
                    </a:xfrm>
                    <a:prstGeom prst="rect">
                      <a:avLst/>
                    </a:prstGeom>
                    <a:noFill/>
                    <a:ln>
                      <a:noFill/>
                    </a:ln>
                  </pic:spPr>
                </pic:pic>
              </a:graphicData>
            </a:graphic>
          </wp:anchor>
        </w:drawing>
      </w:r>
    </w:p>
    <w:p w14:paraId="4DFAEA43">
      <w:pPr>
        <w:widowControl/>
        <w:adjustRightInd w:val="0"/>
        <w:snapToGrid w:val="0"/>
        <w:spacing w:line="288" w:lineRule="auto"/>
        <w:ind w:firstLine="211"/>
        <w:jc w:val="left"/>
        <w:rPr>
          <w:rFonts w:cs="Times New Roman"/>
          <w:color w:val="auto"/>
          <w:sz w:val="21"/>
          <w:szCs w:val="21"/>
          <w:highlight w:val="none"/>
        </w:rPr>
      </w:pPr>
      <w:r>
        <w:rPr>
          <w:rFonts w:cs="Times New Roman"/>
          <w:color w:val="auto"/>
          <w:sz w:val="21"/>
          <w:szCs w:val="21"/>
          <w:highlight w:val="none"/>
        </w:rPr>
        <w:br w:type="page"/>
      </w:r>
    </w:p>
    <w:p w14:paraId="0CB8B355">
      <w:pPr>
        <w:adjustRightInd w:val="0"/>
        <w:snapToGrid w:val="0"/>
        <w:spacing w:line="288" w:lineRule="auto"/>
        <w:ind w:firstLine="321"/>
        <w:jc w:val="center"/>
        <w:outlineLvl w:val="0"/>
        <w:rPr>
          <w:b/>
          <w:bCs/>
          <w:color w:val="auto"/>
          <w:sz w:val="32"/>
          <w:szCs w:val="32"/>
          <w:highlight w:val="none"/>
        </w:rPr>
      </w:pPr>
      <w:r>
        <w:rPr>
          <w:rFonts w:hint="eastAsia"/>
          <w:b/>
          <w:bCs/>
          <w:color w:val="auto"/>
          <w:sz w:val="32"/>
          <w:szCs w:val="32"/>
          <w:highlight w:val="none"/>
        </w:rPr>
        <w:t>第三章  供应商须知</w:t>
      </w:r>
    </w:p>
    <w:p w14:paraId="35F48287">
      <w:pPr>
        <w:adjustRightInd w:val="0"/>
        <w:snapToGrid w:val="0"/>
        <w:spacing w:line="288" w:lineRule="auto"/>
        <w:ind w:firstLine="211"/>
        <w:jc w:val="center"/>
        <w:outlineLvl w:val="1"/>
        <w:rPr>
          <w:b/>
          <w:bCs/>
          <w:color w:val="auto"/>
          <w:sz w:val="21"/>
          <w:szCs w:val="21"/>
          <w:highlight w:val="none"/>
        </w:rPr>
      </w:pPr>
      <w:r>
        <w:rPr>
          <w:rFonts w:hint="eastAsia"/>
          <w:b/>
          <w:bCs/>
          <w:color w:val="auto"/>
          <w:sz w:val="21"/>
          <w:szCs w:val="21"/>
          <w:highlight w:val="none"/>
        </w:rPr>
        <w:t>供应商须知前附表</w:t>
      </w:r>
    </w:p>
    <w:tbl>
      <w:tblPr>
        <w:tblStyle w:val="31"/>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410"/>
        <w:gridCol w:w="5954"/>
      </w:tblGrid>
      <w:tr w14:paraId="2DD52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1C82B6F9">
            <w:pPr>
              <w:adjustRightInd w:val="0"/>
              <w:snapToGrid w:val="0"/>
              <w:spacing w:line="288" w:lineRule="auto"/>
              <w:ind w:firstLine="211"/>
              <w:jc w:val="center"/>
              <w:rPr>
                <w:b/>
                <w:bCs/>
                <w:color w:val="auto"/>
                <w:sz w:val="21"/>
                <w:szCs w:val="21"/>
                <w:highlight w:val="none"/>
              </w:rPr>
            </w:pPr>
            <w:r>
              <w:rPr>
                <w:rFonts w:hint="eastAsia"/>
                <w:b/>
                <w:bCs/>
                <w:color w:val="auto"/>
                <w:sz w:val="21"/>
                <w:szCs w:val="21"/>
                <w:highlight w:val="none"/>
              </w:rPr>
              <w:t>条款号</w:t>
            </w:r>
          </w:p>
        </w:tc>
        <w:tc>
          <w:tcPr>
            <w:tcW w:w="2410" w:type="dxa"/>
            <w:vAlign w:val="center"/>
          </w:tcPr>
          <w:p w14:paraId="77C53150">
            <w:pPr>
              <w:adjustRightInd w:val="0"/>
              <w:snapToGrid w:val="0"/>
              <w:spacing w:line="288" w:lineRule="auto"/>
              <w:ind w:firstLine="211"/>
              <w:jc w:val="center"/>
              <w:rPr>
                <w:b/>
                <w:bCs/>
                <w:color w:val="auto"/>
                <w:sz w:val="21"/>
                <w:szCs w:val="21"/>
                <w:highlight w:val="none"/>
              </w:rPr>
            </w:pPr>
            <w:r>
              <w:rPr>
                <w:rFonts w:hint="eastAsia"/>
                <w:b/>
                <w:bCs/>
                <w:color w:val="auto"/>
                <w:sz w:val="21"/>
                <w:szCs w:val="21"/>
                <w:highlight w:val="none"/>
              </w:rPr>
              <w:t>内容</w:t>
            </w:r>
          </w:p>
        </w:tc>
        <w:tc>
          <w:tcPr>
            <w:tcW w:w="5954" w:type="dxa"/>
            <w:vAlign w:val="center"/>
          </w:tcPr>
          <w:p w14:paraId="1FA94B92">
            <w:pPr>
              <w:adjustRightInd w:val="0"/>
              <w:snapToGrid w:val="0"/>
              <w:spacing w:line="288" w:lineRule="auto"/>
              <w:ind w:firstLine="211"/>
              <w:jc w:val="center"/>
              <w:rPr>
                <w:b/>
                <w:bCs/>
                <w:color w:val="auto"/>
                <w:sz w:val="21"/>
                <w:szCs w:val="21"/>
                <w:highlight w:val="none"/>
              </w:rPr>
            </w:pPr>
            <w:r>
              <w:rPr>
                <w:rFonts w:hint="eastAsia"/>
                <w:b/>
                <w:bCs/>
                <w:color w:val="auto"/>
                <w:sz w:val="21"/>
                <w:szCs w:val="21"/>
                <w:highlight w:val="none"/>
              </w:rPr>
              <w:t>说明与要求</w:t>
            </w:r>
          </w:p>
        </w:tc>
      </w:tr>
      <w:tr w14:paraId="2AE08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60B99F45">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（一）</w:t>
            </w:r>
          </w:p>
        </w:tc>
        <w:tc>
          <w:tcPr>
            <w:tcW w:w="2410" w:type="dxa"/>
            <w:vAlign w:val="center"/>
          </w:tcPr>
          <w:p w14:paraId="7204B9F6">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适用范围</w:t>
            </w:r>
          </w:p>
        </w:tc>
        <w:tc>
          <w:tcPr>
            <w:tcW w:w="5954" w:type="dxa"/>
            <w:vAlign w:val="center"/>
          </w:tcPr>
          <w:p w14:paraId="7ACB076A">
            <w:pPr>
              <w:adjustRightInd w:val="0"/>
              <w:snapToGrid w:val="0"/>
              <w:spacing w:line="288" w:lineRule="auto"/>
              <w:ind w:firstLine="211"/>
              <w:rPr>
                <w:color w:val="auto"/>
                <w:sz w:val="21"/>
                <w:szCs w:val="21"/>
                <w:highlight w:val="none"/>
              </w:rPr>
            </w:pPr>
            <w:r>
              <w:rPr>
                <w:rFonts w:hint="eastAsia"/>
                <w:color w:val="auto"/>
                <w:sz w:val="21"/>
                <w:szCs w:val="21"/>
                <w:highlight w:val="none"/>
              </w:rPr>
              <w:t>本磋商文件适用于浙江交通职业技术学院长兴校区道路装饰工程的磋商、评审、成交、验收、合同履约、付款等（法律、法规另有规定的，从其规定）。</w:t>
            </w:r>
          </w:p>
        </w:tc>
      </w:tr>
      <w:tr w14:paraId="772BF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26839B12">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（二）</w:t>
            </w:r>
          </w:p>
        </w:tc>
        <w:tc>
          <w:tcPr>
            <w:tcW w:w="2410" w:type="dxa"/>
            <w:vAlign w:val="center"/>
          </w:tcPr>
          <w:p w14:paraId="21760D98">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采购方式</w:t>
            </w:r>
          </w:p>
        </w:tc>
        <w:tc>
          <w:tcPr>
            <w:tcW w:w="5954" w:type="dxa"/>
            <w:vAlign w:val="center"/>
          </w:tcPr>
          <w:p w14:paraId="72C3A27E">
            <w:pPr>
              <w:adjustRightInd w:val="0"/>
              <w:snapToGrid w:val="0"/>
              <w:spacing w:line="288" w:lineRule="auto"/>
              <w:ind w:firstLine="211"/>
              <w:rPr>
                <w:color w:val="auto"/>
                <w:sz w:val="21"/>
                <w:szCs w:val="21"/>
                <w:highlight w:val="none"/>
              </w:rPr>
            </w:pPr>
            <w:r>
              <w:rPr>
                <w:rFonts w:hint="eastAsia"/>
                <w:color w:val="auto"/>
                <w:sz w:val="21"/>
                <w:szCs w:val="21"/>
                <w:highlight w:val="none"/>
              </w:rPr>
              <w:t>本次采购采用竞争性磋商（线上电子交易）方式进行。</w:t>
            </w:r>
          </w:p>
        </w:tc>
      </w:tr>
      <w:tr w14:paraId="2A87C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47835C29">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（三）</w:t>
            </w:r>
          </w:p>
        </w:tc>
        <w:tc>
          <w:tcPr>
            <w:tcW w:w="2410" w:type="dxa"/>
            <w:vAlign w:val="center"/>
          </w:tcPr>
          <w:p w14:paraId="0AA7FDB0">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建设地点</w:t>
            </w:r>
          </w:p>
        </w:tc>
        <w:tc>
          <w:tcPr>
            <w:tcW w:w="5954" w:type="dxa"/>
            <w:vAlign w:val="center"/>
          </w:tcPr>
          <w:p w14:paraId="0DE42B8D">
            <w:pPr>
              <w:adjustRightInd w:val="0"/>
              <w:snapToGrid w:val="0"/>
              <w:spacing w:line="288" w:lineRule="auto"/>
              <w:ind w:firstLine="211"/>
              <w:rPr>
                <w:color w:val="auto"/>
                <w:sz w:val="21"/>
                <w:szCs w:val="21"/>
                <w:highlight w:val="none"/>
              </w:rPr>
            </w:pPr>
            <w:r>
              <w:rPr>
                <w:rFonts w:hint="eastAsia"/>
                <w:color w:val="auto"/>
                <w:sz w:val="21"/>
                <w:szCs w:val="21"/>
                <w:highlight w:val="none"/>
              </w:rPr>
              <w:t>浙江交通职业技术学院</w:t>
            </w:r>
          </w:p>
        </w:tc>
      </w:tr>
      <w:tr w14:paraId="5A554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4283ED64">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（四）</w:t>
            </w:r>
          </w:p>
        </w:tc>
        <w:tc>
          <w:tcPr>
            <w:tcW w:w="2410" w:type="dxa"/>
            <w:vAlign w:val="center"/>
          </w:tcPr>
          <w:p w14:paraId="334BE513">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建设规模</w:t>
            </w:r>
          </w:p>
        </w:tc>
        <w:tc>
          <w:tcPr>
            <w:tcW w:w="5954" w:type="dxa"/>
            <w:vAlign w:val="center"/>
          </w:tcPr>
          <w:p w14:paraId="6DA9D21F">
            <w:pPr>
              <w:adjustRightInd w:val="0"/>
              <w:snapToGrid w:val="0"/>
              <w:spacing w:line="288" w:lineRule="auto"/>
              <w:ind w:firstLine="211"/>
              <w:rPr>
                <w:color w:val="auto"/>
                <w:sz w:val="21"/>
                <w:szCs w:val="21"/>
                <w:highlight w:val="none"/>
              </w:rPr>
            </w:pPr>
            <w:r>
              <w:rPr>
                <w:rFonts w:hint="eastAsia"/>
                <w:color w:val="auto"/>
                <w:sz w:val="21"/>
                <w:szCs w:val="21"/>
                <w:highlight w:val="none"/>
              </w:rPr>
              <w:t>详见竞争性磋商文件、工程量清单、图纸</w:t>
            </w:r>
          </w:p>
        </w:tc>
      </w:tr>
      <w:tr w14:paraId="62913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755A416D">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（五）</w:t>
            </w:r>
          </w:p>
        </w:tc>
        <w:tc>
          <w:tcPr>
            <w:tcW w:w="2410" w:type="dxa"/>
            <w:vAlign w:val="center"/>
          </w:tcPr>
          <w:p w14:paraId="7E03F3BC">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承包方式</w:t>
            </w:r>
          </w:p>
        </w:tc>
        <w:tc>
          <w:tcPr>
            <w:tcW w:w="5954" w:type="dxa"/>
            <w:vAlign w:val="center"/>
          </w:tcPr>
          <w:p w14:paraId="241E71C1">
            <w:pPr>
              <w:adjustRightInd w:val="0"/>
              <w:snapToGrid w:val="0"/>
              <w:spacing w:line="288" w:lineRule="auto"/>
              <w:ind w:firstLine="211"/>
              <w:rPr>
                <w:color w:val="auto"/>
                <w:sz w:val="21"/>
                <w:szCs w:val="21"/>
                <w:highlight w:val="none"/>
              </w:rPr>
            </w:pPr>
            <w:r>
              <w:rPr>
                <w:bCs/>
                <w:color w:val="auto"/>
                <w:sz w:val="21"/>
                <w:szCs w:val="21"/>
                <w:highlight w:val="none"/>
              </w:rPr>
              <w:t>包工包料、保质量、包工期、包安全文明施工总承包</w:t>
            </w:r>
          </w:p>
        </w:tc>
      </w:tr>
      <w:tr w14:paraId="4A327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229F93AD">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（六）</w:t>
            </w:r>
          </w:p>
        </w:tc>
        <w:tc>
          <w:tcPr>
            <w:tcW w:w="2410" w:type="dxa"/>
            <w:vAlign w:val="center"/>
          </w:tcPr>
          <w:p w14:paraId="7DB2F219">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质量要求</w:t>
            </w:r>
          </w:p>
        </w:tc>
        <w:tc>
          <w:tcPr>
            <w:tcW w:w="5954" w:type="dxa"/>
            <w:vAlign w:val="center"/>
          </w:tcPr>
          <w:p w14:paraId="1A452009">
            <w:pPr>
              <w:adjustRightInd w:val="0"/>
              <w:snapToGrid w:val="0"/>
              <w:spacing w:line="288" w:lineRule="auto"/>
              <w:ind w:firstLine="211"/>
              <w:rPr>
                <w:color w:val="auto"/>
                <w:sz w:val="21"/>
                <w:szCs w:val="21"/>
                <w:highlight w:val="none"/>
              </w:rPr>
            </w:pPr>
            <w:r>
              <w:rPr>
                <w:rFonts w:hint="eastAsia"/>
                <w:color w:val="auto"/>
                <w:sz w:val="21"/>
                <w:szCs w:val="21"/>
                <w:highlight w:val="none"/>
              </w:rPr>
              <w:t>符合（工程施工质量验收规范）合格标准</w:t>
            </w:r>
          </w:p>
        </w:tc>
      </w:tr>
      <w:tr w14:paraId="44359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39BAB132">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（七）</w:t>
            </w:r>
          </w:p>
        </w:tc>
        <w:tc>
          <w:tcPr>
            <w:tcW w:w="2410" w:type="dxa"/>
            <w:vAlign w:val="center"/>
          </w:tcPr>
          <w:p w14:paraId="342B4B81">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招标范围</w:t>
            </w:r>
          </w:p>
        </w:tc>
        <w:tc>
          <w:tcPr>
            <w:tcW w:w="5954" w:type="dxa"/>
            <w:vAlign w:val="center"/>
          </w:tcPr>
          <w:p w14:paraId="4332B2FC">
            <w:pPr>
              <w:adjustRightInd w:val="0"/>
              <w:snapToGrid w:val="0"/>
              <w:spacing w:line="288" w:lineRule="auto"/>
              <w:ind w:firstLine="211"/>
              <w:rPr>
                <w:color w:val="auto"/>
                <w:sz w:val="21"/>
                <w:szCs w:val="21"/>
                <w:highlight w:val="none"/>
              </w:rPr>
            </w:pPr>
            <w:r>
              <w:rPr>
                <w:rFonts w:hint="eastAsia"/>
                <w:color w:val="auto"/>
                <w:sz w:val="21"/>
                <w:szCs w:val="21"/>
                <w:highlight w:val="none"/>
              </w:rPr>
              <w:t>详见竞争性磋商文件、工程量清单、图纸</w:t>
            </w:r>
          </w:p>
        </w:tc>
      </w:tr>
      <w:tr w14:paraId="2C996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55E6CAD5">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（八）</w:t>
            </w:r>
          </w:p>
        </w:tc>
        <w:tc>
          <w:tcPr>
            <w:tcW w:w="2410" w:type="dxa"/>
            <w:vAlign w:val="center"/>
          </w:tcPr>
          <w:p w14:paraId="0005834B">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资金来源</w:t>
            </w:r>
          </w:p>
        </w:tc>
        <w:tc>
          <w:tcPr>
            <w:tcW w:w="5954" w:type="dxa"/>
            <w:vAlign w:val="center"/>
          </w:tcPr>
          <w:p w14:paraId="10A0C0F2">
            <w:pPr>
              <w:adjustRightInd w:val="0"/>
              <w:snapToGrid w:val="0"/>
              <w:spacing w:line="288" w:lineRule="auto"/>
              <w:ind w:firstLine="211"/>
              <w:rPr>
                <w:color w:val="auto"/>
                <w:sz w:val="21"/>
                <w:szCs w:val="21"/>
                <w:highlight w:val="none"/>
              </w:rPr>
            </w:pPr>
            <w:r>
              <w:rPr>
                <w:rFonts w:hint="eastAsia"/>
                <w:color w:val="auto"/>
                <w:sz w:val="21"/>
                <w:szCs w:val="21"/>
                <w:highlight w:val="none"/>
              </w:rPr>
              <w:t>财政资金</w:t>
            </w:r>
          </w:p>
        </w:tc>
      </w:tr>
      <w:tr w14:paraId="058BD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326EF818">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（九）</w:t>
            </w:r>
          </w:p>
        </w:tc>
        <w:tc>
          <w:tcPr>
            <w:tcW w:w="2410" w:type="dxa"/>
            <w:vAlign w:val="center"/>
          </w:tcPr>
          <w:p w14:paraId="21180D9E">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资格审查方法</w:t>
            </w:r>
          </w:p>
        </w:tc>
        <w:tc>
          <w:tcPr>
            <w:tcW w:w="5954" w:type="dxa"/>
            <w:vAlign w:val="center"/>
          </w:tcPr>
          <w:p w14:paraId="714E7B47">
            <w:pPr>
              <w:adjustRightInd w:val="0"/>
              <w:snapToGrid w:val="0"/>
              <w:spacing w:line="288" w:lineRule="auto"/>
              <w:ind w:firstLine="211"/>
              <w:rPr>
                <w:color w:val="auto"/>
                <w:sz w:val="21"/>
                <w:szCs w:val="21"/>
                <w:highlight w:val="none"/>
              </w:rPr>
            </w:pPr>
            <w:r>
              <w:rPr>
                <w:rFonts w:hint="eastAsia"/>
                <w:color w:val="auto"/>
                <w:sz w:val="21"/>
                <w:szCs w:val="21"/>
                <w:highlight w:val="none"/>
              </w:rPr>
              <w:t>采用资格后审</w:t>
            </w:r>
          </w:p>
        </w:tc>
      </w:tr>
      <w:tr w14:paraId="24749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18F838D5">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（十）</w:t>
            </w:r>
          </w:p>
        </w:tc>
        <w:tc>
          <w:tcPr>
            <w:tcW w:w="2410" w:type="dxa"/>
            <w:vAlign w:val="center"/>
          </w:tcPr>
          <w:p w14:paraId="57FEFE62">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工程量清单计价方式</w:t>
            </w:r>
          </w:p>
        </w:tc>
        <w:tc>
          <w:tcPr>
            <w:tcW w:w="5954" w:type="dxa"/>
            <w:vAlign w:val="center"/>
          </w:tcPr>
          <w:p w14:paraId="67222B0B">
            <w:pPr>
              <w:adjustRightInd w:val="0"/>
              <w:snapToGrid w:val="0"/>
              <w:spacing w:line="288" w:lineRule="auto"/>
              <w:ind w:firstLine="211"/>
              <w:rPr>
                <w:color w:val="auto"/>
                <w:sz w:val="21"/>
                <w:szCs w:val="21"/>
                <w:highlight w:val="none"/>
              </w:rPr>
            </w:pPr>
            <w:r>
              <w:rPr>
                <w:rFonts w:hint="eastAsia"/>
                <w:color w:val="auto"/>
                <w:sz w:val="21"/>
                <w:szCs w:val="21"/>
                <w:highlight w:val="none"/>
              </w:rPr>
              <w:t>按工程量清单报价</w:t>
            </w:r>
          </w:p>
        </w:tc>
      </w:tr>
      <w:tr w14:paraId="7C933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0B4216D0">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（十一）</w:t>
            </w:r>
          </w:p>
        </w:tc>
        <w:tc>
          <w:tcPr>
            <w:tcW w:w="2410" w:type="dxa"/>
            <w:vAlign w:val="center"/>
          </w:tcPr>
          <w:p w14:paraId="730EA25C">
            <w:pPr>
              <w:pStyle w:val="16"/>
              <w:spacing w:line="288" w:lineRule="auto"/>
              <w:ind w:firstLine="211"/>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投标预备会（答疑会）</w:t>
            </w:r>
          </w:p>
        </w:tc>
        <w:tc>
          <w:tcPr>
            <w:tcW w:w="5954" w:type="dxa"/>
            <w:vAlign w:val="center"/>
          </w:tcPr>
          <w:p w14:paraId="27FB46A1">
            <w:pPr>
              <w:adjustRightInd w:val="0"/>
              <w:snapToGrid w:val="0"/>
              <w:spacing w:line="288" w:lineRule="auto"/>
              <w:ind w:firstLine="211"/>
              <w:rPr>
                <w:color w:val="auto"/>
                <w:sz w:val="21"/>
                <w:szCs w:val="21"/>
                <w:highlight w:val="none"/>
              </w:rPr>
            </w:pPr>
            <w:r>
              <w:rPr>
                <w:rFonts w:hint="eastAsia"/>
                <w:color w:val="auto"/>
                <w:sz w:val="21"/>
                <w:szCs w:val="21"/>
                <w:highlight w:val="none"/>
              </w:rPr>
              <w:t>本项目不进行集中答疑，无投标预备会。</w:t>
            </w:r>
          </w:p>
        </w:tc>
      </w:tr>
      <w:tr w14:paraId="40F27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738EA4CB">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（十二）</w:t>
            </w:r>
          </w:p>
        </w:tc>
        <w:tc>
          <w:tcPr>
            <w:tcW w:w="2410" w:type="dxa"/>
            <w:vAlign w:val="center"/>
          </w:tcPr>
          <w:p w14:paraId="5BCB3259">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竞争性磋商委托</w:t>
            </w:r>
          </w:p>
        </w:tc>
        <w:tc>
          <w:tcPr>
            <w:tcW w:w="5954" w:type="dxa"/>
            <w:vAlign w:val="center"/>
          </w:tcPr>
          <w:p w14:paraId="1A89BFA7">
            <w:pPr>
              <w:adjustRightInd w:val="0"/>
              <w:snapToGrid w:val="0"/>
              <w:spacing w:line="288" w:lineRule="auto"/>
              <w:ind w:firstLine="211"/>
              <w:rPr>
                <w:rFonts w:cstheme="minorBidi"/>
                <w:color w:val="auto"/>
                <w:sz w:val="21"/>
                <w:szCs w:val="21"/>
                <w:highlight w:val="none"/>
              </w:rPr>
            </w:pPr>
            <w:r>
              <w:rPr>
                <w:rFonts w:hint="eastAsia" w:cstheme="minorBidi"/>
                <w:color w:val="auto"/>
                <w:sz w:val="21"/>
                <w:szCs w:val="21"/>
                <w:highlight w:val="none"/>
              </w:rPr>
              <w:t>▲1</w:t>
            </w:r>
            <w:r>
              <w:rPr>
                <w:rFonts w:cstheme="minorBidi"/>
                <w:color w:val="auto"/>
                <w:sz w:val="21"/>
                <w:szCs w:val="21"/>
                <w:highlight w:val="none"/>
              </w:rPr>
              <w:t>.供应商代表是法定代表人</w:t>
            </w:r>
            <w:r>
              <w:rPr>
                <w:rFonts w:hint="eastAsia" w:cstheme="minorBidi"/>
                <w:color w:val="auto"/>
                <w:sz w:val="21"/>
                <w:szCs w:val="21"/>
                <w:highlight w:val="none"/>
              </w:rPr>
              <w:t>（单位负责人、自然人本人）的，须提供本人身份证明。</w:t>
            </w:r>
          </w:p>
          <w:p w14:paraId="6A019032">
            <w:pPr>
              <w:adjustRightInd w:val="0"/>
              <w:snapToGrid w:val="0"/>
              <w:spacing w:line="288" w:lineRule="auto"/>
              <w:ind w:firstLine="211"/>
              <w:rPr>
                <w:rFonts w:cstheme="minorBidi"/>
                <w:color w:val="auto"/>
                <w:sz w:val="21"/>
                <w:szCs w:val="21"/>
                <w:highlight w:val="none"/>
              </w:rPr>
            </w:pPr>
            <w:r>
              <w:rPr>
                <w:rFonts w:hint="eastAsia" w:cstheme="minorBidi"/>
                <w:color w:val="auto"/>
                <w:sz w:val="21"/>
                <w:szCs w:val="21"/>
                <w:highlight w:val="none"/>
              </w:rPr>
              <w:t>▲</w:t>
            </w:r>
            <w:r>
              <w:rPr>
                <w:rFonts w:cstheme="minorBidi"/>
                <w:color w:val="auto"/>
                <w:sz w:val="21"/>
                <w:szCs w:val="21"/>
                <w:highlight w:val="none"/>
              </w:rPr>
              <w:t>2</w:t>
            </w:r>
            <w:r>
              <w:rPr>
                <w:rFonts w:hint="eastAsia" w:cstheme="minorBidi"/>
                <w:color w:val="auto"/>
                <w:sz w:val="21"/>
                <w:szCs w:val="21"/>
                <w:highlight w:val="none"/>
              </w:rPr>
              <w:t>.</w:t>
            </w:r>
            <w:r>
              <w:rPr>
                <w:rFonts w:cstheme="minorBidi"/>
                <w:color w:val="auto"/>
                <w:sz w:val="21"/>
                <w:szCs w:val="21"/>
                <w:highlight w:val="none"/>
              </w:rPr>
              <w:t>供应商代表不是法定代表人</w:t>
            </w:r>
            <w:r>
              <w:rPr>
                <w:rFonts w:hint="eastAsia" w:cstheme="minorBidi"/>
                <w:color w:val="auto"/>
                <w:sz w:val="21"/>
                <w:szCs w:val="21"/>
                <w:highlight w:val="none"/>
              </w:rPr>
              <w:t>（单位负责人、自然人本人）的</w:t>
            </w:r>
            <w:r>
              <w:rPr>
                <w:rFonts w:cstheme="minorBidi"/>
                <w:color w:val="auto"/>
                <w:sz w:val="21"/>
                <w:szCs w:val="21"/>
                <w:highlight w:val="none"/>
              </w:rPr>
              <w:t>，须提供</w:t>
            </w:r>
            <w:r>
              <w:rPr>
                <w:rFonts w:cstheme="minorBidi"/>
                <w:bCs/>
                <w:color w:val="auto"/>
                <w:sz w:val="21"/>
                <w:szCs w:val="21"/>
                <w:highlight w:val="none"/>
              </w:rPr>
              <w:t>授权</w:t>
            </w:r>
            <w:r>
              <w:rPr>
                <w:rFonts w:hint="eastAsia" w:cstheme="minorBidi"/>
                <w:bCs/>
                <w:color w:val="auto"/>
                <w:sz w:val="21"/>
                <w:szCs w:val="21"/>
                <w:highlight w:val="none"/>
              </w:rPr>
              <w:t>委托</w:t>
            </w:r>
            <w:r>
              <w:rPr>
                <w:rFonts w:cstheme="minorBidi"/>
                <w:bCs/>
                <w:color w:val="auto"/>
                <w:sz w:val="21"/>
                <w:szCs w:val="21"/>
                <w:highlight w:val="none"/>
              </w:rPr>
              <w:t>书</w:t>
            </w:r>
            <w:r>
              <w:rPr>
                <w:rFonts w:hint="eastAsia" w:cstheme="minorBidi"/>
                <w:color w:val="auto"/>
                <w:sz w:val="21"/>
                <w:szCs w:val="21"/>
                <w:highlight w:val="none"/>
              </w:rPr>
              <w:t>（格式详见磋商文件第六章）和授权代表社保缴纳证明（</w:t>
            </w:r>
            <w:r>
              <w:rPr>
                <w:rFonts w:cstheme="minorBidi"/>
                <w:color w:val="auto"/>
                <w:sz w:val="21"/>
                <w:szCs w:val="21"/>
                <w:highlight w:val="none"/>
              </w:rPr>
              <w:t>2023年1月（含）以后任意一月）；</w:t>
            </w:r>
          </w:p>
          <w:p w14:paraId="497A7EFC">
            <w:pPr>
              <w:adjustRightInd w:val="0"/>
              <w:snapToGrid w:val="0"/>
              <w:spacing w:line="288" w:lineRule="auto"/>
              <w:ind w:firstLine="211"/>
              <w:rPr>
                <w:color w:val="auto"/>
                <w:sz w:val="21"/>
                <w:szCs w:val="21"/>
                <w:highlight w:val="none"/>
              </w:rPr>
            </w:pPr>
            <w:r>
              <w:rPr>
                <w:rFonts w:hint="eastAsia" w:cstheme="minorBidi"/>
                <w:color w:val="auto"/>
                <w:sz w:val="21"/>
                <w:szCs w:val="21"/>
                <w:highlight w:val="none"/>
              </w:rPr>
              <w:t>▲</w:t>
            </w:r>
            <w:r>
              <w:rPr>
                <w:rFonts w:cstheme="minorBidi"/>
                <w:color w:val="auto"/>
                <w:sz w:val="21"/>
                <w:szCs w:val="21"/>
                <w:highlight w:val="none"/>
              </w:rPr>
              <w:t>3.</w:t>
            </w:r>
            <w:r>
              <w:rPr>
                <w:rFonts w:hint="eastAsia" w:cstheme="minorBidi"/>
                <w:color w:val="auto"/>
                <w:sz w:val="21"/>
                <w:szCs w:val="21"/>
                <w:highlight w:val="none"/>
              </w:rPr>
              <w:t>供应商委派不在本单位缴纳社保的人员作为授权代表的，应当在响应文件中，说明具体原因、授权代表缴纳社保的单位，并附列该授权代表缴纳社保清单。</w:t>
            </w:r>
          </w:p>
        </w:tc>
      </w:tr>
      <w:tr w14:paraId="6F324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647C1124">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（十三）</w:t>
            </w:r>
          </w:p>
        </w:tc>
        <w:tc>
          <w:tcPr>
            <w:tcW w:w="2410" w:type="dxa"/>
            <w:vAlign w:val="center"/>
          </w:tcPr>
          <w:p w14:paraId="3884409F">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磋商费用</w:t>
            </w:r>
          </w:p>
        </w:tc>
        <w:tc>
          <w:tcPr>
            <w:tcW w:w="5954" w:type="dxa"/>
            <w:vAlign w:val="center"/>
          </w:tcPr>
          <w:p w14:paraId="75566E5A">
            <w:pPr>
              <w:adjustRightInd w:val="0"/>
              <w:snapToGrid w:val="0"/>
              <w:spacing w:line="288" w:lineRule="auto"/>
              <w:ind w:firstLine="211"/>
              <w:rPr>
                <w:color w:val="auto"/>
                <w:sz w:val="21"/>
                <w:szCs w:val="21"/>
                <w:highlight w:val="none"/>
              </w:rPr>
            </w:pPr>
            <w:r>
              <w:rPr>
                <w:rFonts w:hint="eastAsia"/>
                <w:color w:val="auto"/>
                <w:sz w:val="21"/>
                <w:szCs w:val="21"/>
                <w:highlight w:val="none"/>
              </w:rPr>
              <w:t>1.不论磋商结果如何，供应商均应自行承担所有与磋商有关的全部费用；</w:t>
            </w:r>
          </w:p>
          <w:p w14:paraId="0042022A">
            <w:pPr>
              <w:adjustRightInd w:val="0"/>
              <w:snapToGrid w:val="0"/>
              <w:spacing w:line="288" w:lineRule="auto"/>
              <w:ind w:firstLine="211"/>
              <w:rPr>
                <w:color w:val="auto"/>
                <w:sz w:val="21"/>
                <w:szCs w:val="21"/>
                <w:highlight w:val="none"/>
              </w:rPr>
            </w:pPr>
            <w:r>
              <w:rPr>
                <w:rFonts w:hint="eastAsia"/>
                <w:color w:val="auto"/>
                <w:sz w:val="21"/>
                <w:szCs w:val="21"/>
                <w:highlight w:val="none"/>
              </w:rPr>
              <w:t>2.成交供应商在成交通知书发出之日起七个工作日内，向采购代理机构交纳代理服务费；</w:t>
            </w:r>
          </w:p>
          <w:p w14:paraId="7E12BA04">
            <w:pPr>
              <w:adjustRightInd w:val="0"/>
              <w:snapToGrid w:val="0"/>
              <w:spacing w:line="288" w:lineRule="auto"/>
              <w:ind w:firstLine="211"/>
              <w:rPr>
                <w:color w:val="auto"/>
                <w:sz w:val="21"/>
                <w:szCs w:val="21"/>
                <w:highlight w:val="none"/>
              </w:rPr>
            </w:pPr>
            <w:r>
              <w:rPr>
                <w:rFonts w:hint="eastAsia"/>
                <w:color w:val="auto"/>
                <w:sz w:val="21"/>
                <w:szCs w:val="21"/>
                <w:highlight w:val="none"/>
              </w:rPr>
              <w:t>3.成交供应商逾期支付代理服务费，须承担代理服务费每日百分之三的违约金，逾期十日未支付的，采购代理机构有权向杭州仲裁委员会对成交供应商提起仲裁，仲裁费用（包括仲裁受理费和仲裁处理费）均由成交供应商承担。</w:t>
            </w:r>
          </w:p>
          <w:p w14:paraId="259889CC">
            <w:pPr>
              <w:adjustRightInd w:val="0"/>
              <w:snapToGrid w:val="0"/>
              <w:spacing w:line="288" w:lineRule="auto"/>
              <w:ind w:firstLine="211"/>
              <w:rPr>
                <w:color w:val="auto"/>
                <w:sz w:val="21"/>
                <w:szCs w:val="21"/>
                <w:highlight w:val="none"/>
              </w:rPr>
            </w:pPr>
            <w:bookmarkStart w:id="33" w:name="_Hlk71808378"/>
            <w:r>
              <w:rPr>
                <w:rFonts w:hint="eastAsia"/>
                <w:color w:val="auto"/>
                <w:sz w:val="21"/>
                <w:szCs w:val="21"/>
                <w:highlight w:val="none"/>
              </w:rPr>
              <w:t>4</w:t>
            </w:r>
            <w:r>
              <w:rPr>
                <w:color w:val="auto"/>
                <w:sz w:val="21"/>
                <w:szCs w:val="21"/>
                <w:highlight w:val="none"/>
              </w:rPr>
              <w:t>.</w:t>
            </w:r>
            <w:r>
              <w:rPr>
                <w:rFonts w:hint="eastAsia"/>
                <w:color w:val="auto"/>
                <w:sz w:val="21"/>
                <w:szCs w:val="21"/>
                <w:highlight w:val="none"/>
              </w:rPr>
              <w:t>代理服务费收费标准（差额累进）：</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6"/>
              <w:gridCol w:w="2569"/>
            </w:tblGrid>
            <w:tr w14:paraId="67E73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6" w:type="dxa"/>
                  <w:vAlign w:val="center"/>
                </w:tcPr>
                <w:p w14:paraId="02735012">
                  <w:pPr>
                    <w:adjustRightInd w:val="0"/>
                    <w:snapToGrid w:val="0"/>
                    <w:spacing w:line="288" w:lineRule="auto"/>
                    <w:ind w:firstLine="211"/>
                    <w:jc w:val="center"/>
                    <w:rPr>
                      <w:b/>
                      <w:bCs/>
                      <w:color w:val="auto"/>
                      <w:kern w:val="0"/>
                      <w:sz w:val="21"/>
                      <w:szCs w:val="21"/>
                      <w:highlight w:val="none"/>
                    </w:rPr>
                  </w:pPr>
                  <w:r>
                    <w:rPr>
                      <w:rFonts w:hint="eastAsia"/>
                      <w:b/>
                      <w:bCs/>
                      <w:color w:val="auto"/>
                      <w:kern w:val="0"/>
                      <w:sz w:val="21"/>
                      <w:szCs w:val="21"/>
                      <w:highlight w:val="none"/>
                    </w:rPr>
                    <w:t>成交金额（万元）</w:t>
                  </w:r>
                </w:p>
              </w:tc>
              <w:tc>
                <w:tcPr>
                  <w:tcW w:w="2569" w:type="dxa"/>
                  <w:vAlign w:val="center"/>
                </w:tcPr>
                <w:p w14:paraId="124EC200">
                  <w:pPr>
                    <w:adjustRightInd w:val="0"/>
                    <w:snapToGrid w:val="0"/>
                    <w:spacing w:line="288" w:lineRule="auto"/>
                    <w:ind w:firstLine="211"/>
                    <w:jc w:val="center"/>
                    <w:rPr>
                      <w:b/>
                      <w:bCs/>
                      <w:color w:val="auto"/>
                      <w:kern w:val="0"/>
                      <w:sz w:val="21"/>
                      <w:szCs w:val="21"/>
                      <w:highlight w:val="none"/>
                    </w:rPr>
                  </w:pPr>
                  <w:r>
                    <w:rPr>
                      <w:rFonts w:hint="eastAsia"/>
                      <w:b/>
                      <w:bCs/>
                      <w:color w:val="auto"/>
                      <w:kern w:val="0"/>
                      <w:sz w:val="21"/>
                      <w:szCs w:val="21"/>
                      <w:highlight w:val="none"/>
                    </w:rPr>
                    <w:t>收费标准（费率，%）</w:t>
                  </w:r>
                </w:p>
              </w:tc>
            </w:tr>
            <w:tr w14:paraId="19E08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6" w:type="dxa"/>
                  <w:vAlign w:val="center"/>
                </w:tcPr>
                <w:p w14:paraId="40F70AB0">
                  <w:pPr>
                    <w:adjustRightInd w:val="0"/>
                    <w:snapToGrid w:val="0"/>
                    <w:spacing w:line="288" w:lineRule="auto"/>
                    <w:ind w:firstLine="211"/>
                    <w:jc w:val="center"/>
                    <w:rPr>
                      <w:color w:val="auto"/>
                      <w:kern w:val="0"/>
                      <w:sz w:val="21"/>
                      <w:szCs w:val="21"/>
                      <w:highlight w:val="none"/>
                    </w:rPr>
                  </w:pPr>
                  <w:r>
                    <w:rPr>
                      <w:rFonts w:hint="eastAsia"/>
                      <w:color w:val="auto"/>
                      <w:kern w:val="0"/>
                      <w:sz w:val="21"/>
                      <w:szCs w:val="21"/>
                      <w:highlight w:val="none"/>
                    </w:rPr>
                    <w:t>100以下</w:t>
                  </w:r>
                </w:p>
              </w:tc>
              <w:tc>
                <w:tcPr>
                  <w:tcW w:w="2569" w:type="dxa"/>
                  <w:vAlign w:val="center"/>
                </w:tcPr>
                <w:p w14:paraId="6D0819F5">
                  <w:pPr>
                    <w:adjustRightInd w:val="0"/>
                    <w:snapToGrid w:val="0"/>
                    <w:spacing w:line="288" w:lineRule="auto"/>
                    <w:ind w:firstLine="211"/>
                    <w:jc w:val="center"/>
                    <w:rPr>
                      <w:color w:val="auto"/>
                      <w:kern w:val="0"/>
                      <w:sz w:val="21"/>
                      <w:szCs w:val="21"/>
                      <w:highlight w:val="none"/>
                    </w:rPr>
                  </w:pPr>
                  <w:r>
                    <w:rPr>
                      <w:color w:val="auto"/>
                      <w:kern w:val="0"/>
                      <w:sz w:val="21"/>
                      <w:szCs w:val="21"/>
                      <w:highlight w:val="none"/>
                    </w:rPr>
                    <w:t>0.7%</w:t>
                  </w:r>
                </w:p>
                <w:p w14:paraId="288EEA0F">
                  <w:pPr>
                    <w:adjustRightInd w:val="0"/>
                    <w:snapToGrid w:val="0"/>
                    <w:spacing w:line="288" w:lineRule="auto"/>
                    <w:ind w:firstLine="211"/>
                    <w:jc w:val="center"/>
                    <w:rPr>
                      <w:color w:val="auto"/>
                      <w:kern w:val="0"/>
                      <w:sz w:val="21"/>
                      <w:szCs w:val="21"/>
                      <w:highlight w:val="none"/>
                    </w:rPr>
                  </w:pPr>
                  <w:r>
                    <w:rPr>
                      <w:rFonts w:hint="eastAsia"/>
                      <w:color w:val="auto"/>
                      <w:kern w:val="0"/>
                      <w:sz w:val="21"/>
                      <w:szCs w:val="21"/>
                      <w:highlight w:val="none"/>
                    </w:rPr>
                    <w:t>（不足</w:t>
                  </w:r>
                  <w:r>
                    <w:rPr>
                      <w:color w:val="auto"/>
                      <w:kern w:val="0"/>
                      <w:sz w:val="21"/>
                      <w:szCs w:val="21"/>
                      <w:highlight w:val="none"/>
                    </w:rPr>
                    <w:t>3000元按3000元计）</w:t>
                  </w:r>
                </w:p>
              </w:tc>
            </w:tr>
            <w:tr w14:paraId="510FB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86" w:type="dxa"/>
                  <w:vAlign w:val="center"/>
                </w:tcPr>
                <w:p w14:paraId="137C475B">
                  <w:pPr>
                    <w:adjustRightInd w:val="0"/>
                    <w:snapToGrid w:val="0"/>
                    <w:spacing w:line="288" w:lineRule="auto"/>
                    <w:ind w:firstLine="211"/>
                    <w:jc w:val="center"/>
                    <w:rPr>
                      <w:color w:val="auto"/>
                      <w:kern w:val="0"/>
                      <w:sz w:val="21"/>
                      <w:szCs w:val="21"/>
                      <w:highlight w:val="none"/>
                    </w:rPr>
                  </w:pPr>
                  <w:r>
                    <w:rPr>
                      <w:color w:val="auto"/>
                      <w:kern w:val="0"/>
                      <w:sz w:val="21"/>
                      <w:szCs w:val="21"/>
                      <w:highlight w:val="none"/>
                    </w:rPr>
                    <w:t>100-500</w:t>
                  </w:r>
                </w:p>
              </w:tc>
              <w:tc>
                <w:tcPr>
                  <w:tcW w:w="2569" w:type="dxa"/>
                  <w:vAlign w:val="center"/>
                </w:tcPr>
                <w:p w14:paraId="3AB10CFC">
                  <w:pPr>
                    <w:adjustRightInd w:val="0"/>
                    <w:snapToGrid w:val="0"/>
                    <w:spacing w:line="288" w:lineRule="auto"/>
                    <w:ind w:firstLine="211"/>
                    <w:jc w:val="center"/>
                    <w:rPr>
                      <w:color w:val="auto"/>
                      <w:kern w:val="0"/>
                      <w:sz w:val="21"/>
                      <w:szCs w:val="21"/>
                      <w:highlight w:val="none"/>
                    </w:rPr>
                  </w:pPr>
                  <w:r>
                    <w:rPr>
                      <w:color w:val="auto"/>
                      <w:kern w:val="0"/>
                      <w:sz w:val="21"/>
                      <w:szCs w:val="21"/>
                      <w:highlight w:val="none"/>
                    </w:rPr>
                    <w:t>0.49%</w:t>
                  </w:r>
                </w:p>
              </w:tc>
            </w:tr>
            <w:bookmarkEnd w:id="33"/>
          </w:tbl>
          <w:p w14:paraId="4FF8ACBF">
            <w:pPr>
              <w:adjustRightInd w:val="0"/>
              <w:snapToGrid w:val="0"/>
              <w:spacing w:line="288" w:lineRule="auto"/>
              <w:ind w:firstLine="211"/>
              <w:rPr>
                <w:color w:val="auto"/>
                <w:sz w:val="21"/>
                <w:szCs w:val="21"/>
                <w:highlight w:val="none"/>
              </w:rPr>
            </w:pPr>
          </w:p>
        </w:tc>
      </w:tr>
      <w:tr w14:paraId="6D9F4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2D538C5F">
            <w:pPr>
              <w:adjustRightInd w:val="0"/>
              <w:snapToGrid w:val="0"/>
              <w:spacing w:line="288" w:lineRule="auto"/>
              <w:ind w:firstLine="211"/>
              <w:jc w:val="center"/>
              <w:rPr>
                <w:color w:val="auto"/>
                <w:sz w:val="21"/>
                <w:szCs w:val="21"/>
                <w:highlight w:val="none"/>
              </w:rPr>
            </w:pPr>
            <w:r>
              <w:rPr>
                <w:color w:val="auto"/>
                <w:sz w:val="21"/>
                <w:szCs w:val="21"/>
                <w:highlight w:val="none"/>
              </w:rPr>
              <w:t>（</w:t>
            </w:r>
            <w:r>
              <w:rPr>
                <w:rFonts w:hint="eastAsia"/>
                <w:color w:val="auto"/>
                <w:sz w:val="21"/>
                <w:szCs w:val="21"/>
                <w:highlight w:val="none"/>
              </w:rPr>
              <w:t>十四</w:t>
            </w:r>
            <w:r>
              <w:rPr>
                <w:color w:val="auto"/>
                <w:sz w:val="21"/>
                <w:szCs w:val="21"/>
                <w:highlight w:val="none"/>
              </w:rPr>
              <w:t>）</w:t>
            </w:r>
          </w:p>
        </w:tc>
        <w:tc>
          <w:tcPr>
            <w:tcW w:w="2410" w:type="dxa"/>
            <w:vAlign w:val="center"/>
          </w:tcPr>
          <w:p w14:paraId="4E31E30B">
            <w:pPr>
              <w:adjustRightInd w:val="0"/>
              <w:snapToGrid w:val="0"/>
              <w:spacing w:line="288" w:lineRule="auto"/>
              <w:ind w:firstLine="199"/>
              <w:jc w:val="center"/>
              <w:rPr>
                <w:color w:val="auto"/>
                <w:sz w:val="21"/>
                <w:szCs w:val="21"/>
                <w:highlight w:val="none"/>
              </w:rPr>
            </w:pPr>
            <w:r>
              <w:rPr>
                <w:rFonts w:hint="eastAsia" w:cs="Times New Roman"/>
                <w:color w:val="auto"/>
                <w:spacing w:val="-6"/>
                <w:sz w:val="21"/>
                <w:szCs w:val="21"/>
                <w:highlight w:val="none"/>
              </w:rPr>
              <w:t>磋商保证金（元）</w:t>
            </w:r>
          </w:p>
        </w:tc>
        <w:tc>
          <w:tcPr>
            <w:tcW w:w="5954" w:type="dxa"/>
            <w:vAlign w:val="center"/>
          </w:tcPr>
          <w:p w14:paraId="207DD664">
            <w:pPr>
              <w:adjustRightInd w:val="0"/>
              <w:snapToGrid w:val="0"/>
              <w:spacing w:line="288" w:lineRule="auto"/>
              <w:ind w:firstLine="199"/>
              <w:rPr>
                <w:color w:val="auto"/>
                <w:sz w:val="21"/>
                <w:szCs w:val="21"/>
                <w:highlight w:val="none"/>
              </w:rPr>
            </w:pPr>
            <w:r>
              <w:rPr>
                <w:rFonts w:hint="eastAsia" w:cs="Times New Roman"/>
                <w:color w:val="auto"/>
                <w:spacing w:val="-6"/>
                <w:sz w:val="21"/>
                <w:szCs w:val="21"/>
                <w:highlight w:val="none"/>
              </w:rPr>
              <w:t>无。</w:t>
            </w:r>
          </w:p>
        </w:tc>
      </w:tr>
      <w:tr w14:paraId="097D7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0819E167">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（十五）</w:t>
            </w:r>
          </w:p>
        </w:tc>
        <w:tc>
          <w:tcPr>
            <w:tcW w:w="2410" w:type="dxa"/>
            <w:vAlign w:val="center"/>
          </w:tcPr>
          <w:p w14:paraId="11472729">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联合体响应</w:t>
            </w:r>
          </w:p>
        </w:tc>
        <w:tc>
          <w:tcPr>
            <w:tcW w:w="5954" w:type="dxa"/>
            <w:vAlign w:val="center"/>
          </w:tcPr>
          <w:p w14:paraId="209E895A">
            <w:pPr>
              <w:adjustRightInd w:val="0"/>
              <w:snapToGrid w:val="0"/>
              <w:spacing w:line="288" w:lineRule="auto"/>
              <w:ind w:firstLine="211"/>
              <w:rPr>
                <w:color w:val="auto"/>
                <w:sz w:val="21"/>
                <w:szCs w:val="21"/>
                <w:highlight w:val="none"/>
              </w:rPr>
            </w:pPr>
            <w:r>
              <w:rPr>
                <w:rFonts w:hint="eastAsia"/>
                <w:color w:val="auto"/>
                <w:sz w:val="21"/>
                <w:szCs w:val="21"/>
                <w:highlight w:val="none"/>
              </w:rPr>
              <w:t>本项目（是）接受联合体响应。</w:t>
            </w:r>
          </w:p>
        </w:tc>
      </w:tr>
      <w:tr w14:paraId="0081C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04B8B77E">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（十六）</w:t>
            </w:r>
          </w:p>
        </w:tc>
        <w:tc>
          <w:tcPr>
            <w:tcW w:w="2410" w:type="dxa"/>
            <w:vAlign w:val="center"/>
          </w:tcPr>
          <w:p w14:paraId="1848D3A9">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转包与分包</w:t>
            </w:r>
          </w:p>
        </w:tc>
        <w:tc>
          <w:tcPr>
            <w:tcW w:w="5954" w:type="dxa"/>
            <w:vAlign w:val="center"/>
          </w:tcPr>
          <w:p w14:paraId="334ED0B2">
            <w:pPr>
              <w:adjustRightInd w:val="0"/>
              <w:snapToGrid w:val="0"/>
              <w:spacing w:line="288" w:lineRule="auto"/>
              <w:ind w:firstLine="211"/>
              <w:rPr>
                <w:color w:val="auto"/>
                <w:sz w:val="21"/>
                <w:szCs w:val="21"/>
                <w:highlight w:val="none"/>
              </w:rPr>
            </w:pPr>
            <w:r>
              <w:rPr>
                <w:rFonts w:hint="eastAsia"/>
                <w:color w:val="auto"/>
                <w:sz w:val="21"/>
                <w:szCs w:val="21"/>
                <w:highlight w:val="none"/>
              </w:rPr>
              <w:t>1.本项目不允许转包；</w:t>
            </w:r>
          </w:p>
          <w:p w14:paraId="0E42D2E9">
            <w:pPr>
              <w:adjustRightInd w:val="0"/>
              <w:snapToGrid w:val="0"/>
              <w:spacing w:line="288" w:lineRule="auto"/>
              <w:ind w:firstLine="211"/>
              <w:rPr>
                <w:color w:val="auto"/>
                <w:sz w:val="21"/>
                <w:szCs w:val="21"/>
                <w:highlight w:val="none"/>
              </w:rPr>
            </w:pPr>
            <w:r>
              <w:rPr>
                <w:color w:val="auto"/>
                <w:sz w:val="21"/>
                <w:szCs w:val="21"/>
                <w:highlight w:val="none"/>
              </w:rPr>
              <w:t>2.</w:t>
            </w:r>
            <w:r>
              <w:rPr>
                <w:rFonts w:hint="eastAsia"/>
                <w:color w:val="auto"/>
                <w:sz w:val="21"/>
                <w:szCs w:val="21"/>
                <w:highlight w:val="none"/>
              </w:rPr>
              <w:t>本项目</w:t>
            </w:r>
            <w:r>
              <w:rPr>
                <w:rFonts w:hint="eastAsia"/>
                <w:b/>
                <w:bCs/>
                <w:color w:val="auto"/>
                <w:sz w:val="21"/>
                <w:szCs w:val="21"/>
                <w:highlight w:val="none"/>
                <w:u w:val="single"/>
              </w:rPr>
              <w:t>允许</w:t>
            </w:r>
            <w:r>
              <w:rPr>
                <w:rFonts w:hint="eastAsia"/>
                <w:color w:val="auto"/>
                <w:sz w:val="21"/>
                <w:szCs w:val="21"/>
                <w:highlight w:val="none"/>
              </w:rPr>
              <w:t>分包，</w:t>
            </w:r>
            <w:r>
              <w:rPr>
                <w:color w:val="auto"/>
                <w:sz w:val="21"/>
                <w:szCs w:val="21"/>
                <w:highlight w:val="none"/>
              </w:rPr>
              <w:t>可以分包履行的（非主体、非关键性的工作）具体内容、金额或者比例：</w:t>
            </w:r>
            <w:r>
              <w:rPr>
                <w:rFonts w:hint="eastAsia"/>
                <w:color w:val="auto"/>
                <w:sz w:val="21"/>
                <w:szCs w:val="21"/>
                <w:highlight w:val="none"/>
                <w:u w:val="single"/>
              </w:rPr>
              <w:t xml:space="preserve">  建筑垃圾外运</w:t>
            </w:r>
            <w:r>
              <w:rPr>
                <w:color w:val="auto"/>
                <w:sz w:val="21"/>
                <w:szCs w:val="21"/>
                <w:highlight w:val="none"/>
                <w:u w:val="single"/>
              </w:rPr>
              <w:t>。</w:t>
            </w:r>
          </w:p>
          <w:p w14:paraId="553043DA">
            <w:pPr>
              <w:adjustRightInd w:val="0"/>
              <w:snapToGrid w:val="0"/>
              <w:spacing w:line="288" w:lineRule="auto"/>
              <w:ind w:firstLine="211"/>
              <w:jc w:val="left"/>
              <w:rPr>
                <w:color w:val="auto"/>
                <w:sz w:val="21"/>
                <w:szCs w:val="21"/>
                <w:highlight w:val="none"/>
              </w:rPr>
            </w:pPr>
            <w:r>
              <w:rPr>
                <w:rFonts w:hint="eastAsia"/>
                <w:color w:val="auto"/>
                <w:sz w:val="21"/>
                <w:szCs w:val="21"/>
                <w:highlight w:val="none"/>
              </w:rPr>
              <w:t>说明：供应商根据磋商文件的规定和采购项目的实际情况，拟在成交后将成交项目的非主体、非关键性工作分包的，应当在响应文件中载明分包承担主体，分包承担主体应当具备相应资质条件且不得再次分包。</w:t>
            </w:r>
          </w:p>
        </w:tc>
      </w:tr>
      <w:tr w14:paraId="6ACB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68449894">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（十七）</w:t>
            </w:r>
          </w:p>
        </w:tc>
        <w:tc>
          <w:tcPr>
            <w:tcW w:w="2410" w:type="dxa"/>
            <w:vAlign w:val="center"/>
          </w:tcPr>
          <w:p w14:paraId="6CD620B7">
            <w:pPr>
              <w:adjustRightInd w:val="0"/>
              <w:snapToGrid w:val="0"/>
              <w:spacing w:line="288" w:lineRule="auto"/>
              <w:ind w:firstLine="211"/>
              <w:jc w:val="center"/>
              <w:rPr>
                <w:color w:val="auto"/>
                <w:sz w:val="21"/>
                <w:szCs w:val="21"/>
                <w:highlight w:val="none"/>
              </w:rPr>
            </w:pPr>
            <w:r>
              <w:rPr>
                <w:rFonts w:hint="eastAsia"/>
                <w:b/>
                <w:bCs/>
                <w:color w:val="auto"/>
                <w:sz w:val="21"/>
                <w:szCs w:val="21"/>
                <w:highlight w:val="none"/>
              </w:rPr>
              <w:t>信用记录</w:t>
            </w:r>
          </w:p>
        </w:tc>
        <w:tc>
          <w:tcPr>
            <w:tcW w:w="5954" w:type="dxa"/>
            <w:vAlign w:val="center"/>
          </w:tcPr>
          <w:p w14:paraId="3E4A6367">
            <w:pPr>
              <w:adjustRightInd w:val="0"/>
              <w:snapToGrid w:val="0"/>
              <w:spacing w:line="288" w:lineRule="auto"/>
              <w:ind w:firstLine="211"/>
              <w:rPr>
                <w:bCs/>
                <w:color w:val="auto"/>
                <w:sz w:val="21"/>
                <w:szCs w:val="21"/>
                <w:highlight w:val="none"/>
              </w:rPr>
            </w:pPr>
            <w:bookmarkStart w:id="34" w:name="_Hlk71808489"/>
            <w:r>
              <w:rPr>
                <w:rFonts w:hint="eastAsia"/>
                <w:bCs/>
                <w:color w:val="auto"/>
                <w:sz w:val="21"/>
                <w:szCs w:val="21"/>
                <w:highlight w:val="none"/>
              </w:rPr>
              <w:t>根据财库[2016]125号《关于在政府采购活动中查询及使用信用记录有关问题的通知》要求，采购代理机构会对供应商信用记录进行查询并甄别。信用</w:t>
            </w:r>
            <w:r>
              <w:rPr>
                <w:rFonts w:hint="eastAsia"/>
                <w:color w:val="auto"/>
                <w:sz w:val="21"/>
                <w:szCs w:val="21"/>
                <w:highlight w:val="none"/>
              </w:rPr>
              <w:t>信息查询的截止时点：响应截止时间；</w:t>
            </w:r>
          </w:p>
          <w:p w14:paraId="681F88BE">
            <w:pPr>
              <w:adjustRightInd w:val="0"/>
              <w:snapToGrid w:val="0"/>
              <w:spacing w:line="288" w:lineRule="auto"/>
              <w:ind w:firstLine="211"/>
              <w:rPr>
                <w:color w:val="auto"/>
                <w:sz w:val="21"/>
                <w:szCs w:val="21"/>
                <w:highlight w:val="none"/>
              </w:rPr>
            </w:pPr>
            <w:r>
              <w:rPr>
                <w:rFonts w:hint="eastAsia"/>
                <w:color w:val="auto"/>
                <w:sz w:val="21"/>
                <w:szCs w:val="21"/>
                <w:highlight w:val="none"/>
              </w:rPr>
              <w:t>（</w:t>
            </w:r>
            <w:r>
              <w:rPr>
                <w:color w:val="auto"/>
                <w:sz w:val="21"/>
                <w:szCs w:val="21"/>
                <w:highlight w:val="none"/>
              </w:rPr>
              <w:t>1</w:t>
            </w:r>
            <w:r>
              <w:rPr>
                <w:rFonts w:hint="eastAsia"/>
                <w:color w:val="auto"/>
                <w:sz w:val="21"/>
                <w:szCs w:val="21"/>
                <w:highlight w:val="none"/>
              </w:rPr>
              <w:t>）查询渠道：“信用中国”（www.creditchina.gov.cn）、“中国政府采购网”（www.ccgp.gov.cn）；</w:t>
            </w:r>
          </w:p>
          <w:p w14:paraId="69BF2D4A">
            <w:pPr>
              <w:adjustRightInd w:val="0"/>
              <w:snapToGrid w:val="0"/>
              <w:spacing w:line="288" w:lineRule="auto"/>
              <w:ind w:firstLine="211"/>
              <w:rPr>
                <w:color w:val="auto"/>
                <w:sz w:val="21"/>
                <w:szCs w:val="21"/>
                <w:highlight w:val="none"/>
              </w:rPr>
            </w:pPr>
            <w:r>
              <w:rPr>
                <w:rFonts w:hint="eastAsia"/>
                <w:color w:val="auto"/>
                <w:sz w:val="21"/>
                <w:szCs w:val="21"/>
                <w:highlight w:val="none"/>
              </w:rPr>
              <w:t>（</w:t>
            </w:r>
            <w:r>
              <w:rPr>
                <w:color w:val="auto"/>
                <w:sz w:val="21"/>
                <w:szCs w:val="21"/>
                <w:highlight w:val="none"/>
              </w:rPr>
              <w:t>2</w:t>
            </w:r>
            <w:r>
              <w:rPr>
                <w:rFonts w:hint="eastAsia"/>
                <w:color w:val="auto"/>
                <w:sz w:val="21"/>
                <w:szCs w:val="21"/>
                <w:highlight w:val="none"/>
              </w:rPr>
              <w:t>）信用信息查询记录和证据留存具体方式：采购代理机构经办人和监督人员将查询网页打印、签名与其他采购文件一并保存；</w:t>
            </w:r>
          </w:p>
          <w:p w14:paraId="222655D7">
            <w:pPr>
              <w:adjustRightInd w:val="0"/>
              <w:snapToGrid w:val="0"/>
              <w:spacing w:line="288" w:lineRule="auto"/>
              <w:ind w:firstLine="211"/>
              <w:rPr>
                <w:color w:val="auto"/>
                <w:sz w:val="21"/>
                <w:szCs w:val="21"/>
                <w:highlight w:val="none"/>
              </w:rPr>
            </w:pPr>
            <w:r>
              <w:rPr>
                <w:rFonts w:hint="eastAsia"/>
                <w:color w:val="auto"/>
                <w:sz w:val="21"/>
                <w:szCs w:val="21"/>
                <w:highlight w:val="none"/>
              </w:rPr>
              <w:t>（</w:t>
            </w:r>
            <w:r>
              <w:rPr>
                <w:color w:val="auto"/>
                <w:sz w:val="21"/>
                <w:szCs w:val="21"/>
                <w:highlight w:val="none"/>
              </w:rPr>
              <w:t>3</w:t>
            </w:r>
            <w:r>
              <w:rPr>
                <w:rFonts w:hint="eastAsia"/>
                <w:bCs/>
                <w:color w:val="auto"/>
                <w:sz w:val="21"/>
                <w:szCs w:val="21"/>
                <w:highlight w:val="none"/>
              </w:rPr>
              <w:t>）信用信息的使用规则：供应商被列入失信被执行人、重大税收违法案件当事人名单、政府采购严重违法失信行为记录名单的，拒绝其参与政府采购活动。</w:t>
            </w:r>
            <w:bookmarkEnd w:id="34"/>
          </w:p>
        </w:tc>
      </w:tr>
      <w:tr w14:paraId="27B04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2C674316">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（十八）</w:t>
            </w:r>
          </w:p>
        </w:tc>
        <w:tc>
          <w:tcPr>
            <w:tcW w:w="2410" w:type="dxa"/>
            <w:vAlign w:val="center"/>
          </w:tcPr>
          <w:p w14:paraId="15DC7948">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资格审查要求的资格证明材料</w:t>
            </w:r>
          </w:p>
        </w:tc>
        <w:tc>
          <w:tcPr>
            <w:tcW w:w="5954" w:type="dxa"/>
            <w:vAlign w:val="center"/>
          </w:tcPr>
          <w:p w14:paraId="480801ED">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资格审查要求的资格证明材料(均需加盖公章)：</w:t>
            </w:r>
          </w:p>
          <w:p w14:paraId="47CD5AEB">
            <w:pPr>
              <w:adjustRightInd w:val="0"/>
              <w:snapToGrid w:val="0"/>
              <w:spacing w:line="288" w:lineRule="auto"/>
              <w:ind w:firstLine="211"/>
              <w:rPr>
                <w:color w:val="auto"/>
                <w:sz w:val="21"/>
                <w:szCs w:val="21"/>
                <w:highlight w:val="none"/>
              </w:rPr>
            </w:pPr>
            <w:r>
              <w:rPr>
                <w:rFonts w:hint="eastAsia"/>
                <w:color w:val="auto"/>
                <w:sz w:val="21"/>
                <w:szCs w:val="21"/>
                <w:highlight w:val="none"/>
              </w:rPr>
              <w:t>（1）有效的法人或者其他组织的营业执照等证明文件，自然人的身份证明</w:t>
            </w:r>
          </w:p>
          <w:p w14:paraId="4D2A992B">
            <w:pPr>
              <w:adjustRightInd w:val="0"/>
              <w:snapToGrid w:val="0"/>
              <w:spacing w:line="288" w:lineRule="auto"/>
              <w:ind w:firstLine="211"/>
              <w:rPr>
                <w:rFonts w:cs="Times New Roman"/>
                <w:color w:val="auto"/>
                <w:sz w:val="21"/>
                <w:szCs w:val="21"/>
                <w:highlight w:val="none"/>
              </w:rPr>
            </w:pPr>
            <w:r>
              <w:rPr>
                <w:rFonts w:hint="eastAsia" w:cs="Times New Roman"/>
                <w:color w:val="auto"/>
                <w:sz w:val="21"/>
                <w:szCs w:val="21"/>
                <w:highlight w:val="none"/>
              </w:rPr>
              <w:t>（</w:t>
            </w:r>
            <w:r>
              <w:rPr>
                <w:rFonts w:cs="Times New Roman"/>
                <w:color w:val="auto"/>
                <w:sz w:val="21"/>
                <w:szCs w:val="21"/>
                <w:highlight w:val="none"/>
              </w:rPr>
              <w:t>2）</w:t>
            </w:r>
            <w:r>
              <w:rPr>
                <w:rFonts w:hint="eastAsia" w:cs="Times New Roman"/>
                <w:color w:val="auto"/>
                <w:sz w:val="21"/>
                <w:szCs w:val="21"/>
                <w:highlight w:val="none"/>
              </w:rPr>
              <w:t>符合参加政府采购活动应当具备的一般条件的承诺函</w:t>
            </w:r>
          </w:p>
          <w:p w14:paraId="056E671D">
            <w:pPr>
              <w:adjustRightInd w:val="0"/>
              <w:snapToGrid w:val="0"/>
              <w:spacing w:line="288" w:lineRule="auto"/>
              <w:ind w:firstLine="211"/>
              <w:rPr>
                <w:rFonts w:cs="Times New Roman"/>
                <w:color w:val="auto"/>
                <w:sz w:val="21"/>
                <w:szCs w:val="21"/>
                <w:highlight w:val="none"/>
              </w:rPr>
            </w:pPr>
            <w:r>
              <w:rPr>
                <w:rFonts w:hint="eastAsia" w:cs="Times New Roman"/>
                <w:color w:val="auto"/>
                <w:sz w:val="21"/>
                <w:szCs w:val="21"/>
                <w:highlight w:val="none"/>
              </w:rPr>
              <w:t>（</w:t>
            </w:r>
            <w:r>
              <w:rPr>
                <w:rFonts w:cs="Times New Roman"/>
                <w:color w:val="auto"/>
                <w:sz w:val="21"/>
                <w:szCs w:val="21"/>
                <w:highlight w:val="none"/>
              </w:rPr>
              <w:t>3）落实政府采购政策需满足的资格要求：</w:t>
            </w:r>
          </w:p>
          <w:p w14:paraId="22348707">
            <w:pPr>
              <w:adjustRightInd w:val="0"/>
              <w:snapToGrid w:val="0"/>
              <w:spacing w:line="288" w:lineRule="auto"/>
              <w:ind w:left="480" w:leftChars="200" w:firstLine="211"/>
              <w:rPr>
                <w:rFonts w:cs="Times New Roman"/>
                <w:color w:val="auto"/>
                <w:sz w:val="21"/>
                <w:szCs w:val="21"/>
                <w:highlight w:val="none"/>
              </w:rPr>
            </w:pPr>
            <w:r>
              <w:rPr>
                <w:rFonts w:hint="eastAsia" w:cs="Times New Roman"/>
                <w:color w:val="auto"/>
                <w:sz w:val="21"/>
                <w:szCs w:val="21"/>
                <w:highlight w:val="none"/>
              </w:rPr>
              <w:t>中小企业声明函（若属于中小企业）</w:t>
            </w:r>
          </w:p>
          <w:p w14:paraId="1BCFBF78">
            <w:pPr>
              <w:adjustRightInd w:val="0"/>
              <w:snapToGrid w:val="0"/>
              <w:spacing w:line="288" w:lineRule="auto"/>
              <w:ind w:left="480" w:leftChars="200" w:firstLine="211"/>
              <w:rPr>
                <w:rFonts w:cs="Times New Roman"/>
                <w:color w:val="auto"/>
                <w:sz w:val="21"/>
                <w:szCs w:val="21"/>
                <w:highlight w:val="none"/>
              </w:rPr>
            </w:pPr>
            <w:r>
              <w:rPr>
                <w:rFonts w:hint="eastAsia" w:cs="Times New Roman"/>
                <w:color w:val="auto"/>
                <w:sz w:val="21"/>
                <w:szCs w:val="21"/>
                <w:highlight w:val="none"/>
              </w:rPr>
              <w:t>属于监狱企业的证明文件（若属于监狱企业）</w:t>
            </w:r>
          </w:p>
          <w:p w14:paraId="3801E112">
            <w:pPr>
              <w:adjustRightInd w:val="0"/>
              <w:snapToGrid w:val="0"/>
              <w:spacing w:line="288" w:lineRule="auto"/>
              <w:ind w:left="480" w:leftChars="200" w:firstLine="211"/>
              <w:rPr>
                <w:rFonts w:cs="Times New Roman"/>
                <w:color w:val="auto"/>
                <w:sz w:val="21"/>
                <w:szCs w:val="21"/>
                <w:highlight w:val="none"/>
              </w:rPr>
            </w:pPr>
            <w:r>
              <w:rPr>
                <w:rFonts w:hint="eastAsia" w:cs="Times New Roman"/>
                <w:color w:val="auto"/>
                <w:sz w:val="21"/>
                <w:szCs w:val="21"/>
                <w:highlight w:val="none"/>
              </w:rPr>
              <w:t>残疾人福利性单位声明函（若属于残疾人福利性单位）</w:t>
            </w:r>
          </w:p>
          <w:p w14:paraId="3D8039A2">
            <w:pPr>
              <w:adjustRightInd w:val="0"/>
              <w:snapToGrid w:val="0"/>
              <w:spacing w:line="288" w:lineRule="auto"/>
              <w:ind w:firstLine="211"/>
              <w:rPr>
                <w:rFonts w:cs="Times New Roman"/>
                <w:color w:val="auto"/>
                <w:sz w:val="21"/>
                <w:szCs w:val="21"/>
                <w:highlight w:val="none"/>
              </w:rPr>
            </w:pPr>
            <w:r>
              <w:rPr>
                <w:rFonts w:hint="eastAsia" w:cs="Times New Roman"/>
                <w:color w:val="auto"/>
                <w:sz w:val="21"/>
                <w:szCs w:val="21"/>
                <w:highlight w:val="none"/>
              </w:rPr>
              <w:t>（</w:t>
            </w:r>
            <w:r>
              <w:rPr>
                <w:rFonts w:cs="Times New Roman"/>
                <w:color w:val="auto"/>
                <w:sz w:val="21"/>
                <w:szCs w:val="21"/>
                <w:highlight w:val="none"/>
              </w:rPr>
              <w:t>4）</w:t>
            </w:r>
            <w:r>
              <w:rPr>
                <w:rFonts w:hint="eastAsia" w:cs="Times New Roman"/>
                <w:color w:val="auto"/>
                <w:sz w:val="21"/>
                <w:szCs w:val="21"/>
                <w:highlight w:val="none"/>
              </w:rPr>
              <w:t>本项目的特定资格要求</w:t>
            </w:r>
            <w:r>
              <w:rPr>
                <w:rFonts w:cs="Times New Roman"/>
                <w:color w:val="auto"/>
                <w:sz w:val="21"/>
                <w:szCs w:val="21"/>
                <w:highlight w:val="none"/>
              </w:rPr>
              <w:t>证明材料：</w:t>
            </w:r>
          </w:p>
          <w:p w14:paraId="734BC6BD">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1）拟派项目负责人具有园林绿化或相关专业中级及以上职称。</w:t>
            </w:r>
          </w:p>
          <w:p w14:paraId="098BBFEB">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2）供应商具有有效期内的企业安全生产许可证。</w:t>
            </w:r>
          </w:p>
          <w:p w14:paraId="6B44A215">
            <w:pPr>
              <w:adjustRightInd w:val="0"/>
              <w:snapToGrid w:val="0"/>
              <w:spacing w:line="288" w:lineRule="auto"/>
              <w:ind w:firstLine="211"/>
              <w:rPr>
                <w:b/>
                <w:bCs/>
                <w:color w:val="auto"/>
                <w:sz w:val="21"/>
                <w:szCs w:val="21"/>
                <w:highlight w:val="none"/>
              </w:rPr>
            </w:pPr>
            <w:r>
              <w:rPr>
                <w:rFonts w:hint="eastAsia" w:cs="Times New Roman"/>
                <w:color w:val="auto"/>
                <w:sz w:val="21"/>
                <w:szCs w:val="21"/>
                <w:highlight w:val="none"/>
              </w:rPr>
              <w:t>（5）联合协议（以联合体形式响应的，提供联合协议，格式详见附件2）</w:t>
            </w:r>
          </w:p>
        </w:tc>
      </w:tr>
      <w:tr w14:paraId="11E3F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4B7E984C">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（十九）</w:t>
            </w:r>
          </w:p>
        </w:tc>
        <w:tc>
          <w:tcPr>
            <w:tcW w:w="2410" w:type="dxa"/>
            <w:vAlign w:val="center"/>
          </w:tcPr>
          <w:p w14:paraId="51017655">
            <w:pPr>
              <w:adjustRightInd w:val="0"/>
              <w:snapToGrid w:val="0"/>
              <w:spacing w:line="288" w:lineRule="auto"/>
              <w:ind w:firstLine="211"/>
              <w:jc w:val="center"/>
              <w:rPr>
                <w:color w:val="auto"/>
                <w:sz w:val="21"/>
                <w:szCs w:val="21"/>
                <w:highlight w:val="none"/>
              </w:rPr>
            </w:pPr>
            <w:r>
              <w:rPr>
                <w:rFonts w:hint="eastAsia"/>
                <w:b/>
                <w:bCs/>
                <w:color w:val="auto"/>
                <w:sz w:val="21"/>
                <w:szCs w:val="21"/>
                <w:highlight w:val="none"/>
              </w:rPr>
              <w:t>响应文件份数</w:t>
            </w:r>
          </w:p>
        </w:tc>
        <w:tc>
          <w:tcPr>
            <w:tcW w:w="5954" w:type="dxa"/>
            <w:vAlign w:val="center"/>
          </w:tcPr>
          <w:p w14:paraId="21EE5024">
            <w:pPr>
              <w:adjustRightInd w:val="0"/>
              <w:snapToGrid w:val="0"/>
              <w:spacing w:line="288" w:lineRule="auto"/>
              <w:ind w:firstLine="422" w:firstLineChars="200"/>
              <w:jc w:val="left"/>
              <w:rPr>
                <w:b/>
                <w:bCs/>
                <w:color w:val="auto"/>
                <w:sz w:val="21"/>
                <w:szCs w:val="21"/>
                <w:highlight w:val="none"/>
              </w:rPr>
            </w:pPr>
            <w:r>
              <w:rPr>
                <w:rFonts w:hint="eastAsia"/>
                <w:b/>
                <w:bCs/>
                <w:color w:val="auto"/>
                <w:sz w:val="21"/>
                <w:szCs w:val="21"/>
                <w:highlight w:val="none"/>
              </w:rPr>
              <w:t>电子加密响应文件：政府采购云平台在线上传一份；备份响应文件：密封包装后EMS或顺丰邮寄形式递交一份（邮寄地址：杭州市西湖区玉古路173号中田大厦21楼H室，浙江求是招标代理有限公司（陈培特）收，电话：0571-87666115，寄出后将（快递单号、项目名称、公司名称、联系方式等相关信息）发至：zb03@qszb.net，以便查收）。</w:t>
            </w:r>
          </w:p>
          <w:p w14:paraId="06F1E513">
            <w:pPr>
              <w:adjustRightInd w:val="0"/>
              <w:snapToGrid w:val="0"/>
              <w:spacing w:line="288" w:lineRule="auto"/>
              <w:ind w:firstLine="422" w:firstLineChars="200"/>
              <w:jc w:val="left"/>
              <w:rPr>
                <w:b/>
                <w:bCs/>
                <w:color w:val="auto"/>
                <w:sz w:val="21"/>
                <w:szCs w:val="21"/>
                <w:highlight w:val="none"/>
              </w:rPr>
            </w:pPr>
            <w:r>
              <w:rPr>
                <w:rFonts w:hint="eastAsia"/>
                <w:b/>
                <w:bCs/>
                <w:color w:val="auto"/>
                <w:sz w:val="21"/>
                <w:szCs w:val="21"/>
                <w:highlight w:val="none"/>
              </w:rPr>
              <w:t>特别说明：双休日和法定节假日不收件，供应商自行承担邮寄风险。</w:t>
            </w:r>
          </w:p>
        </w:tc>
      </w:tr>
      <w:tr w14:paraId="7F49B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57C027D8">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（二十）</w:t>
            </w:r>
          </w:p>
        </w:tc>
        <w:tc>
          <w:tcPr>
            <w:tcW w:w="2410" w:type="dxa"/>
            <w:vAlign w:val="center"/>
          </w:tcPr>
          <w:p w14:paraId="277B9446">
            <w:pPr>
              <w:adjustRightInd w:val="0"/>
              <w:snapToGrid w:val="0"/>
              <w:spacing w:line="288" w:lineRule="auto"/>
              <w:ind w:firstLine="211"/>
              <w:jc w:val="center"/>
              <w:rPr>
                <w:color w:val="auto"/>
                <w:sz w:val="21"/>
                <w:szCs w:val="21"/>
                <w:highlight w:val="none"/>
              </w:rPr>
            </w:pPr>
            <w:r>
              <w:rPr>
                <w:rFonts w:hint="eastAsia"/>
                <w:b/>
                <w:bCs/>
                <w:color w:val="auto"/>
                <w:sz w:val="21"/>
                <w:szCs w:val="21"/>
                <w:highlight w:val="none"/>
              </w:rPr>
              <w:t>磋商报价</w:t>
            </w:r>
          </w:p>
        </w:tc>
        <w:tc>
          <w:tcPr>
            <w:tcW w:w="5954" w:type="dxa"/>
            <w:vAlign w:val="center"/>
          </w:tcPr>
          <w:p w14:paraId="594FF98B">
            <w:pPr>
              <w:adjustRightInd w:val="0"/>
              <w:snapToGrid w:val="0"/>
              <w:spacing w:line="288" w:lineRule="auto"/>
              <w:ind w:firstLine="211"/>
              <w:rPr>
                <w:color w:val="auto"/>
                <w:sz w:val="21"/>
                <w:szCs w:val="21"/>
                <w:highlight w:val="none"/>
              </w:rPr>
            </w:pPr>
            <w:r>
              <w:rPr>
                <w:rFonts w:hint="eastAsia"/>
                <w:color w:val="auto"/>
                <w:sz w:val="21"/>
                <w:szCs w:val="21"/>
                <w:highlight w:val="none"/>
              </w:rPr>
              <w:t>1</w:t>
            </w:r>
            <w:r>
              <w:rPr>
                <w:color w:val="auto"/>
                <w:sz w:val="21"/>
                <w:szCs w:val="21"/>
                <w:highlight w:val="none"/>
              </w:rPr>
              <w:t>.</w:t>
            </w:r>
            <w:r>
              <w:rPr>
                <w:rFonts w:hint="eastAsia"/>
                <w:color w:val="auto"/>
                <w:sz w:val="21"/>
                <w:szCs w:val="21"/>
                <w:highlight w:val="none"/>
              </w:rPr>
              <w:t>报价应按磋商文件要求的格式编制、填写报价内容（可自行增行），未按磋商文件要求编制、填写的响应文件可能被拒绝；</w:t>
            </w:r>
          </w:p>
          <w:p w14:paraId="607C4684">
            <w:pPr>
              <w:adjustRightInd w:val="0"/>
              <w:snapToGrid w:val="0"/>
              <w:spacing w:line="288" w:lineRule="auto"/>
              <w:ind w:firstLine="211"/>
              <w:rPr>
                <w:color w:val="auto"/>
                <w:sz w:val="21"/>
                <w:szCs w:val="21"/>
                <w:highlight w:val="none"/>
              </w:rPr>
            </w:pPr>
            <w:r>
              <w:rPr>
                <w:color w:val="auto"/>
                <w:sz w:val="21"/>
                <w:szCs w:val="21"/>
                <w:highlight w:val="none"/>
              </w:rPr>
              <w:t>2</w:t>
            </w:r>
            <w:r>
              <w:rPr>
                <w:rFonts w:hint="eastAsia"/>
                <w:color w:val="auto"/>
                <w:sz w:val="21"/>
                <w:szCs w:val="21"/>
                <w:highlight w:val="none"/>
              </w:rPr>
              <w:t>.本次磋商采用人民币报价；</w:t>
            </w:r>
          </w:p>
          <w:p w14:paraId="0896FF31">
            <w:pPr>
              <w:adjustRightInd w:val="0"/>
              <w:snapToGrid w:val="0"/>
              <w:spacing w:line="288" w:lineRule="auto"/>
              <w:ind w:firstLine="211"/>
              <w:rPr>
                <w:color w:val="auto"/>
                <w:sz w:val="21"/>
                <w:szCs w:val="21"/>
                <w:highlight w:val="none"/>
              </w:rPr>
            </w:pPr>
            <w:r>
              <w:rPr>
                <w:color w:val="auto"/>
                <w:sz w:val="21"/>
                <w:szCs w:val="21"/>
                <w:highlight w:val="none"/>
              </w:rPr>
              <w:t>3</w:t>
            </w:r>
            <w:r>
              <w:rPr>
                <w:rFonts w:hint="eastAsia"/>
                <w:color w:val="auto"/>
                <w:sz w:val="21"/>
                <w:szCs w:val="21"/>
                <w:highlight w:val="none"/>
              </w:rPr>
              <w:t>.最后磋商报价是履行合同的最终价格，有关本项目实施所涉及的一切费用均计入报价。</w:t>
            </w:r>
          </w:p>
          <w:p w14:paraId="77833D34">
            <w:pPr>
              <w:adjustRightInd w:val="0"/>
              <w:snapToGrid w:val="0"/>
              <w:spacing w:line="288" w:lineRule="auto"/>
              <w:ind w:firstLine="211"/>
              <w:rPr>
                <w:color w:val="auto"/>
                <w:sz w:val="21"/>
                <w:szCs w:val="21"/>
                <w:highlight w:val="none"/>
              </w:rPr>
            </w:pPr>
            <w:r>
              <w:rPr>
                <w:rFonts w:hint="eastAsia"/>
                <w:color w:val="auto"/>
                <w:sz w:val="21"/>
                <w:szCs w:val="21"/>
                <w:highlight w:val="none"/>
              </w:rPr>
              <w:t>▲</w:t>
            </w:r>
            <w:r>
              <w:rPr>
                <w:color w:val="auto"/>
                <w:sz w:val="21"/>
                <w:szCs w:val="21"/>
                <w:highlight w:val="none"/>
              </w:rPr>
              <w:t>4.采购人将以合同形式有偿取得货物或服务，不接受</w:t>
            </w:r>
            <w:r>
              <w:rPr>
                <w:rFonts w:hint="eastAsia"/>
                <w:color w:val="auto"/>
                <w:sz w:val="21"/>
                <w:szCs w:val="21"/>
                <w:highlight w:val="none"/>
              </w:rPr>
              <w:t>供应商</w:t>
            </w:r>
            <w:r>
              <w:rPr>
                <w:color w:val="auto"/>
                <w:sz w:val="21"/>
                <w:szCs w:val="21"/>
                <w:highlight w:val="none"/>
              </w:rPr>
              <w:t>给予的赠品、回扣或者与采购无关的其他商品、服务，不得出现“0元”“免费赠送”等形式的无偿报价，否则视为</w:t>
            </w:r>
            <w:r>
              <w:rPr>
                <w:rFonts w:hint="eastAsia"/>
                <w:color w:val="auto"/>
                <w:sz w:val="21"/>
                <w:szCs w:val="21"/>
                <w:highlight w:val="none"/>
              </w:rPr>
              <w:t>响应</w:t>
            </w:r>
            <w:r>
              <w:rPr>
                <w:color w:val="auto"/>
                <w:sz w:val="21"/>
                <w:szCs w:val="21"/>
                <w:highlight w:val="none"/>
              </w:rPr>
              <w:t>文件含有采购人不能接受的附加条件的，</w:t>
            </w:r>
            <w:r>
              <w:rPr>
                <w:rFonts w:hint="eastAsia"/>
                <w:color w:val="auto"/>
                <w:sz w:val="21"/>
                <w:szCs w:val="21"/>
                <w:highlight w:val="none"/>
              </w:rPr>
              <w:t>响应</w:t>
            </w:r>
            <w:r>
              <w:rPr>
                <w:color w:val="auto"/>
                <w:sz w:val="21"/>
                <w:szCs w:val="21"/>
                <w:highlight w:val="none"/>
              </w:rPr>
              <w:t>无效。</w:t>
            </w:r>
          </w:p>
        </w:tc>
      </w:tr>
      <w:tr w14:paraId="60DAC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4C10E6E8">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（二十一）</w:t>
            </w:r>
          </w:p>
        </w:tc>
        <w:tc>
          <w:tcPr>
            <w:tcW w:w="2410" w:type="dxa"/>
            <w:vAlign w:val="center"/>
          </w:tcPr>
          <w:p w14:paraId="7F8F2F56">
            <w:pPr>
              <w:adjustRightInd w:val="0"/>
              <w:snapToGrid w:val="0"/>
              <w:spacing w:line="288" w:lineRule="auto"/>
              <w:ind w:firstLine="211"/>
              <w:jc w:val="center"/>
              <w:rPr>
                <w:color w:val="auto"/>
                <w:sz w:val="21"/>
                <w:szCs w:val="21"/>
                <w:highlight w:val="none"/>
              </w:rPr>
            </w:pPr>
            <w:r>
              <w:rPr>
                <w:rFonts w:hint="eastAsia"/>
                <w:b/>
                <w:bCs/>
                <w:color w:val="auto"/>
                <w:sz w:val="21"/>
                <w:szCs w:val="21"/>
                <w:highlight w:val="none"/>
              </w:rPr>
              <w:t>响应有效期</w:t>
            </w:r>
          </w:p>
        </w:tc>
        <w:tc>
          <w:tcPr>
            <w:tcW w:w="5954" w:type="dxa"/>
            <w:vAlign w:val="center"/>
          </w:tcPr>
          <w:p w14:paraId="177835FA">
            <w:pPr>
              <w:adjustRightInd w:val="0"/>
              <w:snapToGrid w:val="0"/>
              <w:spacing w:line="288" w:lineRule="auto"/>
              <w:ind w:firstLine="211"/>
              <w:rPr>
                <w:color w:val="auto"/>
                <w:sz w:val="21"/>
                <w:szCs w:val="21"/>
                <w:highlight w:val="none"/>
              </w:rPr>
            </w:pPr>
            <w:r>
              <w:rPr>
                <w:rFonts w:hint="eastAsia"/>
                <w:color w:val="auto"/>
                <w:sz w:val="21"/>
                <w:szCs w:val="21"/>
                <w:highlight w:val="none"/>
              </w:rPr>
              <w:t>▲从提交响应文件的截止之日起90天。在原响应有效期满之前，如果出现特殊情况，采购人或采购代理机构以书面形式通知供应商延长响应有效期。</w:t>
            </w:r>
          </w:p>
        </w:tc>
      </w:tr>
      <w:tr w14:paraId="68441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2D3C0D7E">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（二十二）</w:t>
            </w:r>
          </w:p>
        </w:tc>
        <w:tc>
          <w:tcPr>
            <w:tcW w:w="2410" w:type="dxa"/>
            <w:vAlign w:val="center"/>
          </w:tcPr>
          <w:p w14:paraId="0BE87453">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评审方法和评审标准</w:t>
            </w:r>
          </w:p>
        </w:tc>
        <w:tc>
          <w:tcPr>
            <w:tcW w:w="5954" w:type="dxa"/>
            <w:vAlign w:val="center"/>
          </w:tcPr>
          <w:p w14:paraId="70A18CAD">
            <w:pPr>
              <w:adjustRightInd w:val="0"/>
              <w:snapToGrid w:val="0"/>
              <w:spacing w:line="288" w:lineRule="auto"/>
              <w:ind w:firstLine="211"/>
              <w:rPr>
                <w:color w:val="auto"/>
                <w:sz w:val="21"/>
                <w:szCs w:val="21"/>
                <w:highlight w:val="none"/>
              </w:rPr>
            </w:pPr>
            <w:r>
              <w:rPr>
                <w:color w:val="auto"/>
                <w:sz w:val="21"/>
                <w:szCs w:val="21"/>
                <w:highlight w:val="none"/>
              </w:rPr>
              <w:t>详见“</w:t>
            </w:r>
            <w:r>
              <w:rPr>
                <w:rFonts w:hint="eastAsia"/>
                <w:color w:val="auto"/>
                <w:sz w:val="21"/>
                <w:szCs w:val="21"/>
                <w:highlight w:val="none"/>
              </w:rPr>
              <w:t>第四章  评审方法和评审标准</w:t>
            </w:r>
            <w:r>
              <w:rPr>
                <w:color w:val="auto"/>
                <w:sz w:val="21"/>
                <w:szCs w:val="21"/>
                <w:highlight w:val="none"/>
              </w:rPr>
              <w:t>”</w:t>
            </w:r>
            <w:r>
              <w:rPr>
                <w:rFonts w:hint="eastAsia"/>
                <w:color w:val="auto"/>
                <w:sz w:val="21"/>
                <w:szCs w:val="21"/>
                <w:highlight w:val="none"/>
              </w:rPr>
              <w:t>。</w:t>
            </w:r>
          </w:p>
        </w:tc>
      </w:tr>
      <w:tr w14:paraId="59162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431DF6E5">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（二十三）</w:t>
            </w:r>
          </w:p>
        </w:tc>
        <w:tc>
          <w:tcPr>
            <w:tcW w:w="2410" w:type="dxa"/>
            <w:vAlign w:val="center"/>
          </w:tcPr>
          <w:p w14:paraId="65E2629D">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评审结果公示</w:t>
            </w:r>
          </w:p>
        </w:tc>
        <w:tc>
          <w:tcPr>
            <w:tcW w:w="5954" w:type="dxa"/>
            <w:vAlign w:val="center"/>
          </w:tcPr>
          <w:p w14:paraId="7D93297F">
            <w:pPr>
              <w:adjustRightInd w:val="0"/>
              <w:snapToGrid w:val="0"/>
              <w:spacing w:line="288" w:lineRule="auto"/>
              <w:ind w:firstLine="211"/>
              <w:jc w:val="left"/>
              <w:rPr>
                <w:color w:val="auto"/>
                <w:sz w:val="21"/>
                <w:szCs w:val="21"/>
                <w:highlight w:val="none"/>
              </w:rPr>
            </w:pPr>
            <w:r>
              <w:rPr>
                <w:rFonts w:hint="eastAsia"/>
                <w:color w:val="auto"/>
                <w:sz w:val="21"/>
                <w:szCs w:val="21"/>
                <w:highlight w:val="none"/>
              </w:rPr>
              <w:t>评审结果公示媒体：浙江政府采购网（http://zfcg.czt.zj.gov.cn）。</w:t>
            </w:r>
          </w:p>
        </w:tc>
      </w:tr>
      <w:tr w14:paraId="4C905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vAlign w:val="center"/>
          </w:tcPr>
          <w:p w14:paraId="35FD4CA3">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（二十四）</w:t>
            </w:r>
          </w:p>
        </w:tc>
        <w:tc>
          <w:tcPr>
            <w:tcW w:w="2410" w:type="dxa"/>
            <w:vAlign w:val="center"/>
          </w:tcPr>
          <w:p w14:paraId="5AE6828D">
            <w:pPr>
              <w:adjustRightInd w:val="0"/>
              <w:snapToGrid w:val="0"/>
              <w:spacing w:line="288" w:lineRule="auto"/>
              <w:ind w:firstLine="211"/>
              <w:jc w:val="center"/>
              <w:rPr>
                <w:color w:val="auto"/>
                <w:sz w:val="21"/>
                <w:szCs w:val="21"/>
                <w:highlight w:val="none"/>
              </w:rPr>
            </w:pPr>
            <w:r>
              <w:rPr>
                <w:rFonts w:hint="eastAsia"/>
                <w:color w:val="auto"/>
                <w:sz w:val="21"/>
                <w:szCs w:val="21"/>
                <w:highlight w:val="none"/>
              </w:rPr>
              <w:t>签订合同</w:t>
            </w:r>
          </w:p>
        </w:tc>
        <w:tc>
          <w:tcPr>
            <w:tcW w:w="5954" w:type="dxa"/>
            <w:vAlign w:val="center"/>
          </w:tcPr>
          <w:p w14:paraId="35B8A112">
            <w:pPr>
              <w:adjustRightInd w:val="0"/>
              <w:snapToGrid w:val="0"/>
              <w:spacing w:line="288" w:lineRule="auto"/>
              <w:ind w:firstLine="211"/>
              <w:rPr>
                <w:color w:val="auto"/>
                <w:sz w:val="21"/>
                <w:szCs w:val="21"/>
                <w:highlight w:val="none"/>
              </w:rPr>
            </w:pPr>
            <w:r>
              <w:rPr>
                <w:rFonts w:hint="eastAsia"/>
                <w:color w:val="auto"/>
                <w:sz w:val="21"/>
                <w:szCs w:val="21"/>
                <w:highlight w:val="none"/>
              </w:rPr>
              <w:t>成交通知书发出之日起30日内。</w:t>
            </w:r>
          </w:p>
        </w:tc>
      </w:tr>
    </w:tbl>
    <w:p w14:paraId="2F775D26">
      <w:pPr>
        <w:ind w:firstLine="211"/>
        <w:rPr>
          <w:b/>
          <w:bCs/>
          <w:color w:val="auto"/>
          <w:sz w:val="21"/>
          <w:szCs w:val="21"/>
          <w:highlight w:val="none"/>
        </w:rPr>
      </w:pPr>
      <w:r>
        <w:rPr>
          <w:rFonts w:hint="eastAsia"/>
          <w:b/>
          <w:bCs/>
          <w:color w:val="auto"/>
          <w:sz w:val="21"/>
          <w:szCs w:val="21"/>
          <w:highlight w:val="none"/>
        </w:rPr>
        <w:br w:type="page"/>
      </w:r>
    </w:p>
    <w:p w14:paraId="148B7C27">
      <w:pPr>
        <w:adjustRightInd w:val="0"/>
        <w:snapToGrid w:val="0"/>
        <w:spacing w:line="288" w:lineRule="auto"/>
        <w:ind w:firstLine="211"/>
        <w:jc w:val="center"/>
        <w:outlineLvl w:val="1"/>
        <w:rPr>
          <w:b/>
          <w:bCs/>
          <w:color w:val="auto"/>
          <w:sz w:val="21"/>
          <w:szCs w:val="21"/>
          <w:highlight w:val="none"/>
        </w:rPr>
      </w:pPr>
      <w:r>
        <w:rPr>
          <w:rFonts w:hint="eastAsia"/>
          <w:b/>
          <w:bCs/>
          <w:color w:val="auto"/>
          <w:sz w:val="21"/>
          <w:szCs w:val="21"/>
          <w:highlight w:val="none"/>
        </w:rPr>
        <w:t>一、总则</w:t>
      </w:r>
    </w:p>
    <w:p w14:paraId="03A665F9">
      <w:pPr>
        <w:adjustRightInd w:val="0"/>
        <w:snapToGrid w:val="0"/>
        <w:spacing w:line="288" w:lineRule="auto"/>
        <w:ind w:firstLine="420" w:firstLineChars="200"/>
        <w:rPr>
          <w:color w:val="auto"/>
          <w:sz w:val="21"/>
          <w:szCs w:val="21"/>
          <w:highlight w:val="none"/>
        </w:rPr>
      </w:pPr>
      <w:bookmarkStart w:id="35" w:name="_Hlk97039780"/>
      <w:r>
        <w:rPr>
          <w:rFonts w:hint="eastAsia"/>
          <w:color w:val="auto"/>
          <w:sz w:val="21"/>
          <w:szCs w:val="21"/>
          <w:highlight w:val="none"/>
        </w:rPr>
        <w:t>供应商应仔细阅读磋商文件的所有内容，按照磋商文件的要求提交响应文件，并对所提供的全部资料的真实性承担法律责任。</w:t>
      </w:r>
    </w:p>
    <w:bookmarkEnd w:id="35"/>
    <w:p w14:paraId="7C4DA4C3">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（一）适用范围</w:t>
      </w:r>
    </w:p>
    <w:p w14:paraId="7512257A">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本磋商文件适用于浙江交通职业技术学院长兴校区道路装饰工程的磋商、评审、成交、验收、合同履约、付款等（法律、法规另有规定的，从其规定）。</w:t>
      </w:r>
    </w:p>
    <w:p w14:paraId="314D2917">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（二）定义</w:t>
      </w:r>
    </w:p>
    <w:p w14:paraId="27BDB011">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1.“采购人”系指浙江交通职业技术学院；</w:t>
      </w:r>
    </w:p>
    <w:p w14:paraId="63E352D5">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2.“采购代理机构”系指组织本次竞争性磋商的浙江求是招标代理有限公司；</w:t>
      </w:r>
    </w:p>
    <w:p w14:paraId="0DC687AC">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3.“供应商”系指响应磋商、参加竞争的法人、其他组织或者自然人；</w:t>
      </w:r>
    </w:p>
    <w:p w14:paraId="52545D84">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4.“书面形式”包括合同书、信件和数据电文(包括电报、电传、传真、电子数据交换和电子邮件)等可以有形地表现所载内容的形式；</w:t>
      </w:r>
    </w:p>
    <w:p w14:paraId="7B7FE003">
      <w:pPr>
        <w:adjustRightInd w:val="0"/>
        <w:snapToGrid w:val="0"/>
        <w:spacing w:line="288" w:lineRule="auto"/>
        <w:ind w:firstLine="420" w:firstLineChars="200"/>
        <w:rPr>
          <w:color w:val="auto"/>
          <w:sz w:val="21"/>
          <w:szCs w:val="21"/>
          <w:highlight w:val="none"/>
        </w:rPr>
      </w:pPr>
      <w:bookmarkStart w:id="36" w:name="_Hlk97039762"/>
      <w:r>
        <w:rPr>
          <w:rFonts w:hint="eastAsia"/>
          <w:color w:val="auto"/>
          <w:sz w:val="21"/>
          <w:szCs w:val="21"/>
          <w:highlight w:val="none"/>
        </w:rPr>
        <w:t>5.“电子加密响应文件”系指通过政采云电子交易客户端（政采云响应客户端）完成响应文件编制后生成并加密的数据电文形式的响应文件（文件扩展名为.jmbs），“备份响应文件”系指与“电子加密响应文件”同时生成的数据电文形式的电子文件（文件扩展名为.bfbs）；</w:t>
      </w:r>
    </w:p>
    <w:p w14:paraId="41C40BB7">
      <w:pPr>
        <w:adjustRightInd w:val="0"/>
        <w:snapToGrid w:val="0"/>
        <w:spacing w:line="288" w:lineRule="auto"/>
        <w:ind w:firstLine="420" w:firstLineChars="200"/>
        <w:jc w:val="left"/>
        <w:rPr>
          <w:rFonts w:cs="Times New Roman"/>
          <w:color w:val="auto"/>
          <w:sz w:val="21"/>
          <w:szCs w:val="21"/>
          <w:highlight w:val="none"/>
        </w:rPr>
      </w:pPr>
      <w:r>
        <w:rPr>
          <w:rFonts w:cs="Times New Roman"/>
          <w:color w:val="auto"/>
          <w:sz w:val="21"/>
          <w:szCs w:val="21"/>
          <w:highlight w:val="none"/>
        </w:rPr>
        <w:t>“电子签名”系指数据电文中以电子形式所含、所附用于识别签名人身份并表明签名人认可其中内容的数据；</w:t>
      </w:r>
      <w:r>
        <w:rPr>
          <w:rFonts w:hint="eastAsia" w:cs="Times New Roman"/>
          <w:color w:val="auto"/>
          <w:sz w:val="21"/>
          <w:szCs w:val="21"/>
          <w:highlight w:val="none"/>
        </w:rPr>
        <w:t>“公章”系指单位法定名称章。因特殊原因需要使用冠以法定名称的业务专用章的，响应时须提供《业务专用章使用说明函》（附件1）。</w:t>
      </w:r>
    </w:p>
    <w:p w14:paraId="116CB41D">
      <w:pPr>
        <w:adjustRightInd w:val="0"/>
        <w:snapToGrid w:val="0"/>
        <w:spacing w:line="288" w:lineRule="auto"/>
        <w:ind w:firstLine="396" w:firstLineChars="200"/>
        <w:jc w:val="left"/>
        <w:rPr>
          <w:rFonts w:cs="Times New Roman"/>
          <w:color w:val="auto"/>
          <w:spacing w:val="-6"/>
          <w:sz w:val="21"/>
          <w:szCs w:val="21"/>
          <w:highlight w:val="none"/>
        </w:rPr>
      </w:pPr>
      <w:r>
        <w:rPr>
          <w:rFonts w:hint="eastAsia" w:cs="Times New Roman"/>
          <w:color w:val="auto"/>
          <w:spacing w:val="-6"/>
          <w:sz w:val="21"/>
          <w:szCs w:val="21"/>
          <w:highlight w:val="none"/>
        </w:rPr>
        <w:t>磋商文件对响应文件签署、盖章的要求适用于电子签名。</w:t>
      </w:r>
    </w:p>
    <w:bookmarkEnd w:id="36"/>
    <w:p w14:paraId="7651C7E1">
      <w:pPr>
        <w:adjustRightInd w:val="0"/>
        <w:snapToGrid w:val="0"/>
        <w:spacing w:line="288" w:lineRule="auto"/>
        <w:ind w:firstLine="420" w:firstLineChars="200"/>
        <w:rPr>
          <w:color w:val="auto"/>
          <w:sz w:val="21"/>
          <w:szCs w:val="21"/>
          <w:highlight w:val="none"/>
        </w:rPr>
      </w:pPr>
      <w:r>
        <w:rPr>
          <w:color w:val="auto"/>
          <w:sz w:val="21"/>
          <w:szCs w:val="21"/>
          <w:highlight w:val="none"/>
        </w:rPr>
        <w:t>6</w:t>
      </w:r>
      <w:r>
        <w:rPr>
          <w:rFonts w:hint="eastAsia"/>
          <w:color w:val="auto"/>
          <w:sz w:val="21"/>
          <w:szCs w:val="21"/>
          <w:highlight w:val="none"/>
        </w:rPr>
        <w:t>.“▲”系指实质性要求条款，供应商应当做出实质性响应。</w:t>
      </w:r>
    </w:p>
    <w:p w14:paraId="6A580723">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（三）采购方式</w:t>
      </w:r>
    </w:p>
    <w:p w14:paraId="765910A9">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本次采购采用竞争性磋商（线上电子交易）方式进行。</w:t>
      </w:r>
    </w:p>
    <w:p w14:paraId="14EADAA3">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（四）竞争性磋商委托</w:t>
      </w:r>
    </w:p>
    <w:p w14:paraId="6DF3FE66">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w:t>
      </w:r>
      <w:r>
        <w:rPr>
          <w:color w:val="auto"/>
          <w:sz w:val="21"/>
          <w:szCs w:val="21"/>
          <w:highlight w:val="none"/>
        </w:rPr>
        <w:t>1.供应商代表是法定代表人（单位负责人、自然人本人）的，须提供本人身份证明。</w:t>
      </w:r>
    </w:p>
    <w:p w14:paraId="56050C16">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w:t>
      </w:r>
      <w:r>
        <w:rPr>
          <w:color w:val="auto"/>
          <w:sz w:val="21"/>
          <w:szCs w:val="21"/>
          <w:highlight w:val="none"/>
        </w:rPr>
        <w:t>2.供应商代表不是法定代表人（单位负责人、自然人本人）的，须提供授权委托书（格式详见磋商文件第六章）</w:t>
      </w:r>
      <w:r>
        <w:rPr>
          <w:rFonts w:hint="eastAsia"/>
          <w:color w:val="auto"/>
          <w:sz w:val="21"/>
          <w:szCs w:val="21"/>
          <w:highlight w:val="none"/>
        </w:rPr>
        <w:t>和授权代表社保缴纳证明（</w:t>
      </w:r>
      <w:r>
        <w:rPr>
          <w:color w:val="auto"/>
          <w:sz w:val="21"/>
          <w:szCs w:val="21"/>
          <w:highlight w:val="none"/>
        </w:rPr>
        <w:t>2023年1月（含）以后任意一月）；</w:t>
      </w:r>
    </w:p>
    <w:p w14:paraId="198E213C">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w:t>
      </w:r>
      <w:r>
        <w:rPr>
          <w:color w:val="auto"/>
          <w:sz w:val="21"/>
          <w:szCs w:val="21"/>
          <w:highlight w:val="none"/>
        </w:rPr>
        <w:t>3.供应商委派不在本单位缴纳社保的人员作为授权代表的，应当在响应文件中，说明具体原因、授权代表缴纳社保的单位，并附列该授权代表缴纳社保清单。</w:t>
      </w:r>
    </w:p>
    <w:p w14:paraId="041F25E4">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（五）磋商费用</w:t>
      </w:r>
    </w:p>
    <w:p w14:paraId="42F8E1CC">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1.不论磋商结果如何，供应商均应自行承担所有与磋商有关的全部费用；</w:t>
      </w:r>
    </w:p>
    <w:p w14:paraId="50C71064">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2.成交供应商在成交通知书发出之日起七个工作日内，向采购代理机构交纳代理服务费；</w:t>
      </w:r>
    </w:p>
    <w:p w14:paraId="1705F7FC">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3.成交供应商逾期支付代理服务费，须承担代理服务费每日百分之三的违约金，逾期十日未支付的，采购代理机构有权向杭州仲裁委员会对成交供应商提起仲裁，仲裁费用（包括仲裁受理费和仲裁处理费）均由成交供应商承担。</w:t>
      </w:r>
    </w:p>
    <w:p w14:paraId="1C035F99">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4</w:t>
      </w:r>
      <w:r>
        <w:rPr>
          <w:color w:val="auto"/>
          <w:sz w:val="21"/>
          <w:szCs w:val="21"/>
          <w:highlight w:val="none"/>
        </w:rPr>
        <w:t>.</w:t>
      </w:r>
      <w:r>
        <w:rPr>
          <w:rFonts w:hint="eastAsia"/>
          <w:color w:val="auto"/>
          <w:sz w:val="21"/>
          <w:szCs w:val="21"/>
          <w:highlight w:val="none"/>
        </w:rPr>
        <w:t>代理服务费收费标准（差额累进）：</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7"/>
        <w:gridCol w:w="3857"/>
      </w:tblGrid>
      <w:tr w14:paraId="64B0C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517" w:type="dxa"/>
            <w:vAlign w:val="center"/>
          </w:tcPr>
          <w:p w14:paraId="62C7DF81">
            <w:pPr>
              <w:adjustRightInd w:val="0"/>
              <w:snapToGrid w:val="0"/>
              <w:spacing w:line="288" w:lineRule="auto"/>
              <w:ind w:firstLine="211"/>
              <w:jc w:val="center"/>
              <w:rPr>
                <w:b/>
                <w:bCs/>
                <w:color w:val="auto"/>
                <w:kern w:val="0"/>
                <w:sz w:val="21"/>
                <w:szCs w:val="21"/>
                <w:highlight w:val="none"/>
              </w:rPr>
            </w:pPr>
            <w:r>
              <w:rPr>
                <w:rFonts w:hint="eastAsia"/>
                <w:b/>
                <w:bCs/>
                <w:color w:val="auto"/>
                <w:kern w:val="0"/>
                <w:sz w:val="21"/>
                <w:szCs w:val="21"/>
                <w:highlight w:val="none"/>
              </w:rPr>
              <w:t>成交金额（万元）</w:t>
            </w:r>
          </w:p>
        </w:tc>
        <w:tc>
          <w:tcPr>
            <w:tcW w:w="3857" w:type="dxa"/>
            <w:vAlign w:val="center"/>
          </w:tcPr>
          <w:p w14:paraId="614E74CA">
            <w:pPr>
              <w:adjustRightInd w:val="0"/>
              <w:snapToGrid w:val="0"/>
              <w:spacing w:line="288" w:lineRule="auto"/>
              <w:ind w:firstLine="211"/>
              <w:jc w:val="center"/>
              <w:rPr>
                <w:b/>
                <w:bCs/>
                <w:color w:val="auto"/>
                <w:kern w:val="0"/>
                <w:sz w:val="21"/>
                <w:szCs w:val="21"/>
                <w:highlight w:val="none"/>
              </w:rPr>
            </w:pPr>
            <w:r>
              <w:rPr>
                <w:rFonts w:hint="eastAsia"/>
                <w:b/>
                <w:bCs/>
                <w:color w:val="auto"/>
                <w:kern w:val="0"/>
                <w:sz w:val="21"/>
                <w:szCs w:val="21"/>
                <w:highlight w:val="none"/>
              </w:rPr>
              <w:t>收费标准（费率，%）</w:t>
            </w:r>
          </w:p>
        </w:tc>
      </w:tr>
      <w:tr w14:paraId="37BEE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7" w:type="dxa"/>
            <w:vAlign w:val="center"/>
          </w:tcPr>
          <w:p w14:paraId="4C17B681">
            <w:pPr>
              <w:adjustRightInd w:val="0"/>
              <w:snapToGrid w:val="0"/>
              <w:spacing w:line="288" w:lineRule="auto"/>
              <w:ind w:firstLine="211"/>
              <w:jc w:val="center"/>
              <w:rPr>
                <w:color w:val="auto"/>
                <w:kern w:val="0"/>
                <w:sz w:val="21"/>
                <w:szCs w:val="21"/>
                <w:highlight w:val="none"/>
              </w:rPr>
            </w:pPr>
            <w:r>
              <w:rPr>
                <w:rFonts w:hint="eastAsia"/>
                <w:color w:val="auto"/>
                <w:kern w:val="0"/>
                <w:sz w:val="21"/>
                <w:szCs w:val="21"/>
                <w:highlight w:val="none"/>
              </w:rPr>
              <w:t>100以下</w:t>
            </w:r>
          </w:p>
        </w:tc>
        <w:tc>
          <w:tcPr>
            <w:tcW w:w="3857" w:type="dxa"/>
            <w:vAlign w:val="center"/>
          </w:tcPr>
          <w:p w14:paraId="63394AC3">
            <w:pPr>
              <w:adjustRightInd w:val="0"/>
              <w:snapToGrid w:val="0"/>
              <w:spacing w:line="288" w:lineRule="auto"/>
              <w:ind w:firstLine="211"/>
              <w:jc w:val="center"/>
              <w:rPr>
                <w:color w:val="auto"/>
                <w:kern w:val="0"/>
                <w:sz w:val="21"/>
                <w:szCs w:val="21"/>
                <w:highlight w:val="none"/>
              </w:rPr>
            </w:pPr>
            <w:r>
              <w:rPr>
                <w:color w:val="auto"/>
                <w:kern w:val="0"/>
                <w:sz w:val="21"/>
                <w:szCs w:val="21"/>
                <w:highlight w:val="none"/>
              </w:rPr>
              <w:t>0.7%</w:t>
            </w:r>
          </w:p>
          <w:p w14:paraId="4BF217AD">
            <w:pPr>
              <w:adjustRightInd w:val="0"/>
              <w:snapToGrid w:val="0"/>
              <w:spacing w:line="288" w:lineRule="auto"/>
              <w:ind w:firstLine="211"/>
              <w:jc w:val="center"/>
              <w:rPr>
                <w:color w:val="auto"/>
                <w:kern w:val="0"/>
                <w:sz w:val="21"/>
                <w:szCs w:val="21"/>
                <w:highlight w:val="none"/>
              </w:rPr>
            </w:pPr>
            <w:r>
              <w:rPr>
                <w:rFonts w:hint="eastAsia"/>
                <w:color w:val="auto"/>
                <w:kern w:val="0"/>
                <w:sz w:val="21"/>
                <w:szCs w:val="21"/>
                <w:highlight w:val="none"/>
              </w:rPr>
              <w:t>（不足</w:t>
            </w:r>
            <w:r>
              <w:rPr>
                <w:color w:val="auto"/>
                <w:kern w:val="0"/>
                <w:sz w:val="21"/>
                <w:szCs w:val="21"/>
                <w:highlight w:val="none"/>
              </w:rPr>
              <w:t>3000元按3000元计）</w:t>
            </w:r>
          </w:p>
        </w:tc>
      </w:tr>
      <w:tr w14:paraId="6B6BA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7" w:type="dxa"/>
            <w:vAlign w:val="center"/>
          </w:tcPr>
          <w:p w14:paraId="0CADB800">
            <w:pPr>
              <w:adjustRightInd w:val="0"/>
              <w:snapToGrid w:val="0"/>
              <w:spacing w:line="288" w:lineRule="auto"/>
              <w:ind w:firstLine="211"/>
              <w:jc w:val="center"/>
              <w:rPr>
                <w:color w:val="auto"/>
                <w:kern w:val="0"/>
                <w:sz w:val="21"/>
                <w:szCs w:val="21"/>
                <w:highlight w:val="none"/>
              </w:rPr>
            </w:pPr>
            <w:r>
              <w:rPr>
                <w:color w:val="auto"/>
                <w:kern w:val="0"/>
                <w:sz w:val="21"/>
                <w:szCs w:val="21"/>
                <w:highlight w:val="none"/>
              </w:rPr>
              <w:t>100-500</w:t>
            </w:r>
          </w:p>
        </w:tc>
        <w:tc>
          <w:tcPr>
            <w:tcW w:w="3857" w:type="dxa"/>
            <w:vAlign w:val="center"/>
          </w:tcPr>
          <w:p w14:paraId="3358C360">
            <w:pPr>
              <w:adjustRightInd w:val="0"/>
              <w:snapToGrid w:val="0"/>
              <w:spacing w:line="288" w:lineRule="auto"/>
              <w:ind w:firstLine="211"/>
              <w:jc w:val="center"/>
              <w:rPr>
                <w:color w:val="auto"/>
                <w:kern w:val="0"/>
                <w:sz w:val="21"/>
                <w:szCs w:val="21"/>
                <w:highlight w:val="none"/>
              </w:rPr>
            </w:pPr>
            <w:r>
              <w:rPr>
                <w:color w:val="auto"/>
                <w:kern w:val="0"/>
                <w:sz w:val="21"/>
                <w:szCs w:val="21"/>
                <w:highlight w:val="none"/>
              </w:rPr>
              <w:t>0.49%</w:t>
            </w:r>
          </w:p>
        </w:tc>
      </w:tr>
    </w:tbl>
    <w:p w14:paraId="326C2F82">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5.磋商保证金（元）：无</w:t>
      </w:r>
    </w:p>
    <w:p w14:paraId="38A8F321">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（六）联合体响应</w:t>
      </w:r>
    </w:p>
    <w:p w14:paraId="5703CE2B">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本项目（是）接受联合体响应。</w:t>
      </w:r>
    </w:p>
    <w:p w14:paraId="7E3E385F">
      <w:pPr>
        <w:spacing w:line="288" w:lineRule="auto"/>
        <w:ind w:firstLine="420" w:firstLineChars="200"/>
        <w:rPr>
          <w:rFonts w:cs="Times New Roman"/>
          <w:color w:val="auto"/>
          <w:sz w:val="21"/>
          <w:szCs w:val="22"/>
          <w:highlight w:val="none"/>
        </w:rPr>
      </w:pPr>
      <w:bookmarkStart w:id="37" w:name="_Hlk104288918"/>
      <w:r>
        <w:rPr>
          <w:rFonts w:hint="eastAsia" w:cs="Times New Roman"/>
          <w:color w:val="auto"/>
          <w:sz w:val="21"/>
          <w:szCs w:val="22"/>
          <w:highlight w:val="none"/>
        </w:rPr>
        <w:t>两个以上的自然人、法人或者其他组织可以组成一个联合体，以一个供应商的身份共同参加政府采购。</w:t>
      </w:r>
    </w:p>
    <w:p w14:paraId="6D69B7F9">
      <w:pPr>
        <w:adjustRightInd w:val="0"/>
        <w:snapToGrid w:val="0"/>
        <w:spacing w:line="288" w:lineRule="auto"/>
        <w:ind w:firstLine="420" w:firstLineChars="200"/>
        <w:rPr>
          <w:color w:val="auto"/>
          <w:sz w:val="21"/>
          <w:szCs w:val="21"/>
          <w:highlight w:val="none"/>
        </w:rPr>
      </w:pPr>
      <w:r>
        <w:rPr>
          <w:rFonts w:hint="eastAsia" w:cs="Times New Roman"/>
          <w:color w:val="auto"/>
          <w:sz w:val="21"/>
          <w:szCs w:val="22"/>
          <w:highlight w:val="none"/>
        </w:rPr>
        <w:t>以联合体形式进行政府采购的，参加联合体的供应商均应当具备《中华人民共和国政府采购法》第二十二条规定的条件，并应当向采购人提交联合协议，载明联合体各方承担的工作和义务。联合体各方应当共同与采购人签订采购合同，就采购合同约定的事项对采购人承担连带责任。</w:t>
      </w:r>
      <w:bookmarkEnd w:id="37"/>
    </w:p>
    <w:p w14:paraId="69723CC6">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（七）转包与分包</w:t>
      </w:r>
    </w:p>
    <w:p w14:paraId="45A11AAE">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1.本项目不允许转包；</w:t>
      </w:r>
    </w:p>
    <w:p w14:paraId="1A10F8D0">
      <w:pPr>
        <w:adjustRightInd w:val="0"/>
        <w:snapToGrid w:val="0"/>
        <w:spacing w:line="288" w:lineRule="auto"/>
        <w:ind w:firstLine="420" w:firstLineChars="200"/>
        <w:rPr>
          <w:color w:val="auto"/>
          <w:sz w:val="21"/>
          <w:szCs w:val="21"/>
          <w:highlight w:val="none"/>
          <w:u w:val="single"/>
        </w:rPr>
      </w:pPr>
      <w:r>
        <w:rPr>
          <w:color w:val="auto"/>
          <w:sz w:val="21"/>
          <w:szCs w:val="21"/>
          <w:highlight w:val="none"/>
        </w:rPr>
        <w:t>2.</w:t>
      </w:r>
      <w:r>
        <w:rPr>
          <w:rFonts w:hint="eastAsia"/>
          <w:color w:val="auto"/>
          <w:sz w:val="21"/>
          <w:szCs w:val="21"/>
          <w:highlight w:val="none"/>
        </w:rPr>
        <w:t>本项目</w:t>
      </w:r>
      <w:r>
        <w:rPr>
          <w:rFonts w:hint="eastAsia"/>
          <w:b/>
          <w:bCs/>
          <w:color w:val="auto"/>
          <w:sz w:val="21"/>
          <w:szCs w:val="21"/>
          <w:highlight w:val="none"/>
          <w:u w:val="single"/>
        </w:rPr>
        <w:t>允许</w:t>
      </w:r>
      <w:r>
        <w:rPr>
          <w:rFonts w:hint="eastAsia"/>
          <w:color w:val="auto"/>
          <w:sz w:val="21"/>
          <w:szCs w:val="21"/>
          <w:highlight w:val="none"/>
        </w:rPr>
        <w:t>分包，</w:t>
      </w:r>
      <w:r>
        <w:rPr>
          <w:color w:val="auto"/>
          <w:sz w:val="21"/>
          <w:szCs w:val="21"/>
          <w:highlight w:val="none"/>
        </w:rPr>
        <w:t>可以分包履行的（非主体、非关键性的工作）具体内容、金额或者比例：</w:t>
      </w:r>
      <w:r>
        <w:rPr>
          <w:rFonts w:hint="eastAsia"/>
          <w:color w:val="auto"/>
          <w:sz w:val="21"/>
          <w:szCs w:val="21"/>
          <w:highlight w:val="none"/>
          <w:u w:val="single"/>
        </w:rPr>
        <w:t xml:space="preserve">  建筑垃圾外运</w:t>
      </w:r>
      <w:r>
        <w:rPr>
          <w:color w:val="auto"/>
          <w:sz w:val="21"/>
          <w:szCs w:val="21"/>
          <w:highlight w:val="none"/>
          <w:u w:val="single"/>
        </w:rPr>
        <w:t xml:space="preserve">  。</w:t>
      </w:r>
    </w:p>
    <w:p w14:paraId="564EDFF7">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说明：供应商根据磋商文件的规定和采购项目的实际情况，拟在成交后将成交项目的非主体、非关键性工作分包的，应当在响应文件中载明分包承担主体，分包承担主体应当具备相应资质条件且不得再次分包。</w:t>
      </w:r>
    </w:p>
    <w:p w14:paraId="20FF4F2C">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（八）质疑和投诉</w:t>
      </w:r>
    </w:p>
    <w:p w14:paraId="4B842DE6">
      <w:pPr>
        <w:adjustRightInd w:val="0"/>
        <w:snapToGrid w:val="0"/>
        <w:spacing w:line="288" w:lineRule="auto"/>
        <w:ind w:firstLine="396" w:firstLineChars="200"/>
        <w:jc w:val="left"/>
        <w:rPr>
          <w:rFonts w:cs="Times New Roman"/>
          <w:color w:val="auto"/>
          <w:spacing w:val="-6"/>
          <w:sz w:val="21"/>
          <w:szCs w:val="21"/>
          <w:highlight w:val="none"/>
        </w:rPr>
      </w:pPr>
      <w:bookmarkStart w:id="38" w:name="_Hlk92273406"/>
      <w:bookmarkStart w:id="39" w:name="_Hlk71884065"/>
      <w:r>
        <w:rPr>
          <w:rFonts w:hint="eastAsia" w:cs="Times New Roman"/>
          <w:color w:val="auto"/>
          <w:spacing w:val="-6"/>
          <w:sz w:val="21"/>
          <w:szCs w:val="21"/>
          <w:highlight w:val="none"/>
        </w:rPr>
        <w:t>1</w:t>
      </w:r>
      <w:r>
        <w:rPr>
          <w:rFonts w:cs="Times New Roman"/>
          <w:color w:val="auto"/>
          <w:spacing w:val="-6"/>
          <w:sz w:val="21"/>
          <w:szCs w:val="21"/>
          <w:highlight w:val="none"/>
        </w:rPr>
        <w:t>.</w:t>
      </w:r>
      <w:r>
        <w:rPr>
          <w:rFonts w:hint="eastAsia" w:cs="Times New Roman"/>
          <w:color w:val="auto"/>
          <w:spacing w:val="-6"/>
          <w:sz w:val="21"/>
          <w:szCs w:val="21"/>
          <w:highlight w:val="none"/>
        </w:rPr>
        <w:t>供应商认为采购文件、采购过程、中标或者成交结果使自己的权益受到损害的，可以在知道或者应知其权益受到损害之日起</w:t>
      </w:r>
      <w:r>
        <w:rPr>
          <w:rFonts w:cs="Times New Roman"/>
          <w:color w:val="auto"/>
          <w:spacing w:val="-6"/>
          <w:sz w:val="21"/>
          <w:szCs w:val="21"/>
          <w:highlight w:val="none"/>
        </w:rPr>
        <w:t>7个工作日内，以书面形式向采购人、采购代理机构提出质疑。</w:t>
      </w:r>
      <w:r>
        <w:rPr>
          <w:rFonts w:hint="eastAsia" w:cs="Times New Roman"/>
          <w:color w:val="auto"/>
          <w:spacing w:val="-6"/>
          <w:sz w:val="21"/>
          <w:szCs w:val="21"/>
          <w:highlight w:val="none"/>
        </w:rPr>
        <w:t>质疑供应商对采购人、采购代理机构的答复不满意，或者采购人、采购代理机构未在规定时间内作出答复的，可以在答复期满后</w:t>
      </w:r>
      <w:r>
        <w:rPr>
          <w:rFonts w:cs="Times New Roman"/>
          <w:color w:val="auto"/>
          <w:spacing w:val="-6"/>
          <w:sz w:val="21"/>
          <w:szCs w:val="21"/>
          <w:highlight w:val="none"/>
        </w:rPr>
        <w:t>15个工作日内向</w:t>
      </w:r>
      <w:r>
        <w:rPr>
          <w:rFonts w:hint="eastAsia" w:cs="Times New Roman"/>
          <w:color w:val="auto"/>
          <w:spacing w:val="-6"/>
          <w:sz w:val="21"/>
          <w:szCs w:val="21"/>
          <w:highlight w:val="none"/>
        </w:rPr>
        <w:t>本级财政部门</w:t>
      </w:r>
      <w:r>
        <w:rPr>
          <w:rFonts w:cs="Times New Roman"/>
          <w:color w:val="auto"/>
          <w:spacing w:val="-6"/>
          <w:sz w:val="21"/>
          <w:szCs w:val="21"/>
          <w:highlight w:val="none"/>
        </w:rPr>
        <w:t>提起投诉。</w:t>
      </w:r>
      <w:bookmarkEnd w:id="38"/>
    </w:p>
    <w:p w14:paraId="03E3C18F">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rPr>
        <w:t>2.供应商提出质疑应当提交质疑函和必要的证明材料，质疑函范本、投诉书范本请到浙江政府采购网下载专区</w:t>
      </w:r>
      <w:r>
        <w:rPr>
          <w:b/>
          <w:bCs/>
          <w:color w:val="auto"/>
          <w:sz w:val="21"/>
          <w:szCs w:val="21"/>
          <w:highlight w:val="none"/>
        </w:rPr>
        <w:t>下载。</w:t>
      </w:r>
      <w:r>
        <w:rPr>
          <w:rFonts w:hint="eastAsia"/>
          <w:b/>
          <w:bCs/>
          <w:color w:val="auto"/>
          <w:sz w:val="21"/>
          <w:szCs w:val="21"/>
          <w:highlight w:val="none"/>
        </w:rPr>
        <w:t>质疑函应当包括下列内容：</w:t>
      </w:r>
    </w:p>
    <w:p w14:paraId="1C970888">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（1）供应商的姓名或者名称、地址、邮编、联系人及联系电话；</w:t>
      </w:r>
    </w:p>
    <w:p w14:paraId="54002CA8">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（2）质疑项目的名称、编号；</w:t>
      </w:r>
    </w:p>
    <w:p w14:paraId="467F36B0">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（3）具体、明确的质疑事项和与质疑事项相关的请求；</w:t>
      </w:r>
    </w:p>
    <w:p w14:paraId="28365496">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（4）事实依据；</w:t>
      </w:r>
    </w:p>
    <w:p w14:paraId="3E2636F6">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（5）必要的法律依据；</w:t>
      </w:r>
    </w:p>
    <w:p w14:paraId="5E30314B">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（6）提出质疑的日期。</w:t>
      </w:r>
    </w:p>
    <w:p w14:paraId="615C8419">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供应商为自然人的，应当由本人签名；供应商为法人或者其他组织的，应当由法定代表人、主要负责人，或者其授权代表签名或者盖章，并加盖公章。</w:t>
      </w:r>
    </w:p>
    <w:p w14:paraId="17FAAEBF">
      <w:pPr>
        <w:adjustRightInd w:val="0"/>
        <w:snapToGrid w:val="0"/>
        <w:spacing w:line="288" w:lineRule="auto"/>
        <w:ind w:firstLine="420" w:firstLineChars="200"/>
        <w:rPr>
          <w:b/>
          <w:bCs/>
          <w:color w:val="auto"/>
          <w:sz w:val="21"/>
          <w:szCs w:val="21"/>
          <w:highlight w:val="none"/>
        </w:rPr>
      </w:pPr>
      <w:r>
        <w:rPr>
          <w:rFonts w:hint="eastAsia"/>
          <w:color w:val="auto"/>
          <w:sz w:val="21"/>
          <w:szCs w:val="21"/>
          <w:highlight w:val="none"/>
        </w:rPr>
        <w:t>3.提出质疑的供应商应当是参与本项目磋商响应活动的供应商。</w:t>
      </w:r>
      <w:r>
        <w:rPr>
          <w:rFonts w:hint="eastAsia"/>
          <w:b/>
          <w:bCs/>
          <w:color w:val="auto"/>
          <w:sz w:val="21"/>
          <w:szCs w:val="21"/>
          <w:highlight w:val="none"/>
        </w:rPr>
        <w:t>供应商在法定质疑期内应一次性提出针对同一采购程序环节的质疑。</w:t>
      </w:r>
    </w:p>
    <w:p w14:paraId="504193FA">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4.根据《政府采购质疑和投诉办法》第三十七条的规定，投诉人在全国范围12个月内三次以上投诉查无实据的，由财政部门列入不良行为记录名单。</w:t>
      </w:r>
    </w:p>
    <w:p w14:paraId="0EAA5CB1">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投诉人有下列行为之一的，属于虚假、恶意投诉，由财政部门列入不良行为记录名单，禁止其1至3年内参加政府采购活动：</w:t>
      </w:r>
    </w:p>
    <w:p w14:paraId="2A976E0A">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（1）捏造事实；</w:t>
      </w:r>
    </w:p>
    <w:p w14:paraId="715450E9">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（2）提供虚假材料；</w:t>
      </w:r>
    </w:p>
    <w:p w14:paraId="35F98283">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（3）以非法手段取得证明材料。证据来源的合法性存在明显疑问，投诉人无法证明其取得方式合法的，视为以非法手段取得证明材料。</w:t>
      </w:r>
    </w:p>
    <w:bookmarkEnd w:id="39"/>
    <w:p w14:paraId="6BD0EE67">
      <w:pPr>
        <w:adjustRightInd w:val="0"/>
        <w:snapToGrid w:val="0"/>
        <w:spacing w:line="288" w:lineRule="auto"/>
        <w:ind w:firstLine="199"/>
        <w:rPr>
          <w:b/>
          <w:color w:val="auto"/>
          <w:spacing w:val="-6"/>
          <w:kern w:val="0"/>
          <w:sz w:val="21"/>
          <w:szCs w:val="21"/>
          <w:highlight w:val="none"/>
        </w:rPr>
      </w:pPr>
      <w:bookmarkStart w:id="40" w:name="_Hlk92273111"/>
      <w:r>
        <w:rPr>
          <w:b/>
          <w:color w:val="auto"/>
          <w:spacing w:val="-6"/>
          <w:kern w:val="0"/>
          <w:sz w:val="21"/>
          <w:szCs w:val="21"/>
          <w:highlight w:val="none"/>
        </w:rPr>
        <w:t>（</w:t>
      </w:r>
      <w:r>
        <w:rPr>
          <w:rFonts w:hint="eastAsia"/>
          <w:b/>
          <w:color w:val="auto"/>
          <w:spacing w:val="-6"/>
          <w:kern w:val="0"/>
          <w:sz w:val="21"/>
          <w:szCs w:val="21"/>
          <w:highlight w:val="none"/>
        </w:rPr>
        <w:t>九</w:t>
      </w:r>
      <w:r>
        <w:rPr>
          <w:b/>
          <w:color w:val="auto"/>
          <w:spacing w:val="-6"/>
          <w:kern w:val="0"/>
          <w:sz w:val="21"/>
          <w:szCs w:val="21"/>
          <w:highlight w:val="none"/>
        </w:rPr>
        <w:t>）</w:t>
      </w:r>
      <w:r>
        <w:rPr>
          <w:rFonts w:hint="eastAsia"/>
          <w:b/>
          <w:color w:val="auto"/>
          <w:spacing w:val="-6"/>
          <w:kern w:val="0"/>
          <w:sz w:val="21"/>
          <w:szCs w:val="21"/>
          <w:highlight w:val="none"/>
        </w:rPr>
        <w:t>采购项目需要落实的政府采购政策</w:t>
      </w:r>
    </w:p>
    <w:p w14:paraId="6181F08E">
      <w:pPr>
        <w:adjustRightInd w:val="0"/>
        <w:snapToGrid w:val="0"/>
        <w:spacing w:line="288" w:lineRule="auto"/>
        <w:ind w:firstLine="398" w:firstLineChars="200"/>
        <w:jc w:val="left"/>
        <w:rPr>
          <w:rFonts w:cs="Times New Roman"/>
          <w:color w:val="auto"/>
          <w:spacing w:val="-6"/>
          <w:sz w:val="21"/>
          <w:szCs w:val="21"/>
          <w:highlight w:val="none"/>
        </w:rPr>
      </w:pPr>
      <w:r>
        <w:rPr>
          <w:rFonts w:hint="eastAsia" w:cs="Times New Roman"/>
          <w:b/>
          <w:bCs/>
          <w:color w:val="auto"/>
          <w:spacing w:val="-6"/>
          <w:sz w:val="21"/>
          <w:szCs w:val="21"/>
          <w:highlight w:val="none"/>
        </w:rPr>
        <w:t>1</w:t>
      </w:r>
      <w:r>
        <w:rPr>
          <w:rFonts w:cs="Times New Roman"/>
          <w:b/>
          <w:bCs/>
          <w:color w:val="auto"/>
          <w:spacing w:val="-6"/>
          <w:sz w:val="21"/>
          <w:szCs w:val="21"/>
          <w:highlight w:val="none"/>
        </w:rPr>
        <w:t>.</w:t>
      </w:r>
      <w:r>
        <w:rPr>
          <w:rFonts w:cs="Times New Roman"/>
          <w:color w:val="auto"/>
          <w:spacing w:val="-6"/>
          <w:sz w:val="21"/>
          <w:szCs w:val="21"/>
          <w:highlight w:val="none"/>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8DC1727">
      <w:pPr>
        <w:adjustRightInd w:val="0"/>
        <w:snapToGrid w:val="0"/>
        <w:spacing w:line="288" w:lineRule="auto"/>
        <w:ind w:firstLine="398" w:firstLineChars="200"/>
        <w:jc w:val="left"/>
        <w:rPr>
          <w:rFonts w:cs="Times New Roman"/>
          <w:b/>
          <w:bCs/>
          <w:color w:val="auto"/>
          <w:spacing w:val="-6"/>
          <w:sz w:val="21"/>
          <w:szCs w:val="21"/>
          <w:highlight w:val="none"/>
        </w:rPr>
      </w:pPr>
      <w:r>
        <w:rPr>
          <w:rFonts w:cs="Times New Roman"/>
          <w:b/>
          <w:bCs/>
          <w:color w:val="auto"/>
          <w:spacing w:val="-6"/>
          <w:sz w:val="21"/>
          <w:szCs w:val="21"/>
          <w:highlight w:val="none"/>
        </w:rPr>
        <w:t>2.支持绿色发展</w:t>
      </w:r>
    </w:p>
    <w:p w14:paraId="1FD4F083">
      <w:pPr>
        <w:adjustRightInd w:val="0"/>
        <w:snapToGrid w:val="0"/>
        <w:spacing w:line="288" w:lineRule="auto"/>
        <w:ind w:firstLine="396" w:firstLineChars="200"/>
        <w:jc w:val="left"/>
        <w:rPr>
          <w:rFonts w:cs="Times New Roman"/>
          <w:color w:val="auto"/>
          <w:spacing w:val="-6"/>
          <w:sz w:val="21"/>
          <w:szCs w:val="21"/>
          <w:highlight w:val="none"/>
        </w:rPr>
      </w:pPr>
      <w:r>
        <w:rPr>
          <w:rFonts w:cs="Times New Roman"/>
          <w:color w:val="auto"/>
          <w:spacing w:val="-6"/>
          <w:sz w:val="21"/>
          <w:szCs w:val="21"/>
          <w:highlight w:val="none"/>
        </w:rPr>
        <w:t>采购人拟采购的产品属于品目清单范围的，采购人及其委托的采购代理机构将依据国家确定的认证机构出具的、有效的节能产品、环境标志产品认证证书，对获得证书的产品实施政府优先采购或强制采购。供应商须按磋商文件要求提供相关产品认证证书。</w:t>
      </w:r>
    </w:p>
    <w:p w14:paraId="1D18EF36">
      <w:pPr>
        <w:adjustRightInd w:val="0"/>
        <w:snapToGrid w:val="0"/>
        <w:spacing w:line="288" w:lineRule="auto"/>
        <w:ind w:firstLine="396" w:firstLineChars="200"/>
        <w:jc w:val="left"/>
        <w:rPr>
          <w:rFonts w:cs="Times New Roman"/>
          <w:color w:val="auto"/>
          <w:spacing w:val="-6"/>
          <w:sz w:val="21"/>
          <w:szCs w:val="21"/>
          <w:highlight w:val="none"/>
          <w:u w:val="single"/>
        </w:rPr>
      </w:pPr>
      <w:r>
        <w:rPr>
          <w:rFonts w:cs="Times New Roman"/>
          <w:color w:val="auto"/>
          <w:spacing w:val="-6"/>
          <w:sz w:val="21"/>
          <w:szCs w:val="21"/>
          <w:highlight w:val="none"/>
          <w:u w:val="single"/>
        </w:rPr>
        <w:t>▲采购人拟采购的产品属于政府强制采购的节能产品品目清单范围的，供应商未按磋商文件要求提供国家确定的认证机构出具的、有效的节能产品认证证书的，</w:t>
      </w:r>
      <w:r>
        <w:rPr>
          <w:rFonts w:hint="eastAsia" w:cs="Times New Roman"/>
          <w:color w:val="auto"/>
          <w:spacing w:val="-6"/>
          <w:sz w:val="21"/>
          <w:szCs w:val="21"/>
          <w:highlight w:val="none"/>
          <w:u w:val="single"/>
        </w:rPr>
        <w:t>响应</w:t>
      </w:r>
      <w:r>
        <w:rPr>
          <w:rFonts w:cs="Times New Roman"/>
          <w:color w:val="auto"/>
          <w:spacing w:val="-6"/>
          <w:sz w:val="21"/>
          <w:szCs w:val="21"/>
          <w:highlight w:val="none"/>
          <w:u w:val="single"/>
        </w:rPr>
        <w:t>无效。</w:t>
      </w:r>
    </w:p>
    <w:p w14:paraId="1BF7A5D5">
      <w:pPr>
        <w:adjustRightInd w:val="0"/>
        <w:snapToGrid w:val="0"/>
        <w:spacing w:line="288" w:lineRule="auto"/>
        <w:ind w:firstLine="396" w:firstLineChars="200"/>
        <w:jc w:val="left"/>
        <w:rPr>
          <w:rFonts w:cs="Times New Roman"/>
          <w:color w:val="auto"/>
          <w:spacing w:val="-6"/>
          <w:sz w:val="21"/>
          <w:szCs w:val="21"/>
          <w:highlight w:val="none"/>
        </w:rPr>
      </w:pPr>
      <w:r>
        <w:rPr>
          <w:rFonts w:cs="Times New Roman"/>
          <w:color w:val="auto"/>
          <w:spacing w:val="-6"/>
          <w:sz w:val="21"/>
          <w:szCs w:val="21"/>
          <w:highlight w:val="none"/>
        </w:rPr>
        <w:t>修缮、装修类项目采购建材的，采购人应将绿色建筑和绿色建材性能、指标等作为实质性条件纳入磋商文件和合同。</w:t>
      </w:r>
    </w:p>
    <w:p w14:paraId="4664AE53">
      <w:pPr>
        <w:adjustRightInd w:val="0"/>
        <w:snapToGrid w:val="0"/>
        <w:spacing w:line="288" w:lineRule="auto"/>
        <w:ind w:firstLine="396" w:firstLineChars="200"/>
        <w:jc w:val="left"/>
        <w:rPr>
          <w:rFonts w:cs="Times New Roman"/>
          <w:color w:val="auto"/>
          <w:spacing w:val="-6"/>
          <w:sz w:val="21"/>
          <w:szCs w:val="21"/>
          <w:highlight w:val="none"/>
        </w:rPr>
      </w:pPr>
      <w:r>
        <w:rPr>
          <w:rFonts w:cs="Times New Roman"/>
          <w:color w:val="auto"/>
          <w:spacing w:val="-6"/>
          <w:sz w:val="21"/>
          <w:szCs w:val="21"/>
          <w:highlight w:val="none"/>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4075BFF">
      <w:pPr>
        <w:adjustRightInd w:val="0"/>
        <w:snapToGrid w:val="0"/>
        <w:spacing w:line="288" w:lineRule="auto"/>
        <w:ind w:firstLine="398" w:firstLineChars="200"/>
        <w:jc w:val="left"/>
        <w:rPr>
          <w:rFonts w:cs="Times New Roman"/>
          <w:b/>
          <w:bCs/>
          <w:color w:val="auto"/>
          <w:spacing w:val="-6"/>
          <w:sz w:val="21"/>
          <w:szCs w:val="21"/>
          <w:highlight w:val="none"/>
        </w:rPr>
      </w:pPr>
      <w:r>
        <w:rPr>
          <w:rFonts w:cs="Times New Roman"/>
          <w:b/>
          <w:bCs/>
          <w:color w:val="auto"/>
          <w:spacing w:val="-6"/>
          <w:sz w:val="21"/>
          <w:szCs w:val="21"/>
          <w:highlight w:val="none"/>
        </w:rPr>
        <w:t>3.支持科技创新</w:t>
      </w:r>
      <w:r>
        <w:rPr>
          <w:rFonts w:hint="eastAsia" w:cs="Times New Roman"/>
          <w:b/>
          <w:bCs/>
          <w:color w:val="auto"/>
          <w:spacing w:val="-6"/>
          <w:sz w:val="21"/>
          <w:szCs w:val="21"/>
          <w:highlight w:val="none"/>
        </w:rPr>
        <w:t>（不适用）</w:t>
      </w:r>
    </w:p>
    <w:p w14:paraId="38E26E6A">
      <w:pPr>
        <w:adjustRightInd w:val="0"/>
        <w:snapToGrid w:val="0"/>
        <w:spacing w:line="288" w:lineRule="auto"/>
        <w:ind w:firstLine="396" w:firstLineChars="200"/>
        <w:jc w:val="left"/>
        <w:rPr>
          <w:rFonts w:cs="Times New Roman"/>
          <w:color w:val="auto"/>
          <w:spacing w:val="-6"/>
          <w:sz w:val="21"/>
          <w:szCs w:val="21"/>
          <w:highlight w:val="none"/>
        </w:rPr>
      </w:pPr>
      <w:r>
        <w:rPr>
          <w:rFonts w:hint="eastAsia" w:cs="Times New Roman"/>
          <w:color w:val="auto"/>
          <w:spacing w:val="-6"/>
          <w:sz w:val="21"/>
          <w:szCs w:val="21"/>
          <w:highlight w:val="none"/>
        </w:rPr>
        <w:t>优先推荐专精特新中小企业、创新产品参加政府采购活动。对省级以上主管部门认定的首台套产品，自纳入《省推广应用指导目录》起三年内参加政府采购活动，视同已具备相应销售业绩，业绩分为满分。</w:t>
      </w:r>
      <w:bookmarkStart w:id="41" w:name="_Hlk106875293"/>
    </w:p>
    <w:bookmarkEnd w:id="41"/>
    <w:p w14:paraId="462603EF">
      <w:pPr>
        <w:adjustRightInd w:val="0"/>
        <w:snapToGrid w:val="0"/>
        <w:spacing w:line="288" w:lineRule="auto"/>
        <w:ind w:firstLine="398" w:firstLineChars="200"/>
        <w:jc w:val="left"/>
        <w:rPr>
          <w:rFonts w:cs="Times New Roman"/>
          <w:b/>
          <w:bCs/>
          <w:color w:val="auto"/>
          <w:spacing w:val="-6"/>
          <w:sz w:val="21"/>
          <w:szCs w:val="21"/>
          <w:highlight w:val="none"/>
        </w:rPr>
      </w:pPr>
      <w:r>
        <w:rPr>
          <w:rFonts w:cs="Times New Roman"/>
          <w:b/>
          <w:bCs/>
          <w:color w:val="auto"/>
          <w:spacing w:val="-6"/>
          <w:sz w:val="21"/>
          <w:szCs w:val="21"/>
          <w:highlight w:val="none"/>
        </w:rPr>
        <w:t>4.支持中小企业发展</w:t>
      </w:r>
    </w:p>
    <w:p w14:paraId="1998BEBF">
      <w:pPr>
        <w:adjustRightInd w:val="0"/>
        <w:snapToGrid w:val="0"/>
        <w:spacing w:line="288" w:lineRule="auto"/>
        <w:ind w:firstLine="396" w:firstLineChars="200"/>
        <w:jc w:val="left"/>
        <w:rPr>
          <w:rFonts w:cs="Times New Roman"/>
          <w:color w:val="auto"/>
          <w:spacing w:val="-6"/>
          <w:sz w:val="21"/>
          <w:szCs w:val="21"/>
          <w:highlight w:val="none"/>
        </w:rPr>
      </w:pPr>
      <w:r>
        <w:rPr>
          <w:rFonts w:cs="Times New Roman"/>
          <w:color w:val="auto"/>
          <w:spacing w:val="-6"/>
          <w:sz w:val="21"/>
          <w:szCs w:val="21"/>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w:t>
      </w:r>
    </w:p>
    <w:p w14:paraId="55481D7E">
      <w:pPr>
        <w:adjustRightInd w:val="0"/>
        <w:snapToGrid w:val="0"/>
        <w:spacing w:line="288" w:lineRule="auto"/>
        <w:ind w:firstLine="396" w:firstLineChars="200"/>
        <w:jc w:val="left"/>
        <w:rPr>
          <w:rFonts w:cs="Times New Roman"/>
          <w:color w:val="auto"/>
          <w:spacing w:val="-6"/>
          <w:sz w:val="21"/>
          <w:szCs w:val="21"/>
          <w:highlight w:val="none"/>
        </w:rPr>
      </w:pPr>
      <w:r>
        <w:rPr>
          <w:rFonts w:hint="eastAsia" w:cs="Times New Roman"/>
          <w:color w:val="auto"/>
          <w:spacing w:val="-6"/>
          <w:sz w:val="21"/>
          <w:szCs w:val="21"/>
          <w:highlight w:val="none"/>
        </w:rPr>
        <w:t>符合中小企业划分标准的个体工商户，在政府采购活动中视同中小企业。</w:t>
      </w:r>
    </w:p>
    <w:p w14:paraId="70F98B55">
      <w:pPr>
        <w:adjustRightInd w:val="0"/>
        <w:snapToGrid w:val="0"/>
        <w:spacing w:line="288" w:lineRule="auto"/>
        <w:ind w:firstLine="396" w:firstLineChars="200"/>
        <w:jc w:val="left"/>
        <w:rPr>
          <w:rFonts w:cs="Times New Roman"/>
          <w:color w:val="auto"/>
          <w:spacing w:val="-6"/>
          <w:sz w:val="21"/>
          <w:szCs w:val="21"/>
          <w:highlight w:val="none"/>
        </w:rPr>
      </w:pPr>
      <w:r>
        <w:rPr>
          <w:rFonts w:cs="Times New Roman"/>
          <w:color w:val="auto"/>
          <w:spacing w:val="-6"/>
          <w:sz w:val="21"/>
          <w:szCs w:val="21"/>
          <w:highlight w:val="none"/>
        </w:rPr>
        <w:t>在政府采购活动中，供应商提供的货物、工程或者服务符合下列情形的，享受中小企业扶持政策：</w:t>
      </w:r>
    </w:p>
    <w:p w14:paraId="5630A5D1">
      <w:pPr>
        <w:adjustRightInd w:val="0"/>
        <w:snapToGrid w:val="0"/>
        <w:spacing w:line="288" w:lineRule="auto"/>
        <w:ind w:firstLine="396" w:firstLineChars="200"/>
        <w:jc w:val="left"/>
        <w:rPr>
          <w:rFonts w:cs="Times New Roman"/>
          <w:color w:val="auto"/>
          <w:spacing w:val="-6"/>
          <w:sz w:val="21"/>
          <w:szCs w:val="21"/>
          <w:highlight w:val="none"/>
        </w:rPr>
      </w:pPr>
      <w:r>
        <w:rPr>
          <w:rFonts w:cs="Times New Roman"/>
          <w:color w:val="auto"/>
          <w:spacing w:val="-6"/>
          <w:sz w:val="21"/>
          <w:szCs w:val="21"/>
          <w:highlight w:val="none"/>
        </w:rPr>
        <w:t>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w:t>
      </w:r>
    </w:p>
    <w:p w14:paraId="0B55B691">
      <w:pPr>
        <w:adjustRightInd w:val="0"/>
        <w:snapToGrid w:val="0"/>
        <w:spacing w:line="288" w:lineRule="auto"/>
        <w:ind w:firstLine="396" w:firstLineChars="200"/>
        <w:jc w:val="left"/>
        <w:rPr>
          <w:rFonts w:cs="Times New Roman"/>
          <w:color w:val="auto"/>
          <w:spacing w:val="-6"/>
          <w:sz w:val="21"/>
          <w:szCs w:val="21"/>
          <w:highlight w:val="none"/>
        </w:rPr>
      </w:pPr>
      <w:r>
        <w:rPr>
          <w:rFonts w:hint="eastAsia" w:cs="Times New Roman"/>
          <w:color w:val="auto"/>
          <w:spacing w:val="-6"/>
          <w:sz w:val="21"/>
          <w:szCs w:val="21"/>
          <w:highlight w:val="none"/>
        </w:rPr>
        <w:t>在货物采购项目中，供应商提供的货物既有中小企业制造货物，也有大型企业制造货物的，不享受中小企业扶持政策。</w:t>
      </w:r>
    </w:p>
    <w:p w14:paraId="54246DC9">
      <w:pPr>
        <w:adjustRightInd w:val="0"/>
        <w:snapToGrid w:val="0"/>
        <w:spacing w:line="288" w:lineRule="auto"/>
        <w:ind w:firstLine="396" w:firstLineChars="200"/>
        <w:jc w:val="left"/>
        <w:rPr>
          <w:rFonts w:cs="Times New Roman"/>
          <w:color w:val="auto"/>
          <w:spacing w:val="-6"/>
          <w:sz w:val="21"/>
          <w:szCs w:val="21"/>
          <w:highlight w:val="none"/>
        </w:rPr>
      </w:pPr>
      <w:r>
        <w:rPr>
          <w:rFonts w:hint="eastAsia" w:cs="Times New Roman"/>
          <w:color w:val="auto"/>
          <w:spacing w:val="-6"/>
          <w:sz w:val="21"/>
          <w:szCs w:val="21"/>
          <w:highlight w:val="none"/>
        </w:rPr>
        <w:t>以联合体形式参加政府采购活动，联合体各方均为中小企业的，联合体视同中小企业。其中，联合体各方均为小微企业的，联合体视同小微企业。</w:t>
      </w:r>
    </w:p>
    <w:p w14:paraId="600C4B20">
      <w:pPr>
        <w:adjustRightInd w:val="0"/>
        <w:snapToGrid w:val="0"/>
        <w:spacing w:line="288" w:lineRule="auto"/>
        <w:ind w:firstLine="396" w:firstLineChars="200"/>
        <w:jc w:val="left"/>
        <w:rPr>
          <w:rFonts w:cs="Times New Roman"/>
          <w:color w:val="auto"/>
          <w:spacing w:val="-6"/>
          <w:sz w:val="21"/>
          <w:szCs w:val="21"/>
          <w:highlight w:val="none"/>
          <w:u w:val="single"/>
        </w:rPr>
      </w:pPr>
      <w:r>
        <w:rPr>
          <w:rFonts w:cs="Times New Roman"/>
          <w:color w:val="auto"/>
          <w:spacing w:val="-6"/>
          <w:sz w:val="21"/>
          <w:szCs w:val="21"/>
          <w:highlight w:val="none"/>
          <w:u w:val="single"/>
        </w:rPr>
        <w:t>符合《关于促进残疾人就业政府采购政策的通知》（财库〔2017〕141号）规定的条件并提供《残疾人福利性单位声明函》的残疾人福利性单位视同小型、微型企业；</w:t>
      </w:r>
    </w:p>
    <w:p w14:paraId="743D18EE">
      <w:pPr>
        <w:adjustRightInd w:val="0"/>
        <w:snapToGrid w:val="0"/>
        <w:spacing w:line="288" w:lineRule="auto"/>
        <w:ind w:firstLine="396" w:firstLineChars="200"/>
        <w:jc w:val="left"/>
        <w:rPr>
          <w:rFonts w:cs="Times New Roman"/>
          <w:color w:val="auto"/>
          <w:spacing w:val="-6"/>
          <w:sz w:val="21"/>
          <w:szCs w:val="21"/>
          <w:highlight w:val="none"/>
          <w:u w:val="single"/>
        </w:rPr>
      </w:pPr>
      <w:r>
        <w:rPr>
          <w:rFonts w:cs="Times New Roman"/>
          <w:color w:val="auto"/>
          <w:spacing w:val="-6"/>
          <w:sz w:val="21"/>
          <w:szCs w:val="21"/>
          <w:highlight w:val="none"/>
          <w:u w:val="single"/>
        </w:rPr>
        <w:t>符合《关于政府采购支持监狱企业发展有关问题的通知》（财库[2014]68号）规定的监狱企业并提供由省级以上监狱管理局、戒毒管理局（含新疆生产建设兵团）出具的属于监狱企业证明文件的，视同为小型、微型企业。</w:t>
      </w:r>
    </w:p>
    <w:p w14:paraId="7B3B9FF9">
      <w:pPr>
        <w:adjustRightInd w:val="0"/>
        <w:snapToGrid w:val="0"/>
        <w:spacing w:line="288" w:lineRule="auto"/>
        <w:ind w:firstLine="396" w:firstLineChars="200"/>
        <w:jc w:val="left"/>
        <w:rPr>
          <w:rFonts w:cs="Times New Roman"/>
          <w:color w:val="auto"/>
          <w:spacing w:val="-6"/>
          <w:sz w:val="21"/>
          <w:szCs w:val="21"/>
          <w:highlight w:val="none"/>
        </w:rPr>
      </w:pPr>
      <w:r>
        <w:rPr>
          <w:rFonts w:cs="Times New Roman"/>
          <w:color w:val="auto"/>
          <w:spacing w:val="-6"/>
          <w:sz w:val="21"/>
          <w:szCs w:val="21"/>
          <w:highlight w:val="none"/>
        </w:rPr>
        <w:t>可享受中小企业扶持政策的供应商应按照磋商文件格式要求提供《中小企业声明函》，供应商提供的《中小企业声明函》与实际情况不符的，不享受中小企业扶持政策。声明内容不实的，属于提供虚假材料谋取中标、成交的，依法承担法律责任。</w:t>
      </w:r>
    </w:p>
    <w:p w14:paraId="25836412">
      <w:pPr>
        <w:adjustRightInd w:val="0"/>
        <w:snapToGrid w:val="0"/>
        <w:spacing w:line="288" w:lineRule="auto"/>
        <w:ind w:firstLine="396" w:firstLineChars="200"/>
        <w:jc w:val="left"/>
        <w:rPr>
          <w:rFonts w:cs="Times New Roman"/>
          <w:color w:val="auto"/>
          <w:spacing w:val="-6"/>
          <w:sz w:val="21"/>
          <w:szCs w:val="21"/>
          <w:highlight w:val="none"/>
        </w:rPr>
      </w:pPr>
      <w:r>
        <w:rPr>
          <w:rFonts w:cs="Times New Roman"/>
          <w:color w:val="auto"/>
          <w:spacing w:val="-6"/>
          <w:sz w:val="21"/>
          <w:szCs w:val="21"/>
          <w:highlight w:val="none"/>
        </w:rPr>
        <w:t>中小企业享受扶持政策获得政府采购合同的，小微企业不得将合同分包给大中型企业，中型企业不得将合同分包给大型企业。</w:t>
      </w:r>
      <w:bookmarkEnd w:id="40"/>
    </w:p>
    <w:p w14:paraId="5C88568E">
      <w:pPr>
        <w:adjustRightInd w:val="0"/>
        <w:snapToGrid w:val="0"/>
        <w:spacing w:line="288" w:lineRule="auto"/>
        <w:ind w:firstLine="396" w:firstLineChars="200"/>
        <w:jc w:val="left"/>
        <w:rPr>
          <w:rFonts w:cs="Times New Roman"/>
          <w:color w:val="auto"/>
          <w:spacing w:val="-6"/>
          <w:sz w:val="21"/>
          <w:szCs w:val="21"/>
          <w:highlight w:val="none"/>
        </w:rPr>
      </w:pPr>
      <w:r>
        <w:rPr>
          <w:rFonts w:hint="eastAsia" w:cs="Times New Roman"/>
          <w:color w:val="auto"/>
          <w:spacing w:val="-6"/>
          <w:sz w:val="21"/>
          <w:szCs w:val="21"/>
          <w:highlight w:val="none"/>
        </w:rPr>
        <w:t>除财库</w:t>
      </w:r>
      <w:r>
        <w:rPr>
          <w:rFonts w:cs="Times New Roman"/>
          <w:color w:val="auto"/>
          <w:spacing w:val="-6"/>
          <w:sz w:val="21"/>
          <w:szCs w:val="21"/>
          <w:highlight w:val="none"/>
        </w:rPr>
        <w:t>《政府采购促进中小企业发展管理办法》</w:t>
      </w:r>
      <w:r>
        <w:rPr>
          <w:rFonts w:hint="eastAsia" w:cs="Times New Roman"/>
          <w:color w:val="auto"/>
          <w:spacing w:val="-6"/>
          <w:sz w:val="21"/>
          <w:szCs w:val="21"/>
          <w:highlight w:val="none"/>
        </w:rPr>
        <w:t>（财库〔</w:t>
      </w:r>
      <w:r>
        <w:rPr>
          <w:rFonts w:cs="Times New Roman"/>
          <w:color w:val="auto"/>
          <w:spacing w:val="-6"/>
          <w:sz w:val="21"/>
          <w:szCs w:val="21"/>
          <w:highlight w:val="none"/>
        </w:rPr>
        <w:t>2020〕46号</w:t>
      </w:r>
      <w:r>
        <w:rPr>
          <w:rFonts w:hint="eastAsia" w:cs="Times New Roman"/>
          <w:color w:val="auto"/>
          <w:spacing w:val="-6"/>
          <w:sz w:val="21"/>
          <w:szCs w:val="21"/>
          <w:highlight w:val="none"/>
        </w:rPr>
        <w:t>）、</w:t>
      </w:r>
      <w:r>
        <w:rPr>
          <w:rFonts w:cs="Times New Roman"/>
          <w:color w:val="auto"/>
          <w:spacing w:val="-6"/>
          <w:sz w:val="21"/>
          <w:szCs w:val="21"/>
          <w:highlight w:val="none"/>
        </w:rPr>
        <w:t>《关于促进残疾人就业政府采购政策的通知》（财库〔2017〕141号）</w:t>
      </w:r>
      <w:r>
        <w:rPr>
          <w:rFonts w:hint="eastAsia" w:cs="Times New Roman"/>
          <w:color w:val="auto"/>
          <w:spacing w:val="-6"/>
          <w:sz w:val="21"/>
          <w:szCs w:val="21"/>
          <w:highlight w:val="none"/>
        </w:rPr>
        <w:t>、</w:t>
      </w:r>
      <w:r>
        <w:rPr>
          <w:rFonts w:cs="Times New Roman"/>
          <w:color w:val="auto"/>
          <w:spacing w:val="-6"/>
          <w:sz w:val="21"/>
          <w:szCs w:val="21"/>
          <w:highlight w:val="none"/>
        </w:rPr>
        <w:t>《关于政府采购支持监狱企业发展有关问题的通知》（财库[2014]68号）规定企业类型以外的供应商不享受中小企业扶持政策</w:t>
      </w:r>
      <w:r>
        <w:rPr>
          <w:rFonts w:hint="eastAsia" w:cs="Times New Roman"/>
          <w:color w:val="auto"/>
          <w:spacing w:val="-6"/>
          <w:sz w:val="21"/>
          <w:szCs w:val="21"/>
          <w:highlight w:val="none"/>
        </w:rPr>
        <w:t>。</w:t>
      </w:r>
    </w:p>
    <w:p w14:paraId="1E38106B">
      <w:pPr>
        <w:adjustRightInd w:val="0"/>
        <w:snapToGrid w:val="0"/>
        <w:spacing w:line="288" w:lineRule="auto"/>
        <w:ind w:firstLine="211"/>
        <w:rPr>
          <w:color w:val="auto"/>
          <w:sz w:val="21"/>
          <w:szCs w:val="21"/>
          <w:highlight w:val="none"/>
        </w:rPr>
      </w:pPr>
      <w:r>
        <w:rPr>
          <w:rFonts w:hint="eastAsia"/>
          <w:color w:val="auto"/>
          <w:sz w:val="21"/>
          <w:szCs w:val="21"/>
          <w:highlight w:val="none"/>
        </w:rPr>
        <w:br w:type="page"/>
      </w:r>
    </w:p>
    <w:p w14:paraId="602ADFCC">
      <w:pPr>
        <w:adjustRightInd w:val="0"/>
        <w:snapToGrid w:val="0"/>
        <w:spacing w:line="288" w:lineRule="auto"/>
        <w:ind w:firstLine="211"/>
        <w:jc w:val="center"/>
        <w:outlineLvl w:val="1"/>
        <w:rPr>
          <w:b/>
          <w:bCs/>
          <w:color w:val="auto"/>
          <w:sz w:val="21"/>
          <w:szCs w:val="21"/>
          <w:highlight w:val="none"/>
        </w:rPr>
      </w:pPr>
      <w:r>
        <w:rPr>
          <w:rFonts w:hint="eastAsia"/>
          <w:b/>
          <w:bCs/>
          <w:color w:val="auto"/>
          <w:sz w:val="21"/>
          <w:szCs w:val="21"/>
          <w:highlight w:val="none"/>
        </w:rPr>
        <w:t>二、磋商文件</w:t>
      </w:r>
    </w:p>
    <w:p w14:paraId="591E3978">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（一）磋商文件的构成</w:t>
      </w:r>
    </w:p>
    <w:p w14:paraId="15C8861F">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本磋商文件由以下部分组成：</w:t>
      </w:r>
    </w:p>
    <w:p w14:paraId="775C4146">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1.采购邀请</w:t>
      </w:r>
    </w:p>
    <w:p w14:paraId="3B754660">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2.采购需求</w:t>
      </w:r>
    </w:p>
    <w:p w14:paraId="75C9A951">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3.供应商须知</w:t>
      </w:r>
    </w:p>
    <w:p w14:paraId="4E813DFD">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4.评审方法和评审标准</w:t>
      </w:r>
    </w:p>
    <w:p w14:paraId="17042CC1">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5.拟签订的合同文本</w:t>
      </w:r>
    </w:p>
    <w:p w14:paraId="7CF015D1">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6.响应文件格式</w:t>
      </w:r>
    </w:p>
    <w:p w14:paraId="05CBB9CA">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7.本项目磋商文件的澄清、答复、修改、补充的内容</w:t>
      </w:r>
    </w:p>
    <w:p w14:paraId="1A2DCC81">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（二）供应商的风险</w:t>
      </w:r>
    </w:p>
    <w:p w14:paraId="098DF82E">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供应商没有按照磋商文件要求提供全部资料，或者供应商没有对磋商文件在各方面作出实质性响应是供应商的风险，并可能导致其响应被拒绝。</w:t>
      </w:r>
    </w:p>
    <w:p w14:paraId="6B78CA5D">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（三）磋商文件的澄清与修改</w:t>
      </w:r>
    </w:p>
    <w:p w14:paraId="178FE46F">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1.提交首次响应文件截止之日前，采购人、采购代理机构可以对已发出的磋商文件进行必要的澄清或者修改，澄清或者修改的内容作为磋商文件的组成部分。</w:t>
      </w:r>
    </w:p>
    <w:p w14:paraId="0918347A">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澄清或者修改的内容可能影响响应文件编制的，采购人、采购代理机构会在提交首次响应文件截止时间至少5日前，以书面形式通知所有获取磋商文件的供应商；不足5日的，采购人、采购代理机构会顺延提交首次响应文件截止时间。</w:t>
      </w:r>
    </w:p>
    <w:p w14:paraId="240919A5">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2.磋商文件的修改将以书面形式通知所有获取磋商文件的供应商，并对其具有约束力。供应商在收到上述通知后，应立即向采购代理机构回函确认。若无书面回函确认，视同供应商已收到磋商文件修改的通知，并受其约束。</w:t>
      </w:r>
    </w:p>
    <w:p w14:paraId="4AC6EBBC">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3.磋商文件澄清、答复、修改、补充的内容为磋商文件的组成部分。当磋商文件与磋商文件的答复、澄清、修改、补充通知就同一内容的表述不一致时，以最后发出的书面形式文件为准。</w:t>
      </w:r>
    </w:p>
    <w:p w14:paraId="717C56DD">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4.磋商文件的澄清、答复、修改或补充都应该通过本采购代理机构以法定形式发布，采购人非通过本机构，不得擅自澄清、答复、修改或补充磋商文件。</w:t>
      </w:r>
    </w:p>
    <w:p w14:paraId="20E54946">
      <w:pPr>
        <w:adjustRightInd w:val="0"/>
        <w:snapToGrid w:val="0"/>
        <w:spacing w:line="288" w:lineRule="auto"/>
        <w:ind w:firstLine="211"/>
        <w:rPr>
          <w:color w:val="auto"/>
          <w:sz w:val="21"/>
          <w:szCs w:val="21"/>
          <w:highlight w:val="none"/>
        </w:rPr>
      </w:pPr>
      <w:r>
        <w:rPr>
          <w:rFonts w:hint="eastAsia"/>
          <w:color w:val="auto"/>
          <w:sz w:val="21"/>
          <w:szCs w:val="21"/>
          <w:highlight w:val="none"/>
        </w:rPr>
        <w:br w:type="page"/>
      </w:r>
    </w:p>
    <w:p w14:paraId="0ECB1316">
      <w:pPr>
        <w:adjustRightInd w:val="0"/>
        <w:snapToGrid w:val="0"/>
        <w:spacing w:line="288" w:lineRule="auto"/>
        <w:ind w:firstLine="211"/>
        <w:jc w:val="center"/>
        <w:outlineLvl w:val="1"/>
        <w:rPr>
          <w:b/>
          <w:bCs/>
          <w:color w:val="auto"/>
          <w:sz w:val="21"/>
          <w:szCs w:val="21"/>
          <w:highlight w:val="none"/>
        </w:rPr>
      </w:pPr>
      <w:r>
        <w:rPr>
          <w:rFonts w:hint="eastAsia"/>
          <w:b/>
          <w:bCs/>
          <w:color w:val="auto"/>
          <w:sz w:val="21"/>
          <w:szCs w:val="21"/>
          <w:highlight w:val="none"/>
        </w:rPr>
        <w:t>三、响应文件的编制</w:t>
      </w:r>
    </w:p>
    <w:p w14:paraId="6F7EF746">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（一）响应文件的组成</w:t>
      </w:r>
    </w:p>
    <w:p w14:paraId="06078C57">
      <w:pPr>
        <w:adjustRightInd w:val="0"/>
        <w:snapToGrid w:val="0"/>
        <w:spacing w:line="288" w:lineRule="auto"/>
        <w:ind w:firstLine="396" w:firstLineChars="200"/>
        <w:jc w:val="left"/>
        <w:rPr>
          <w:rFonts w:cs="Times New Roman"/>
          <w:color w:val="auto"/>
          <w:spacing w:val="-6"/>
          <w:sz w:val="21"/>
          <w:szCs w:val="21"/>
          <w:highlight w:val="none"/>
        </w:rPr>
      </w:pPr>
      <w:r>
        <w:rPr>
          <w:rFonts w:hint="eastAsia" w:cs="Times New Roman"/>
          <w:color w:val="auto"/>
          <w:spacing w:val="-6"/>
          <w:sz w:val="21"/>
          <w:szCs w:val="21"/>
          <w:highlight w:val="none"/>
        </w:rPr>
        <w:t>响应文件（电子加密响应文件）由</w:t>
      </w:r>
      <w:r>
        <w:rPr>
          <w:rFonts w:hint="eastAsia" w:cs="Times New Roman"/>
          <w:b/>
          <w:color w:val="auto"/>
          <w:spacing w:val="-6"/>
          <w:sz w:val="21"/>
          <w:szCs w:val="21"/>
          <w:highlight w:val="none"/>
        </w:rPr>
        <w:t>资格文件、报价文件、商务和技术文件三部分</w:t>
      </w:r>
      <w:r>
        <w:rPr>
          <w:rFonts w:hint="eastAsia" w:cs="Times New Roman"/>
          <w:bCs/>
          <w:color w:val="auto"/>
          <w:spacing w:val="-6"/>
          <w:sz w:val="21"/>
          <w:szCs w:val="21"/>
          <w:highlight w:val="none"/>
        </w:rPr>
        <w:t>组成（格式详见磋商文件第六章）。供应商应将响应文件各部分</w:t>
      </w:r>
      <w:r>
        <w:rPr>
          <w:rFonts w:hint="eastAsia" w:cs="Times New Roman"/>
          <w:b/>
          <w:color w:val="auto"/>
          <w:spacing w:val="-6"/>
          <w:sz w:val="21"/>
          <w:szCs w:val="21"/>
          <w:highlight w:val="none"/>
        </w:rPr>
        <w:t>分别上传</w:t>
      </w:r>
      <w:r>
        <w:rPr>
          <w:rFonts w:hint="eastAsia" w:cs="Times New Roman"/>
          <w:bCs/>
          <w:color w:val="auto"/>
          <w:spacing w:val="-6"/>
          <w:sz w:val="21"/>
          <w:szCs w:val="21"/>
          <w:highlight w:val="none"/>
        </w:rPr>
        <w:t>至政府采购云平台指定位置。</w:t>
      </w:r>
    </w:p>
    <w:p w14:paraId="40D3D15C">
      <w:pPr>
        <w:adjustRightInd w:val="0"/>
        <w:snapToGrid w:val="0"/>
        <w:spacing w:line="288" w:lineRule="auto"/>
        <w:ind w:firstLine="396" w:firstLineChars="200"/>
        <w:jc w:val="left"/>
        <w:rPr>
          <w:rFonts w:cs="Times New Roman"/>
          <w:color w:val="auto"/>
          <w:spacing w:val="-6"/>
          <w:sz w:val="21"/>
          <w:szCs w:val="21"/>
          <w:highlight w:val="none"/>
        </w:rPr>
      </w:pPr>
      <w:bookmarkStart w:id="42" w:name="_Hlk97039967"/>
      <w:r>
        <w:rPr>
          <w:rFonts w:hint="eastAsia" w:cs="Times New Roman"/>
          <w:color w:val="auto"/>
          <w:spacing w:val="-6"/>
          <w:sz w:val="21"/>
          <w:szCs w:val="21"/>
          <w:highlight w:val="none"/>
        </w:rPr>
        <w:t>响应文件组成：详见“第六章</w:t>
      </w:r>
      <w:r>
        <w:rPr>
          <w:rFonts w:cs="Times New Roman"/>
          <w:color w:val="auto"/>
          <w:spacing w:val="-6"/>
          <w:sz w:val="21"/>
          <w:szCs w:val="21"/>
          <w:highlight w:val="none"/>
        </w:rPr>
        <w:t xml:space="preserve">  </w:t>
      </w:r>
      <w:r>
        <w:rPr>
          <w:rFonts w:hint="eastAsia" w:cs="Times New Roman"/>
          <w:color w:val="auto"/>
          <w:spacing w:val="-6"/>
          <w:sz w:val="21"/>
          <w:szCs w:val="21"/>
          <w:highlight w:val="none"/>
        </w:rPr>
        <w:t>响应</w:t>
      </w:r>
      <w:r>
        <w:rPr>
          <w:rFonts w:cs="Times New Roman"/>
          <w:color w:val="auto"/>
          <w:spacing w:val="-6"/>
          <w:sz w:val="21"/>
          <w:szCs w:val="21"/>
          <w:highlight w:val="none"/>
        </w:rPr>
        <w:t>文件格式</w:t>
      </w:r>
      <w:r>
        <w:rPr>
          <w:rFonts w:hint="eastAsia" w:cs="Times New Roman"/>
          <w:color w:val="auto"/>
          <w:spacing w:val="-6"/>
          <w:sz w:val="21"/>
          <w:szCs w:val="21"/>
          <w:highlight w:val="none"/>
        </w:rPr>
        <w:t>”目录</w:t>
      </w:r>
    </w:p>
    <w:bookmarkEnd w:id="42"/>
    <w:p w14:paraId="1EC7E05F">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（二）响应文件的签署和份数</w:t>
      </w:r>
    </w:p>
    <w:p w14:paraId="0DAB0760">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1.供应商应按照磋商文件和政府采购云平台的要求，根据响应文件的组成规定的内容及顺序通过政采云电子交易客户端（政采云响应客户端）编制加密响应文件，响应文件内容不完整、编排混乱导致响应文件被误读、漏读或者查找不到相关内容的，是供应商的责任。</w:t>
      </w:r>
    </w:p>
    <w:p w14:paraId="6104906D">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2.响应文件须由供应商在规定位置加盖公章</w:t>
      </w:r>
      <w:bookmarkStart w:id="43" w:name="_Hlk96329193"/>
      <w:r>
        <w:rPr>
          <w:rFonts w:hint="eastAsia"/>
          <w:color w:val="auto"/>
          <w:sz w:val="21"/>
          <w:szCs w:val="21"/>
          <w:highlight w:val="none"/>
        </w:rPr>
        <w:t>，供应商应写全称。</w:t>
      </w:r>
      <w:bookmarkEnd w:id="43"/>
    </w:p>
    <w:p w14:paraId="05B9063A">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3.响应文件不得涂改，若有修改错漏处，须由供应商加盖公章，或者由供应商代表签名。响应文件因字迹潦草或表达不清所引起的后果由供应商负责。</w:t>
      </w:r>
    </w:p>
    <w:p w14:paraId="5ABD27CA">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rPr>
        <w:t>4.响应文件份数：</w:t>
      </w:r>
    </w:p>
    <w:p w14:paraId="28280110">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rPr>
        <w:t>电子加密响应文件：政府采购云平台在线上传一份；备份响应文件：密封包装后EMS或顺丰邮寄形式递交一份（邮寄地址：杭州市西湖区玉古路173号中田大厦21楼H室，浙江求是招标代理有限公司（陈培特）收，电话：0571-87666115，寄出后将（快递单号、项目名称、公司名称、联系方式等相关信息）发至：zb03@qszb.net，以便查收）。</w:t>
      </w:r>
    </w:p>
    <w:p w14:paraId="40B7139A">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rPr>
        <w:t>特别说明：双休日和法定节假日不收件，供应商自行承担邮寄风险。</w:t>
      </w:r>
    </w:p>
    <w:p w14:paraId="0543A016">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（三）响应文件的上传、递交、修改和撤回</w:t>
      </w:r>
    </w:p>
    <w:p w14:paraId="3D65A565">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1.响应文件的上传、递交：</w:t>
      </w:r>
    </w:p>
    <w:p w14:paraId="5D5AB898">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（1）电子加密响应文件的上传：</w:t>
      </w:r>
    </w:p>
    <w:p w14:paraId="4F12E752">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▲a.供应商应在响应文件提交截止时间前将电子加密响应文件成功上传至政府采购云平台，否则响应无效；</w:t>
      </w:r>
    </w:p>
    <w:p w14:paraId="51AF3B6B">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b.电子加密响应文件成功上传后，供应商可自行打印响应文件接收回执。</w:t>
      </w:r>
    </w:p>
    <w:p w14:paraId="5772E833">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（2）备份响应文件的密封包装、递交：</w:t>
      </w:r>
    </w:p>
    <w:p w14:paraId="75899360">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a.供应商在政府采购云平台完成电子加密响应文件的上传后，可以EMS或顺丰邮寄形式在响应文件提交截止时间前递交以介质（U盘）存储的数据电文形式的备份响应文件；</w:t>
      </w:r>
    </w:p>
    <w:p w14:paraId="4F3420C5">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b.备份响应文件应当密封包装并在包装上标注响应项目名称、供应商名称并加盖公章（非电子签章），供应商逾期送达或者未密封包装的备份响应文件采购代理机构将予以拒收；</w:t>
      </w:r>
    </w:p>
    <w:p w14:paraId="65850ED6">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▲c.通过政府采购云平台成功上传的电子加密响应文件已按时解密的，备份响应文件自动失效。</w:t>
      </w:r>
    </w:p>
    <w:p w14:paraId="673134AB">
      <w:pPr>
        <w:adjustRightInd w:val="0"/>
        <w:snapToGrid w:val="0"/>
        <w:spacing w:line="288" w:lineRule="auto"/>
        <w:ind w:firstLine="396" w:firstLineChars="200"/>
        <w:jc w:val="left"/>
        <w:rPr>
          <w:rFonts w:cs="Times New Roman"/>
          <w:color w:val="auto"/>
          <w:spacing w:val="-6"/>
          <w:sz w:val="21"/>
          <w:szCs w:val="21"/>
          <w:highlight w:val="none"/>
        </w:rPr>
      </w:pPr>
      <w:r>
        <w:rPr>
          <w:rFonts w:hint="eastAsia" w:cs="Times New Roman"/>
          <w:color w:val="auto"/>
          <w:spacing w:val="-6"/>
          <w:sz w:val="21"/>
          <w:szCs w:val="21"/>
          <w:highlight w:val="none"/>
        </w:rPr>
        <w:t>▲d.供应商仅递交备份响应文件而未将电子加密响应文件成功上传至政府采购云平台的，响应无效。</w:t>
      </w:r>
    </w:p>
    <w:p w14:paraId="5F4B50B0">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2.供应商应当在响应文件提交截止时间前完成响应文件的上传、递交，并可以补充、修改或者撤回响应文件。补充或者修改响应文件的，应当先行撤回原文件，补充、修改后重新上传、递交。响应文件提交截止时间前未完成上传、递交的，视为撤回响应文件。响应文件提交截止时间后上传、递交的响应文件，政府采购云平台及采购代理机构将予以拒收。</w:t>
      </w:r>
    </w:p>
    <w:p w14:paraId="403146B0">
      <w:pPr>
        <w:adjustRightInd w:val="0"/>
        <w:snapToGrid w:val="0"/>
        <w:spacing w:line="288" w:lineRule="auto"/>
        <w:ind w:firstLine="420" w:firstLineChars="200"/>
        <w:rPr>
          <w:color w:val="auto"/>
          <w:sz w:val="21"/>
          <w:szCs w:val="21"/>
          <w:highlight w:val="none"/>
        </w:rPr>
      </w:pPr>
      <w:r>
        <w:rPr>
          <w:color w:val="auto"/>
          <w:sz w:val="21"/>
          <w:szCs w:val="21"/>
          <w:highlight w:val="none"/>
        </w:rPr>
        <w:t>3.</w:t>
      </w:r>
      <w:r>
        <w:rPr>
          <w:rFonts w:hint="eastAsia"/>
          <w:color w:val="auto"/>
          <w:sz w:val="21"/>
          <w:szCs w:val="21"/>
          <w:highlight w:val="none"/>
        </w:rPr>
        <w:t>供应商</w:t>
      </w:r>
      <w:r>
        <w:rPr>
          <w:color w:val="auto"/>
          <w:sz w:val="21"/>
          <w:szCs w:val="21"/>
          <w:highlight w:val="none"/>
        </w:rPr>
        <w:t>因未在线参加开标而导致电子加密</w:t>
      </w:r>
      <w:r>
        <w:rPr>
          <w:rFonts w:hint="eastAsia"/>
          <w:color w:val="auto"/>
          <w:sz w:val="21"/>
          <w:szCs w:val="21"/>
          <w:highlight w:val="none"/>
        </w:rPr>
        <w:t>响应</w:t>
      </w:r>
      <w:r>
        <w:rPr>
          <w:color w:val="auto"/>
          <w:sz w:val="21"/>
          <w:szCs w:val="21"/>
          <w:highlight w:val="none"/>
        </w:rPr>
        <w:t>文件无法按时解密等一切后果由</w:t>
      </w:r>
      <w:r>
        <w:rPr>
          <w:rFonts w:hint="eastAsia"/>
          <w:color w:val="auto"/>
          <w:sz w:val="21"/>
          <w:szCs w:val="21"/>
          <w:highlight w:val="none"/>
        </w:rPr>
        <w:t>供应商</w:t>
      </w:r>
      <w:r>
        <w:rPr>
          <w:color w:val="auto"/>
          <w:sz w:val="21"/>
          <w:szCs w:val="21"/>
          <w:highlight w:val="none"/>
        </w:rPr>
        <w:t>自行承担。</w:t>
      </w:r>
    </w:p>
    <w:p w14:paraId="2F98F1CE">
      <w:pPr>
        <w:adjustRightInd w:val="0"/>
        <w:snapToGrid w:val="0"/>
        <w:spacing w:line="288" w:lineRule="auto"/>
        <w:ind w:firstLine="420" w:firstLineChars="200"/>
        <w:rPr>
          <w:color w:val="auto"/>
          <w:sz w:val="21"/>
          <w:szCs w:val="21"/>
          <w:highlight w:val="none"/>
        </w:rPr>
      </w:pPr>
      <w:r>
        <w:rPr>
          <w:color w:val="auto"/>
          <w:sz w:val="21"/>
          <w:szCs w:val="21"/>
          <w:highlight w:val="none"/>
        </w:rPr>
        <w:t>4.</w:t>
      </w:r>
      <w:r>
        <w:rPr>
          <w:rFonts w:hint="eastAsia"/>
          <w:color w:val="auto"/>
          <w:sz w:val="21"/>
          <w:szCs w:val="21"/>
          <w:highlight w:val="none"/>
        </w:rPr>
        <w:t>供应商</w:t>
      </w:r>
      <w:r>
        <w:rPr>
          <w:color w:val="auto"/>
          <w:sz w:val="21"/>
          <w:szCs w:val="21"/>
          <w:highlight w:val="none"/>
        </w:rPr>
        <w:t>应按照</w:t>
      </w:r>
      <w:r>
        <w:rPr>
          <w:rFonts w:hint="eastAsia"/>
          <w:color w:val="auto"/>
          <w:sz w:val="21"/>
          <w:szCs w:val="21"/>
          <w:highlight w:val="none"/>
        </w:rPr>
        <w:t>磋商</w:t>
      </w:r>
      <w:r>
        <w:rPr>
          <w:color w:val="auto"/>
          <w:sz w:val="21"/>
          <w:szCs w:val="21"/>
          <w:highlight w:val="none"/>
        </w:rPr>
        <w:t>文件和政府采购云平台的要求，根据</w:t>
      </w:r>
      <w:r>
        <w:rPr>
          <w:rFonts w:hint="eastAsia"/>
          <w:color w:val="auto"/>
          <w:sz w:val="21"/>
          <w:szCs w:val="21"/>
          <w:highlight w:val="none"/>
        </w:rPr>
        <w:t>响应</w:t>
      </w:r>
      <w:r>
        <w:rPr>
          <w:color w:val="auto"/>
          <w:sz w:val="21"/>
          <w:szCs w:val="21"/>
          <w:highlight w:val="none"/>
        </w:rPr>
        <w:t>文件的组成规定的内容及顺序通过政采云电子交易客户端（政采云响应客户端）编制加密</w:t>
      </w:r>
      <w:r>
        <w:rPr>
          <w:rFonts w:hint="eastAsia"/>
          <w:color w:val="auto"/>
          <w:sz w:val="21"/>
          <w:szCs w:val="21"/>
          <w:highlight w:val="none"/>
        </w:rPr>
        <w:t>响应</w:t>
      </w:r>
      <w:r>
        <w:rPr>
          <w:color w:val="auto"/>
          <w:sz w:val="21"/>
          <w:szCs w:val="21"/>
          <w:highlight w:val="none"/>
        </w:rPr>
        <w:t>文件。</w:t>
      </w:r>
    </w:p>
    <w:p w14:paraId="61137666">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rPr>
        <w:t>备注：</w:t>
      </w:r>
    </w:p>
    <w:p w14:paraId="463485B7">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rPr>
        <w:t>供应商可通过浙江省“电子交易/不见面开评标”学习专题提前进行专题学习，熟悉操作，避免影响采购活动（https://edu.zcygov.cn/luban/e-biding）。</w:t>
      </w:r>
    </w:p>
    <w:p w14:paraId="1152978A">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（四）响应文件的语言及计量</w:t>
      </w:r>
    </w:p>
    <w:p w14:paraId="1824163C">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响应文件以及供应商与采购人或采购代理机构就有关磋商响应事宜的所有来往函电，均应以中文汉语书写。除签名、盖章、专用名称等特殊情形外，以中文汉语以外的文字表述的响应文件视同未提供（有中文汉语说明的除外）。</w:t>
      </w:r>
    </w:p>
    <w:p w14:paraId="38A2D1AE">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（五）磋商报价</w:t>
      </w:r>
    </w:p>
    <w:p w14:paraId="1DF76DFB">
      <w:pPr>
        <w:adjustRightInd w:val="0"/>
        <w:snapToGrid w:val="0"/>
        <w:spacing w:line="288" w:lineRule="auto"/>
        <w:ind w:firstLine="420" w:firstLineChars="200"/>
        <w:rPr>
          <w:color w:val="auto"/>
          <w:sz w:val="21"/>
          <w:szCs w:val="21"/>
          <w:highlight w:val="none"/>
        </w:rPr>
      </w:pPr>
      <w:r>
        <w:rPr>
          <w:color w:val="auto"/>
          <w:sz w:val="21"/>
          <w:szCs w:val="21"/>
          <w:highlight w:val="none"/>
        </w:rPr>
        <w:t>1.报价应按磋商文件要求的格式编制、填写报价内容（可自行增行），未按磋商文件要求编制、填写的响应文件可能被拒绝；</w:t>
      </w:r>
    </w:p>
    <w:p w14:paraId="2120332A">
      <w:pPr>
        <w:adjustRightInd w:val="0"/>
        <w:snapToGrid w:val="0"/>
        <w:spacing w:line="288" w:lineRule="auto"/>
        <w:ind w:firstLine="420" w:firstLineChars="200"/>
        <w:rPr>
          <w:color w:val="auto"/>
          <w:sz w:val="21"/>
          <w:szCs w:val="21"/>
          <w:highlight w:val="none"/>
        </w:rPr>
      </w:pPr>
      <w:r>
        <w:rPr>
          <w:color w:val="auto"/>
          <w:sz w:val="21"/>
          <w:szCs w:val="21"/>
          <w:highlight w:val="none"/>
        </w:rPr>
        <w:t>2.本次磋商采用人民币报价；</w:t>
      </w:r>
    </w:p>
    <w:p w14:paraId="2BAC7DB0">
      <w:pPr>
        <w:adjustRightInd w:val="0"/>
        <w:snapToGrid w:val="0"/>
        <w:spacing w:line="288" w:lineRule="auto"/>
        <w:ind w:firstLine="420" w:firstLineChars="200"/>
        <w:rPr>
          <w:color w:val="auto"/>
          <w:sz w:val="21"/>
          <w:szCs w:val="21"/>
          <w:highlight w:val="none"/>
        </w:rPr>
      </w:pPr>
      <w:r>
        <w:rPr>
          <w:color w:val="auto"/>
          <w:sz w:val="21"/>
          <w:szCs w:val="21"/>
          <w:highlight w:val="none"/>
        </w:rPr>
        <w:t>3.最后磋商报价是履行合同的最终价格，</w:t>
      </w:r>
      <w:r>
        <w:rPr>
          <w:rFonts w:hint="eastAsia"/>
          <w:color w:val="auto"/>
          <w:sz w:val="21"/>
          <w:szCs w:val="21"/>
          <w:highlight w:val="none"/>
        </w:rPr>
        <w:t>有关本项目实施所涉及的一切费用均计入报价</w:t>
      </w:r>
      <w:r>
        <w:rPr>
          <w:color w:val="auto"/>
          <w:sz w:val="21"/>
          <w:szCs w:val="21"/>
          <w:highlight w:val="none"/>
        </w:rPr>
        <w:t>。</w:t>
      </w:r>
    </w:p>
    <w:p w14:paraId="68DEA00F">
      <w:pPr>
        <w:adjustRightInd w:val="0"/>
        <w:snapToGrid w:val="0"/>
        <w:spacing w:line="288" w:lineRule="auto"/>
        <w:ind w:firstLine="420" w:firstLineChars="200"/>
        <w:jc w:val="left"/>
        <w:rPr>
          <w:rFonts w:cs="Times New Roman"/>
          <w:color w:val="auto"/>
          <w:sz w:val="21"/>
          <w:szCs w:val="21"/>
          <w:highlight w:val="none"/>
        </w:rPr>
      </w:pPr>
      <w:r>
        <w:rPr>
          <w:rFonts w:hint="eastAsia"/>
          <w:color w:val="auto"/>
          <w:sz w:val="21"/>
          <w:szCs w:val="21"/>
          <w:highlight w:val="none"/>
        </w:rPr>
        <w:t>▲</w:t>
      </w:r>
      <w:r>
        <w:rPr>
          <w:color w:val="auto"/>
          <w:sz w:val="21"/>
          <w:szCs w:val="21"/>
          <w:highlight w:val="none"/>
        </w:rPr>
        <w:t>4.采购人将以合同形式有偿取得货物或服务，不接受供应商给予的赠品、回扣或者与采购无关的其他商品、服务，不得出现“0元”“免费赠送”等形式的无偿报价，否则视为响应文件含有采购人不能接受的附加条件的，响应无效。</w:t>
      </w:r>
    </w:p>
    <w:p w14:paraId="57D6EBA5">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（六）响应有效期</w:t>
      </w:r>
    </w:p>
    <w:p w14:paraId="490A84CA">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▲从提交响应文件的截止之日起90天。在原响应有效期满之前，如果出现特殊情况，采购人或采购代理机构以书面形式通知供应商延长响应有效期。</w:t>
      </w:r>
    </w:p>
    <w:p w14:paraId="52B6B630">
      <w:pPr>
        <w:widowControl/>
        <w:adjustRightInd w:val="0"/>
        <w:snapToGrid w:val="0"/>
        <w:spacing w:line="288" w:lineRule="auto"/>
        <w:ind w:firstLine="211"/>
        <w:jc w:val="left"/>
        <w:rPr>
          <w:b/>
          <w:bCs/>
          <w:color w:val="auto"/>
          <w:sz w:val="21"/>
          <w:szCs w:val="21"/>
          <w:highlight w:val="none"/>
        </w:rPr>
      </w:pPr>
      <w:r>
        <w:rPr>
          <w:b/>
          <w:bCs/>
          <w:color w:val="auto"/>
          <w:sz w:val="21"/>
          <w:szCs w:val="21"/>
          <w:highlight w:val="none"/>
        </w:rPr>
        <w:br w:type="page"/>
      </w:r>
    </w:p>
    <w:p w14:paraId="2BC6E4A6">
      <w:pPr>
        <w:adjustRightInd w:val="0"/>
        <w:snapToGrid w:val="0"/>
        <w:spacing w:line="288" w:lineRule="auto"/>
        <w:ind w:firstLine="211"/>
        <w:jc w:val="center"/>
        <w:outlineLvl w:val="1"/>
        <w:rPr>
          <w:b/>
          <w:bCs/>
          <w:color w:val="auto"/>
          <w:sz w:val="21"/>
          <w:szCs w:val="21"/>
          <w:highlight w:val="none"/>
        </w:rPr>
      </w:pPr>
      <w:r>
        <w:rPr>
          <w:rFonts w:hint="eastAsia"/>
          <w:b/>
          <w:bCs/>
          <w:color w:val="auto"/>
          <w:sz w:val="21"/>
          <w:szCs w:val="21"/>
          <w:highlight w:val="none"/>
        </w:rPr>
        <w:t>四、响应无效的情形</w:t>
      </w:r>
    </w:p>
    <w:p w14:paraId="041E0ACD">
      <w:pPr>
        <w:adjustRightInd w:val="0"/>
        <w:snapToGrid w:val="0"/>
        <w:spacing w:line="288" w:lineRule="auto"/>
        <w:ind w:firstLine="420" w:firstLineChars="200"/>
        <w:rPr>
          <w:color w:val="auto"/>
          <w:sz w:val="21"/>
          <w:szCs w:val="21"/>
          <w:highlight w:val="none"/>
        </w:rPr>
      </w:pPr>
      <w:bookmarkStart w:id="44" w:name="_Hlk97039899"/>
      <w:r>
        <w:rPr>
          <w:rFonts w:hint="eastAsia"/>
          <w:color w:val="auto"/>
          <w:sz w:val="21"/>
          <w:szCs w:val="21"/>
          <w:highlight w:val="none"/>
        </w:rPr>
        <w:t>未响应磋商文件“▲”标记条款要求的，响应无效。</w:t>
      </w:r>
    </w:p>
    <w:bookmarkEnd w:id="44"/>
    <w:p w14:paraId="2A0836A0">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rPr>
        <w:t>1.在资格审查时，如发现下列情形之一的，响应文件将被视为无效：</w:t>
      </w:r>
    </w:p>
    <w:p w14:paraId="4DA64926">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（1）资格证明材料不全的，或者不符合磋商文件要求的；</w:t>
      </w:r>
    </w:p>
    <w:p w14:paraId="17027ABF">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w:t>
      </w:r>
      <w:r>
        <w:rPr>
          <w:color w:val="auto"/>
          <w:sz w:val="21"/>
          <w:szCs w:val="21"/>
          <w:highlight w:val="none"/>
        </w:rPr>
        <w:t>2</w:t>
      </w:r>
      <w:r>
        <w:rPr>
          <w:rFonts w:hint="eastAsia"/>
          <w:color w:val="auto"/>
          <w:sz w:val="21"/>
          <w:szCs w:val="21"/>
          <w:highlight w:val="none"/>
        </w:rPr>
        <w:t>）供应商不具备磋商文件中规定的资格要求的；</w:t>
      </w:r>
    </w:p>
    <w:p w14:paraId="507C567A">
      <w:pPr>
        <w:adjustRightInd w:val="0"/>
        <w:snapToGrid w:val="0"/>
        <w:spacing w:line="288" w:lineRule="auto"/>
        <w:ind w:firstLine="420" w:firstLineChars="200"/>
        <w:rPr>
          <w:color w:val="auto"/>
          <w:sz w:val="21"/>
          <w:szCs w:val="21"/>
          <w:highlight w:val="none"/>
        </w:rPr>
      </w:pPr>
      <w:bookmarkStart w:id="45" w:name="_Hlk97039841"/>
      <w:r>
        <w:rPr>
          <w:rFonts w:hint="eastAsia"/>
          <w:color w:val="auto"/>
          <w:sz w:val="21"/>
          <w:szCs w:val="21"/>
          <w:highlight w:val="none"/>
        </w:rPr>
        <w:t>（3）资格文件未按要求签署、盖章的。</w:t>
      </w:r>
    </w:p>
    <w:p w14:paraId="0604B984">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w:t>
      </w:r>
      <w:r>
        <w:rPr>
          <w:color w:val="auto"/>
          <w:sz w:val="21"/>
          <w:szCs w:val="21"/>
          <w:highlight w:val="none"/>
        </w:rPr>
        <w:t>4）预留份额专门面向中小企业采购的项目（包括整体、联合体、分包形式），供应商提供《中小企业声明函》内容不实的；《中小企业声明函》填写不全（从业人员、营业收入、资产总额在中小企业划型标准规定中不涉及的除外），或未按照《中小企业声明函》要求填写的。</w:t>
      </w:r>
    </w:p>
    <w:bookmarkEnd w:id="45"/>
    <w:p w14:paraId="5ACE3CC4">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rPr>
        <w:t>2.在符合性审查、商务和技术评审时，如发现下列情形之一的，响应文件将被视为无效：</w:t>
      </w:r>
    </w:p>
    <w:p w14:paraId="305D84EC">
      <w:pPr>
        <w:adjustRightInd w:val="0"/>
        <w:snapToGrid w:val="0"/>
        <w:spacing w:line="288" w:lineRule="auto"/>
        <w:ind w:firstLine="420" w:firstLineChars="200"/>
        <w:jc w:val="left"/>
        <w:rPr>
          <w:color w:val="auto"/>
          <w:sz w:val="21"/>
          <w:szCs w:val="21"/>
          <w:highlight w:val="none"/>
        </w:rPr>
      </w:pPr>
      <w:r>
        <w:rPr>
          <w:rFonts w:hint="eastAsia"/>
          <w:color w:val="auto"/>
          <w:sz w:val="21"/>
          <w:szCs w:val="21"/>
          <w:highlight w:val="none"/>
        </w:rPr>
        <w:t>（1）商务和技术文件未按要求签署、盖章的；</w:t>
      </w:r>
    </w:p>
    <w:p w14:paraId="2337C24D">
      <w:pPr>
        <w:adjustRightInd w:val="0"/>
        <w:snapToGrid w:val="0"/>
        <w:spacing w:line="288" w:lineRule="auto"/>
        <w:ind w:firstLine="420" w:firstLineChars="200"/>
        <w:jc w:val="left"/>
        <w:rPr>
          <w:color w:val="auto"/>
          <w:sz w:val="21"/>
          <w:szCs w:val="21"/>
          <w:highlight w:val="none"/>
        </w:rPr>
      </w:pPr>
      <w:r>
        <w:rPr>
          <w:rFonts w:hint="eastAsia"/>
          <w:color w:val="auto"/>
          <w:sz w:val="21"/>
          <w:szCs w:val="21"/>
          <w:highlight w:val="none"/>
        </w:rPr>
        <w:t>（2）未提供或未按要求提供响应函、授权委托书、项目经理无在建工程声明函；</w:t>
      </w:r>
    </w:p>
    <w:p w14:paraId="579A7885">
      <w:pPr>
        <w:adjustRightInd w:val="0"/>
        <w:snapToGrid w:val="0"/>
        <w:spacing w:line="288" w:lineRule="auto"/>
        <w:ind w:firstLine="420" w:firstLineChars="200"/>
        <w:jc w:val="left"/>
        <w:rPr>
          <w:color w:val="auto"/>
          <w:sz w:val="21"/>
          <w:szCs w:val="21"/>
          <w:highlight w:val="none"/>
        </w:rPr>
      </w:pPr>
      <w:r>
        <w:rPr>
          <w:rFonts w:hint="eastAsia"/>
          <w:color w:val="auto"/>
          <w:sz w:val="21"/>
          <w:szCs w:val="21"/>
          <w:highlight w:val="none"/>
        </w:rPr>
        <w:t>（3）</w:t>
      </w:r>
      <w:r>
        <w:rPr>
          <w:color w:val="auto"/>
          <w:sz w:val="21"/>
          <w:szCs w:val="21"/>
          <w:highlight w:val="none"/>
        </w:rPr>
        <w:t>委托授权代表参加</w:t>
      </w:r>
      <w:r>
        <w:rPr>
          <w:rFonts w:hint="eastAsia"/>
          <w:color w:val="auto"/>
          <w:sz w:val="21"/>
          <w:szCs w:val="21"/>
          <w:highlight w:val="none"/>
        </w:rPr>
        <w:t>采购活动</w:t>
      </w:r>
      <w:r>
        <w:rPr>
          <w:color w:val="auto"/>
          <w:sz w:val="21"/>
          <w:szCs w:val="21"/>
          <w:highlight w:val="none"/>
        </w:rPr>
        <w:t>但未提供符合要求的授权代表社保缴纳证明</w:t>
      </w:r>
      <w:r>
        <w:rPr>
          <w:rFonts w:hint="eastAsia"/>
          <w:color w:val="auto"/>
          <w:sz w:val="21"/>
          <w:szCs w:val="21"/>
          <w:highlight w:val="none"/>
        </w:rPr>
        <w:t>；</w:t>
      </w:r>
    </w:p>
    <w:p w14:paraId="40102FF1">
      <w:pPr>
        <w:adjustRightInd w:val="0"/>
        <w:snapToGrid w:val="0"/>
        <w:spacing w:line="288" w:lineRule="auto"/>
        <w:ind w:firstLine="420" w:firstLineChars="200"/>
        <w:jc w:val="left"/>
        <w:rPr>
          <w:color w:val="auto"/>
          <w:sz w:val="21"/>
          <w:szCs w:val="21"/>
          <w:highlight w:val="none"/>
        </w:rPr>
      </w:pPr>
      <w:r>
        <w:rPr>
          <w:rFonts w:hint="eastAsia"/>
          <w:color w:val="auto"/>
          <w:sz w:val="21"/>
          <w:szCs w:val="21"/>
          <w:highlight w:val="none"/>
        </w:rPr>
        <w:t>（4）未提供或未如实提供采购需求偏离表的；</w:t>
      </w:r>
    </w:p>
    <w:p w14:paraId="0C2B06B8">
      <w:pPr>
        <w:adjustRightInd w:val="0"/>
        <w:snapToGrid w:val="0"/>
        <w:spacing w:line="288" w:lineRule="auto"/>
        <w:ind w:firstLine="420" w:firstLineChars="200"/>
        <w:jc w:val="left"/>
        <w:rPr>
          <w:color w:val="auto"/>
          <w:sz w:val="21"/>
          <w:szCs w:val="21"/>
          <w:highlight w:val="none"/>
        </w:rPr>
      </w:pPr>
      <w:r>
        <w:rPr>
          <w:rFonts w:hint="eastAsia"/>
          <w:color w:val="auto"/>
          <w:sz w:val="21"/>
          <w:szCs w:val="21"/>
          <w:highlight w:val="none"/>
        </w:rPr>
        <w:t>（5）明显不符合磋商文件要求，</w:t>
      </w:r>
      <w:r>
        <w:rPr>
          <w:rFonts w:hint="eastAsia"/>
          <w:color w:val="auto"/>
          <w:spacing w:val="-6"/>
          <w:sz w:val="21"/>
          <w:szCs w:val="21"/>
          <w:highlight w:val="none"/>
        </w:rPr>
        <w:t>视为采购人不能接受的附加条件；</w:t>
      </w:r>
    </w:p>
    <w:p w14:paraId="5CCE34BC">
      <w:pPr>
        <w:adjustRightInd w:val="0"/>
        <w:snapToGrid w:val="0"/>
        <w:spacing w:line="288" w:lineRule="auto"/>
        <w:ind w:firstLine="420" w:firstLineChars="200"/>
        <w:jc w:val="left"/>
        <w:rPr>
          <w:color w:val="auto"/>
          <w:sz w:val="21"/>
          <w:szCs w:val="21"/>
          <w:highlight w:val="none"/>
        </w:rPr>
      </w:pPr>
      <w:r>
        <w:rPr>
          <w:rFonts w:hint="eastAsia"/>
          <w:color w:val="auto"/>
          <w:sz w:val="21"/>
          <w:szCs w:val="21"/>
          <w:highlight w:val="none"/>
        </w:rPr>
        <w:t>（</w:t>
      </w:r>
      <w:r>
        <w:rPr>
          <w:color w:val="auto"/>
          <w:sz w:val="21"/>
          <w:szCs w:val="21"/>
          <w:highlight w:val="none"/>
        </w:rPr>
        <w:t>6</w:t>
      </w:r>
      <w:r>
        <w:rPr>
          <w:rFonts w:hint="eastAsia"/>
          <w:color w:val="auto"/>
          <w:sz w:val="21"/>
          <w:szCs w:val="21"/>
          <w:highlight w:val="none"/>
        </w:rPr>
        <w:t>）响应技术方案不明确，存在一个或一个以上备选（替代）响应方案的；</w:t>
      </w:r>
    </w:p>
    <w:p w14:paraId="1346004D">
      <w:pPr>
        <w:adjustRightInd w:val="0"/>
        <w:snapToGrid w:val="0"/>
        <w:spacing w:line="288" w:lineRule="auto"/>
        <w:ind w:firstLine="420" w:firstLineChars="200"/>
        <w:jc w:val="left"/>
        <w:rPr>
          <w:color w:val="auto"/>
          <w:sz w:val="21"/>
          <w:szCs w:val="21"/>
          <w:highlight w:val="none"/>
        </w:rPr>
      </w:pPr>
      <w:r>
        <w:rPr>
          <w:rFonts w:hint="eastAsia"/>
          <w:color w:val="auto"/>
          <w:sz w:val="21"/>
          <w:szCs w:val="21"/>
          <w:highlight w:val="none"/>
        </w:rPr>
        <w:t>（</w:t>
      </w:r>
      <w:r>
        <w:rPr>
          <w:color w:val="auto"/>
          <w:sz w:val="21"/>
          <w:szCs w:val="21"/>
          <w:highlight w:val="none"/>
        </w:rPr>
        <w:t>7</w:t>
      </w:r>
      <w:r>
        <w:rPr>
          <w:rFonts w:hint="eastAsia"/>
          <w:color w:val="auto"/>
          <w:sz w:val="21"/>
          <w:szCs w:val="21"/>
          <w:highlight w:val="none"/>
        </w:rPr>
        <w:t>）响应文件含有采购人不能接受的附加条件的；</w:t>
      </w:r>
    </w:p>
    <w:p w14:paraId="01F56726">
      <w:pPr>
        <w:adjustRightInd w:val="0"/>
        <w:snapToGrid w:val="0"/>
        <w:spacing w:line="288" w:lineRule="auto"/>
        <w:ind w:firstLine="420" w:firstLineChars="200"/>
        <w:jc w:val="left"/>
        <w:rPr>
          <w:color w:val="auto"/>
          <w:sz w:val="21"/>
          <w:szCs w:val="21"/>
          <w:highlight w:val="none"/>
        </w:rPr>
      </w:pPr>
      <w:r>
        <w:rPr>
          <w:rFonts w:hint="eastAsia"/>
          <w:color w:val="auto"/>
          <w:sz w:val="21"/>
          <w:szCs w:val="21"/>
          <w:highlight w:val="none"/>
        </w:rPr>
        <w:t>（</w:t>
      </w:r>
      <w:r>
        <w:rPr>
          <w:color w:val="auto"/>
          <w:sz w:val="21"/>
          <w:szCs w:val="21"/>
          <w:highlight w:val="none"/>
        </w:rPr>
        <w:t>8</w:t>
      </w:r>
      <w:r>
        <w:rPr>
          <w:rFonts w:hint="eastAsia"/>
          <w:color w:val="auto"/>
          <w:sz w:val="21"/>
          <w:szCs w:val="21"/>
          <w:highlight w:val="none"/>
        </w:rPr>
        <w:t>）法律、法规和磋商文件规定的其他无效情形。</w:t>
      </w:r>
    </w:p>
    <w:p w14:paraId="596ABA91">
      <w:pPr>
        <w:adjustRightInd w:val="0"/>
        <w:snapToGrid w:val="0"/>
        <w:spacing w:line="288" w:lineRule="auto"/>
        <w:ind w:firstLine="422" w:firstLineChars="200"/>
        <w:jc w:val="left"/>
        <w:rPr>
          <w:b/>
          <w:bCs/>
          <w:color w:val="auto"/>
          <w:sz w:val="21"/>
          <w:szCs w:val="21"/>
          <w:highlight w:val="none"/>
        </w:rPr>
      </w:pPr>
      <w:r>
        <w:rPr>
          <w:rFonts w:hint="eastAsia"/>
          <w:b/>
          <w:bCs/>
          <w:color w:val="auto"/>
          <w:sz w:val="21"/>
          <w:szCs w:val="21"/>
          <w:highlight w:val="none"/>
        </w:rPr>
        <w:t>3.在报价评审时，如发现下列情形之一的，响应文件将被视为无效：（响应报价评审是指对响应方的工程量清单的范围、数量、报价进行全面审核和对比分析。重点列出投标报价相对于法律法规和采购文件的重大偏差和有无严重的不平衡报价，通过质询、判断作出书面评审意见。）</w:t>
      </w:r>
    </w:p>
    <w:p w14:paraId="76CE2155">
      <w:pPr>
        <w:adjustRightInd w:val="0"/>
        <w:snapToGrid w:val="0"/>
        <w:spacing w:line="288" w:lineRule="auto"/>
        <w:ind w:firstLine="420" w:firstLineChars="200"/>
        <w:jc w:val="left"/>
        <w:rPr>
          <w:color w:val="auto"/>
          <w:sz w:val="21"/>
          <w:szCs w:val="21"/>
          <w:highlight w:val="none"/>
        </w:rPr>
      </w:pPr>
      <w:r>
        <w:rPr>
          <w:rFonts w:hint="eastAsia"/>
          <w:color w:val="auto"/>
          <w:sz w:val="21"/>
          <w:szCs w:val="21"/>
          <w:highlight w:val="none"/>
        </w:rPr>
        <w:t>（1）最后报价超过磋商文件中规定的预算金额或最高限价的；</w:t>
      </w:r>
    </w:p>
    <w:p w14:paraId="256D446B">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（2）最后报价具有选择性的。</w:t>
      </w:r>
    </w:p>
    <w:p w14:paraId="435C82D5">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w:t>
      </w:r>
      <w:r>
        <w:rPr>
          <w:color w:val="auto"/>
          <w:sz w:val="21"/>
          <w:szCs w:val="21"/>
          <w:highlight w:val="none"/>
        </w:rPr>
        <w:t>3）</w:t>
      </w:r>
      <w:r>
        <w:rPr>
          <w:rFonts w:hint="eastAsia"/>
          <w:color w:val="auto"/>
          <w:sz w:val="21"/>
          <w:szCs w:val="21"/>
          <w:highlight w:val="none"/>
        </w:rPr>
        <w:t>报价文件</w:t>
      </w:r>
      <w:r>
        <w:rPr>
          <w:color w:val="auto"/>
          <w:sz w:val="21"/>
          <w:szCs w:val="21"/>
          <w:highlight w:val="none"/>
        </w:rPr>
        <w:t>没有编制人员签字、盖章的，或盖章无效的，或存在弄虚作假情况的；</w:t>
      </w:r>
    </w:p>
    <w:p w14:paraId="2B9F724A">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w:t>
      </w:r>
      <w:r>
        <w:rPr>
          <w:color w:val="auto"/>
          <w:sz w:val="21"/>
          <w:szCs w:val="21"/>
          <w:highlight w:val="none"/>
        </w:rPr>
        <w:t>4）改变竞争性磋商文件提供的工程量清单（项目编码、计量单位、工程数量、项目特征描述等）的；</w:t>
      </w:r>
    </w:p>
    <w:p w14:paraId="3E7B02AC">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w:t>
      </w:r>
      <w:r>
        <w:rPr>
          <w:color w:val="auto"/>
          <w:sz w:val="21"/>
          <w:szCs w:val="21"/>
          <w:highlight w:val="none"/>
        </w:rPr>
        <w:t>5）</w:t>
      </w:r>
      <w:r>
        <w:rPr>
          <w:rFonts w:hint="eastAsia"/>
          <w:color w:val="auto"/>
          <w:sz w:val="21"/>
          <w:szCs w:val="21"/>
          <w:highlight w:val="none"/>
        </w:rPr>
        <w:t>供应商</w:t>
      </w:r>
      <w:r>
        <w:rPr>
          <w:color w:val="auto"/>
          <w:sz w:val="21"/>
          <w:szCs w:val="21"/>
          <w:highlight w:val="none"/>
        </w:rPr>
        <w:t>拒绝按磋商小组要求提供报价分析说明和证明材料的；</w:t>
      </w:r>
    </w:p>
    <w:p w14:paraId="31632086">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w:t>
      </w:r>
      <w:r>
        <w:rPr>
          <w:color w:val="auto"/>
          <w:sz w:val="21"/>
          <w:szCs w:val="21"/>
          <w:highlight w:val="none"/>
        </w:rPr>
        <w:t>6）工程量清单报价与工、料、机报价及对应的报价分析不相符的，或与本项目的施工组织设计及施工方案明显不匹配的，经磋商小组书面质询，</w:t>
      </w:r>
      <w:r>
        <w:rPr>
          <w:rFonts w:hint="eastAsia"/>
          <w:color w:val="auto"/>
          <w:sz w:val="21"/>
          <w:szCs w:val="21"/>
          <w:highlight w:val="none"/>
        </w:rPr>
        <w:t>供应商</w:t>
      </w:r>
      <w:r>
        <w:rPr>
          <w:color w:val="auto"/>
          <w:sz w:val="21"/>
          <w:szCs w:val="21"/>
          <w:highlight w:val="none"/>
        </w:rPr>
        <w:t>不能说明理由或磋商小组认定其理由不成立的；</w:t>
      </w:r>
    </w:p>
    <w:p w14:paraId="5DD6D0DB">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w:t>
      </w:r>
      <w:r>
        <w:rPr>
          <w:color w:val="auto"/>
          <w:sz w:val="21"/>
          <w:szCs w:val="21"/>
          <w:highlight w:val="none"/>
        </w:rPr>
        <w:t>7）当磋商小组发现其错误达到或超过原总报价0.5%时,将认定其响应文件质量较差,其错误不予修正,作</w:t>
      </w:r>
      <w:r>
        <w:rPr>
          <w:rFonts w:hint="eastAsia"/>
          <w:color w:val="auto"/>
          <w:sz w:val="21"/>
          <w:szCs w:val="21"/>
          <w:highlight w:val="none"/>
        </w:rPr>
        <w:t>响应文件无效</w:t>
      </w:r>
      <w:r>
        <w:rPr>
          <w:color w:val="auto"/>
          <w:sz w:val="21"/>
          <w:szCs w:val="21"/>
          <w:highlight w:val="none"/>
        </w:rPr>
        <w:t>处理；</w:t>
      </w:r>
    </w:p>
    <w:p w14:paraId="7E660D3E">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w:t>
      </w:r>
      <w:r>
        <w:rPr>
          <w:color w:val="auto"/>
          <w:sz w:val="21"/>
          <w:szCs w:val="21"/>
          <w:highlight w:val="none"/>
        </w:rPr>
        <w:t>8）供应商根据国家法律法规及自身缴纳规费的实际情况，自主确定其投标费率，但在规费政策平稳过渡期内不得低于标准费率的30%；</w:t>
      </w:r>
    </w:p>
    <w:p w14:paraId="47DC9F0F">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w:t>
      </w:r>
      <w:r>
        <w:rPr>
          <w:color w:val="auto"/>
          <w:sz w:val="21"/>
          <w:szCs w:val="21"/>
          <w:highlight w:val="none"/>
        </w:rPr>
        <w:t>9）法律、法规、规章及现行招投标管理规定必须</w:t>
      </w:r>
      <w:r>
        <w:rPr>
          <w:rFonts w:hint="eastAsia"/>
          <w:color w:val="auto"/>
          <w:sz w:val="21"/>
          <w:szCs w:val="21"/>
          <w:highlight w:val="none"/>
        </w:rPr>
        <w:t>无效</w:t>
      </w:r>
      <w:r>
        <w:rPr>
          <w:color w:val="auto"/>
          <w:sz w:val="21"/>
          <w:szCs w:val="21"/>
          <w:highlight w:val="none"/>
        </w:rPr>
        <w:t>的。</w:t>
      </w:r>
    </w:p>
    <w:p w14:paraId="7F11667F">
      <w:pPr>
        <w:widowControl/>
        <w:adjustRightInd w:val="0"/>
        <w:snapToGrid w:val="0"/>
        <w:spacing w:line="288" w:lineRule="auto"/>
        <w:ind w:firstLine="396" w:firstLineChars="200"/>
        <w:jc w:val="left"/>
        <w:rPr>
          <w:rFonts w:cs="Times New Roman"/>
          <w:color w:val="auto"/>
          <w:spacing w:val="-6"/>
          <w:sz w:val="21"/>
          <w:szCs w:val="21"/>
          <w:highlight w:val="none"/>
        </w:rPr>
      </w:pPr>
      <w:r>
        <w:rPr>
          <w:rFonts w:hint="eastAsia" w:cs="Times New Roman"/>
          <w:color w:val="auto"/>
          <w:spacing w:val="-6"/>
          <w:sz w:val="21"/>
          <w:szCs w:val="21"/>
          <w:highlight w:val="none"/>
        </w:rPr>
        <w:t>特别说明：磋商小组认为供应商的最后报价明显低于其他供应商最后报价，有可能影响产品质量或者不能诚信履约的，应当要求其在评审现场合理的时间内提供书面说明，必要时提交相关证明材料；供应商不能证明其最后报价合理性的，磋商小组应当将其作为无效响应处理。</w:t>
      </w:r>
    </w:p>
    <w:p w14:paraId="1ED66066">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rPr>
        <w:t>4.有下列情形之一的，视为供应商串通，其响应无效：</w:t>
      </w:r>
    </w:p>
    <w:p w14:paraId="454BBD65">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（1）不同供应商的响应文件由同一单位或者个人编制；</w:t>
      </w:r>
    </w:p>
    <w:p w14:paraId="02373A9E">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（2）不同供应商委托同一单位或者个人办理磋商事宜；</w:t>
      </w:r>
    </w:p>
    <w:p w14:paraId="47A073F3">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（3）不同供应商的响应文件载明的项目管理成员或者联系人员为同一人；</w:t>
      </w:r>
    </w:p>
    <w:p w14:paraId="1F217314">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（4）不同供应商的响应文件异常一致或者最后报价呈规律性差异；</w:t>
      </w:r>
    </w:p>
    <w:p w14:paraId="7180C7B3">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（5）不同供应商的响应文件相互混装。</w:t>
      </w:r>
      <w:r>
        <w:rPr>
          <w:rFonts w:hint="eastAsia"/>
          <w:color w:val="auto"/>
          <w:sz w:val="21"/>
          <w:szCs w:val="21"/>
          <w:highlight w:val="none"/>
        </w:rPr>
        <w:br w:type="page"/>
      </w:r>
    </w:p>
    <w:p w14:paraId="0F32260B">
      <w:pPr>
        <w:adjustRightInd w:val="0"/>
        <w:snapToGrid w:val="0"/>
        <w:spacing w:line="288" w:lineRule="auto"/>
        <w:ind w:firstLine="211"/>
        <w:jc w:val="center"/>
        <w:outlineLvl w:val="1"/>
        <w:rPr>
          <w:b/>
          <w:bCs/>
          <w:color w:val="auto"/>
          <w:sz w:val="21"/>
          <w:szCs w:val="21"/>
          <w:highlight w:val="none"/>
        </w:rPr>
      </w:pPr>
      <w:r>
        <w:rPr>
          <w:rFonts w:hint="eastAsia"/>
          <w:b/>
          <w:bCs/>
          <w:color w:val="auto"/>
          <w:sz w:val="21"/>
          <w:szCs w:val="21"/>
          <w:highlight w:val="none"/>
        </w:rPr>
        <w:t>五、响应文件开启</w:t>
      </w:r>
    </w:p>
    <w:p w14:paraId="36CBE7CB">
      <w:pPr>
        <w:autoSpaceDE w:val="0"/>
        <w:autoSpaceDN w:val="0"/>
        <w:adjustRightInd w:val="0"/>
        <w:snapToGrid w:val="0"/>
        <w:spacing w:line="288" w:lineRule="auto"/>
        <w:ind w:firstLine="422" w:firstLineChars="201"/>
        <w:rPr>
          <w:rFonts w:cs="仿宋_GB2312"/>
          <w:color w:val="auto"/>
          <w:kern w:val="0"/>
          <w:sz w:val="21"/>
          <w:szCs w:val="21"/>
          <w:highlight w:val="none"/>
        </w:rPr>
      </w:pPr>
      <w:r>
        <w:rPr>
          <w:rFonts w:cs="仿宋_GB2312"/>
          <w:color w:val="auto"/>
          <w:kern w:val="0"/>
          <w:sz w:val="21"/>
          <w:szCs w:val="21"/>
          <w:highlight w:val="none"/>
        </w:rPr>
        <w:t>采购</w:t>
      </w:r>
      <w:r>
        <w:rPr>
          <w:rFonts w:hint="eastAsia" w:cs="仿宋_GB2312"/>
          <w:color w:val="auto"/>
          <w:kern w:val="0"/>
          <w:sz w:val="21"/>
          <w:szCs w:val="21"/>
          <w:highlight w:val="none"/>
        </w:rPr>
        <w:t>代理</w:t>
      </w:r>
      <w:r>
        <w:rPr>
          <w:rFonts w:cs="仿宋_GB2312"/>
          <w:color w:val="auto"/>
          <w:kern w:val="0"/>
          <w:sz w:val="21"/>
          <w:szCs w:val="21"/>
          <w:highlight w:val="none"/>
        </w:rPr>
        <w:t>机构按照磋商文件规定的时间通过电子交易平台组织开启，所有供应商均应当准时在线参加。供应商不足3家的，不得开启。</w:t>
      </w:r>
    </w:p>
    <w:p w14:paraId="1352AF01">
      <w:pPr>
        <w:autoSpaceDE w:val="0"/>
        <w:autoSpaceDN w:val="0"/>
        <w:adjustRightInd w:val="0"/>
        <w:snapToGrid w:val="0"/>
        <w:spacing w:line="288" w:lineRule="auto"/>
        <w:ind w:firstLine="422" w:firstLineChars="201"/>
        <w:rPr>
          <w:rFonts w:cs="仿宋_GB2312"/>
          <w:color w:val="auto"/>
          <w:kern w:val="0"/>
          <w:sz w:val="21"/>
          <w:szCs w:val="21"/>
          <w:highlight w:val="none"/>
        </w:rPr>
      </w:pPr>
      <w:r>
        <w:rPr>
          <w:rFonts w:cs="仿宋_GB2312"/>
          <w:color w:val="auto"/>
          <w:kern w:val="0"/>
          <w:sz w:val="21"/>
          <w:szCs w:val="21"/>
          <w:highlight w:val="none"/>
        </w:rPr>
        <w:t>开启时，电子交易平台按开启时间自动提取所有响应文件。</w:t>
      </w:r>
      <w:r>
        <w:rPr>
          <w:rFonts w:hint="eastAsia" w:cs="仿宋_GB2312"/>
          <w:color w:val="auto"/>
          <w:kern w:val="0"/>
          <w:sz w:val="21"/>
          <w:szCs w:val="21"/>
          <w:highlight w:val="none"/>
        </w:rPr>
        <w:t>采购人或代理</w:t>
      </w:r>
      <w:r>
        <w:rPr>
          <w:rFonts w:cs="仿宋_GB2312"/>
          <w:color w:val="auto"/>
          <w:kern w:val="0"/>
          <w:sz w:val="21"/>
          <w:szCs w:val="21"/>
          <w:highlight w:val="none"/>
        </w:rPr>
        <w:t>机构依托电子交易平台发起开始解密指令，供应商按照平台提示和磋商文件的规定在半小时内完成在线解密。</w:t>
      </w:r>
    </w:p>
    <w:p w14:paraId="09F8F7D5">
      <w:pPr>
        <w:adjustRightInd w:val="0"/>
        <w:snapToGrid w:val="0"/>
        <w:spacing w:line="288" w:lineRule="auto"/>
        <w:ind w:firstLine="422" w:firstLineChars="200"/>
        <w:rPr>
          <w:rFonts w:cs="仿宋_GB2312"/>
          <w:b/>
          <w:color w:val="auto"/>
          <w:sz w:val="21"/>
          <w:szCs w:val="21"/>
          <w:highlight w:val="none"/>
        </w:rPr>
      </w:pPr>
      <w:r>
        <w:rPr>
          <w:rFonts w:hint="eastAsia" w:cs="仿宋_GB2312"/>
          <w:b/>
          <w:color w:val="auto"/>
          <w:sz w:val="21"/>
          <w:szCs w:val="21"/>
          <w:highlight w:val="none"/>
        </w:rPr>
        <w:t>响应文件未按时解密，供应商提供了备份响应文件的，以备份响应文件作为依据，否则视为响应文件撤回。响应文件已按时解密的，备份响应文件自动失效。</w:t>
      </w:r>
    </w:p>
    <w:p w14:paraId="65A7D07C">
      <w:pPr>
        <w:adjustRightInd w:val="0"/>
        <w:snapToGrid w:val="0"/>
        <w:spacing w:line="288" w:lineRule="auto"/>
        <w:ind w:firstLine="398" w:firstLineChars="200"/>
        <w:rPr>
          <w:rFonts w:cs="Times New Roman"/>
          <w:b/>
          <w:bCs/>
          <w:color w:val="auto"/>
          <w:spacing w:val="-6"/>
          <w:sz w:val="21"/>
          <w:szCs w:val="21"/>
          <w:highlight w:val="none"/>
        </w:rPr>
      </w:pPr>
    </w:p>
    <w:p w14:paraId="502E0644">
      <w:pPr>
        <w:adjustRightInd w:val="0"/>
        <w:snapToGrid w:val="0"/>
        <w:spacing w:line="288" w:lineRule="auto"/>
        <w:ind w:firstLine="398" w:firstLineChars="200"/>
        <w:rPr>
          <w:rFonts w:cs="Times New Roman"/>
          <w:b/>
          <w:bCs/>
          <w:color w:val="auto"/>
          <w:spacing w:val="-6"/>
          <w:sz w:val="21"/>
          <w:szCs w:val="21"/>
          <w:highlight w:val="none"/>
        </w:rPr>
      </w:pPr>
      <w:r>
        <w:rPr>
          <w:rFonts w:hint="eastAsia" w:cs="Times New Roman"/>
          <w:b/>
          <w:bCs/>
          <w:color w:val="auto"/>
          <w:spacing w:val="-6"/>
          <w:sz w:val="21"/>
          <w:szCs w:val="21"/>
          <w:highlight w:val="none"/>
        </w:rPr>
        <w:t>特别说明：如遇政府采购云平台电子化开启或评审程序调整的，按调整后程序执行。</w:t>
      </w:r>
    </w:p>
    <w:p w14:paraId="48F1D26B">
      <w:pPr>
        <w:adjustRightInd w:val="0"/>
        <w:snapToGrid w:val="0"/>
        <w:spacing w:line="288" w:lineRule="auto"/>
        <w:ind w:firstLine="211"/>
        <w:rPr>
          <w:color w:val="auto"/>
          <w:sz w:val="21"/>
          <w:szCs w:val="21"/>
          <w:highlight w:val="none"/>
        </w:rPr>
      </w:pPr>
      <w:r>
        <w:rPr>
          <w:rFonts w:hint="eastAsia"/>
          <w:color w:val="auto"/>
          <w:sz w:val="21"/>
          <w:szCs w:val="21"/>
          <w:highlight w:val="none"/>
        </w:rPr>
        <w:br w:type="page"/>
      </w:r>
    </w:p>
    <w:p w14:paraId="4102B2E5">
      <w:pPr>
        <w:adjustRightInd w:val="0"/>
        <w:snapToGrid w:val="0"/>
        <w:spacing w:line="288" w:lineRule="auto"/>
        <w:ind w:firstLine="211"/>
        <w:jc w:val="center"/>
        <w:outlineLvl w:val="1"/>
        <w:rPr>
          <w:b/>
          <w:bCs/>
          <w:color w:val="auto"/>
          <w:sz w:val="21"/>
          <w:szCs w:val="21"/>
          <w:highlight w:val="none"/>
        </w:rPr>
      </w:pPr>
      <w:r>
        <w:rPr>
          <w:rFonts w:hint="eastAsia"/>
          <w:b/>
          <w:bCs/>
          <w:color w:val="auto"/>
          <w:sz w:val="21"/>
          <w:szCs w:val="21"/>
          <w:highlight w:val="none"/>
        </w:rPr>
        <w:t>六、评审程序</w:t>
      </w:r>
    </w:p>
    <w:p w14:paraId="30727776">
      <w:pPr>
        <w:adjustRightInd w:val="0"/>
        <w:snapToGrid w:val="0"/>
        <w:spacing w:line="288" w:lineRule="auto"/>
        <w:ind w:firstLine="420" w:firstLineChars="200"/>
        <w:rPr>
          <w:color w:val="auto"/>
          <w:kern w:val="0"/>
          <w:sz w:val="21"/>
          <w:szCs w:val="21"/>
          <w:highlight w:val="none"/>
        </w:rPr>
      </w:pPr>
      <w:r>
        <w:rPr>
          <w:rFonts w:hint="eastAsia"/>
          <w:color w:val="auto"/>
          <w:kern w:val="0"/>
          <w:sz w:val="21"/>
          <w:szCs w:val="21"/>
          <w:highlight w:val="none"/>
        </w:rPr>
        <w:t>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66A0EA21">
      <w:pPr>
        <w:adjustRightInd w:val="0"/>
        <w:snapToGrid w:val="0"/>
        <w:spacing w:line="288" w:lineRule="auto"/>
        <w:ind w:firstLine="420" w:firstLineChars="200"/>
        <w:rPr>
          <w:color w:val="auto"/>
          <w:kern w:val="0"/>
          <w:sz w:val="21"/>
          <w:szCs w:val="21"/>
          <w:highlight w:val="none"/>
        </w:rPr>
      </w:pPr>
      <w:r>
        <w:rPr>
          <w:rFonts w:hint="eastAsia"/>
          <w:color w:val="auto"/>
          <w:kern w:val="0"/>
          <w:sz w:val="21"/>
          <w:szCs w:val="21"/>
          <w:highlight w:val="none"/>
        </w:rPr>
        <w:t>磋商文件内容违反国家有关强制性规定的，磋商小组应当停止评审并向采购人或者采购代理机构说明情况。</w:t>
      </w:r>
    </w:p>
    <w:p w14:paraId="4EB5F5D1">
      <w:pPr>
        <w:widowControl/>
        <w:adjustRightInd w:val="0"/>
        <w:snapToGrid w:val="0"/>
        <w:spacing w:line="288" w:lineRule="auto"/>
        <w:ind w:firstLine="424" w:firstLineChars="201"/>
        <w:jc w:val="left"/>
        <w:rPr>
          <w:rFonts w:cs="仿宋_GB2312"/>
          <w:b/>
          <w:color w:val="auto"/>
          <w:sz w:val="21"/>
          <w:szCs w:val="21"/>
          <w:highlight w:val="none"/>
        </w:rPr>
      </w:pPr>
      <w:r>
        <w:rPr>
          <w:rFonts w:hint="eastAsia" w:cs="仿宋_GB2312"/>
          <w:b/>
          <w:color w:val="auto"/>
          <w:sz w:val="21"/>
          <w:szCs w:val="21"/>
          <w:highlight w:val="none"/>
        </w:rPr>
        <w:t>（一）</w:t>
      </w:r>
      <w:r>
        <w:rPr>
          <w:rFonts w:cs="仿宋_GB2312"/>
          <w:b/>
          <w:color w:val="auto"/>
          <w:sz w:val="21"/>
          <w:szCs w:val="21"/>
          <w:highlight w:val="none"/>
        </w:rPr>
        <w:t>资格审查</w:t>
      </w:r>
    </w:p>
    <w:p w14:paraId="65CA0204">
      <w:pPr>
        <w:adjustRightInd w:val="0"/>
        <w:snapToGrid w:val="0"/>
        <w:spacing w:line="288" w:lineRule="auto"/>
        <w:ind w:firstLine="422" w:firstLineChars="201"/>
        <w:rPr>
          <w:rFonts w:cs="仿宋_GB2312"/>
          <w:color w:val="auto"/>
          <w:sz w:val="21"/>
          <w:szCs w:val="21"/>
          <w:highlight w:val="none"/>
        </w:rPr>
      </w:pPr>
      <w:r>
        <w:rPr>
          <w:rFonts w:cs="Arial"/>
          <w:color w:val="auto"/>
          <w:kern w:val="0"/>
          <w:sz w:val="21"/>
          <w:szCs w:val="21"/>
          <w:highlight w:val="none"/>
        </w:rPr>
        <w:t>开启后，</w:t>
      </w:r>
      <w:r>
        <w:rPr>
          <w:rFonts w:hint="eastAsia" w:cs="仿宋_GB2312"/>
          <w:color w:val="auto"/>
          <w:sz w:val="21"/>
          <w:szCs w:val="21"/>
          <w:highlight w:val="none"/>
        </w:rPr>
        <w:t>磋商小组依据法律法规和磋商文件的规定，对供应商的资格条件进行审查。</w:t>
      </w:r>
    </w:p>
    <w:p w14:paraId="697F6C97">
      <w:pPr>
        <w:adjustRightInd w:val="0"/>
        <w:snapToGrid w:val="0"/>
        <w:spacing w:line="288" w:lineRule="auto"/>
        <w:ind w:firstLine="422" w:firstLineChars="201"/>
        <w:rPr>
          <w:rFonts w:cs="仿宋_GB2312"/>
          <w:color w:val="auto"/>
          <w:sz w:val="21"/>
          <w:szCs w:val="21"/>
          <w:highlight w:val="none"/>
        </w:rPr>
      </w:pPr>
      <w:r>
        <w:rPr>
          <w:rFonts w:cs="仿宋_GB2312"/>
          <w:color w:val="auto"/>
          <w:sz w:val="21"/>
          <w:szCs w:val="21"/>
          <w:highlight w:val="none"/>
        </w:rPr>
        <w:t>对未通过资格审查的供应商，</w:t>
      </w:r>
      <w:r>
        <w:rPr>
          <w:rFonts w:hint="eastAsia" w:cs="仿宋_GB2312"/>
          <w:color w:val="auto"/>
          <w:sz w:val="21"/>
          <w:szCs w:val="21"/>
          <w:highlight w:val="none"/>
        </w:rPr>
        <w:t>磋商小组</w:t>
      </w:r>
      <w:r>
        <w:rPr>
          <w:rFonts w:cs="仿宋_GB2312"/>
          <w:color w:val="auto"/>
          <w:sz w:val="21"/>
          <w:szCs w:val="21"/>
          <w:highlight w:val="none"/>
        </w:rPr>
        <w:t>告知其未通过的原因。</w:t>
      </w:r>
    </w:p>
    <w:p w14:paraId="2BC586C0">
      <w:pPr>
        <w:adjustRightInd w:val="0"/>
        <w:snapToGrid w:val="0"/>
        <w:spacing w:line="288" w:lineRule="auto"/>
        <w:ind w:firstLine="422" w:firstLineChars="201"/>
        <w:rPr>
          <w:rFonts w:cs="仿宋_GB2312"/>
          <w:color w:val="auto"/>
          <w:sz w:val="21"/>
          <w:szCs w:val="21"/>
          <w:highlight w:val="none"/>
        </w:rPr>
      </w:pPr>
      <w:r>
        <w:rPr>
          <w:rFonts w:cs="仿宋_GB2312"/>
          <w:color w:val="auto"/>
          <w:sz w:val="21"/>
          <w:szCs w:val="21"/>
          <w:highlight w:val="none"/>
        </w:rPr>
        <w:t>通过资格审查的供应商不足3家的，不再</w:t>
      </w:r>
      <w:r>
        <w:rPr>
          <w:rFonts w:hint="eastAsia" w:cs="仿宋_GB2312"/>
          <w:color w:val="auto"/>
          <w:sz w:val="21"/>
          <w:szCs w:val="21"/>
          <w:highlight w:val="none"/>
        </w:rPr>
        <w:t>评审</w:t>
      </w:r>
      <w:r>
        <w:rPr>
          <w:rFonts w:cs="仿宋_GB2312"/>
          <w:color w:val="auto"/>
          <w:sz w:val="21"/>
          <w:szCs w:val="21"/>
          <w:highlight w:val="none"/>
        </w:rPr>
        <w:t>。</w:t>
      </w:r>
    </w:p>
    <w:p w14:paraId="439C4EC2">
      <w:pPr>
        <w:adjustRightInd w:val="0"/>
        <w:snapToGrid w:val="0"/>
        <w:spacing w:line="288" w:lineRule="auto"/>
        <w:ind w:firstLine="424" w:firstLineChars="201"/>
        <w:rPr>
          <w:rFonts w:cs="仿宋_GB2312"/>
          <w:b/>
          <w:color w:val="auto"/>
          <w:sz w:val="21"/>
          <w:szCs w:val="21"/>
          <w:highlight w:val="none"/>
        </w:rPr>
      </w:pPr>
      <w:r>
        <w:rPr>
          <w:rFonts w:hint="eastAsia" w:cs="仿宋_GB2312"/>
          <w:b/>
          <w:color w:val="auto"/>
          <w:sz w:val="21"/>
          <w:szCs w:val="21"/>
          <w:highlight w:val="none"/>
        </w:rPr>
        <w:t>（二）</w:t>
      </w:r>
      <w:r>
        <w:rPr>
          <w:rFonts w:cs="仿宋_GB2312"/>
          <w:b/>
          <w:color w:val="auto"/>
          <w:sz w:val="21"/>
          <w:szCs w:val="21"/>
          <w:highlight w:val="none"/>
        </w:rPr>
        <w:t>信用信息查询</w:t>
      </w:r>
    </w:p>
    <w:p w14:paraId="624D32F1">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根据财库</w:t>
      </w:r>
      <w:r>
        <w:rPr>
          <w:color w:val="auto"/>
          <w:sz w:val="21"/>
          <w:szCs w:val="21"/>
          <w:highlight w:val="none"/>
        </w:rPr>
        <w:t>[2016]125号《关于在政府采购活动中查询及使用信用记录有关问题的通知》要求，采购代理机构会对供应商信用记录进行查询并甄别。信用信息查询的截止时点：响应截止时间；</w:t>
      </w:r>
    </w:p>
    <w:p w14:paraId="4B069AF1">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w:t>
      </w:r>
      <w:r>
        <w:rPr>
          <w:color w:val="auto"/>
          <w:sz w:val="21"/>
          <w:szCs w:val="21"/>
          <w:highlight w:val="none"/>
        </w:rPr>
        <w:t>1</w:t>
      </w:r>
      <w:r>
        <w:rPr>
          <w:rFonts w:hint="eastAsia"/>
          <w:color w:val="auto"/>
          <w:sz w:val="21"/>
          <w:szCs w:val="21"/>
          <w:highlight w:val="none"/>
        </w:rPr>
        <w:t>）查询渠道：“信用中国”（www.creditchina.gov.cn）、“中国政府采购网”（www.ccgp.gov.cn）；</w:t>
      </w:r>
    </w:p>
    <w:p w14:paraId="73349358">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w:t>
      </w:r>
      <w:r>
        <w:rPr>
          <w:color w:val="auto"/>
          <w:sz w:val="21"/>
          <w:szCs w:val="21"/>
          <w:highlight w:val="none"/>
        </w:rPr>
        <w:t>2</w:t>
      </w:r>
      <w:r>
        <w:rPr>
          <w:rFonts w:hint="eastAsia"/>
          <w:color w:val="auto"/>
          <w:sz w:val="21"/>
          <w:szCs w:val="21"/>
          <w:highlight w:val="none"/>
        </w:rPr>
        <w:t>）信用信息查询记录和证据留存具体方式：采购代理机构经办人和监督人员将查询网页打印、签名与其他采购文件一并保存；</w:t>
      </w:r>
    </w:p>
    <w:p w14:paraId="321C4BF3">
      <w:pPr>
        <w:adjustRightInd w:val="0"/>
        <w:snapToGrid w:val="0"/>
        <w:spacing w:line="288" w:lineRule="auto"/>
        <w:ind w:firstLine="422" w:firstLineChars="201"/>
        <w:rPr>
          <w:bCs/>
          <w:color w:val="auto"/>
          <w:sz w:val="21"/>
          <w:szCs w:val="21"/>
          <w:highlight w:val="none"/>
        </w:rPr>
      </w:pPr>
      <w:r>
        <w:rPr>
          <w:rFonts w:hint="eastAsia"/>
          <w:color w:val="auto"/>
          <w:sz w:val="21"/>
          <w:szCs w:val="21"/>
          <w:highlight w:val="none"/>
        </w:rPr>
        <w:t>（</w:t>
      </w:r>
      <w:r>
        <w:rPr>
          <w:color w:val="auto"/>
          <w:sz w:val="21"/>
          <w:szCs w:val="21"/>
          <w:highlight w:val="none"/>
        </w:rPr>
        <w:t>3</w:t>
      </w:r>
      <w:r>
        <w:rPr>
          <w:rFonts w:hint="eastAsia"/>
          <w:bCs/>
          <w:color w:val="auto"/>
          <w:sz w:val="21"/>
          <w:szCs w:val="21"/>
          <w:highlight w:val="none"/>
        </w:rPr>
        <w:t>）信用信息的使用规则：供应商被列入失信被执行人、重大税收违法案件当事人名单、政府采购严重违法失信行为记录名单的，拒绝其参与政府采购活动。</w:t>
      </w:r>
    </w:p>
    <w:p w14:paraId="7ADB0EA7">
      <w:pPr>
        <w:adjustRightInd w:val="0"/>
        <w:snapToGrid w:val="0"/>
        <w:spacing w:line="288" w:lineRule="auto"/>
        <w:ind w:firstLine="422" w:firstLineChars="201"/>
        <w:rPr>
          <w:color w:val="auto"/>
          <w:kern w:val="0"/>
          <w:sz w:val="21"/>
          <w:szCs w:val="21"/>
          <w:highlight w:val="none"/>
        </w:rPr>
      </w:pPr>
      <w:r>
        <w:rPr>
          <w:rFonts w:cs="Arial"/>
          <w:color w:val="auto"/>
          <w:kern w:val="0"/>
          <w:sz w:val="21"/>
          <w:szCs w:val="21"/>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cs="仿宋_GB2312"/>
          <w:color w:val="auto"/>
          <w:sz w:val="21"/>
          <w:szCs w:val="21"/>
          <w:highlight w:val="none"/>
        </w:rPr>
        <w:t>。</w:t>
      </w:r>
    </w:p>
    <w:p w14:paraId="21968864">
      <w:pPr>
        <w:adjustRightInd w:val="0"/>
        <w:snapToGrid w:val="0"/>
        <w:spacing w:line="288" w:lineRule="auto"/>
        <w:ind w:firstLine="426" w:firstLineChars="202"/>
        <w:rPr>
          <w:rFonts w:cs="Arial"/>
          <w:b/>
          <w:color w:val="auto"/>
          <w:kern w:val="0"/>
          <w:sz w:val="21"/>
          <w:szCs w:val="21"/>
          <w:highlight w:val="none"/>
        </w:rPr>
      </w:pPr>
      <w:r>
        <w:rPr>
          <w:rFonts w:hint="eastAsia" w:cs="Arial"/>
          <w:b/>
          <w:color w:val="auto"/>
          <w:kern w:val="0"/>
          <w:sz w:val="21"/>
          <w:szCs w:val="21"/>
          <w:highlight w:val="none"/>
        </w:rPr>
        <w:t>（三）</w:t>
      </w:r>
      <w:r>
        <w:rPr>
          <w:rFonts w:cs="Arial"/>
          <w:b/>
          <w:color w:val="auto"/>
          <w:kern w:val="0"/>
          <w:sz w:val="21"/>
          <w:szCs w:val="21"/>
          <w:highlight w:val="none"/>
        </w:rPr>
        <w:t>符合性审查</w:t>
      </w:r>
    </w:p>
    <w:p w14:paraId="206DD8FD">
      <w:pPr>
        <w:adjustRightInd w:val="0"/>
        <w:snapToGrid w:val="0"/>
        <w:spacing w:line="288" w:lineRule="auto"/>
        <w:ind w:firstLine="424" w:firstLineChars="202"/>
        <w:rPr>
          <w:rFonts w:cs="Arial"/>
          <w:color w:val="auto"/>
          <w:kern w:val="0"/>
          <w:sz w:val="21"/>
          <w:szCs w:val="21"/>
          <w:highlight w:val="none"/>
        </w:rPr>
      </w:pPr>
      <w:r>
        <w:rPr>
          <w:rFonts w:cs="Arial"/>
          <w:color w:val="auto"/>
          <w:kern w:val="0"/>
          <w:sz w:val="21"/>
          <w:szCs w:val="21"/>
          <w:highlight w:val="none"/>
        </w:rPr>
        <w:t>磋商小组对符合资格的</w:t>
      </w:r>
      <w:r>
        <w:rPr>
          <w:rFonts w:hint="eastAsia" w:cs="Arial"/>
          <w:color w:val="auto"/>
          <w:kern w:val="0"/>
          <w:sz w:val="21"/>
          <w:szCs w:val="21"/>
          <w:highlight w:val="none"/>
        </w:rPr>
        <w:t>供应商</w:t>
      </w:r>
      <w:r>
        <w:rPr>
          <w:rFonts w:cs="Arial"/>
          <w:color w:val="auto"/>
          <w:kern w:val="0"/>
          <w:sz w:val="21"/>
          <w:szCs w:val="21"/>
          <w:highlight w:val="none"/>
        </w:rPr>
        <w:t>的</w:t>
      </w:r>
      <w:r>
        <w:rPr>
          <w:rFonts w:hint="eastAsia" w:cs="Arial"/>
          <w:color w:val="auto"/>
          <w:kern w:val="0"/>
          <w:sz w:val="21"/>
          <w:szCs w:val="21"/>
          <w:highlight w:val="none"/>
        </w:rPr>
        <w:t>响应</w:t>
      </w:r>
      <w:r>
        <w:rPr>
          <w:rFonts w:cs="Arial"/>
          <w:color w:val="auto"/>
          <w:kern w:val="0"/>
          <w:sz w:val="21"/>
          <w:szCs w:val="21"/>
          <w:highlight w:val="none"/>
        </w:rPr>
        <w:t>文件进行符合性审查，以确定其是否满足磋商文件的实质性要求。</w:t>
      </w:r>
    </w:p>
    <w:p w14:paraId="53A56D00">
      <w:pPr>
        <w:adjustRightInd w:val="0"/>
        <w:snapToGrid w:val="0"/>
        <w:spacing w:line="288" w:lineRule="auto"/>
        <w:ind w:firstLine="426" w:firstLineChars="202"/>
        <w:rPr>
          <w:rFonts w:cs="Arial"/>
          <w:b/>
          <w:bCs/>
          <w:color w:val="auto"/>
          <w:kern w:val="0"/>
          <w:sz w:val="21"/>
          <w:szCs w:val="21"/>
          <w:highlight w:val="none"/>
        </w:rPr>
      </w:pPr>
      <w:r>
        <w:rPr>
          <w:rFonts w:hint="eastAsia" w:cs="Arial"/>
          <w:b/>
          <w:bCs/>
          <w:color w:val="auto"/>
          <w:kern w:val="0"/>
          <w:sz w:val="21"/>
          <w:szCs w:val="21"/>
          <w:highlight w:val="none"/>
        </w:rPr>
        <w:t>（四）磋商</w:t>
      </w:r>
    </w:p>
    <w:p w14:paraId="4F84A5EF">
      <w:pPr>
        <w:adjustRightInd w:val="0"/>
        <w:snapToGrid w:val="0"/>
        <w:spacing w:line="288" w:lineRule="auto"/>
        <w:ind w:firstLine="424" w:firstLineChars="202"/>
        <w:rPr>
          <w:rFonts w:cs="Arial"/>
          <w:color w:val="auto"/>
          <w:kern w:val="0"/>
          <w:sz w:val="21"/>
          <w:szCs w:val="21"/>
          <w:highlight w:val="none"/>
        </w:rPr>
      </w:pPr>
      <w:r>
        <w:rPr>
          <w:rFonts w:hint="eastAsia" w:cs="Arial"/>
          <w:color w:val="auto"/>
          <w:kern w:val="0"/>
          <w:sz w:val="21"/>
          <w:szCs w:val="21"/>
          <w:highlight w:val="none"/>
        </w:rPr>
        <w:t>磋商小组所有成员应当集中与单一供应商分别进行磋商，并给予所有参加磋商的供应商平等的磋商机会。</w:t>
      </w:r>
    </w:p>
    <w:p w14:paraId="107670C8">
      <w:pPr>
        <w:adjustRightInd w:val="0"/>
        <w:snapToGrid w:val="0"/>
        <w:spacing w:line="288" w:lineRule="auto"/>
        <w:ind w:firstLine="424" w:firstLineChars="202"/>
        <w:rPr>
          <w:rFonts w:cs="Arial"/>
          <w:color w:val="auto"/>
          <w:kern w:val="0"/>
          <w:sz w:val="21"/>
          <w:szCs w:val="21"/>
          <w:highlight w:val="none"/>
        </w:rPr>
      </w:pPr>
      <w:r>
        <w:rPr>
          <w:rFonts w:hint="eastAsia" w:cs="Arial"/>
          <w:color w:val="auto"/>
          <w:kern w:val="0"/>
          <w:sz w:val="21"/>
          <w:szCs w:val="21"/>
          <w:highlight w:val="none"/>
        </w:rPr>
        <w:t>在磋商过程中，磋商小组可以根据磋商文件和磋商情况实质性变动采购需求中的技术、服务要求以及合同草案条款，但不得变动磋商文件中的其他内容。实质性变动的内容，须经采购人代表确认。</w:t>
      </w:r>
    </w:p>
    <w:p w14:paraId="15CFA307">
      <w:pPr>
        <w:adjustRightInd w:val="0"/>
        <w:snapToGrid w:val="0"/>
        <w:spacing w:line="288" w:lineRule="auto"/>
        <w:ind w:firstLine="424" w:firstLineChars="202"/>
        <w:rPr>
          <w:rFonts w:cs="Arial"/>
          <w:color w:val="auto"/>
          <w:kern w:val="0"/>
          <w:sz w:val="21"/>
          <w:szCs w:val="21"/>
          <w:highlight w:val="none"/>
        </w:rPr>
      </w:pPr>
      <w:r>
        <w:rPr>
          <w:rFonts w:hint="eastAsia" w:cs="Arial"/>
          <w:color w:val="auto"/>
          <w:kern w:val="0"/>
          <w:sz w:val="21"/>
          <w:szCs w:val="21"/>
          <w:highlight w:val="none"/>
        </w:rPr>
        <w:t>对磋商文件作出的实质性变动是磋商文件的有效组成部分，磋商小组</w:t>
      </w:r>
      <w:r>
        <w:rPr>
          <w:rFonts w:hint="eastAsia"/>
          <w:color w:val="auto"/>
          <w:kern w:val="0"/>
          <w:sz w:val="21"/>
          <w:szCs w:val="21"/>
          <w:highlight w:val="none"/>
        </w:rPr>
        <w:t>通过政府采购云平台</w:t>
      </w:r>
      <w:r>
        <w:rPr>
          <w:rFonts w:hint="eastAsia" w:cs="Arial"/>
          <w:color w:val="auto"/>
          <w:kern w:val="0"/>
          <w:sz w:val="21"/>
          <w:szCs w:val="21"/>
          <w:highlight w:val="none"/>
        </w:rPr>
        <w:t>以书面形式同时通知所有参加磋商的供应商。</w:t>
      </w:r>
    </w:p>
    <w:p w14:paraId="5E4B9303">
      <w:pPr>
        <w:adjustRightInd w:val="0"/>
        <w:snapToGrid w:val="0"/>
        <w:spacing w:line="288" w:lineRule="auto"/>
        <w:ind w:firstLine="424" w:firstLineChars="202"/>
        <w:rPr>
          <w:rFonts w:cs="Arial"/>
          <w:color w:val="auto"/>
          <w:kern w:val="0"/>
          <w:sz w:val="21"/>
          <w:szCs w:val="21"/>
          <w:highlight w:val="none"/>
        </w:rPr>
      </w:pPr>
      <w:r>
        <w:rPr>
          <w:rFonts w:hint="eastAsia" w:cs="Arial"/>
          <w:color w:val="auto"/>
          <w:kern w:val="0"/>
          <w:sz w:val="21"/>
          <w:szCs w:val="21"/>
          <w:highlight w:val="none"/>
        </w:rPr>
        <w:t>供应商应当按照磋商文件的变动情况和磋商小组的要求</w:t>
      </w:r>
      <w:r>
        <w:rPr>
          <w:rFonts w:hint="eastAsia"/>
          <w:color w:val="auto"/>
          <w:kern w:val="0"/>
          <w:sz w:val="21"/>
          <w:szCs w:val="21"/>
          <w:highlight w:val="none"/>
        </w:rPr>
        <w:t>通过政府采购云平台</w:t>
      </w:r>
      <w:r>
        <w:rPr>
          <w:rFonts w:hint="eastAsia" w:cs="Arial"/>
          <w:color w:val="auto"/>
          <w:kern w:val="0"/>
          <w:sz w:val="21"/>
          <w:szCs w:val="21"/>
          <w:highlight w:val="none"/>
        </w:rPr>
        <w:t>提交磋商记录，并由供应商代表签名或者加盖公章。</w:t>
      </w:r>
    </w:p>
    <w:p w14:paraId="77648A32">
      <w:pPr>
        <w:adjustRightInd w:val="0"/>
        <w:snapToGrid w:val="0"/>
        <w:spacing w:line="288" w:lineRule="auto"/>
        <w:ind w:firstLine="420" w:firstLineChars="200"/>
        <w:rPr>
          <w:color w:val="auto"/>
          <w:kern w:val="0"/>
          <w:sz w:val="21"/>
          <w:szCs w:val="21"/>
          <w:highlight w:val="none"/>
        </w:rPr>
      </w:pPr>
      <w:r>
        <w:rPr>
          <w:rFonts w:hint="eastAsia"/>
          <w:color w:val="auto"/>
          <w:kern w:val="0"/>
          <w:sz w:val="21"/>
          <w:szCs w:val="21"/>
          <w:highlight w:val="none"/>
        </w:rPr>
        <w:t>供应商的磋商内容无法通过政府采购云平台上传的，可在规定时间内（不少于半小时）通过指定的电子邮箱（</w:t>
      </w:r>
      <w:r>
        <w:rPr>
          <w:color w:val="auto"/>
          <w:kern w:val="0"/>
          <w:sz w:val="21"/>
          <w:szCs w:val="21"/>
          <w:highlight w:val="none"/>
        </w:rPr>
        <w:t>zb03@qszb.net）或传真号码（0571-87666116）提交。</w:t>
      </w:r>
    </w:p>
    <w:p w14:paraId="647477F6">
      <w:pPr>
        <w:adjustRightInd w:val="0"/>
        <w:snapToGrid w:val="0"/>
        <w:spacing w:line="288" w:lineRule="auto"/>
        <w:ind w:firstLine="426" w:firstLineChars="202"/>
        <w:rPr>
          <w:rFonts w:cs="Arial"/>
          <w:b/>
          <w:bCs/>
          <w:color w:val="auto"/>
          <w:kern w:val="0"/>
          <w:sz w:val="21"/>
          <w:szCs w:val="21"/>
          <w:highlight w:val="none"/>
        </w:rPr>
      </w:pPr>
      <w:r>
        <w:rPr>
          <w:rFonts w:hint="eastAsia" w:cs="Arial"/>
          <w:b/>
          <w:bCs/>
          <w:color w:val="auto"/>
          <w:kern w:val="0"/>
          <w:sz w:val="21"/>
          <w:szCs w:val="21"/>
          <w:highlight w:val="none"/>
        </w:rPr>
        <w:t>（五）最后报价</w:t>
      </w:r>
    </w:p>
    <w:p w14:paraId="15B9F56B">
      <w:pPr>
        <w:adjustRightInd w:val="0"/>
        <w:snapToGrid w:val="0"/>
        <w:spacing w:line="288" w:lineRule="auto"/>
        <w:ind w:firstLine="424" w:firstLineChars="202"/>
        <w:rPr>
          <w:rFonts w:cs="Arial"/>
          <w:color w:val="auto"/>
          <w:kern w:val="0"/>
          <w:sz w:val="21"/>
          <w:szCs w:val="21"/>
          <w:highlight w:val="none"/>
        </w:rPr>
      </w:pPr>
      <w:r>
        <w:rPr>
          <w:rFonts w:hint="eastAsia" w:cs="Arial"/>
          <w:color w:val="auto"/>
          <w:kern w:val="0"/>
          <w:sz w:val="21"/>
          <w:szCs w:val="21"/>
          <w:highlight w:val="none"/>
        </w:rPr>
        <w:t>磋商文件能够详细列明采购标的的技术、服务要求的，磋商结束后，磋商小组应当要求所有实质性响应的供应商在规定时间内提交最后报价，提交最后报价的供应商不得少于</w:t>
      </w:r>
      <w:r>
        <w:rPr>
          <w:rFonts w:cs="Arial"/>
          <w:color w:val="auto"/>
          <w:kern w:val="0"/>
          <w:sz w:val="21"/>
          <w:szCs w:val="21"/>
          <w:highlight w:val="none"/>
        </w:rPr>
        <w:t>3家。</w:t>
      </w:r>
    </w:p>
    <w:p w14:paraId="4624AB10">
      <w:pPr>
        <w:adjustRightInd w:val="0"/>
        <w:snapToGrid w:val="0"/>
        <w:spacing w:line="288" w:lineRule="auto"/>
        <w:ind w:firstLine="424" w:firstLineChars="202"/>
        <w:rPr>
          <w:rFonts w:cs="Arial"/>
          <w:color w:val="auto"/>
          <w:kern w:val="0"/>
          <w:sz w:val="21"/>
          <w:szCs w:val="21"/>
          <w:highlight w:val="none"/>
        </w:rPr>
      </w:pPr>
      <w:r>
        <w:rPr>
          <w:rFonts w:hint="eastAsia" w:cs="Arial"/>
          <w:color w:val="auto"/>
          <w:kern w:val="0"/>
          <w:sz w:val="21"/>
          <w:szCs w:val="21"/>
          <w:highlight w:val="none"/>
        </w:rPr>
        <w:t>磋商文件不能详细列明采购标的的技术、服务要求，需经磋商由供应商提供最终设计方案或解决方案的，磋商结束后，磋商小组应当按照少数服从多数的原则投票推荐</w:t>
      </w:r>
      <w:r>
        <w:rPr>
          <w:rFonts w:cs="Arial"/>
          <w:color w:val="auto"/>
          <w:kern w:val="0"/>
          <w:sz w:val="21"/>
          <w:szCs w:val="21"/>
          <w:highlight w:val="none"/>
        </w:rPr>
        <w:t>3家以上供应商的设计方案或者解决方案，并要求其在规定时间内提交最后报价。</w:t>
      </w:r>
    </w:p>
    <w:p w14:paraId="45ADA2E8">
      <w:pPr>
        <w:adjustRightInd w:val="0"/>
        <w:snapToGrid w:val="0"/>
        <w:spacing w:line="288" w:lineRule="auto"/>
        <w:ind w:firstLine="424" w:firstLineChars="202"/>
        <w:rPr>
          <w:rFonts w:cs="Arial"/>
          <w:color w:val="auto"/>
          <w:kern w:val="0"/>
          <w:sz w:val="21"/>
          <w:szCs w:val="21"/>
          <w:highlight w:val="none"/>
        </w:rPr>
      </w:pPr>
      <w:r>
        <w:rPr>
          <w:rFonts w:hint="eastAsia" w:cs="Arial"/>
          <w:color w:val="auto"/>
          <w:kern w:val="0"/>
          <w:sz w:val="21"/>
          <w:szCs w:val="21"/>
          <w:highlight w:val="none"/>
        </w:rPr>
        <w:t>最后报价是供应商响应文件的有效组成部分。符合《政府采购竞争性磋商采购方式管理暂行办法》（财库〔</w:t>
      </w:r>
      <w:r>
        <w:rPr>
          <w:rFonts w:cs="Arial"/>
          <w:color w:val="auto"/>
          <w:kern w:val="0"/>
          <w:sz w:val="21"/>
          <w:szCs w:val="21"/>
          <w:highlight w:val="none"/>
        </w:rPr>
        <w:t>2014〕214号</w:t>
      </w:r>
      <w:r>
        <w:rPr>
          <w:rFonts w:hint="eastAsia" w:cs="Arial"/>
          <w:color w:val="auto"/>
          <w:kern w:val="0"/>
          <w:sz w:val="21"/>
          <w:szCs w:val="21"/>
          <w:highlight w:val="none"/>
        </w:rPr>
        <w:t>）第三条第四项情形的，提交最后报价的供应商可以为</w:t>
      </w:r>
      <w:r>
        <w:rPr>
          <w:rFonts w:cs="Arial"/>
          <w:color w:val="auto"/>
          <w:kern w:val="0"/>
          <w:sz w:val="21"/>
          <w:szCs w:val="21"/>
          <w:highlight w:val="none"/>
        </w:rPr>
        <w:t>2家。</w:t>
      </w:r>
    </w:p>
    <w:p w14:paraId="6FC8AD0E">
      <w:pPr>
        <w:adjustRightInd w:val="0"/>
        <w:snapToGrid w:val="0"/>
        <w:spacing w:line="288" w:lineRule="auto"/>
        <w:ind w:firstLine="426" w:firstLineChars="202"/>
        <w:rPr>
          <w:rFonts w:cs="Arial"/>
          <w:b/>
          <w:color w:val="auto"/>
          <w:kern w:val="0"/>
          <w:sz w:val="21"/>
          <w:szCs w:val="21"/>
          <w:highlight w:val="none"/>
        </w:rPr>
      </w:pPr>
      <w:r>
        <w:rPr>
          <w:rFonts w:hint="eastAsia" w:cs="Arial"/>
          <w:b/>
          <w:color w:val="auto"/>
          <w:kern w:val="0"/>
          <w:sz w:val="21"/>
          <w:szCs w:val="21"/>
          <w:highlight w:val="none"/>
        </w:rPr>
        <w:t>（六）综合评分</w:t>
      </w:r>
    </w:p>
    <w:p w14:paraId="6AD9A0C6">
      <w:pPr>
        <w:adjustRightInd w:val="0"/>
        <w:snapToGrid w:val="0"/>
        <w:spacing w:line="288" w:lineRule="auto"/>
        <w:ind w:firstLine="424" w:firstLineChars="202"/>
        <w:rPr>
          <w:rFonts w:cs="Arial"/>
          <w:color w:val="auto"/>
          <w:kern w:val="0"/>
          <w:sz w:val="21"/>
          <w:szCs w:val="21"/>
          <w:highlight w:val="none"/>
        </w:rPr>
      </w:pPr>
      <w:r>
        <w:rPr>
          <w:rFonts w:hint="eastAsia" w:cs="Arial"/>
          <w:color w:val="auto"/>
          <w:kern w:val="0"/>
          <w:sz w:val="21"/>
          <w:szCs w:val="21"/>
          <w:highlight w:val="none"/>
        </w:rPr>
        <w:t>经磋商确定最终采购需求和提交最后报价的供应商后，由磋商小组采用</w:t>
      </w:r>
      <w:r>
        <w:rPr>
          <w:rFonts w:hint="eastAsia" w:cs="Arial"/>
          <w:b/>
          <w:bCs/>
          <w:color w:val="auto"/>
          <w:kern w:val="0"/>
          <w:sz w:val="21"/>
          <w:szCs w:val="21"/>
          <w:highlight w:val="none"/>
        </w:rPr>
        <w:t>综合评分法</w:t>
      </w:r>
      <w:r>
        <w:rPr>
          <w:rFonts w:hint="eastAsia" w:cs="Arial"/>
          <w:color w:val="auto"/>
          <w:kern w:val="0"/>
          <w:sz w:val="21"/>
          <w:szCs w:val="21"/>
          <w:highlight w:val="none"/>
        </w:rPr>
        <w:t>对提交最后报价的供应商的响应文件和最后报价进行综合评分。</w:t>
      </w:r>
    </w:p>
    <w:p w14:paraId="6F20E26D">
      <w:pPr>
        <w:adjustRightInd w:val="0"/>
        <w:snapToGrid w:val="0"/>
        <w:spacing w:line="288" w:lineRule="auto"/>
        <w:ind w:firstLine="424" w:firstLineChars="202"/>
        <w:rPr>
          <w:rFonts w:cs="Arial"/>
          <w:color w:val="auto"/>
          <w:kern w:val="0"/>
          <w:sz w:val="21"/>
          <w:szCs w:val="21"/>
          <w:highlight w:val="none"/>
        </w:rPr>
      </w:pPr>
      <w:r>
        <w:rPr>
          <w:rFonts w:hint="eastAsia" w:cs="Arial"/>
          <w:color w:val="auto"/>
          <w:kern w:val="0"/>
          <w:sz w:val="21"/>
          <w:szCs w:val="21"/>
          <w:highlight w:val="none"/>
        </w:rPr>
        <w:t>综合评分法，是指响应文件满足磋商文件全部实质性要求且按评审因素的量化指标评审得分最高的供应商为成交候选供应商的评审方法。</w:t>
      </w:r>
    </w:p>
    <w:p w14:paraId="5F512FC1">
      <w:pPr>
        <w:adjustRightInd w:val="0"/>
        <w:snapToGrid w:val="0"/>
        <w:spacing w:line="288" w:lineRule="auto"/>
        <w:ind w:firstLine="426" w:firstLineChars="202"/>
        <w:rPr>
          <w:rFonts w:cs="Arial"/>
          <w:b/>
          <w:color w:val="auto"/>
          <w:kern w:val="0"/>
          <w:sz w:val="21"/>
          <w:szCs w:val="21"/>
          <w:highlight w:val="none"/>
        </w:rPr>
      </w:pPr>
      <w:r>
        <w:rPr>
          <w:rFonts w:hint="eastAsia" w:cs="Arial"/>
          <w:b/>
          <w:color w:val="auto"/>
          <w:kern w:val="0"/>
          <w:sz w:val="21"/>
          <w:szCs w:val="21"/>
          <w:highlight w:val="none"/>
        </w:rPr>
        <w:t>（七）</w:t>
      </w:r>
      <w:r>
        <w:rPr>
          <w:rFonts w:cs="Arial"/>
          <w:b/>
          <w:color w:val="auto"/>
          <w:kern w:val="0"/>
          <w:sz w:val="21"/>
          <w:szCs w:val="21"/>
          <w:highlight w:val="none"/>
        </w:rPr>
        <w:t>汇总商务技术得分</w:t>
      </w:r>
    </w:p>
    <w:p w14:paraId="40348211">
      <w:pPr>
        <w:adjustRightInd w:val="0"/>
        <w:snapToGrid w:val="0"/>
        <w:spacing w:line="288" w:lineRule="auto"/>
        <w:ind w:firstLine="424" w:firstLineChars="202"/>
        <w:rPr>
          <w:rFonts w:cs="Arial"/>
          <w:color w:val="auto"/>
          <w:kern w:val="0"/>
          <w:sz w:val="21"/>
          <w:szCs w:val="21"/>
          <w:highlight w:val="none"/>
        </w:rPr>
      </w:pPr>
      <w:r>
        <w:rPr>
          <w:rFonts w:hint="eastAsia" w:cs="Arial"/>
          <w:color w:val="auto"/>
          <w:kern w:val="0"/>
          <w:sz w:val="21"/>
          <w:szCs w:val="21"/>
          <w:highlight w:val="none"/>
        </w:rPr>
        <w:t>磋商小组各成员独立对进入最后报价的供应商的商务和技术文件进行评价，并汇总商务技术得分情况。</w:t>
      </w:r>
    </w:p>
    <w:p w14:paraId="53D6BD54">
      <w:pPr>
        <w:adjustRightInd w:val="0"/>
        <w:snapToGrid w:val="0"/>
        <w:spacing w:line="288" w:lineRule="auto"/>
        <w:ind w:firstLine="424" w:firstLineChars="202"/>
        <w:rPr>
          <w:rFonts w:cs="Arial"/>
          <w:color w:val="auto"/>
          <w:kern w:val="0"/>
          <w:sz w:val="21"/>
          <w:szCs w:val="21"/>
          <w:highlight w:val="none"/>
        </w:rPr>
      </w:pPr>
      <w:bookmarkStart w:id="46" w:name="_Hlk94088579"/>
      <w:r>
        <w:rPr>
          <w:rFonts w:hint="eastAsia" w:cs="Arial"/>
          <w:color w:val="auto"/>
          <w:kern w:val="0"/>
          <w:sz w:val="21"/>
          <w:szCs w:val="21"/>
          <w:highlight w:val="none"/>
        </w:rPr>
        <w:t>现场监督员如发现分值汇总计算错误、分项评分超出评分标准范围、客观评分不一致以及存在评分畸高、畸低情形的，应由相关人员当场改正或作出说明；拒不改正又不作说明的，由现场监督员如实记载后存入项目档案资料。</w:t>
      </w:r>
    </w:p>
    <w:bookmarkEnd w:id="46"/>
    <w:p w14:paraId="2FCCF0AD">
      <w:pPr>
        <w:adjustRightInd w:val="0"/>
        <w:snapToGrid w:val="0"/>
        <w:spacing w:line="288" w:lineRule="auto"/>
        <w:ind w:firstLine="426" w:firstLineChars="202"/>
        <w:rPr>
          <w:rFonts w:cs="Arial"/>
          <w:b/>
          <w:color w:val="auto"/>
          <w:kern w:val="0"/>
          <w:sz w:val="21"/>
          <w:szCs w:val="21"/>
          <w:highlight w:val="none"/>
        </w:rPr>
      </w:pPr>
      <w:r>
        <w:rPr>
          <w:rFonts w:hint="eastAsia" w:cs="Arial"/>
          <w:b/>
          <w:color w:val="auto"/>
          <w:kern w:val="0"/>
          <w:sz w:val="21"/>
          <w:szCs w:val="21"/>
          <w:highlight w:val="none"/>
        </w:rPr>
        <w:t>（八）排序与推荐</w:t>
      </w:r>
    </w:p>
    <w:p w14:paraId="47568801">
      <w:pPr>
        <w:adjustRightInd w:val="0"/>
        <w:snapToGrid w:val="0"/>
        <w:spacing w:line="288" w:lineRule="auto"/>
        <w:ind w:firstLine="424" w:firstLineChars="202"/>
        <w:rPr>
          <w:rFonts w:cs="Arial"/>
          <w:color w:val="auto"/>
          <w:kern w:val="0"/>
          <w:sz w:val="21"/>
          <w:szCs w:val="21"/>
          <w:highlight w:val="none"/>
        </w:rPr>
      </w:pPr>
      <w:r>
        <w:rPr>
          <w:rFonts w:hint="eastAsia" w:cs="Arial"/>
          <w:color w:val="auto"/>
          <w:kern w:val="0"/>
          <w:sz w:val="21"/>
          <w:szCs w:val="21"/>
          <w:highlight w:val="none"/>
        </w:rPr>
        <w:t>磋商小组应当根据综合评分情况，按照评审得分由高到低顺序推荐</w:t>
      </w:r>
      <w:r>
        <w:rPr>
          <w:rFonts w:cs="Arial"/>
          <w:color w:val="auto"/>
          <w:kern w:val="0"/>
          <w:sz w:val="21"/>
          <w:szCs w:val="21"/>
          <w:highlight w:val="none"/>
        </w:rPr>
        <w:t>3名以上成交候选供应商，并编写评审报告。符合</w:t>
      </w:r>
      <w:r>
        <w:rPr>
          <w:rFonts w:hint="eastAsia" w:cs="Arial"/>
          <w:color w:val="auto"/>
          <w:kern w:val="0"/>
          <w:sz w:val="21"/>
          <w:szCs w:val="21"/>
          <w:highlight w:val="none"/>
        </w:rPr>
        <w:t>《政府采购竞争性磋商采购方式管理暂行办法》（财库〔</w:t>
      </w:r>
      <w:r>
        <w:rPr>
          <w:rFonts w:cs="Arial"/>
          <w:color w:val="auto"/>
          <w:kern w:val="0"/>
          <w:sz w:val="21"/>
          <w:szCs w:val="21"/>
          <w:highlight w:val="none"/>
        </w:rPr>
        <w:t>2014〕214号</w:t>
      </w:r>
      <w:r>
        <w:rPr>
          <w:rFonts w:hint="eastAsia" w:cs="Arial"/>
          <w:color w:val="auto"/>
          <w:kern w:val="0"/>
          <w:sz w:val="21"/>
          <w:szCs w:val="21"/>
          <w:highlight w:val="none"/>
        </w:rPr>
        <w:t>）</w:t>
      </w:r>
      <w:r>
        <w:rPr>
          <w:rFonts w:cs="Arial"/>
          <w:color w:val="auto"/>
          <w:kern w:val="0"/>
          <w:sz w:val="21"/>
          <w:szCs w:val="21"/>
          <w:highlight w:val="none"/>
        </w:rPr>
        <w:t>第二十一条第三款情形的，可以推荐2家成交候选供应商。评审得分相同的，按照最后报价由低到高的顺序推荐。评审得分且最后报价相同的，按照技术指标优劣顺序推荐。</w:t>
      </w:r>
    </w:p>
    <w:p w14:paraId="341778A1">
      <w:pPr>
        <w:adjustRightInd w:val="0"/>
        <w:snapToGrid w:val="0"/>
        <w:spacing w:line="288" w:lineRule="auto"/>
        <w:ind w:firstLine="426" w:firstLineChars="202"/>
        <w:rPr>
          <w:rFonts w:cs="Arial"/>
          <w:b/>
          <w:color w:val="auto"/>
          <w:kern w:val="0"/>
          <w:sz w:val="21"/>
          <w:szCs w:val="21"/>
          <w:highlight w:val="none"/>
        </w:rPr>
      </w:pPr>
      <w:r>
        <w:rPr>
          <w:rFonts w:hint="eastAsia" w:cs="Arial"/>
          <w:b/>
          <w:color w:val="auto"/>
          <w:kern w:val="0"/>
          <w:sz w:val="21"/>
          <w:szCs w:val="21"/>
          <w:highlight w:val="none"/>
        </w:rPr>
        <w:t>（九）</w:t>
      </w:r>
      <w:r>
        <w:rPr>
          <w:rFonts w:cs="Arial"/>
          <w:b/>
          <w:color w:val="auto"/>
          <w:kern w:val="0"/>
          <w:sz w:val="21"/>
          <w:szCs w:val="21"/>
          <w:highlight w:val="none"/>
        </w:rPr>
        <w:t>编写</w:t>
      </w:r>
      <w:r>
        <w:rPr>
          <w:rFonts w:hint="eastAsia" w:cs="Arial"/>
          <w:b/>
          <w:color w:val="auto"/>
          <w:kern w:val="0"/>
          <w:sz w:val="21"/>
          <w:szCs w:val="21"/>
          <w:highlight w:val="none"/>
        </w:rPr>
        <w:t>评审</w:t>
      </w:r>
      <w:r>
        <w:rPr>
          <w:rFonts w:cs="Arial"/>
          <w:b/>
          <w:color w:val="auto"/>
          <w:kern w:val="0"/>
          <w:sz w:val="21"/>
          <w:szCs w:val="21"/>
          <w:highlight w:val="none"/>
        </w:rPr>
        <w:t>报告</w:t>
      </w:r>
    </w:p>
    <w:p w14:paraId="009A90C0">
      <w:pPr>
        <w:adjustRightInd w:val="0"/>
        <w:snapToGrid w:val="0"/>
        <w:spacing w:line="288" w:lineRule="auto"/>
        <w:ind w:firstLine="424" w:firstLineChars="202"/>
        <w:rPr>
          <w:rFonts w:cs="Arial"/>
          <w:color w:val="auto"/>
          <w:kern w:val="0"/>
          <w:sz w:val="21"/>
          <w:szCs w:val="21"/>
          <w:highlight w:val="none"/>
        </w:rPr>
      </w:pPr>
      <w:r>
        <w:rPr>
          <w:rFonts w:hint="eastAsia" w:cs="Arial"/>
          <w:color w:val="auto"/>
          <w:kern w:val="0"/>
          <w:sz w:val="21"/>
          <w:szCs w:val="21"/>
          <w:highlight w:val="none"/>
        </w:rPr>
        <w:t>评审报告应当由磋商小组全体人员签名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名又不书面说明其不同意见和理由的，视为同意评审报告。</w:t>
      </w:r>
    </w:p>
    <w:p w14:paraId="2592E51F">
      <w:pPr>
        <w:adjustRightInd w:val="0"/>
        <w:snapToGrid w:val="0"/>
        <w:spacing w:line="288" w:lineRule="auto"/>
        <w:ind w:firstLine="426" w:firstLineChars="202"/>
        <w:rPr>
          <w:b/>
          <w:bCs/>
          <w:color w:val="auto"/>
          <w:sz w:val="21"/>
          <w:szCs w:val="21"/>
          <w:highlight w:val="none"/>
        </w:rPr>
      </w:pPr>
      <w:r>
        <w:rPr>
          <w:rFonts w:hint="eastAsia" w:cs="Arial"/>
          <w:b/>
          <w:color w:val="auto"/>
          <w:kern w:val="0"/>
          <w:sz w:val="21"/>
          <w:szCs w:val="21"/>
          <w:highlight w:val="none"/>
        </w:rPr>
        <w:t>（十）补充说明</w:t>
      </w:r>
    </w:p>
    <w:p w14:paraId="37DC93C1">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采用竞争性磋商采购方式采购的政府购买服务项目（含政府和社会资本合作项目），在采购过程中符合要求的供应商（社会资本）只有2家的，竞争性磋商采购活动可以继续进行。</w:t>
      </w:r>
    </w:p>
    <w:p w14:paraId="501A40FD">
      <w:pPr>
        <w:widowControl/>
        <w:adjustRightInd w:val="0"/>
        <w:snapToGrid w:val="0"/>
        <w:spacing w:line="288" w:lineRule="auto"/>
        <w:ind w:firstLine="199"/>
        <w:jc w:val="left"/>
        <w:rPr>
          <w:rFonts w:cs="Times New Roman"/>
          <w:b/>
          <w:color w:val="auto"/>
          <w:spacing w:val="-6"/>
          <w:sz w:val="21"/>
          <w:szCs w:val="21"/>
          <w:highlight w:val="none"/>
        </w:rPr>
      </w:pPr>
      <w:r>
        <w:rPr>
          <w:rFonts w:cs="Times New Roman"/>
          <w:b/>
          <w:color w:val="auto"/>
          <w:spacing w:val="-6"/>
          <w:sz w:val="21"/>
          <w:szCs w:val="21"/>
          <w:highlight w:val="none"/>
        </w:rPr>
        <w:br w:type="page"/>
      </w:r>
    </w:p>
    <w:p w14:paraId="1628842C">
      <w:pPr>
        <w:adjustRightInd w:val="0"/>
        <w:snapToGrid w:val="0"/>
        <w:spacing w:line="288" w:lineRule="auto"/>
        <w:ind w:firstLine="199"/>
        <w:jc w:val="center"/>
        <w:outlineLvl w:val="1"/>
        <w:rPr>
          <w:rFonts w:cs="Times New Roman"/>
          <w:b/>
          <w:color w:val="auto"/>
          <w:spacing w:val="-6"/>
          <w:sz w:val="21"/>
          <w:szCs w:val="21"/>
          <w:highlight w:val="none"/>
        </w:rPr>
      </w:pPr>
      <w:r>
        <w:rPr>
          <w:rFonts w:hint="eastAsia" w:cs="Times New Roman"/>
          <w:b/>
          <w:color w:val="auto"/>
          <w:spacing w:val="-6"/>
          <w:sz w:val="21"/>
          <w:szCs w:val="21"/>
          <w:highlight w:val="none"/>
        </w:rPr>
        <w:t>七、成交与合同</w:t>
      </w:r>
    </w:p>
    <w:p w14:paraId="3890450B">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（一）成交</w:t>
      </w:r>
    </w:p>
    <w:p w14:paraId="66C095A3">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1.采购代理机构在评审结束后2个工作日内将评审报告送采购人确认。采购人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33B0CDDD">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2.采购代理机构在成交供应商确定后</w:t>
      </w:r>
      <w:r>
        <w:rPr>
          <w:color w:val="auto"/>
          <w:sz w:val="21"/>
          <w:szCs w:val="21"/>
          <w:highlight w:val="none"/>
        </w:rPr>
        <w:t>2个工作日内公告成交结果，同时向成交供应商发出成交通知书，并将磋商文件随成交结果同时公告。</w:t>
      </w:r>
    </w:p>
    <w:p w14:paraId="500DA4E1">
      <w:pPr>
        <w:adjustRightInd w:val="0"/>
        <w:snapToGrid w:val="0"/>
        <w:spacing w:line="288" w:lineRule="auto"/>
        <w:ind w:firstLine="420" w:firstLineChars="200"/>
        <w:rPr>
          <w:b/>
          <w:bCs/>
          <w:color w:val="auto"/>
          <w:sz w:val="21"/>
          <w:szCs w:val="21"/>
          <w:highlight w:val="none"/>
        </w:rPr>
      </w:pPr>
      <w:r>
        <w:rPr>
          <w:rFonts w:hint="eastAsia"/>
          <w:color w:val="auto"/>
          <w:sz w:val="21"/>
          <w:szCs w:val="21"/>
          <w:highlight w:val="none"/>
        </w:rPr>
        <w:t>3</w:t>
      </w:r>
      <w:r>
        <w:rPr>
          <w:color w:val="auto"/>
          <w:sz w:val="21"/>
          <w:szCs w:val="21"/>
          <w:highlight w:val="none"/>
        </w:rPr>
        <w:t>.</w:t>
      </w:r>
      <w:r>
        <w:rPr>
          <w:rFonts w:hint="eastAsia"/>
          <w:color w:val="auto"/>
          <w:sz w:val="21"/>
          <w:szCs w:val="21"/>
          <w:highlight w:val="none"/>
        </w:rPr>
        <w:t>评审结果公示媒体：浙江政府采购网（http://zfcg.czt.zj.gov.cn）。</w:t>
      </w:r>
    </w:p>
    <w:p w14:paraId="3855F954">
      <w:pPr>
        <w:adjustRightInd w:val="0"/>
        <w:snapToGrid w:val="0"/>
        <w:spacing w:line="288" w:lineRule="auto"/>
        <w:ind w:firstLine="211"/>
        <w:jc w:val="left"/>
        <w:rPr>
          <w:b/>
          <w:bCs/>
          <w:color w:val="auto"/>
          <w:sz w:val="21"/>
          <w:szCs w:val="21"/>
          <w:highlight w:val="none"/>
        </w:rPr>
      </w:pPr>
      <w:r>
        <w:rPr>
          <w:rFonts w:hint="eastAsia"/>
          <w:b/>
          <w:bCs/>
          <w:color w:val="auto"/>
          <w:sz w:val="21"/>
          <w:szCs w:val="21"/>
          <w:highlight w:val="none"/>
        </w:rPr>
        <w:t>（二）合同授予</w:t>
      </w:r>
    </w:p>
    <w:p w14:paraId="1D82CF1E">
      <w:pPr>
        <w:adjustRightInd w:val="0"/>
        <w:snapToGrid w:val="0"/>
        <w:spacing w:line="288" w:lineRule="auto"/>
        <w:ind w:firstLine="420" w:firstLineChars="200"/>
        <w:jc w:val="left"/>
        <w:rPr>
          <w:color w:val="auto"/>
          <w:sz w:val="21"/>
          <w:szCs w:val="21"/>
          <w:highlight w:val="none"/>
        </w:rPr>
      </w:pPr>
      <w:r>
        <w:rPr>
          <w:rFonts w:hint="eastAsia"/>
          <w:color w:val="auto"/>
          <w:sz w:val="21"/>
          <w:szCs w:val="21"/>
          <w:highlight w:val="none"/>
        </w:rPr>
        <w:t>1.采购人与成交供应商应当在成交通知书发出之日起30日内，按照采购文件确定的合同文本以及采购标的、规格型号、采购金额、采购数量、技术和服务要求等事项签订政府采购合同。采购人不得向成交供应商提出超出采购文件以外的任何要求作为签订合同的条件，不得与成交供应商订立背离采购文件确定的合同文本以及采购标的、规格型号、采购金额、采购数量、技术和服务要求等实质性内容的协议。</w:t>
      </w:r>
    </w:p>
    <w:p w14:paraId="798D288E">
      <w:pPr>
        <w:adjustRightInd w:val="0"/>
        <w:snapToGrid w:val="0"/>
        <w:spacing w:line="288" w:lineRule="auto"/>
        <w:ind w:firstLine="420" w:firstLineChars="200"/>
        <w:jc w:val="left"/>
        <w:rPr>
          <w:color w:val="auto"/>
          <w:sz w:val="21"/>
          <w:szCs w:val="21"/>
          <w:highlight w:val="none"/>
        </w:rPr>
      </w:pPr>
      <w:r>
        <w:rPr>
          <w:rFonts w:hint="eastAsia"/>
          <w:color w:val="auto"/>
          <w:sz w:val="21"/>
          <w:szCs w:val="21"/>
          <w:highlight w:val="none"/>
        </w:rPr>
        <w:t>2.成交后无正当理由拒不与采购人签订政府采购合同，将被取消成交资格，并处以采购金额千分之五以上千分之十以下的罚款，由政府采购监督管理部门列入不良行为记录名单，在一至三年内禁止参加政府采购活动，有违法所得的，并处没收违法所得，情节严重的，由工商行政管理机关吊销营业执照。</w:t>
      </w:r>
    </w:p>
    <w:p w14:paraId="0290395B">
      <w:pPr>
        <w:adjustRightInd w:val="0"/>
        <w:snapToGrid w:val="0"/>
        <w:spacing w:line="288" w:lineRule="auto"/>
        <w:ind w:firstLine="211"/>
        <w:rPr>
          <w:color w:val="auto"/>
          <w:sz w:val="21"/>
          <w:szCs w:val="21"/>
          <w:highlight w:val="none"/>
        </w:rPr>
      </w:pPr>
    </w:p>
    <w:p w14:paraId="2CA77F0D">
      <w:pPr>
        <w:adjustRightInd w:val="0"/>
        <w:snapToGrid w:val="0"/>
        <w:spacing w:line="288" w:lineRule="auto"/>
        <w:ind w:firstLine="199"/>
        <w:jc w:val="center"/>
        <w:outlineLvl w:val="1"/>
        <w:rPr>
          <w:rFonts w:cs="Times New Roman"/>
          <w:b/>
          <w:color w:val="auto"/>
          <w:spacing w:val="-6"/>
          <w:sz w:val="21"/>
          <w:szCs w:val="21"/>
          <w:highlight w:val="none"/>
        </w:rPr>
      </w:pPr>
      <w:r>
        <w:rPr>
          <w:rFonts w:hint="eastAsia" w:cs="Times New Roman"/>
          <w:b/>
          <w:color w:val="auto"/>
          <w:spacing w:val="-6"/>
          <w:sz w:val="21"/>
          <w:szCs w:val="21"/>
          <w:highlight w:val="none"/>
        </w:rPr>
        <w:t>八、</w:t>
      </w:r>
      <w:r>
        <w:rPr>
          <w:rFonts w:cs="Times New Roman"/>
          <w:b/>
          <w:color w:val="auto"/>
          <w:spacing w:val="-6"/>
          <w:sz w:val="21"/>
          <w:szCs w:val="21"/>
          <w:highlight w:val="none"/>
        </w:rPr>
        <w:t>验</w:t>
      </w:r>
      <w:r>
        <w:rPr>
          <w:rFonts w:hint="eastAsia" w:cs="Times New Roman"/>
          <w:b/>
          <w:color w:val="auto"/>
          <w:spacing w:val="-6"/>
          <w:sz w:val="21"/>
          <w:szCs w:val="21"/>
          <w:highlight w:val="none"/>
        </w:rPr>
        <w:t xml:space="preserve"> </w:t>
      </w:r>
      <w:r>
        <w:rPr>
          <w:rFonts w:cs="Times New Roman"/>
          <w:b/>
          <w:color w:val="auto"/>
          <w:spacing w:val="-6"/>
          <w:sz w:val="21"/>
          <w:szCs w:val="21"/>
          <w:highlight w:val="none"/>
        </w:rPr>
        <w:t xml:space="preserve"> 收</w:t>
      </w:r>
    </w:p>
    <w:p w14:paraId="5F1AF204">
      <w:pPr>
        <w:tabs>
          <w:tab w:val="left" w:pos="0"/>
        </w:tabs>
        <w:adjustRightInd w:val="0"/>
        <w:snapToGrid w:val="0"/>
        <w:spacing w:line="288" w:lineRule="auto"/>
        <w:ind w:firstLine="422" w:firstLineChars="201"/>
        <w:rPr>
          <w:rFonts w:cs="Helvetica"/>
          <w:color w:val="auto"/>
          <w:kern w:val="0"/>
          <w:sz w:val="21"/>
          <w:szCs w:val="21"/>
          <w:highlight w:val="none"/>
        </w:rPr>
      </w:pPr>
      <w:r>
        <w:rPr>
          <w:rFonts w:cs="Helvetica"/>
          <w:color w:val="auto"/>
          <w:kern w:val="0"/>
          <w:sz w:val="21"/>
          <w:szCs w:val="21"/>
          <w:highlight w:val="none"/>
        </w:rPr>
        <w:t>采购人组织对供应商履约的验收。大型或者复杂的政府采购项目，应当邀请国家认可的质量检测机构参加验收工作。验收方成员应当在验收书上签名，并承担相应的法律责任。如果发现与合同中要求不符，供应商须承担由此发生的一切损失和费用，并接受相应的处理。</w:t>
      </w:r>
    </w:p>
    <w:p w14:paraId="3D673512">
      <w:pPr>
        <w:tabs>
          <w:tab w:val="left" w:pos="0"/>
        </w:tabs>
        <w:adjustRightInd w:val="0"/>
        <w:snapToGrid w:val="0"/>
        <w:spacing w:line="288" w:lineRule="auto"/>
        <w:ind w:firstLine="422" w:firstLineChars="201"/>
        <w:rPr>
          <w:rFonts w:cs="Helvetica"/>
          <w:color w:val="auto"/>
          <w:kern w:val="0"/>
          <w:sz w:val="21"/>
          <w:szCs w:val="21"/>
          <w:highlight w:val="none"/>
        </w:rPr>
      </w:pPr>
      <w:r>
        <w:rPr>
          <w:rFonts w:cs="Helvetica"/>
          <w:color w:val="auto"/>
          <w:kern w:val="0"/>
          <w:sz w:val="21"/>
          <w:szCs w:val="21"/>
          <w:highlight w:val="none"/>
        </w:rPr>
        <w:t>采购人可以邀请参加本项目的其他供应商或者第三方机构参与验收。参与验收的供应商或者第三方机构的意见作为</w:t>
      </w:r>
      <w:r>
        <w:rPr>
          <w:rFonts w:hint="eastAsia" w:cs="Helvetica"/>
          <w:color w:val="auto"/>
          <w:kern w:val="0"/>
          <w:sz w:val="21"/>
          <w:szCs w:val="21"/>
          <w:highlight w:val="none"/>
        </w:rPr>
        <w:t>验收书的参考资料一并存档。</w:t>
      </w:r>
    </w:p>
    <w:p w14:paraId="2835EC10">
      <w:pPr>
        <w:tabs>
          <w:tab w:val="left" w:pos="0"/>
        </w:tabs>
        <w:adjustRightInd w:val="0"/>
        <w:snapToGrid w:val="0"/>
        <w:spacing w:line="288" w:lineRule="auto"/>
        <w:ind w:firstLine="422" w:firstLineChars="201"/>
        <w:rPr>
          <w:rFonts w:cs="Helvetica"/>
          <w:color w:val="auto"/>
          <w:kern w:val="0"/>
          <w:sz w:val="21"/>
          <w:szCs w:val="21"/>
          <w:highlight w:val="none"/>
        </w:rPr>
      </w:pPr>
      <w:r>
        <w:rPr>
          <w:rFonts w:cs="Helvetica"/>
          <w:color w:val="auto"/>
          <w:kern w:val="0"/>
          <w:sz w:val="21"/>
          <w:szCs w:val="21"/>
          <w:highlight w:val="none"/>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BF3A61A">
      <w:pPr>
        <w:tabs>
          <w:tab w:val="left" w:pos="0"/>
        </w:tabs>
        <w:adjustRightInd w:val="0"/>
        <w:snapToGrid w:val="0"/>
        <w:spacing w:line="288" w:lineRule="auto"/>
        <w:ind w:firstLine="422" w:firstLineChars="201"/>
        <w:rPr>
          <w:rFonts w:cs="Helvetica"/>
          <w:color w:val="auto"/>
          <w:kern w:val="0"/>
          <w:sz w:val="21"/>
          <w:szCs w:val="21"/>
          <w:highlight w:val="none"/>
        </w:rPr>
      </w:pPr>
      <w:r>
        <w:rPr>
          <w:rFonts w:cs="Helvetica"/>
          <w:color w:val="auto"/>
          <w:kern w:val="0"/>
          <w:sz w:val="21"/>
          <w:szCs w:val="21"/>
          <w:highlight w:val="none"/>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6B2FAE88">
      <w:pPr>
        <w:adjustRightInd w:val="0"/>
        <w:snapToGrid w:val="0"/>
        <w:spacing w:line="288" w:lineRule="auto"/>
        <w:ind w:firstLine="211"/>
        <w:rPr>
          <w:color w:val="auto"/>
          <w:sz w:val="21"/>
          <w:szCs w:val="21"/>
          <w:highlight w:val="none"/>
        </w:rPr>
      </w:pPr>
    </w:p>
    <w:p w14:paraId="3387B75F">
      <w:pPr>
        <w:adjustRightInd w:val="0"/>
        <w:snapToGrid w:val="0"/>
        <w:spacing w:line="288" w:lineRule="auto"/>
        <w:ind w:firstLine="211"/>
        <w:jc w:val="center"/>
        <w:outlineLvl w:val="1"/>
        <w:rPr>
          <w:b/>
          <w:bCs/>
          <w:color w:val="auto"/>
          <w:sz w:val="21"/>
          <w:szCs w:val="21"/>
          <w:highlight w:val="none"/>
        </w:rPr>
      </w:pPr>
      <w:r>
        <w:rPr>
          <w:rFonts w:hint="eastAsia"/>
          <w:b/>
          <w:bCs/>
          <w:color w:val="auto"/>
          <w:sz w:val="21"/>
          <w:szCs w:val="21"/>
          <w:highlight w:val="none"/>
        </w:rPr>
        <w:t>九、可中止电子交易活动的情形</w:t>
      </w:r>
    </w:p>
    <w:p w14:paraId="69EC0668">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采购过程中出现以下情形，导致电子交易平台无法正常运行，或者无法保证电子交易的公平、公正和安全时，采购代理机构可中止电子交易活动：</w:t>
      </w:r>
    </w:p>
    <w:p w14:paraId="1D6CE27C">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1.电子交易平台发生故障而无法登录访问的；</w:t>
      </w:r>
    </w:p>
    <w:p w14:paraId="3A9647D0">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2.电子交易平台应用或数据库出现错误，不能进行正常操作的；</w:t>
      </w:r>
    </w:p>
    <w:p w14:paraId="35C928B8">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3.电子交易平台发现严重安全漏洞，有潜在泄密危险的；</w:t>
      </w:r>
    </w:p>
    <w:p w14:paraId="01EA9B60">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4.病毒发作导致不能进行正常操作的；</w:t>
      </w:r>
    </w:p>
    <w:p w14:paraId="625D4864">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5.其他无法保证电子交易的公平、公正和安全的情况。</w:t>
      </w:r>
    </w:p>
    <w:p w14:paraId="6AC36E7B">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出现前款规定情形，不影响采购公平、公正性的，采购代理机构可以待上述情形消除后继续组织电子交易活动；影响或可能影响采购公平、公正性的，应当重新采购。</w:t>
      </w:r>
      <w:r>
        <w:rPr>
          <w:rFonts w:hint="eastAsia"/>
          <w:color w:val="auto"/>
          <w:sz w:val="21"/>
          <w:szCs w:val="21"/>
          <w:highlight w:val="none"/>
        </w:rPr>
        <w:br w:type="page"/>
      </w:r>
    </w:p>
    <w:p w14:paraId="38FCC563">
      <w:pPr>
        <w:adjustRightInd w:val="0"/>
        <w:snapToGrid w:val="0"/>
        <w:spacing w:line="288" w:lineRule="auto"/>
        <w:ind w:firstLine="321"/>
        <w:jc w:val="center"/>
        <w:outlineLvl w:val="0"/>
        <w:rPr>
          <w:b/>
          <w:bCs/>
          <w:color w:val="auto"/>
          <w:sz w:val="32"/>
          <w:szCs w:val="32"/>
          <w:highlight w:val="none"/>
        </w:rPr>
      </w:pPr>
      <w:r>
        <w:rPr>
          <w:rFonts w:hint="eastAsia"/>
          <w:b/>
          <w:bCs/>
          <w:color w:val="auto"/>
          <w:sz w:val="32"/>
          <w:szCs w:val="32"/>
          <w:highlight w:val="none"/>
        </w:rPr>
        <w:t>第四章  评审方法和评审标准</w:t>
      </w:r>
    </w:p>
    <w:p w14:paraId="04895D26">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一、评审方法</w:t>
      </w:r>
    </w:p>
    <w:p w14:paraId="41B82991">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本次评审采用综合评分法，总分为100分。评分过程中采用四舍五入法，并保留小数2位。</w:t>
      </w:r>
    </w:p>
    <w:p w14:paraId="342E939E">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供应商评审综合得分=商务分+技术分+价格分</w:t>
      </w:r>
    </w:p>
    <w:p w14:paraId="4148D90F">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商务分、技术分按照磋商小组成员的独立评分结果的算术平均分计算，计算公式为：商务分、技术分=（磋商小组所有成员评分合计数）/（磋商小组组成人员数）。项目评审过程中，不得去掉最后报价中的最高报价和最低报价。</w:t>
      </w:r>
    </w:p>
    <w:p w14:paraId="34015D19">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二、评审标准</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8"/>
        <w:gridCol w:w="780"/>
        <w:gridCol w:w="7130"/>
      </w:tblGrid>
      <w:tr w14:paraId="4B048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2" w:type="pct"/>
            <w:tcBorders>
              <w:top w:val="single" w:color="auto" w:sz="4" w:space="0"/>
              <w:left w:val="single" w:color="auto" w:sz="4" w:space="0"/>
              <w:bottom w:val="single" w:color="auto" w:sz="4" w:space="0"/>
              <w:right w:val="single" w:color="auto" w:sz="4" w:space="0"/>
            </w:tcBorders>
            <w:vAlign w:val="center"/>
          </w:tcPr>
          <w:p w14:paraId="7EE43AF6">
            <w:pPr>
              <w:jc w:val="center"/>
              <w:rPr>
                <w:color w:val="auto"/>
                <w:sz w:val="21"/>
                <w:szCs w:val="21"/>
                <w:highlight w:val="none"/>
              </w:rPr>
            </w:pPr>
            <w:r>
              <w:rPr>
                <w:rFonts w:hint="eastAsia"/>
                <w:color w:val="auto"/>
                <w:sz w:val="21"/>
                <w:szCs w:val="21"/>
                <w:highlight w:val="none"/>
              </w:rPr>
              <w:t>评审因素</w:t>
            </w:r>
          </w:p>
        </w:tc>
        <w:tc>
          <w:tcPr>
            <w:tcW w:w="405" w:type="pct"/>
            <w:tcBorders>
              <w:top w:val="single" w:color="auto" w:sz="4" w:space="0"/>
              <w:left w:val="single" w:color="auto" w:sz="4" w:space="0"/>
              <w:bottom w:val="single" w:color="auto" w:sz="4" w:space="0"/>
              <w:right w:val="single" w:color="auto" w:sz="4" w:space="0"/>
            </w:tcBorders>
            <w:vAlign w:val="center"/>
          </w:tcPr>
          <w:p w14:paraId="744C9E8E">
            <w:pPr>
              <w:jc w:val="center"/>
              <w:rPr>
                <w:color w:val="auto"/>
                <w:sz w:val="21"/>
                <w:szCs w:val="21"/>
                <w:highlight w:val="none"/>
              </w:rPr>
            </w:pPr>
            <w:r>
              <w:rPr>
                <w:rFonts w:hint="eastAsia"/>
                <w:color w:val="auto"/>
                <w:sz w:val="21"/>
                <w:szCs w:val="21"/>
                <w:highlight w:val="none"/>
              </w:rPr>
              <w:t>分值</w:t>
            </w:r>
          </w:p>
        </w:tc>
        <w:tc>
          <w:tcPr>
            <w:tcW w:w="3703" w:type="pct"/>
            <w:tcBorders>
              <w:top w:val="single" w:color="auto" w:sz="4" w:space="0"/>
              <w:left w:val="single" w:color="auto" w:sz="4" w:space="0"/>
              <w:bottom w:val="single" w:color="auto" w:sz="4" w:space="0"/>
              <w:right w:val="single" w:color="auto" w:sz="4" w:space="0"/>
            </w:tcBorders>
            <w:vAlign w:val="center"/>
          </w:tcPr>
          <w:p w14:paraId="77606AD6">
            <w:pPr>
              <w:jc w:val="center"/>
              <w:rPr>
                <w:color w:val="auto"/>
                <w:sz w:val="21"/>
                <w:szCs w:val="21"/>
                <w:highlight w:val="none"/>
              </w:rPr>
            </w:pPr>
            <w:r>
              <w:rPr>
                <w:rFonts w:hint="eastAsia"/>
                <w:color w:val="auto"/>
                <w:sz w:val="21"/>
                <w:szCs w:val="21"/>
                <w:highlight w:val="none"/>
              </w:rPr>
              <w:t>评分细则</w:t>
            </w:r>
          </w:p>
        </w:tc>
      </w:tr>
      <w:tr w14:paraId="5E21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50779F76">
            <w:pPr>
              <w:rPr>
                <w:color w:val="auto"/>
                <w:sz w:val="21"/>
                <w:szCs w:val="21"/>
                <w:highlight w:val="none"/>
              </w:rPr>
            </w:pPr>
            <w:r>
              <w:rPr>
                <w:rFonts w:hint="eastAsia"/>
                <w:color w:val="auto"/>
                <w:sz w:val="21"/>
                <w:szCs w:val="21"/>
                <w:highlight w:val="none"/>
              </w:rPr>
              <w:t>价格分</w:t>
            </w:r>
          </w:p>
        </w:tc>
      </w:tr>
      <w:tr w14:paraId="66D22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2" w:type="pct"/>
            <w:tcBorders>
              <w:top w:val="single" w:color="auto" w:sz="4" w:space="0"/>
              <w:left w:val="single" w:color="auto" w:sz="4" w:space="0"/>
              <w:bottom w:val="single" w:color="auto" w:sz="4" w:space="0"/>
              <w:right w:val="single" w:color="auto" w:sz="4" w:space="0"/>
            </w:tcBorders>
            <w:vAlign w:val="center"/>
          </w:tcPr>
          <w:p w14:paraId="62923510">
            <w:pPr>
              <w:pStyle w:val="13"/>
              <w:spacing w:line="240" w:lineRule="auto"/>
              <w:ind w:firstLine="0"/>
              <w:jc w:val="center"/>
              <w:rPr>
                <w:rFonts w:hAnsi="宋体" w:cs="宋体"/>
                <w:color w:val="auto"/>
                <w:spacing w:val="-6"/>
                <w:sz w:val="21"/>
                <w:szCs w:val="21"/>
                <w:highlight w:val="none"/>
              </w:rPr>
            </w:pPr>
            <w:r>
              <w:rPr>
                <w:rFonts w:hint="eastAsia" w:hAnsi="宋体" w:cs="宋体"/>
                <w:color w:val="auto"/>
                <w:spacing w:val="-6"/>
                <w:sz w:val="21"/>
                <w:szCs w:val="21"/>
                <w:highlight w:val="none"/>
              </w:rPr>
              <w:t>最后磋商报价</w:t>
            </w:r>
          </w:p>
        </w:tc>
        <w:tc>
          <w:tcPr>
            <w:tcW w:w="405" w:type="pct"/>
            <w:tcBorders>
              <w:top w:val="single" w:color="auto" w:sz="4" w:space="0"/>
              <w:left w:val="single" w:color="auto" w:sz="4" w:space="0"/>
              <w:bottom w:val="single" w:color="auto" w:sz="4" w:space="0"/>
              <w:right w:val="single" w:color="auto" w:sz="4" w:space="0"/>
            </w:tcBorders>
            <w:vAlign w:val="center"/>
          </w:tcPr>
          <w:p w14:paraId="0500EAA3">
            <w:pPr>
              <w:jc w:val="center"/>
              <w:rPr>
                <w:color w:val="auto"/>
                <w:spacing w:val="-6"/>
                <w:sz w:val="21"/>
                <w:szCs w:val="21"/>
                <w:highlight w:val="none"/>
              </w:rPr>
            </w:pPr>
            <w:r>
              <w:rPr>
                <w:rFonts w:hint="eastAsia"/>
                <w:color w:val="auto"/>
                <w:spacing w:val="-6"/>
                <w:sz w:val="21"/>
                <w:szCs w:val="21"/>
                <w:highlight w:val="none"/>
              </w:rPr>
              <w:t>30</w:t>
            </w:r>
          </w:p>
        </w:tc>
        <w:tc>
          <w:tcPr>
            <w:tcW w:w="3703" w:type="pct"/>
            <w:tcBorders>
              <w:top w:val="single" w:color="auto" w:sz="4" w:space="0"/>
              <w:left w:val="single" w:color="auto" w:sz="4" w:space="0"/>
              <w:bottom w:val="single" w:color="auto" w:sz="4" w:space="0"/>
              <w:right w:val="single" w:color="auto" w:sz="4" w:space="0"/>
            </w:tcBorders>
            <w:vAlign w:val="center"/>
          </w:tcPr>
          <w:p w14:paraId="21C94319">
            <w:pPr>
              <w:rPr>
                <w:color w:val="auto"/>
                <w:spacing w:val="11"/>
                <w:sz w:val="21"/>
                <w:szCs w:val="21"/>
                <w:highlight w:val="none"/>
              </w:rPr>
            </w:pPr>
            <w:r>
              <w:rPr>
                <w:rFonts w:hint="eastAsia"/>
                <w:color w:val="auto"/>
                <w:spacing w:val="11"/>
                <w:sz w:val="21"/>
                <w:szCs w:val="21"/>
                <w:highlight w:val="none"/>
              </w:rPr>
              <w:t>价格分统一采用低价优先法计算，即满足磋商文件要求且最后报价最低的供应商的价格为磋商基准价，其价格分为满分。其他供应商的价格分统一按照下列公式计算：</w:t>
            </w:r>
          </w:p>
          <w:p w14:paraId="5FC8E9F2">
            <w:pPr>
              <w:rPr>
                <w:color w:val="auto"/>
                <w:spacing w:val="11"/>
                <w:sz w:val="21"/>
                <w:szCs w:val="21"/>
                <w:highlight w:val="none"/>
              </w:rPr>
            </w:pPr>
            <w:r>
              <w:rPr>
                <w:rFonts w:hint="eastAsia"/>
                <w:color w:val="auto"/>
                <w:spacing w:val="11"/>
                <w:sz w:val="21"/>
                <w:szCs w:val="21"/>
                <w:highlight w:val="none"/>
              </w:rPr>
              <w:t>磋商报价得分=（磋商基准价/最后磋商报价）×30%×100</w:t>
            </w:r>
          </w:p>
        </w:tc>
      </w:tr>
      <w:tr w14:paraId="57E1B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53399815">
            <w:pPr>
              <w:rPr>
                <w:color w:val="auto"/>
                <w:sz w:val="21"/>
                <w:szCs w:val="21"/>
                <w:highlight w:val="none"/>
              </w:rPr>
            </w:pPr>
            <w:r>
              <w:rPr>
                <w:rFonts w:hint="eastAsia"/>
                <w:color w:val="auto"/>
                <w:sz w:val="21"/>
                <w:szCs w:val="21"/>
                <w:highlight w:val="none"/>
              </w:rPr>
              <w:t>商务分</w:t>
            </w:r>
          </w:p>
        </w:tc>
      </w:tr>
      <w:tr w14:paraId="440B1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2" w:type="pct"/>
            <w:tcBorders>
              <w:top w:val="single" w:color="auto" w:sz="4" w:space="0"/>
              <w:left w:val="single" w:color="auto" w:sz="4" w:space="0"/>
              <w:bottom w:val="single" w:color="auto" w:sz="4" w:space="0"/>
              <w:right w:val="single" w:color="auto" w:sz="4" w:space="0"/>
            </w:tcBorders>
            <w:vAlign w:val="center"/>
          </w:tcPr>
          <w:p w14:paraId="4CB6E219">
            <w:pPr>
              <w:jc w:val="center"/>
              <w:rPr>
                <w:color w:val="auto"/>
                <w:sz w:val="21"/>
                <w:szCs w:val="21"/>
                <w:highlight w:val="none"/>
              </w:rPr>
            </w:pPr>
            <w:r>
              <w:rPr>
                <w:rFonts w:hint="eastAsia"/>
                <w:color w:val="auto"/>
                <w:sz w:val="21"/>
                <w:szCs w:val="21"/>
                <w:highlight w:val="none"/>
              </w:rPr>
              <w:t>企业业绩</w:t>
            </w:r>
          </w:p>
        </w:tc>
        <w:tc>
          <w:tcPr>
            <w:tcW w:w="405" w:type="pct"/>
            <w:tcBorders>
              <w:top w:val="single" w:color="auto" w:sz="4" w:space="0"/>
              <w:left w:val="single" w:color="auto" w:sz="4" w:space="0"/>
              <w:bottom w:val="single" w:color="auto" w:sz="4" w:space="0"/>
              <w:right w:val="single" w:color="auto" w:sz="4" w:space="0"/>
            </w:tcBorders>
            <w:vAlign w:val="center"/>
          </w:tcPr>
          <w:p w14:paraId="2E9F293F">
            <w:pPr>
              <w:jc w:val="center"/>
              <w:rPr>
                <w:color w:val="auto"/>
                <w:sz w:val="21"/>
                <w:szCs w:val="21"/>
                <w:highlight w:val="none"/>
              </w:rPr>
            </w:pPr>
            <w:r>
              <w:rPr>
                <w:rFonts w:hint="eastAsia"/>
                <w:color w:val="auto"/>
                <w:sz w:val="21"/>
                <w:szCs w:val="21"/>
                <w:highlight w:val="none"/>
              </w:rPr>
              <w:t>1</w:t>
            </w:r>
          </w:p>
        </w:tc>
        <w:tc>
          <w:tcPr>
            <w:tcW w:w="3703" w:type="pct"/>
            <w:tcBorders>
              <w:top w:val="single" w:color="auto" w:sz="4" w:space="0"/>
              <w:left w:val="single" w:color="auto" w:sz="4" w:space="0"/>
              <w:bottom w:val="single" w:color="auto" w:sz="4" w:space="0"/>
              <w:right w:val="single" w:color="auto" w:sz="4" w:space="0"/>
            </w:tcBorders>
            <w:vAlign w:val="center"/>
          </w:tcPr>
          <w:p w14:paraId="20DDB23A">
            <w:pPr>
              <w:rPr>
                <w:color w:val="auto"/>
                <w:spacing w:val="11"/>
                <w:sz w:val="21"/>
                <w:szCs w:val="21"/>
                <w:highlight w:val="none"/>
              </w:rPr>
            </w:pPr>
            <w:r>
              <w:rPr>
                <w:rFonts w:hint="eastAsia"/>
                <w:color w:val="auto"/>
                <w:spacing w:val="11"/>
                <w:sz w:val="21"/>
                <w:szCs w:val="21"/>
                <w:highlight w:val="none"/>
              </w:rPr>
              <w:t>【客观分】</w:t>
            </w:r>
          </w:p>
          <w:p w14:paraId="2D9461FC">
            <w:pPr>
              <w:rPr>
                <w:color w:val="auto"/>
                <w:spacing w:val="11"/>
                <w:sz w:val="21"/>
                <w:szCs w:val="21"/>
                <w:highlight w:val="none"/>
              </w:rPr>
            </w:pPr>
            <w:r>
              <w:rPr>
                <w:rFonts w:hint="eastAsia"/>
                <w:color w:val="auto"/>
                <w:spacing w:val="11"/>
                <w:sz w:val="21"/>
                <w:szCs w:val="21"/>
                <w:highlight w:val="none"/>
              </w:rPr>
              <w:t>投标人2020年1月1日以来（以合同最终签署时间为准）具有类似项目业绩的，每提供一个业绩证明材料得0.5分，得分不超过1分。</w:t>
            </w:r>
          </w:p>
          <w:p w14:paraId="28668A82">
            <w:pPr>
              <w:rPr>
                <w:color w:val="auto"/>
                <w:spacing w:val="11"/>
                <w:sz w:val="21"/>
                <w:szCs w:val="21"/>
                <w:highlight w:val="none"/>
              </w:rPr>
            </w:pPr>
            <w:r>
              <w:rPr>
                <w:rFonts w:hint="eastAsia"/>
                <w:color w:val="auto"/>
                <w:spacing w:val="11"/>
                <w:sz w:val="21"/>
                <w:szCs w:val="21"/>
                <w:highlight w:val="none"/>
              </w:rPr>
              <w:t>备注：同类项目业绩指道路装饰工程制作安装或城市公共时花种植养护的业绩，须提供合同扫描件加盖单位公章。未按要求提供不得分。供应商业绩和项目负责人业绩不重复计分（供应商提供合同须注明：供应商业绩证明材料或项目负责人业绩证明材料。未注明或无法判断的，按先供应商业绩，后项目负责人业绩计分）。</w:t>
            </w:r>
          </w:p>
        </w:tc>
      </w:tr>
      <w:tr w14:paraId="6DFA3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2" w:type="pct"/>
            <w:tcBorders>
              <w:top w:val="single" w:color="auto" w:sz="4" w:space="0"/>
              <w:left w:val="single" w:color="auto" w:sz="4" w:space="0"/>
              <w:bottom w:val="single" w:color="auto" w:sz="4" w:space="0"/>
              <w:right w:val="single" w:color="auto" w:sz="4" w:space="0"/>
            </w:tcBorders>
            <w:vAlign w:val="center"/>
          </w:tcPr>
          <w:p w14:paraId="1651C088">
            <w:pPr>
              <w:jc w:val="center"/>
              <w:rPr>
                <w:color w:val="auto"/>
                <w:sz w:val="21"/>
                <w:szCs w:val="21"/>
                <w:highlight w:val="none"/>
              </w:rPr>
            </w:pPr>
            <w:r>
              <w:rPr>
                <w:rFonts w:hint="eastAsia"/>
                <w:color w:val="auto"/>
                <w:spacing w:val="11"/>
                <w:sz w:val="21"/>
                <w:szCs w:val="21"/>
                <w:highlight w:val="none"/>
              </w:rPr>
              <w:t>项目负责人业绩</w:t>
            </w:r>
          </w:p>
        </w:tc>
        <w:tc>
          <w:tcPr>
            <w:tcW w:w="405" w:type="pct"/>
            <w:tcBorders>
              <w:top w:val="single" w:color="auto" w:sz="4" w:space="0"/>
              <w:left w:val="single" w:color="auto" w:sz="4" w:space="0"/>
              <w:bottom w:val="single" w:color="auto" w:sz="4" w:space="0"/>
              <w:right w:val="single" w:color="auto" w:sz="4" w:space="0"/>
            </w:tcBorders>
            <w:vAlign w:val="center"/>
          </w:tcPr>
          <w:p w14:paraId="7FD58E52">
            <w:pPr>
              <w:jc w:val="center"/>
              <w:rPr>
                <w:color w:val="auto"/>
                <w:sz w:val="21"/>
                <w:szCs w:val="21"/>
                <w:highlight w:val="none"/>
              </w:rPr>
            </w:pPr>
            <w:r>
              <w:rPr>
                <w:rFonts w:hint="eastAsia"/>
                <w:color w:val="auto"/>
                <w:sz w:val="21"/>
                <w:szCs w:val="21"/>
                <w:highlight w:val="none"/>
              </w:rPr>
              <w:t>2</w:t>
            </w:r>
          </w:p>
        </w:tc>
        <w:tc>
          <w:tcPr>
            <w:tcW w:w="3703" w:type="pct"/>
            <w:tcBorders>
              <w:top w:val="single" w:color="auto" w:sz="4" w:space="0"/>
              <w:left w:val="single" w:color="auto" w:sz="4" w:space="0"/>
              <w:bottom w:val="single" w:color="auto" w:sz="4" w:space="0"/>
              <w:right w:val="single" w:color="auto" w:sz="4" w:space="0"/>
            </w:tcBorders>
            <w:vAlign w:val="center"/>
          </w:tcPr>
          <w:p w14:paraId="1B8478C8">
            <w:pPr>
              <w:rPr>
                <w:color w:val="auto"/>
                <w:spacing w:val="11"/>
                <w:sz w:val="21"/>
                <w:szCs w:val="21"/>
                <w:highlight w:val="none"/>
              </w:rPr>
            </w:pPr>
            <w:r>
              <w:rPr>
                <w:rFonts w:hint="eastAsia"/>
                <w:color w:val="auto"/>
                <w:spacing w:val="11"/>
                <w:sz w:val="21"/>
                <w:szCs w:val="21"/>
                <w:highlight w:val="none"/>
              </w:rPr>
              <w:t>【客观分】</w:t>
            </w:r>
          </w:p>
          <w:p w14:paraId="51853FCE">
            <w:pPr>
              <w:rPr>
                <w:color w:val="auto"/>
                <w:spacing w:val="11"/>
                <w:sz w:val="21"/>
                <w:szCs w:val="21"/>
                <w:highlight w:val="none"/>
              </w:rPr>
            </w:pPr>
            <w:r>
              <w:rPr>
                <w:rFonts w:hint="eastAsia"/>
                <w:color w:val="auto"/>
                <w:spacing w:val="11"/>
                <w:sz w:val="21"/>
                <w:szCs w:val="21"/>
                <w:highlight w:val="none"/>
              </w:rPr>
              <w:t>本项目拟派的项目负责人近四年（2020年1月1日至今，以合同签订时间为准）具有同类项目业绩的，每1个得1分，最多得2分。</w:t>
            </w:r>
          </w:p>
          <w:p w14:paraId="36962DC4">
            <w:pPr>
              <w:rPr>
                <w:color w:val="auto"/>
                <w:spacing w:val="11"/>
                <w:sz w:val="21"/>
                <w:szCs w:val="21"/>
                <w:highlight w:val="none"/>
              </w:rPr>
            </w:pPr>
            <w:r>
              <w:rPr>
                <w:rFonts w:hint="eastAsia"/>
                <w:color w:val="auto"/>
                <w:spacing w:val="11"/>
                <w:sz w:val="21"/>
                <w:szCs w:val="21"/>
                <w:highlight w:val="none"/>
              </w:rPr>
              <w:t>备注：</w:t>
            </w:r>
          </w:p>
          <w:p w14:paraId="45698FEE">
            <w:pPr>
              <w:rPr>
                <w:color w:val="auto"/>
                <w:spacing w:val="11"/>
                <w:sz w:val="21"/>
                <w:szCs w:val="21"/>
                <w:highlight w:val="none"/>
              </w:rPr>
            </w:pPr>
            <w:r>
              <w:rPr>
                <w:rFonts w:hint="eastAsia"/>
                <w:color w:val="auto"/>
                <w:spacing w:val="11"/>
                <w:sz w:val="21"/>
                <w:szCs w:val="21"/>
                <w:highlight w:val="none"/>
              </w:rPr>
              <w:t>1）同类项目业绩指道路装饰工程制作安装或城市公共时花种植养护的业绩，须提供合同扫描件加盖单位公章。</w:t>
            </w:r>
          </w:p>
          <w:p w14:paraId="676443EF">
            <w:pPr>
              <w:rPr>
                <w:color w:val="auto"/>
                <w:spacing w:val="11"/>
                <w:sz w:val="21"/>
                <w:szCs w:val="21"/>
                <w:highlight w:val="none"/>
              </w:rPr>
            </w:pPr>
            <w:r>
              <w:rPr>
                <w:rFonts w:hint="eastAsia"/>
                <w:color w:val="auto"/>
                <w:spacing w:val="11"/>
                <w:sz w:val="21"/>
                <w:szCs w:val="21"/>
                <w:highlight w:val="none"/>
              </w:rPr>
              <w:t>2）提供供应商为相关人员缴纳社保的证明材料（2024年6月（含）以后任意一月社保缴纳证明）、提供证书扫描件并加盖供应商公章，未按要求提供不得分。</w:t>
            </w:r>
          </w:p>
          <w:p w14:paraId="4473095A">
            <w:pPr>
              <w:rPr>
                <w:color w:val="auto"/>
                <w:spacing w:val="11"/>
                <w:sz w:val="21"/>
                <w:szCs w:val="21"/>
                <w:highlight w:val="none"/>
              </w:rPr>
            </w:pPr>
            <w:r>
              <w:rPr>
                <w:rFonts w:hint="eastAsia"/>
                <w:color w:val="auto"/>
                <w:spacing w:val="11"/>
                <w:sz w:val="21"/>
                <w:szCs w:val="21"/>
                <w:highlight w:val="none"/>
              </w:rPr>
              <w:t>3）供应商业绩和项目负责人业绩不重复计分（供应商提供合同须注明：供应商业绩证明材料或项目负责人业绩证明材料。未注明或无法判断的，按先供应商业绩，后项目负责人业绩计分）。</w:t>
            </w:r>
          </w:p>
        </w:tc>
      </w:tr>
      <w:tr w14:paraId="78CE7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2" w:type="pct"/>
            <w:tcBorders>
              <w:top w:val="single" w:color="auto" w:sz="4" w:space="0"/>
              <w:left w:val="single" w:color="auto" w:sz="4" w:space="0"/>
              <w:bottom w:val="single" w:color="auto" w:sz="4" w:space="0"/>
              <w:right w:val="single" w:color="auto" w:sz="4" w:space="0"/>
            </w:tcBorders>
            <w:vAlign w:val="center"/>
          </w:tcPr>
          <w:p w14:paraId="7B374368">
            <w:pPr>
              <w:jc w:val="center"/>
              <w:rPr>
                <w:color w:val="auto"/>
                <w:spacing w:val="11"/>
                <w:sz w:val="21"/>
                <w:szCs w:val="21"/>
                <w:highlight w:val="none"/>
              </w:rPr>
            </w:pPr>
            <w:r>
              <w:rPr>
                <w:rFonts w:hint="eastAsia"/>
                <w:color w:val="auto"/>
                <w:spacing w:val="11"/>
                <w:sz w:val="21"/>
                <w:szCs w:val="21"/>
                <w:highlight w:val="none"/>
              </w:rPr>
              <w:t>项目班子成员</w:t>
            </w:r>
          </w:p>
        </w:tc>
        <w:tc>
          <w:tcPr>
            <w:tcW w:w="405" w:type="pct"/>
            <w:tcBorders>
              <w:top w:val="single" w:color="auto" w:sz="4" w:space="0"/>
              <w:left w:val="single" w:color="auto" w:sz="4" w:space="0"/>
              <w:bottom w:val="single" w:color="auto" w:sz="4" w:space="0"/>
              <w:right w:val="single" w:color="auto" w:sz="4" w:space="0"/>
            </w:tcBorders>
            <w:vAlign w:val="center"/>
          </w:tcPr>
          <w:p w14:paraId="47048B5D">
            <w:pPr>
              <w:jc w:val="center"/>
              <w:rPr>
                <w:color w:val="auto"/>
                <w:sz w:val="21"/>
                <w:szCs w:val="21"/>
                <w:highlight w:val="none"/>
              </w:rPr>
            </w:pPr>
            <w:r>
              <w:rPr>
                <w:rFonts w:hint="eastAsia"/>
                <w:color w:val="auto"/>
                <w:sz w:val="21"/>
                <w:szCs w:val="21"/>
                <w:highlight w:val="none"/>
              </w:rPr>
              <w:t>2</w:t>
            </w:r>
          </w:p>
        </w:tc>
        <w:tc>
          <w:tcPr>
            <w:tcW w:w="3703" w:type="pct"/>
            <w:tcBorders>
              <w:top w:val="single" w:color="auto" w:sz="4" w:space="0"/>
              <w:left w:val="single" w:color="auto" w:sz="4" w:space="0"/>
              <w:bottom w:val="single" w:color="auto" w:sz="4" w:space="0"/>
              <w:right w:val="single" w:color="auto" w:sz="4" w:space="0"/>
            </w:tcBorders>
            <w:vAlign w:val="center"/>
          </w:tcPr>
          <w:p w14:paraId="36F6E4D3">
            <w:pPr>
              <w:rPr>
                <w:color w:val="auto"/>
                <w:spacing w:val="11"/>
                <w:sz w:val="21"/>
                <w:szCs w:val="21"/>
                <w:highlight w:val="none"/>
              </w:rPr>
            </w:pPr>
            <w:r>
              <w:rPr>
                <w:rFonts w:hint="eastAsia"/>
                <w:color w:val="auto"/>
                <w:spacing w:val="11"/>
                <w:sz w:val="21"/>
                <w:szCs w:val="21"/>
                <w:highlight w:val="none"/>
              </w:rPr>
              <w:t>【客观分】</w:t>
            </w:r>
          </w:p>
          <w:p w14:paraId="730CD321">
            <w:pPr>
              <w:jc w:val="left"/>
              <w:rPr>
                <w:color w:val="auto"/>
                <w:spacing w:val="11"/>
                <w:sz w:val="21"/>
                <w:szCs w:val="21"/>
                <w:highlight w:val="none"/>
              </w:rPr>
            </w:pPr>
            <w:r>
              <w:rPr>
                <w:rFonts w:hint="eastAsia"/>
                <w:color w:val="auto"/>
                <w:spacing w:val="11"/>
                <w:sz w:val="21"/>
                <w:szCs w:val="21"/>
                <w:highlight w:val="none"/>
              </w:rPr>
              <w:t>项目班子成员除项目负责人外，拟投入项目班子的成员中具有园林及相关专业中级及以上职称或者具有花卉园艺师职业资格证书的，每有1个加1分，最高得2分。</w:t>
            </w:r>
          </w:p>
          <w:p w14:paraId="37EC9A09">
            <w:pPr>
              <w:widowControl/>
              <w:jc w:val="left"/>
              <w:rPr>
                <w:color w:val="auto"/>
                <w:spacing w:val="11"/>
                <w:sz w:val="21"/>
                <w:szCs w:val="21"/>
                <w:highlight w:val="none"/>
              </w:rPr>
            </w:pPr>
            <w:r>
              <w:rPr>
                <w:rFonts w:hint="eastAsia"/>
                <w:color w:val="auto"/>
                <w:spacing w:val="11"/>
                <w:sz w:val="21"/>
                <w:szCs w:val="21"/>
                <w:highlight w:val="none"/>
              </w:rPr>
              <w:t>注：需提供供应商为相关人员缴纳社保的证明材料（2024年6月（含）以后任意一月社保缴纳证明）、提供证书扫描件并加盖供应商公章，未按要求提供不得分。</w:t>
            </w:r>
          </w:p>
          <w:p w14:paraId="084CCD9A">
            <w:pPr>
              <w:rPr>
                <w:color w:val="auto"/>
                <w:spacing w:val="11"/>
                <w:sz w:val="21"/>
                <w:szCs w:val="21"/>
                <w:highlight w:val="none"/>
              </w:rPr>
            </w:pPr>
            <w:r>
              <w:rPr>
                <w:rFonts w:hint="eastAsia"/>
                <w:color w:val="auto"/>
                <w:spacing w:val="11"/>
                <w:sz w:val="21"/>
                <w:szCs w:val="21"/>
                <w:highlight w:val="none"/>
              </w:rPr>
              <w:t>（评分范围：2,1,0）</w:t>
            </w:r>
          </w:p>
        </w:tc>
      </w:tr>
      <w:tr w14:paraId="1306E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2" w:type="pct"/>
            <w:tcBorders>
              <w:top w:val="single" w:color="auto" w:sz="4" w:space="0"/>
              <w:left w:val="single" w:color="auto" w:sz="4" w:space="0"/>
              <w:bottom w:val="single" w:color="auto" w:sz="4" w:space="0"/>
              <w:right w:val="single" w:color="auto" w:sz="4" w:space="0"/>
            </w:tcBorders>
            <w:vAlign w:val="center"/>
          </w:tcPr>
          <w:p w14:paraId="28E29EA1">
            <w:pPr>
              <w:jc w:val="center"/>
              <w:rPr>
                <w:color w:val="auto"/>
                <w:spacing w:val="11"/>
                <w:sz w:val="21"/>
                <w:szCs w:val="21"/>
                <w:highlight w:val="none"/>
              </w:rPr>
            </w:pPr>
            <w:r>
              <w:rPr>
                <w:rFonts w:hint="eastAsia"/>
                <w:color w:val="auto"/>
                <w:spacing w:val="11"/>
                <w:sz w:val="21"/>
                <w:szCs w:val="21"/>
                <w:highlight w:val="none"/>
              </w:rPr>
              <w:t>种植基地</w:t>
            </w:r>
          </w:p>
        </w:tc>
        <w:tc>
          <w:tcPr>
            <w:tcW w:w="405" w:type="pct"/>
            <w:tcBorders>
              <w:top w:val="single" w:color="auto" w:sz="4" w:space="0"/>
              <w:left w:val="single" w:color="auto" w:sz="4" w:space="0"/>
              <w:bottom w:val="single" w:color="auto" w:sz="4" w:space="0"/>
              <w:right w:val="single" w:color="auto" w:sz="4" w:space="0"/>
            </w:tcBorders>
            <w:vAlign w:val="center"/>
          </w:tcPr>
          <w:p w14:paraId="6C8679C8">
            <w:pPr>
              <w:jc w:val="center"/>
              <w:rPr>
                <w:color w:val="auto"/>
                <w:sz w:val="21"/>
                <w:szCs w:val="21"/>
                <w:highlight w:val="none"/>
              </w:rPr>
            </w:pPr>
            <w:r>
              <w:rPr>
                <w:rFonts w:hint="eastAsia"/>
                <w:color w:val="auto"/>
                <w:sz w:val="21"/>
                <w:szCs w:val="21"/>
                <w:highlight w:val="none"/>
              </w:rPr>
              <w:t>4</w:t>
            </w:r>
          </w:p>
        </w:tc>
        <w:tc>
          <w:tcPr>
            <w:tcW w:w="3703" w:type="pct"/>
            <w:tcBorders>
              <w:top w:val="single" w:color="auto" w:sz="4" w:space="0"/>
              <w:left w:val="single" w:color="auto" w:sz="4" w:space="0"/>
              <w:bottom w:val="single" w:color="auto" w:sz="4" w:space="0"/>
              <w:right w:val="single" w:color="auto" w:sz="4" w:space="0"/>
            </w:tcBorders>
            <w:vAlign w:val="center"/>
          </w:tcPr>
          <w:p w14:paraId="60FA968E">
            <w:pPr>
              <w:rPr>
                <w:color w:val="auto"/>
                <w:spacing w:val="11"/>
                <w:sz w:val="21"/>
                <w:szCs w:val="21"/>
                <w:highlight w:val="none"/>
              </w:rPr>
            </w:pPr>
            <w:r>
              <w:rPr>
                <w:rFonts w:hint="eastAsia"/>
                <w:color w:val="auto"/>
                <w:spacing w:val="11"/>
                <w:sz w:val="21"/>
                <w:szCs w:val="21"/>
                <w:highlight w:val="none"/>
              </w:rPr>
              <w:t>【客观分】</w:t>
            </w:r>
          </w:p>
          <w:p w14:paraId="361FBF91">
            <w:pPr>
              <w:rPr>
                <w:color w:val="auto"/>
                <w:spacing w:val="11"/>
                <w:sz w:val="21"/>
                <w:szCs w:val="21"/>
                <w:highlight w:val="none"/>
              </w:rPr>
            </w:pPr>
            <w:r>
              <w:rPr>
                <w:rFonts w:hint="eastAsia"/>
                <w:color w:val="auto"/>
                <w:spacing w:val="11"/>
                <w:sz w:val="21"/>
                <w:szCs w:val="21"/>
                <w:highlight w:val="none"/>
              </w:rPr>
              <w:t>投标人拥有花卉种植基地面积，50亩≦面积﹤100亩地得2分，≧100亩地得4分，其余不得分。</w:t>
            </w:r>
          </w:p>
          <w:p w14:paraId="60BB4D4C">
            <w:pPr>
              <w:rPr>
                <w:color w:val="auto"/>
                <w:spacing w:val="11"/>
                <w:sz w:val="21"/>
                <w:szCs w:val="21"/>
                <w:highlight w:val="none"/>
              </w:rPr>
            </w:pPr>
            <w:r>
              <w:rPr>
                <w:rFonts w:hint="eastAsia"/>
                <w:color w:val="auto"/>
                <w:spacing w:val="11"/>
                <w:sz w:val="21"/>
                <w:szCs w:val="21"/>
                <w:highlight w:val="none"/>
              </w:rPr>
              <w:t>注：须提供种植基地彩照、土地证或租赁合同扫描件加盖供应商公章，不提供不得分。</w:t>
            </w:r>
          </w:p>
        </w:tc>
      </w:tr>
      <w:tr w14:paraId="0C46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2" w:type="pct"/>
            <w:tcBorders>
              <w:top w:val="single" w:color="auto" w:sz="4" w:space="0"/>
              <w:left w:val="single" w:color="auto" w:sz="4" w:space="0"/>
              <w:bottom w:val="single" w:color="auto" w:sz="4" w:space="0"/>
              <w:right w:val="single" w:color="auto" w:sz="4" w:space="0"/>
            </w:tcBorders>
            <w:vAlign w:val="center"/>
          </w:tcPr>
          <w:p w14:paraId="67F9A657">
            <w:pPr>
              <w:jc w:val="center"/>
              <w:rPr>
                <w:color w:val="auto"/>
                <w:spacing w:val="11"/>
                <w:sz w:val="21"/>
                <w:szCs w:val="21"/>
                <w:highlight w:val="none"/>
              </w:rPr>
            </w:pPr>
            <w:r>
              <w:rPr>
                <w:rFonts w:hint="eastAsia"/>
                <w:color w:val="auto"/>
                <w:spacing w:val="11"/>
                <w:sz w:val="21"/>
                <w:szCs w:val="21"/>
                <w:highlight w:val="none"/>
              </w:rPr>
              <w:t>企业认证</w:t>
            </w:r>
          </w:p>
        </w:tc>
        <w:tc>
          <w:tcPr>
            <w:tcW w:w="405" w:type="pct"/>
            <w:tcBorders>
              <w:top w:val="single" w:color="auto" w:sz="4" w:space="0"/>
              <w:left w:val="single" w:color="auto" w:sz="4" w:space="0"/>
              <w:bottom w:val="single" w:color="auto" w:sz="4" w:space="0"/>
              <w:right w:val="single" w:color="auto" w:sz="4" w:space="0"/>
            </w:tcBorders>
            <w:vAlign w:val="center"/>
          </w:tcPr>
          <w:p w14:paraId="3EC89F30">
            <w:pPr>
              <w:jc w:val="center"/>
              <w:rPr>
                <w:color w:val="auto"/>
                <w:sz w:val="21"/>
                <w:szCs w:val="21"/>
                <w:highlight w:val="none"/>
              </w:rPr>
            </w:pPr>
            <w:r>
              <w:rPr>
                <w:rFonts w:hint="eastAsia"/>
                <w:color w:val="auto"/>
                <w:sz w:val="21"/>
                <w:szCs w:val="21"/>
                <w:highlight w:val="none"/>
              </w:rPr>
              <w:t>3</w:t>
            </w:r>
          </w:p>
        </w:tc>
        <w:tc>
          <w:tcPr>
            <w:tcW w:w="3703" w:type="pct"/>
            <w:tcBorders>
              <w:top w:val="single" w:color="auto" w:sz="4" w:space="0"/>
              <w:left w:val="single" w:color="auto" w:sz="4" w:space="0"/>
              <w:bottom w:val="single" w:color="auto" w:sz="4" w:space="0"/>
              <w:right w:val="single" w:color="auto" w:sz="4" w:space="0"/>
            </w:tcBorders>
            <w:vAlign w:val="center"/>
          </w:tcPr>
          <w:p w14:paraId="0B377126">
            <w:pPr>
              <w:rPr>
                <w:color w:val="auto"/>
                <w:spacing w:val="11"/>
                <w:sz w:val="21"/>
                <w:szCs w:val="21"/>
                <w:highlight w:val="none"/>
              </w:rPr>
            </w:pPr>
            <w:r>
              <w:rPr>
                <w:rFonts w:hint="eastAsia"/>
                <w:color w:val="auto"/>
                <w:spacing w:val="11"/>
                <w:sz w:val="21"/>
                <w:szCs w:val="21"/>
                <w:highlight w:val="none"/>
              </w:rPr>
              <w:t>【客观分】</w:t>
            </w:r>
          </w:p>
          <w:p w14:paraId="2B5867D9">
            <w:pPr>
              <w:jc w:val="left"/>
              <w:rPr>
                <w:color w:val="auto"/>
                <w:spacing w:val="11"/>
                <w:sz w:val="21"/>
                <w:szCs w:val="21"/>
                <w:highlight w:val="none"/>
              </w:rPr>
            </w:pPr>
            <w:r>
              <w:rPr>
                <w:rFonts w:hint="eastAsia"/>
                <w:color w:val="auto"/>
                <w:spacing w:val="11"/>
                <w:sz w:val="21"/>
                <w:szCs w:val="21"/>
                <w:highlight w:val="none"/>
              </w:rPr>
              <w:t>投标人具有有效期内的质量管理体系认证证书、环境管理体系认证证书、职业健康安全管理体系认证证书。 每具有1项得1分，最多得3分，不具有的不得分。注：须提供证书扫描件加盖供应商公章，不提供不得分。</w:t>
            </w:r>
          </w:p>
        </w:tc>
      </w:tr>
      <w:tr w14:paraId="19FF2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57ED3455">
            <w:pPr>
              <w:rPr>
                <w:color w:val="auto"/>
                <w:sz w:val="21"/>
                <w:szCs w:val="21"/>
                <w:highlight w:val="none"/>
              </w:rPr>
            </w:pPr>
            <w:r>
              <w:rPr>
                <w:rFonts w:hint="eastAsia"/>
                <w:color w:val="auto"/>
                <w:sz w:val="21"/>
                <w:szCs w:val="21"/>
                <w:highlight w:val="none"/>
              </w:rPr>
              <w:t>技术分</w:t>
            </w:r>
          </w:p>
        </w:tc>
      </w:tr>
      <w:tr w14:paraId="1D741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2" w:type="pct"/>
            <w:vMerge w:val="restart"/>
            <w:tcBorders>
              <w:top w:val="single" w:color="auto" w:sz="4" w:space="0"/>
              <w:left w:val="single" w:color="auto" w:sz="4" w:space="0"/>
              <w:bottom w:val="single" w:color="auto" w:sz="4" w:space="0"/>
              <w:right w:val="single" w:color="auto" w:sz="4" w:space="0"/>
            </w:tcBorders>
            <w:vAlign w:val="center"/>
          </w:tcPr>
          <w:p w14:paraId="6D005740">
            <w:pPr>
              <w:jc w:val="center"/>
              <w:rPr>
                <w:color w:val="auto"/>
                <w:sz w:val="21"/>
                <w:szCs w:val="21"/>
                <w:highlight w:val="none"/>
              </w:rPr>
            </w:pPr>
            <w:r>
              <w:rPr>
                <w:rFonts w:hint="eastAsia"/>
                <w:color w:val="auto"/>
                <w:sz w:val="21"/>
                <w:szCs w:val="21"/>
                <w:highlight w:val="none"/>
              </w:rPr>
              <w:t>技术方案</w:t>
            </w:r>
          </w:p>
        </w:tc>
        <w:tc>
          <w:tcPr>
            <w:tcW w:w="405" w:type="pct"/>
            <w:tcBorders>
              <w:top w:val="single" w:color="auto" w:sz="4" w:space="0"/>
              <w:left w:val="single" w:color="auto" w:sz="4" w:space="0"/>
              <w:bottom w:val="single" w:color="auto" w:sz="4" w:space="0"/>
              <w:right w:val="single" w:color="auto" w:sz="4" w:space="0"/>
            </w:tcBorders>
            <w:vAlign w:val="center"/>
          </w:tcPr>
          <w:p w14:paraId="0BD4B711">
            <w:pPr>
              <w:jc w:val="center"/>
              <w:rPr>
                <w:color w:val="auto"/>
                <w:sz w:val="21"/>
                <w:szCs w:val="21"/>
                <w:highlight w:val="none"/>
              </w:rPr>
            </w:pPr>
            <w:r>
              <w:rPr>
                <w:rFonts w:hint="eastAsia"/>
                <w:color w:val="auto"/>
                <w:sz w:val="21"/>
                <w:szCs w:val="21"/>
                <w:highlight w:val="none"/>
              </w:rPr>
              <w:t>5</w:t>
            </w:r>
          </w:p>
        </w:tc>
        <w:tc>
          <w:tcPr>
            <w:tcW w:w="3703" w:type="pct"/>
            <w:tcBorders>
              <w:top w:val="single" w:color="auto" w:sz="4" w:space="0"/>
              <w:left w:val="single" w:color="auto" w:sz="4" w:space="0"/>
              <w:bottom w:val="single" w:color="auto" w:sz="4" w:space="0"/>
              <w:right w:val="single" w:color="auto" w:sz="4" w:space="0"/>
            </w:tcBorders>
            <w:vAlign w:val="center"/>
          </w:tcPr>
          <w:p w14:paraId="035818CA">
            <w:pPr>
              <w:rPr>
                <w:color w:val="auto"/>
                <w:spacing w:val="11"/>
                <w:sz w:val="21"/>
                <w:szCs w:val="21"/>
                <w:highlight w:val="none"/>
              </w:rPr>
            </w:pPr>
            <w:r>
              <w:rPr>
                <w:rFonts w:hint="eastAsia"/>
                <w:color w:val="auto"/>
                <w:spacing w:val="11"/>
                <w:sz w:val="21"/>
                <w:szCs w:val="21"/>
                <w:highlight w:val="none"/>
              </w:rPr>
              <w:t>【主观分】</w:t>
            </w:r>
          </w:p>
          <w:p w14:paraId="121752DD">
            <w:pPr>
              <w:rPr>
                <w:color w:val="auto"/>
                <w:spacing w:val="11"/>
                <w:sz w:val="21"/>
                <w:szCs w:val="21"/>
                <w:highlight w:val="none"/>
              </w:rPr>
            </w:pPr>
            <w:r>
              <w:rPr>
                <w:rFonts w:hint="eastAsia"/>
                <w:color w:val="auto"/>
                <w:spacing w:val="11"/>
                <w:sz w:val="21"/>
                <w:szCs w:val="21"/>
                <w:highlight w:val="none"/>
              </w:rPr>
              <w:t>根据投标人提供的花卉管养工作计划方案，质量管理保障体系和控制措施，方案全面、合理、针对性强。</w:t>
            </w:r>
          </w:p>
          <w:p w14:paraId="4C5CBA10">
            <w:pPr>
              <w:rPr>
                <w:color w:val="auto"/>
                <w:spacing w:val="11"/>
                <w:sz w:val="21"/>
                <w:szCs w:val="21"/>
                <w:highlight w:val="none"/>
              </w:rPr>
            </w:pPr>
            <w:r>
              <w:rPr>
                <w:rFonts w:hint="eastAsia"/>
                <w:color w:val="auto"/>
                <w:spacing w:val="11"/>
                <w:sz w:val="21"/>
                <w:szCs w:val="21"/>
                <w:highlight w:val="none"/>
              </w:rPr>
              <w:t>（评分范围：5,4,3,2,1,0）</w:t>
            </w:r>
          </w:p>
        </w:tc>
      </w:tr>
      <w:tr w14:paraId="4B4F0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2" w:type="pct"/>
            <w:vMerge w:val="continue"/>
            <w:tcBorders>
              <w:top w:val="single" w:color="auto" w:sz="4" w:space="0"/>
              <w:left w:val="single" w:color="auto" w:sz="4" w:space="0"/>
              <w:bottom w:val="single" w:color="auto" w:sz="4" w:space="0"/>
              <w:right w:val="single" w:color="auto" w:sz="4" w:space="0"/>
            </w:tcBorders>
            <w:vAlign w:val="center"/>
          </w:tcPr>
          <w:p w14:paraId="2C1E905D">
            <w:pPr>
              <w:ind w:firstLine="211"/>
              <w:jc w:val="center"/>
              <w:rPr>
                <w:color w:val="auto"/>
                <w:sz w:val="21"/>
                <w:szCs w:val="21"/>
                <w:highlight w:val="none"/>
              </w:rPr>
            </w:pPr>
          </w:p>
        </w:tc>
        <w:tc>
          <w:tcPr>
            <w:tcW w:w="405" w:type="pct"/>
            <w:tcBorders>
              <w:top w:val="single" w:color="auto" w:sz="4" w:space="0"/>
              <w:left w:val="single" w:color="auto" w:sz="4" w:space="0"/>
              <w:bottom w:val="single" w:color="auto" w:sz="4" w:space="0"/>
              <w:right w:val="single" w:color="auto" w:sz="4" w:space="0"/>
            </w:tcBorders>
            <w:vAlign w:val="center"/>
          </w:tcPr>
          <w:p w14:paraId="0E0B8373">
            <w:pPr>
              <w:jc w:val="center"/>
              <w:rPr>
                <w:color w:val="auto"/>
                <w:sz w:val="21"/>
                <w:szCs w:val="21"/>
                <w:highlight w:val="none"/>
              </w:rPr>
            </w:pPr>
            <w:r>
              <w:rPr>
                <w:rFonts w:hint="eastAsia"/>
                <w:color w:val="auto"/>
                <w:sz w:val="21"/>
                <w:szCs w:val="21"/>
                <w:highlight w:val="none"/>
              </w:rPr>
              <w:t>5</w:t>
            </w:r>
          </w:p>
        </w:tc>
        <w:tc>
          <w:tcPr>
            <w:tcW w:w="3703" w:type="pct"/>
            <w:tcBorders>
              <w:top w:val="single" w:color="auto" w:sz="4" w:space="0"/>
              <w:left w:val="single" w:color="auto" w:sz="4" w:space="0"/>
              <w:bottom w:val="single" w:color="auto" w:sz="4" w:space="0"/>
              <w:right w:val="single" w:color="auto" w:sz="4" w:space="0"/>
            </w:tcBorders>
            <w:vAlign w:val="center"/>
          </w:tcPr>
          <w:p w14:paraId="07E6232A">
            <w:pPr>
              <w:rPr>
                <w:color w:val="auto"/>
                <w:spacing w:val="11"/>
                <w:sz w:val="21"/>
                <w:szCs w:val="21"/>
                <w:highlight w:val="none"/>
              </w:rPr>
            </w:pPr>
            <w:r>
              <w:rPr>
                <w:rFonts w:hint="eastAsia"/>
                <w:color w:val="auto"/>
                <w:spacing w:val="11"/>
                <w:sz w:val="21"/>
                <w:szCs w:val="21"/>
                <w:highlight w:val="none"/>
              </w:rPr>
              <w:t>【主观分】</w:t>
            </w:r>
          </w:p>
          <w:p w14:paraId="39A851D1">
            <w:pPr>
              <w:rPr>
                <w:color w:val="auto"/>
                <w:spacing w:val="11"/>
                <w:sz w:val="21"/>
                <w:szCs w:val="21"/>
                <w:highlight w:val="none"/>
              </w:rPr>
            </w:pPr>
            <w:r>
              <w:rPr>
                <w:rFonts w:hint="eastAsia"/>
                <w:color w:val="auto"/>
                <w:spacing w:val="11"/>
                <w:sz w:val="21"/>
                <w:szCs w:val="21"/>
                <w:highlight w:val="none"/>
              </w:rPr>
              <w:t>根据投标人提供的花卉养护实施方案的合理性、严密性、可操作性。</w:t>
            </w:r>
          </w:p>
          <w:p w14:paraId="016EF251">
            <w:pPr>
              <w:rPr>
                <w:color w:val="auto"/>
                <w:spacing w:val="11"/>
                <w:sz w:val="21"/>
                <w:szCs w:val="21"/>
                <w:highlight w:val="none"/>
              </w:rPr>
            </w:pPr>
            <w:r>
              <w:rPr>
                <w:rFonts w:hint="eastAsia"/>
                <w:color w:val="auto"/>
                <w:spacing w:val="11"/>
                <w:sz w:val="21"/>
                <w:szCs w:val="21"/>
                <w:highlight w:val="none"/>
              </w:rPr>
              <w:t>（评分范围：5,4,3,2,1,0）</w:t>
            </w:r>
          </w:p>
        </w:tc>
      </w:tr>
      <w:tr w14:paraId="7C2FD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2" w:type="pct"/>
            <w:vMerge w:val="continue"/>
            <w:tcBorders>
              <w:top w:val="single" w:color="auto" w:sz="4" w:space="0"/>
              <w:left w:val="single" w:color="auto" w:sz="4" w:space="0"/>
              <w:bottom w:val="single" w:color="auto" w:sz="4" w:space="0"/>
              <w:right w:val="single" w:color="auto" w:sz="4" w:space="0"/>
            </w:tcBorders>
            <w:vAlign w:val="center"/>
          </w:tcPr>
          <w:p w14:paraId="22304364">
            <w:pPr>
              <w:ind w:firstLine="211"/>
              <w:jc w:val="center"/>
              <w:rPr>
                <w:color w:val="auto"/>
                <w:sz w:val="21"/>
                <w:szCs w:val="21"/>
                <w:highlight w:val="none"/>
              </w:rPr>
            </w:pPr>
          </w:p>
        </w:tc>
        <w:tc>
          <w:tcPr>
            <w:tcW w:w="405" w:type="pct"/>
            <w:tcBorders>
              <w:top w:val="single" w:color="auto" w:sz="4" w:space="0"/>
              <w:left w:val="single" w:color="auto" w:sz="4" w:space="0"/>
              <w:bottom w:val="single" w:color="auto" w:sz="4" w:space="0"/>
              <w:right w:val="single" w:color="auto" w:sz="4" w:space="0"/>
            </w:tcBorders>
            <w:vAlign w:val="center"/>
          </w:tcPr>
          <w:p w14:paraId="4E581088">
            <w:pPr>
              <w:jc w:val="center"/>
              <w:rPr>
                <w:color w:val="auto"/>
                <w:sz w:val="21"/>
                <w:szCs w:val="21"/>
                <w:highlight w:val="none"/>
              </w:rPr>
            </w:pPr>
            <w:r>
              <w:rPr>
                <w:rFonts w:hint="eastAsia"/>
                <w:color w:val="auto"/>
                <w:sz w:val="21"/>
                <w:szCs w:val="21"/>
                <w:highlight w:val="none"/>
              </w:rPr>
              <w:t>5</w:t>
            </w:r>
          </w:p>
        </w:tc>
        <w:tc>
          <w:tcPr>
            <w:tcW w:w="3703" w:type="pct"/>
            <w:tcBorders>
              <w:top w:val="single" w:color="auto" w:sz="4" w:space="0"/>
              <w:left w:val="single" w:color="auto" w:sz="4" w:space="0"/>
              <w:bottom w:val="single" w:color="auto" w:sz="4" w:space="0"/>
              <w:right w:val="single" w:color="auto" w:sz="4" w:space="0"/>
            </w:tcBorders>
            <w:vAlign w:val="center"/>
          </w:tcPr>
          <w:p w14:paraId="5AA9970D">
            <w:pPr>
              <w:rPr>
                <w:color w:val="auto"/>
                <w:spacing w:val="11"/>
                <w:sz w:val="21"/>
                <w:szCs w:val="21"/>
                <w:highlight w:val="none"/>
              </w:rPr>
            </w:pPr>
            <w:r>
              <w:rPr>
                <w:rFonts w:hint="eastAsia"/>
                <w:color w:val="auto"/>
                <w:spacing w:val="11"/>
                <w:sz w:val="21"/>
                <w:szCs w:val="21"/>
                <w:highlight w:val="none"/>
              </w:rPr>
              <w:t>【主观分】</w:t>
            </w:r>
          </w:p>
          <w:p w14:paraId="74A53E89">
            <w:pPr>
              <w:rPr>
                <w:color w:val="auto"/>
                <w:spacing w:val="11"/>
                <w:sz w:val="21"/>
                <w:szCs w:val="21"/>
                <w:highlight w:val="none"/>
              </w:rPr>
            </w:pPr>
            <w:r>
              <w:rPr>
                <w:rFonts w:hint="eastAsia"/>
                <w:color w:val="auto"/>
                <w:spacing w:val="11"/>
                <w:sz w:val="21"/>
                <w:szCs w:val="21"/>
                <w:highlight w:val="none"/>
              </w:rPr>
              <w:t>防治病虫害及抗击自然灾害（包括防台、防汛、防冻等）的具体保证措施，方案全面、合理、针对性强。</w:t>
            </w:r>
          </w:p>
          <w:p w14:paraId="40B8548D">
            <w:pPr>
              <w:rPr>
                <w:color w:val="auto"/>
                <w:spacing w:val="11"/>
                <w:sz w:val="21"/>
                <w:szCs w:val="21"/>
                <w:highlight w:val="none"/>
              </w:rPr>
            </w:pPr>
            <w:r>
              <w:rPr>
                <w:rFonts w:hint="eastAsia"/>
                <w:color w:val="auto"/>
                <w:spacing w:val="11"/>
                <w:sz w:val="21"/>
                <w:szCs w:val="21"/>
                <w:highlight w:val="none"/>
              </w:rPr>
              <w:t>（评分范围：5,4,3,2,1,0）</w:t>
            </w:r>
          </w:p>
        </w:tc>
      </w:tr>
      <w:tr w14:paraId="1715F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5AC613A">
            <w:pPr>
              <w:widowControl/>
              <w:ind w:firstLine="211"/>
              <w:jc w:val="center"/>
              <w:rPr>
                <w:color w:val="auto"/>
                <w:sz w:val="21"/>
                <w:szCs w:val="21"/>
                <w:highlight w:val="none"/>
              </w:rPr>
            </w:pPr>
          </w:p>
        </w:tc>
        <w:tc>
          <w:tcPr>
            <w:tcW w:w="405" w:type="pct"/>
            <w:tcBorders>
              <w:top w:val="single" w:color="auto" w:sz="4" w:space="0"/>
              <w:left w:val="single" w:color="auto" w:sz="4" w:space="0"/>
              <w:bottom w:val="single" w:color="auto" w:sz="4" w:space="0"/>
              <w:right w:val="single" w:color="auto" w:sz="4" w:space="0"/>
            </w:tcBorders>
            <w:vAlign w:val="center"/>
          </w:tcPr>
          <w:p w14:paraId="5467D2DF">
            <w:pPr>
              <w:jc w:val="center"/>
              <w:rPr>
                <w:color w:val="auto"/>
                <w:sz w:val="21"/>
                <w:szCs w:val="21"/>
                <w:highlight w:val="none"/>
              </w:rPr>
            </w:pPr>
            <w:r>
              <w:rPr>
                <w:rFonts w:hint="eastAsia"/>
                <w:color w:val="auto"/>
                <w:sz w:val="21"/>
                <w:szCs w:val="21"/>
                <w:highlight w:val="none"/>
              </w:rPr>
              <w:t>5</w:t>
            </w:r>
          </w:p>
        </w:tc>
        <w:tc>
          <w:tcPr>
            <w:tcW w:w="3703" w:type="pct"/>
            <w:tcBorders>
              <w:top w:val="single" w:color="auto" w:sz="4" w:space="0"/>
              <w:left w:val="single" w:color="auto" w:sz="4" w:space="0"/>
              <w:bottom w:val="single" w:color="auto" w:sz="4" w:space="0"/>
              <w:right w:val="single" w:color="auto" w:sz="4" w:space="0"/>
            </w:tcBorders>
            <w:vAlign w:val="center"/>
          </w:tcPr>
          <w:p w14:paraId="0C7C24A5">
            <w:pPr>
              <w:rPr>
                <w:color w:val="auto"/>
                <w:spacing w:val="11"/>
                <w:sz w:val="21"/>
                <w:szCs w:val="21"/>
                <w:highlight w:val="none"/>
              </w:rPr>
            </w:pPr>
            <w:r>
              <w:rPr>
                <w:rFonts w:hint="eastAsia"/>
                <w:color w:val="auto"/>
                <w:spacing w:val="11"/>
                <w:sz w:val="21"/>
                <w:szCs w:val="21"/>
                <w:highlight w:val="none"/>
              </w:rPr>
              <w:t>【主观分】</w:t>
            </w:r>
          </w:p>
          <w:p w14:paraId="259674A6">
            <w:pPr>
              <w:rPr>
                <w:color w:val="auto"/>
                <w:spacing w:val="11"/>
                <w:sz w:val="21"/>
                <w:szCs w:val="21"/>
                <w:highlight w:val="none"/>
              </w:rPr>
            </w:pPr>
            <w:r>
              <w:rPr>
                <w:rFonts w:hint="eastAsia"/>
                <w:color w:val="auto"/>
                <w:spacing w:val="11"/>
                <w:sz w:val="21"/>
                <w:szCs w:val="21"/>
                <w:highlight w:val="none"/>
              </w:rPr>
              <w:t>投标人针对隔离花箱的生产采用工艺、技术、质量控制的合理性、先进性、成熟性等进行评议。</w:t>
            </w:r>
          </w:p>
          <w:p w14:paraId="36F40ECA">
            <w:pPr>
              <w:rPr>
                <w:color w:val="auto"/>
                <w:spacing w:val="11"/>
                <w:sz w:val="21"/>
                <w:szCs w:val="21"/>
                <w:highlight w:val="none"/>
              </w:rPr>
            </w:pPr>
            <w:r>
              <w:rPr>
                <w:rFonts w:hint="eastAsia"/>
                <w:color w:val="auto"/>
                <w:spacing w:val="11"/>
                <w:sz w:val="21"/>
                <w:szCs w:val="21"/>
                <w:highlight w:val="none"/>
              </w:rPr>
              <w:t>（评分范围：5,4,3,2,1,0）</w:t>
            </w:r>
          </w:p>
        </w:tc>
      </w:tr>
      <w:tr w14:paraId="0F9EA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46B567F">
            <w:pPr>
              <w:widowControl/>
              <w:ind w:firstLine="211"/>
              <w:jc w:val="center"/>
              <w:rPr>
                <w:color w:val="auto"/>
                <w:sz w:val="21"/>
                <w:szCs w:val="21"/>
                <w:highlight w:val="none"/>
              </w:rPr>
            </w:pPr>
          </w:p>
        </w:tc>
        <w:tc>
          <w:tcPr>
            <w:tcW w:w="405" w:type="pct"/>
            <w:tcBorders>
              <w:top w:val="single" w:color="auto" w:sz="4" w:space="0"/>
              <w:left w:val="single" w:color="auto" w:sz="4" w:space="0"/>
              <w:bottom w:val="single" w:color="auto" w:sz="4" w:space="0"/>
              <w:right w:val="single" w:color="auto" w:sz="4" w:space="0"/>
            </w:tcBorders>
            <w:vAlign w:val="center"/>
          </w:tcPr>
          <w:p w14:paraId="3AF88C52">
            <w:pPr>
              <w:jc w:val="center"/>
              <w:rPr>
                <w:color w:val="auto"/>
                <w:sz w:val="21"/>
                <w:szCs w:val="21"/>
                <w:highlight w:val="none"/>
              </w:rPr>
            </w:pPr>
            <w:r>
              <w:rPr>
                <w:rFonts w:hint="eastAsia"/>
                <w:color w:val="auto"/>
                <w:sz w:val="21"/>
                <w:szCs w:val="21"/>
                <w:highlight w:val="none"/>
              </w:rPr>
              <w:t>5</w:t>
            </w:r>
          </w:p>
        </w:tc>
        <w:tc>
          <w:tcPr>
            <w:tcW w:w="3703" w:type="pct"/>
            <w:tcBorders>
              <w:top w:val="single" w:color="auto" w:sz="4" w:space="0"/>
              <w:left w:val="single" w:color="auto" w:sz="4" w:space="0"/>
              <w:bottom w:val="single" w:color="auto" w:sz="4" w:space="0"/>
              <w:right w:val="single" w:color="auto" w:sz="4" w:space="0"/>
            </w:tcBorders>
            <w:vAlign w:val="center"/>
          </w:tcPr>
          <w:p w14:paraId="67834373">
            <w:pPr>
              <w:rPr>
                <w:color w:val="auto"/>
                <w:spacing w:val="11"/>
                <w:sz w:val="21"/>
                <w:szCs w:val="21"/>
                <w:highlight w:val="none"/>
              </w:rPr>
            </w:pPr>
            <w:r>
              <w:rPr>
                <w:rFonts w:hint="eastAsia"/>
                <w:color w:val="auto"/>
                <w:spacing w:val="11"/>
                <w:sz w:val="21"/>
                <w:szCs w:val="21"/>
                <w:highlight w:val="none"/>
              </w:rPr>
              <w:t>【主观分】</w:t>
            </w:r>
          </w:p>
          <w:p w14:paraId="0C1648CD">
            <w:pPr>
              <w:rPr>
                <w:color w:val="auto"/>
                <w:spacing w:val="11"/>
                <w:sz w:val="21"/>
                <w:szCs w:val="21"/>
                <w:highlight w:val="none"/>
              </w:rPr>
            </w:pPr>
            <w:r>
              <w:rPr>
                <w:rFonts w:hint="eastAsia"/>
                <w:color w:val="auto"/>
                <w:spacing w:val="11"/>
                <w:sz w:val="21"/>
                <w:szCs w:val="21"/>
                <w:highlight w:val="none"/>
              </w:rPr>
              <w:t>对投标人提供校训石景观小品周边花境设计方案，从地形建造、山石组合堆叠、植物选择配置等进行评审，不提供不得分。</w:t>
            </w:r>
          </w:p>
          <w:p w14:paraId="21954252">
            <w:pPr>
              <w:rPr>
                <w:color w:val="auto"/>
                <w:spacing w:val="11"/>
                <w:sz w:val="21"/>
                <w:szCs w:val="21"/>
                <w:highlight w:val="none"/>
              </w:rPr>
            </w:pPr>
            <w:r>
              <w:rPr>
                <w:rFonts w:hint="eastAsia"/>
                <w:color w:val="auto"/>
                <w:spacing w:val="11"/>
                <w:sz w:val="21"/>
                <w:szCs w:val="21"/>
                <w:highlight w:val="none"/>
              </w:rPr>
              <w:t>（评分范围：5,4,3,2,1,0）</w:t>
            </w:r>
          </w:p>
        </w:tc>
      </w:tr>
      <w:tr w14:paraId="270F3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14005FD">
            <w:pPr>
              <w:widowControl/>
              <w:ind w:firstLine="211"/>
              <w:jc w:val="center"/>
              <w:rPr>
                <w:color w:val="auto"/>
                <w:sz w:val="21"/>
                <w:szCs w:val="21"/>
                <w:highlight w:val="none"/>
              </w:rPr>
            </w:pPr>
          </w:p>
        </w:tc>
        <w:tc>
          <w:tcPr>
            <w:tcW w:w="405" w:type="pct"/>
            <w:tcBorders>
              <w:top w:val="single" w:color="auto" w:sz="4" w:space="0"/>
              <w:left w:val="single" w:color="auto" w:sz="4" w:space="0"/>
              <w:bottom w:val="single" w:color="auto" w:sz="4" w:space="0"/>
              <w:right w:val="single" w:color="auto" w:sz="4" w:space="0"/>
            </w:tcBorders>
            <w:vAlign w:val="center"/>
          </w:tcPr>
          <w:p w14:paraId="134D128D">
            <w:pPr>
              <w:jc w:val="center"/>
              <w:rPr>
                <w:color w:val="auto"/>
                <w:sz w:val="21"/>
                <w:szCs w:val="21"/>
                <w:highlight w:val="none"/>
              </w:rPr>
            </w:pPr>
            <w:r>
              <w:rPr>
                <w:rFonts w:hint="eastAsia"/>
                <w:color w:val="auto"/>
                <w:sz w:val="21"/>
                <w:szCs w:val="21"/>
                <w:highlight w:val="none"/>
              </w:rPr>
              <w:t>5</w:t>
            </w:r>
          </w:p>
        </w:tc>
        <w:tc>
          <w:tcPr>
            <w:tcW w:w="3703" w:type="pct"/>
            <w:tcBorders>
              <w:top w:val="single" w:color="auto" w:sz="4" w:space="0"/>
              <w:left w:val="single" w:color="auto" w:sz="4" w:space="0"/>
              <w:bottom w:val="single" w:color="auto" w:sz="4" w:space="0"/>
              <w:right w:val="single" w:color="auto" w:sz="4" w:space="0"/>
            </w:tcBorders>
            <w:vAlign w:val="center"/>
          </w:tcPr>
          <w:p w14:paraId="1F4A1BA1">
            <w:pPr>
              <w:rPr>
                <w:color w:val="auto"/>
                <w:spacing w:val="11"/>
                <w:sz w:val="21"/>
                <w:szCs w:val="21"/>
                <w:highlight w:val="none"/>
              </w:rPr>
            </w:pPr>
            <w:r>
              <w:rPr>
                <w:rFonts w:hint="eastAsia"/>
                <w:color w:val="auto"/>
                <w:spacing w:val="11"/>
                <w:sz w:val="21"/>
                <w:szCs w:val="21"/>
                <w:highlight w:val="none"/>
              </w:rPr>
              <w:t>【主观分】</w:t>
            </w:r>
          </w:p>
          <w:p w14:paraId="06CEAD8E">
            <w:pPr>
              <w:rPr>
                <w:color w:val="auto"/>
                <w:spacing w:val="11"/>
                <w:sz w:val="21"/>
                <w:szCs w:val="21"/>
                <w:highlight w:val="none"/>
              </w:rPr>
            </w:pPr>
            <w:r>
              <w:rPr>
                <w:rFonts w:hint="eastAsia"/>
                <w:color w:val="auto"/>
                <w:spacing w:val="11"/>
                <w:sz w:val="21"/>
                <w:szCs w:val="21"/>
                <w:highlight w:val="none"/>
              </w:rPr>
              <w:t>投入的施工和养护保障机械设备配置合理、针对性强，施工机具进场计划安排和管理的保证措施全面、能够满足工程质量和进度的要求。</w:t>
            </w:r>
          </w:p>
          <w:p w14:paraId="2569CF83">
            <w:pPr>
              <w:rPr>
                <w:color w:val="auto"/>
                <w:spacing w:val="11"/>
                <w:sz w:val="21"/>
                <w:szCs w:val="21"/>
                <w:highlight w:val="none"/>
              </w:rPr>
            </w:pPr>
            <w:r>
              <w:rPr>
                <w:rFonts w:hint="eastAsia"/>
                <w:color w:val="auto"/>
                <w:spacing w:val="11"/>
                <w:sz w:val="21"/>
                <w:szCs w:val="21"/>
                <w:highlight w:val="none"/>
              </w:rPr>
              <w:t>（评分范围：5,4,3,2,1,0）</w:t>
            </w:r>
          </w:p>
        </w:tc>
      </w:tr>
      <w:tr w14:paraId="3399A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02724B2">
            <w:pPr>
              <w:widowControl/>
              <w:ind w:firstLine="211"/>
              <w:jc w:val="center"/>
              <w:rPr>
                <w:color w:val="auto"/>
                <w:sz w:val="21"/>
                <w:szCs w:val="21"/>
                <w:highlight w:val="none"/>
              </w:rPr>
            </w:pPr>
          </w:p>
        </w:tc>
        <w:tc>
          <w:tcPr>
            <w:tcW w:w="405" w:type="pct"/>
            <w:tcBorders>
              <w:top w:val="single" w:color="auto" w:sz="4" w:space="0"/>
              <w:left w:val="single" w:color="auto" w:sz="4" w:space="0"/>
              <w:bottom w:val="single" w:color="auto" w:sz="4" w:space="0"/>
              <w:right w:val="single" w:color="auto" w:sz="4" w:space="0"/>
            </w:tcBorders>
            <w:vAlign w:val="center"/>
          </w:tcPr>
          <w:p w14:paraId="028C1E9C">
            <w:pPr>
              <w:jc w:val="center"/>
              <w:rPr>
                <w:color w:val="auto"/>
                <w:sz w:val="21"/>
                <w:szCs w:val="21"/>
                <w:highlight w:val="none"/>
              </w:rPr>
            </w:pPr>
            <w:r>
              <w:rPr>
                <w:rFonts w:hint="eastAsia"/>
                <w:color w:val="auto"/>
                <w:sz w:val="21"/>
                <w:szCs w:val="21"/>
                <w:highlight w:val="none"/>
              </w:rPr>
              <w:t>5</w:t>
            </w:r>
          </w:p>
        </w:tc>
        <w:tc>
          <w:tcPr>
            <w:tcW w:w="3703" w:type="pct"/>
            <w:tcBorders>
              <w:top w:val="single" w:color="auto" w:sz="4" w:space="0"/>
              <w:left w:val="single" w:color="auto" w:sz="4" w:space="0"/>
              <w:bottom w:val="single" w:color="auto" w:sz="4" w:space="0"/>
              <w:right w:val="single" w:color="auto" w:sz="4" w:space="0"/>
            </w:tcBorders>
            <w:vAlign w:val="center"/>
          </w:tcPr>
          <w:p w14:paraId="7B3A9271">
            <w:pPr>
              <w:rPr>
                <w:color w:val="auto"/>
                <w:spacing w:val="11"/>
                <w:sz w:val="21"/>
                <w:szCs w:val="21"/>
                <w:highlight w:val="none"/>
              </w:rPr>
            </w:pPr>
            <w:r>
              <w:rPr>
                <w:rFonts w:hint="eastAsia"/>
                <w:color w:val="auto"/>
                <w:spacing w:val="11"/>
                <w:sz w:val="21"/>
                <w:szCs w:val="21"/>
                <w:highlight w:val="none"/>
              </w:rPr>
              <w:t>【主观分】</w:t>
            </w:r>
          </w:p>
          <w:p w14:paraId="469AADFD">
            <w:pPr>
              <w:ind w:right="-24" w:rightChars="-10"/>
              <w:rPr>
                <w:color w:val="auto"/>
                <w:spacing w:val="11"/>
                <w:sz w:val="21"/>
                <w:szCs w:val="21"/>
                <w:highlight w:val="none"/>
              </w:rPr>
            </w:pPr>
            <w:r>
              <w:rPr>
                <w:rFonts w:hint="eastAsia"/>
                <w:color w:val="auto"/>
                <w:spacing w:val="11"/>
                <w:sz w:val="21"/>
                <w:szCs w:val="21"/>
                <w:highlight w:val="none"/>
              </w:rPr>
              <w:t>根据本项目特点劳动力投入计划合理、人员岗位分工完整、职责明确，能满足施工和种植养护项目质量的要求。</w:t>
            </w:r>
          </w:p>
          <w:p w14:paraId="04A3646B">
            <w:pPr>
              <w:rPr>
                <w:color w:val="auto"/>
                <w:spacing w:val="11"/>
                <w:sz w:val="21"/>
                <w:szCs w:val="21"/>
                <w:highlight w:val="none"/>
              </w:rPr>
            </w:pPr>
            <w:r>
              <w:rPr>
                <w:rFonts w:hint="eastAsia"/>
                <w:color w:val="auto"/>
                <w:spacing w:val="11"/>
                <w:sz w:val="21"/>
                <w:szCs w:val="21"/>
                <w:highlight w:val="none"/>
              </w:rPr>
              <w:t>（评分范围：5,4,3,2,1,0）</w:t>
            </w:r>
          </w:p>
        </w:tc>
      </w:tr>
      <w:tr w14:paraId="14550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B0EF65C">
            <w:pPr>
              <w:widowControl/>
              <w:ind w:firstLine="211"/>
              <w:jc w:val="center"/>
              <w:rPr>
                <w:color w:val="auto"/>
                <w:sz w:val="21"/>
                <w:szCs w:val="21"/>
                <w:highlight w:val="none"/>
              </w:rPr>
            </w:pPr>
          </w:p>
        </w:tc>
        <w:tc>
          <w:tcPr>
            <w:tcW w:w="405" w:type="pct"/>
            <w:tcBorders>
              <w:top w:val="single" w:color="auto" w:sz="4" w:space="0"/>
              <w:left w:val="single" w:color="auto" w:sz="4" w:space="0"/>
              <w:bottom w:val="single" w:color="auto" w:sz="4" w:space="0"/>
              <w:right w:val="single" w:color="auto" w:sz="4" w:space="0"/>
            </w:tcBorders>
            <w:vAlign w:val="center"/>
          </w:tcPr>
          <w:p w14:paraId="3C1B2AB7">
            <w:pPr>
              <w:jc w:val="center"/>
              <w:rPr>
                <w:color w:val="auto"/>
                <w:sz w:val="21"/>
                <w:szCs w:val="21"/>
                <w:highlight w:val="none"/>
              </w:rPr>
            </w:pPr>
            <w:r>
              <w:rPr>
                <w:rFonts w:hint="eastAsia"/>
                <w:color w:val="auto"/>
                <w:sz w:val="21"/>
                <w:szCs w:val="21"/>
                <w:highlight w:val="none"/>
              </w:rPr>
              <w:t>4</w:t>
            </w:r>
          </w:p>
        </w:tc>
        <w:tc>
          <w:tcPr>
            <w:tcW w:w="3703" w:type="pct"/>
            <w:tcBorders>
              <w:top w:val="single" w:color="auto" w:sz="4" w:space="0"/>
              <w:left w:val="single" w:color="auto" w:sz="4" w:space="0"/>
              <w:bottom w:val="single" w:color="auto" w:sz="4" w:space="0"/>
              <w:right w:val="single" w:color="auto" w:sz="4" w:space="0"/>
            </w:tcBorders>
            <w:vAlign w:val="center"/>
          </w:tcPr>
          <w:p w14:paraId="26CAD6A8">
            <w:pPr>
              <w:rPr>
                <w:color w:val="auto"/>
                <w:spacing w:val="11"/>
                <w:sz w:val="21"/>
                <w:szCs w:val="21"/>
                <w:highlight w:val="none"/>
              </w:rPr>
            </w:pPr>
            <w:r>
              <w:rPr>
                <w:rFonts w:hint="eastAsia"/>
                <w:color w:val="auto"/>
                <w:spacing w:val="11"/>
                <w:sz w:val="21"/>
                <w:szCs w:val="21"/>
                <w:highlight w:val="none"/>
              </w:rPr>
              <w:t>【主观分】</w:t>
            </w:r>
          </w:p>
          <w:p w14:paraId="2085BA25">
            <w:pPr>
              <w:rPr>
                <w:color w:val="auto"/>
                <w:spacing w:val="11"/>
                <w:sz w:val="21"/>
                <w:szCs w:val="21"/>
                <w:highlight w:val="none"/>
              </w:rPr>
            </w:pPr>
            <w:r>
              <w:rPr>
                <w:rFonts w:hint="eastAsia"/>
                <w:color w:val="auto"/>
                <w:spacing w:val="11"/>
                <w:sz w:val="21"/>
                <w:szCs w:val="21"/>
                <w:highlight w:val="none"/>
              </w:rPr>
              <w:t>施工和种植养护的安全保证体系和安全管理制度的健全性，可操性。</w:t>
            </w:r>
          </w:p>
          <w:p w14:paraId="4F20540C">
            <w:pPr>
              <w:rPr>
                <w:color w:val="auto"/>
                <w:spacing w:val="11"/>
                <w:sz w:val="21"/>
                <w:szCs w:val="21"/>
                <w:highlight w:val="none"/>
              </w:rPr>
            </w:pPr>
            <w:r>
              <w:rPr>
                <w:rFonts w:hint="eastAsia"/>
                <w:color w:val="auto"/>
                <w:spacing w:val="11"/>
                <w:sz w:val="21"/>
                <w:szCs w:val="21"/>
                <w:highlight w:val="none"/>
              </w:rPr>
              <w:t>（评分范围：4,3,2,1,0）</w:t>
            </w:r>
          </w:p>
        </w:tc>
      </w:tr>
      <w:tr w14:paraId="7D7F5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2AADAB8">
            <w:pPr>
              <w:widowControl/>
              <w:ind w:firstLine="211"/>
              <w:jc w:val="center"/>
              <w:rPr>
                <w:color w:val="auto"/>
                <w:sz w:val="21"/>
                <w:szCs w:val="21"/>
                <w:highlight w:val="none"/>
              </w:rPr>
            </w:pPr>
          </w:p>
        </w:tc>
        <w:tc>
          <w:tcPr>
            <w:tcW w:w="405" w:type="pct"/>
            <w:tcBorders>
              <w:top w:val="single" w:color="auto" w:sz="4" w:space="0"/>
              <w:left w:val="single" w:color="auto" w:sz="4" w:space="0"/>
              <w:bottom w:val="single" w:color="auto" w:sz="4" w:space="0"/>
              <w:right w:val="single" w:color="auto" w:sz="4" w:space="0"/>
            </w:tcBorders>
            <w:vAlign w:val="center"/>
          </w:tcPr>
          <w:p w14:paraId="764D9ECE">
            <w:pPr>
              <w:jc w:val="center"/>
              <w:rPr>
                <w:color w:val="auto"/>
                <w:sz w:val="21"/>
                <w:szCs w:val="21"/>
                <w:highlight w:val="none"/>
              </w:rPr>
            </w:pPr>
            <w:r>
              <w:rPr>
                <w:rFonts w:hint="eastAsia"/>
                <w:color w:val="auto"/>
                <w:sz w:val="21"/>
                <w:szCs w:val="21"/>
                <w:highlight w:val="none"/>
              </w:rPr>
              <w:t>5</w:t>
            </w:r>
          </w:p>
        </w:tc>
        <w:tc>
          <w:tcPr>
            <w:tcW w:w="3703" w:type="pct"/>
            <w:tcBorders>
              <w:top w:val="single" w:color="auto" w:sz="4" w:space="0"/>
              <w:left w:val="single" w:color="auto" w:sz="4" w:space="0"/>
              <w:bottom w:val="single" w:color="auto" w:sz="4" w:space="0"/>
              <w:right w:val="single" w:color="auto" w:sz="4" w:space="0"/>
            </w:tcBorders>
            <w:vAlign w:val="center"/>
          </w:tcPr>
          <w:p w14:paraId="549C694C">
            <w:pPr>
              <w:rPr>
                <w:color w:val="auto"/>
                <w:spacing w:val="11"/>
                <w:sz w:val="21"/>
                <w:szCs w:val="21"/>
                <w:highlight w:val="none"/>
              </w:rPr>
            </w:pPr>
            <w:r>
              <w:rPr>
                <w:rFonts w:hint="eastAsia"/>
                <w:color w:val="auto"/>
                <w:spacing w:val="11"/>
                <w:sz w:val="21"/>
                <w:szCs w:val="21"/>
                <w:highlight w:val="none"/>
              </w:rPr>
              <w:t>【主观分】</w:t>
            </w:r>
          </w:p>
          <w:p w14:paraId="1AE5F967">
            <w:pPr>
              <w:rPr>
                <w:color w:val="auto"/>
                <w:spacing w:val="11"/>
                <w:sz w:val="21"/>
                <w:szCs w:val="21"/>
                <w:highlight w:val="none"/>
              </w:rPr>
            </w:pPr>
            <w:r>
              <w:rPr>
                <w:rFonts w:hint="eastAsia"/>
                <w:color w:val="auto"/>
                <w:spacing w:val="11"/>
                <w:sz w:val="21"/>
                <w:szCs w:val="21"/>
                <w:highlight w:val="none"/>
              </w:rPr>
              <w:t>文明施工和种植养护管理措施的合理性，可行性。</w:t>
            </w:r>
          </w:p>
          <w:p w14:paraId="050E2180">
            <w:pPr>
              <w:rPr>
                <w:color w:val="auto"/>
                <w:spacing w:val="11"/>
                <w:sz w:val="21"/>
                <w:szCs w:val="21"/>
                <w:highlight w:val="none"/>
              </w:rPr>
            </w:pPr>
            <w:r>
              <w:rPr>
                <w:rFonts w:hint="eastAsia"/>
                <w:color w:val="auto"/>
                <w:spacing w:val="11"/>
                <w:sz w:val="21"/>
                <w:szCs w:val="21"/>
                <w:highlight w:val="none"/>
              </w:rPr>
              <w:t>（评分范围：5,4,3,2,1,0）</w:t>
            </w:r>
          </w:p>
        </w:tc>
      </w:tr>
      <w:tr w14:paraId="260A7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172D193">
            <w:pPr>
              <w:widowControl/>
              <w:ind w:firstLine="211"/>
              <w:jc w:val="center"/>
              <w:rPr>
                <w:color w:val="auto"/>
                <w:sz w:val="21"/>
                <w:szCs w:val="21"/>
                <w:highlight w:val="none"/>
              </w:rPr>
            </w:pPr>
          </w:p>
        </w:tc>
        <w:tc>
          <w:tcPr>
            <w:tcW w:w="405" w:type="pct"/>
            <w:tcBorders>
              <w:top w:val="single" w:color="auto" w:sz="4" w:space="0"/>
              <w:left w:val="single" w:color="auto" w:sz="4" w:space="0"/>
              <w:bottom w:val="single" w:color="auto" w:sz="4" w:space="0"/>
              <w:right w:val="single" w:color="auto" w:sz="4" w:space="0"/>
            </w:tcBorders>
            <w:vAlign w:val="center"/>
          </w:tcPr>
          <w:p w14:paraId="1DB4EFD4">
            <w:pPr>
              <w:jc w:val="center"/>
              <w:rPr>
                <w:color w:val="auto"/>
                <w:sz w:val="21"/>
                <w:szCs w:val="21"/>
                <w:highlight w:val="none"/>
              </w:rPr>
            </w:pPr>
            <w:r>
              <w:rPr>
                <w:rFonts w:hint="eastAsia"/>
                <w:color w:val="auto"/>
                <w:sz w:val="21"/>
                <w:szCs w:val="21"/>
                <w:highlight w:val="none"/>
              </w:rPr>
              <w:t>4</w:t>
            </w:r>
          </w:p>
        </w:tc>
        <w:tc>
          <w:tcPr>
            <w:tcW w:w="3703" w:type="pct"/>
            <w:tcBorders>
              <w:top w:val="single" w:color="auto" w:sz="4" w:space="0"/>
              <w:left w:val="single" w:color="auto" w:sz="4" w:space="0"/>
              <w:bottom w:val="single" w:color="auto" w:sz="4" w:space="0"/>
              <w:right w:val="single" w:color="auto" w:sz="4" w:space="0"/>
            </w:tcBorders>
            <w:vAlign w:val="center"/>
          </w:tcPr>
          <w:p w14:paraId="72C31FAB">
            <w:pPr>
              <w:rPr>
                <w:color w:val="auto"/>
                <w:spacing w:val="11"/>
                <w:sz w:val="21"/>
                <w:szCs w:val="21"/>
                <w:highlight w:val="none"/>
              </w:rPr>
            </w:pPr>
            <w:r>
              <w:rPr>
                <w:rFonts w:hint="eastAsia"/>
                <w:color w:val="auto"/>
                <w:spacing w:val="11"/>
                <w:sz w:val="21"/>
                <w:szCs w:val="21"/>
                <w:highlight w:val="none"/>
              </w:rPr>
              <w:t>【主观分】</w:t>
            </w:r>
          </w:p>
          <w:p w14:paraId="17917293">
            <w:pPr>
              <w:rPr>
                <w:color w:val="auto"/>
                <w:spacing w:val="11"/>
                <w:sz w:val="21"/>
                <w:szCs w:val="21"/>
                <w:highlight w:val="none"/>
              </w:rPr>
            </w:pPr>
            <w:r>
              <w:rPr>
                <w:rFonts w:hint="eastAsia"/>
                <w:color w:val="auto"/>
                <w:spacing w:val="11"/>
                <w:sz w:val="21"/>
                <w:szCs w:val="21"/>
                <w:highlight w:val="none"/>
              </w:rPr>
              <w:t>针对学校特殊施工环境需要采取的保护措施合理可行。</w:t>
            </w:r>
          </w:p>
          <w:p w14:paraId="227E13C5">
            <w:pPr>
              <w:rPr>
                <w:color w:val="auto"/>
                <w:spacing w:val="11"/>
                <w:sz w:val="21"/>
                <w:szCs w:val="21"/>
                <w:highlight w:val="none"/>
              </w:rPr>
            </w:pPr>
            <w:r>
              <w:rPr>
                <w:rFonts w:hint="eastAsia"/>
                <w:color w:val="auto"/>
                <w:spacing w:val="11"/>
                <w:sz w:val="21"/>
                <w:szCs w:val="21"/>
                <w:highlight w:val="none"/>
              </w:rPr>
              <w:t>（评分范围：4,3,2,1,0）</w:t>
            </w:r>
          </w:p>
        </w:tc>
      </w:tr>
      <w:tr w14:paraId="6AB35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B4F8749">
            <w:pPr>
              <w:widowControl/>
              <w:ind w:firstLine="211"/>
              <w:jc w:val="center"/>
              <w:rPr>
                <w:color w:val="auto"/>
                <w:sz w:val="21"/>
                <w:szCs w:val="21"/>
                <w:highlight w:val="none"/>
              </w:rPr>
            </w:pPr>
          </w:p>
        </w:tc>
        <w:tc>
          <w:tcPr>
            <w:tcW w:w="405" w:type="pct"/>
            <w:tcBorders>
              <w:top w:val="single" w:color="auto" w:sz="4" w:space="0"/>
              <w:left w:val="single" w:color="auto" w:sz="4" w:space="0"/>
              <w:bottom w:val="single" w:color="auto" w:sz="4" w:space="0"/>
              <w:right w:val="single" w:color="auto" w:sz="4" w:space="0"/>
            </w:tcBorders>
            <w:vAlign w:val="center"/>
          </w:tcPr>
          <w:p w14:paraId="2C3F4FF1">
            <w:pPr>
              <w:jc w:val="center"/>
              <w:rPr>
                <w:color w:val="auto"/>
                <w:sz w:val="21"/>
                <w:szCs w:val="21"/>
                <w:highlight w:val="none"/>
              </w:rPr>
            </w:pPr>
            <w:r>
              <w:rPr>
                <w:rFonts w:hint="eastAsia"/>
                <w:color w:val="auto"/>
                <w:sz w:val="21"/>
                <w:szCs w:val="21"/>
                <w:highlight w:val="none"/>
              </w:rPr>
              <w:t>5</w:t>
            </w:r>
          </w:p>
        </w:tc>
        <w:tc>
          <w:tcPr>
            <w:tcW w:w="3703" w:type="pct"/>
            <w:tcBorders>
              <w:top w:val="single" w:color="auto" w:sz="4" w:space="0"/>
              <w:left w:val="single" w:color="auto" w:sz="4" w:space="0"/>
              <w:bottom w:val="single" w:color="auto" w:sz="4" w:space="0"/>
              <w:right w:val="single" w:color="auto" w:sz="4" w:space="0"/>
            </w:tcBorders>
            <w:vAlign w:val="center"/>
          </w:tcPr>
          <w:p w14:paraId="1845F5AE">
            <w:pPr>
              <w:rPr>
                <w:color w:val="auto"/>
                <w:spacing w:val="11"/>
                <w:sz w:val="21"/>
                <w:szCs w:val="21"/>
                <w:highlight w:val="none"/>
              </w:rPr>
            </w:pPr>
            <w:r>
              <w:rPr>
                <w:rFonts w:hint="eastAsia"/>
                <w:color w:val="auto"/>
                <w:spacing w:val="11"/>
                <w:sz w:val="21"/>
                <w:szCs w:val="21"/>
                <w:highlight w:val="none"/>
              </w:rPr>
              <w:t>【主观分】</w:t>
            </w:r>
          </w:p>
          <w:p w14:paraId="16D65F07">
            <w:pPr>
              <w:rPr>
                <w:color w:val="auto"/>
                <w:spacing w:val="11"/>
                <w:sz w:val="21"/>
                <w:szCs w:val="21"/>
                <w:highlight w:val="none"/>
              </w:rPr>
            </w:pPr>
            <w:r>
              <w:rPr>
                <w:rFonts w:hint="eastAsia"/>
                <w:color w:val="auto"/>
                <w:spacing w:val="11"/>
                <w:sz w:val="21"/>
                <w:szCs w:val="21"/>
                <w:highlight w:val="none"/>
              </w:rPr>
              <w:t>根据投标人提供的突发事件应急预案及相应措施合理可行，方案完整，考虑全面。</w:t>
            </w:r>
          </w:p>
          <w:p w14:paraId="24564BE6">
            <w:pPr>
              <w:rPr>
                <w:color w:val="auto"/>
                <w:spacing w:val="11"/>
                <w:sz w:val="21"/>
                <w:szCs w:val="21"/>
                <w:highlight w:val="none"/>
              </w:rPr>
            </w:pPr>
            <w:r>
              <w:rPr>
                <w:rFonts w:hint="eastAsia"/>
                <w:color w:val="auto"/>
                <w:spacing w:val="11"/>
                <w:sz w:val="21"/>
                <w:szCs w:val="21"/>
                <w:highlight w:val="none"/>
              </w:rPr>
              <w:t>（评分范围：5,4,3,2,1,0）</w:t>
            </w:r>
          </w:p>
        </w:tc>
      </w:tr>
      <w:tr w14:paraId="4379A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2" w:type="pct"/>
            <w:tcBorders>
              <w:top w:val="single" w:color="auto" w:sz="4" w:space="0"/>
              <w:left w:val="single" w:color="auto" w:sz="4" w:space="0"/>
              <w:bottom w:val="single" w:color="auto" w:sz="4" w:space="0"/>
              <w:right w:val="single" w:color="auto" w:sz="4" w:space="0"/>
            </w:tcBorders>
            <w:vAlign w:val="center"/>
          </w:tcPr>
          <w:p w14:paraId="11EECE69">
            <w:pPr>
              <w:jc w:val="center"/>
              <w:rPr>
                <w:color w:val="auto"/>
                <w:sz w:val="21"/>
                <w:szCs w:val="21"/>
                <w:highlight w:val="none"/>
              </w:rPr>
            </w:pPr>
            <w:r>
              <w:rPr>
                <w:rFonts w:hint="eastAsia"/>
                <w:color w:val="auto"/>
                <w:sz w:val="21"/>
                <w:szCs w:val="21"/>
                <w:highlight w:val="none"/>
              </w:rPr>
              <w:t>服务响应时间</w:t>
            </w:r>
          </w:p>
          <w:p w14:paraId="1A8C4393">
            <w:pPr>
              <w:jc w:val="center"/>
              <w:rPr>
                <w:color w:val="auto"/>
                <w:sz w:val="21"/>
                <w:szCs w:val="21"/>
                <w:highlight w:val="none"/>
              </w:rPr>
            </w:pPr>
            <w:r>
              <w:rPr>
                <w:rFonts w:hint="eastAsia"/>
                <w:color w:val="auto"/>
                <w:sz w:val="21"/>
                <w:szCs w:val="21"/>
                <w:highlight w:val="none"/>
              </w:rPr>
              <w:t>承诺承诺</w:t>
            </w:r>
          </w:p>
        </w:tc>
        <w:tc>
          <w:tcPr>
            <w:tcW w:w="405" w:type="pct"/>
            <w:tcBorders>
              <w:top w:val="single" w:color="auto" w:sz="4" w:space="0"/>
              <w:left w:val="single" w:color="auto" w:sz="4" w:space="0"/>
              <w:bottom w:val="single" w:color="auto" w:sz="4" w:space="0"/>
              <w:right w:val="single" w:color="auto" w:sz="4" w:space="0"/>
            </w:tcBorders>
            <w:vAlign w:val="center"/>
          </w:tcPr>
          <w:p w14:paraId="6593C11E">
            <w:pPr>
              <w:jc w:val="center"/>
              <w:rPr>
                <w:color w:val="auto"/>
                <w:sz w:val="21"/>
                <w:szCs w:val="21"/>
                <w:highlight w:val="none"/>
              </w:rPr>
            </w:pPr>
            <w:r>
              <w:rPr>
                <w:rFonts w:hint="eastAsia"/>
                <w:color w:val="auto"/>
                <w:sz w:val="21"/>
                <w:szCs w:val="21"/>
                <w:highlight w:val="none"/>
              </w:rPr>
              <w:t>3</w:t>
            </w:r>
          </w:p>
        </w:tc>
        <w:tc>
          <w:tcPr>
            <w:tcW w:w="3703" w:type="pct"/>
            <w:tcBorders>
              <w:top w:val="single" w:color="auto" w:sz="4" w:space="0"/>
              <w:left w:val="single" w:color="auto" w:sz="4" w:space="0"/>
              <w:bottom w:val="single" w:color="auto" w:sz="4" w:space="0"/>
              <w:right w:val="single" w:color="auto" w:sz="4" w:space="0"/>
            </w:tcBorders>
            <w:vAlign w:val="center"/>
          </w:tcPr>
          <w:p w14:paraId="003DA21E">
            <w:pPr>
              <w:rPr>
                <w:color w:val="auto"/>
                <w:spacing w:val="11"/>
                <w:sz w:val="21"/>
                <w:szCs w:val="21"/>
                <w:highlight w:val="none"/>
              </w:rPr>
            </w:pPr>
            <w:r>
              <w:rPr>
                <w:rFonts w:hint="eastAsia"/>
                <w:color w:val="auto"/>
                <w:spacing w:val="11"/>
                <w:sz w:val="21"/>
                <w:szCs w:val="21"/>
                <w:highlight w:val="none"/>
              </w:rPr>
              <w:t>【客观分】</w:t>
            </w:r>
          </w:p>
          <w:p w14:paraId="4A9367DD">
            <w:pPr>
              <w:rPr>
                <w:color w:val="auto"/>
                <w:spacing w:val="11"/>
                <w:sz w:val="21"/>
                <w:szCs w:val="21"/>
                <w:highlight w:val="none"/>
              </w:rPr>
            </w:pPr>
            <w:r>
              <w:rPr>
                <w:rFonts w:hint="eastAsia"/>
                <w:color w:val="auto"/>
                <w:spacing w:val="11"/>
                <w:sz w:val="21"/>
                <w:szCs w:val="21"/>
                <w:highlight w:val="none"/>
              </w:rPr>
              <w:t>根据投标人承诺的现场响应时间评定：3小时响应的得0分，每减少0.5小时的加1.5分，最多加3分。</w:t>
            </w:r>
          </w:p>
        </w:tc>
      </w:tr>
      <w:tr w14:paraId="4AF8F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2" w:type="pct"/>
            <w:tcBorders>
              <w:top w:val="single" w:color="auto" w:sz="4" w:space="0"/>
              <w:left w:val="single" w:color="auto" w:sz="4" w:space="0"/>
              <w:bottom w:val="single" w:color="auto" w:sz="4" w:space="0"/>
              <w:right w:val="single" w:color="auto" w:sz="4" w:space="0"/>
            </w:tcBorders>
            <w:vAlign w:val="center"/>
          </w:tcPr>
          <w:p w14:paraId="7FB4B4F2">
            <w:pPr>
              <w:jc w:val="center"/>
              <w:rPr>
                <w:color w:val="auto"/>
                <w:spacing w:val="11"/>
                <w:sz w:val="21"/>
                <w:szCs w:val="21"/>
                <w:highlight w:val="none"/>
              </w:rPr>
            </w:pPr>
            <w:r>
              <w:rPr>
                <w:rFonts w:hint="eastAsia"/>
                <w:color w:val="auto"/>
                <w:spacing w:val="11"/>
                <w:sz w:val="21"/>
                <w:szCs w:val="21"/>
                <w:highlight w:val="none"/>
              </w:rPr>
              <w:t>针对本项目的合理化建议</w:t>
            </w:r>
          </w:p>
        </w:tc>
        <w:tc>
          <w:tcPr>
            <w:tcW w:w="405" w:type="pct"/>
            <w:tcBorders>
              <w:top w:val="single" w:color="auto" w:sz="4" w:space="0"/>
              <w:left w:val="single" w:color="auto" w:sz="4" w:space="0"/>
              <w:bottom w:val="single" w:color="auto" w:sz="4" w:space="0"/>
              <w:right w:val="single" w:color="auto" w:sz="4" w:space="0"/>
            </w:tcBorders>
            <w:vAlign w:val="center"/>
          </w:tcPr>
          <w:p w14:paraId="48A439B2">
            <w:pPr>
              <w:jc w:val="center"/>
              <w:rPr>
                <w:color w:val="auto"/>
                <w:sz w:val="21"/>
                <w:szCs w:val="21"/>
                <w:highlight w:val="none"/>
              </w:rPr>
            </w:pPr>
            <w:r>
              <w:rPr>
                <w:rFonts w:hint="eastAsia"/>
                <w:color w:val="auto"/>
                <w:sz w:val="21"/>
                <w:szCs w:val="21"/>
                <w:highlight w:val="none"/>
              </w:rPr>
              <w:t>2</w:t>
            </w:r>
          </w:p>
        </w:tc>
        <w:tc>
          <w:tcPr>
            <w:tcW w:w="3703" w:type="pct"/>
            <w:tcBorders>
              <w:top w:val="single" w:color="auto" w:sz="4" w:space="0"/>
              <w:left w:val="single" w:color="auto" w:sz="4" w:space="0"/>
              <w:bottom w:val="single" w:color="auto" w:sz="4" w:space="0"/>
              <w:right w:val="single" w:color="auto" w:sz="4" w:space="0"/>
            </w:tcBorders>
            <w:vAlign w:val="center"/>
          </w:tcPr>
          <w:p w14:paraId="0108D36C">
            <w:pPr>
              <w:rPr>
                <w:color w:val="auto"/>
                <w:spacing w:val="11"/>
                <w:sz w:val="21"/>
                <w:szCs w:val="21"/>
                <w:highlight w:val="none"/>
              </w:rPr>
            </w:pPr>
            <w:r>
              <w:rPr>
                <w:rFonts w:hint="eastAsia"/>
                <w:color w:val="auto"/>
                <w:spacing w:val="11"/>
                <w:sz w:val="21"/>
                <w:szCs w:val="21"/>
                <w:highlight w:val="none"/>
              </w:rPr>
              <w:t>【主观分】</w:t>
            </w:r>
          </w:p>
          <w:p w14:paraId="0EBF8FDE">
            <w:pPr>
              <w:rPr>
                <w:color w:val="auto"/>
                <w:spacing w:val="11"/>
                <w:sz w:val="21"/>
                <w:szCs w:val="21"/>
                <w:highlight w:val="none"/>
              </w:rPr>
            </w:pPr>
            <w:r>
              <w:rPr>
                <w:rFonts w:hint="eastAsia"/>
                <w:color w:val="auto"/>
                <w:spacing w:val="11"/>
                <w:sz w:val="21"/>
                <w:szCs w:val="21"/>
                <w:highlight w:val="none"/>
              </w:rPr>
              <w:t>投标人每提供一项针对本采购项目的合理化建议并经专家认定为切实可行的得1分，最多得2分。未提供不得分。</w:t>
            </w:r>
          </w:p>
          <w:p w14:paraId="1E431427">
            <w:pPr>
              <w:rPr>
                <w:color w:val="auto"/>
                <w:spacing w:val="11"/>
                <w:sz w:val="21"/>
                <w:szCs w:val="21"/>
                <w:highlight w:val="none"/>
              </w:rPr>
            </w:pPr>
            <w:r>
              <w:rPr>
                <w:rFonts w:hint="eastAsia"/>
                <w:color w:val="auto"/>
                <w:spacing w:val="11"/>
                <w:sz w:val="21"/>
                <w:szCs w:val="21"/>
                <w:highlight w:val="none"/>
              </w:rPr>
              <w:t>（评分范围：2,1,0）</w:t>
            </w:r>
          </w:p>
        </w:tc>
      </w:tr>
    </w:tbl>
    <w:p w14:paraId="63453131">
      <w:pPr>
        <w:adjustRightInd w:val="0"/>
        <w:snapToGrid w:val="0"/>
        <w:spacing w:line="288" w:lineRule="auto"/>
        <w:rPr>
          <w:rFonts w:cs="Times New Roman"/>
          <w:b/>
          <w:bCs/>
          <w:color w:val="auto"/>
          <w:spacing w:val="-6"/>
          <w:sz w:val="21"/>
          <w:szCs w:val="21"/>
          <w:highlight w:val="none"/>
        </w:rPr>
      </w:pPr>
      <w:bookmarkStart w:id="47" w:name="_Hlk81817387"/>
      <w:r>
        <w:rPr>
          <w:rFonts w:hint="eastAsia" w:cs="Times New Roman"/>
          <w:b/>
          <w:bCs/>
          <w:color w:val="auto"/>
          <w:spacing w:val="-6"/>
          <w:sz w:val="21"/>
          <w:szCs w:val="21"/>
          <w:highlight w:val="none"/>
        </w:rPr>
        <w:t>说明：本项目专门面向中小企业采购，不再执行价格评审优惠的扶持政策。</w:t>
      </w:r>
    </w:p>
    <w:bookmarkEnd w:id="47"/>
    <w:p w14:paraId="66AB40FF">
      <w:pPr>
        <w:adjustRightInd w:val="0"/>
        <w:snapToGrid w:val="0"/>
        <w:spacing w:line="288" w:lineRule="auto"/>
        <w:ind w:firstLine="211"/>
        <w:rPr>
          <w:color w:val="auto"/>
          <w:sz w:val="21"/>
          <w:szCs w:val="21"/>
          <w:highlight w:val="none"/>
        </w:rPr>
      </w:pPr>
      <w:r>
        <w:rPr>
          <w:rFonts w:hint="eastAsia"/>
          <w:color w:val="auto"/>
          <w:sz w:val="21"/>
          <w:szCs w:val="21"/>
          <w:highlight w:val="none"/>
        </w:rPr>
        <w:br w:type="page"/>
      </w:r>
    </w:p>
    <w:p w14:paraId="35DE2D69">
      <w:pPr>
        <w:adjustRightInd w:val="0"/>
        <w:snapToGrid w:val="0"/>
        <w:spacing w:line="288" w:lineRule="auto"/>
        <w:ind w:firstLine="321"/>
        <w:jc w:val="center"/>
        <w:outlineLvl w:val="0"/>
        <w:rPr>
          <w:b/>
          <w:bCs/>
          <w:color w:val="auto"/>
          <w:sz w:val="32"/>
          <w:szCs w:val="32"/>
          <w:highlight w:val="none"/>
        </w:rPr>
      </w:pPr>
      <w:r>
        <w:rPr>
          <w:rFonts w:hint="eastAsia"/>
          <w:b/>
          <w:bCs/>
          <w:color w:val="auto"/>
          <w:sz w:val="32"/>
          <w:szCs w:val="32"/>
          <w:highlight w:val="none"/>
        </w:rPr>
        <w:t>第五章  拟签订的合同文本</w:t>
      </w:r>
    </w:p>
    <w:p w14:paraId="6927E45D">
      <w:pPr>
        <w:spacing w:line="480" w:lineRule="auto"/>
        <w:ind w:firstLine="411"/>
        <w:jc w:val="left"/>
        <w:rPr>
          <w:rFonts w:ascii="仿宋" w:hAnsi="仿宋" w:eastAsia="仿宋" w:cs="仿宋"/>
          <w:color w:val="auto"/>
          <w:spacing w:val="100"/>
          <w:sz w:val="21"/>
          <w:szCs w:val="21"/>
          <w:highlight w:val="none"/>
        </w:rPr>
      </w:pPr>
      <w:r>
        <w:rPr>
          <w:rFonts w:hint="eastAsia" w:ascii="仿宋" w:hAnsi="仿宋" w:eastAsia="仿宋" w:cs="仿宋"/>
          <w:color w:val="auto"/>
          <w:spacing w:val="100"/>
          <w:sz w:val="21"/>
          <w:szCs w:val="21"/>
          <w:highlight w:val="none"/>
        </w:rPr>
        <w:t>（GF-2018-0201）</w:t>
      </w:r>
    </w:p>
    <w:p w14:paraId="70F0219F">
      <w:pPr>
        <w:spacing w:line="480" w:lineRule="auto"/>
        <w:ind w:firstLine="682"/>
        <w:jc w:val="center"/>
        <w:rPr>
          <w:color w:val="auto"/>
          <w:spacing w:val="100"/>
          <w:sz w:val="48"/>
          <w:szCs w:val="48"/>
          <w:highlight w:val="none"/>
        </w:rPr>
      </w:pPr>
    </w:p>
    <w:p w14:paraId="27F1D89B">
      <w:pPr>
        <w:spacing w:line="480" w:lineRule="auto"/>
        <w:ind w:firstLine="682"/>
        <w:jc w:val="center"/>
        <w:rPr>
          <w:color w:val="auto"/>
          <w:spacing w:val="100"/>
          <w:sz w:val="48"/>
          <w:szCs w:val="48"/>
          <w:highlight w:val="none"/>
        </w:rPr>
      </w:pPr>
    </w:p>
    <w:p w14:paraId="383CEFD4">
      <w:pPr>
        <w:spacing w:line="480" w:lineRule="auto"/>
        <w:ind w:firstLine="682"/>
        <w:jc w:val="center"/>
        <w:rPr>
          <w:color w:val="auto"/>
          <w:spacing w:val="100"/>
          <w:sz w:val="48"/>
          <w:szCs w:val="48"/>
          <w:highlight w:val="none"/>
        </w:rPr>
      </w:pPr>
    </w:p>
    <w:p w14:paraId="0F9A919D">
      <w:pPr>
        <w:spacing w:line="480" w:lineRule="auto"/>
        <w:ind w:firstLine="682"/>
        <w:jc w:val="center"/>
        <w:rPr>
          <w:color w:val="auto"/>
          <w:spacing w:val="100"/>
          <w:sz w:val="48"/>
          <w:szCs w:val="48"/>
          <w:highlight w:val="none"/>
        </w:rPr>
      </w:pPr>
    </w:p>
    <w:p w14:paraId="2F223EE9">
      <w:pPr>
        <w:spacing w:line="480" w:lineRule="auto"/>
        <w:ind w:firstLine="682"/>
        <w:jc w:val="center"/>
        <w:rPr>
          <w:color w:val="auto"/>
          <w:spacing w:val="100"/>
          <w:sz w:val="48"/>
          <w:szCs w:val="48"/>
          <w:highlight w:val="none"/>
        </w:rPr>
      </w:pPr>
    </w:p>
    <w:p w14:paraId="4DCB04E3">
      <w:pPr>
        <w:ind w:firstLine="682"/>
        <w:jc w:val="center"/>
        <w:rPr>
          <w:b/>
          <w:bCs/>
          <w:color w:val="auto"/>
          <w:spacing w:val="100"/>
          <w:sz w:val="48"/>
          <w:szCs w:val="48"/>
          <w:highlight w:val="none"/>
        </w:rPr>
      </w:pPr>
      <w:r>
        <w:rPr>
          <w:rFonts w:hint="eastAsia"/>
          <w:b/>
          <w:bCs/>
          <w:color w:val="auto"/>
          <w:spacing w:val="100"/>
          <w:sz w:val="48"/>
          <w:szCs w:val="48"/>
          <w:highlight w:val="none"/>
        </w:rPr>
        <w:t>建设</w:t>
      </w:r>
      <w:r>
        <w:rPr>
          <w:b/>
          <w:bCs/>
          <w:color w:val="auto"/>
          <w:spacing w:val="100"/>
          <w:sz w:val="48"/>
          <w:szCs w:val="48"/>
          <w:highlight w:val="none"/>
        </w:rPr>
        <w:t>工程施工合同</w:t>
      </w:r>
    </w:p>
    <w:p w14:paraId="21F45B6B">
      <w:pPr>
        <w:rPr>
          <w:color w:val="auto"/>
          <w:szCs w:val="36"/>
          <w:highlight w:val="none"/>
        </w:rPr>
      </w:pPr>
    </w:p>
    <w:p w14:paraId="1507056B">
      <w:pPr>
        <w:rPr>
          <w:color w:val="auto"/>
          <w:szCs w:val="36"/>
          <w:highlight w:val="none"/>
        </w:rPr>
      </w:pPr>
    </w:p>
    <w:p w14:paraId="445555F5">
      <w:pPr>
        <w:rPr>
          <w:color w:val="auto"/>
          <w:szCs w:val="36"/>
          <w:highlight w:val="none"/>
        </w:rPr>
      </w:pPr>
    </w:p>
    <w:p w14:paraId="31865177">
      <w:pPr>
        <w:rPr>
          <w:color w:val="auto"/>
          <w:szCs w:val="36"/>
          <w:highlight w:val="none"/>
        </w:rPr>
      </w:pPr>
    </w:p>
    <w:p w14:paraId="08AC3224">
      <w:pPr>
        <w:rPr>
          <w:color w:val="auto"/>
          <w:szCs w:val="36"/>
          <w:highlight w:val="none"/>
        </w:rPr>
      </w:pPr>
    </w:p>
    <w:p w14:paraId="165EA3F4">
      <w:pPr>
        <w:rPr>
          <w:color w:val="auto"/>
          <w:szCs w:val="36"/>
          <w:highlight w:val="none"/>
        </w:rPr>
      </w:pPr>
    </w:p>
    <w:p w14:paraId="78D7DB14">
      <w:pPr>
        <w:rPr>
          <w:color w:val="auto"/>
          <w:szCs w:val="36"/>
          <w:highlight w:val="none"/>
        </w:rPr>
      </w:pPr>
    </w:p>
    <w:p w14:paraId="16B99D2E">
      <w:pPr>
        <w:rPr>
          <w:color w:val="auto"/>
          <w:szCs w:val="36"/>
          <w:highlight w:val="none"/>
        </w:rPr>
      </w:pPr>
    </w:p>
    <w:p w14:paraId="4340C0AD">
      <w:pPr>
        <w:rPr>
          <w:color w:val="auto"/>
          <w:szCs w:val="36"/>
          <w:highlight w:val="none"/>
        </w:rPr>
      </w:pPr>
    </w:p>
    <w:p w14:paraId="1F60A5BA">
      <w:pPr>
        <w:spacing w:line="700" w:lineRule="exact"/>
        <w:ind w:firstLine="321"/>
        <w:rPr>
          <w:color w:val="auto"/>
          <w:kern w:val="0"/>
          <w:sz w:val="32"/>
          <w:szCs w:val="32"/>
          <w:highlight w:val="none"/>
        </w:rPr>
      </w:pPr>
      <w:r>
        <w:rPr>
          <w:color w:val="auto"/>
          <w:kern w:val="0"/>
          <w:sz w:val="32"/>
          <w:szCs w:val="32"/>
          <w:highlight w:val="none"/>
        </w:rPr>
        <w:t xml:space="preserve"> </w:t>
      </w:r>
    </w:p>
    <w:p w14:paraId="13B19876">
      <w:pPr>
        <w:widowControl/>
        <w:ind w:firstLine="2570" w:firstLineChars="800"/>
        <w:jc w:val="left"/>
        <w:rPr>
          <w:b/>
          <w:bCs/>
          <w:color w:val="auto"/>
          <w:sz w:val="32"/>
          <w:szCs w:val="32"/>
          <w:highlight w:val="none"/>
          <w:u w:val="single"/>
        </w:rPr>
      </w:pPr>
    </w:p>
    <w:p w14:paraId="5E90B403">
      <w:pPr>
        <w:widowControl/>
        <w:ind w:firstLine="320"/>
        <w:jc w:val="left"/>
        <w:rPr>
          <w:b/>
          <w:bCs/>
          <w:color w:val="auto"/>
          <w:sz w:val="32"/>
          <w:szCs w:val="32"/>
          <w:highlight w:val="none"/>
          <w:u w:val="single"/>
        </w:rPr>
      </w:pPr>
    </w:p>
    <w:p w14:paraId="4DFB5D30">
      <w:pPr>
        <w:widowControl/>
        <w:ind w:firstLine="2560" w:firstLineChars="800"/>
        <w:jc w:val="left"/>
        <w:rPr>
          <w:color w:val="auto"/>
          <w:sz w:val="32"/>
          <w:szCs w:val="32"/>
          <w:highlight w:val="none"/>
        </w:rPr>
      </w:pPr>
      <w:r>
        <w:rPr>
          <w:rFonts w:hint="eastAsia"/>
          <w:color w:val="auto"/>
          <w:sz w:val="32"/>
          <w:szCs w:val="32"/>
          <w:highlight w:val="none"/>
        </w:rPr>
        <w:t>住 房 城 乡 建 设 部</w:t>
      </w:r>
    </w:p>
    <w:p w14:paraId="13B88500">
      <w:pPr>
        <w:widowControl/>
        <w:ind w:firstLine="2560" w:firstLineChars="800"/>
        <w:jc w:val="left"/>
        <w:rPr>
          <w:color w:val="auto"/>
          <w:sz w:val="32"/>
          <w:szCs w:val="32"/>
          <w:highlight w:val="none"/>
        </w:rPr>
      </w:pPr>
      <w:r>
        <w:rPr>
          <w:rFonts w:hint="eastAsia"/>
          <w:color w:val="auto"/>
          <w:sz w:val="32"/>
          <w:szCs w:val="32"/>
          <w:highlight w:val="none"/>
        </w:rPr>
        <w:t xml:space="preserve">                      制定</w:t>
      </w:r>
    </w:p>
    <w:p w14:paraId="74C34224">
      <w:pPr>
        <w:widowControl/>
        <w:ind w:firstLine="2560" w:firstLineChars="800"/>
        <w:jc w:val="left"/>
        <w:rPr>
          <w:b/>
          <w:bCs/>
          <w:color w:val="auto"/>
          <w:sz w:val="32"/>
          <w:szCs w:val="32"/>
          <w:highlight w:val="none"/>
          <w:u w:val="single"/>
        </w:rPr>
      </w:pPr>
      <w:r>
        <w:rPr>
          <w:rFonts w:hint="eastAsia"/>
          <w:color w:val="auto"/>
          <w:sz w:val="32"/>
          <w:szCs w:val="32"/>
          <w:highlight w:val="none"/>
        </w:rPr>
        <w:t>国家工商行政管理总局</w:t>
      </w:r>
      <w:r>
        <w:rPr>
          <w:b/>
          <w:bCs/>
          <w:color w:val="auto"/>
          <w:sz w:val="32"/>
          <w:szCs w:val="32"/>
          <w:highlight w:val="none"/>
          <w:u w:val="single"/>
        </w:rPr>
        <w:br w:type="page"/>
      </w:r>
    </w:p>
    <w:p w14:paraId="15459E1C">
      <w:pPr>
        <w:spacing w:line="288" w:lineRule="auto"/>
        <w:ind w:firstLine="281"/>
        <w:jc w:val="center"/>
        <w:rPr>
          <w:color w:val="auto"/>
          <w:sz w:val="28"/>
          <w:szCs w:val="28"/>
          <w:highlight w:val="none"/>
        </w:rPr>
      </w:pPr>
      <w:r>
        <w:rPr>
          <w:rFonts w:hint="eastAsia"/>
          <w:b/>
          <w:bCs/>
          <w:color w:val="auto"/>
          <w:sz w:val="28"/>
          <w:szCs w:val="28"/>
          <w:highlight w:val="none"/>
        </w:rPr>
        <w:t>第一部分  合同协议书</w:t>
      </w:r>
    </w:p>
    <w:p w14:paraId="7A890110">
      <w:pPr>
        <w:spacing w:line="288" w:lineRule="auto"/>
        <w:ind w:firstLine="211"/>
        <w:rPr>
          <w:color w:val="auto"/>
          <w:sz w:val="21"/>
          <w:szCs w:val="21"/>
          <w:highlight w:val="none"/>
        </w:rPr>
      </w:pPr>
    </w:p>
    <w:p w14:paraId="76E3E045">
      <w:pPr>
        <w:spacing w:line="288" w:lineRule="auto"/>
        <w:ind w:firstLine="211"/>
        <w:rPr>
          <w:color w:val="auto"/>
          <w:sz w:val="21"/>
          <w:szCs w:val="21"/>
          <w:highlight w:val="none"/>
        </w:rPr>
      </w:pPr>
      <w:r>
        <w:rPr>
          <w:rFonts w:hint="eastAsia"/>
          <w:color w:val="auto"/>
          <w:sz w:val="21"/>
          <w:szCs w:val="21"/>
          <w:highlight w:val="none"/>
        </w:rPr>
        <w:t>发包人（全称）：浙江交通职业技术学院</w:t>
      </w:r>
    </w:p>
    <w:p w14:paraId="75557B5D">
      <w:pPr>
        <w:spacing w:line="288" w:lineRule="auto"/>
        <w:ind w:firstLine="211"/>
        <w:rPr>
          <w:color w:val="auto"/>
          <w:sz w:val="21"/>
          <w:szCs w:val="21"/>
          <w:highlight w:val="none"/>
        </w:rPr>
      </w:pPr>
      <w:r>
        <w:rPr>
          <w:rFonts w:hint="eastAsia"/>
          <w:color w:val="auto"/>
          <w:sz w:val="21"/>
          <w:szCs w:val="21"/>
          <w:highlight w:val="none"/>
        </w:rPr>
        <w:t>承包人（全称）：</w:t>
      </w:r>
      <w:r>
        <w:rPr>
          <w:rFonts w:hint="eastAsia"/>
          <w:bCs/>
          <w:color w:val="auto"/>
          <w:sz w:val="21"/>
          <w:szCs w:val="21"/>
          <w:highlight w:val="none"/>
          <w:u w:val="single"/>
        </w:rPr>
        <w:t xml:space="preserve">                    </w:t>
      </w:r>
    </w:p>
    <w:p w14:paraId="1D522699">
      <w:pPr>
        <w:spacing w:line="288" w:lineRule="auto"/>
        <w:ind w:firstLine="420" w:firstLineChars="200"/>
        <w:rPr>
          <w:color w:val="auto"/>
          <w:sz w:val="21"/>
          <w:szCs w:val="21"/>
          <w:highlight w:val="none"/>
        </w:rPr>
      </w:pPr>
      <w:r>
        <w:rPr>
          <w:rFonts w:hint="eastAsia"/>
          <w:color w:val="auto"/>
          <w:sz w:val="21"/>
          <w:szCs w:val="21"/>
          <w:highlight w:val="none"/>
        </w:rPr>
        <w:t>根据《中华人民共和国民法典》《中华人民共和国建筑法》及有关法律规定，遵循平等、自愿、公平和诚实信用的原则，双方就浙江交通职业技术学院</w:t>
      </w:r>
      <w:r>
        <w:rPr>
          <w:rFonts w:hint="eastAsia"/>
          <w:color w:val="auto"/>
          <w:sz w:val="21"/>
          <w:szCs w:val="21"/>
          <w:highlight w:val="none"/>
          <w:u w:val="single"/>
        </w:rPr>
        <w:t xml:space="preserve">长兴校区道路装饰工程 </w:t>
      </w:r>
      <w:r>
        <w:rPr>
          <w:rFonts w:hint="eastAsia"/>
          <w:color w:val="auto"/>
          <w:sz w:val="21"/>
          <w:szCs w:val="21"/>
          <w:highlight w:val="none"/>
        </w:rPr>
        <w:t>施工及有关事项协商一致，共同达成如下协议：</w:t>
      </w:r>
    </w:p>
    <w:p w14:paraId="1079785B">
      <w:pPr>
        <w:spacing w:line="288" w:lineRule="auto"/>
        <w:ind w:firstLine="420" w:firstLineChars="200"/>
        <w:rPr>
          <w:color w:val="auto"/>
          <w:sz w:val="21"/>
          <w:szCs w:val="21"/>
          <w:highlight w:val="none"/>
        </w:rPr>
      </w:pPr>
      <w:r>
        <w:rPr>
          <w:rFonts w:hint="eastAsia"/>
          <w:color w:val="auto"/>
          <w:sz w:val="21"/>
          <w:szCs w:val="21"/>
          <w:highlight w:val="none"/>
        </w:rPr>
        <w:t>一、工程概况</w:t>
      </w:r>
    </w:p>
    <w:p w14:paraId="2565CFBC">
      <w:pPr>
        <w:spacing w:line="288" w:lineRule="auto"/>
        <w:ind w:firstLine="420" w:firstLineChars="200"/>
        <w:rPr>
          <w:color w:val="auto"/>
          <w:sz w:val="21"/>
          <w:szCs w:val="21"/>
          <w:highlight w:val="none"/>
        </w:rPr>
      </w:pPr>
      <w:r>
        <w:rPr>
          <w:rFonts w:hint="eastAsia"/>
          <w:color w:val="auto"/>
          <w:sz w:val="21"/>
          <w:szCs w:val="21"/>
          <w:highlight w:val="none"/>
        </w:rPr>
        <w:t>1.工程名称：长兴校区道路装饰工程</w:t>
      </w:r>
    </w:p>
    <w:p w14:paraId="62C4308F">
      <w:pPr>
        <w:spacing w:line="288" w:lineRule="auto"/>
        <w:ind w:firstLine="420" w:firstLineChars="200"/>
        <w:rPr>
          <w:color w:val="auto"/>
          <w:sz w:val="21"/>
          <w:szCs w:val="21"/>
          <w:highlight w:val="none"/>
        </w:rPr>
      </w:pPr>
      <w:r>
        <w:rPr>
          <w:rFonts w:hint="eastAsia"/>
          <w:color w:val="auto"/>
          <w:sz w:val="21"/>
          <w:szCs w:val="21"/>
          <w:highlight w:val="none"/>
        </w:rPr>
        <w:t>2.工程地点：浙江交通职业技术学院长兴校区</w:t>
      </w:r>
    </w:p>
    <w:p w14:paraId="433E5B01">
      <w:pPr>
        <w:spacing w:line="288" w:lineRule="auto"/>
        <w:ind w:firstLine="420" w:firstLineChars="200"/>
        <w:rPr>
          <w:color w:val="auto"/>
          <w:sz w:val="21"/>
          <w:szCs w:val="21"/>
          <w:highlight w:val="none"/>
        </w:rPr>
      </w:pPr>
      <w:r>
        <w:rPr>
          <w:rFonts w:hint="eastAsia"/>
          <w:color w:val="auto"/>
          <w:sz w:val="21"/>
          <w:szCs w:val="21"/>
          <w:highlight w:val="none"/>
        </w:rPr>
        <w:t>3.工程立项批准文号：/</w:t>
      </w:r>
    </w:p>
    <w:p w14:paraId="1831F0AF">
      <w:pPr>
        <w:spacing w:line="288" w:lineRule="auto"/>
        <w:ind w:firstLine="420" w:firstLineChars="200"/>
        <w:rPr>
          <w:color w:val="auto"/>
          <w:sz w:val="21"/>
          <w:szCs w:val="21"/>
          <w:highlight w:val="none"/>
        </w:rPr>
      </w:pPr>
      <w:r>
        <w:rPr>
          <w:rFonts w:hint="eastAsia"/>
          <w:color w:val="auto"/>
          <w:sz w:val="21"/>
          <w:szCs w:val="21"/>
          <w:highlight w:val="none"/>
        </w:rPr>
        <w:t>4.资金来源：财政性资金</w:t>
      </w:r>
    </w:p>
    <w:p w14:paraId="6123926E">
      <w:pPr>
        <w:spacing w:line="288" w:lineRule="auto"/>
        <w:ind w:firstLine="420" w:firstLineChars="200"/>
        <w:rPr>
          <w:color w:val="auto"/>
          <w:sz w:val="21"/>
          <w:szCs w:val="21"/>
          <w:highlight w:val="none"/>
        </w:rPr>
      </w:pPr>
      <w:r>
        <w:rPr>
          <w:rFonts w:hint="eastAsia"/>
          <w:color w:val="auto"/>
          <w:sz w:val="21"/>
          <w:szCs w:val="21"/>
          <w:highlight w:val="none"/>
        </w:rPr>
        <w:t>5.工程内容：</w:t>
      </w:r>
      <w:r>
        <w:rPr>
          <w:rFonts w:hint="eastAsia"/>
          <w:color w:val="auto"/>
          <w:sz w:val="21"/>
          <w:szCs w:val="21"/>
          <w:highlight w:val="none"/>
          <w:u w:val="single"/>
        </w:rPr>
        <w:t xml:space="preserve">                      </w:t>
      </w:r>
    </w:p>
    <w:p w14:paraId="2C42166F">
      <w:pPr>
        <w:spacing w:line="288" w:lineRule="auto"/>
        <w:ind w:firstLine="420" w:firstLineChars="200"/>
        <w:rPr>
          <w:color w:val="auto"/>
          <w:sz w:val="21"/>
          <w:szCs w:val="21"/>
          <w:highlight w:val="none"/>
        </w:rPr>
      </w:pPr>
      <w:r>
        <w:rPr>
          <w:rFonts w:hint="eastAsia"/>
          <w:color w:val="auto"/>
          <w:sz w:val="21"/>
          <w:szCs w:val="21"/>
          <w:highlight w:val="none"/>
        </w:rPr>
        <w:t>6.工程承包范围：工程量清单、图纸范围内的全部工程内容</w:t>
      </w:r>
    </w:p>
    <w:p w14:paraId="032C648B">
      <w:pPr>
        <w:spacing w:line="288" w:lineRule="auto"/>
        <w:ind w:firstLine="420" w:firstLineChars="200"/>
        <w:rPr>
          <w:color w:val="auto"/>
          <w:sz w:val="21"/>
          <w:szCs w:val="21"/>
          <w:highlight w:val="none"/>
        </w:rPr>
      </w:pPr>
      <w:r>
        <w:rPr>
          <w:rFonts w:hint="eastAsia"/>
          <w:color w:val="auto"/>
          <w:sz w:val="21"/>
          <w:szCs w:val="21"/>
          <w:highlight w:val="none"/>
        </w:rPr>
        <w:t>二、合同工期</w:t>
      </w:r>
    </w:p>
    <w:p w14:paraId="3EB4B21F">
      <w:pPr>
        <w:spacing w:line="288" w:lineRule="auto"/>
        <w:ind w:firstLine="420" w:firstLineChars="200"/>
        <w:rPr>
          <w:color w:val="auto"/>
          <w:sz w:val="21"/>
          <w:szCs w:val="21"/>
          <w:highlight w:val="none"/>
        </w:rPr>
      </w:pPr>
      <w:r>
        <w:rPr>
          <w:rFonts w:hint="eastAsia"/>
          <w:color w:val="auto"/>
          <w:sz w:val="21"/>
          <w:szCs w:val="21"/>
          <w:highlight w:val="none"/>
        </w:rPr>
        <w:t>计划开工日期：</w:t>
      </w:r>
      <w:r>
        <w:rPr>
          <w:rFonts w:hint="eastAsia"/>
          <w:color w:val="auto"/>
          <w:sz w:val="21"/>
          <w:szCs w:val="21"/>
          <w:highlight w:val="none"/>
          <w:u w:val="single"/>
        </w:rPr>
        <w:t xml:space="preserve">     </w:t>
      </w:r>
      <w:r>
        <w:rPr>
          <w:rFonts w:hint="eastAsia"/>
          <w:color w:val="auto"/>
          <w:sz w:val="21"/>
          <w:szCs w:val="21"/>
          <w:highlight w:val="none"/>
        </w:rPr>
        <w:t>年</w:t>
      </w:r>
      <w:r>
        <w:rPr>
          <w:rFonts w:hint="eastAsia"/>
          <w:color w:val="auto"/>
          <w:sz w:val="21"/>
          <w:szCs w:val="21"/>
          <w:highlight w:val="none"/>
          <w:u w:val="single"/>
        </w:rPr>
        <w:t xml:space="preserve">   </w:t>
      </w:r>
      <w:r>
        <w:rPr>
          <w:rFonts w:hint="eastAsia"/>
          <w:color w:val="auto"/>
          <w:sz w:val="21"/>
          <w:szCs w:val="21"/>
          <w:highlight w:val="none"/>
        </w:rPr>
        <w:t>月</w:t>
      </w:r>
      <w:r>
        <w:rPr>
          <w:rFonts w:hint="eastAsia"/>
          <w:color w:val="auto"/>
          <w:sz w:val="21"/>
          <w:szCs w:val="21"/>
          <w:highlight w:val="none"/>
          <w:u w:val="single"/>
        </w:rPr>
        <w:t xml:space="preserve">   </w:t>
      </w:r>
      <w:r>
        <w:rPr>
          <w:rFonts w:hint="eastAsia"/>
          <w:color w:val="auto"/>
          <w:sz w:val="21"/>
          <w:szCs w:val="21"/>
          <w:highlight w:val="none"/>
        </w:rPr>
        <w:t>日。</w:t>
      </w:r>
    </w:p>
    <w:p w14:paraId="10310AA2">
      <w:pPr>
        <w:spacing w:line="288" w:lineRule="auto"/>
        <w:ind w:firstLine="420" w:firstLineChars="200"/>
        <w:rPr>
          <w:color w:val="auto"/>
          <w:sz w:val="21"/>
          <w:szCs w:val="21"/>
          <w:highlight w:val="none"/>
        </w:rPr>
      </w:pPr>
      <w:r>
        <w:rPr>
          <w:rFonts w:hint="eastAsia"/>
          <w:color w:val="auto"/>
          <w:sz w:val="21"/>
          <w:szCs w:val="21"/>
          <w:highlight w:val="none"/>
        </w:rPr>
        <w:t>计划竣工日期：</w:t>
      </w:r>
      <w:r>
        <w:rPr>
          <w:rFonts w:hint="eastAsia"/>
          <w:color w:val="auto"/>
          <w:sz w:val="21"/>
          <w:szCs w:val="21"/>
          <w:highlight w:val="none"/>
          <w:u w:val="single"/>
        </w:rPr>
        <w:t xml:space="preserve">     </w:t>
      </w:r>
      <w:r>
        <w:rPr>
          <w:rFonts w:hint="eastAsia"/>
          <w:color w:val="auto"/>
          <w:sz w:val="21"/>
          <w:szCs w:val="21"/>
          <w:highlight w:val="none"/>
        </w:rPr>
        <w:t>年</w:t>
      </w:r>
      <w:r>
        <w:rPr>
          <w:rFonts w:hint="eastAsia"/>
          <w:color w:val="auto"/>
          <w:sz w:val="21"/>
          <w:szCs w:val="21"/>
          <w:highlight w:val="none"/>
          <w:u w:val="single"/>
        </w:rPr>
        <w:t xml:space="preserve">   </w:t>
      </w:r>
      <w:r>
        <w:rPr>
          <w:rFonts w:hint="eastAsia"/>
          <w:color w:val="auto"/>
          <w:sz w:val="21"/>
          <w:szCs w:val="21"/>
          <w:highlight w:val="none"/>
        </w:rPr>
        <w:t>月</w:t>
      </w:r>
      <w:r>
        <w:rPr>
          <w:rFonts w:hint="eastAsia"/>
          <w:color w:val="auto"/>
          <w:sz w:val="21"/>
          <w:szCs w:val="21"/>
          <w:highlight w:val="none"/>
          <w:u w:val="single"/>
        </w:rPr>
        <w:t xml:space="preserve">   </w:t>
      </w:r>
      <w:r>
        <w:rPr>
          <w:rFonts w:hint="eastAsia"/>
          <w:color w:val="auto"/>
          <w:sz w:val="21"/>
          <w:szCs w:val="21"/>
          <w:highlight w:val="none"/>
        </w:rPr>
        <w:t>日。</w:t>
      </w:r>
    </w:p>
    <w:p w14:paraId="63A8A9E2">
      <w:pPr>
        <w:spacing w:line="288" w:lineRule="auto"/>
        <w:ind w:firstLine="420" w:firstLineChars="200"/>
        <w:rPr>
          <w:color w:val="auto"/>
          <w:sz w:val="21"/>
          <w:szCs w:val="21"/>
          <w:highlight w:val="none"/>
        </w:rPr>
      </w:pPr>
      <w:r>
        <w:rPr>
          <w:rFonts w:hint="eastAsia"/>
          <w:color w:val="auto"/>
          <w:sz w:val="21"/>
          <w:szCs w:val="21"/>
          <w:highlight w:val="none"/>
        </w:rPr>
        <w:t>工期总日历天数：35日历天。</w:t>
      </w:r>
    </w:p>
    <w:p w14:paraId="2951B709">
      <w:pPr>
        <w:spacing w:line="288" w:lineRule="auto"/>
        <w:ind w:firstLine="420" w:firstLineChars="200"/>
        <w:rPr>
          <w:color w:val="auto"/>
          <w:sz w:val="21"/>
          <w:szCs w:val="21"/>
          <w:highlight w:val="none"/>
        </w:rPr>
      </w:pPr>
      <w:r>
        <w:rPr>
          <w:rFonts w:hint="eastAsia"/>
          <w:color w:val="auto"/>
          <w:sz w:val="21"/>
          <w:szCs w:val="21"/>
          <w:highlight w:val="none"/>
        </w:rPr>
        <w:t>上述计划开工和竣工日期为暂定日期，具体开工日期以开竣工报告为准。</w:t>
      </w:r>
    </w:p>
    <w:p w14:paraId="1DA71CA8">
      <w:pPr>
        <w:spacing w:line="288" w:lineRule="auto"/>
        <w:ind w:firstLine="420" w:firstLineChars="200"/>
        <w:rPr>
          <w:color w:val="auto"/>
          <w:sz w:val="21"/>
          <w:szCs w:val="21"/>
          <w:highlight w:val="none"/>
        </w:rPr>
      </w:pPr>
      <w:r>
        <w:rPr>
          <w:rFonts w:hint="eastAsia"/>
          <w:color w:val="auto"/>
          <w:sz w:val="21"/>
          <w:szCs w:val="21"/>
          <w:highlight w:val="none"/>
        </w:rPr>
        <w:t>三、质量标准</w:t>
      </w:r>
    </w:p>
    <w:p w14:paraId="3618EA38">
      <w:pPr>
        <w:spacing w:line="288" w:lineRule="auto"/>
        <w:ind w:firstLine="420" w:firstLineChars="200"/>
        <w:rPr>
          <w:color w:val="auto"/>
          <w:sz w:val="21"/>
          <w:szCs w:val="21"/>
          <w:highlight w:val="none"/>
        </w:rPr>
      </w:pPr>
      <w:r>
        <w:rPr>
          <w:rFonts w:hint="eastAsia"/>
          <w:color w:val="auto"/>
          <w:sz w:val="21"/>
          <w:szCs w:val="21"/>
          <w:highlight w:val="none"/>
        </w:rPr>
        <w:t>工程质量符合国家施工验收规范合格标准。</w:t>
      </w:r>
    </w:p>
    <w:p w14:paraId="30CFE193">
      <w:pPr>
        <w:spacing w:line="288" w:lineRule="auto"/>
        <w:ind w:firstLine="420" w:firstLineChars="200"/>
        <w:rPr>
          <w:color w:val="auto"/>
          <w:sz w:val="21"/>
          <w:szCs w:val="21"/>
          <w:highlight w:val="none"/>
        </w:rPr>
      </w:pPr>
      <w:r>
        <w:rPr>
          <w:rFonts w:hint="eastAsia"/>
          <w:color w:val="auto"/>
          <w:sz w:val="21"/>
          <w:szCs w:val="21"/>
          <w:highlight w:val="none"/>
        </w:rPr>
        <w:t>四、签约合同价与合同价格形式</w:t>
      </w:r>
    </w:p>
    <w:p w14:paraId="008FB347">
      <w:pPr>
        <w:spacing w:line="288" w:lineRule="auto"/>
        <w:ind w:firstLine="420" w:firstLineChars="200"/>
        <w:rPr>
          <w:color w:val="auto"/>
          <w:sz w:val="21"/>
          <w:szCs w:val="21"/>
          <w:highlight w:val="none"/>
        </w:rPr>
      </w:pPr>
      <w:r>
        <w:rPr>
          <w:rFonts w:hint="eastAsia"/>
          <w:color w:val="auto"/>
          <w:sz w:val="21"/>
          <w:szCs w:val="21"/>
          <w:highlight w:val="none"/>
        </w:rPr>
        <w:t>1.签约合同价为：</w:t>
      </w:r>
    </w:p>
    <w:p w14:paraId="4F1DAEB0">
      <w:pPr>
        <w:spacing w:line="288" w:lineRule="auto"/>
        <w:ind w:firstLine="420" w:firstLineChars="200"/>
        <w:rPr>
          <w:color w:val="auto"/>
          <w:sz w:val="21"/>
          <w:szCs w:val="21"/>
          <w:highlight w:val="none"/>
        </w:rPr>
      </w:pPr>
      <w:r>
        <w:rPr>
          <w:rFonts w:hint="eastAsia"/>
          <w:color w:val="auto"/>
          <w:sz w:val="21"/>
          <w:szCs w:val="21"/>
          <w:highlight w:val="none"/>
        </w:rPr>
        <w:t>人民币（大写）</w:t>
      </w:r>
      <w:r>
        <w:rPr>
          <w:rFonts w:hint="eastAsia"/>
          <w:color w:val="auto"/>
          <w:sz w:val="21"/>
          <w:szCs w:val="21"/>
          <w:highlight w:val="none"/>
          <w:u w:val="single"/>
        </w:rPr>
        <w:t xml:space="preserve">               </w:t>
      </w:r>
      <w:r>
        <w:rPr>
          <w:rFonts w:hint="eastAsia"/>
          <w:color w:val="auto"/>
          <w:sz w:val="21"/>
          <w:szCs w:val="21"/>
          <w:highlight w:val="none"/>
        </w:rPr>
        <w:t>(¥</w:t>
      </w:r>
      <w:r>
        <w:rPr>
          <w:rFonts w:hint="eastAsia"/>
          <w:color w:val="auto"/>
          <w:sz w:val="21"/>
          <w:szCs w:val="21"/>
          <w:highlight w:val="none"/>
          <w:u w:val="single"/>
        </w:rPr>
        <w:t xml:space="preserve">               </w:t>
      </w:r>
      <w:r>
        <w:rPr>
          <w:rFonts w:hint="eastAsia"/>
          <w:color w:val="auto"/>
          <w:sz w:val="21"/>
          <w:szCs w:val="21"/>
          <w:highlight w:val="none"/>
        </w:rPr>
        <w:t>元)；</w:t>
      </w:r>
    </w:p>
    <w:p w14:paraId="7BD8F558">
      <w:pPr>
        <w:spacing w:line="288" w:lineRule="auto"/>
        <w:ind w:firstLine="420" w:firstLineChars="200"/>
        <w:rPr>
          <w:color w:val="auto"/>
          <w:sz w:val="21"/>
          <w:szCs w:val="21"/>
          <w:highlight w:val="none"/>
        </w:rPr>
      </w:pPr>
      <w:r>
        <w:rPr>
          <w:rFonts w:hint="eastAsia"/>
          <w:color w:val="auto"/>
          <w:sz w:val="21"/>
          <w:szCs w:val="21"/>
          <w:highlight w:val="none"/>
        </w:rPr>
        <w:t>其中：</w:t>
      </w:r>
    </w:p>
    <w:p w14:paraId="73669B7B">
      <w:pPr>
        <w:spacing w:line="288" w:lineRule="auto"/>
        <w:ind w:firstLine="420" w:firstLineChars="200"/>
        <w:rPr>
          <w:color w:val="auto"/>
          <w:sz w:val="21"/>
          <w:szCs w:val="21"/>
          <w:highlight w:val="none"/>
        </w:rPr>
      </w:pPr>
      <w:r>
        <w:rPr>
          <w:rFonts w:hint="eastAsia"/>
          <w:color w:val="auto"/>
          <w:sz w:val="21"/>
          <w:szCs w:val="21"/>
          <w:highlight w:val="none"/>
        </w:rPr>
        <w:t>（1）安全文明施工费：</w:t>
      </w:r>
    </w:p>
    <w:p w14:paraId="09AF9A34">
      <w:pPr>
        <w:spacing w:line="288" w:lineRule="auto"/>
        <w:ind w:firstLine="420" w:firstLineChars="200"/>
        <w:rPr>
          <w:color w:val="auto"/>
          <w:sz w:val="21"/>
          <w:szCs w:val="21"/>
          <w:highlight w:val="none"/>
        </w:rPr>
      </w:pPr>
      <w:r>
        <w:rPr>
          <w:rFonts w:hint="eastAsia"/>
          <w:color w:val="auto"/>
          <w:sz w:val="21"/>
          <w:szCs w:val="21"/>
          <w:highlight w:val="none"/>
        </w:rPr>
        <w:t>人民币（大写）</w:t>
      </w:r>
      <w:r>
        <w:rPr>
          <w:rFonts w:hint="eastAsia"/>
          <w:color w:val="auto"/>
          <w:sz w:val="21"/>
          <w:szCs w:val="21"/>
          <w:highlight w:val="none"/>
          <w:u w:val="single"/>
        </w:rPr>
        <w:t xml:space="preserve">      /      (¥      /     元)</w:t>
      </w:r>
    </w:p>
    <w:p w14:paraId="0A41B375">
      <w:pPr>
        <w:spacing w:line="288" w:lineRule="auto"/>
        <w:ind w:firstLine="420" w:firstLineChars="200"/>
        <w:rPr>
          <w:color w:val="auto"/>
          <w:sz w:val="21"/>
          <w:szCs w:val="21"/>
          <w:highlight w:val="none"/>
        </w:rPr>
      </w:pPr>
      <w:r>
        <w:rPr>
          <w:rFonts w:hint="eastAsia"/>
          <w:color w:val="auto"/>
          <w:sz w:val="21"/>
          <w:szCs w:val="21"/>
          <w:highlight w:val="none"/>
        </w:rPr>
        <w:t>（2）材料和工程设备暂估价金额：</w:t>
      </w:r>
    </w:p>
    <w:p w14:paraId="03024C58">
      <w:pPr>
        <w:spacing w:line="288" w:lineRule="auto"/>
        <w:ind w:firstLine="420" w:firstLineChars="200"/>
        <w:rPr>
          <w:color w:val="auto"/>
          <w:sz w:val="21"/>
          <w:szCs w:val="21"/>
          <w:highlight w:val="none"/>
        </w:rPr>
      </w:pPr>
      <w:r>
        <w:rPr>
          <w:rFonts w:hint="eastAsia"/>
          <w:color w:val="auto"/>
          <w:sz w:val="21"/>
          <w:szCs w:val="21"/>
          <w:highlight w:val="none"/>
        </w:rPr>
        <w:t>人民币（大写）</w:t>
      </w:r>
      <w:r>
        <w:rPr>
          <w:rFonts w:hint="eastAsia"/>
          <w:color w:val="auto"/>
          <w:sz w:val="21"/>
          <w:szCs w:val="21"/>
          <w:highlight w:val="none"/>
          <w:u w:val="single"/>
        </w:rPr>
        <w:t xml:space="preserve">      /      (¥      /     元)</w:t>
      </w:r>
    </w:p>
    <w:p w14:paraId="1077B00B">
      <w:pPr>
        <w:spacing w:line="288" w:lineRule="auto"/>
        <w:ind w:firstLine="420" w:firstLineChars="200"/>
        <w:rPr>
          <w:color w:val="auto"/>
          <w:sz w:val="21"/>
          <w:szCs w:val="21"/>
          <w:highlight w:val="none"/>
        </w:rPr>
      </w:pPr>
      <w:r>
        <w:rPr>
          <w:rFonts w:hint="eastAsia"/>
          <w:color w:val="auto"/>
          <w:sz w:val="21"/>
          <w:szCs w:val="21"/>
          <w:highlight w:val="none"/>
        </w:rPr>
        <w:t>（3）专业工程暂估价金额：</w:t>
      </w:r>
    </w:p>
    <w:p w14:paraId="192B64EF">
      <w:pPr>
        <w:spacing w:line="288" w:lineRule="auto"/>
        <w:ind w:firstLine="420" w:firstLineChars="200"/>
        <w:rPr>
          <w:color w:val="auto"/>
          <w:sz w:val="21"/>
          <w:szCs w:val="21"/>
          <w:highlight w:val="none"/>
        </w:rPr>
      </w:pPr>
      <w:r>
        <w:rPr>
          <w:rFonts w:hint="eastAsia"/>
          <w:color w:val="auto"/>
          <w:sz w:val="21"/>
          <w:szCs w:val="21"/>
          <w:highlight w:val="none"/>
        </w:rPr>
        <w:t>人民币（大写）</w:t>
      </w:r>
      <w:r>
        <w:rPr>
          <w:rFonts w:hint="eastAsia"/>
          <w:color w:val="auto"/>
          <w:sz w:val="21"/>
          <w:szCs w:val="21"/>
          <w:highlight w:val="none"/>
          <w:u w:val="single"/>
        </w:rPr>
        <w:t xml:space="preserve">      /      (¥      /     元)</w:t>
      </w:r>
    </w:p>
    <w:p w14:paraId="6677935B">
      <w:pPr>
        <w:spacing w:line="288" w:lineRule="auto"/>
        <w:ind w:firstLine="420" w:firstLineChars="200"/>
        <w:rPr>
          <w:color w:val="auto"/>
          <w:sz w:val="21"/>
          <w:szCs w:val="21"/>
          <w:highlight w:val="none"/>
        </w:rPr>
      </w:pPr>
      <w:r>
        <w:rPr>
          <w:rFonts w:hint="eastAsia"/>
          <w:color w:val="auto"/>
          <w:sz w:val="21"/>
          <w:szCs w:val="21"/>
          <w:highlight w:val="none"/>
        </w:rPr>
        <w:t>（4）暂列金额：</w:t>
      </w:r>
    </w:p>
    <w:p w14:paraId="3A3893AF">
      <w:pPr>
        <w:spacing w:line="288" w:lineRule="auto"/>
        <w:ind w:firstLine="420" w:firstLineChars="200"/>
        <w:rPr>
          <w:color w:val="auto"/>
          <w:sz w:val="21"/>
          <w:szCs w:val="21"/>
          <w:highlight w:val="none"/>
        </w:rPr>
      </w:pPr>
      <w:r>
        <w:rPr>
          <w:rFonts w:hint="eastAsia"/>
          <w:color w:val="auto"/>
          <w:sz w:val="21"/>
          <w:szCs w:val="21"/>
          <w:highlight w:val="none"/>
        </w:rPr>
        <w:t>人民币（大写）</w:t>
      </w:r>
      <w:r>
        <w:rPr>
          <w:rFonts w:hint="eastAsia"/>
          <w:color w:val="auto"/>
          <w:sz w:val="21"/>
          <w:szCs w:val="21"/>
          <w:highlight w:val="none"/>
          <w:u w:val="single"/>
        </w:rPr>
        <w:t xml:space="preserve">      /      (¥      /     元)</w:t>
      </w:r>
    </w:p>
    <w:p w14:paraId="05A75ED9">
      <w:pPr>
        <w:spacing w:line="288" w:lineRule="auto"/>
        <w:ind w:firstLine="420" w:firstLineChars="200"/>
        <w:rPr>
          <w:color w:val="auto"/>
          <w:sz w:val="21"/>
          <w:szCs w:val="21"/>
          <w:highlight w:val="none"/>
        </w:rPr>
      </w:pPr>
      <w:r>
        <w:rPr>
          <w:rFonts w:hint="eastAsia"/>
          <w:color w:val="auto"/>
          <w:sz w:val="21"/>
          <w:szCs w:val="21"/>
          <w:highlight w:val="none"/>
        </w:rPr>
        <w:t>2.合同价格形式：</w:t>
      </w:r>
      <w:r>
        <w:rPr>
          <w:rFonts w:hint="eastAsia"/>
          <w:color w:val="auto"/>
          <w:sz w:val="21"/>
          <w:szCs w:val="21"/>
          <w:highlight w:val="none"/>
          <w:u w:val="single"/>
        </w:rPr>
        <w:t>固定单价合同</w:t>
      </w:r>
    </w:p>
    <w:p w14:paraId="39E676E0">
      <w:pPr>
        <w:spacing w:line="288" w:lineRule="auto"/>
        <w:ind w:firstLine="420" w:firstLineChars="200"/>
        <w:rPr>
          <w:color w:val="auto"/>
          <w:sz w:val="21"/>
          <w:szCs w:val="21"/>
          <w:highlight w:val="none"/>
        </w:rPr>
      </w:pPr>
      <w:r>
        <w:rPr>
          <w:rFonts w:hint="eastAsia"/>
          <w:color w:val="auto"/>
          <w:sz w:val="21"/>
          <w:szCs w:val="21"/>
          <w:highlight w:val="none"/>
        </w:rPr>
        <w:t>3.本次竞争性磋商包含两次报价，承包人在仔细研究了本项目施工磋商文件的全部内容，最后报价愿意在初始报价</w:t>
      </w:r>
      <w:r>
        <w:rPr>
          <w:rFonts w:hint="eastAsia"/>
          <w:color w:val="auto"/>
          <w:sz w:val="21"/>
          <w:szCs w:val="21"/>
          <w:highlight w:val="none"/>
          <w:u w:val="single"/>
        </w:rPr>
        <w:t xml:space="preserve">          </w:t>
      </w:r>
      <w:r>
        <w:rPr>
          <w:rFonts w:hint="eastAsia"/>
          <w:color w:val="auto"/>
          <w:sz w:val="21"/>
          <w:szCs w:val="21"/>
          <w:highlight w:val="none"/>
        </w:rPr>
        <w:t>万元基础上优惠至</w:t>
      </w:r>
      <w:r>
        <w:rPr>
          <w:rFonts w:hint="eastAsia"/>
          <w:color w:val="auto"/>
          <w:sz w:val="21"/>
          <w:szCs w:val="21"/>
          <w:highlight w:val="none"/>
          <w:u w:val="single"/>
        </w:rPr>
        <w:t xml:space="preserve">          </w:t>
      </w:r>
      <w:r>
        <w:rPr>
          <w:rFonts w:hint="eastAsia"/>
          <w:color w:val="auto"/>
          <w:sz w:val="21"/>
          <w:szCs w:val="21"/>
          <w:highlight w:val="none"/>
        </w:rPr>
        <w:t>万元，并完全响应磋商文件内容。</w:t>
      </w:r>
    </w:p>
    <w:p w14:paraId="0EA47A3D">
      <w:pPr>
        <w:spacing w:line="288" w:lineRule="auto"/>
        <w:ind w:firstLine="420" w:firstLineChars="200"/>
        <w:rPr>
          <w:color w:val="auto"/>
          <w:sz w:val="21"/>
          <w:szCs w:val="21"/>
          <w:highlight w:val="none"/>
        </w:rPr>
      </w:pPr>
      <w:r>
        <w:rPr>
          <w:rFonts w:hint="eastAsia"/>
          <w:color w:val="auto"/>
          <w:sz w:val="21"/>
          <w:szCs w:val="21"/>
          <w:highlight w:val="none"/>
        </w:rPr>
        <w:t>项目竣工结算时，最终结算价根据承诺优惠率同比例调整，调整范围包括合同部分及新增联系单部分。</w:t>
      </w:r>
    </w:p>
    <w:p w14:paraId="4A0EFE73">
      <w:pPr>
        <w:spacing w:line="288" w:lineRule="auto"/>
        <w:ind w:firstLine="420" w:firstLineChars="200"/>
        <w:rPr>
          <w:color w:val="auto"/>
          <w:sz w:val="21"/>
          <w:szCs w:val="21"/>
          <w:highlight w:val="none"/>
        </w:rPr>
      </w:pPr>
      <w:r>
        <w:rPr>
          <w:rFonts w:hint="eastAsia"/>
          <w:color w:val="auto"/>
          <w:sz w:val="21"/>
          <w:szCs w:val="21"/>
          <w:highlight w:val="none"/>
        </w:rPr>
        <w:t>五、项目经理</w:t>
      </w:r>
    </w:p>
    <w:p w14:paraId="752C85EC">
      <w:pPr>
        <w:spacing w:line="288" w:lineRule="auto"/>
        <w:ind w:firstLine="420" w:firstLineChars="200"/>
        <w:rPr>
          <w:color w:val="auto"/>
          <w:sz w:val="21"/>
          <w:szCs w:val="21"/>
          <w:highlight w:val="none"/>
        </w:rPr>
      </w:pPr>
      <w:r>
        <w:rPr>
          <w:rFonts w:hint="eastAsia"/>
          <w:color w:val="auto"/>
          <w:sz w:val="21"/>
          <w:szCs w:val="21"/>
          <w:highlight w:val="none"/>
        </w:rPr>
        <w:t>承包人项目经理：</w:t>
      </w:r>
      <w:r>
        <w:rPr>
          <w:rFonts w:hint="eastAsia"/>
          <w:color w:val="auto"/>
          <w:sz w:val="21"/>
          <w:szCs w:val="21"/>
          <w:highlight w:val="none"/>
          <w:u w:val="single"/>
        </w:rPr>
        <w:t xml:space="preserve">          </w:t>
      </w:r>
      <w:r>
        <w:rPr>
          <w:rFonts w:hint="eastAsia"/>
          <w:color w:val="auto"/>
          <w:sz w:val="21"/>
          <w:szCs w:val="21"/>
          <w:highlight w:val="none"/>
        </w:rPr>
        <w:t>（身份证号码：</w:t>
      </w:r>
      <w:r>
        <w:rPr>
          <w:rFonts w:hint="eastAsia"/>
          <w:color w:val="auto"/>
          <w:sz w:val="21"/>
          <w:szCs w:val="21"/>
          <w:highlight w:val="none"/>
          <w:u w:val="single"/>
        </w:rPr>
        <w:t xml:space="preserve">          </w:t>
      </w:r>
      <w:r>
        <w:rPr>
          <w:rFonts w:hint="eastAsia"/>
          <w:color w:val="auto"/>
          <w:sz w:val="21"/>
          <w:szCs w:val="21"/>
          <w:highlight w:val="none"/>
        </w:rPr>
        <w:t>）</w:t>
      </w:r>
    </w:p>
    <w:p w14:paraId="2497634F">
      <w:pPr>
        <w:spacing w:line="288" w:lineRule="auto"/>
        <w:ind w:firstLine="420" w:firstLineChars="200"/>
        <w:rPr>
          <w:color w:val="auto"/>
          <w:sz w:val="21"/>
          <w:szCs w:val="21"/>
          <w:highlight w:val="none"/>
        </w:rPr>
      </w:pPr>
      <w:r>
        <w:rPr>
          <w:rFonts w:hint="eastAsia"/>
          <w:color w:val="auto"/>
          <w:sz w:val="21"/>
          <w:szCs w:val="21"/>
          <w:highlight w:val="none"/>
        </w:rPr>
        <w:t>六、合同文件构成</w:t>
      </w:r>
    </w:p>
    <w:p w14:paraId="4CE943DE">
      <w:pPr>
        <w:spacing w:line="288" w:lineRule="auto"/>
        <w:ind w:firstLine="420" w:firstLineChars="200"/>
        <w:rPr>
          <w:color w:val="auto"/>
          <w:sz w:val="21"/>
          <w:szCs w:val="21"/>
          <w:highlight w:val="none"/>
        </w:rPr>
      </w:pPr>
      <w:r>
        <w:rPr>
          <w:rFonts w:hint="eastAsia"/>
          <w:color w:val="auto"/>
          <w:sz w:val="21"/>
          <w:szCs w:val="21"/>
          <w:highlight w:val="none"/>
        </w:rPr>
        <w:t>本协议书与下列文件一起构成合同文件：</w:t>
      </w:r>
    </w:p>
    <w:p w14:paraId="118754B4">
      <w:pPr>
        <w:spacing w:line="288" w:lineRule="auto"/>
        <w:ind w:firstLine="420" w:firstLineChars="200"/>
        <w:rPr>
          <w:color w:val="auto"/>
          <w:sz w:val="21"/>
          <w:szCs w:val="21"/>
          <w:highlight w:val="none"/>
        </w:rPr>
      </w:pPr>
      <w:r>
        <w:rPr>
          <w:rFonts w:hint="eastAsia"/>
          <w:color w:val="auto"/>
          <w:sz w:val="21"/>
          <w:szCs w:val="21"/>
          <w:highlight w:val="none"/>
        </w:rPr>
        <w:t>（1）成交通知书</w:t>
      </w:r>
    </w:p>
    <w:p w14:paraId="3CE1F2D5">
      <w:pPr>
        <w:spacing w:line="288" w:lineRule="auto"/>
        <w:ind w:firstLine="420" w:firstLineChars="200"/>
        <w:rPr>
          <w:color w:val="auto"/>
          <w:sz w:val="21"/>
          <w:szCs w:val="21"/>
          <w:highlight w:val="none"/>
        </w:rPr>
      </w:pPr>
      <w:r>
        <w:rPr>
          <w:rFonts w:hint="eastAsia"/>
          <w:color w:val="auto"/>
          <w:sz w:val="21"/>
          <w:szCs w:val="21"/>
          <w:highlight w:val="none"/>
        </w:rPr>
        <w:t>（2）磋商文件、答疑、磋商记录及补充文件</w:t>
      </w:r>
    </w:p>
    <w:p w14:paraId="1803824C">
      <w:pPr>
        <w:spacing w:line="288" w:lineRule="auto"/>
        <w:ind w:firstLine="420" w:firstLineChars="200"/>
        <w:rPr>
          <w:color w:val="auto"/>
          <w:sz w:val="21"/>
          <w:szCs w:val="21"/>
          <w:highlight w:val="none"/>
        </w:rPr>
      </w:pPr>
      <w:r>
        <w:rPr>
          <w:rFonts w:hint="eastAsia"/>
          <w:color w:val="auto"/>
          <w:sz w:val="21"/>
          <w:szCs w:val="21"/>
          <w:highlight w:val="none"/>
        </w:rPr>
        <w:t>（3）响应文件及其附件</w:t>
      </w:r>
    </w:p>
    <w:p w14:paraId="579D4396">
      <w:pPr>
        <w:spacing w:line="288" w:lineRule="auto"/>
        <w:ind w:firstLine="420" w:firstLineChars="200"/>
        <w:rPr>
          <w:color w:val="auto"/>
          <w:sz w:val="21"/>
          <w:szCs w:val="21"/>
          <w:highlight w:val="none"/>
        </w:rPr>
      </w:pPr>
      <w:r>
        <w:rPr>
          <w:rFonts w:hint="eastAsia"/>
          <w:color w:val="auto"/>
          <w:sz w:val="21"/>
          <w:szCs w:val="21"/>
          <w:highlight w:val="none"/>
        </w:rPr>
        <w:t>（4）专用合同条款及其附件</w:t>
      </w:r>
    </w:p>
    <w:p w14:paraId="36A9837F">
      <w:pPr>
        <w:spacing w:line="288" w:lineRule="auto"/>
        <w:ind w:firstLine="420" w:firstLineChars="200"/>
        <w:rPr>
          <w:color w:val="auto"/>
          <w:sz w:val="21"/>
          <w:szCs w:val="21"/>
          <w:highlight w:val="none"/>
        </w:rPr>
      </w:pPr>
      <w:r>
        <w:rPr>
          <w:rFonts w:hint="eastAsia"/>
          <w:color w:val="auto"/>
          <w:sz w:val="21"/>
          <w:szCs w:val="21"/>
          <w:highlight w:val="none"/>
        </w:rPr>
        <w:t>（5）通用合同条款</w:t>
      </w:r>
    </w:p>
    <w:p w14:paraId="579F6563">
      <w:pPr>
        <w:spacing w:line="288" w:lineRule="auto"/>
        <w:ind w:firstLine="420" w:firstLineChars="200"/>
        <w:rPr>
          <w:color w:val="auto"/>
          <w:sz w:val="21"/>
          <w:szCs w:val="21"/>
          <w:highlight w:val="none"/>
        </w:rPr>
      </w:pPr>
      <w:r>
        <w:rPr>
          <w:rFonts w:hint="eastAsia"/>
          <w:color w:val="auto"/>
          <w:sz w:val="21"/>
          <w:szCs w:val="21"/>
          <w:highlight w:val="none"/>
        </w:rPr>
        <w:t>（6）技术标准和要求</w:t>
      </w:r>
    </w:p>
    <w:p w14:paraId="6B092B6E">
      <w:pPr>
        <w:spacing w:line="288" w:lineRule="auto"/>
        <w:ind w:firstLine="420" w:firstLineChars="200"/>
        <w:rPr>
          <w:color w:val="auto"/>
          <w:sz w:val="21"/>
          <w:szCs w:val="21"/>
          <w:highlight w:val="none"/>
        </w:rPr>
      </w:pPr>
      <w:r>
        <w:rPr>
          <w:rFonts w:hint="eastAsia"/>
          <w:color w:val="auto"/>
          <w:sz w:val="21"/>
          <w:szCs w:val="21"/>
          <w:highlight w:val="none"/>
        </w:rPr>
        <w:t>（7）图纸（如有）</w:t>
      </w:r>
    </w:p>
    <w:p w14:paraId="1762F512">
      <w:pPr>
        <w:spacing w:line="288" w:lineRule="auto"/>
        <w:ind w:firstLine="420" w:firstLineChars="200"/>
        <w:rPr>
          <w:color w:val="auto"/>
          <w:sz w:val="21"/>
          <w:szCs w:val="21"/>
          <w:highlight w:val="none"/>
        </w:rPr>
      </w:pPr>
      <w:r>
        <w:rPr>
          <w:rFonts w:hint="eastAsia"/>
          <w:color w:val="auto"/>
          <w:sz w:val="21"/>
          <w:szCs w:val="21"/>
          <w:highlight w:val="none"/>
        </w:rPr>
        <w:t>（8）已标价工程量清单或预算书</w:t>
      </w:r>
    </w:p>
    <w:p w14:paraId="5EA415FE">
      <w:pPr>
        <w:spacing w:line="288" w:lineRule="auto"/>
        <w:ind w:firstLine="420" w:firstLineChars="200"/>
        <w:rPr>
          <w:color w:val="auto"/>
          <w:sz w:val="21"/>
          <w:szCs w:val="21"/>
          <w:highlight w:val="none"/>
        </w:rPr>
      </w:pPr>
      <w:r>
        <w:rPr>
          <w:rFonts w:hint="eastAsia"/>
          <w:color w:val="auto"/>
          <w:sz w:val="21"/>
          <w:szCs w:val="21"/>
          <w:highlight w:val="none"/>
        </w:rPr>
        <w:t>（9）其他合同文件</w:t>
      </w:r>
    </w:p>
    <w:p w14:paraId="61A57E67">
      <w:pPr>
        <w:spacing w:line="288" w:lineRule="auto"/>
        <w:ind w:firstLine="420" w:firstLineChars="200"/>
        <w:rPr>
          <w:color w:val="auto"/>
          <w:sz w:val="21"/>
          <w:szCs w:val="21"/>
          <w:highlight w:val="none"/>
        </w:rPr>
      </w:pPr>
      <w:r>
        <w:rPr>
          <w:rFonts w:hint="eastAsia"/>
          <w:color w:val="auto"/>
          <w:sz w:val="21"/>
          <w:szCs w:val="21"/>
          <w:highlight w:val="none"/>
        </w:rPr>
        <w:t>在合同订立及履行过程中形成的与合同有关的文件均构成合同文件组成部分。</w:t>
      </w:r>
    </w:p>
    <w:p w14:paraId="5ADED359">
      <w:pPr>
        <w:spacing w:line="288" w:lineRule="auto"/>
        <w:ind w:firstLine="420" w:firstLineChars="200"/>
        <w:rPr>
          <w:color w:val="auto"/>
          <w:sz w:val="21"/>
          <w:szCs w:val="21"/>
          <w:highlight w:val="none"/>
        </w:rPr>
      </w:pPr>
      <w:r>
        <w:rPr>
          <w:rFonts w:hint="eastAsia"/>
          <w:color w:val="auto"/>
          <w:sz w:val="21"/>
          <w:szCs w:val="21"/>
          <w:highlight w:val="none"/>
        </w:rPr>
        <w:t>上述各项合同文件包括合同当事人就该项合同文件所作出的补充和修改，属于同一类内容的文件，应以最新签署的为准。专用合同条款及其附件须经合同当事人签字或盖章。</w:t>
      </w:r>
    </w:p>
    <w:p w14:paraId="2494D5F0">
      <w:pPr>
        <w:spacing w:line="288" w:lineRule="auto"/>
        <w:ind w:firstLine="420" w:firstLineChars="200"/>
        <w:rPr>
          <w:color w:val="auto"/>
          <w:sz w:val="21"/>
          <w:szCs w:val="21"/>
          <w:highlight w:val="none"/>
        </w:rPr>
      </w:pPr>
      <w:r>
        <w:rPr>
          <w:rFonts w:hint="eastAsia"/>
          <w:color w:val="auto"/>
          <w:sz w:val="21"/>
          <w:szCs w:val="21"/>
          <w:highlight w:val="none"/>
        </w:rPr>
        <w:t>七、承诺</w:t>
      </w:r>
    </w:p>
    <w:p w14:paraId="122399AE">
      <w:pPr>
        <w:spacing w:line="288" w:lineRule="auto"/>
        <w:ind w:firstLine="420" w:firstLineChars="200"/>
        <w:rPr>
          <w:color w:val="auto"/>
          <w:sz w:val="21"/>
          <w:szCs w:val="21"/>
          <w:highlight w:val="none"/>
        </w:rPr>
      </w:pPr>
      <w:r>
        <w:rPr>
          <w:rFonts w:hint="eastAsia"/>
          <w:color w:val="auto"/>
          <w:sz w:val="21"/>
          <w:szCs w:val="21"/>
          <w:highlight w:val="none"/>
        </w:rPr>
        <w:t>1.发包人承诺按照法律规定履行项目审批手续、筹集工程建设资金并按照合同约定的期限和方式支付合同价款。</w:t>
      </w:r>
    </w:p>
    <w:p w14:paraId="6D01DC6F">
      <w:pPr>
        <w:spacing w:line="288" w:lineRule="auto"/>
        <w:ind w:firstLine="420" w:firstLineChars="200"/>
        <w:rPr>
          <w:color w:val="auto"/>
          <w:sz w:val="21"/>
          <w:szCs w:val="21"/>
          <w:highlight w:val="none"/>
        </w:rPr>
      </w:pPr>
      <w:r>
        <w:rPr>
          <w:rFonts w:hint="eastAsia"/>
          <w:color w:val="auto"/>
          <w:sz w:val="21"/>
          <w:szCs w:val="21"/>
          <w:highlight w:val="none"/>
        </w:rPr>
        <w:t>2.承包人承诺按照法律规定及合同约定组织完成工程施工，确保工程质量和安全，不进行转包及违法分包，并在缺陷责任期及保修期内承担相应的工程维修责任。</w:t>
      </w:r>
    </w:p>
    <w:p w14:paraId="597825A9">
      <w:pPr>
        <w:spacing w:line="288" w:lineRule="auto"/>
        <w:ind w:firstLine="420" w:firstLineChars="200"/>
        <w:rPr>
          <w:color w:val="auto"/>
          <w:sz w:val="21"/>
          <w:szCs w:val="21"/>
          <w:highlight w:val="none"/>
        </w:rPr>
      </w:pPr>
      <w:r>
        <w:rPr>
          <w:rFonts w:hint="eastAsia"/>
          <w:color w:val="auto"/>
          <w:sz w:val="21"/>
          <w:szCs w:val="21"/>
          <w:highlight w:val="none"/>
        </w:rPr>
        <w:t>3.发包人和承包人通过招投标形式签订合同的，双方理解并承诺不再就同一工程另行签订与合同实质性内容相背离的协议。</w:t>
      </w:r>
    </w:p>
    <w:p w14:paraId="605A0DD8">
      <w:pPr>
        <w:spacing w:line="288" w:lineRule="auto"/>
        <w:ind w:firstLine="420" w:firstLineChars="200"/>
        <w:rPr>
          <w:color w:val="auto"/>
          <w:sz w:val="21"/>
          <w:szCs w:val="21"/>
          <w:highlight w:val="none"/>
        </w:rPr>
      </w:pPr>
      <w:r>
        <w:rPr>
          <w:rFonts w:hint="eastAsia"/>
          <w:color w:val="auto"/>
          <w:sz w:val="21"/>
          <w:szCs w:val="21"/>
          <w:highlight w:val="none"/>
        </w:rPr>
        <w:t>八、词语含义</w:t>
      </w:r>
    </w:p>
    <w:p w14:paraId="6EEF803D">
      <w:pPr>
        <w:spacing w:line="288" w:lineRule="auto"/>
        <w:ind w:firstLine="420" w:firstLineChars="200"/>
        <w:rPr>
          <w:color w:val="auto"/>
          <w:sz w:val="21"/>
          <w:szCs w:val="21"/>
          <w:highlight w:val="none"/>
        </w:rPr>
      </w:pPr>
      <w:r>
        <w:rPr>
          <w:rFonts w:hint="eastAsia"/>
          <w:color w:val="auto"/>
          <w:sz w:val="21"/>
          <w:szCs w:val="21"/>
          <w:highlight w:val="none"/>
        </w:rPr>
        <w:t>本协议书中词语含义与第二部分通用合同条款中赋予的含义相同。</w:t>
      </w:r>
    </w:p>
    <w:p w14:paraId="7BE400B7">
      <w:pPr>
        <w:spacing w:line="288" w:lineRule="auto"/>
        <w:ind w:firstLine="420" w:firstLineChars="200"/>
        <w:rPr>
          <w:color w:val="auto"/>
          <w:sz w:val="21"/>
          <w:szCs w:val="21"/>
          <w:highlight w:val="none"/>
        </w:rPr>
      </w:pPr>
      <w:r>
        <w:rPr>
          <w:rFonts w:hint="eastAsia"/>
          <w:color w:val="auto"/>
          <w:sz w:val="21"/>
          <w:szCs w:val="21"/>
          <w:highlight w:val="none"/>
        </w:rPr>
        <w:t>九、签订时间</w:t>
      </w:r>
    </w:p>
    <w:p w14:paraId="0D01A75C">
      <w:pPr>
        <w:spacing w:line="288" w:lineRule="auto"/>
        <w:ind w:firstLine="420" w:firstLineChars="200"/>
        <w:rPr>
          <w:color w:val="auto"/>
          <w:sz w:val="21"/>
          <w:szCs w:val="21"/>
          <w:highlight w:val="none"/>
        </w:rPr>
      </w:pPr>
      <w:r>
        <w:rPr>
          <w:rFonts w:hint="eastAsia"/>
          <w:color w:val="auto"/>
          <w:sz w:val="21"/>
          <w:szCs w:val="21"/>
          <w:highlight w:val="none"/>
        </w:rPr>
        <w:t>见签章页。</w:t>
      </w:r>
    </w:p>
    <w:p w14:paraId="202E4D6D">
      <w:pPr>
        <w:spacing w:line="288" w:lineRule="auto"/>
        <w:ind w:firstLine="420" w:firstLineChars="200"/>
        <w:rPr>
          <w:color w:val="auto"/>
          <w:sz w:val="21"/>
          <w:szCs w:val="21"/>
          <w:highlight w:val="none"/>
        </w:rPr>
      </w:pPr>
      <w:r>
        <w:rPr>
          <w:rFonts w:hint="eastAsia"/>
          <w:color w:val="auto"/>
          <w:sz w:val="21"/>
          <w:szCs w:val="21"/>
          <w:highlight w:val="none"/>
        </w:rPr>
        <w:t>十、签订地点</w:t>
      </w:r>
    </w:p>
    <w:p w14:paraId="60291465">
      <w:pPr>
        <w:spacing w:line="288" w:lineRule="auto"/>
        <w:ind w:firstLine="420" w:firstLineChars="200"/>
        <w:rPr>
          <w:color w:val="auto"/>
          <w:sz w:val="21"/>
          <w:szCs w:val="21"/>
          <w:highlight w:val="none"/>
        </w:rPr>
      </w:pPr>
      <w:r>
        <w:rPr>
          <w:rFonts w:hint="eastAsia"/>
          <w:color w:val="auto"/>
          <w:sz w:val="21"/>
          <w:szCs w:val="21"/>
          <w:highlight w:val="none"/>
        </w:rPr>
        <w:t>本合同在浙江杭州签订。</w:t>
      </w:r>
    </w:p>
    <w:p w14:paraId="6B489CD0">
      <w:pPr>
        <w:spacing w:line="288" w:lineRule="auto"/>
        <w:ind w:firstLine="420" w:firstLineChars="200"/>
        <w:rPr>
          <w:color w:val="auto"/>
          <w:sz w:val="21"/>
          <w:szCs w:val="21"/>
          <w:highlight w:val="none"/>
        </w:rPr>
      </w:pPr>
      <w:r>
        <w:rPr>
          <w:rFonts w:hint="eastAsia"/>
          <w:color w:val="auto"/>
          <w:sz w:val="21"/>
          <w:szCs w:val="21"/>
          <w:highlight w:val="none"/>
        </w:rPr>
        <w:t>十一、补充协议</w:t>
      </w:r>
    </w:p>
    <w:p w14:paraId="3052FD31">
      <w:pPr>
        <w:spacing w:line="288" w:lineRule="auto"/>
        <w:ind w:firstLine="420" w:firstLineChars="200"/>
        <w:rPr>
          <w:color w:val="auto"/>
          <w:sz w:val="21"/>
          <w:szCs w:val="21"/>
          <w:highlight w:val="none"/>
        </w:rPr>
      </w:pPr>
      <w:r>
        <w:rPr>
          <w:rFonts w:hint="eastAsia"/>
          <w:color w:val="auto"/>
          <w:sz w:val="21"/>
          <w:szCs w:val="21"/>
          <w:highlight w:val="none"/>
        </w:rPr>
        <w:t>合同未尽事宜，合同当事人另行签订补充协议，补充协议是合同的组成部分。</w:t>
      </w:r>
    </w:p>
    <w:p w14:paraId="0EE47923">
      <w:pPr>
        <w:spacing w:line="288" w:lineRule="auto"/>
        <w:ind w:firstLine="420" w:firstLineChars="200"/>
        <w:rPr>
          <w:color w:val="auto"/>
          <w:sz w:val="21"/>
          <w:szCs w:val="21"/>
          <w:highlight w:val="none"/>
        </w:rPr>
      </w:pPr>
      <w:r>
        <w:rPr>
          <w:rFonts w:hint="eastAsia"/>
          <w:color w:val="auto"/>
          <w:sz w:val="21"/>
          <w:szCs w:val="21"/>
          <w:highlight w:val="none"/>
        </w:rPr>
        <w:t>十二、合同生效</w:t>
      </w:r>
    </w:p>
    <w:p w14:paraId="1A434721">
      <w:pPr>
        <w:spacing w:line="288" w:lineRule="auto"/>
        <w:ind w:firstLine="420" w:firstLineChars="200"/>
        <w:rPr>
          <w:color w:val="auto"/>
          <w:sz w:val="21"/>
          <w:szCs w:val="21"/>
          <w:highlight w:val="none"/>
        </w:rPr>
      </w:pPr>
      <w:r>
        <w:rPr>
          <w:rFonts w:hint="eastAsia"/>
          <w:color w:val="auto"/>
          <w:sz w:val="21"/>
          <w:szCs w:val="21"/>
          <w:highlight w:val="none"/>
        </w:rPr>
        <w:t>本合同自发包人、承包人、鉴证方签字盖章之日起生效。</w:t>
      </w:r>
    </w:p>
    <w:p w14:paraId="4EAD2FA8">
      <w:pPr>
        <w:spacing w:line="288" w:lineRule="auto"/>
        <w:ind w:firstLine="420" w:firstLineChars="200"/>
        <w:rPr>
          <w:color w:val="auto"/>
          <w:sz w:val="21"/>
          <w:szCs w:val="21"/>
          <w:highlight w:val="none"/>
        </w:rPr>
      </w:pPr>
      <w:r>
        <w:rPr>
          <w:rFonts w:hint="eastAsia"/>
          <w:color w:val="auto"/>
          <w:sz w:val="21"/>
          <w:szCs w:val="21"/>
          <w:highlight w:val="none"/>
        </w:rPr>
        <w:t>十三、合同份数</w:t>
      </w:r>
    </w:p>
    <w:p w14:paraId="29E275A9">
      <w:pPr>
        <w:spacing w:line="288" w:lineRule="auto"/>
        <w:ind w:firstLine="420" w:firstLineChars="200"/>
        <w:rPr>
          <w:color w:val="auto"/>
          <w:sz w:val="21"/>
          <w:szCs w:val="21"/>
          <w:highlight w:val="none"/>
        </w:rPr>
      </w:pPr>
      <w:r>
        <w:rPr>
          <w:rFonts w:hint="eastAsia"/>
          <w:color w:val="auto"/>
          <w:sz w:val="21"/>
          <w:szCs w:val="21"/>
          <w:highlight w:val="none"/>
        </w:rPr>
        <w:t>本合同壹式柒份，发包人执肆份，承包人执贰份，鉴证方执壹份。</w:t>
      </w:r>
    </w:p>
    <w:p w14:paraId="2012DF28">
      <w:pPr>
        <w:spacing w:line="288" w:lineRule="auto"/>
        <w:ind w:firstLine="211"/>
        <w:rPr>
          <w:color w:val="auto"/>
          <w:sz w:val="21"/>
          <w:szCs w:val="21"/>
          <w:highlight w:val="none"/>
        </w:rPr>
      </w:pPr>
    </w:p>
    <w:p w14:paraId="6702CE5F">
      <w:pPr>
        <w:spacing w:line="288" w:lineRule="auto"/>
        <w:ind w:firstLine="420" w:firstLineChars="200"/>
        <w:rPr>
          <w:color w:val="auto"/>
          <w:sz w:val="21"/>
          <w:szCs w:val="21"/>
          <w:highlight w:val="none"/>
        </w:rPr>
      </w:pPr>
      <w:r>
        <w:rPr>
          <w:rFonts w:hint="eastAsia"/>
          <w:color w:val="auto"/>
          <w:sz w:val="21"/>
          <w:szCs w:val="21"/>
          <w:highlight w:val="none"/>
        </w:rPr>
        <w:t>发包人：(公章)                        承包人：(公章)</w:t>
      </w:r>
    </w:p>
    <w:p w14:paraId="77C148C5">
      <w:pPr>
        <w:spacing w:line="288" w:lineRule="auto"/>
        <w:ind w:firstLine="420" w:firstLineChars="200"/>
        <w:rPr>
          <w:color w:val="auto"/>
          <w:sz w:val="21"/>
          <w:szCs w:val="21"/>
          <w:highlight w:val="none"/>
        </w:rPr>
      </w:pPr>
    </w:p>
    <w:p w14:paraId="487FF6EB">
      <w:pPr>
        <w:spacing w:line="288" w:lineRule="auto"/>
        <w:ind w:firstLine="420" w:firstLineChars="200"/>
        <w:rPr>
          <w:color w:val="auto"/>
          <w:sz w:val="21"/>
          <w:szCs w:val="21"/>
          <w:highlight w:val="none"/>
        </w:rPr>
      </w:pPr>
      <w:r>
        <w:rPr>
          <w:rFonts w:hint="eastAsia"/>
          <w:color w:val="auto"/>
          <w:sz w:val="21"/>
          <w:szCs w:val="21"/>
          <w:highlight w:val="none"/>
        </w:rPr>
        <w:t>法定代表人或其委托代理人：            法定代表人或其委托代理人：</w:t>
      </w:r>
    </w:p>
    <w:p w14:paraId="276FAF3C">
      <w:pPr>
        <w:spacing w:line="288" w:lineRule="auto"/>
        <w:ind w:firstLine="420" w:firstLineChars="200"/>
        <w:rPr>
          <w:color w:val="auto"/>
          <w:sz w:val="21"/>
          <w:szCs w:val="21"/>
          <w:highlight w:val="none"/>
        </w:rPr>
      </w:pPr>
      <w:r>
        <w:rPr>
          <w:rFonts w:hint="eastAsia"/>
          <w:color w:val="auto"/>
          <w:sz w:val="21"/>
          <w:szCs w:val="21"/>
          <w:highlight w:val="none"/>
        </w:rPr>
        <w:t>（</w:t>
      </w:r>
      <w:r>
        <w:rPr>
          <w:color w:val="auto"/>
          <w:kern w:val="0"/>
          <w:sz w:val="21"/>
          <w:szCs w:val="21"/>
          <w:highlight w:val="none"/>
        </w:rPr>
        <w:t>签字或盖章</w:t>
      </w:r>
      <w:r>
        <w:rPr>
          <w:rFonts w:hint="eastAsia"/>
          <w:color w:val="auto"/>
          <w:sz w:val="21"/>
          <w:szCs w:val="21"/>
          <w:highlight w:val="none"/>
        </w:rPr>
        <w:t>）                       （</w:t>
      </w:r>
      <w:r>
        <w:rPr>
          <w:color w:val="auto"/>
          <w:kern w:val="0"/>
          <w:sz w:val="21"/>
          <w:szCs w:val="21"/>
          <w:highlight w:val="none"/>
        </w:rPr>
        <w:t>签字或盖章</w:t>
      </w:r>
      <w:r>
        <w:rPr>
          <w:rFonts w:hint="eastAsia"/>
          <w:color w:val="auto"/>
          <w:sz w:val="21"/>
          <w:szCs w:val="21"/>
          <w:highlight w:val="none"/>
        </w:rPr>
        <w:t>）</w:t>
      </w:r>
    </w:p>
    <w:p w14:paraId="4D0F8E48">
      <w:pPr>
        <w:spacing w:line="288" w:lineRule="auto"/>
        <w:ind w:firstLine="420" w:firstLineChars="200"/>
        <w:rPr>
          <w:color w:val="auto"/>
          <w:sz w:val="21"/>
          <w:szCs w:val="21"/>
          <w:highlight w:val="none"/>
        </w:rPr>
      </w:pPr>
      <w:r>
        <w:rPr>
          <w:rFonts w:hint="eastAsia"/>
          <w:color w:val="auto"/>
          <w:sz w:val="21"/>
          <w:szCs w:val="21"/>
          <w:highlight w:val="none"/>
        </w:rPr>
        <w:t>地址：                                地址：</w:t>
      </w:r>
    </w:p>
    <w:p w14:paraId="638F37B8">
      <w:pPr>
        <w:spacing w:line="288" w:lineRule="auto"/>
        <w:ind w:firstLine="420" w:firstLineChars="200"/>
        <w:rPr>
          <w:color w:val="auto"/>
          <w:sz w:val="21"/>
          <w:szCs w:val="21"/>
          <w:highlight w:val="none"/>
        </w:rPr>
      </w:pPr>
      <w:r>
        <w:rPr>
          <w:rFonts w:hint="eastAsia"/>
          <w:color w:val="auto"/>
          <w:sz w:val="21"/>
          <w:szCs w:val="21"/>
          <w:highlight w:val="none"/>
        </w:rPr>
        <w:t>邮政编码：                            邮政编码：</w:t>
      </w:r>
    </w:p>
    <w:p w14:paraId="105D1FB3">
      <w:pPr>
        <w:spacing w:line="288" w:lineRule="auto"/>
        <w:ind w:firstLine="420" w:firstLineChars="200"/>
        <w:rPr>
          <w:color w:val="auto"/>
          <w:sz w:val="21"/>
          <w:szCs w:val="21"/>
          <w:highlight w:val="none"/>
        </w:rPr>
      </w:pPr>
      <w:r>
        <w:rPr>
          <w:rFonts w:hint="eastAsia"/>
          <w:color w:val="auto"/>
          <w:sz w:val="21"/>
          <w:szCs w:val="21"/>
          <w:highlight w:val="none"/>
        </w:rPr>
        <w:t>法定代表人：                          法定代表人：</w:t>
      </w:r>
    </w:p>
    <w:p w14:paraId="0A562267">
      <w:pPr>
        <w:spacing w:line="288" w:lineRule="auto"/>
        <w:ind w:firstLine="420" w:firstLineChars="200"/>
        <w:rPr>
          <w:color w:val="auto"/>
          <w:sz w:val="21"/>
          <w:szCs w:val="21"/>
          <w:highlight w:val="none"/>
        </w:rPr>
      </w:pPr>
      <w:r>
        <w:rPr>
          <w:rFonts w:hint="eastAsia"/>
          <w:color w:val="auto"/>
          <w:sz w:val="21"/>
          <w:szCs w:val="21"/>
          <w:highlight w:val="none"/>
        </w:rPr>
        <w:t>委托代理人：                          委托代理人：</w:t>
      </w:r>
    </w:p>
    <w:p w14:paraId="474B3BD5">
      <w:pPr>
        <w:spacing w:line="288" w:lineRule="auto"/>
        <w:ind w:firstLine="420" w:firstLineChars="200"/>
        <w:rPr>
          <w:color w:val="auto"/>
          <w:sz w:val="21"/>
          <w:szCs w:val="21"/>
          <w:highlight w:val="none"/>
        </w:rPr>
      </w:pPr>
      <w:r>
        <w:rPr>
          <w:rFonts w:hint="eastAsia"/>
          <w:color w:val="auto"/>
          <w:sz w:val="21"/>
          <w:szCs w:val="21"/>
          <w:highlight w:val="none"/>
        </w:rPr>
        <w:t>开户银行：                            开户银行：</w:t>
      </w:r>
    </w:p>
    <w:p w14:paraId="4320C5EC">
      <w:pPr>
        <w:spacing w:line="288" w:lineRule="auto"/>
        <w:ind w:firstLine="420" w:firstLineChars="200"/>
        <w:rPr>
          <w:color w:val="auto"/>
          <w:sz w:val="21"/>
          <w:szCs w:val="21"/>
          <w:highlight w:val="none"/>
        </w:rPr>
      </w:pPr>
      <w:r>
        <w:rPr>
          <w:rFonts w:hint="eastAsia"/>
          <w:color w:val="auto"/>
          <w:sz w:val="21"/>
          <w:szCs w:val="21"/>
          <w:highlight w:val="none"/>
        </w:rPr>
        <w:t>账号：                                账号：</w:t>
      </w:r>
    </w:p>
    <w:p w14:paraId="096AD598">
      <w:pPr>
        <w:spacing w:line="440" w:lineRule="exact"/>
        <w:rPr>
          <w:color w:val="auto"/>
          <w:szCs w:val="21"/>
          <w:highlight w:val="none"/>
        </w:rPr>
      </w:pPr>
    </w:p>
    <w:p w14:paraId="42ADEFDA">
      <w:pPr>
        <w:widowControl/>
        <w:spacing w:line="288" w:lineRule="auto"/>
        <w:ind w:left="480" w:leftChars="200" w:firstLine="211"/>
        <w:rPr>
          <w:color w:val="auto"/>
          <w:kern w:val="0"/>
          <w:sz w:val="21"/>
          <w:szCs w:val="21"/>
          <w:highlight w:val="none"/>
        </w:rPr>
      </w:pPr>
      <w:r>
        <w:rPr>
          <w:color w:val="auto"/>
          <w:kern w:val="0"/>
          <w:sz w:val="21"/>
          <w:szCs w:val="21"/>
          <w:highlight w:val="none"/>
        </w:rPr>
        <w:t xml:space="preserve">鉴证方： </w:t>
      </w:r>
    </w:p>
    <w:p w14:paraId="1007CB57">
      <w:pPr>
        <w:widowControl/>
        <w:spacing w:line="288" w:lineRule="auto"/>
        <w:ind w:left="480" w:leftChars="200" w:firstLine="211"/>
        <w:rPr>
          <w:color w:val="auto"/>
          <w:kern w:val="0"/>
          <w:sz w:val="21"/>
          <w:szCs w:val="21"/>
          <w:highlight w:val="none"/>
        </w:rPr>
      </w:pPr>
      <w:r>
        <w:rPr>
          <w:color w:val="auto"/>
          <w:kern w:val="0"/>
          <w:sz w:val="21"/>
          <w:szCs w:val="21"/>
          <w:highlight w:val="none"/>
        </w:rPr>
        <w:t>法定代表人或授权委托人（签字或盖章）</w:t>
      </w:r>
    </w:p>
    <w:p w14:paraId="102F7C3F">
      <w:pPr>
        <w:widowControl/>
        <w:spacing w:line="288" w:lineRule="auto"/>
        <w:ind w:left="480" w:leftChars="200" w:firstLine="211"/>
        <w:rPr>
          <w:color w:val="auto"/>
          <w:kern w:val="0"/>
          <w:sz w:val="21"/>
          <w:szCs w:val="21"/>
          <w:highlight w:val="none"/>
        </w:rPr>
      </w:pPr>
      <w:r>
        <w:rPr>
          <w:color w:val="auto"/>
          <w:kern w:val="0"/>
          <w:sz w:val="21"/>
          <w:szCs w:val="21"/>
          <w:highlight w:val="none"/>
        </w:rPr>
        <w:t xml:space="preserve">开户银行： </w:t>
      </w:r>
    </w:p>
    <w:p w14:paraId="7DCB75E3">
      <w:pPr>
        <w:widowControl/>
        <w:spacing w:line="288" w:lineRule="auto"/>
        <w:ind w:left="480" w:leftChars="200" w:firstLine="211"/>
        <w:rPr>
          <w:color w:val="auto"/>
          <w:kern w:val="0"/>
          <w:sz w:val="21"/>
          <w:szCs w:val="21"/>
          <w:highlight w:val="none"/>
        </w:rPr>
      </w:pPr>
      <w:r>
        <w:rPr>
          <w:color w:val="auto"/>
          <w:kern w:val="0"/>
          <w:sz w:val="21"/>
          <w:szCs w:val="21"/>
          <w:highlight w:val="none"/>
        </w:rPr>
        <w:t xml:space="preserve">账号： </w:t>
      </w:r>
    </w:p>
    <w:p w14:paraId="236D2445">
      <w:pPr>
        <w:widowControl/>
        <w:spacing w:line="288" w:lineRule="auto"/>
        <w:ind w:left="480" w:leftChars="200" w:firstLine="211"/>
        <w:rPr>
          <w:color w:val="auto"/>
          <w:kern w:val="0"/>
          <w:sz w:val="21"/>
          <w:szCs w:val="21"/>
          <w:highlight w:val="none"/>
        </w:rPr>
      </w:pPr>
      <w:r>
        <w:rPr>
          <w:color w:val="auto"/>
          <w:kern w:val="0"/>
          <w:sz w:val="21"/>
          <w:szCs w:val="21"/>
          <w:highlight w:val="none"/>
        </w:rPr>
        <w:t>地址：</w:t>
      </w:r>
    </w:p>
    <w:p w14:paraId="2E1F4D3A">
      <w:pPr>
        <w:pStyle w:val="103"/>
        <w:spacing w:line="360" w:lineRule="auto"/>
        <w:jc w:val="right"/>
        <w:rPr>
          <w:rFonts w:ascii="宋体" w:hAnsi="宋体" w:cs="宋体"/>
          <w:b/>
          <w:bCs/>
          <w:color w:val="auto"/>
          <w:szCs w:val="21"/>
          <w:highlight w:val="none"/>
        </w:rPr>
      </w:pPr>
      <w:r>
        <w:rPr>
          <w:b/>
          <w:bCs/>
          <w:color w:val="auto"/>
          <w:kern w:val="0"/>
          <w:szCs w:val="21"/>
          <w:highlight w:val="none"/>
        </w:rPr>
        <w:t>签订日期：      年    月    日</w:t>
      </w:r>
      <w:r>
        <w:rPr>
          <w:b/>
          <w:color w:val="auto"/>
          <w:sz w:val="30"/>
          <w:szCs w:val="30"/>
          <w:highlight w:val="none"/>
        </w:rPr>
        <w:br w:type="page"/>
      </w:r>
    </w:p>
    <w:p w14:paraId="529FCB8A">
      <w:pPr>
        <w:pStyle w:val="26"/>
        <w:spacing w:line="440" w:lineRule="exact"/>
        <w:ind w:firstLine="281"/>
        <w:jc w:val="center"/>
        <w:rPr>
          <w:b/>
          <w:bCs/>
          <w:color w:val="auto"/>
          <w:sz w:val="32"/>
          <w:szCs w:val="32"/>
          <w:highlight w:val="none"/>
        </w:rPr>
      </w:pPr>
      <w:r>
        <w:rPr>
          <w:rFonts w:hint="eastAsia"/>
          <w:b/>
          <w:snapToGrid w:val="0"/>
          <w:color w:val="auto"/>
          <w:sz w:val="28"/>
          <w:szCs w:val="28"/>
          <w:highlight w:val="none"/>
        </w:rPr>
        <w:t>第二部分  通用条款</w:t>
      </w:r>
    </w:p>
    <w:p w14:paraId="5B0F1835">
      <w:pPr>
        <w:pStyle w:val="26"/>
        <w:spacing w:line="440" w:lineRule="exact"/>
        <w:ind w:firstLine="420" w:firstLineChars="200"/>
        <w:rPr>
          <w:color w:val="auto"/>
          <w:sz w:val="21"/>
          <w:szCs w:val="21"/>
          <w:highlight w:val="none"/>
        </w:rPr>
      </w:pPr>
      <w:r>
        <w:rPr>
          <w:rFonts w:hint="eastAsia"/>
          <w:color w:val="auto"/>
          <w:sz w:val="21"/>
          <w:szCs w:val="21"/>
          <w:highlight w:val="none"/>
        </w:rPr>
        <w:t>详见《建设工程施工合同（示范文本）》（GF-2017-0201）第二部分 通用合同条款。</w:t>
      </w:r>
    </w:p>
    <w:p w14:paraId="6ABE740C">
      <w:pPr>
        <w:pStyle w:val="26"/>
        <w:spacing w:line="440" w:lineRule="exact"/>
        <w:ind w:firstLine="281"/>
        <w:jc w:val="center"/>
        <w:rPr>
          <w:b/>
          <w:snapToGrid w:val="0"/>
          <w:color w:val="auto"/>
          <w:sz w:val="28"/>
          <w:szCs w:val="28"/>
          <w:highlight w:val="none"/>
        </w:rPr>
      </w:pPr>
      <w:r>
        <w:rPr>
          <w:rFonts w:hint="eastAsia"/>
          <w:b/>
          <w:snapToGrid w:val="0"/>
          <w:color w:val="auto"/>
          <w:sz w:val="28"/>
          <w:szCs w:val="28"/>
          <w:highlight w:val="none"/>
        </w:rPr>
        <w:t>第三部分  专用条款</w:t>
      </w:r>
    </w:p>
    <w:p w14:paraId="5AD70BCF">
      <w:pPr>
        <w:pStyle w:val="126"/>
        <w:adjustRightInd w:val="0"/>
        <w:snapToGrid w:val="0"/>
        <w:spacing w:before="0" w:after="0" w:line="360" w:lineRule="exact"/>
        <w:ind w:firstLine="420"/>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1. 一般约定</w:t>
      </w:r>
    </w:p>
    <w:p w14:paraId="72CA076A">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1.1 词语定义</w:t>
      </w:r>
    </w:p>
    <w:p w14:paraId="4786EA34">
      <w:pPr>
        <w:pStyle w:val="103"/>
        <w:adjustRightInd w:val="0"/>
        <w:snapToGrid w:val="0"/>
        <w:spacing w:line="360" w:lineRule="exact"/>
        <w:ind w:firstLine="420" w:firstLineChars="200"/>
        <w:rPr>
          <w:rFonts w:ascii="宋体" w:hAnsi="宋体" w:cs="宋体"/>
          <w:color w:val="auto"/>
          <w:kern w:val="0"/>
          <w:highlight w:val="none"/>
        </w:rPr>
      </w:pPr>
      <w:r>
        <w:rPr>
          <w:rFonts w:hint="eastAsia" w:ascii="宋体" w:hAnsi="宋体" w:cs="宋体"/>
          <w:color w:val="auto"/>
          <w:kern w:val="0"/>
          <w:highlight w:val="none"/>
        </w:rPr>
        <w:t>1.1.1合同</w:t>
      </w:r>
    </w:p>
    <w:p w14:paraId="3F6B19B8">
      <w:pPr>
        <w:pStyle w:val="103"/>
        <w:adjustRightInd w:val="0"/>
        <w:snapToGrid w:val="0"/>
        <w:spacing w:line="360" w:lineRule="exact"/>
        <w:ind w:firstLine="420" w:firstLineChars="200"/>
        <w:rPr>
          <w:rFonts w:ascii="宋体" w:hAnsi="宋体" w:cs="宋体"/>
          <w:color w:val="auto"/>
          <w:kern w:val="0"/>
          <w:highlight w:val="none"/>
        </w:rPr>
      </w:pPr>
      <w:r>
        <w:rPr>
          <w:rFonts w:hint="eastAsia" w:ascii="宋体" w:hAnsi="宋体" w:cs="宋体"/>
          <w:color w:val="auto"/>
          <w:kern w:val="0"/>
          <w:highlight w:val="none"/>
        </w:rPr>
        <w:t>1.1.1.10其他合同文件包括：</w:t>
      </w:r>
      <w:r>
        <w:rPr>
          <w:rFonts w:hint="eastAsia" w:ascii="宋体" w:hAnsi="宋体" w:cs="宋体"/>
          <w:color w:val="auto"/>
          <w:highlight w:val="none"/>
          <w:u w:val="single"/>
        </w:rPr>
        <w:t xml:space="preserve">           /      </w:t>
      </w:r>
    </w:p>
    <w:p w14:paraId="40DC3567">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1.1.2 合同当事人及其他相关方</w:t>
      </w:r>
    </w:p>
    <w:p w14:paraId="71EFAFF6">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1.1.2.4监理人：</w:t>
      </w:r>
    </w:p>
    <w:p w14:paraId="5D8ECCD0">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名    称：</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0AB80D84">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资质类别和等级：</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593EAA7C">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1F46B1C5">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472438C3">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48FE1B62">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1.1.2.5 设计人：</w:t>
      </w:r>
    </w:p>
    <w:p w14:paraId="15E7B6BD">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名    称：</w:t>
      </w:r>
      <w:r>
        <w:rPr>
          <w:rFonts w:hint="eastAsia" w:ascii="宋体" w:hAnsi="宋体" w:cs="宋体"/>
          <w:b/>
          <w:bCs/>
          <w:color w:val="auto"/>
          <w:highlight w:val="none"/>
          <w:u w:val="single"/>
        </w:rPr>
        <w:t xml:space="preserve">                </w:t>
      </w:r>
      <w:r>
        <w:rPr>
          <w:rFonts w:hint="eastAsia" w:ascii="宋体" w:hAnsi="宋体" w:cs="宋体"/>
          <w:color w:val="auto"/>
          <w:highlight w:val="none"/>
          <w:u w:val="single"/>
        </w:rPr>
        <w:t>/</w:t>
      </w:r>
      <w:r>
        <w:rPr>
          <w:rFonts w:hint="eastAsia" w:ascii="宋体" w:hAnsi="宋体" w:cs="宋体"/>
          <w:b/>
          <w:bCs/>
          <w:color w:val="auto"/>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4A65174">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资质类别和等级：</w:t>
      </w:r>
      <w:r>
        <w:rPr>
          <w:rFonts w:hint="eastAsia" w:ascii="宋体" w:hAnsi="宋体" w:cs="宋体"/>
          <w:b/>
          <w:bCs/>
          <w:color w:val="auto"/>
          <w:highlight w:val="none"/>
          <w:u w:val="single"/>
        </w:rPr>
        <w:t xml:space="preserve">          </w:t>
      </w:r>
      <w:r>
        <w:rPr>
          <w:rFonts w:hint="eastAsia" w:ascii="宋体" w:hAnsi="宋体" w:cs="宋体"/>
          <w:color w:val="auto"/>
          <w:highlight w:val="none"/>
          <w:u w:val="single"/>
        </w:rPr>
        <w:t>/</w:t>
      </w:r>
      <w:r>
        <w:rPr>
          <w:rFonts w:hint="eastAsia" w:ascii="宋体" w:hAnsi="宋体" w:cs="宋体"/>
          <w:b/>
          <w:bCs/>
          <w:color w:val="auto"/>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25578D27">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1E586AA8">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68D8D3CC">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42CE6375">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1.1.3 工程和设备</w:t>
      </w:r>
    </w:p>
    <w:p w14:paraId="1C238008">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1.1.3.7 作为施工现场组成部分的其他场所包括：</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0E243917">
      <w:pPr>
        <w:pStyle w:val="103"/>
        <w:adjustRightInd w:val="0"/>
        <w:snapToGrid w:val="0"/>
        <w:spacing w:line="360" w:lineRule="exact"/>
        <w:ind w:firstLine="420" w:firstLineChars="200"/>
        <w:jc w:val="left"/>
        <w:rPr>
          <w:rFonts w:ascii="宋体" w:hAnsi="宋体" w:cs="宋体"/>
          <w:color w:val="auto"/>
          <w:kern w:val="0"/>
          <w:highlight w:val="none"/>
        </w:rPr>
      </w:pPr>
      <w:r>
        <w:rPr>
          <w:rFonts w:hint="eastAsia" w:ascii="宋体" w:hAnsi="宋体" w:cs="宋体"/>
          <w:color w:val="auto"/>
          <w:kern w:val="0"/>
          <w:highlight w:val="none"/>
        </w:rPr>
        <w:t>1.1.3.9 永久占地包括：</w:t>
      </w:r>
      <w:r>
        <w:rPr>
          <w:rFonts w:hint="eastAsia" w:ascii="宋体" w:hAnsi="宋体" w:cs="宋体"/>
          <w:color w:val="auto"/>
          <w:highlight w:val="none"/>
          <w:u w:val="single"/>
        </w:rPr>
        <w:t xml:space="preserve">                /        </w:t>
      </w:r>
      <w:r>
        <w:rPr>
          <w:rFonts w:hint="eastAsia" w:ascii="宋体" w:hAnsi="宋体" w:cs="宋体"/>
          <w:color w:val="auto"/>
          <w:kern w:val="0"/>
          <w:highlight w:val="none"/>
        </w:rPr>
        <w:t>。</w:t>
      </w:r>
    </w:p>
    <w:p w14:paraId="65C61C25">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kern w:val="0"/>
          <w:highlight w:val="none"/>
        </w:rPr>
        <w:t>1.1.3.10 临时占地包括：</w:t>
      </w:r>
      <w:r>
        <w:rPr>
          <w:rFonts w:hint="eastAsia" w:ascii="宋体" w:hAnsi="宋体" w:cs="宋体"/>
          <w:color w:val="auto"/>
          <w:highlight w:val="none"/>
          <w:u w:val="single"/>
        </w:rPr>
        <w:t xml:space="preserve">             /          </w:t>
      </w:r>
      <w:r>
        <w:rPr>
          <w:rFonts w:hint="eastAsia" w:ascii="宋体" w:hAnsi="宋体" w:cs="宋体"/>
          <w:color w:val="auto"/>
          <w:kern w:val="0"/>
          <w:highlight w:val="none"/>
        </w:rPr>
        <w:t>。</w:t>
      </w:r>
    </w:p>
    <w:p w14:paraId="3CAE644A">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 xml:space="preserve">1.3法律 </w:t>
      </w:r>
    </w:p>
    <w:p w14:paraId="0C770F32">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适用于合同的其他规范性文件：</w:t>
      </w:r>
    </w:p>
    <w:p w14:paraId="608C9147">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1.3.1《关于贯彻《省厅调整安全文明施工费的通知》的通知》(杭建市发〔2022)54号〕；</w:t>
      </w:r>
    </w:p>
    <w:p w14:paraId="0EC5E546">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1.3.2省市建设行政部门颁发的其他现行有效文件(包括但不仅限于以下文件)；</w:t>
      </w:r>
    </w:p>
    <w:p w14:paraId="7C9B0F9D">
      <w:pPr>
        <w:pStyle w:val="103"/>
        <w:adjustRightInd w:val="0"/>
        <w:snapToGrid w:val="0"/>
        <w:spacing w:line="360" w:lineRule="exact"/>
        <w:ind w:firstLine="420" w:firstLineChars="200"/>
        <w:rPr>
          <w:rFonts w:ascii="宋体" w:hAnsi="宋体" w:cs="宋体"/>
          <w:color w:val="auto"/>
          <w:highlight w:val="none"/>
          <w:u w:val="single"/>
        </w:rPr>
      </w:pPr>
      <w:r>
        <w:rPr>
          <w:rFonts w:hint="eastAsia" w:ascii="宋体" w:hAnsi="宋体" w:cs="宋体"/>
          <w:color w:val="auto"/>
          <w:highlight w:val="none"/>
        </w:rPr>
        <w:t>(1)其他：</w:t>
      </w:r>
      <w:r>
        <w:rPr>
          <w:rFonts w:hint="eastAsia" w:ascii="宋体" w:hAnsi="宋体" w:cs="宋体"/>
          <w:b/>
          <w:bCs/>
          <w:color w:val="auto"/>
          <w:highlight w:val="none"/>
          <w:u w:val="single"/>
        </w:rPr>
        <w:t>《中华人民共和国建筑法》、《中华人民共和国民法典》及国家、浙江省、项目所在地市现行的其它法律、行政法规、地方性法规</w:t>
      </w:r>
      <w:r>
        <w:rPr>
          <w:rFonts w:hint="eastAsia" w:ascii="宋体" w:hAnsi="宋体" w:cs="宋体"/>
          <w:color w:val="auto"/>
          <w:highlight w:val="none"/>
          <w:u w:val="single"/>
        </w:rPr>
        <w:t>。</w:t>
      </w:r>
    </w:p>
    <w:p w14:paraId="7285CD15">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1.3.3 新工艺、新技术的约定：：</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3FA8BF34">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1.3.4 其他</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499E5FBF">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1.4 标准和规范</w:t>
      </w:r>
    </w:p>
    <w:p w14:paraId="25372195">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1.4.1适用于工程的标准规范包括：</w:t>
      </w:r>
      <w:r>
        <w:rPr>
          <w:rFonts w:hint="eastAsia" w:ascii="宋体" w:hAnsi="宋体" w:cs="宋体"/>
          <w:b/>
          <w:bCs/>
          <w:color w:val="auto"/>
          <w:highlight w:val="none"/>
          <w:u w:val="single"/>
        </w:rPr>
        <w:t>按通用条款约定</w:t>
      </w:r>
      <w:r>
        <w:rPr>
          <w:rFonts w:hint="eastAsia" w:ascii="宋体" w:hAnsi="宋体" w:cs="宋体"/>
          <w:color w:val="auto"/>
          <w:highlight w:val="none"/>
          <w:u w:val="single"/>
        </w:rPr>
        <w:t xml:space="preserve"> </w:t>
      </w:r>
      <w:r>
        <w:rPr>
          <w:rFonts w:hint="eastAsia" w:ascii="宋体" w:hAnsi="宋体" w:cs="宋体"/>
          <w:color w:val="auto"/>
          <w:kern w:val="0"/>
          <w:highlight w:val="none"/>
        </w:rPr>
        <w:t>；</w:t>
      </w:r>
    </w:p>
    <w:p w14:paraId="5ABEEF25">
      <w:pPr>
        <w:pStyle w:val="103"/>
        <w:adjustRightInd w:val="0"/>
        <w:snapToGrid w:val="0"/>
        <w:spacing w:line="360" w:lineRule="exact"/>
        <w:ind w:firstLine="420" w:firstLineChars="200"/>
        <w:rPr>
          <w:rFonts w:ascii="宋体" w:hAnsi="宋体" w:cs="宋体"/>
          <w:color w:val="auto"/>
          <w:kern w:val="0"/>
          <w:highlight w:val="none"/>
        </w:rPr>
      </w:pPr>
      <w:r>
        <w:rPr>
          <w:rFonts w:hint="eastAsia" w:ascii="宋体" w:hAnsi="宋体" w:cs="宋体"/>
          <w:color w:val="auto"/>
          <w:kern w:val="0"/>
          <w:highlight w:val="none"/>
        </w:rPr>
        <w:t>1.4.2 发包人提供国外标准、规范的名称：</w:t>
      </w:r>
      <w:r>
        <w:rPr>
          <w:rFonts w:hint="eastAsia" w:ascii="宋体" w:hAnsi="宋体" w:cs="宋体"/>
          <w:color w:val="auto"/>
          <w:kern w:val="0"/>
          <w:highlight w:val="none"/>
          <w:u w:val="single"/>
        </w:rPr>
        <w:t xml:space="preserve">             /                </w:t>
      </w:r>
      <w:r>
        <w:rPr>
          <w:rFonts w:hint="eastAsia" w:ascii="宋体" w:hAnsi="宋体" w:cs="宋体"/>
          <w:color w:val="auto"/>
          <w:kern w:val="0"/>
          <w:highlight w:val="none"/>
        </w:rPr>
        <w:t>；</w:t>
      </w:r>
    </w:p>
    <w:p w14:paraId="7AC28E21">
      <w:pPr>
        <w:pStyle w:val="103"/>
        <w:adjustRightInd w:val="0"/>
        <w:snapToGrid w:val="0"/>
        <w:spacing w:line="360" w:lineRule="exact"/>
        <w:ind w:firstLine="420" w:firstLineChars="200"/>
        <w:rPr>
          <w:rFonts w:ascii="宋体" w:hAnsi="宋体" w:cs="宋体"/>
          <w:color w:val="auto"/>
          <w:kern w:val="0"/>
          <w:highlight w:val="none"/>
        </w:rPr>
      </w:pPr>
      <w:r>
        <w:rPr>
          <w:rFonts w:hint="eastAsia" w:ascii="宋体" w:hAnsi="宋体" w:cs="宋体"/>
          <w:color w:val="auto"/>
          <w:kern w:val="0"/>
          <w:highlight w:val="none"/>
        </w:rPr>
        <w:t>发包人提供国外标准、规范的份数：</w:t>
      </w:r>
      <w:r>
        <w:rPr>
          <w:rFonts w:hint="eastAsia" w:ascii="宋体" w:hAnsi="宋体" w:cs="宋体"/>
          <w:color w:val="auto"/>
          <w:kern w:val="0"/>
          <w:highlight w:val="none"/>
          <w:u w:val="single"/>
        </w:rPr>
        <w:t xml:space="preserve">            /                       </w:t>
      </w:r>
      <w:r>
        <w:rPr>
          <w:rFonts w:hint="eastAsia" w:ascii="宋体" w:hAnsi="宋体" w:cs="宋体"/>
          <w:color w:val="auto"/>
          <w:kern w:val="0"/>
          <w:highlight w:val="none"/>
        </w:rPr>
        <w:t>；</w:t>
      </w:r>
    </w:p>
    <w:p w14:paraId="0CD8F2F3">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kern w:val="0"/>
          <w:highlight w:val="none"/>
        </w:rPr>
        <w:t>发包人提供国外标准、规范的名称：</w:t>
      </w:r>
      <w:r>
        <w:rPr>
          <w:rFonts w:hint="eastAsia" w:ascii="宋体" w:hAnsi="宋体" w:cs="宋体"/>
          <w:color w:val="auto"/>
          <w:kern w:val="0"/>
          <w:highlight w:val="none"/>
          <w:u w:val="single"/>
        </w:rPr>
        <w:t xml:space="preserve">            /                       </w:t>
      </w:r>
      <w:r>
        <w:rPr>
          <w:rFonts w:hint="eastAsia" w:ascii="宋体" w:hAnsi="宋体" w:cs="宋体"/>
          <w:color w:val="auto"/>
          <w:kern w:val="0"/>
          <w:highlight w:val="none"/>
        </w:rPr>
        <w:t>。</w:t>
      </w:r>
    </w:p>
    <w:p w14:paraId="63B90DB1">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1.4.3发包人对工程的技术标准和功能要求的特殊要求：</w:t>
      </w:r>
      <w:r>
        <w:rPr>
          <w:rFonts w:hint="eastAsia" w:ascii="宋体" w:hAnsi="宋体" w:cs="宋体"/>
          <w:b/>
          <w:bCs/>
          <w:color w:val="auto"/>
          <w:highlight w:val="none"/>
          <w:u w:val="single"/>
        </w:rPr>
        <w:t xml:space="preserve">按磋商文件第三章采购需求书中的技术标准约定 </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9129109">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1.5 合同文件的优先顺序</w:t>
      </w:r>
    </w:p>
    <w:p w14:paraId="0260AA1D">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合同文件组成及优先顺序为：</w:t>
      </w:r>
      <w:r>
        <w:rPr>
          <w:rFonts w:hint="eastAsia" w:ascii="宋体" w:hAnsi="宋体" w:cs="宋体"/>
          <w:b/>
          <w:bCs/>
          <w:color w:val="auto"/>
          <w:highlight w:val="none"/>
          <w:u w:val="single"/>
        </w:rPr>
        <w:t>（1）合同协议书；（2）成交通知书；（3）磋商文件、答疑、磋商记录及补充文件；（4）响应文件及其附件；（5）专用合同条款及其附件；（6）通用合同条款；（7）技术标准和要求；（8）图纸（如有）；（9）已标价工程量清单或预算书；（10）其他合同文件。</w:t>
      </w:r>
    </w:p>
    <w:p w14:paraId="018668DF">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1.6 图纸和承包人文件</w:t>
      </w:r>
      <w:r>
        <w:rPr>
          <w:rFonts w:hint="eastAsia" w:ascii="宋体" w:hAnsi="宋体" w:cs="宋体"/>
          <w:color w:val="auto"/>
          <w:highlight w:val="none"/>
        </w:rPr>
        <w:tab/>
      </w:r>
    </w:p>
    <w:p w14:paraId="48938403">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1.6.1 图纸的提供</w:t>
      </w:r>
    </w:p>
    <w:p w14:paraId="70DF05CB">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发包人向承包人提供图纸的期限：</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4D93E12B">
      <w:pPr>
        <w:pStyle w:val="127"/>
        <w:adjustRightInd w:val="0"/>
        <w:snapToGrid w:val="0"/>
        <w:spacing w:line="360" w:lineRule="exact"/>
        <w:ind w:firstLine="420" w:firstLineChars="200"/>
        <w:rPr>
          <w:rFonts w:ascii="宋体" w:hAnsi="宋体" w:eastAsia="宋体" w:cs="宋体"/>
          <w:b/>
          <w:bCs/>
          <w:color w:val="auto"/>
          <w:highlight w:val="none"/>
          <w:u w:val="single"/>
        </w:rPr>
      </w:pPr>
      <w:r>
        <w:rPr>
          <w:rFonts w:hint="eastAsia" w:ascii="宋体" w:hAnsi="宋体" w:eastAsia="宋体" w:cs="宋体"/>
          <w:color w:val="auto"/>
          <w:highlight w:val="none"/>
        </w:rPr>
        <w:t>发包人向承包人提供图纸的数量：</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700E27E1">
      <w:pPr>
        <w:pStyle w:val="103"/>
        <w:adjustRightInd w:val="0"/>
        <w:snapToGrid w:val="0"/>
        <w:spacing w:line="360" w:lineRule="exact"/>
        <w:ind w:firstLine="420" w:firstLineChars="200"/>
        <w:rPr>
          <w:rFonts w:ascii="宋体" w:hAnsi="宋体" w:cs="宋体"/>
          <w:color w:val="auto"/>
          <w:kern w:val="0"/>
          <w:highlight w:val="none"/>
          <w:u w:val="single"/>
        </w:rPr>
      </w:pPr>
      <w:r>
        <w:rPr>
          <w:rFonts w:hint="eastAsia" w:ascii="宋体" w:hAnsi="宋体" w:cs="宋体"/>
          <w:color w:val="auto"/>
          <w:highlight w:val="none"/>
        </w:rPr>
        <w:t>发包人向承包人提供图纸的内容：</w:t>
      </w:r>
      <w:r>
        <w:rPr>
          <w:rFonts w:hint="eastAsia" w:ascii="宋体" w:hAnsi="宋体" w:cs="宋体"/>
          <w:color w:val="auto"/>
          <w:highlight w:val="none"/>
          <w:u w:val="single"/>
        </w:rPr>
        <w:t xml:space="preserve">   /     </w:t>
      </w:r>
      <w:r>
        <w:rPr>
          <w:rFonts w:hint="eastAsia" w:ascii="宋体" w:hAnsi="宋体" w:cs="宋体"/>
          <w:color w:val="auto"/>
          <w:kern w:val="0"/>
          <w:highlight w:val="none"/>
        </w:rPr>
        <w:t>。</w:t>
      </w:r>
    </w:p>
    <w:p w14:paraId="2ADD6846">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1.6.4 承包人文件</w:t>
      </w:r>
    </w:p>
    <w:p w14:paraId="2CBE7213">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需要由承包人提供的文件，包括：</w:t>
      </w:r>
      <w:r>
        <w:rPr>
          <w:rFonts w:hint="eastAsia" w:ascii="宋体" w:hAnsi="宋体" w:cs="宋体"/>
          <w:b/>
          <w:bCs/>
          <w:color w:val="auto"/>
          <w:highlight w:val="none"/>
          <w:u w:val="single"/>
        </w:rPr>
        <w:t>施工方案和进度计划</w:t>
      </w:r>
      <w:r>
        <w:rPr>
          <w:rFonts w:hint="eastAsia" w:ascii="宋体" w:hAnsi="宋体" w:cs="宋体"/>
          <w:color w:val="auto"/>
          <w:highlight w:val="none"/>
        </w:rPr>
        <w:t>；</w:t>
      </w:r>
    </w:p>
    <w:p w14:paraId="63878E3B">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承包人提供的文件的期限为：</w:t>
      </w:r>
      <w:r>
        <w:rPr>
          <w:rFonts w:hint="eastAsia" w:ascii="宋体" w:hAnsi="宋体" w:cs="宋体"/>
          <w:b/>
          <w:bCs/>
          <w:color w:val="auto"/>
          <w:highlight w:val="none"/>
          <w:u w:val="single"/>
        </w:rPr>
        <w:t>开工前7天提供</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CB0ADAA">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承包人提供的文件的数量为：</w:t>
      </w:r>
      <w:r>
        <w:rPr>
          <w:rFonts w:hint="eastAsia" w:ascii="宋体" w:hAnsi="宋体" w:cs="宋体"/>
          <w:b/>
          <w:bCs/>
          <w:color w:val="auto"/>
          <w:highlight w:val="none"/>
          <w:u w:val="single"/>
        </w:rPr>
        <w:t xml:space="preserve">三套 </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2894437D">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承包人提供的文件的形式为：</w:t>
      </w:r>
      <w:r>
        <w:rPr>
          <w:rFonts w:hint="eastAsia" w:ascii="宋体" w:hAnsi="宋体" w:cs="宋体"/>
          <w:b/>
          <w:bCs/>
          <w:color w:val="auto"/>
          <w:highlight w:val="none"/>
          <w:u w:val="single"/>
        </w:rPr>
        <w:t>书面文件</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56D7A8E">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发包人审批承包人文件的期限：</w:t>
      </w:r>
      <w:r>
        <w:rPr>
          <w:rFonts w:hint="eastAsia" w:ascii="宋体" w:hAnsi="宋体" w:cs="宋体"/>
          <w:b/>
          <w:bCs/>
          <w:color w:val="auto"/>
          <w:highlight w:val="none"/>
          <w:u w:val="single"/>
        </w:rPr>
        <w:t>收到报告后7天内</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84E9702">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1.6.5 现场图纸准备</w:t>
      </w:r>
    </w:p>
    <w:p w14:paraId="77299D02">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关于现场图纸准备的约定：</w:t>
      </w:r>
      <w:r>
        <w:rPr>
          <w:rFonts w:hint="eastAsia" w:ascii="宋体" w:hAnsi="宋体" w:cs="宋体"/>
          <w:b/>
          <w:bCs/>
          <w:color w:val="auto"/>
          <w:highlight w:val="none"/>
          <w:u w:val="single"/>
        </w:rPr>
        <w:t>按通用合同条款第1.6.5条规定执行</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9222884">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1.7 联络</w:t>
      </w:r>
    </w:p>
    <w:p w14:paraId="2A64D74B">
      <w:pPr>
        <w:pStyle w:val="103"/>
        <w:adjustRightInd w:val="0"/>
        <w:snapToGrid w:val="0"/>
        <w:spacing w:line="360" w:lineRule="exact"/>
        <w:ind w:firstLine="420" w:firstLineChars="200"/>
        <w:rPr>
          <w:rFonts w:ascii="宋体" w:hAnsi="宋体" w:cs="宋体"/>
          <w:color w:val="auto"/>
          <w:kern w:val="0"/>
          <w:highlight w:val="none"/>
        </w:rPr>
      </w:pPr>
      <w:r>
        <w:rPr>
          <w:rFonts w:hint="eastAsia" w:ascii="宋体" w:hAnsi="宋体" w:cs="宋体"/>
          <w:color w:val="auto"/>
          <w:kern w:val="0"/>
          <w:highlight w:val="none"/>
        </w:rPr>
        <w:t>1.7.1发包人和承包人应当在</w:t>
      </w:r>
      <w:r>
        <w:rPr>
          <w:rFonts w:hint="eastAsia" w:ascii="宋体" w:hAnsi="宋体" w:cs="宋体"/>
          <w:b/>
          <w:bCs/>
          <w:color w:val="auto"/>
          <w:highlight w:val="none"/>
          <w:u w:val="single"/>
        </w:rPr>
        <w:t>7</w:t>
      </w:r>
      <w:r>
        <w:rPr>
          <w:rFonts w:hint="eastAsia" w:ascii="宋体" w:hAnsi="宋体" w:cs="宋体"/>
          <w:color w:val="auto"/>
          <w:highlight w:val="none"/>
          <w:u w:val="single"/>
        </w:rPr>
        <w:t xml:space="preserve">  </w:t>
      </w:r>
      <w:r>
        <w:rPr>
          <w:rFonts w:hint="eastAsia" w:ascii="宋体" w:hAnsi="宋体" w:cs="宋体"/>
          <w:color w:val="auto"/>
          <w:kern w:val="0"/>
          <w:highlight w:val="none"/>
        </w:rPr>
        <w:t>天内将与合同有关的通知、批准、证明、证书、指示、指令、要求、请求、同意、意见、确定和决定等书面函件送达对方当事人。</w:t>
      </w:r>
    </w:p>
    <w:p w14:paraId="081EAAA6">
      <w:pPr>
        <w:pStyle w:val="103"/>
        <w:adjustRightInd w:val="0"/>
        <w:snapToGrid w:val="0"/>
        <w:spacing w:line="360" w:lineRule="exact"/>
        <w:ind w:firstLine="420" w:firstLineChars="200"/>
        <w:rPr>
          <w:rFonts w:ascii="宋体" w:hAnsi="宋体" w:cs="宋体"/>
          <w:color w:val="auto"/>
          <w:kern w:val="0"/>
          <w:highlight w:val="none"/>
        </w:rPr>
      </w:pPr>
      <w:r>
        <w:rPr>
          <w:rFonts w:hint="eastAsia" w:ascii="宋体" w:hAnsi="宋体" w:cs="宋体"/>
          <w:color w:val="auto"/>
          <w:kern w:val="0"/>
          <w:highlight w:val="none"/>
        </w:rPr>
        <w:t>1.7.2 发包人接收文件的地点：</w:t>
      </w:r>
      <w:r>
        <w:rPr>
          <w:rFonts w:hint="eastAsia" w:ascii="宋体" w:hAnsi="宋体" w:cs="宋体"/>
          <w:b/>
          <w:bCs/>
          <w:color w:val="auto"/>
          <w:highlight w:val="none"/>
          <w:u w:val="single"/>
        </w:rPr>
        <w:t>行政楼后勤服务处</w:t>
      </w:r>
      <w:r>
        <w:rPr>
          <w:rFonts w:hint="eastAsia" w:ascii="宋体" w:hAnsi="宋体" w:cs="宋体"/>
          <w:color w:val="auto"/>
          <w:highlight w:val="none"/>
          <w:u w:val="single"/>
        </w:rPr>
        <w:t xml:space="preserve">  </w:t>
      </w:r>
      <w:r>
        <w:rPr>
          <w:rFonts w:hint="eastAsia" w:ascii="宋体" w:hAnsi="宋体" w:cs="宋体"/>
          <w:color w:val="auto"/>
          <w:kern w:val="0"/>
          <w:highlight w:val="none"/>
        </w:rPr>
        <w:t>；</w:t>
      </w:r>
    </w:p>
    <w:p w14:paraId="482506D1">
      <w:pPr>
        <w:pStyle w:val="103"/>
        <w:adjustRightInd w:val="0"/>
        <w:snapToGrid w:val="0"/>
        <w:spacing w:line="360" w:lineRule="exact"/>
        <w:ind w:firstLine="420" w:firstLineChars="200"/>
        <w:rPr>
          <w:rFonts w:ascii="宋体" w:hAnsi="宋体" w:cs="宋体"/>
          <w:color w:val="auto"/>
          <w:kern w:val="0"/>
          <w:highlight w:val="none"/>
        </w:rPr>
      </w:pPr>
      <w:r>
        <w:rPr>
          <w:rFonts w:hint="eastAsia" w:ascii="宋体" w:hAnsi="宋体" w:cs="宋体"/>
          <w:color w:val="auto"/>
          <w:kern w:val="0"/>
          <w:highlight w:val="none"/>
        </w:rPr>
        <w:t>发包人指定的接收人为：</w:t>
      </w:r>
      <w:r>
        <w:rPr>
          <w:rFonts w:hint="eastAsia" w:ascii="宋体" w:hAnsi="宋体" w:cs="宋体"/>
          <w:color w:val="auto"/>
          <w:highlight w:val="none"/>
          <w:u w:val="single"/>
        </w:rPr>
        <w:t xml:space="preserve">                  </w:t>
      </w:r>
      <w:r>
        <w:rPr>
          <w:rFonts w:hint="eastAsia" w:ascii="宋体" w:hAnsi="宋体" w:cs="宋体"/>
          <w:color w:val="auto"/>
          <w:kern w:val="0"/>
          <w:highlight w:val="none"/>
        </w:rPr>
        <w:t>。</w:t>
      </w:r>
    </w:p>
    <w:p w14:paraId="04B601AF">
      <w:pPr>
        <w:pStyle w:val="103"/>
        <w:adjustRightInd w:val="0"/>
        <w:snapToGrid w:val="0"/>
        <w:spacing w:line="360" w:lineRule="exact"/>
        <w:ind w:firstLine="420" w:firstLineChars="200"/>
        <w:rPr>
          <w:rFonts w:ascii="宋体" w:hAnsi="宋体" w:cs="宋体"/>
          <w:color w:val="auto"/>
          <w:kern w:val="0"/>
          <w:highlight w:val="none"/>
        </w:rPr>
      </w:pPr>
      <w:r>
        <w:rPr>
          <w:rFonts w:hint="eastAsia" w:ascii="宋体" w:hAnsi="宋体" w:cs="宋体"/>
          <w:color w:val="auto"/>
          <w:kern w:val="0"/>
          <w:highlight w:val="none"/>
        </w:rPr>
        <w:t>承包人接收文件的地点：</w:t>
      </w:r>
      <w:r>
        <w:rPr>
          <w:rFonts w:hint="eastAsia" w:ascii="宋体" w:hAnsi="宋体" w:cs="宋体"/>
          <w:b/>
          <w:bCs/>
          <w:color w:val="auto"/>
          <w:highlight w:val="none"/>
          <w:u w:val="single"/>
        </w:rPr>
        <w:t>施工现场</w:t>
      </w:r>
      <w:r>
        <w:rPr>
          <w:rFonts w:hint="eastAsia" w:ascii="宋体" w:hAnsi="宋体" w:cs="宋体"/>
          <w:color w:val="auto"/>
          <w:highlight w:val="none"/>
          <w:u w:val="single"/>
        </w:rPr>
        <w:t xml:space="preserve">          </w:t>
      </w:r>
      <w:r>
        <w:rPr>
          <w:rFonts w:hint="eastAsia" w:ascii="宋体" w:hAnsi="宋体" w:cs="宋体"/>
          <w:color w:val="auto"/>
          <w:kern w:val="0"/>
          <w:highlight w:val="none"/>
        </w:rPr>
        <w:t>；</w:t>
      </w:r>
    </w:p>
    <w:p w14:paraId="0E3A0895">
      <w:pPr>
        <w:pStyle w:val="103"/>
        <w:adjustRightInd w:val="0"/>
        <w:snapToGrid w:val="0"/>
        <w:spacing w:line="360" w:lineRule="exact"/>
        <w:ind w:firstLine="420" w:firstLineChars="200"/>
        <w:rPr>
          <w:rFonts w:ascii="宋体" w:hAnsi="宋体" w:cs="宋体"/>
          <w:color w:val="auto"/>
          <w:kern w:val="0"/>
          <w:highlight w:val="none"/>
        </w:rPr>
      </w:pPr>
      <w:r>
        <w:rPr>
          <w:rFonts w:hint="eastAsia" w:ascii="宋体" w:hAnsi="宋体" w:cs="宋体"/>
          <w:color w:val="auto"/>
          <w:kern w:val="0"/>
          <w:highlight w:val="none"/>
        </w:rPr>
        <w:t>承包人指定的接收人为：</w:t>
      </w:r>
      <w:r>
        <w:rPr>
          <w:rFonts w:hint="eastAsia" w:ascii="宋体" w:hAnsi="宋体" w:cs="宋体"/>
          <w:color w:val="auto"/>
          <w:highlight w:val="none"/>
          <w:u w:val="single"/>
        </w:rPr>
        <w:t xml:space="preserve">                  </w:t>
      </w:r>
      <w:r>
        <w:rPr>
          <w:rFonts w:hint="eastAsia" w:ascii="宋体" w:hAnsi="宋体" w:cs="宋体"/>
          <w:color w:val="auto"/>
          <w:kern w:val="0"/>
          <w:highlight w:val="none"/>
        </w:rPr>
        <w:t>。</w:t>
      </w:r>
    </w:p>
    <w:p w14:paraId="5D33CDFC">
      <w:pPr>
        <w:pStyle w:val="103"/>
        <w:adjustRightInd w:val="0"/>
        <w:snapToGrid w:val="0"/>
        <w:spacing w:line="360" w:lineRule="exact"/>
        <w:ind w:firstLine="420" w:firstLineChars="200"/>
        <w:rPr>
          <w:rFonts w:ascii="宋体" w:hAnsi="宋体" w:cs="宋体"/>
          <w:color w:val="auto"/>
          <w:kern w:val="0"/>
          <w:highlight w:val="none"/>
        </w:rPr>
      </w:pPr>
      <w:r>
        <w:rPr>
          <w:rFonts w:hint="eastAsia" w:ascii="宋体" w:hAnsi="宋体" w:cs="宋体"/>
          <w:color w:val="auto"/>
          <w:kern w:val="0"/>
          <w:highlight w:val="none"/>
        </w:rPr>
        <w:t>监理人接收文件的地点：</w:t>
      </w:r>
      <w:r>
        <w:rPr>
          <w:rFonts w:hint="eastAsia" w:ascii="宋体" w:hAnsi="宋体" w:cs="宋体"/>
          <w:color w:val="auto"/>
          <w:kern w:val="0"/>
          <w:highlight w:val="none"/>
          <w:u w:val="single"/>
        </w:rPr>
        <w:t xml:space="preserve">        </w:t>
      </w:r>
      <w:r>
        <w:rPr>
          <w:rFonts w:hint="eastAsia" w:ascii="宋体" w:hAnsi="宋体" w:cs="宋体"/>
          <w:b/>
          <w:bCs/>
          <w:color w:val="auto"/>
          <w:kern w:val="0"/>
          <w:highlight w:val="none"/>
          <w:u w:val="single"/>
        </w:rPr>
        <w:t>/</w:t>
      </w:r>
      <w:r>
        <w:rPr>
          <w:rFonts w:hint="eastAsia" w:ascii="宋体" w:hAnsi="宋体" w:cs="宋体"/>
          <w:color w:val="auto"/>
          <w:kern w:val="0"/>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kern w:val="0"/>
          <w:highlight w:val="none"/>
        </w:rPr>
        <w:t>；</w:t>
      </w:r>
    </w:p>
    <w:p w14:paraId="746F208C">
      <w:pPr>
        <w:pStyle w:val="103"/>
        <w:adjustRightInd w:val="0"/>
        <w:snapToGrid w:val="0"/>
        <w:spacing w:line="360" w:lineRule="exact"/>
        <w:ind w:firstLine="420" w:firstLineChars="200"/>
        <w:rPr>
          <w:rFonts w:ascii="宋体" w:hAnsi="宋体" w:cs="宋体"/>
          <w:color w:val="auto"/>
          <w:kern w:val="0"/>
          <w:highlight w:val="none"/>
        </w:rPr>
      </w:pPr>
      <w:r>
        <w:rPr>
          <w:rFonts w:hint="eastAsia" w:ascii="宋体" w:hAnsi="宋体" w:cs="宋体"/>
          <w:color w:val="auto"/>
          <w:kern w:val="0"/>
          <w:highlight w:val="none"/>
        </w:rPr>
        <w:t>监理人指定的接收人为：</w:t>
      </w:r>
      <w:r>
        <w:rPr>
          <w:rFonts w:hint="eastAsia" w:ascii="宋体" w:hAnsi="宋体" w:cs="宋体"/>
          <w:b/>
          <w:bCs/>
          <w:color w:val="auto"/>
          <w:highlight w:val="none"/>
          <w:u w:val="single"/>
        </w:rPr>
        <w:t xml:space="preserve">       /     </w:t>
      </w:r>
      <w:r>
        <w:rPr>
          <w:rFonts w:hint="eastAsia" w:ascii="宋体" w:hAnsi="宋体" w:cs="宋体"/>
          <w:color w:val="auto"/>
          <w:highlight w:val="none"/>
          <w:u w:val="single"/>
        </w:rPr>
        <w:t xml:space="preserve">     </w:t>
      </w:r>
      <w:r>
        <w:rPr>
          <w:rFonts w:hint="eastAsia" w:ascii="宋体" w:hAnsi="宋体" w:cs="宋体"/>
          <w:color w:val="auto"/>
          <w:kern w:val="0"/>
          <w:highlight w:val="none"/>
        </w:rPr>
        <w:t>。</w:t>
      </w:r>
    </w:p>
    <w:p w14:paraId="7BC79A4E">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1.10 交通运输</w:t>
      </w:r>
    </w:p>
    <w:p w14:paraId="666EC0A3">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1.10.1 出入现场的权利</w:t>
      </w:r>
    </w:p>
    <w:p w14:paraId="0A63A501">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关于出入现场的权利的约定：</w:t>
      </w:r>
      <w:r>
        <w:rPr>
          <w:rFonts w:hint="eastAsia" w:ascii="宋体" w:hAnsi="宋体" w:cs="宋体"/>
          <w:b/>
          <w:bCs/>
          <w:color w:val="auto"/>
          <w:highlight w:val="none"/>
          <w:u w:val="single"/>
        </w:rPr>
        <w:t>按通用合同条款第1.10.1条规定执行</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368DCED">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1.10.2 场内交通</w:t>
      </w:r>
    </w:p>
    <w:p w14:paraId="6877B43B">
      <w:pPr>
        <w:pStyle w:val="103"/>
        <w:adjustRightInd w:val="0"/>
        <w:snapToGrid w:val="0"/>
        <w:spacing w:line="360" w:lineRule="exact"/>
        <w:ind w:firstLine="420" w:firstLineChars="200"/>
        <w:jc w:val="left"/>
        <w:rPr>
          <w:rFonts w:ascii="宋体" w:hAnsi="宋体" w:cs="宋体"/>
          <w:color w:val="auto"/>
          <w:kern w:val="0"/>
          <w:highlight w:val="none"/>
        </w:rPr>
      </w:pPr>
      <w:r>
        <w:rPr>
          <w:rFonts w:hint="eastAsia" w:ascii="宋体" w:hAnsi="宋体" w:cs="宋体"/>
          <w:color w:val="auto"/>
          <w:kern w:val="0"/>
          <w:highlight w:val="none"/>
        </w:rPr>
        <w:t>关于场外交通和场内交通的边界的约定：</w:t>
      </w:r>
      <w:r>
        <w:rPr>
          <w:rFonts w:hint="eastAsia" w:ascii="宋体" w:hAnsi="宋体" w:cs="宋体"/>
          <w:b/>
          <w:bCs/>
          <w:color w:val="auto"/>
          <w:highlight w:val="none"/>
          <w:u w:val="single"/>
        </w:rPr>
        <w:t>施工范围内的场地</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B007F2E">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关于发包人向承包人免费提供满足工程施工需要的场内道路和交通设施的约定：</w:t>
      </w:r>
      <w:r>
        <w:rPr>
          <w:rFonts w:hint="eastAsia" w:ascii="宋体" w:hAnsi="宋体" w:cs="宋体"/>
          <w:b/>
          <w:bCs/>
          <w:color w:val="auto"/>
          <w:highlight w:val="none"/>
          <w:u w:val="single"/>
        </w:rPr>
        <w:t>开工前7天，发包人负责施工场地道路畅通，确保承包人施工车辆进出工地畅通；承包人须办理校内施工相关手续并承担相应费用</w:t>
      </w:r>
      <w:r>
        <w:rPr>
          <w:rFonts w:hint="eastAsia" w:ascii="宋体" w:hAnsi="宋体" w:cs="宋体"/>
          <w:color w:val="auto"/>
          <w:highlight w:val="none"/>
        </w:rPr>
        <w:t xml:space="preserve">。  </w:t>
      </w:r>
    </w:p>
    <w:p w14:paraId="51E63C71">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1.10.3超大件和超重件的运输</w:t>
      </w:r>
    </w:p>
    <w:p w14:paraId="3BEFDB55">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运输超大件或超重件所需的道路和桥梁临时加固改造费用和其他有关费用由</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承包人</w:t>
      </w:r>
      <w:r>
        <w:rPr>
          <w:rFonts w:hint="eastAsia" w:ascii="宋体" w:hAnsi="宋体" w:cs="宋体"/>
          <w:color w:val="auto"/>
          <w:highlight w:val="none"/>
          <w:u w:val="single"/>
        </w:rPr>
        <w:t xml:space="preserve"> </w:t>
      </w:r>
      <w:r>
        <w:rPr>
          <w:rFonts w:hint="eastAsia" w:ascii="宋体" w:hAnsi="宋体" w:cs="宋体"/>
          <w:color w:val="auto"/>
          <w:highlight w:val="none"/>
        </w:rPr>
        <w:t>承担。</w:t>
      </w:r>
    </w:p>
    <w:p w14:paraId="4D54FF7A">
      <w:pPr>
        <w:pStyle w:val="103"/>
        <w:adjustRightInd w:val="0"/>
        <w:snapToGrid w:val="0"/>
        <w:spacing w:line="360" w:lineRule="exact"/>
        <w:ind w:firstLine="420" w:firstLineChars="200"/>
        <w:rPr>
          <w:rFonts w:ascii="宋体" w:hAnsi="宋体" w:cs="宋体"/>
          <w:color w:val="auto"/>
          <w:kern w:val="0"/>
          <w:highlight w:val="none"/>
        </w:rPr>
      </w:pPr>
      <w:r>
        <w:rPr>
          <w:rFonts w:hint="eastAsia" w:ascii="宋体" w:hAnsi="宋体" w:cs="宋体"/>
          <w:color w:val="auto"/>
          <w:kern w:val="0"/>
          <w:highlight w:val="none"/>
        </w:rPr>
        <w:t>本工程的超大件：</w:t>
      </w:r>
      <w:r>
        <w:rPr>
          <w:rFonts w:hint="eastAsia" w:ascii="宋体" w:hAnsi="宋体" w:cs="宋体"/>
          <w:color w:val="auto"/>
          <w:highlight w:val="none"/>
          <w:u w:val="single"/>
        </w:rPr>
        <w:t xml:space="preserve">   /     </w:t>
      </w:r>
      <w:r>
        <w:rPr>
          <w:rFonts w:hint="eastAsia" w:ascii="宋体" w:hAnsi="宋体" w:cs="宋体"/>
          <w:color w:val="auto"/>
          <w:kern w:val="0"/>
          <w:highlight w:val="none"/>
        </w:rPr>
        <w:t>。</w:t>
      </w:r>
    </w:p>
    <w:p w14:paraId="292F7249">
      <w:pPr>
        <w:pStyle w:val="103"/>
        <w:adjustRightInd w:val="0"/>
        <w:snapToGrid w:val="0"/>
        <w:spacing w:line="360" w:lineRule="exact"/>
        <w:ind w:firstLine="420" w:firstLineChars="200"/>
        <w:rPr>
          <w:rFonts w:ascii="宋体" w:hAnsi="宋体" w:cs="宋体"/>
          <w:color w:val="auto"/>
          <w:kern w:val="0"/>
          <w:highlight w:val="none"/>
        </w:rPr>
      </w:pPr>
      <w:r>
        <w:rPr>
          <w:rFonts w:hint="eastAsia" w:ascii="宋体" w:hAnsi="宋体" w:cs="宋体"/>
          <w:color w:val="auto"/>
          <w:kern w:val="0"/>
          <w:highlight w:val="none"/>
        </w:rPr>
        <w:t>本工程的超重件：</w:t>
      </w:r>
      <w:r>
        <w:rPr>
          <w:rFonts w:hint="eastAsia" w:ascii="宋体" w:hAnsi="宋体" w:cs="宋体"/>
          <w:color w:val="auto"/>
          <w:highlight w:val="none"/>
          <w:u w:val="single"/>
        </w:rPr>
        <w:t xml:space="preserve">   /     </w:t>
      </w:r>
      <w:r>
        <w:rPr>
          <w:rFonts w:hint="eastAsia" w:ascii="宋体" w:hAnsi="宋体" w:cs="宋体"/>
          <w:color w:val="auto"/>
          <w:kern w:val="0"/>
          <w:highlight w:val="none"/>
        </w:rPr>
        <w:t>。</w:t>
      </w:r>
    </w:p>
    <w:p w14:paraId="36A5EC95">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1.11 知识产权</w:t>
      </w:r>
    </w:p>
    <w:p w14:paraId="09BA9629">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b/>
          <w:bCs/>
          <w:color w:val="auto"/>
          <w:highlight w:val="none"/>
          <w:u w:val="single"/>
        </w:rPr>
        <w:t>按通用合同条款第1.11.1条规定执行</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6B5A539E">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关于发包人提供的上述文件的使用限制的要求：</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72D87BB7">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1.11.2 关于承包人为实施工程所编制文件的著作权的归属：</w:t>
      </w:r>
      <w:r>
        <w:rPr>
          <w:rFonts w:hint="eastAsia" w:ascii="宋体" w:hAnsi="宋体" w:cs="宋体"/>
          <w:b/>
          <w:bCs/>
          <w:color w:val="auto"/>
          <w:highlight w:val="none"/>
          <w:u w:val="single"/>
        </w:rPr>
        <w:t>按通用合同条款第1.11.2条规定执行</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0ABC301">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关于承包人提供的上述文件的使用限制的要求：</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084F246D">
      <w:pPr>
        <w:pStyle w:val="103"/>
        <w:adjustRightInd w:val="0"/>
        <w:snapToGrid w:val="0"/>
        <w:spacing w:line="360" w:lineRule="exact"/>
        <w:ind w:firstLine="420" w:firstLineChars="200"/>
        <w:rPr>
          <w:rFonts w:ascii="宋体" w:hAnsi="宋体" w:cs="宋体"/>
          <w:color w:val="auto"/>
          <w:kern w:val="0"/>
          <w:highlight w:val="none"/>
        </w:rPr>
      </w:pPr>
      <w:r>
        <w:rPr>
          <w:rFonts w:hint="eastAsia" w:ascii="宋体" w:hAnsi="宋体" w:cs="宋体"/>
          <w:color w:val="auto"/>
          <w:highlight w:val="none"/>
        </w:rPr>
        <w:t>1.11.3 承包人在施工过程中所采用的专利、专有技术、技术秘密的使用费的承担方式：</w:t>
      </w:r>
      <w:r>
        <w:rPr>
          <w:rFonts w:hint="eastAsia" w:ascii="宋体" w:hAnsi="宋体" w:cs="宋体"/>
          <w:color w:val="auto"/>
          <w:highlight w:val="none"/>
          <w:u w:val="single"/>
        </w:rPr>
        <w:t xml:space="preserve"> (除发包人指明外)承包人在施工过 程中所采用的专利、专有技术、技术秘密的使用费包含在合同价款内。</w:t>
      </w:r>
      <w:r>
        <w:rPr>
          <w:rFonts w:hint="eastAsia" w:ascii="宋体" w:hAnsi="宋体" w:cs="宋体"/>
          <w:color w:val="auto"/>
          <w:kern w:val="0"/>
          <w:highlight w:val="none"/>
        </w:rPr>
        <w:t>。</w:t>
      </w:r>
    </w:p>
    <w:p w14:paraId="1CA9581D">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1.12工程量清单错误的修正</w:t>
      </w:r>
    </w:p>
    <w:p w14:paraId="2F3E34D1">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出现工程量清单错误时，是否调整合同价格：</w:t>
      </w:r>
      <w:r>
        <w:rPr>
          <w:rFonts w:hint="eastAsia" w:ascii="宋体" w:hAnsi="宋体" w:cs="宋体"/>
          <w:color w:val="auto"/>
          <w:highlight w:val="none"/>
          <w:u w:val="single"/>
        </w:rPr>
        <w:t>是</w:t>
      </w:r>
      <w:r>
        <w:rPr>
          <w:rFonts w:hint="eastAsia" w:ascii="宋体" w:hAnsi="宋体" w:cs="宋体"/>
          <w:color w:val="auto"/>
          <w:kern w:val="0"/>
          <w:highlight w:val="none"/>
        </w:rPr>
        <w:t>。</w:t>
      </w:r>
    </w:p>
    <w:p w14:paraId="2434EE3A">
      <w:pPr>
        <w:pStyle w:val="103"/>
        <w:adjustRightInd w:val="0"/>
        <w:snapToGrid w:val="0"/>
        <w:spacing w:line="360" w:lineRule="exact"/>
        <w:ind w:firstLine="422"/>
        <w:rPr>
          <w:rFonts w:ascii="宋体" w:hAnsi="宋体" w:cs="宋体"/>
          <w:color w:val="auto"/>
          <w:kern w:val="0"/>
          <w:highlight w:val="none"/>
        </w:rPr>
      </w:pPr>
      <w:r>
        <w:rPr>
          <w:rFonts w:hint="eastAsia" w:ascii="宋体" w:hAnsi="宋体" w:cs="宋体"/>
          <w:color w:val="auto"/>
          <w:highlight w:val="none"/>
        </w:rPr>
        <w:t>允许调整合同价格的工程量偏差范围：</w:t>
      </w:r>
      <w:r>
        <w:rPr>
          <w:rFonts w:hint="eastAsia" w:ascii="宋体" w:hAnsi="宋体" w:cs="宋体"/>
          <w:color w:val="auto"/>
          <w:highlight w:val="none"/>
          <w:u w:val="single"/>
        </w:rPr>
        <w:t xml:space="preserve">   /     </w:t>
      </w:r>
      <w:r>
        <w:rPr>
          <w:rFonts w:hint="eastAsia" w:ascii="宋体" w:hAnsi="宋体" w:cs="宋体"/>
          <w:color w:val="auto"/>
          <w:kern w:val="0"/>
          <w:highlight w:val="none"/>
        </w:rPr>
        <w:t>。</w:t>
      </w:r>
    </w:p>
    <w:p w14:paraId="4956E215">
      <w:pPr>
        <w:pStyle w:val="103"/>
        <w:adjustRightInd w:val="0"/>
        <w:snapToGrid w:val="0"/>
        <w:spacing w:line="360" w:lineRule="exact"/>
        <w:ind w:firstLine="422"/>
        <w:rPr>
          <w:rFonts w:ascii="宋体" w:hAnsi="宋体" w:cs="宋体"/>
          <w:color w:val="auto"/>
          <w:kern w:val="0"/>
          <w:highlight w:val="none"/>
        </w:rPr>
      </w:pPr>
      <w:r>
        <w:rPr>
          <w:rFonts w:hint="eastAsia" w:ascii="宋体" w:hAnsi="宋体" w:cs="宋体"/>
          <w:color w:val="auto"/>
          <w:highlight w:val="none"/>
        </w:rPr>
        <w:t>调整合同价格的修正时间：</w:t>
      </w:r>
      <w:r>
        <w:rPr>
          <w:rFonts w:hint="eastAsia" w:ascii="宋体" w:hAnsi="宋体" w:cs="宋体"/>
          <w:color w:val="auto"/>
          <w:highlight w:val="none"/>
          <w:u w:val="single"/>
        </w:rPr>
        <w:t xml:space="preserve">   /       </w:t>
      </w:r>
      <w:r>
        <w:rPr>
          <w:rFonts w:hint="eastAsia" w:ascii="宋体" w:hAnsi="宋体" w:cs="宋体"/>
          <w:color w:val="auto"/>
          <w:kern w:val="0"/>
          <w:highlight w:val="none"/>
        </w:rPr>
        <w:t>。</w:t>
      </w:r>
    </w:p>
    <w:p w14:paraId="71E8C646">
      <w:pPr>
        <w:pStyle w:val="126"/>
        <w:adjustRightInd w:val="0"/>
        <w:snapToGrid w:val="0"/>
        <w:spacing w:before="0" w:after="0" w:line="360" w:lineRule="exact"/>
        <w:ind w:firstLine="420"/>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2. 发包人</w:t>
      </w:r>
    </w:p>
    <w:p w14:paraId="06655306">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2.1 发包人代表</w:t>
      </w:r>
    </w:p>
    <w:p w14:paraId="4E41284D">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姓    名：</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 xml:space="preserve">      </w:t>
      </w:r>
      <w:r>
        <w:rPr>
          <w:rFonts w:hint="eastAsia" w:ascii="宋体" w:hAnsi="宋体" w:cs="宋体"/>
          <w:color w:val="auto"/>
          <w:highlight w:val="none"/>
        </w:rPr>
        <w:t>；</w:t>
      </w:r>
    </w:p>
    <w:p w14:paraId="5C62089F">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90541AE">
      <w:pPr>
        <w:pStyle w:val="103"/>
        <w:adjustRightInd w:val="0"/>
        <w:snapToGrid w:val="0"/>
        <w:spacing w:line="360" w:lineRule="exact"/>
        <w:ind w:firstLine="525" w:firstLineChars="250"/>
        <w:rPr>
          <w:rFonts w:ascii="宋体" w:hAnsi="宋体" w:cs="宋体"/>
          <w:color w:val="auto"/>
          <w:highlight w:val="none"/>
        </w:rPr>
      </w:pPr>
    </w:p>
    <w:p w14:paraId="3B6CDF46">
      <w:pPr>
        <w:pStyle w:val="103"/>
        <w:adjustRightInd w:val="0"/>
        <w:snapToGrid w:val="0"/>
        <w:spacing w:line="360" w:lineRule="exact"/>
        <w:ind w:firstLine="525" w:firstLineChars="250"/>
        <w:rPr>
          <w:rFonts w:ascii="宋体" w:hAnsi="宋体" w:cs="宋体"/>
          <w:b/>
          <w:bCs/>
          <w:color w:val="auto"/>
          <w:highlight w:val="none"/>
          <w:u w:val="single"/>
        </w:rPr>
      </w:pPr>
      <w:r>
        <w:rPr>
          <w:rFonts w:hint="eastAsia" w:ascii="宋体" w:hAnsi="宋体" w:cs="宋体"/>
          <w:color w:val="auto"/>
          <w:highlight w:val="none"/>
        </w:rPr>
        <w:t>发包人对发包人代表的授权范围如下：</w:t>
      </w:r>
      <w:r>
        <w:rPr>
          <w:rFonts w:hint="eastAsia" w:ascii="宋体" w:hAnsi="宋体" w:cs="宋体"/>
          <w:b/>
          <w:bCs/>
          <w:color w:val="auto"/>
          <w:highlight w:val="none"/>
          <w:u w:val="single"/>
        </w:rPr>
        <w:t>（1）代表发包人对工程质量、进度、造价、安全及文明施工进行监督，工程存在质量问题或安全问题或施工进度不符合要求的，现场代表有权要求施工单位采取整改措施；</w:t>
      </w:r>
    </w:p>
    <w:p w14:paraId="2EB8191F">
      <w:pPr>
        <w:pStyle w:val="103"/>
        <w:adjustRightInd w:val="0"/>
        <w:snapToGrid w:val="0"/>
        <w:spacing w:line="360" w:lineRule="exact"/>
        <w:ind w:firstLine="527" w:firstLineChars="250"/>
        <w:rPr>
          <w:rFonts w:ascii="宋体" w:hAnsi="宋体" w:cs="宋体"/>
          <w:b/>
          <w:bCs/>
          <w:color w:val="auto"/>
          <w:highlight w:val="none"/>
          <w:u w:val="single"/>
        </w:rPr>
      </w:pPr>
      <w:r>
        <w:rPr>
          <w:rFonts w:hint="eastAsia" w:ascii="宋体" w:hAnsi="宋体" w:cs="宋体"/>
          <w:b/>
          <w:bCs/>
          <w:color w:val="auto"/>
          <w:highlight w:val="none"/>
          <w:u w:val="single"/>
        </w:rPr>
        <w:t>（2）发包人代表可委派有关具体管理人员，承担自己部分权力和职责，并可在任何时候撤回并重新委派，委派和撤回均应提前3个工作日通知承包方；</w:t>
      </w:r>
    </w:p>
    <w:p w14:paraId="1C5503F1">
      <w:pPr>
        <w:pStyle w:val="127"/>
        <w:adjustRightInd w:val="0"/>
        <w:snapToGrid w:val="0"/>
        <w:spacing w:line="360" w:lineRule="exact"/>
        <w:ind w:firstLine="474" w:firstLineChars="225"/>
        <w:rPr>
          <w:rFonts w:ascii="宋体" w:hAnsi="宋体" w:eastAsia="宋体" w:cs="宋体"/>
          <w:b/>
          <w:bCs/>
          <w:color w:val="auto"/>
          <w:highlight w:val="none"/>
          <w:u w:val="single"/>
        </w:rPr>
      </w:pPr>
      <w:r>
        <w:rPr>
          <w:rFonts w:hint="eastAsia" w:ascii="宋体" w:hAnsi="宋体" w:eastAsia="宋体" w:cs="宋体"/>
          <w:b/>
          <w:bCs/>
          <w:color w:val="auto"/>
          <w:highlight w:val="none"/>
          <w:u w:val="single"/>
        </w:rPr>
        <w:t>（3）发包人代表的指令、通知及签证须由其本人签字并加盖印章（仅有本人签字未有印章的，发包人追认，则对发包人有效，发包人不予追认的，对发包人不具有效力），以书面形式交给承包人现场代表（或合同约定签收人），承包人代表在回执上签署姓名和收到时间。当承包人代表不在施工现场时，发包人可要求属于承包人其它管理人员代签，签字后即可视为承包人代表已签收。</w:t>
      </w:r>
    </w:p>
    <w:p w14:paraId="2D76213E">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2.2 施工现场、施工条件和基础资料的提供</w:t>
      </w:r>
    </w:p>
    <w:p w14:paraId="06B1C152">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2.2.1 提供施工现场</w:t>
      </w:r>
    </w:p>
    <w:p w14:paraId="7C0F5528">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关于发包人移交施工现场的期限要求：</w:t>
      </w:r>
      <w:r>
        <w:rPr>
          <w:rFonts w:hint="eastAsia" w:ascii="宋体" w:hAnsi="宋体" w:cs="宋体"/>
          <w:color w:val="auto"/>
          <w:highlight w:val="none"/>
          <w:u w:val="single"/>
        </w:rPr>
        <w:t xml:space="preserve"> 开工前7天提供符合施工条件的施工场地  </w:t>
      </w:r>
      <w:r>
        <w:rPr>
          <w:rFonts w:hint="eastAsia" w:ascii="宋体" w:hAnsi="宋体" w:cs="宋体"/>
          <w:color w:val="auto"/>
          <w:highlight w:val="none"/>
        </w:rPr>
        <w:t>。</w:t>
      </w:r>
    </w:p>
    <w:p w14:paraId="54946287">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2.2.2 提供施工条件</w:t>
      </w:r>
    </w:p>
    <w:p w14:paraId="384ABD19">
      <w:pPr>
        <w:pStyle w:val="103"/>
        <w:adjustRightInd w:val="0"/>
        <w:snapToGrid w:val="0"/>
        <w:spacing w:line="360" w:lineRule="exact"/>
        <w:ind w:firstLine="420" w:firstLineChars="200"/>
        <w:rPr>
          <w:rFonts w:ascii="宋体" w:hAnsi="宋体" w:cs="宋体"/>
          <w:color w:val="auto"/>
          <w:highlight w:val="none"/>
          <w:u w:val="single"/>
        </w:rPr>
      </w:pPr>
      <w:r>
        <w:rPr>
          <w:rFonts w:hint="eastAsia" w:ascii="宋体" w:hAnsi="宋体" w:cs="宋体"/>
          <w:color w:val="auto"/>
          <w:highlight w:val="none"/>
        </w:rPr>
        <w:t>关于发包人应负责提供施工所需要的条件，包括：</w:t>
      </w:r>
      <w:r>
        <w:rPr>
          <w:rFonts w:hint="eastAsia" w:ascii="宋体" w:hAnsi="宋体" w:cs="宋体"/>
          <w:color w:val="auto"/>
          <w:highlight w:val="none"/>
          <w:u w:val="single"/>
        </w:rPr>
        <w:t xml:space="preserve"> 按通用合同条款第2.4.2条规定</w:t>
      </w:r>
      <w:r>
        <w:rPr>
          <w:rFonts w:hint="eastAsia" w:ascii="宋体" w:hAnsi="宋体" w:cs="宋体"/>
          <w:color w:val="auto"/>
          <w:highlight w:val="none"/>
        </w:rPr>
        <w:t>。</w:t>
      </w:r>
    </w:p>
    <w:p w14:paraId="74424F32">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2.3 资金来源证明及支付担保</w:t>
      </w:r>
    </w:p>
    <w:p w14:paraId="3B457F2F">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发包人提供资金来源证明的期限要求：</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44C583D8">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发包人是否提供支付担保：</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169AC4BD">
      <w:pPr>
        <w:pStyle w:val="103"/>
        <w:adjustRightInd w:val="0"/>
        <w:snapToGrid w:val="0"/>
        <w:spacing w:line="360" w:lineRule="exact"/>
        <w:ind w:firstLine="420" w:firstLineChars="200"/>
        <w:rPr>
          <w:rFonts w:ascii="宋体" w:hAnsi="宋体" w:cs="宋体"/>
          <w:color w:val="auto"/>
          <w:highlight w:val="none"/>
          <w:u w:val="single"/>
        </w:rPr>
      </w:pPr>
      <w:r>
        <w:rPr>
          <w:rFonts w:hint="eastAsia" w:ascii="宋体" w:hAnsi="宋体" w:cs="宋体"/>
          <w:color w:val="auto"/>
          <w:highlight w:val="none"/>
        </w:rPr>
        <w:t>发包人提供支付担保的形式：</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1D2BC468">
      <w:pPr>
        <w:pStyle w:val="126"/>
        <w:adjustRightInd w:val="0"/>
        <w:snapToGrid w:val="0"/>
        <w:spacing w:before="0" w:after="0" w:line="360" w:lineRule="exact"/>
        <w:ind w:firstLine="420"/>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3. 承包人</w:t>
      </w:r>
    </w:p>
    <w:p w14:paraId="22271034">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3.1 承包人的一般义务</w:t>
      </w:r>
    </w:p>
    <w:p w14:paraId="0355A57E">
      <w:pPr>
        <w:pStyle w:val="103"/>
        <w:adjustRightInd w:val="0"/>
        <w:snapToGrid w:val="0"/>
        <w:spacing w:line="360" w:lineRule="exact"/>
        <w:ind w:firstLine="315" w:firstLineChars="150"/>
        <w:jc w:val="left"/>
        <w:rPr>
          <w:rFonts w:ascii="宋体" w:hAnsi="宋体" w:cs="宋体"/>
          <w:color w:val="auto"/>
          <w:highlight w:val="none"/>
        </w:rPr>
      </w:pPr>
      <w:r>
        <w:rPr>
          <w:rFonts w:hint="eastAsia" w:ascii="宋体" w:hAnsi="宋体" w:cs="宋体"/>
          <w:color w:val="auto"/>
          <w:highlight w:val="none"/>
        </w:rPr>
        <w:t>承包人提交的竣工资料的内容：包括但不限于承诺书、成交结果通知书、施工合同、开工申请报告、竣工申请报告、竣工验收单、结算书（纸质稿、电子稿、原文件计算稿）、竣工图纸（纸质稿、电子稿、签章扫描稿）以及全过程原始记录验收资料、材料质保书、合格证书、材质验收报告、其他按规定应提交的资料。</w:t>
      </w:r>
    </w:p>
    <w:p w14:paraId="24C5CAA8">
      <w:pPr>
        <w:pStyle w:val="103"/>
        <w:adjustRightInd w:val="0"/>
        <w:snapToGrid w:val="0"/>
        <w:spacing w:line="360" w:lineRule="exact"/>
        <w:ind w:firstLine="315" w:firstLineChars="150"/>
        <w:jc w:val="left"/>
        <w:rPr>
          <w:rFonts w:ascii="宋体" w:hAnsi="宋体" w:cs="宋体"/>
          <w:color w:val="auto"/>
          <w:highlight w:val="none"/>
        </w:rPr>
      </w:pPr>
      <w:r>
        <w:rPr>
          <w:rFonts w:hint="eastAsia" w:ascii="宋体" w:hAnsi="宋体" w:cs="宋体"/>
          <w:color w:val="auto"/>
          <w:highlight w:val="none"/>
          <w:u w:val="single"/>
        </w:rPr>
        <w:t xml:space="preserve">上述文件的原始资料必须齐全，且必须符合工程技术档案要求。若承包人未按时向发包人提交以上资料及未经发包人确认，发包人不予支付工程款 </w:t>
      </w:r>
      <w:r>
        <w:rPr>
          <w:rFonts w:hint="eastAsia" w:ascii="宋体" w:hAnsi="宋体" w:cs="宋体"/>
          <w:color w:val="auto"/>
          <w:highlight w:val="none"/>
        </w:rPr>
        <w:t>。</w:t>
      </w:r>
    </w:p>
    <w:p w14:paraId="61985ECB">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承包人需要提交的竣工资料套数：</w:t>
      </w:r>
      <w:r>
        <w:rPr>
          <w:rFonts w:hint="eastAsia" w:ascii="宋体" w:hAnsi="宋体" w:cs="宋体"/>
          <w:color w:val="auto"/>
          <w:highlight w:val="none"/>
          <w:u w:val="single"/>
        </w:rPr>
        <w:t xml:space="preserve">   叁   </w:t>
      </w:r>
      <w:r>
        <w:rPr>
          <w:rFonts w:hint="eastAsia" w:ascii="宋体" w:hAnsi="宋体" w:cs="宋体"/>
          <w:color w:val="auto"/>
          <w:highlight w:val="none"/>
        </w:rPr>
        <w:t>。</w:t>
      </w:r>
    </w:p>
    <w:p w14:paraId="7161AC23">
      <w:pPr>
        <w:pStyle w:val="103"/>
        <w:adjustRightInd w:val="0"/>
        <w:snapToGrid w:val="0"/>
        <w:spacing w:line="360" w:lineRule="exact"/>
        <w:ind w:firstLine="525" w:firstLineChars="250"/>
        <w:jc w:val="left"/>
        <w:rPr>
          <w:rFonts w:ascii="宋体" w:hAnsi="宋体" w:cs="宋体"/>
          <w:color w:val="auto"/>
          <w:highlight w:val="none"/>
        </w:rPr>
      </w:pPr>
      <w:r>
        <w:rPr>
          <w:rFonts w:hint="eastAsia" w:ascii="宋体" w:hAnsi="宋体" w:cs="宋体"/>
          <w:color w:val="auto"/>
          <w:highlight w:val="none"/>
        </w:rPr>
        <w:t>承包人提交的竣工资料的费用承担：</w:t>
      </w:r>
      <w:r>
        <w:rPr>
          <w:rFonts w:hint="eastAsia" w:ascii="宋体" w:hAnsi="宋体" w:cs="宋体"/>
          <w:color w:val="auto"/>
          <w:highlight w:val="none"/>
          <w:u w:val="single"/>
        </w:rPr>
        <w:t xml:space="preserve">   承包人承担    </w:t>
      </w:r>
      <w:r>
        <w:rPr>
          <w:rFonts w:hint="eastAsia" w:ascii="宋体" w:hAnsi="宋体" w:cs="宋体"/>
          <w:color w:val="auto"/>
          <w:highlight w:val="none"/>
        </w:rPr>
        <w:t>。</w:t>
      </w:r>
    </w:p>
    <w:p w14:paraId="2E6C80BF">
      <w:pPr>
        <w:pStyle w:val="103"/>
        <w:adjustRightInd w:val="0"/>
        <w:snapToGrid w:val="0"/>
        <w:spacing w:line="360" w:lineRule="exact"/>
        <w:ind w:firstLine="525" w:firstLineChars="250"/>
        <w:jc w:val="left"/>
        <w:rPr>
          <w:rFonts w:ascii="宋体" w:hAnsi="宋体" w:cs="宋体"/>
          <w:color w:val="auto"/>
          <w:highlight w:val="none"/>
        </w:rPr>
      </w:pPr>
      <w:r>
        <w:rPr>
          <w:rFonts w:hint="eastAsia" w:ascii="宋体" w:hAnsi="宋体" w:cs="宋体"/>
          <w:color w:val="auto"/>
          <w:highlight w:val="none"/>
        </w:rPr>
        <w:t>承包人提交的竣工资料移交时间：</w:t>
      </w:r>
      <w:r>
        <w:rPr>
          <w:rFonts w:hint="eastAsia" w:ascii="宋体" w:hAnsi="宋体" w:cs="宋体"/>
          <w:color w:val="auto"/>
          <w:highlight w:val="none"/>
          <w:u w:val="single"/>
        </w:rPr>
        <w:t>工程竣工验收合格后20日历天内。</w:t>
      </w:r>
    </w:p>
    <w:p w14:paraId="0973036D">
      <w:pPr>
        <w:pStyle w:val="103"/>
        <w:adjustRightInd w:val="0"/>
        <w:snapToGrid w:val="0"/>
        <w:spacing w:line="360" w:lineRule="exact"/>
        <w:ind w:firstLine="525" w:firstLineChars="250"/>
        <w:jc w:val="left"/>
        <w:rPr>
          <w:rFonts w:ascii="宋体" w:hAnsi="宋体" w:cs="宋体"/>
          <w:color w:val="auto"/>
          <w:highlight w:val="none"/>
        </w:rPr>
      </w:pPr>
      <w:r>
        <w:rPr>
          <w:rFonts w:hint="eastAsia" w:ascii="宋体" w:hAnsi="宋体" w:cs="宋体"/>
          <w:color w:val="auto"/>
          <w:highlight w:val="none"/>
        </w:rPr>
        <w:t>承包人提交的竣工资料形式要求:</w:t>
      </w:r>
      <w:r>
        <w:rPr>
          <w:rFonts w:hint="eastAsia" w:ascii="宋体" w:hAnsi="宋体" w:cs="宋体"/>
          <w:color w:val="auto"/>
          <w:highlight w:val="none"/>
          <w:u w:val="single"/>
        </w:rPr>
        <w:t>竣工资料按规范装订成册。</w:t>
      </w:r>
    </w:p>
    <w:p w14:paraId="414AFB0B">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kern w:val="0"/>
          <w:highlight w:val="none"/>
        </w:rPr>
        <w:t>（6）承包人应履行的其他义务：</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66D7DEEC">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3.2 项目经理</w:t>
      </w:r>
    </w:p>
    <w:p w14:paraId="241320BC">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kern w:val="0"/>
          <w:highlight w:val="none"/>
        </w:rPr>
        <w:t xml:space="preserve">3.2.1 </w:t>
      </w:r>
      <w:r>
        <w:rPr>
          <w:rFonts w:hint="eastAsia" w:ascii="宋体" w:hAnsi="宋体" w:cs="宋体"/>
          <w:color w:val="auto"/>
          <w:highlight w:val="none"/>
        </w:rPr>
        <w:t>项目经理：</w:t>
      </w:r>
    </w:p>
    <w:p w14:paraId="3CCF22D3">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姓    名：</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6F718400">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身份证号：</w:t>
      </w:r>
      <w:r>
        <w:rPr>
          <w:rFonts w:hint="eastAsia" w:ascii="宋体" w:hAnsi="宋体" w:cs="宋体"/>
          <w:b/>
          <w:bCs/>
          <w:color w:val="auto"/>
          <w:highlight w:val="none"/>
          <w:u w:val="single"/>
        </w:rPr>
        <w:t xml:space="preserve">                    </w:t>
      </w:r>
      <w:r>
        <w:rPr>
          <w:rFonts w:hint="eastAsia" w:ascii="宋体" w:hAnsi="宋体" w:cs="宋体"/>
          <w:color w:val="auto"/>
          <w:highlight w:val="none"/>
        </w:rPr>
        <w:t>；</w:t>
      </w:r>
    </w:p>
    <w:p w14:paraId="3608ED4D">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建造师执业资格等级：</w:t>
      </w:r>
      <w:r>
        <w:rPr>
          <w:rFonts w:hint="eastAsia" w:ascii="宋体" w:hAnsi="宋体" w:cs="宋体"/>
          <w:b/>
          <w:bCs/>
          <w:color w:val="auto"/>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2672A6D7">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建造师注册证书号：</w:t>
      </w:r>
      <w:r>
        <w:rPr>
          <w:rFonts w:hint="eastAsia" w:ascii="宋体" w:hAnsi="宋体" w:cs="宋体"/>
          <w:b/>
          <w:bCs/>
          <w:color w:val="auto"/>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2660F34A">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建造师执业印章号：</w:t>
      </w:r>
      <w:r>
        <w:rPr>
          <w:rFonts w:hint="eastAsia" w:ascii="宋体" w:hAnsi="宋体" w:cs="宋体"/>
          <w:b/>
          <w:bCs/>
          <w:color w:val="auto"/>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2EDA0BF">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安全生产考核合格证书号：</w:t>
      </w:r>
      <w:r>
        <w:rPr>
          <w:rFonts w:hint="eastAsia" w:ascii="宋体" w:hAnsi="宋体" w:cs="宋体"/>
          <w:b/>
          <w:bCs/>
          <w:color w:val="auto"/>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6BB4BD47">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联系电话：</w:t>
      </w:r>
      <w:r>
        <w:rPr>
          <w:rFonts w:hint="eastAsia" w:ascii="宋体" w:hAnsi="宋体" w:cs="宋体"/>
          <w:b/>
          <w:bCs/>
          <w:color w:val="auto"/>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4F92A3A4">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电子信箱：</w:t>
      </w:r>
      <w:r>
        <w:rPr>
          <w:rFonts w:hint="eastAsia" w:ascii="宋体" w:hAnsi="宋体" w:cs="宋体"/>
          <w:b/>
          <w:bCs/>
          <w:color w:val="auto"/>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4727F1A6">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通信地址：</w:t>
      </w:r>
      <w:r>
        <w:rPr>
          <w:rFonts w:hint="eastAsia" w:ascii="宋体" w:hAnsi="宋体" w:cs="宋体"/>
          <w:b/>
          <w:bCs/>
          <w:color w:val="auto"/>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FF1228F">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承包人对项目经理的授权范围如下：</w:t>
      </w:r>
      <w:r>
        <w:rPr>
          <w:rFonts w:hint="eastAsia" w:ascii="宋体" w:hAnsi="宋体" w:cs="宋体"/>
          <w:b/>
          <w:bCs/>
          <w:color w:val="auto"/>
          <w:highlight w:val="none"/>
          <w:u w:val="single"/>
        </w:rPr>
        <w:t>项目经理按合同约定组织工程实施</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2CF9745">
      <w:pPr>
        <w:pStyle w:val="103"/>
        <w:adjustRightInd w:val="0"/>
        <w:snapToGrid w:val="0"/>
        <w:spacing w:line="360" w:lineRule="exact"/>
        <w:ind w:firstLine="420" w:firstLineChars="200"/>
        <w:jc w:val="left"/>
        <w:rPr>
          <w:rFonts w:ascii="宋体" w:hAnsi="宋体" w:cs="宋体"/>
          <w:color w:val="auto"/>
          <w:kern w:val="0"/>
          <w:highlight w:val="none"/>
        </w:rPr>
      </w:pPr>
      <w:r>
        <w:rPr>
          <w:rFonts w:hint="eastAsia" w:ascii="宋体" w:hAnsi="宋体" w:cs="宋体"/>
          <w:color w:val="auto"/>
          <w:kern w:val="0"/>
          <w:highlight w:val="none"/>
        </w:rPr>
        <w:t>关于项目经理每月在施工现场的时间要求：</w:t>
      </w:r>
      <w:r>
        <w:rPr>
          <w:rFonts w:hint="eastAsia" w:ascii="宋体" w:hAnsi="宋体" w:cs="宋体"/>
          <w:b/>
          <w:bCs/>
          <w:color w:val="auto"/>
          <w:highlight w:val="none"/>
          <w:u w:val="single"/>
        </w:rPr>
        <w:t>以承包人承诺到位率为准   。</w:t>
      </w:r>
    </w:p>
    <w:p w14:paraId="0C5C5E4B">
      <w:pPr>
        <w:pStyle w:val="103"/>
        <w:adjustRightInd w:val="0"/>
        <w:snapToGrid w:val="0"/>
        <w:spacing w:line="360" w:lineRule="exact"/>
        <w:ind w:firstLine="420" w:firstLineChars="200"/>
        <w:rPr>
          <w:rFonts w:ascii="宋体" w:hAnsi="宋体" w:cs="宋体"/>
          <w:color w:val="auto"/>
          <w:kern w:val="0"/>
          <w:highlight w:val="none"/>
        </w:rPr>
      </w:pPr>
      <w:r>
        <w:rPr>
          <w:rFonts w:hint="eastAsia" w:ascii="宋体" w:hAnsi="宋体" w:cs="宋体"/>
          <w:color w:val="auto"/>
          <w:kern w:val="0"/>
          <w:highlight w:val="none"/>
        </w:rPr>
        <w:t>承包人未提交劳动合同，以及没有为项目经理缴纳社会保险证明的违约责任：</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 xml:space="preserve">由承包人承担违约责任 </w:t>
      </w:r>
      <w:r>
        <w:rPr>
          <w:rFonts w:hint="eastAsia" w:ascii="宋体" w:hAnsi="宋体" w:cs="宋体"/>
          <w:color w:val="auto"/>
          <w:highlight w:val="none"/>
        </w:rPr>
        <w:t>。</w:t>
      </w:r>
    </w:p>
    <w:p w14:paraId="44DCAED2">
      <w:pPr>
        <w:pStyle w:val="103"/>
        <w:adjustRightInd w:val="0"/>
        <w:snapToGrid w:val="0"/>
        <w:spacing w:line="360" w:lineRule="exact"/>
        <w:ind w:firstLine="420" w:firstLineChars="200"/>
        <w:rPr>
          <w:rFonts w:ascii="宋体" w:hAnsi="宋体" w:cs="宋体"/>
          <w:color w:val="auto"/>
          <w:highlight w:val="none"/>
          <w:u w:val="single"/>
        </w:rPr>
      </w:pPr>
      <w:r>
        <w:rPr>
          <w:rFonts w:hint="eastAsia" w:ascii="宋体" w:hAnsi="宋体" w:cs="宋体"/>
          <w:color w:val="auto"/>
          <w:kern w:val="0"/>
          <w:highlight w:val="none"/>
        </w:rPr>
        <w:t>项目经理未经批准，擅自离开施工现场的违约责任：</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按500元/次予以处罚</w:t>
      </w:r>
      <w:r>
        <w:rPr>
          <w:rFonts w:hint="eastAsia" w:ascii="宋体" w:hAnsi="宋体" w:cs="宋体"/>
          <w:color w:val="auto"/>
          <w:highlight w:val="none"/>
        </w:rPr>
        <w:t>。</w:t>
      </w:r>
    </w:p>
    <w:p w14:paraId="414CDFBD">
      <w:pPr>
        <w:pStyle w:val="127"/>
        <w:adjustRightInd w:val="0"/>
        <w:snapToGrid w:val="0"/>
        <w:spacing w:line="360" w:lineRule="exact"/>
        <w:ind w:firstLine="359" w:firstLineChars="171"/>
        <w:rPr>
          <w:rFonts w:ascii="宋体" w:hAnsi="宋体" w:eastAsia="宋体" w:cs="宋体"/>
          <w:color w:val="auto"/>
          <w:highlight w:val="none"/>
        </w:rPr>
      </w:pPr>
      <w:r>
        <w:rPr>
          <w:rFonts w:hint="eastAsia" w:ascii="宋体" w:hAnsi="宋体" w:eastAsia="宋体" w:cs="宋体"/>
          <w:color w:val="auto"/>
          <w:highlight w:val="none"/>
        </w:rPr>
        <w:t>3.2.2承包人擅自更换项目经理的违约责任：</w:t>
      </w:r>
    </w:p>
    <w:p w14:paraId="65FC861C">
      <w:pPr>
        <w:pStyle w:val="127"/>
        <w:numPr>
          <w:ilvl w:val="0"/>
          <w:numId w:val="5"/>
        </w:numPr>
        <w:adjustRightInd w:val="0"/>
        <w:snapToGrid w:val="0"/>
        <w:spacing w:line="360" w:lineRule="exact"/>
        <w:ind w:firstLine="420" w:firstLineChars="200"/>
        <w:rPr>
          <w:rFonts w:ascii="宋体" w:hAnsi="宋体" w:eastAsia="宋体" w:cs="宋体"/>
          <w:color w:val="auto"/>
          <w:kern w:val="0"/>
          <w:szCs w:val="24"/>
          <w:highlight w:val="none"/>
          <w:u w:val="single"/>
        </w:rPr>
      </w:pPr>
      <w:r>
        <w:rPr>
          <w:rFonts w:hint="eastAsia" w:ascii="宋体" w:hAnsi="宋体" w:eastAsia="宋体" w:cs="宋体"/>
          <w:color w:val="auto"/>
          <w:kern w:val="0"/>
          <w:szCs w:val="24"/>
          <w:highlight w:val="none"/>
        </w:rPr>
        <w:t>承包人确需更换项目经理的，继任项目经理注册执业资格、管理经验的约定：</w:t>
      </w:r>
      <w:r>
        <w:rPr>
          <w:rFonts w:hint="eastAsia" w:ascii="宋体" w:hAnsi="宋体" w:eastAsia="宋体" w:cs="宋体"/>
          <w:color w:val="auto"/>
          <w:kern w:val="0"/>
          <w:szCs w:val="24"/>
          <w:highlight w:val="none"/>
          <w:u w:val="single"/>
        </w:rPr>
        <w:t>/ 。</w:t>
      </w:r>
    </w:p>
    <w:p w14:paraId="070D608E">
      <w:pPr>
        <w:pStyle w:val="127"/>
        <w:numPr>
          <w:ilvl w:val="0"/>
          <w:numId w:val="5"/>
        </w:numPr>
        <w:adjustRightInd w:val="0"/>
        <w:snapToGrid w:val="0"/>
        <w:spacing w:line="360" w:lineRule="exact"/>
        <w:ind w:firstLine="420" w:firstLineChars="200"/>
        <w:rPr>
          <w:rFonts w:ascii="宋体" w:hAnsi="宋体" w:eastAsia="宋体" w:cs="宋体"/>
          <w:b/>
          <w:bCs/>
          <w:color w:val="auto"/>
          <w:kern w:val="0"/>
          <w:highlight w:val="none"/>
          <w:u w:val="single"/>
        </w:rPr>
      </w:pPr>
      <w:r>
        <w:rPr>
          <w:rFonts w:hint="eastAsia" w:ascii="宋体" w:hAnsi="宋体" w:eastAsia="宋体" w:cs="宋体"/>
          <w:color w:val="auto"/>
          <w:kern w:val="0"/>
          <w:szCs w:val="24"/>
          <w:highlight w:val="none"/>
        </w:rPr>
        <w:t>承包人擅自更换项目经理的违约责任：</w:t>
      </w:r>
      <w:r>
        <w:rPr>
          <w:rFonts w:hint="eastAsia" w:ascii="宋体" w:hAnsi="宋体" w:eastAsia="宋体" w:cs="宋体"/>
          <w:b/>
          <w:bCs/>
          <w:color w:val="auto"/>
          <w:kern w:val="0"/>
          <w:highlight w:val="none"/>
          <w:u w:val="single"/>
        </w:rPr>
        <w:t>未经发包人同意，承包人不得擅自更换上述人员，承包人擅自更换的，除按合同要求派驻人员外，每次还需按合同总价的3%向发包人支付违约金，且发包人有权视情况解除本合同。如确需变更人员的，承包人需提出书面申请，经发包人同意后变更。</w:t>
      </w:r>
    </w:p>
    <w:p w14:paraId="78FAFC1C">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szCs w:val="21"/>
          <w:highlight w:val="none"/>
        </w:rPr>
        <w:t>3.2.3 承包人无正当理由拒绝更换项目经理的违约责任</w:t>
      </w:r>
      <w:r>
        <w:rPr>
          <w:rFonts w:hint="eastAsia" w:ascii="宋体" w:hAnsi="宋体" w:cs="宋体"/>
          <w:color w:val="auto"/>
          <w:highlight w:val="none"/>
        </w:rPr>
        <w:t>：</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按通用合同条款第3.2.4条规定执行</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D860EA9">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3.3 承包人人员</w:t>
      </w:r>
    </w:p>
    <w:p w14:paraId="76271F35">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3.3.1 承包人提交项目管理机构及施工现场管理人员安排报告的期限：</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66628DF6">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3.3.2 承包人需更换主要施工管理人员的，继任人员的数量、注册执业资格、管理经验的约定</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58887373">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3.3.3 承包人无正当理由拒绝撤换主要施工管理人员的违约责任：</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08DDDE9A">
      <w:pPr>
        <w:pStyle w:val="103"/>
        <w:adjustRightInd w:val="0"/>
        <w:snapToGrid w:val="0"/>
        <w:spacing w:line="360" w:lineRule="exact"/>
        <w:ind w:firstLine="420" w:firstLineChars="200"/>
        <w:rPr>
          <w:rFonts w:ascii="宋体" w:hAnsi="宋体" w:cs="宋体"/>
          <w:color w:val="auto"/>
          <w:highlight w:val="none"/>
          <w:u w:val="single"/>
        </w:rPr>
      </w:pPr>
      <w:r>
        <w:rPr>
          <w:rFonts w:hint="eastAsia" w:ascii="宋体" w:hAnsi="宋体" w:cs="宋体"/>
          <w:color w:val="auto"/>
          <w:highlight w:val="none"/>
        </w:rPr>
        <w:t>3.3.4 承包人主要施工管理人员离开施工现场的批准要求：</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按通用合同条款第3.3.4条规定执行</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1445A1A">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3.3.5承包人擅自更换主要施工管理人员的违约责任：</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   。</w:t>
      </w:r>
    </w:p>
    <w:p w14:paraId="4295095A">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承包人主要施工管理人员擅自离开施工现场的违约责任：</w:t>
      </w:r>
      <w:r>
        <w:rPr>
          <w:rFonts w:hint="eastAsia" w:ascii="宋体" w:hAnsi="宋体" w:cs="宋体"/>
          <w:b/>
          <w:bCs/>
          <w:color w:val="auto"/>
          <w:highlight w:val="none"/>
          <w:u w:val="single"/>
        </w:rPr>
        <w:t>发包人有权要求更换管理人员</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EE0859F">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3.4 分包</w:t>
      </w:r>
    </w:p>
    <w:p w14:paraId="28D71F24">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3.4.1 分包的一般约定</w:t>
      </w:r>
    </w:p>
    <w:p w14:paraId="4B06DE39">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禁止分包的工程包括：</w:t>
      </w:r>
      <w:r>
        <w:rPr>
          <w:rFonts w:hint="eastAsia" w:ascii="宋体" w:hAnsi="宋体" w:cs="宋体"/>
          <w:b/>
          <w:bCs/>
          <w:color w:val="auto"/>
          <w:highlight w:val="none"/>
          <w:u w:val="single"/>
        </w:rPr>
        <w:t xml:space="preserve"> 未经发包人同意一律不得分包。  </w:t>
      </w:r>
    </w:p>
    <w:p w14:paraId="2AF22A6D">
      <w:pPr>
        <w:pStyle w:val="103"/>
        <w:adjustRightInd w:val="0"/>
        <w:snapToGrid w:val="0"/>
        <w:spacing w:line="360" w:lineRule="exact"/>
        <w:jc w:val="left"/>
        <w:rPr>
          <w:rFonts w:ascii="宋体" w:hAnsi="宋体" w:cs="宋体"/>
          <w:color w:val="auto"/>
          <w:highlight w:val="none"/>
          <w:u w:val="single"/>
        </w:rPr>
      </w:pPr>
      <w:r>
        <w:rPr>
          <w:rFonts w:hint="eastAsia" w:ascii="宋体" w:hAnsi="宋体" w:cs="宋体"/>
          <w:color w:val="auto"/>
          <w:highlight w:val="none"/>
        </w:rPr>
        <w:t xml:space="preserve">    主体结构、关键性工作的范围：</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1507F806">
      <w:pPr>
        <w:pStyle w:val="103"/>
        <w:adjustRightInd w:val="0"/>
        <w:snapToGrid w:val="0"/>
        <w:spacing w:line="360" w:lineRule="exact"/>
        <w:rPr>
          <w:rFonts w:ascii="宋体" w:hAnsi="宋体" w:cs="宋体"/>
          <w:color w:val="auto"/>
          <w:highlight w:val="none"/>
        </w:rPr>
      </w:pPr>
      <w:r>
        <w:rPr>
          <w:rFonts w:hint="eastAsia" w:ascii="宋体" w:hAnsi="宋体" w:cs="宋体"/>
          <w:color w:val="auto"/>
          <w:highlight w:val="none"/>
        </w:rPr>
        <w:t xml:space="preserve">    3.4.2分包的确定</w:t>
      </w:r>
    </w:p>
    <w:p w14:paraId="780A7307">
      <w:pPr>
        <w:pStyle w:val="103"/>
        <w:adjustRightInd w:val="0"/>
        <w:snapToGrid w:val="0"/>
        <w:spacing w:line="360" w:lineRule="exact"/>
        <w:ind w:firstLine="420" w:firstLineChars="200"/>
        <w:rPr>
          <w:rFonts w:ascii="宋体" w:hAnsi="宋体" w:cs="宋体"/>
          <w:color w:val="auto"/>
          <w:highlight w:val="none"/>
          <w:u w:val="single"/>
        </w:rPr>
      </w:pPr>
      <w:r>
        <w:rPr>
          <w:rFonts w:hint="eastAsia" w:ascii="宋体" w:hAnsi="宋体" w:cs="宋体"/>
          <w:color w:val="auto"/>
          <w:highlight w:val="none"/>
        </w:rPr>
        <w:t>允许分包的专业工程包括：</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3479BB72">
      <w:pPr>
        <w:pStyle w:val="103"/>
        <w:adjustRightInd w:val="0"/>
        <w:snapToGrid w:val="0"/>
        <w:spacing w:line="360" w:lineRule="exact"/>
        <w:rPr>
          <w:rFonts w:ascii="宋体" w:hAnsi="宋体" w:cs="宋体"/>
          <w:color w:val="auto"/>
          <w:highlight w:val="none"/>
        </w:rPr>
      </w:pPr>
      <w:r>
        <w:rPr>
          <w:rFonts w:hint="eastAsia" w:ascii="宋体" w:hAnsi="宋体" w:cs="宋体"/>
          <w:color w:val="auto"/>
          <w:highlight w:val="none"/>
        </w:rPr>
        <w:t xml:space="preserve">    其他关于分包的约定：</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2987D070">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3.4.3 分包合同价款</w:t>
      </w:r>
    </w:p>
    <w:p w14:paraId="5B42B9B4">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关于分包合同价款支付的约定：</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021E4B4C">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3.5 工程照管与成品、半成品保护</w:t>
      </w:r>
    </w:p>
    <w:p w14:paraId="63637583">
      <w:pPr>
        <w:pStyle w:val="103"/>
        <w:adjustRightInd w:val="0"/>
        <w:snapToGrid w:val="0"/>
        <w:spacing w:line="360" w:lineRule="exact"/>
        <w:ind w:firstLine="420" w:firstLineChars="200"/>
        <w:rPr>
          <w:rFonts w:ascii="宋体" w:hAnsi="宋体" w:cs="宋体"/>
          <w:color w:val="auto"/>
          <w:kern w:val="0"/>
          <w:highlight w:val="none"/>
        </w:rPr>
      </w:pPr>
      <w:r>
        <w:rPr>
          <w:rFonts w:hint="eastAsia" w:ascii="宋体" w:hAnsi="宋体" w:cs="宋体"/>
          <w:color w:val="auto"/>
          <w:kern w:val="0"/>
          <w:highlight w:val="none"/>
        </w:rPr>
        <w:t>承包人负责照管工程及工程相关的材料、工程设备的起始时间：</w:t>
      </w:r>
      <w:r>
        <w:rPr>
          <w:rFonts w:hint="eastAsia" w:ascii="宋体" w:hAnsi="宋体" w:cs="宋体"/>
          <w:b/>
          <w:bCs/>
          <w:color w:val="auto"/>
          <w:kern w:val="0"/>
          <w:highlight w:val="none"/>
          <w:u w:val="single"/>
        </w:rPr>
        <w:t>按通用合同条款第3.6条规定执行</w:t>
      </w:r>
      <w:r>
        <w:rPr>
          <w:rFonts w:hint="eastAsia" w:ascii="宋体" w:hAnsi="宋体" w:cs="宋体"/>
          <w:color w:val="auto"/>
          <w:kern w:val="0"/>
          <w:highlight w:val="none"/>
        </w:rPr>
        <w:t>。</w:t>
      </w:r>
    </w:p>
    <w:p w14:paraId="14DA1BA9">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3.6 履约担保</w:t>
      </w:r>
    </w:p>
    <w:p w14:paraId="0B67CF48">
      <w:pPr>
        <w:pStyle w:val="103"/>
        <w:adjustRightInd w:val="0"/>
        <w:snapToGrid w:val="0"/>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承包人是否提供履约担保：</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是</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1987A80">
      <w:pPr>
        <w:pStyle w:val="103"/>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承包人提供履约担保的形式、金额及期限的，采用以下第</w:t>
      </w:r>
      <w:r>
        <w:rPr>
          <w:rFonts w:hint="eastAsia" w:ascii="宋体" w:hAnsi="宋体" w:cs="宋体"/>
          <w:color w:val="auto"/>
          <w:highlight w:val="none"/>
          <w:u w:val="single"/>
        </w:rPr>
        <w:t>3</w:t>
      </w:r>
      <w:r>
        <w:rPr>
          <w:rFonts w:hint="eastAsia" w:ascii="宋体" w:hAnsi="宋体" w:cs="宋体"/>
          <w:color w:val="auto"/>
          <w:highlight w:val="none"/>
        </w:rPr>
        <w:t>种方式：</w:t>
      </w:r>
    </w:p>
    <w:p w14:paraId="3D449D33">
      <w:pPr>
        <w:pStyle w:val="103"/>
        <w:adjustRightInd w:val="0"/>
        <w:snapToGrid w:val="0"/>
        <w:spacing w:line="360" w:lineRule="exact"/>
        <w:ind w:firstLine="420" w:firstLineChars="200"/>
        <w:rPr>
          <w:rFonts w:ascii="宋体" w:hAnsi="宋体" w:cs="宋体"/>
          <w:color w:val="auto"/>
          <w:highlight w:val="none"/>
          <w:u w:val="single"/>
        </w:rPr>
      </w:pPr>
      <w:r>
        <w:rPr>
          <w:rFonts w:hint="eastAsia" w:ascii="宋体" w:hAnsi="宋体" w:cs="宋体"/>
          <w:color w:val="auto"/>
          <w:highlight w:val="none"/>
        </w:rPr>
        <w:t>(1)保证保险，金额及期限为：</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7E2D4343">
      <w:pPr>
        <w:pStyle w:val="103"/>
        <w:adjustRightInd w:val="0"/>
        <w:snapToGrid w:val="0"/>
        <w:spacing w:line="360" w:lineRule="exact"/>
        <w:ind w:firstLine="420" w:firstLineChars="200"/>
        <w:rPr>
          <w:rFonts w:ascii="宋体" w:hAnsi="宋体" w:cs="宋体"/>
          <w:color w:val="auto"/>
          <w:highlight w:val="none"/>
          <w:u w:val="single"/>
        </w:rPr>
      </w:pPr>
      <w:r>
        <w:rPr>
          <w:rFonts w:hint="eastAsia" w:ascii="宋体" w:hAnsi="宋体" w:cs="宋体"/>
          <w:color w:val="auto"/>
          <w:highlight w:val="none"/>
        </w:rPr>
        <w:t>(2)银行保函，金额及期限为：</w:t>
      </w:r>
      <w:r>
        <w:rPr>
          <w:rFonts w:hint="eastAsia" w:ascii="宋体" w:hAnsi="宋体" w:cs="宋体"/>
          <w:color w:val="auto"/>
          <w:highlight w:val="none"/>
          <w:u w:val="single"/>
        </w:rPr>
        <w:t xml:space="preserve">    /     </w:t>
      </w:r>
      <w:r>
        <w:rPr>
          <w:rFonts w:hint="eastAsia" w:ascii="宋体" w:hAnsi="宋体" w:cs="宋体"/>
          <w:color w:val="auto"/>
          <w:highlight w:val="none"/>
        </w:rPr>
        <w:t xml:space="preserve"> ；</w:t>
      </w:r>
    </w:p>
    <w:p w14:paraId="0D9D668B">
      <w:pPr>
        <w:pStyle w:val="103"/>
        <w:adjustRightInd w:val="0"/>
        <w:snapToGrid w:val="0"/>
        <w:spacing w:line="360" w:lineRule="exact"/>
        <w:ind w:firstLine="420" w:firstLineChars="200"/>
        <w:rPr>
          <w:rFonts w:ascii="宋体" w:hAnsi="宋体" w:cs="宋体"/>
          <w:b/>
          <w:bCs/>
          <w:color w:val="auto"/>
          <w:highlight w:val="none"/>
          <w:u w:val="single"/>
        </w:rPr>
      </w:pPr>
      <w:r>
        <w:rPr>
          <w:rFonts w:hint="eastAsia" w:ascii="宋体" w:hAnsi="宋体" w:cs="宋体"/>
          <w:color w:val="auto"/>
          <w:kern w:val="0"/>
          <w:highlight w:val="none"/>
        </w:rPr>
        <w:t>(3)其他方式，</w:t>
      </w:r>
      <w:r>
        <w:rPr>
          <w:rFonts w:hint="eastAsia" w:ascii="宋体" w:hAnsi="宋体" w:cs="宋体"/>
          <w:b/>
          <w:bCs/>
          <w:color w:val="auto"/>
          <w:highlight w:val="none"/>
          <w:u w:val="single"/>
        </w:rPr>
        <w:t>合同签订后7天内，承包人向发包人递交合同价1%的履约保证金（履约担保的形式：电汇、汇票、支票形式或银行、保险公司出具的保函）</w:t>
      </w:r>
      <w:r>
        <w:rPr>
          <w:rFonts w:hint="eastAsia" w:ascii="宋体" w:hAnsi="宋体" w:cs="宋体"/>
          <w:color w:val="auto"/>
          <w:highlight w:val="none"/>
          <w:u w:val="single"/>
        </w:rPr>
        <w:t>。</w:t>
      </w:r>
    </w:p>
    <w:p w14:paraId="39D2B00F">
      <w:pPr>
        <w:pStyle w:val="103"/>
        <w:adjustRightInd w:val="0"/>
        <w:snapToGrid w:val="0"/>
        <w:spacing w:line="360" w:lineRule="auto"/>
        <w:ind w:firstLine="420" w:firstLineChars="200"/>
        <w:rPr>
          <w:rFonts w:ascii="宋体" w:hAnsi="宋体" w:cs="宋体"/>
          <w:color w:val="auto"/>
          <w:kern w:val="0"/>
          <w:highlight w:val="none"/>
        </w:rPr>
      </w:pPr>
      <w:r>
        <w:rPr>
          <w:rFonts w:hint="eastAsia" w:ascii="宋体" w:hAnsi="宋体" w:cs="宋体"/>
          <w:color w:val="auto"/>
          <w:kern w:val="0"/>
          <w:highlight w:val="none"/>
        </w:rPr>
        <w:t>履约保证金分五部分，其中：</w:t>
      </w:r>
    </w:p>
    <w:p w14:paraId="45AA4C2D">
      <w:pPr>
        <w:pStyle w:val="103"/>
        <w:adjustRightInd w:val="0"/>
        <w:snapToGrid w:val="0"/>
        <w:spacing w:line="360" w:lineRule="auto"/>
        <w:ind w:firstLine="210" w:firstLineChars="100"/>
        <w:rPr>
          <w:rFonts w:ascii="宋体" w:hAnsi="宋体" w:cs="宋体"/>
          <w:color w:val="auto"/>
          <w:kern w:val="0"/>
          <w:highlight w:val="none"/>
        </w:rPr>
      </w:pPr>
      <w:r>
        <w:rPr>
          <w:rFonts w:hint="eastAsia" w:ascii="宋体" w:hAnsi="宋体" w:cs="宋体"/>
          <w:color w:val="auto"/>
          <w:kern w:val="0"/>
          <w:highlight w:val="none"/>
        </w:rPr>
        <w:t>（a）质量履约保证金占30%，发生质量事故的，则按磋商文件和合同中相关条款处罚。</w:t>
      </w:r>
    </w:p>
    <w:p w14:paraId="17DA2142">
      <w:pPr>
        <w:pStyle w:val="103"/>
        <w:adjustRightInd w:val="0"/>
        <w:snapToGrid w:val="0"/>
        <w:spacing w:line="360" w:lineRule="auto"/>
        <w:ind w:firstLine="210" w:firstLineChars="100"/>
        <w:rPr>
          <w:rFonts w:ascii="宋体" w:hAnsi="宋体" w:cs="宋体"/>
          <w:color w:val="auto"/>
          <w:kern w:val="0"/>
          <w:highlight w:val="none"/>
        </w:rPr>
      </w:pPr>
      <w:r>
        <w:rPr>
          <w:rFonts w:hint="eastAsia" w:ascii="宋体" w:hAnsi="宋体" w:cs="宋体"/>
          <w:color w:val="auto"/>
          <w:kern w:val="0"/>
          <w:highlight w:val="none"/>
        </w:rPr>
        <w:t>（b）工期履约保证金占40%，工期以合同为准，若不能按期竣工，则按磋商文件和合同中相关条款处罚。</w:t>
      </w:r>
    </w:p>
    <w:p w14:paraId="0B71D21B">
      <w:pPr>
        <w:pStyle w:val="103"/>
        <w:adjustRightInd w:val="0"/>
        <w:snapToGrid w:val="0"/>
        <w:spacing w:line="360" w:lineRule="auto"/>
        <w:ind w:firstLine="210" w:firstLineChars="100"/>
        <w:rPr>
          <w:rFonts w:ascii="宋体" w:hAnsi="宋体" w:cs="宋体"/>
          <w:color w:val="auto"/>
          <w:kern w:val="0"/>
          <w:highlight w:val="none"/>
        </w:rPr>
      </w:pPr>
      <w:r>
        <w:rPr>
          <w:rFonts w:hint="eastAsia" w:ascii="宋体" w:hAnsi="宋体" w:cs="宋体"/>
          <w:color w:val="auto"/>
          <w:kern w:val="0"/>
          <w:highlight w:val="none"/>
        </w:rPr>
        <w:t>（c）项目经理及项目班子到位履约保证金占20%。项目经理不能到位，则按磋商文件和合同中相关条款处罚。</w:t>
      </w:r>
    </w:p>
    <w:p w14:paraId="6681C518">
      <w:pPr>
        <w:pStyle w:val="103"/>
        <w:adjustRightInd w:val="0"/>
        <w:snapToGrid w:val="0"/>
        <w:spacing w:line="360" w:lineRule="auto"/>
        <w:ind w:firstLine="210" w:firstLineChars="100"/>
        <w:rPr>
          <w:rFonts w:ascii="宋体" w:hAnsi="宋体" w:cs="宋体"/>
          <w:color w:val="auto"/>
          <w:kern w:val="0"/>
          <w:highlight w:val="none"/>
        </w:rPr>
      </w:pPr>
      <w:r>
        <w:rPr>
          <w:rFonts w:hint="eastAsia" w:ascii="宋体" w:hAnsi="宋体" w:cs="宋体"/>
          <w:color w:val="auto"/>
          <w:kern w:val="0"/>
          <w:highlight w:val="none"/>
        </w:rPr>
        <w:t>（d）安全生产、文明施工履约保证金占5%。发生重大人身安全事故的，罚没该部分保证金。</w:t>
      </w:r>
    </w:p>
    <w:p w14:paraId="3D7FA3A7">
      <w:pPr>
        <w:pStyle w:val="103"/>
        <w:adjustRightInd w:val="0"/>
        <w:snapToGrid w:val="0"/>
        <w:spacing w:line="360" w:lineRule="auto"/>
        <w:ind w:firstLine="210" w:firstLineChars="100"/>
        <w:rPr>
          <w:rFonts w:ascii="宋体" w:hAnsi="宋体" w:cs="宋体"/>
          <w:color w:val="auto"/>
          <w:kern w:val="0"/>
          <w:highlight w:val="none"/>
        </w:rPr>
      </w:pPr>
      <w:r>
        <w:rPr>
          <w:rFonts w:hint="eastAsia" w:ascii="宋体" w:hAnsi="宋体" w:cs="宋体"/>
          <w:color w:val="auto"/>
          <w:kern w:val="0"/>
          <w:highlight w:val="none"/>
        </w:rPr>
        <w:t>（e）廉洁自律、计划生育履约保证金占5%。发生违反廉政合同或计划生育行为的，罚没该部分保证金。</w:t>
      </w:r>
    </w:p>
    <w:p w14:paraId="6187EDF9">
      <w:pPr>
        <w:pStyle w:val="103"/>
        <w:adjustRightInd w:val="0"/>
        <w:snapToGrid w:val="0"/>
        <w:spacing w:line="360" w:lineRule="auto"/>
        <w:ind w:firstLine="420" w:firstLineChars="200"/>
        <w:rPr>
          <w:rFonts w:ascii="宋体" w:hAnsi="宋体" w:cs="宋体"/>
          <w:color w:val="auto"/>
          <w:kern w:val="0"/>
          <w:highlight w:val="none"/>
        </w:rPr>
      </w:pPr>
      <w:r>
        <w:rPr>
          <w:rFonts w:hint="eastAsia" w:ascii="宋体" w:hAnsi="宋体" w:cs="宋体"/>
          <w:color w:val="auto"/>
          <w:kern w:val="0"/>
          <w:highlight w:val="none"/>
        </w:rPr>
        <w:t>履约担保有效期自履约保证金交纳之日起至上述五项指标考核合格后28天内有效。履约保证金在工程竣工验收合格、承包人履行了合同约定的责任和义务（如有违约，扣除违约金）后无息退还。</w:t>
      </w:r>
    </w:p>
    <w:p w14:paraId="60B082DC">
      <w:pPr>
        <w:pStyle w:val="103"/>
        <w:adjustRightInd w:val="0"/>
        <w:snapToGrid w:val="0"/>
        <w:spacing w:line="360" w:lineRule="auto"/>
        <w:ind w:firstLine="482" w:firstLineChars="200"/>
        <w:jc w:val="center"/>
        <w:rPr>
          <w:rFonts w:ascii="宋体" w:hAnsi="宋体" w:cs="宋体"/>
          <w:b/>
          <w:bCs/>
          <w:color w:val="auto"/>
          <w:sz w:val="24"/>
          <w:highlight w:val="none"/>
        </w:rPr>
      </w:pPr>
      <w:r>
        <w:rPr>
          <w:rFonts w:hint="eastAsia" w:ascii="宋体" w:hAnsi="宋体" w:cs="宋体"/>
          <w:b/>
          <w:bCs/>
          <w:color w:val="auto"/>
          <w:sz w:val="24"/>
          <w:highlight w:val="none"/>
        </w:rPr>
        <w:t>4. 监理人</w:t>
      </w:r>
    </w:p>
    <w:p w14:paraId="4EE9B713">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4.1监理人的一般规定</w:t>
      </w:r>
    </w:p>
    <w:p w14:paraId="44073539">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关于监理人的监理内容：</w:t>
      </w:r>
      <w:r>
        <w:rPr>
          <w:rFonts w:hint="eastAsia" w:ascii="宋体" w:hAnsi="宋体" w:cs="宋体"/>
          <w:b/>
          <w:bCs/>
          <w:color w:val="auto"/>
          <w:highlight w:val="none"/>
          <w:u w:val="single"/>
        </w:rPr>
        <w:t>现场全过程协调，负责质量、安全、投资、进度管理</w:t>
      </w:r>
      <w:r>
        <w:rPr>
          <w:rFonts w:hint="eastAsia" w:ascii="宋体" w:hAnsi="宋体" w:cs="宋体"/>
          <w:color w:val="auto"/>
          <w:highlight w:val="none"/>
        </w:rPr>
        <w:t>。</w:t>
      </w:r>
    </w:p>
    <w:p w14:paraId="17AEDBD9">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关于监理人的监理权限：</w:t>
      </w:r>
      <w:r>
        <w:rPr>
          <w:rFonts w:hint="eastAsia" w:ascii="宋体" w:hAnsi="宋体" w:cs="宋体"/>
          <w:b/>
          <w:bCs/>
          <w:color w:val="auto"/>
          <w:highlight w:val="none"/>
          <w:u w:val="single"/>
        </w:rPr>
        <w:t>按监理合同约定实行</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639B7371">
      <w:pPr>
        <w:pStyle w:val="127"/>
        <w:adjustRightInd w:val="0"/>
        <w:snapToGrid w:val="0"/>
        <w:spacing w:line="360" w:lineRule="exact"/>
        <w:ind w:firstLine="420" w:firstLineChars="200"/>
        <w:rPr>
          <w:rFonts w:ascii="宋体" w:hAnsi="宋体" w:eastAsia="宋体" w:cs="宋体"/>
          <w:b/>
          <w:bCs/>
          <w:color w:val="auto"/>
          <w:highlight w:val="none"/>
          <w:u w:val="single"/>
        </w:rPr>
      </w:pPr>
      <w:r>
        <w:rPr>
          <w:rFonts w:hint="eastAsia" w:ascii="宋体" w:hAnsi="宋体" w:eastAsia="宋体" w:cs="宋体"/>
          <w:color w:val="auto"/>
          <w:highlight w:val="none"/>
        </w:rPr>
        <w:t>需要取得发包人批准才能行使的职权：</w:t>
      </w:r>
      <w:r>
        <w:rPr>
          <w:rFonts w:hint="eastAsia" w:ascii="宋体" w:hAnsi="宋体" w:eastAsia="宋体" w:cs="宋体"/>
          <w:b/>
          <w:bCs/>
          <w:color w:val="auto"/>
          <w:kern w:val="0"/>
          <w:highlight w:val="none"/>
          <w:u w:val="single"/>
        </w:rPr>
        <w:t>总监理工程师签署的任何付款凭证需经发包人代表签署确认意见后有效。涉及设计变更、工期顺延、材料价格、停/复工令、工程索赔等可能影响工程价款或工期的签证需经发包人书面同意，签证才有效。</w:t>
      </w:r>
      <w:r>
        <w:rPr>
          <w:rFonts w:hint="eastAsia" w:ascii="宋体" w:hAnsi="宋体" w:eastAsia="宋体" w:cs="宋体"/>
          <w:b/>
          <w:bCs/>
          <w:color w:val="auto"/>
          <w:highlight w:val="none"/>
          <w:u w:val="single"/>
        </w:rPr>
        <w:t xml:space="preserve"> </w:t>
      </w:r>
    </w:p>
    <w:p w14:paraId="402D3E09">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关于监理人在施工现场的办公场所、生活场所的提供和费用承担的约定：</w:t>
      </w:r>
      <w:r>
        <w:rPr>
          <w:rFonts w:hint="eastAsia" w:ascii="宋体" w:hAnsi="宋体" w:cs="宋体"/>
          <w:b/>
          <w:bCs/>
          <w:color w:val="auto"/>
          <w:highlight w:val="none"/>
          <w:u w:val="single"/>
        </w:rPr>
        <w:t>监理人在施工现场的办公场所、生活场所及发生的水电费由承包人提供和承担</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6341817">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4.2 监理人员</w:t>
      </w:r>
    </w:p>
    <w:p w14:paraId="119817EC">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总监理工程师：</w:t>
      </w:r>
    </w:p>
    <w:p w14:paraId="3030402D">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姓    名：</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51897DB3">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职    务：</w:t>
      </w:r>
      <w:r>
        <w:rPr>
          <w:rFonts w:hint="eastAsia" w:ascii="宋体" w:hAnsi="宋体" w:cs="宋体"/>
          <w:b/>
          <w:bCs/>
          <w:color w:val="auto"/>
          <w:highlight w:val="none"/>
          <w:u w:val="single"/>
        </w:rPr>
        <w:t xml:space="preserve">      /  </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B676571">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监理工程师执业资格证书号：</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7F11E022">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2D74F877">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022F86B7">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4DF2C3CE">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关于监理人的其他约定：</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021A4397">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4.4 商定或确定</w:t>
      </w:r>
    </w:p>
    <w:p w14:paraId="6CAA0C7C">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在发包人和承包人不能通过协商达成一致意见时，发包人授权监理人对以下事项进行确定：</w:t>
      </w:r>
    </w:p>
    <w:p w14:paraId="366F8EE2">
      <w:pPr>
        <w:pStyle w:val="103"/>
        <w:autoSpaceDE w:val="0"/>
        <w:autoSpaceDN w:val="0"/>
        <w:adjustRightInd w:val="0"/>
        <w:snapToGrid w:val="0"/>
        <w:spacing w:line="360" w:lineRule="exact"/>
        <w:ind w:firstLine="420" w:firstLineChars="200"/>
        <w:jc w:val="left"/>
        <w:rPr>
          <w:rFonts w:ascii="宋体" w:hAnsi="宋体" w:cs="宋体"/>
          <w:color w:val="auto"/>
          <w:kern w:val="0"/>
          <w:highlight w:val="none"/>
        </w:rPr>
      </w:pPr>
      <w:r>
        <w:rPr>
          <w:rFonts w:hint="eastAsia" w:ascii="宋体" w:hAnsi="宋体" w:cs="宋体"/>
          <w:color w:val="auto"/>
          <w:kern w:val="0"/>
          <w:highlight w:val="none"/>
        </w:rPr>
        <w:t>（1）</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0AD01BB1">
      <w:pPr>
        <w:pStyle w:val="103"/>
        <w:autoSpaceDE w:val="0"/>
        <w:autoSpaceDN w:val="0"/>
        <w:adjustRightInd w:val="0"/>
        <w:snapToGrid w:val="0"/>
        <w:spacing w:line="360" w:lineRule="exact"/>
        <w:ind w:firstLine="420" w:firstLineChars="200"/>
        <w:jc w:val="left"/>
        <w:rPr>
          <w:rFonts w:ascii="宋体" w:hAnsi="宋体" w:cs="宋体"/>
          <w:color w:val="auto"/>
          <w:kern w:val="0"/>
          <w:highlight w:val="none"/>
        </w:rPr>
      </w:pPr>
      <w:r>
        <w:rPr>
          <w:rFonts w:hint="eastAsia" w:ascii="宋体" w:hAnsi="宋体" w:cs="宋体"/>
          <w:color w:val="auto"/>
          <w:kern w:val="0"/>
          <w:highlight w:val="none"/>
        </w:rPr>
        <w:t>（2）</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4F308E02">
      <w:pPr>
        <w:pStyle w:val="103"/>
        <w:autoSpaceDE w:val="0"/>
        <w:autoSpaceDN w:val="0"/>
        <w:adjustRightInd w:val="0"/>
        <w:snapToGrid w:val="0"/>
        <w:spacing w:line="360" w:lineRule="exact"/>
        <w:ind w:firstLine="420" w:firstLineChars="200"/>
        <w:jc w:val="left"/>
        <w:rPr>
          <w:rFonts w:ascii="宋体" w:hAnsi="宋体" w:cs="宋体"/>
          <w:color w:val="auto"/>
          <w:kern w:val="0"/>
          <w:highlight w:val="none"/>
        </w:rPr>
      </w:pPr>
      <w:r>
        <w:rPr>
          <w:rFonts w:hint="eastAsia" w:ascii="宋体" w:hAnsi="宋体" w:cs="宋体"/>
          <w:color w:val="auto"/>
          <w:kern w:val="0"/>
          <w:highlight w:val="none"/>
        </w:rPr>
        <w:t>（3）</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2B462B4D">
      <w:pPr>
        <w:pStyle w:val="126"/>
        <w:adjustRightInd w:val="0"/>
        <w:snapToGrid w:val="0"/>
        <w:spacing w:before="0" w:after="0" w:line="360" w:lineRule="exact"/>
        <w:ind w:firstLine="420"/>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5. 工程质量</w:t>
      </w:r>
    </w:p>
    <w:p w14:paraId="53CD62DE">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5.1 质量要求</w:t>
      </w:r>
    </w:p>
    <w:p w14:paraId="4305766D">
      <w:pPr>
        <w:pStyle w:val="103"/>
        <w:adjustRightInd w:val="0"/>
        <w:snapToGrid w:val="0"/>
        <w:spacing w:line="360" w:lineRule="exact"/>
        <w:jc w:val="left"/>
        <w:rPr>
          <w:rFonts w:ascii="宋体" w:hAnsi="宋体" w:cs="宋体"/>
          <w:color w:val="auto"/>
          <w:highlight w:val="none"/>
        </w:rPr>
      </w:pPr>
      <w:r>
        <w:rPr>
          <w:rFonts w:hint="eastAsia" w:ascii="宋体" w:hAnsi="宋体" w:cs="宋体"/>
          <w:color w:val="auto"/>
          <w:highlight w:val="none"/>
        </w:rPr>
        <w:t xml:space="preserve">    5.1.1 特殊质量标准和要求：</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58D515B3">
      <w:pPr>
        <w:pStyle w:val="103"/>
        <w:adjustRightInd w:val="0"/>
        <w:snapToGrid w:val="0"/>
        <w:spacing w:line="360" w:lineRule="exact"/>
        <w:jc w:val="left"/>
        <w:rPr>
          <w:rFonts w:ascii="宋体" w:hAnsi="宋体" w:cs="宋体"/>
          <w:color w:val="auto"/>
          <w:highlight w:val="none"/>
        </w:rPr>
      </w:pPr>
      <w:r>
        <w:rPr>
          <w:rFonts w:hint="eastAsia" w:ascii="宋体" w:hAnsi="宋体" w:cs="宋体"/>
          <w:color w:val="auto"/>
          <w:highlight w:val="none"/>
        </w:rPr>
        <w:t xml:space="preserve">    关于工程奖项的约定：</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FEC27AF">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5.2 隐蔽工程检查</w:t>
      </w:r>
    </w:p>
    <w:p w14:paraId="19CC191B">
      <w:pPr>
        <w:pStyle w:val="103"/>
        <w:adjustRightInd w:val="0"/>
        <w:snapToGrid w:val="0"/>
        <w:spacing w:line="360" w:lineRule="exact"/>
        <w:ind w:firstLine="420" w:firstLineChars="200"/>
        <w:jc w:val="left"/>
        <w:rPr>
          <w:rFonts w:ascii="宋体" w:hAnsi="宋体" w:cs="宋体"/>
          <w:b/>
          <w:bCs/>
          <w:i/>
          <w:iCs/>
          <w:color w:val="auto"/>
          <w:highlight w:val="none"/>
          <w:u w:val="single"/>
        </w:rPr>
      </w:pPr>
      <w:r>
        <w:rPr>
          <w:rFonts w:hint="eastAsia" w:ascii="宋体" w:hAnsi="宋体" w:cs="宋体"/>
          <w:color w:val="auto"/>
          <w:highlight w:val="none"/>
        </w:rPr>
        <w:t>5.2.1承包人提前通知监理人隐蔽工程检查的期限的约定：</w:t>
      </w:r>
      <w:r>
        <w:rPr>
          <w:rFonts w:hint="eastAsia" w:ascii="宋体" w:hAnsi="宋体" w:cs="宋体"/>
          <w:b/>
          <w:bCs/>
          <w:color w:val="auto"/>
          <w:highlight w:val="none"/>
          <w:u w:val="single"/>
        </w:rPr>
        <w:t>承包人自检合格后，在隐蔽工程验收48小时前通知监理工程师和发包人代表参加。通知包括承包人自检记录、隐蔽验收时间和地点。验收合格，监理工程师和发包人代表在记录上签字后方可进行隐蔽和继续施工。不合格的，承包人在限定期限内整改后重新组织验收。</w:t>
      </w:r>
    </w:p>
    <w:p w14:paraId="7F31728F">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监理人不能按时进行检查时，应提前</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w:t>
      </w:r>
      <w:r>
        <w:rPr>
          <w:rFonts w:hint="eastAsia" w:ascii="宋体" w:hAnsi="宋体" w:cs="宋体"/>
          <w:color w:val="auto"/>
          <w:highlight w:val="none"/>
          <w:u w:val="single"/>
        </w:rPr>
        <w:t xml:space="preserve"> </w:t>
      </w:r>
      <w:r>
        <w:rPr>
          <w:rFonts w:hint="eastAsia" w:ascii="宋体" w:hAnsi="宋体" w:cs="宋体"/>
          <w:color w:val="auto"/>
          <w:highlight w:val="none"/>
        </w:rPr>
        <w:t>小时提交书面延期要求。</w:t>
      </w:r>
    </w:p>
    <w:p w14:paraId="592C18BE">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关于延期最长不得超过：</w:t>
      </w:r>
      <w:r>
        <w:rPr>
          <w:rFonts w:hint="eastAsia" w:ascii="宋体" w:hAnsi="宋体" w:cs="宋体"/>
          <w:b/>
          <w:bCs/>
          <w:color w:val="auto"/>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小时。</w:t>
      </w:r>
    </w:p>
    <w:p w14:paraId="5C94CBE1">
      <w:pPr>
        <w:pStyle w:val="126"/>
        <w:adjustRightInd w:val="0"/>
        <w:snapToGrid w:val="0"/>
        <w:spacing w:before="0" w:after="0" w:line="360" w:lineRule="exact"/>
        <w:ind w:firstLine="420"/>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6. 安全文明施工与环境保护</w:t>
      </w:r>
    </w:p>
    <w:p w14:paraId="64853C87">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6.1安全文明施工</w:t>
      </w:r>
    </w:p>
    <w:p w14:paraId="5ED482E1">
      <w:pPr>
        <w:pStyle w:val="103"/>
        <w:adjustRightInd w:val="0"/>
        <w:snapToGrid w:val="0"/>
        <w:spacing w:line="360" w:lineRule="exact"/>
        <w:jc w:val="left"/>
        <w:rPr>
          <w:rFonts w:ascii="宋体" w:hAnsi="宋体" w:cs="宋体"/>
          <w:color w:val="auto"/>
          <w:highlight w:val="none"/>
        </w:rPr>
      </w:pPr>
      <w:r>
        <w:rPr>
          <w:rFonts w:hint="eastAsia" w:ascii="宋体" w:hAnsi="宋体" w:cs="宋体"/>
          <w:color w:val="auto"/>
          <w:highlight w:val="none"/>
        </w:rPr>
        <w:t xml:space="preserve">    6.1.1 项目安全生产的达标目标及相应事项的约定：</w:t>
      </w:r>
      <w:r>
        <w:rPr>
          <w:rFonts w:hint="eastAsia" w:ascii="宋体" w:hAnsi="宋体" w:cs="宋体"/>
          <w:color w:val="auto"/>
          <w:highlight w:val="none"/>
          <w:u w:val="single"/>
        </w:rPr>
        <w:t xml:space="preserve"> 详见附件3 </w:t>
      </w:r>
      <w:r>
        <w:rPr>
          <w:rFonts w:hint="eastAsia" w:ascii="宋体" w:hAnsi="宋体" w:cs="宋体"/>
          <w:color w:val="auto"/>
          <w:highlight w:val="none"/>
        </w:rPr>
        <w:t>。</w:t>
      </w:r>
    </w:p>
    <w:p w14:paraId="350FCECB">
      <w:pPr>
        <w:pStyle w:val="103"/>
        <w:adjustRightInd w:val="0"/>
        <w:snapToGrid w:val="0"/>
        <w:spacing w:line="360" w:lineRule="exact"/>
        <w:jc w:val="left"/>
        <w:rPr>
          <w:rFonts w:ascii="宋体" w:hAnsi="宋体" w:cs="宋体"/>
          <w:color w:val="auto"/>
          <w:highlight w:val="none"/>
        </w:rPr>
      </w:pPr>
      <w:r>
        <w:rPr>
          <w:rFonts w:hint="eastAsia" w:ascii="宋体" w:hAnsi="宋体" w:cs="宋体"/>
          <w:color w:val="auto"/>
          <w:highlight w:val="none"/>
        </w:rPr>
        <w:t xml:space="preserve">    6.1.2 关于治安保卫的特别约定：</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按通用合同条款第6.1.4条规定执行</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6C96ACC1">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关于编制施工场地治安管理计划的约定：</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按通用合同条款第6.1.4条规定执行</w:t>
      </w:r>
      <w:r>
        <w:rPr>
          <w:rFonts w:hint="eastAsia" w:ascii="宋体" w:hAnsi="宋体" w:cs="宋体"/>
          <w:color w:val="auto"/>
          <w:highlight w:val="none"/>
        </w:rPr>
        <w:t>。</w:t>
      </w:r>
    </w:p>
    <w:p w14:paraId="31FC8DAA">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6.1.3 文明施工</w:t>
      </w:r>
    </w:p>
    <w:p w14:paraId="467FA669">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合同当事人对文明施工的要求：</w:t>
      </w:r>
    </w:p>
    <w:p w14:paraId="20437D2B">
      <w:pPr>
        <w:pStyle w:val="103"/>
        <w:autoSpaceDE w:val="0"/>
        <w:autoSpaceDN w:val="0"/>
        <w:adjustRightInd w:val="0"/>
        <w:snapToGrid w:val="0"/>
        <w:spacing w:line="360" w:lineRule="exact"/>
        <w:ind w:firstLine="422" w:firstLineChars="200"/>
        <w:rPr>
          <w:rFonts w:ascii="宋体" w:hAnsi="宋体" w:cs="宋体"/>
          <w:b/>
          <w:bCs/>
          <w:color w:val="auto"/>
          <w:highlight w:val="none"/>
          <w:u w:val="single"/>
        </w:rPr>
      </w:pPr>
      <w:r>
        <w:rPr>
          <w:rFonts w:hint="eastAsia" w:ascii="宋体" w:hAnsi="宋体" w:cs="宋体"/>
          <w:b/>
          <w:bCs/>
          <w:color w:val="auto"/>
          <w:highlight w:val="none"/>
          <w:u w:val="single"/>
        </w:rPr>
        <w:t>（1）承包人应严格按安全文明施工的要求组织施工，遵守工程建设安全文明的有关规定，认真落实各项安全保护措施，并随时接受发包人、监理工程师及有关部门的监督检查；</w:t>
      </w:r>
    </w:p>
    <w:p w14:paraId="03B2F9E4">
      <w:pPr>
        <w:pStyle w:val="103"/>
        <w:autoSpaceDE w:val="0"/>
        <w:autoSpaceDN w:val="0"/>
        <w:adjustRightInd w:val="0"/>
        <w:snapToGrid w:val="0"/>
        <w:spacing w:line="360" w:lineRule="exact"/>
        <w:ind w:firstLine="422" w:firstLineChars="200"/>
        <w:rPr>
          <w:rFonts w:ascii="宋体" w:hAnsi="宋体" w:cs="宋体"/>
          <w:b/>
          <w:bCs/>
          <w:color w:val="auto"/>
          <w:highlight w:val="none"/>
          <w:u w:val="single"/>
        </w:rPr>
      </w:pPr>
      <w:r>
        <w:rPr>
          <w:rFonts w:hint="eastAsia" w:ascii="宋体" w:hAnsi="宋体" w:cs="宋体"/>
          <w:b/>
          <w:bCs/>
          <w:color w:val="auto"/>
          <w:highlight w:val="none"/>
          <w:u w:val="single"/>
        </w:rPr>
        <w:t>（2）承包人应对进入施工现场的施工人员进行安全文明教育，配备必要的劳动保护用具，保证工程的施工安全和人身安全；</w:t>
      </w:r>
    </w:p>
    <w:p w14:paraId="4684EEBF">
      <w:pPr>
        <w:pStyle w:val="103"/>
        <w:autoSpaceDE w:val="0"/>
        <w:autoSpaceDN w:val="0"/>
        <w:adjustRightInd w:val="0"/>
        <w:snapToGrid w:val="0"/>
        <w:spacing w:line="360" w:lineRule="exact"/>
        <w:ind w:firstLine="422" w:firstLineChars="200"/>
        <w:rPr>
          <w:rFonts w:ascii="宋体" w:hAnsi="宋体" w:cs="宋体"/>
          <w:b/>
          <w:bCs/>
          <w:color w:val="auto"/>
          <w:highlight w:val="none"/>
          <w:u w:val="single"/>
        </w:rPr>
      </w:pPr>
      <w:r>
        <w:rPr>
          <w:rFonts w:hint="eastAsia" w:ascii="宋体" w:hAnsi="宋体" w:cs="宋体"/>
          <w:b/>
          <w:bCs/>
          <w:color w:val="auto"/>
          <w:highlight w:val="none"/>
          <w:u w:val="single"/>
        </w:rPr>
        <w:t>（3）承包人应注意保护施工现场已完建筑物的安全；</w:t>
      </w:r>
    </w:p>
    <w:p w14:paraId="219B8A1C">
      <w:pPr>
        <w:pStyle w:val="103"/>
        <w:autoSpaceDE w:val="0"/>
        <w:autoSpaceDN w:val="0"/>
        <w:adjustRightInd w:val="0"/>
        <w:snapToGrid w:val="0"/>
        <w:spacing w:line="360" w:lineRule="exact"/>
        <w:ind w:firstLine="422" w:firstLineChars="200"/>
        <w:rPr>
          <w:rFonts w:ascii="宋体" w:hAnsi="宋体" w:cs="宋体"/>
          <w:b/>
          <w:bCs/>
          <w:color w:val="auto"/>
          <w:highlight w:val="none"/>
          <w:u w:val="single"/>
        </w:rPr>
      </w:pPr>
      <w:r>
        <w:rPr>
          <w:rFonts w:hint="eastAsia" w:ascii="宋体" w:hAnsi="宋体" w:cs="宋体"/>
          <w:b/>
          <w:bCs/>
          <w:color w:val="auto"/>
          <w:highlight w:val="none"/>
          <w:u w:val="single"/>
        </w:rPr>
        <w:t>（4）如由于承包人安全措施不力造成事故的责任和由此发生的全部费用，包括但不限于给发包人或其他单位造成的直接和间接损失均由承包人承担；</w:t>
      </w:r>
    </w:p>
    <w:p w14:paraId="5FFA9700">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（5）上述手续办理费用约定如下：</w:t>
      </w:r>
      <w:r>
        <w:rPr>
          <w:rFonts w:hint="eastAsia" w:ascii="宋体" w:hAnsi="宋体" w:cs="宋体"/>
          <w:color w:val="auto"/>
          <w:highlight w:val="none"/>
          <w:u w:val="single"/>
        </w:rPr>
        <w:t xml:space="preserve"> 由承包人承担 </w:t>
      </w:r>
      <w:r>
        <w:rPr>
          <w:rFonts w:hint="eastAsia" w:ascii="宋体" w:hAnsi="宋体" w:cs="宋体"/>
          <w:color w:val="auto"/>
          <w:highlight w:val="none"/>
        </w:rPr>
        <w:t>。</w:t>
      </w:r>
    </w:p>
    <w:p w14:paraId="722A8E90">
      <w:pPr>
        <w:pStyle w:val="26"/>
        <w:shd w:val="clear" w:color="auto" w:fill="FFFFFF"/>
        <w:spacing w:before="0" w:beforeAutospacing="0" w:after="0" w:afterAutospacing="0" w:line="360" w:lineRule="exact"/>
        <w:ind w:firstLine="420" w:firstLineChars="200"/>
        <w:rPr>
          <w:color w:val="auto"/>
          <w:kern w:val="2"/>
          <w:sz w:val="21"/>
          <w:highlight w:val="none"/>
        </w:rPr>
      </w:pPr>
      <w:r>
        <w:rPr>
          <w:rFonts w:hint="eastAsia"/>
          <w:color w:val="auto"/>
          <w:kern w:val="2"/>
          <w:sz w:val="21"/>
          <w:highlight w:val="none"/>
        </w:rPr>
        <w:t>6.1.6 关于安全文明施工费支付比例和支付期限的约定：</w:t>
      </w:r>
      <w:r>
        <w:rPr>
          <w:rFonts w:hint="eastAsia"/>
          <w:color w:val="auto"/>
          <w:kern w:val="2"/>
          <w:sz w:val="21"/>
          <w:highlight w:val="none"/>
          <w:u w:val="single"/>
        </w:rPr>
        <w:t>/</w:t>
      </w:r>
      <w:r>
        <w:rPr>
          <w:rFonts w:hint="eastAsia"/>
          <w:color w:val="auto"/>
          <w:kern w:val="2"/>
          <w:sz w:val="21"/>
          <w:highlight w:val="none"/>
        </w:rPr>
        <w:t>。</w:t>
      </w:r>
    </w:p>
    <w:p w14:paraId="7FFA0214">
      <w:pPr>
        <w:pStyle w:val="126"/>
        <w:adjustRightInd w:val="0"/>
        <w:snapToGrid w:val="0"/>
        <w:spacing w:before="0" w:after="0" w:line="360" w:lineRule="exact"/>
        <w:ind w:firstLine="420"/>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7. 工期和进度</w:t>
      </w:r>
    </w:p>
    <w:p w14:paraId="62265932">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7.1 施工组织设计</w:t>
      </w:r>
    </w:p>
    <w:p w14:paraId="47D5395C">
      <w:pPr>
        <w:pStyle w:val="103"/>
        <w:autoSpaceDE w:val="0"/>
        <w:autoSpaceDN w:val="0"/>
        <w:adjustRightInd w:val="0"/>
        <w:snapToGrid w:val="0"/>
        <w:spacing w:line="360" w:lineRule="exact"/>
        <w:jc w:val="left"/>
        <w:rPr>
          <w:rFonts w:ascii="宋体" w:hAnsi="宋体" w:cs="宋体"/>
          <w:color w:val="auto"/>
          <w:kern w:val="0"/>
          <w:highlight w:val="none"/>
        </w:rPr>
      </w:pPr>
      <w:r>
        <w:rPr>
          <w:rFonts w:hint="eastAsia" w:ascii="宋体" w:hAnsi="宋体" w:cs="宋体"/>
          <w:color w:val="auto"/>
          <w:highlight w:val="none"/>
        </w:rPr>
        <w:t xml:space="preserve">    7.1.1 合</w:t>
      </w:r>
      <w:r>
        <w:rPr>
          <w:rFonts w:hint="eastAsia" w:ascii="宋体" w:hAnsi="宋体" w:cs="宋体"/>
          <w:color w:val="auto"/>
          <w:kern w:val="0"/>
          <w:highlight w:val="none"/>
        </w:rPr>
        <w:t>同当事人约定的施工组织设计应包括的其他内容：</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59A14990">
      <w:pPr>
        <w:pStyle w:val="103"/>
        <w:autoSpaceDE w:val="0"/>
        <w:autoSpaceDN w:val="0"/>
        <w:adjustRightInd w:val="0"/>
        <w:snapToGrid w:val="0"/>
        <w:spacing w:line="360" w:lineRule="exact"/>
        <w:ind w:firstLine="420" w:firstLineChars="200"/>
        <w:jc w:val="left"/>
        <w:rPr>
          <w:rFonts w:ascii="宋体" w:hAnsi="宋体" w:cs="宋体"/>
          <w:color w:val="auto"/>
          <w:kern w:val="0"/>
          <w:highlight w:val="none"/>
        </w:rPr>
      </w:pPr>
      <w:r>
        <w:rPr>
          <w:rFonts w:hint="eastAsia" w:ascii="宋体" w:hAnsi="宋体" w:cs="宋体"/>
          <w:color w:val="auto"/>
          <w:highlight w:val="none"/>
        </w:rPr>
        <w:t xml:space="preserve">7.1.2 </w:t>
      </w:r>
      <w:r>
        <w:rPr>
          <w:rFonts w:hint="eastAsia" w:ascii="宋体" w:hAnsi="宋体" w:cs="宋体"/>
          <w:color w:val="auto"/>
          <w:kern w:val="0"/>
          <w:highlight w:val="none"/>
        </w:rPr>
        <w:t>施工组织设计的提交和修改</w:t>
      </w:r>
    </w:p>
    <w:p w14:paraId="2949CFA8">
      <w:pPr>
        <w:pStyle w:val="103"/>
        <w:autoSpaceDE w:val="0"/>
        <w:autoSpaceDN w:val="0"/>
        <w:adjustRightInd w:val="0"/>
        <w:snapToGrid w:val="0"/>
        <w:spacing w:line="360" w:lineRule="exact"/>
        <w:jc w:val="left"/>
        <w:rPr>
          <w:rFonts w:ascii="宋体" w:hAnsi="宋体" w:cs="宋体"/>
          <w:color w:val="auto"/>
          <w:highlight w:val="none"/>
        </w:rPr>
      </w:pPr>
      <w:r>
        <w:rPr>
          <w:rFonts w:hint="eastAsia" w:ascii="宋体" w:hAnsi="宋体" w:cs="宋体"/>
          <w:color w:val="auto"/>
          <w:kern w:val="0"/>
          <w:highlight w:val="none"/>
        </w:rPr>
        <w:t xml:space="preserve">    承包人提交详细施工组织设计的期限的约定：</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开工前7天内提供</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E0DF6A4">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发包人和监理人在收到详细的施工组织设计后确认或提出修改意见的期限：</w:t>
      </w:r>
      <w:r>
        <w:rPr>
          <w:rFonts w:hint="eastAsia" w:ascii="宋体" w:hAnsi="宋体" w:cs="宋体"/>
          <w:b/>
          <w:bCs/>
          <w:color w:val="auto"/>
          <w:highlight w:val="none"/>
          <w:u w:val="single"/>
        </w:rPr>
        <w:t xml:space="preserve"> 接到报告后7天内予以批复。（发包人、监理单位对施工组织设计方案的确认只是对施工组织设计方案可行性的确认，并不是对所涉费用的确认，也不免除承包人对施工组织设计方案应承担的全部责任）</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48BCACBC">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7.2 施工进度计划</w:t>
      </w:r>
    </w:p>
    <w:p w14:paraId="24507E24">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7.2.1 施工进度计划的修订</w:t>
      </w:r>
    </w:p>
    <w:p w14:paraId="39A3BF2F">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发包人和监理人在收到修订的施工进度计划后确认或提出修改意见的期限：</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 xml:space="preserve">接到报告后7天内予以批复 </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535D4EF">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7.3 开工</w:t>
      </w:r>
    </w:p>
    <w:p w14:paraId="3BF7522F">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7.3.1 开工准备</w:t>
      </w:r>
    </w:p>
    <w:p w14:paraId="42910CA0">
      <w:pPr>
        <w:pStyle w:val="103"/>
        <w:adjustRightInd w:val="0"/>
        <w:snapToGrid w:val="0"/>
        <w:spacing w:line="360" w:lineRule="exact"/>
        <w:jc w:val="left"/>
        <w:rPr>
          <w:rFonts w:ascii="宋体" w:hAnsi="宋体" w:cs="宋体"/>
          <w:color w:val="auto"/>
          <w:highlight w:val="none"/>
          <w:u w:val="single"/>
        </w:rPr>
      </w:pPr>
      <w:r>
        <w:rPr>
          <w:rFonts w:hint="eastAsia" w:ascii="宋体" w:hAnsi="宋体" w:cs="宋体"/>
          <w:color w:val="auto"/>
          <w:highlight w:val="none"/>
        </w:rPr>
        <w:t xml:space="preserve">    关于承包人提交</w:t>
      </w:r>
      <w:r>
        <w:rPr>
          <w:rFonts w:hint="eastAsia" w:ascii="宋体" w:hAnsi="宋体" w:cs="宋体"/>
          <w:color w:val="auto"/>
          <w:kern w:val="0"/>
          <w:highlight w:val="none"/>
        </w:rPr>
        <w:t>工程开工报审表的期限：</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 xml:space="preserve">开工前7天 </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43E8E67A">
      <w:pPr>
        <w:pStyle w:val="103"/>
        <w:adjustRightInd w:val="0"/>
        <w:snapToGrid w:val="0"/>
        <w:spacing w:line="360" w:lineRule="exact"/>
        <w:jc w:val="left"/>
        <w:rPr>
          <w:rFonts w:ascii="宋体" w:hAnsi="宋体" w:cs="宋体"/>
          <w:color w:val="auto"/>
          <w:highlight w:val="none"/>
        </w:rPr>
      </w:pPr>
      <w:r>
        <w:rPr>
          <w:rFonts w:hint="eastAsia" w:ascii="宋体" w:hAnsi="宋体" w:cs="宋体"/>
          <w:color w:val="auto"/>
          <w:highlight w:val="none"/>
        </w:rPr>
        <w:t xml:space="preserve">    关于发包人应完成的其他开工准备工作及期限：</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开工前7天</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BAD011A">
      <w:pPr>
        <w:pStyle w:val="103"/>
        <w:adjustRightInd w:val="0"/>
        <w:snapToGrid w:val="0"/>
        <w:spacing w:line="360" w:lineRule="exact"/>
        <w:jc w:val="left"/>
        <w:rPr>
          <w:rFonts w:ascii="宋体" w:hAnsi="宋体" w:cs="宋体"/>
          <w:color w:val="auto"/>
          <w:highlight w:val="none"/>
        </w:rPr>
      </w:pPr>
      <w:r>
        <w:rPr>
          <w:rFonts w:hint="eastAsia" w:ascii="宋体" w:hAnsi="宋体" w:cs="宋体"/>
          <w:color w:val="auto"/>
          <w:highlight w:val="none"/>
        </w:rPr>
        <w:t xml:space="preserve">    关于承包人应完成的其他开工准备工作及期限：</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开工前7天</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BFB31E1">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7.3.2开工通知</w:t>
      </w:r>
    </w:p>
    <w:p w14:paraId="5C8EF754">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因发包人原因造成监理人未能在计划开工日期之日起</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天内发出开工通知的，承包人有权提出价格调整要求，或者解除合同。</w:t>
      </w:r>
    </w:p>
    <w:p w14:paraId="1C8187C9">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7.4 测量放线</w:t>
      </w:r>
    </w:p>
    <w:p w14:paraId="17C07FBE">
      <w:pPr>
        <w:pStyle w:val="103"/>
        <w:adjustRightInd w:val="0"/>
        <w:snapToGrid w:val="0"/>
        <w:spacing w:line="360" w:lineRule="exact"/>
        <w:ind w:firstLine="420" w:firstLineChars="200"/>
        <w:jc w:val="left"/>
        <w:rPr>
          <w:rFonts w:ascii="宋体" w:hAnsi="宋体" w:cs="宋体"/>
          <w:color w:val="auto"/>
          <w:highlight w:val="none"/>
          <w:u w:val="single"/>
        </w:rPr>
      </w:pPr>
      <w:r>
        <w:rPr>
          <w:rFonts w:hint="eastAsia" w:ascii="宋体" w:hAnsi="宋体" w:cs="宋体"/>
          <w:color w:val="auto"/>
          <w:highlight w:val="none"/>
        </w:rPr>
        <w:t>7.4.1发包人通过监理人向承包人提供测量基准点、基准线和水准点及其书面资料的期限：</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8369D4D">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7.5 工期延误</w:t>
      </w:r>
    </w:p>
    <w:p w14:paraId="26CB8E00">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7.5.1 因发包人原因导致工期延误</w:t>
      </w:r>
    </w:p>
    <w:p w14:paraId="02495262">
      <w:pPr>
        <w:pStyle w:val="103"/>
        <w:adjustRightInd w:val="0"/>
        <w:snapToGrid w:val="0"/>
        <w:spacing w:line="360" w:lineRule="exact"/>
        <w:rPr>
          <w:rFonts w:ascii="宋体" w:hAnsi="宋体" w:cs="宋体"/>
          <w:color w:val="auto"/>
          <w:highlight w:val="none"/>
        </w:rPr>
      </w:pPr>
      <w:r>
        <w:rPr>
          <w:rFonts w:hint="eastAsia" w:ascii="宋体" w:hAnsi="宋体" w:cs="宋体"/>
          <w:color w:val="auto"/>
          <w:highlight w:val="none"/>
        </w:rPr>
        <w:t xml:space="preserve">    因发包人原因导致工期延误的其他情形：</w:t>
      </w:r>
    </w:p>
    <w:p w14:paraId="1D018A60">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①重大设计变更引起的工期延误；</w:t>
      </w:r>
    </w:p>
    <w:p w14:paraId="25B062F4">
      <w:pPr>
        <w:pStyle w:val="103"/>
        <w:adjustRightInd w:val="0"/>
        <w:snapToGrid w:val="0"/>
        <w:spacing w:line="360" w:lineRule="exact"/>
        <w:ind w:firstLine="420" w:firstLineChars="200"/>
        <w:rPr>
          <w:rFonts w:ascii="宋体" w:hAnsi="宋体" w:cs="宋体"/>
          <w:b/>
          <w:bCs/>
          <w:color w:val="auto"/>
          <w:highlight w:val="none"/>
          <w:u w:val="single"/>
        </w:rPr>
      </w:pPr>
      <w:r>
        <w:rPr>
          <w:rFonts w:hint="eastAsia" w:ascii="宋体" w:hAnsi="宋体" w:cs="宋体"/>
          <w:color w:val="auto"/>
          <w:highlight w:val="none"/>
        </w:rPr>
        <w:t>②其他：</w:t>
      </w:r>
      <w:r>
        <w:rPr>
          <w:rFonts w:hint="eastAsia" w:ascii="宋体" w:hAnsi="宋体" w:cs="宋体"/>
          <w:b/>
          <w:bCs/>
          <w:color w:val="auto"/>
          <w:highlight w:val="none"/>
          <w:u w:val="single"/>
        </w:rPr>
        <w:t>由发包人原因造成的工期延误，并经发包人和监理签证确认；</w:t>
      </w:r>
    </w:p>
    <w:p w14:paraId="4F2546C6">
      <w:pPr>
        <w:pStyle w:val="103"/>
        <w:adjustRightInd w:val="0"/>
        <w:snapToGrid w:val="0"/>
        <w:spacing w:line="360" w:lineRule="exact"/>
        <w:ind w:firstLine="422" w:firstLineChars="200"/>
        <w:jc w:val="left"/>
        <w:rPr>
          <w:rFonts w:ascii="宋体" w:hAnsi="宋体" w:cs="宋体"/>
          <w:b/>
          <w:bCs/>
          <w:color w:val="auto"/>
          <w:highlight w:val="none"/>
          <w:u w:val="single"/>
        </w:rPr>
      </w:pPr>
      <w:r>
        <w:rPr>
          <w:rFonts w:hint="eastAsia" w:ascii="宋体" w:hAnsi="宋体" w:cs="宋体"/>
          <w:b/>
          <w:bCs/>
          <w:color w:val="auto"/>
          <w:highlight w:val="none"/>
          <w:u w:val="single"/>
        </w:rPr>
        <w:t>对于因发包人原因造成的工期延误，承包人要求顺延工期的，应在延误发生后14日内提出；逾期提出的，发包人有权不予认可；未提出顺延签证的，视为工期不需顺延。</w:t>
      </w:r>
    </w:p>
    <w:p w14:paraId="5E40CC30">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7.5.2 因承包人原因导致工期延误</w:t>
      </w:r>
    </w:p>
    <w:p w14:paraId="4A4FDD60">
      <w:pPr>
        <w:pStyle w:val="103"/>
        <w:adjustRightInd w:val="0"/>
        <w:snapToGrid w:val="0"/>
        <w:spacing w:line="360" w:lineRule="exact"/>
        <w:ind w:firstLine="420" w:firstLineChars="200"/>
        <w:jc w:val="left"/>
        <w:rPr>
          <w:rFonts w:ascii="宋体" w:hAnsi="宋体" w:cs="宋体"/>
          <w:color w:val="auto"/>
          <w:highlight w:val="none"/>
          <w:u w:val="single"/>
        </w:rPr>
      </w:pPr>
      <w:r>
        <w:rPr>
          <w:rFonts w:hint="eastAsia" w:ascii="宋体" w:hAnsi="宋体" w:cs="宋体"/>
          <w:color w:val="auto"/>
          <w:highlight w:val="none"/>
        </w:rPr>
        <w:t>因承包人原因造成工期延误，逾期竣工违约金的计算方法为：</w:t>
      </w:r>
    </w:p>
    <w:p w14:paraId="4E373BDA">
      <w:pPr>
        <w:pStyle w:val="103"/>
        <w:adjustRightInd w:val="0"/>
        <w:snapToGrid w:val="0"/>
        <w:spacing w:line="360" w:lineRule="exact"/>
        <w:ind w:firstLine="422" w:firstLineChars="200"/>
        <w:jc w:val="left"/>
        <w:rPr>
          <w:rFonts w:ascii="宋体" w:hAnsi="宋体" w:cs="宋体"/>
          <w:b/>
          <w:bCs/>
          <w:color w:val="auto"/>
          <w:highlight w:val="none"/>
        </w:rPr>
      </w:pPr>
      <w:r>
        <w:rPr>
          <w:rFonts w:hint="eastAsia" w:ascii="宋体" w:hAnsi="宋体" w:cs="宋体"/>
          <w:b/>
          <w:bCs/>
          <w:color w:val="auto"/>
          <w:highlight w:val="none"/>
          <w:u w:val="single"/>
        </w:rPr>
        <w:t>因承包人原因工程不能按合同约定工期竣工，每逾期一日，承包人应按每天人民币1500元向发包人支付违约金。</w:t>
      </w:r>
    </w:p>
    <w:p w14:paraId="06D4FB9C">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因承包人原因造成工期延误，逾期竣工违约金的上限：</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合同价总额</w:t>
      </w:r>
      <w:r>
        <w:rPr>
          <w:rFonts w:hint="eastAsia" w:ascii="宋体" w:hAnsi="宋体" w:cs="宋体"/>
          <w:color w:val="auto"/>
          <w:highlight w:val="none"/>
          <w:u w:val="single"/>
        </w:rPr>
        <w:t xml:space="preserve"> 10%</w:t>
      </w:r>
      <w:r>
        <w:rPr>
          <w:rFonts w:hint="eastAsia" w:ascii="宋体" w:hAnsi="宋体" w:cs="宋体"/>
          <w:color w:val="auto"/>
          <w:highlight w:val="none"/>
        </w:rPr>
        <w:t>。</w:t>
      </w:r>
    </w:p>
    <w:p w14:paraId="2B32A0DB">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7.5.3因其他原因导致工期延误</w:t>
      </w:r>
    </w:p>
    <w:p w14:paraId="7EE23CCF">
      <w:pPr>
        <w:pStyle w:val="103"/>
        <w:adjustRightInd w:val="0"/>
        <w:snapToGrid w:val="0"/>
        <w:spacing w:line="360" w:lineRule="exact"/>
        <w:ind w:firstLine="422" w:firstLineChars="200"/>
        <w:jc w:val="left"/>
        <w:rPr>
          <w:rFonts w:ascii="宋体" w:hAnsi="宋体" w:cs="宋体"/>
          <w:b/>
          <w:bCs/>
          <w:color w:val="auto"/>
          <w:highlight w:val="none"/>
          <w:u w:val="single"/>
        </w:rPr>
      </w:pPr>
      <w:r>
        <w:rPr>
          <w:rFonts w:hint="eastAsia" w:ascii="宋体" w:hAnsi="宋体" w:cs="宋体"/>
          <w:b/>
          <w:bCs/>
          <w:color w:val="auto"/>
          <w:highlight w:val="none"/>
          <w:u w:val="single"/>
        </w:rPr>
        <w:t>（1）不可抗力因素；（2）非承包人的过失造成工期延误，并经发包人和监理签证确认。</w:t>
      </w:r>
    </w:p>
    <w:p w14:paraId="36C4B3A5">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 xml:space="preserve"> 对于前述两种情形造成的工期延误，承包人要求顺延工期的，应在延误发生后14日内提出；逾期提出的，发包人有权不予认可；未提出顺延签证的，视为工期不需顺延。</w:t>
      </w:r>
    </w:p>
    <w:p w14:paraId="1D7A89FE">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7.6 不利物质条件</w:t>
      </w:r>
    </w:p>
    <w:p w14:paraId="4357289F">
      <w:pPr>
        <w:pStyle w:val="103"/>
        <w:adjustRightInd w:val="0"/>
        <w:snapToGrid w:val="0"/>
        <w:spacing w:line="360" w:lineRule="exact"/>
        <w:ind w:firstLine="422"/>
        <w:jc w:val="left"/>
        <w:rPr>
          <w:rFonts w:ascii="宋体" w:hAnsi="宋体" w:cs="宋体"/>
          <w:color w:val="auto"/>
          <w:highlight w:val="none"/>
        </w:rPr>
      </w:pPr>
      <w:r>
        <w:rPr>
          <w:rFonts w:hint="eastAsia" w:ascii="宋体" w:hAnsi="宋体" w:cs="宋体"/>
          <w:color w:val="auto"/>
          <w:highlight w:val="none"/>
        </w:rPr>
        <w:t>不利物质条件的其他情形和有关约定：</w:t>
      </w:r>
      <w:r>
        <w:rPr>
          <w:rFonts w:hint="eastAsia" w:ascii="宋体" w:hAnsi="宋体" w:cs="宋体"/>
          <w:color w:val="auto"/>
          <w:highlight w:val="none"/>
          <w:u w:val="single"/>
        </w:rPr>
        <w:t>按通用合同条款第7.6条规定执行</w:t>
      </w:r>
      <w:r>
        <w:rPr>
          <w:rFonts w:hint="eastAsia" w:ascii="宋体" w:hAnsi="宋体" w:cs="宋体"/>
          <w:color w:val="auto"/>
          <w:highlight w:val="none"/>
        </w:rPr>
        <w:t>。</w:t>
      </w:r>
    </w:p>
    <w:p w14:paraId="623B08D1">
      <w:pPr>
        <w:pStyle w:val="103"/>
        <w:adjustRightInd w:val="0"/>
        <w:snapToGrid w:val="0"/>
        <w:spacing w:line="360" w:lineRule="exact"/>
        <w:ind w:firstLine="422"/>
        <w:jc w:val="left"/>
        <w:rPr>
          <w:rFonts w:ascii="宋体" w:hAnsi="宋体" w:cs="宋体"/>
          <w:color w:val="auto"/>
          <w:highlight w:val="none"/>
        </w:rPr>
      </w:pPr>
      <w:r>
        <w:rPr>
          <w:rFonts w:hint="eastAsia" w:ascii="宋体" w:hAnsi="宋体" w:cs="宋体"/>
          <w:color w:val="auto"/>
          <w:highlight w:val="none"/>
        </w:rPr>
        <w:t>其他：</w:t>
      </w:r>
      <w:r>
        <w:rPr>
          <w:rFonts w:hint="eastAsia" w:ascii="宋体" w:hAnsi="宋体" w:cs="宋体"/>
          <w:b/>
          <w:bCs/>
          <w:color w:val="auto"/>
          <w:highlight w:val="none"/>
          <w:u w:val="single"/>
        </w:rPr>
        <w:t>按通用合同条款第7.6条规定执行</w:t>
      </w:r>
      <w:r>
        <w:rPr>
          <w:rFonts w:hint="eastAsia" w:ascii="宋体" w:hAnsi="宋体" w:cs="宋体"/>
          <w:color w:val="auto"/>
          <w:highlight w:val="none"/>
        </w:rPr>
        <w:t>。</w:t>
      </w:r>
    </w:p>
    <w:p w14:paraId="507E568B">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7.7异常恶劣的气候条件</w:t>
      </w:r>
    </w:p>
    <w:p w14:paraId="146370B7">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发包人和承包人同意以下情形视为异常恶劣的气候条件：</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 xml:space="preserve"> /  。</w:t>
      </w:r>
    </w:p>
    <w:p w14:paraId="65B43487">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7.8 提前竣工的奖励</w:t>
      </w:r>
    </w:p>
    <w:p w14:paraId="39FF5BB6">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7.8.1提前竣工的奖励：</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 xml:space="preserve"> /  </w:t>
      </w:r>
      <w:r>
        <w:rPr>
          <w:rFonts w:hint="eastAsia" w:ascii="宋体" w:hAnsi="宋体" w:cs="宋体"/>
          <w:color w:val="auto"/>
          <w:highlight w:val="none"/>
        </w:rPr>
        <w:t>。</w:t>
      </w:r>
    </w:p>
    <w:p w14:paraId="0E2EE9D8">
      <w:pPr>
        <w:pStyle w:val="126"/>
        <w:adjustRightInd w:val="0"/>
        <w:snapToGrid w:val="0"/>
        <w:spacing w:before="0" w:after="0" w:line="360" w:lineRule="exact"/>
        <w:ind w:firstLine="420"/>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8. 材料与设备</w:t>
      </w:r>
    </w:p>
    <w:p w14:paraId="5F95146D">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8.4材料与工程设备的保管与使用</w:t>
      </w:r>
    </w:p>
    <w:p w14:paraId="1C374784">
      <w:pPr>
        <w:pStyle w:val="103"/>
        <w:adjustRightInd w:val="0"/>
        <w:snapToGrid w:val="0"/>
        <w:spacing w:line="360" w:lineRule="exact"/>
        <w:jc w:val="left"/>
        <w:rPr>
          <w:rFonts w:ascii="宋体" w:hAnsi="宋体" w:cs="宋体"/>
          <w:color w:val="auto"/>
          <w:highlight w:val="none"/>
        </w:rPr>
      </w:pPr>
      <w:r>
        <w:rPr>
          <w:rFonts w:hint="eastAsia" w:ascii="宋体" w:hAnsi="宋体" w:cs="宋体"/>
          <w:color w:val="auto"/>
          <w:highlight w:val="none"/>
        </w:rPr>
        <w:t xml:space="preserve">    8.4.1发包人供应的材料设备的保管费用的承担：</w:t>
      </w:r>
    </w:p>
    <w:p w14:paraId="08A35937">
      <w:pPr>
        <w:pStyle w:val="103"/>
        <w:adjustRightInd w:val="0"/>
        <w:snapToGrid w:val="0"/>
        <w:spacing w:line="360" w:lineRule="exact"/>
        <w:ind w:firstLine="422" w:firstLineChars="200"/>
        <w:jc w:val="left"/>
        <w:rPr>
          <w:rFonts w:ascii="宋体" w:hAnsi="宋体" w:cs="宋体"/>
          <w:b/>
          <w:bCs/>
          <w:color w:val="auto"/>
          <w:highlight w:val="none"/>
          <w:u w:val="single"/>
        </w:rPr>
      </w:pPr>
      <w:r>
        <w:rPr>
          <w:rFonts w:hint="eastAsia" w:ascii="宋体" w:hAnsi="宋体" w:cs="宋体"/>
          <w:b/>
          <w:bCs/>
          <w:color w:val="auto"/>
          <w:highlight w:val="none"/>
          <w:u w:val="single"/>
        </w:rPr>
        <w:t>1、发包人供应的材料设备保管费用、安装过程中的二次搬运和设备就位费、检验试验费由承包人投标时报价包干；</w:t>
      </w:r>
    </w:p>
    <w:p w14:paraId="643460C0">
      <w:pPr>
        <w:pStyle w:val="103"/>
        <w:adjustRightInd w:val="0"/>
        <w:snapToGrid w:val="0"/>
        <w:spacing w:line="360" w:lineRule="exact"/>
        <w:ind w:firstLine="422" w:firstLineChars="200"/>
        <w:jc w:val="left"/>
        <w:rPr>
          <w:rFonts w:ascii="宋体" w:hAnsi="宋体" w:cs="宋体"/>
          <w:b/>
          <w:bCs/>
          <w:color w:val="auto"/>
          <w:highlight w:val="none"/>
          <w:u w:val="single"/>
        </w:rPr>
      </w:pPr>
      <w:r>
        <w:rPr>
          <w:rFonts w:hint="eastAsia" w:ascii="宋体" w:hAnsi="宋体" w:cs="宋体"/>
          <w:b/>
          <w:bCs/>
          <w:color w:val="auto"/>
          <w:highlight w:val="none"/>
          <w:u w:val="single"/>
        </w:rPr>
        <w:t>2、因承包人原因发生材料丢失损坏，由承包人负责赔偿。</w:t>
      </w:r>
    </w:p>
    <w:p w14:paraId="1000F0AB">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8.5 样品</w:t>
      </w:r>
    </w:p>
    <w:p w14:paraId="6EB43756">
      <w:pPr>
        <w:pStyle w:val="103"/>
        <w:autoSpaceDE w:val="0"/>
        <w:autoSpaceDN w:val="0"/>
        <w:adjustRightInd w:val="0"/>
        <w:snapToGrid w:val="0"/>
        <w:spacing w:line="360" w:lineRule="exact"/>
        <w:ind w:firstLine="420" w:firstLineChars="200"/>
        <w:jc w:val="left"/>
        <w:rPr>
          <w:rFonts w:ascii="宋体" w:hAnsi="宋体" w:cs="宋体"/>
          <w:color w:val="auto"/>
          <w:kern w:val="0"/>
          <w:highlight w:val="none"/>
        </w:rPr>
      </w:pPr>
      <w:r>
        <w:rPr>
          <w:rFonts w:hint="eastAsia" w:ascii="宋体" w:hAnsi="宋体" w:cs="宋体"/>
          <w:color w:val="auto"/>
          <w:kern w:val="0"/>
          <w:highlight w:val="none"/>
        </w:rPr>
        <w:t>8.5.1样品的报送与封存</w:t>
      </w:r>
    </w:p>
    <w:p w14:paraId="6770B429">
      <w:pPr>
        <w:pStyle w:val="103"/>
        <w:autoSpaceDE w:val="0"/>
        <w:autoSpaceDN w:val="0"/>
        <w:adjustRightInd w:val="0"/>
        <w:snapToGrid w:val="0"/>
        <w:spacing w:line="360" w:lineRule="exact"/>
        <w:ind w:firstLine="420" w:firstLineChars="200"/>
        <w:jc w:val="left"/>
        <w:rPr>
          <w:rFonts w:ascii="宋体" w:hAnsi="宋体" w:cs="宋体"/>
          <w:color w:val="auto"/>
          <w:highlight w:val="none"/>
          <w:u w:val="single"/>
        </w:rPr>
      </w:pPr>
      <w:r>
        <w:rPr>
          <w:rFonts w:hint="eastAsia" w:ascii="宋体" w:hAnsi="宋体" w:cs="宋体"/>
          <w:color w:val="auto"/>
          <w:kern w:val="0"/>
          <w:highlight w:val="none"/>
        </w:rPr>
        <w:t>需要承包人报送样品的材料或工程设备，样品的种类、名称、规格、数量要求：</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按通用合同条款8.6.1条规定执行</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C0719C2">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8.6 施工设备和临时设施</w:t>
      </w:r>
    </w:p>
    <w:p w14:paraId="6430160A">
      <w:pPr>
        <w:pStyle w:val="103"/>
        <w:autoSpaceDE w:val="0"/>
        <w:autoSpaceDN w:val="0"/>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8.6.1 承包人提供的施工设备和临时设施</w:t>
      </w:r>
    </w:p>
    <w:p w14:paraId="3840483A">
      <w:pPr>
        <w:pStyle w:val="103"/>
        <w:autoSpaceDE w:val="0"/>
        <w:autoSpaceDN w:val="0"/>
        <w:adjustRightInd w:val="0"/>
        <w:snapToGrid w:val="0"/>
        <w:spacing w:line="360" w:lineRule="exact"/>
        <w:jc w:val="left"/>
        <w:rPr>
          <w:rFonts w:ascii="宋体" w:hAnsi="宋体" w:cs="宋体"/>
          <w:color w:val="auto"/>
          <w:highlight w:val="none"/>
        </w:rPr>
      </w:pPr>
      <w:r>
        <w:rPr>
          <w:rFonts w:hint="eastAsia" w:ascii="宋体" w:hAnsi="宋体" w:cs="宋体"/>
          <w:color w:val="auto"/>
          <w:highlight w:val="none"/>
        </w:rPr>
        <w:t xml:space="preserve">    关于修建临时设施费用承担的约定：</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由承包人承担</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AE2101B">
      <w:pPr>
        <w:pStyle w:val="126"/>
        <w:adjustRightInd w:val="0"/>
        <w:snapToGrid w:val="0"/>
        <w:spacing w:before="0" w:after="0" w:line="360" w:lineRule="exact"/>
        <w:ind w:firstLine="420"/>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9. 试验与检验</w:t>
      </w:r>
    </w:p>
    <w:p w14:paraId="79AF1037">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9.1试验设备与试验人员</w:t>
      </w:r>
    </w:p>
    <w:p w14:paraId="5F38A33F">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9.2 试验设备</w:t>
      </w:r>
    </w:p>
    <w:p w14:paraId="53EE2E9D">
      <w:pPr>
        <w:pStyle w:val="103"/>
        <w:adjustRightInd w:val="0"/>
        <w:snapToGrid w:val="0"/>
        <w:spacing w:line="360" w:lineRule="exact"/>
        <w:jc w:val="left"/>
        <w:rPr>
          <w:rFonts w:ascii="宋体" w:hAnsi="宋体" w:cs="宋体"/>
          <w:color w:val="auto"/>
          <w:highlight w:val="none"/>
        </w:rPr>
      </w:pPr>
      <w:r>
        <w:rPr>
          <w:rFonts w:hint="eastAsia" w:ascii="宋体" w:hAnsi="宋体" w:cs="宋体"/>
          <w:color w:val="auto"/>
          <w:highlight w:val="none"/>
        </w:rPr>
        <w:t xml:space="preserve">    施工现场需要配置的试验场所：</w:t>
      </w:r>
      <w:r>
        <w:rPr>
          <w:rFonts w:hint="eastAsia" w:ascii="宋体" w:hAnsi="宋体" w:cs="宋体"/>
          <w:color w:val="auto"/>
          <w:highlight w:val="none"/>
          <w:u w:val="single"/>
        </w:rPr>
        <w:t xml:space="preserve">     /      </w:t>
      </w:r>
      <w:r>
        <w:rPr>
          <w:rFonts w:hint="eastAsia" w:ascii="宋体" w:hAnsi="宋体" w:cs="宋体"/>
          <w:color w:val="auto"/>
          <w:highlight w:val="none"/>
        </w:rPr>
        <w:t xml:space="preserve">。 </w:t>
      </w:r>
    </w:p>
    <w:p w14:paraId="1A4B2A52">
      <w:pPr>
        <w:pStyle w:val="103"/>
        <w:adjustRightInd w:val="0"/>
        <w:snapToGrid w:val="0"/>
        <w:spacing w:line="360" w:lineRule="exact"/>
        <w:jc w:val="left"/>
        <w:rPr>
          <w:rFonts w:ascii="宋体" w:hAnsi="宋体" w:cs="宋体"/>
          <w:color w:val="auto"/>
          <w:highlight w:val="none"/>
        </w:rPr>
      </w:pPr>
      <w:r>
        <w:rPr>
          <w:rFonts w:hint="eastAsia" w:ascii="宋体" w:hAnsi="宋体" w:cs="宋体"/>
          <w:color w:val="auto"/>
          <w:highlight w:val="none"/>
        </w:rPr>
        <w:t xml:space="preserve">    施工现场需要配备的试验设备：</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7B1BA0CE">
      <w:pPr>
        <w:pStyle w:val="103"/>
        <w:adjustRightInd w:val="0"/>
        <w:snapToGrid w:val="0"/>
        <w:spacing w:line="360" w:lineRule="exact"/>
        <w:ind w:firstLine="422"/>
        <w:jc w:val="left"/>
        <w:rPr>
          <w:rFonts w:ascii="宋体" w:hAnsi="宋体" w:cs="宋体"/>
          <w:color w:val="auto"/>
          <w:highlight w:val="none"/>
        </w:rPr>
      </w:pPr>
      <w:r>
        <w:rPr>
          <w:rFonts w:hint="eastAsia" w:ascii="宋体" w:hAnsi="宋体" w:cs="宋体"/>
          <w:color w:val="auto"/>
          <w:highlight w:val="none"/>
        </w:rPr>
        <w:t>施工现场需要具备的其他试验条件：</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149BB48F">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9.3材料、工程设备和工程的试验和检验</w:t>
      </w:r>
    </w:p>
    <w:p w14:paraId="4A5D28C6">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试验、检测单位资质条件约定；</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26595668">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试验、检测单位选择约定：</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520FDE69">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试验、检测费用约定：</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44393254">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 xml:space="preserve">9.4 现场工艺试验 </w:t>
      </w:r>
    </w:p>
    <w:p w14:paraId="170DF715">
      <w:pPr>
        <w:pStyle w:val="103"/>
        <w:adjustRightInd w:val="0"/>
        <w:snapToGrid w:val="0"/>
        <w:spacing w:line="360" w:lineRule="exact"/>
        <w:jc w:val="left"/>
        <w:rPr>
          <w:rFonts w:ascii="宋体" w:hAnsi="宋体" w:cs="宋体"/>
          <w:color w:val="auto"/>
          <w:highlight w:val="none"/>
        </w:rPr>
      </w:pPr>
      <w:r>
        <w:rPr>
          <w:rFonts w:hint="eastAsia" w:ascii="宋体" w:hAnsi="宋体" w:cs="宋体"/>
          <w:color w:val="auto"/>
          <w:highlight w:val="none"/>
        </w:rPr>
        <w:t xml:space="preserve">    现场工艺试验的有关约定：</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16227BC">
      <w:pPr>
        <w:pStyle w:val="126"/>
        <w:adjustRightInd w:val="0"/>
        <w:snapToGrid w:val="0"/>
        <w:spacing w:before="0" w:after="0" w:line="360" w:lineRule="exact"/>
        <w:ind w:firstLine="420"/>
        <w:jc w:val="center"/>
        <w:rPr>
          <w:rFonts w:ascii="宋体" w:hAnsi="宋体" w:eastAsia="宋体" w:cs="宋体"/>
          <w:color w:val="auto"/>
          <w:sz w:val="24"/>
          <w:highlight w:val="none"/>
        </w:rPr>
      </w:pPr>
      <w:r>
        <w:rPr>
          <w:rFonts w:hint="eastAsia" w:ascii="宋体" w:hAnsi="宋体" w:eastAsia="宋体" w:cs="宋体"/>
          <w:b/>
          <w:bCs/>
          <w:color w:val="auto"/>
          <w:sz w:val="24"/>
          <w:highlight w:val="none"/>
        </w:rPr>
        <w:t>10. 变更</w:t>
      </w:r>
    </w:p>
    <w:p w14:paraId="66F89AE0">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10.1变更范围</w:t>
      </w:r>
    </w:p>
    <w:p w14:paraId="0710AD47">
      <w:pPr>
        <w:pStyle w:val="103"/>
        <w:adjustRightInd w:val="0"/>
        <w:snapToGrid w:val="0"/>
        <w:spacing w:line="360" w:lineRule="exact"/>
        <w:ind w:firstLine="420"/>
        <w:jc w:val="left"/>
        <w:rPr>
          <w:rFonts w:ascii="宋体" w:hAnsi="宋体" w:cs="宋体"/>
          <w:color w:val="auto"/>
          <w:highlight w:val="none"/>
        </w:rPr>
      </w:pPr>
      <w:r>
        <w:rPr>
          <w:rFonts w:hint="eastAsia" w:ascii="宋体" w:hAnsi="宋体" w:cs="宋体"/>
          <w:color w:val="auto"/>
          <w:highlight w:val="none"/>
        </w:rPr>
        <w:t>关于变更范围的约定：</w:t>
      </w:r>
      <w:r>
        <w:rPr>
          <w:rFonts w:hint="eastAsia" w:ascii="宋体" w:hAnsi="宋体" w:cs="宋体"/>
          <w:color w:val="auto"/>
          <w:highlight w:val="none"/>
          <w:u w:val="single"/>
        </w:rPr>
        <w:t>按《浙江交通职业技术学院修缮管理办法》执行</w:t>
      </w:r>
      <w:r>
        <w:rPr>
          <w:rFonts w:hint="eastAsia" w:ascii="宋体" w:hAnsi="宋体" w:cs="宋体"/>
          <w:color w:val="auto"/>
          <w:highlight w:val="none"/>
        </w:rPr>
        <w:t>。</w:t>
      </w:r>
    </w:p>
    <w:p w14:paraId="0724B5AA">
      <w:pPr>
        <w:pStyle w:val="103"/>
        <w:adjustRightInd w:val="0"/>
        <w:snapToGrid w:val="0"/>
        <w:spacing w:line="360" w:lineRule="exact"/>
        <w:ind w:firstLine="420"/>
        <w:jc w:val="left"/>
        <w:rPr>
          <w:rFonts w:ascii="宋体" w:hAnsi="宋体" w:cs="宋体"/>
          <w:b/>
          <w:bCs/>
          <w:color w:val="auto"/>
          <w:highlight w:val="none"/>
        </w:rPr>
      </w:pPr>
      <w:r>
        <w:rPr>
          <w:rFonts w:hint="eastAsia" w:ascii="宋体" w:hAnsi="宋体" w:cs="宋体"/>
          <w:color w:val="auto"/>
          <w:highlight w:val="none"/>
        </w:rPr>
        <w:t>10.2</w:t>
      </w:r>
      <w:r>
        <w:rPr>
          <w:rFonts w:hint="eastAsia" w:ascii="宋体" w:hAnsi="宋体" w:cs="宋体"/>
          <w:b/>
          <w:bCs/>
          <w:color w:val="auto"/>
          <w:highlight w:val="none"/>
        </w:rPr>
        <w:t xml:space="preserve"> 变更流程</w:t>
      </w:r>
    </w:p>
    <w:p w14:paraId="14F89285">
      <w:pPr>
        <w:pStyle w:val="103"/>
        <w:adjustRightInd w:val="0"/>
        <w:snapToGrid w:val="0"/>
        <w:spacing w:line="360" w:lineRule="exact"/>
        <w:ind w:firstLine="420"/>
        <w:jc w:val="left"/>
        <w:rPr>
          <w:rFonts w:ascii="宋体" w:hAnsi="宋体" w:cs="宋体"/>
          <w:b/>
          <w:bCs/>
          <w:color w:val="auto"/>
          <w:highlight w:val="none"/>
        </w:rPr>
      </w:pPr>
      <w:r>
        <w:rPr>
          <w:rFonts w:hint="eastAsia" w:ascii="宋体" w:hAnsi="宋体" w:cs="宋体"/>
          <w:b/>
          <w:bCs/>
          <w:color w:val="auto"/>
          <w:highlight w:val="none"/>
        </w:rPr>
        <w:t>关于变更流程的约定：</w:t>
      </w:r>
      <w:r>
        <w:rPr>
          <w:b/>
          <w:bCs/>
          <w:color w:val="auto"/>
          <w:szCs w:val="21"/>
          <w:highlight w:val="none"/>
        </w:rPr>
        <w:t>工程变更或新增项目须事前向甲方提出书面报告，并经甲方职能部门审核批准。未经批准擅自变更或施工的，由此产生的费用由乙方自行承担。</w:t>
      </w:r>
    </w:p>
    <w:p w14:paraId="6081CD1A">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10.3 变更估价</w:t>
      </w:r>
    </w:p>
    <w:p w14:paraId="247FBC5E">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10.3.1 变更估价原则</w:t>
      </w:r>
    </w:p>
    <w:p w14:paraId="30057F4D">
      <w:pPr>
        <w:pStyle w:val="103"/>
        <w:adjustRightInd w:val="0"/>
        <w:snapToGrid w:val="0"/>
        <w:spacing w:line="360" w:lineRule="exact"/>
        <w:ind w:firstLine="422"/>
        <w:jc w:val="left"/>
        <w:rPr>
          <w:rFonts w:ascii="宋体" w:hAnsi="宋体" w:cs="宋体"/>
          <w:color w:val="auto"/>
          <w:highlight w:val="none"/>
        </w:rPr>
      </w:pPr>
      <w:r>
        <w:rPr>
          <w:rFonts w:hint="eastAsia" w:ascii="宋体" w:hAnsi="宋体" w:cs="宋体"/>
          <w:color w:val="auto"/>
          <w:highlight w:val="none"/>
        </w:rPr>
        <w:t>关于变更估价的约定:</w:t>
      </w:r>
      <w:r>
        <w:rPr>
          <w:rFonts w:hint="eastAsia" w:ascii="宋体" w:hAnsi="宋体" w:cs="宋体"/>
          <w:color w:val="auto"/>
          <w:highlight w:val="none"/>
          <w:u w:val="single"/>
        </w:rPr>
        <w:t>设计变更、施工联系单签证等发生的费用，结算综合单价直接套用相应或相似的投标响应单价。如无法套用时，无响应价的材料单价按同期信息价，无信息价按市场价计取，各项取费与响应同口径；</w:t>
      </w:r>
      <w:r>
        <w:rPr>
          <w:rFonts w:hint="eastAsia" w:ascii="宋体" w:hAnsi="宋体" w:cs="宋体"/>
          <w:b/>
          <w:bCs/>
          <w:color w:val="auto"/>
          <w:highlight w:val="none"/>
          <w:u w:val="single"/>
        </w:rPr>
        <w:t>项目竣工结算时，最终结算价根据承诺优惠率同比例调整，调整范围包括合同部分及新增联系单部分。</w:t>
      </w:r>
    </w:p>
    <w:p w14:paraId="6CE8A6C4">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10.4承包人的合理化建议</w:t>
      </w:r>
    </w:p>
    <w:p w14:paraId="490FAB64">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监理人审查承包人合理化建议的期限：</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按通用合同条款第10.5条规定执行</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8EDA4E2">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发包人审批承包人合理化建议的期限：</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 xml:space="preserve">按通用合同条款第10.5条规定执行 </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C418FBA">
      <w:pPr>
        <w:pStyle w:val="103"/>
        <w:adjustRightInd w:val="0"/>
        <w:snapToGrid w:val="0"/>
        <w:spacing w:line="360" w:lineRule="exact"/>
        <w:jc w:val="left"/>
        <w:rPr>
          <w:rFonts w:ascii="宋体" w:hAnsi="宋体" w:cs="宋体"/>
          <w:color w:val="auto"/>
          <w:highlight w:val="none"/>
          <w:u w:val="single"/>
        </w:rPr>
      </w:pPr>
      <w:r>
        <w:rPr>
          <w:rFonts w:hint="eastAsia" w:ascii="宋体" w:hAnsi="宋体" w:cs="宋体"/>
          <w:color w:val="auto"/>
          <w:highlight w:val="none"/>
        </w:rPr>
        <w:t xml:space="preserve">    承包人提出的合理化建议降低了合同价格或者提高了工程经济效益的奖励的方法和金额为：</w:t>
      </w:r>
      <w:r>
        <w:rPr>
          <w:rFonts w:hint="eastAsia" w:ascii="宋体" w:hAnsi="宋体" w:cs="宋体"/>
          <w:b/>
          <w:bCs/>
          <w:color w:val="auto"/>
          <w:highlight w:val="none"/>
          <w:u w:val="single"/>
        </w:rPr>
        <w:t xml:space="preserve">/ </w:t>
      </w:r>
      <w:r>
        <w:rPr>
          <w:rFonts w:hint="eastAsia" w:ascii="宋体" w:hAnsi="宋体" w:cs="宋体"/>
          <w:color w:val="auto"/>
          <w:highlight w:val="none"/>
        </w:rPr>
        <w:t>。</w:t>
      </w:r>
    </w:p>
    <w:p w14:paraId="01E8FF9B">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10.5 暂估价</w:t>
      </w:r>
    </w:p>
    <w:p w14:paraId="64771D1B">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kern w:val="0"/>
          <w:highlight w:val="none"/>
        </w:rPr>
        <w:t>暂估价材料和工程设备的明细：</w:t>
      </w:r>
      <w:r>
        <w:rPr>
          <w:rFonts w:hint="eastAsia" w:ascii="宋体" w:hAnsi="宋体" w:cs="宋体"/>
          <w:color w:val="auto"/>
          <w:kern w:val="0"/>
          <w:highlight w:val="none"/>
          <w:u w:val="single"/>
        </w:rPr>
        <w:t xml:space="preserve">    /    </w:t>
      </w:r>
      <w:r>
        <w:rPr>
          <w:rFonts w:hint="eastAsia" w:ascii="宋体" w:hAnsi="宋体" w:cs="宋体"/>
          <w:color w:val="auto"/>
          <w:kern w:val="0"/>
          <w:highlight w:val="none"/>
        </w:rPr>
        <w:t xml:space="preserve"> 。</w:t>
      </w:r>
    </w:p>
    <w:p w14:paraId="7EF49E8C">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10.5.1 依法必须招标的暂估价项目</w:t>
      </w:r>
    </w:p>
    <w:p w14:paraId="1376A069">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对于依法必须招标的暂估价项目的确认和批准采取第</w:t>
      </w:r>
      <w:r>
        <w:rPr>
          <w:rFonts w:hint="eastAsia" w:ascii="宋体" w:hAnsi="宋体" w:cs="宋体"/>
          <w:color w:val="auto"/>
          <w:highlight w:val="none"/>
          <w:u w:val="single"/>
        </w:rPr>
        <w:t xml:space="preserve">   /   </w:t>
      </w:r>
      <w:r>
        <w:rPr>
          <w:rFonts w:hint="eastAsia" w:ascii="宋体" w:hAnsi="宋体" w:cs="宋体"/>
          <w:color w:val="auto"/>
          <w:highlight w:val="none"/>
        </w:rPr>
        <w:t>种方式确定。</w:t>
      </w:r>
    </w:p>
    <w:p w14:paraId="7D60B331">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10.5.2 不属于依法必须招标的暂估价项目</w:t>
      </w:r>
    </w:p>
    <w:p w14:paraId="0AF862C1">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对于不属于依法必须招标的暂估价项目的确认和批准采取第</w:t>
      </w:r>
      <w:r>
        <w:rPr>
          <w:rFonts w:hint="eastAsia" w:ascii="宋体" w:hAnsi="宋体" w:cs="宋体"/>
          <w:color w:val="auto"/>
          <w:highlight w:val="none"/>
          <w:u w:val="single"/>
        </w:rPr>
        <w:t xml:space="preserve">  /  </w:t>
      </w:r>
      <w:r>
        <w:rPr>
          <w:rFonts w:hint="eastAsia" w:ascii="宋体" w:hAnsi="宋体" w:cs="宋体"/>
          <w:color w:val="auto"/>
          <w:highlight w:val="none"/>
        </w:rPr>
        <w:t>种方式确定。</w:t>
      </w:r>
    </w:p>
    <w:p w14:paraId="27BCF919">
      <w:pPr>
        <w:pStyle w:val="103"/>
        <w:adjustRightInd w:val="0"/>
        <w:snapToGrid w:val="0"/>
        <w:spacing w:line="360" w:lineRule="exact"/>
        <w:ind w:firstLine="420" w:firstLineChars="200"/>
        <w:jc w:val="left"/>
        <w:rPr>
          <w:rFonts w:ascii="宋体" w:hAnsi="宋体" w:cs="宋体"/>
          <w:color w:val="auto"/>
          <w:kern w:val="0"/>
          <w:highlight w:val="none"/>
        </w:rPr>
      </w:pPr>
      <w:r>
        <w:rPr>
          <w:rFonts w:hint="eastAsia" w:ascii="宋体" w:hAnsi="宋体" w:cs="宋体"/>
          <w:color w:val="auto"/>
          <w:highlight w:val="none"/>
        </w:rPr>
        <w:t>第3种方式：</w:t>
      </w:r>
      <w:r>
        <w:rPr>
          <w:rFonts w:hint="eastAsia" w:ascii="宋体" w:hAnsi="宋体" w:cs="宋体"/>
          <w:color w:val="auto"/>
          <w:kern w:val="0"/>
          <w:highlight w:val="none"/>
        </w:rPr>
        <w:t>承包人直接实施的暂估价项目</w:t>
      </w:r>
    </w:p>
    <w:p w14:paraId="39A20710">
      <w:pPr>
        <w:pStyle w:val="103"/>
        <w:adjustRightInd w:val="0"/>
        <w:snapToGrid w:val="0"/>
        <w:spacing w:line="360" w:lineRule="exact"/>
        <w:jc w:val="left"/>
        <w:rPr>
          <w:rFonts w:ascii="宋体" w:hAnsi="宋体" w:cs="宋体"/>
          <w:color w:val="auto"/>
          <w:highlight w:val="none"/>
        </w:rPr>
      </w:pPr>
      <w:r>
        <w:rPr>
          <w:rFonts w:hint="eastAsia" w:ascii="宋体" w:hAnsi="宋体" w:cs="宋体"/>
          <w:color w:val="auto"/>
          <w:highlight w:val="none"/>
        </w:rPr>
        <w:t xml:space="preserve">    承包人直接实施的暂估价项目的约定：</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08D8B759">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10.6 暂列金额</w:t>
      </w:r>
    </w:p>
    <w:p w14:paraId="0245B934">
      <w:pPr>
        <w:pStyle w:val="103"/>
        <w:autoSpaceDE w:val="0"/>
        <w:autoSpaceDN w:val="0"/>
        <w:adjustRightInd w:val="0"/>
        <w:snapToGrid w:val="0"/>
        <w:spacing w:line="360" w:lineRule="exact"/>
        <w:jc w:val="left"/>
        <w:rPr>
          <w:rFonts w:ascii="宋体" w:hAnsi="宋体" w:cs="宋体"/>
          <w:color w:val="auto"/>
          <w:kern w:val="0"/>
          <w:highlight w:val="none"/>
        </w:rPr>
      </w:pPr>
      <w:r>
        <w:rPr>
          <w:rFonts w:hint="eastAsia" w:ascii="宋体" w:hAnsi="宋体" w:cs="宋体"/>
          <w:color w:val="auto"/>
          <w:kern w:val="0"/>
          <w:highlight w:val="none"/>
        </w:rPr>
        <w:t xml:space="preserve">    合同当事人关于暂列金额使用的约定：</w:t>
      </w:r>
      <w:r>
        <w:rPr>
          <w:rFonts w:hint="eastAsia" w:ascii="宋体" w:hAnsi="宋体" w:cs="宋体"/>
          <w:color w:val="auto"/>
          <w:highlight w:val="none"/>
          <w:u w:val="single"/>
        </w:rPr>
        <w:t xml:space="preserve">      /        </w:t>
      </w:r>
      <w:r>
        <w:rPr>
          <w:rFonts w:hint="eastAsia" w:ascii="宋体" w:hAnsi="宋体" w:cs="宋体"/>
          <w:color w:val="auto"/>
          <w:kern w:val="0"/>
          <w:highlight w:val="none"/>
        </w:rPr>
        <w:t>。</w:t>
      </w:r>
    </w:p>
    <w:p w14:paraId="6AB9AAF8">
      <w:pPr>
        <w:pStyle w:val="126"/>
        <w:adjustRightInd w:val="0"/>
        <w:snapToGrid w:val="0"/>
        <w:spacing w:before="0" w:after="0" w:line="360" w:lineRule="exact"/>
        <w:ind w:firstLine="420"/>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11. 价格调整</w:t>
      </w:r>
    </w:p>
    <w:p w14:paraId="0CC2A6B4">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11.1 市场价格波动引起的调整</w:t>
      </w:r>
    </w:p>
    <w:p w14:paraId="3C1B48B4">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kern w:val="0"/>
          <w:highlight w:val="none"/>
        </w:rPr>
        <w:t>市场价格波动是否调整合同价格的约定：</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否</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EF0DD3E">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因市场价格波动调整合同价格，采用以下第</w:t>
      </w:r>
      <w:r>
        <w:rPr>
          <w:rFonts w:hint="eastAsia" w:ascii="宋体" w:hAnsi="宋体" w:cs="宋体"/>
          <w:color w:val="auto"/>
          <w:highlight w:val="none"/>
          <w:u w:val="single"/>
        </w:rPr>
        <w:t xml:space="preserve">  /   </w:t>
      </w:r>
      <w:r>
        <w:rPr>
          <w:rFonts w:hint="eastAsia" w:ascii="宋体" w:hAnsi="宋体" w:cs="宋体"/>
          <w:color w:val="auto"/>
          <w:highlight w:val="none"/>
        </w:rPr>
        <w:t>种方式对合同价格进行调整：</w:t>
      </w:r>
    </w:p>
    <w:p w14:paraId="40D59C95">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第1种方式：采用价格指数进行价格调整。</w:t>
      </w:r>
    </w:p>
    <w:p w14:paraId="5F99A689">
      <w:pPr>
        <w:pStyle w:val="103"/>
        <w:adjustRightInd w:val="0"/>
        <w:snapToGrid w:val="0"/>
        <w:spacing w:line="360" w:lineRule="exact"/>
        <w:ind w:firstLine="420" w:firstLineChars="200"/>
        <w:jc w:val="left"/>
        <w:rPr>
          <w:rFonts w:ascii="宋体" w:hAnsi="宋体" w:cs="宋体"/>
          <w:color w:val="auto"/>
          <w:highlight w:val="none"/>
          <w:u w:val="single"/>
        </w:rPr>
      </w:pPr>
      <w:r>
        <w:rPr>
          <w:rFonts w:hint="eastAsia" w:ascii="宋体" w:hAnsi="宋体" w:cs="宋体"/>
          <w:color w:val="auto"/>
          <w:highlight w:val="none"/>
        </w:rPr>
        <w:t>关于各可调因子、定值和变值权重，以及基本价格指数及其来源的约定：</w:t>
      </w:r>
      <w:r>
        <w:rPr>
          <w:rFonts w:hint="eastAsia" w:ascii="宋体" w:hAnsi="宋体" w:cs="宋体"/>
          <w:color w:val="auto"/>
          <w:highlight w:val="none"/>
          <w:u w:val="single"/>
        </w:rPr>
        <w:t xml:space="preserve">  /   </w:t>
      </w:r>
      <w:r>
        <w:rPr>
          <w:rFonts w:hint="eastAsia" w:ascii="宋体" w:hAnsi="宋体" w:cs="宋体"/>
          <w:color w:val="auto"/>
          <w:highlight w:val="none"/>
        </w:rPr>
        <w:t xml:space="preserve">；  </w:t>
      </w:r>
    </w:p>
    <w:p w14:paraId="5E44D2BB">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第2种方式：采用造价信息进行价格调整。</w:t>
      </w:r>
    </w:p>
    <w:p w14:paraId="467DDBB8">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（2）关于基准价格的约定：</w:t>
      </w:r>
      <w:r>
        <w:rPr>
          <w:rFonts w:hint="eastAsia" w:ascii="宋体" w:hAnsi="宋体" w:cs="宋体"/>
          <w:b/>
          <w:bCs/>
          <w:color w:val="auto"/>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0FE0654">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专用合同条款①承包人在已标价工程量清单或预算书中载明的材料单价低于基准价格的：专用合同条款合同履行期间材料单价涨幅以基准价格为基础超过</w:t>
      </w:r>
      <w:r>
        <w:rPr>
          <w:rFonts w:hint="eastAsia" w:ascii="宋体" w:hAnsi="宋体" w:cs="宋体"/>
          <w:color w:val="auto"/>
          <w:highlight w:val="none"/>
          <w:u w:val="single"/>
        </w:rPr>
        <w:t xml:space="preserve">  /  </w:t>
      </w:r>
      <w:r>
        <w:rPr>
          <w:rFonts w:hint="eastAsia" w:ascii="宋体" w:hAnsi="宋体" w:cs="宋体"/>
          <w:color w:val="auto"/>
          <w:highlight w:val="none"/>
        </w:rPr>
        <w:t>%时，或材料单价跌幅以已标价工程量清单或预算书中载明材料单价为基础超过</w:t>
      </w:r>
      <w:r>
        <w:rPr>
          <w:rFonts w:hint="eastAsia" w:ascii="宋体" w:hAnsi="宋体" w:cs="宋体"/>
          <w:color w:val="auto"/>
          <w:highlight w:val="none"/>
          <w:u w:val="single"/>
        </w:rPr>
        <w:t xml:space="preserve">  / </w:t>
      </w:r>
      <w:r>
        <w:rPr>
          <w:rFonts w:hint="eastAsia" w:ascii="宋体" w:hAnsi="宋体" w:cs="宋体"/>
          <w:color w:val="auto"/>
          <w:highlight w:val="none"/>
        </w:rPr>
        <w:t>%时，其超过部分据实调整。</w:t>
      </w:r>
    </w:p>
    <w:p w14:paraId="2ADBF6AC">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②承包人在已标价工程量清单或预算书中载明的材料单价高于基准价格的：专用合同条款合同履行期间材料单价跌幅以基准价格为基础超过</w:t>
      </w:r>
      <w:r>
        <w:rPr>
          <w:rFonts w:hint="eastAsia" w:ascii="宋体" w:hAnsi="宋体" w:cs="宋体"/>
          <w:color w:val="auto"/>
          <w:highlight w:val="none"/>
          <w:u w:val="single"/>
        </w:rPr>
        <w:t xml:space="preserve">  /  </w:t>
      </w:r>
      <w:r>
        <w:rPr>
          <w:rFonts w:hint="eastAsia" w:ascii="宋体" w:hAnsi="宋体" w:cs="宋体"/>
          <w:color w:val="auto"/>
          <w:highlight w:val="none"/>
        </w:rPr>
        <w:t>%时，材料单价涨幅以已标价工程量清单或预算书中载明材料单价为基础超过</w:t>
      </w:r>
      <w:r>
        <w:rPr>
          <w:rFonts w:hint="eastAsia" w:ascii="宋体" w:hAnsi="宋体" w:cs="宋体"/>
          <w:color w:val="auto"/>
          <w:highlight w:val="none"/>
          <w:u w:val="single"/>
        </w:rPr>
        <w:t xml:space="preserve">  /  </w:t>
      </w:r>
      <w:r>
        <w:rPr>
          <w:rFonts w:hint="eastAsia" w:ascii="宋体" w:hAnsi="宋体" w:cs="宋体"/>
          <w:color w:val="auto"/>
          <w:highlight w:val="none"/>
        </w:rPr>
        <w:t>%时，其超过部分据实调整。</w:t>
      </w:r>
    </w:p>
    <w:p w14:paraId="27E55DD0">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③承包人在已标价工程量清单或预算书中载明的材料单价等于基准单价的：专用合同条款合同履行期间材料单价涨跌幅以基准单价为基础超过±</w:t>
      </w:r>
      <w:r>
        <w:rPr>
          <w:rFonts w:hint="eastAsia" w:ascii="宋体" w:hAnsi="宋体" w:cs="宋体"/>
          <w:color w:val="auto"/>
          <w:highlight w:val="none"/>
          <w:u w:val="single"/>
        </w:rPr>
        <w:t xml:space="preserve">  / </w:t>
      </w:r>
      <w:r>
        <w:rPr>
          <w:rFonts w:hint="eastAsia" w:ascii="宋体" w:hAnsi="宋体" w:cs="宋体"/>
          <w:color w:val="auto"/>
          <w:highlight w:val="none"/>
        </w:rPr>
        <w:t>%时，其超过部分据实调整。</w:t>
      </w:r>
    </w:p>
    <w:p w14:paraId="2305F8FE">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第3种方式：其他价格调整方式：</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1757886F">
      <w:pPr>
        <w:pStyle w:val="126"/>
        <w:adjustRightInd w:val="0"/>
        <w:snapToGrid w:val="0"/>
        <w:spacing w:before="0" w:after="0" w:line="360" w:lineRule="exact"/>
        <w:ind w:firstLine="420"/>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12. 合同价格、计量与支付</w:t>
      </w:r>
    </w:p>
    <w:p w14:paraId="7C76059A">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12.1 合同价格形式</w:t>
      </w:r>
    </w:p>
    <w:p w14:paraId="3DCC3B5F">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1、单价合同。</w:t>
      </w:r>
    </w:p>
    <w:p w14:paraId="3C7B8BAB">
      <w:pPr>
        <w:pStyle w:val="103"/>
        <w:adjustRightInd w:val="0"/>
        <w:snapToGrid w:val="0"/>
        <w:spacing w:line="360" w:lineRule="exact"/>
        <w:ind w:firstLine="422"/>
        <w:jc w:val="left"/>
        <w:rPr>
          <w:rFonts w:ascii="宋体" w:hAnsi="宋体" w:cs="宋体"/>
          <w:color w:val="auto"/>
          <w:highlight w:val="none"/>
        </w:rPr>
      </w:pPr>
      <w:r>
        <w:rPr>
          <w:rFonts w:hint="eastAsia" w:ascii="宋体" w:hAnsi="宋体" w:cs="宋体"/>
          <w:color w:val="auto"/>
          <w:highlight w:val="none"/>
        </w:rPr>
        <w:t>综合单价包含的风险范围：</w:t>
      </w:r>
    </w:p>
    <w:p w14:paraId="12D02AB6">
      <w:pPr>
        <w:spacing w:line="360" w:lineRule="exact"/>
        <w:ind w:firstLine="420" w:firstLineChars="200"/>
        <w:rPr>
          <w:bCs/>
          <w:color w:val="auto"/>
          <w:sz w:val="21"/>
          <w:szCs w:val="21"/>
          <w:highlight w:val="none"/>
        </w:rPr>
      </w:pPr>
      <w:r>
        <w:rPr>
          <w:rFonts w:hint="eastAsia"/>
          <w:bCs/>
          <w:color w:val="auto"/>
          <w:sz w:val="21"/>
          <w:szCs w:val="21"/>
          <w:highlight w:val="none"/>
        </w:rPr>
        <w:t>（1）</w:t>
      </w:r>
      <w:r>
        <w:rPr>
          <w:rFonts w:hint="eastAsia"/>
          <w:bCs/>
          <w:color w:val="auto"/>
          <w:sz w:val="21"/>
          <w:szCs w:val="21"/>
          <w:highlight w:val="none"/>
          <w:u w:val="single"/>
        </w:rPr>
        <w:t>应由承包人承担的工、料、机在投标编制期或预算书编制期与合同实施期间所发生的市场价格波动</w:t>
      </w:r>
      <w:r>
        <w:rPr>
          <w:rFonts w:hint="eastAsia"/>
          <w:bCs/>
          <w:color w:val="auto"/>
          <w:sz w:val="21"/>
          <w:szCs w:val="21"/>
          <w:highlight w:val="none"/>
        </w:rPr>
        <w:t>。</w:t>
      </w:r>
    </w:p>
    <w:p w14:paraId="1C766273">
      <w:pPr>
        <w:pStyle w:val="103"/>
        <w:adjustRightInd w:val="0"/>
        <w:snapToGrid w:val="0"/>
        <w:spacing w:line="360" w:lineRule="exact"/>
        <w:ind w:firstLine="422"/>
        <w:jc w:val="left"/>
        <w:rPr>
          <w:rFonts w:ascii="宋体" w:hAnsi="宋体" w:cs="宋体"/>
          <w:b/>
          <w:bCs/>
          <w:i/>
          <w:iCs/>
          <w:color w:val="auto"/>
          <w:highlight w:val="none"/>
        </w:rPr>
      </w:pPr>
      <w:r>
        <w:rPr>
          <w:rFonts w:hint="eastAsia" w:ascii="宋体" w:hAnsi="宋体" w:cs="宋体"/>
          <w:bCs/>
          <w:color w:val="auto"/>
          <w:szCs w:val="21"/>
          <w:highlight w:val="none"/>
        </w:rPr>
        <w:t>（2）其他：</w:t>
      </w:r>
      <w:r>
        <w:rPr>
          <w:rFonts w:hint="eastAsia" w:ascii="宋体" w:hAnsi="宋体" w:cs="宋体"/>
          <w:b/>
          <w:bCs/>
          <w:color w:val="auto"/>
          <w:highlight w:val="none"/>
          <w:u w:val="single"/>
        </w:rPr>
        <w:t>a、分部分项工程量清单和施工技术措施项目清单与计价表中已列项目的综合单价；b、所有磋商文件或工程量清单明示要求报价的内容而承包人未予报价的；c、承包人对工程现场环境以及发包人提供的磋商文件、图纸等资料做出错误的推论、理解而导致的报价失误；d、磋商文件约定的工程量清单数量误差引起的综合单价成本差异；e、施工组织措施项目清单与计价表实行固定总价包干，不得因设计图纸变化、工程量增减、施工方案变更等任何因素而调整费用；f、规费、税金、农民工工伤保险费、总承包服务费为费率包干；g、清单描述中有按图集或规范施工的，综合单价必须满足规范和图集</w:t>
      </w:r>
      <w:r>
        <w:rPr>
          <w:rFonts w:hint="eastAsia"/>
          <w:b/>
          <w:bCs/>
          <w:color w:val="auto"/>
          <w:highlight w:val="none"/>
          <w:u w:val="single"/>
        </w:rPr>
        <w:t>要求</w:t>
      </w:r>
      <w:r>
        <w:rPr>
          <w:rFonts w:hint="eastAsia" w:ascii="宋体" w:hAnsi="宋体" w:cs="宋体"/>
          <w:b/>
          <w:bCs/>
          <w:color w:val="auto"/>
          <w:highlight w:val="none"/>
          <w:u w:val="single"/>
        </w:rPr>
        <w:t>，综合单价不作调整；h、所有磋商文件或工程量清单明示要求报价包干或费率包干的内容</w:t>
      </w:r>
      <w:r>
        <w:rPr>
          <w:rFonts w:hint="eastAsia" w:ascii="宋体" w:hAnsi="宋体" w:cs="宋体"/>
          <w:b/>
          <w:bCs/>
          <w:color w:val="auto"/>
          <w:kern w:val="0"/>
          <w:highlight w:val="none"/>
          <w:u w:val="single"/>
          <w:shd w:val="clear" w:color="auto" w:fill="FFFFFF"/>
        </w:rPr>
        <w:t>。除政府出台价格调整政策且审计单位认为适用情况外，价格不作调整。</w:t>
      </w:r>
    </w:p>
    <w:p w14:paraId="41D849EB">
      <w:pPr>
        <w:pStyle w:val="103"/>
        <w:adjustRightInd w:val="0"/>
        <w:snapToGrid w:val="0"/>
        <w:spacing w:line="360" w:lineRule="exact"/>
        <w:ind w:firstLine="422"/>
        <w:jc w:val="left"/>
        <w:rPr>
          <w:rFonts w:ascii="宋体" w:hAnsi="宋体" w:cs="宋体"/>
          <w:b/>
          <w:bCs/>
          <w:color w:val="auto"/>
          <w:highlight w:val="none"/>
          <w:u w:val="single"/>
        </w:rPr>
      </w:pPr>
      <w:r>
        <w:rPr>
          <w:rFonts w:hint="eastAsia" w:ascii="宋体" w:hAnsi="宋体" w:cs="宋体"/>
          <w:color w:val="auto"/>
          <w:highlight w:val="none"/>
        </w:rPr>
        <w:t>风险费用计算方法：</w:t>
      </w:r>
      <w:r>
        <w:rPr>
          <w:rFonts w:hint="eastAsia" w:ascii="宋体" w:hAnsi="宋体" w:cs="宋体"/>
          <w:b/>
          <w:bCs/>
          <w:color w:val="auto"/>
          <w:highlight w:val="none"/>
          <w:u w:val="single"/>
        </w:rPr>
        <w:t>以上风险费用在投标报价时考虑，不再另行计取。</w:t>
      </w:r>
    </w:p>
    <w:p w14:paraId="33830BEB">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风险范围以外合同价格的调整方法：</w:t>
      </w:r>
    </w:p>
    <w:p w14:paraId="36D93EC7">
      <w:pPr>
        <w:pStyle w:val="103"/>
        <w:autoSpaceDE w:val="0"/>
        <w:autoSpaceDN w:val="0"/>
        <w:adjustRightInd w:val="0"/>
        <w:snapToGrid w:val="0"/>
        <w:spacing w:line="360" w:lineRule="exact"/>
        <w:ind w:firstLine="420" w:firstLineChars="200"/>
        <w:jc w:val="left"/>
        <w:rPr>
          <w:rFonts w:ascii="宋体" w:hAnsi="宋体" w:cs="宋体"/>
          <w:b/>
          <w:bCs/>
          <w:color w:val="auto"/>
          <w:highlight w:val="none"/>
          <w:u w:val="single"/>
        </w:rPr>
      </w:pPr>
      <w:r>
        <w:rPr>
          <w:rFonts w:hint="eastAsia" w:ascii="宋体" w:hAnsi="宋体" w:cs="宋体"/>
          <w:bCs/>
          <w:color w:val="auto"/>
          <w:szCs w:val="21"/>
          <w:highlight w:val="none"/>
        </w:rPr>
        <w:t>其他：</w:t>
      </w:r>
      <w:r>
        <w:rPr>
          <w:rFonts w:hint="eastAsia" w:ascii="宋体" w:hAnsi="宋体" w:cs="宋体"/>
          <w:b/>
          <w:bCs/>
          <w:color w:val="auto"/>
          <w:highlight w:val="none"/>
          <w:u w:val="single"/>
        </w:rPr>
        <w:t>a、在竣工结算时工程量按实计算；设计变更、施工联系单签证等发生的费用，结算综合单价直接套用相应或相似的投标响应单价。如无法套用时，无投标价的材料单价按同期信息价，无信息价按市场价计取，各项取费与投标同口径。b、不可抗力因素造成的损失由双方各自行承担。但属于应该预见、预防、承包方没有及时预防或预防不力造成的损失，由承包方承担。</w:t>
      </w:r>
    </w:p>
    <w:p w14:paraId="116F2F02">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2、总价合同。</w:t>
      </w:r>
    </w:p>
    <w:p w14:paraId="4D3907D2">
      <w:pPr>
        <w:pStyle w:val="103"/>
        <w:adjustRightInd w:val="0"/>
        <w:snapToGrid w:val="0"/>
        <w:spacing w:line="360" w:lineRule="exact"/>
        <w:jc w:val="left"/>
        <w:rPr>
          <w:rFonts w:ascii="宋体" w:hAnsi="宋体" w:cs="宋体"/>
          <w:color w:val="auto"/>
          <w:highlight w:val="none"/>
        </w:rPr>
      </w:pPr>
      <w:r>
        <w:rPr>
          <w:rFonts w:hint="eastAsia" w:ascii="宋体" w:hAnsi="宋体" w:cs="宋体"/>
          <w:color w:val="auto"/>
          <w:highlight w:val="none"/>
        </w:rPr>
        <w:t xml:space="preserve">    总价包含的风险范围：</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63EA5BF5">
      <w:pPr>
        <w:pStyle w:val="103"/>
        <w:adjustRightInd w:val="0"/>
        <w:snapToGrid w:val="0"/>
        <w:spacing w:line="360" w:lineRule="exact"/>
        <w:jc w:val="left"/>
        <w:rPr>
          <w:rFonts w:ascii="宋体" w:hAnsi="宋体" w:cs="宋体"/>
          <w:color w:val="auto"/>
          <w:highlight w:val="none"/>
        </w:rPr>
      </w:pPr>
      <w:r>
        <w:rPr>
          <w:rFonts w:hint="eastAsia" w:ascii="宋体" w:hAnsi="宋体" w:cs="宋体"/>
          <w:color w:val="auto"/>
          <w:highlight w:val="none"/>
        </w:rPr>
        <w:t xml:space="preserve">    风险费用的计算方法：</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2CA016CA">
      <w:pPr>
        <w:pStyle w:val="103"/>
        <w:adjustRightInd w:val="0"/>
        <w:snapToGrid w:val="0"/>
        <w:spacing w:line="360" w:lineRule="exact"/>
        <w:jc w:val="left"/>
        <w:rPr>
          <w:rFonts w:ascii="宋体" w:hAnsi="宋体" w:cs="宋体"/>
          <w:color w:val="auto"/>
          <w:highlight w:val="none"/>
        </w:rPr>
      </w:pPr>
      <w:r>
        <w:rPr>
          <w:rFonts w:hint="eastAsia" w:ascii="宋体" w:hAnsi="宋体" w:cs="宋体"/>
          <w:color w:val="auto"/>
          <w:highlight w:val="none"/>
        </w:rPr>
        <w:t xml:space="preserve">    风险范围以外合同价格的调整方法：</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12F22E58">
      <w:pPr>
        <w:pStyle w:val="103"/>
        <w:adjustRightInd w:val="0"/>
        <w:snapToGrid w:val="0"/>
        <w:spacing w:line="360" w:lineRule="exact"/>
        <w:jc w:val="left"/>
        <w:rPr>
          <w:rFonts w:ascii="宋体" w:hAnsi="宋体" w:cs="宋体"/>
          <w:color w:val="auto"/>
          <w:highlight w:val="none"/>
        </w:rPr>
      </w:pPr>
      <w:r>
        <w:rPr>
          <w:rFonts w:hint="eastAsia" w:ascii="宋体" w:hAnsi="宋体" w:cs="宋体"/>
          <w:color w:val="auto"/>
          <w:highlight w:val="none"/>
        </w:rPr>
        <w:t xml:space="preserve">    3、其他价格方式：</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7B7A82D3">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12.2 预付款</w:t>
      </w:r>
    </w:p>
    <w:p w14:paraId="5B4FFBBE">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12.2.1 预付款的支付</w:t>
      </w:r>
    </w:p>
    <w:p w14:paraId="25A912A2">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预付款支付比例或金额：</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 xml:space="preserve">合同总价的40% </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0C39C50">
      <w:pPr>
        <w:spacing w:line="360" w:lineRule="exact"/>
        <w:ind w:firstLine="420" w:firstLineChars="200"/>
        <w:rPr>
          <w:color w:val="auto"/>
          <w:sz w:val="21"/>
          <w:highlight w:val="none"/>
        </w:rPr>
      </w:pPr>
      <w:r>
        <w:rPr>
          <w:rFonts w:hint="eastAsia"/>
          <w:color w:val="auto"/>
          <w:sz w:val="21"/>
          <w:highlight w:val="none"/>
        </w:rPr>
        <w:t>工资预付款支付比例或金额：</w:t>
      </w:r>
      <w:r>
        <w:rPr>
          <w:rFonts w:hint="eastAsia"/>
          <w:color w:val="auto"/>
          <w:highlight w:val="none"/>
          <w:u w:val="single"/>
        </w:rPr>
        <w:t xml:space="preserve">        /          </w:t>
      </w:r>
      <w:r>
        <w:rPr>
          <w:rFonts w:hint="eastAsia"/>
          <w:color w:val="auto"/>
          <w:highlight w:val="none"/>
        </w:rPr>
        <w:t>。</w:t>
      </w:r>
    </w:p>
    <w:p w14:paraId="5949F2A5">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预付款支付期限：</w:t>
      </w:r>
      <w:r>
        <w:rPr>
          <w:rFonts w:hint="eastAsia" w:ascii="宋体" w:hAnsi="宋体" w:cs="宋体"/>
          <w:b/>
          <w:bCs/>
          <w:color w:val="auto"/>
          <w:highlight w:val="none"/>
          <w:u w:val="single"/>
        </w:rPr>
        <w:t xml:space="preserve"> 承包人递交履约保证金、合同签订后，满足进场施工条件，经发包人代表确认后7个工作日内向承包人支付工程预付款；后期转为工程款（逾期未递交履约保证金及发票等付款凭证，视为承包人放弃工程预付款）</w:t>
      </w:r>
      <w:r>
        <w:rPr>
          <w:rFonts w:hint="eastAsia" w:ascii="宋体" w:hAnsi="宋体" w:cs="宋体"/>
          <w:color w:val="auto"/>
          <w:highlight w:val="none"/>
        </w:rPr>
        <w:t>。</w:t>
      </w:r>
    </w:p>
    <w:p w14:paraId="759EDB1B">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预付款扣回的方式：</w:t>
      </w:r>
      <w:r>
        <w:rPr>
          <w:rFonts w:hint="eastAsia" w:ascii="宋体" w:hAnsi="宋体" w:cs="宋体"/>
          <w:color w:val="auto"/>
          <w:highlight w:val="none"/>
          <w:u w:val="single"/>
        </w:rPr>
        <w:t xml:space="preserve">   不扣回    </w:t>
      </w:r>
      <w:r>
        <w:rPr>
          <w:rFonts w:hint="eastAsia" w:ascii="宋体" w:hAnsi="宋体" w:cs="宋体"/>
          <w:color w:val="auto"/>
          <w:highlight w:val="none"/>
        </w:rPr>
        <w:t>。</w:t>
      </w:r>
    </w:p>
    <w:p w14:paraId="7D67FC24">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12.3 计量</w:t>
      </w:r>
    </w:p>
    <w:p w14:paraId="1ECB7DA6">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12.3.1 计量原则</w:t>
      </w:r>
    </w:p>
    <w:p w14:paraId="49201067">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工程量计算规则：</w:t>
      </w:r>
    </w:p>
    <w:p w14:paraId="41D89506">
      <w:pPr>
        <w:spacing w:line="360" w:lineRule="exact"/>
        <w:ind w:firstLine="480" w:firstLineChars="200"/>
        <w:rPr>
          <w:bCs/>
          <w:color w:val="auto"/>
          <w:szCs w:val="32"/>
          <w:highlight w:val="none"/>
          <w:u w:val="single"/>
        </w:rPr>
      </w:pPr>
      <w:r>
        <w:rPr>
          <w:rFonts w:hint="eastAsia"/>
          <w:bCs/>
          <w:color w:val="auto"/>
          <w:szCs w:val="32"/>
          <w:highlight w:val="none"/>
        </w:rPr>
        <w:t>（1）</w:t>
      </w:r>
      <w:r>
        <w:rPr>
          <w:rFonts w:hint="eastAsia"/>
          <w:bCs/>
          <w:color w:val="auto"/>
          <w:szCs w:val="32"/>
          <w:highlight w:val="none"/>
          <w:u w:val="single"/>
        </w:rPr>
        <w:t>实行工程量清单计价的工程项目，其工程量的计算规则应按国家标准工程量计算规范及省级行业主管部门颁布的补充规定执行。</w:t>
      </w:r>
    </w:p>
    <w:p w14:paraId="3F698AEB">
      <w:pPr>
        <w:spacing w:line="360" w:lineRule="exact"/>
        <w:ind w:firstLine="480" w:firstLineChars="200"/>
        <w:rPr>
          <w:bCs/>
          <w:color w:val="auto"/>
          <w:szCs w:val="32"/>
          <w:highlight w:val="none"/>
          <w:u w:val="single"/>
        </w:rPr>
      </w:pPr>
      <w:r>
        <w:rPr>
          <w:rFonts w:hint="eastAsia"/>
          <w:bCs/>
          <w:color w:val="auto"/>
          <w:szCs w:val="32"/>
          <w:highlight w:val="none"/>
        </w:rPr>
        <w:t>（2）</w:t>
      </w:r>
      <w:r>
        <w:rPr>
          <w:rFonts w:hint="eastAsia"/>
          <w:bCs/>
          <w:color w:val="auto"/>
          <w:szCs w:val="32"/>
          <w:highlight w:val="none"/>
          <w:u w:val="single"/>
        </w:rPr>
        <w:t>不实行工程量清单计价的工程项目，工程量的计算规则应按省、市行业主管部门颁布的各专业工程定额的工程量计算规则执行。</w:t>
      </w:r>
    </w:p>
    <w:p w14:paraId="45C99426">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12.3.2 计量周期</w:t>
      </w:r>
    </w:p>
    <w:p w14:paraId="64FE017E">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关于计量周期的约定：</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00BC919">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12.3.3 单价合同的计量</w:t>
      </w:r>
    </w:p>
    <w:p w14:paraId="1CEACABD">
      <w:pPr>
        <w:pStyle w:val="103"/>
        <w:adjustRightInd w:val="0"/>
        <w:snapToGrid w:val="0"/>
        <w:spacing w:line="360" w:lineRule="exact"/>
        <w:ind w:firstLine="420" w:firstLineChars="200"/>
        <w:jc w:val="left"/>
        <w:rPr>
          <w:rFonts w:ascii="宋体" w:hAnsi="宋体" w:cs="宋体"/>
          <w:b/>
          <w:bCs/>
          <w:color w:val="auto"/>
          <w:highlight w:val="none"/>
          <w:u w:val="single"/>
        </w:rPr>
      </w:pPr>
      <w:r>
        <w:rPr>
          <w:rFonts w:hint="eastAsia" w:ascii="宋体" w:hAnsi="宋体" w:cs="宋体"/>
          <w:color w:val="auto"/>
          <w:highlight w:val="none"/>
        </w:rPr>
        <w:t>关于单价合同计量的约定：</w:t>
      </w:r>
      <w:r>
        <w:rPr>
          <w:rFonts w:hint="eastAsia" w:ascii="宋体" w:hAnsi="宋体" w:cs="宋体"/>
          <w:b/>
          <w:bCs/>
          <w:color w:val="auto"/>
          <w:highlight w:val="none"/>
          <w:u w:val="single"/>
        </w:rPr>
        <w:t xml:space="preserve">  /  </w:t>
      </w:r>
      <w:r>
        <w:rPr>
          <w:rFonts w:hint="eastAsia" w:ascii="宋体" w:hAnsi="宋体" w:cs="宋体"/>
          <w:b/>
          <w:bCs/>
          <w:color w:val="auto"/>
          <w:highlight w:val="none"/>
        </w:rPr>
        <w:t>。</w:t>
      </w:r>
    </w:p>
    <w:p w14:paraId="08150A8E">
      <w:pPr>
        <w:spacing w:line="360" w:lineRule="exact"/>
        <w:ind w:firstLine="420" w:firstLineChars="200"/>
        <w:rPr>
          <w:color w:val="auto"/>
          <w:sz w:val="21"/>
          <w:highlight w:val="none"/>
        </w:rPr>
      </w:pPr>
      <w:r>
        <w:rPr>
          <w:rFonts w:hint="eastAsia"/>
          <w:color w:val="auto"/>
          <w:sz w:val="21"/>
          <w:highlight w:val="none"/>
        </w:rPr>
        <w:t>工资性工程款比例约定：</w:t>
      </w:r>
      <w:r>
        <w:rPr>
          <w:rFonts w:hint="eastAsia"/>
          <w:color w:val="auto"/>
          <w:highlight w:val="none"/>
          <w:u w:val="single"/>
        </w:rPr>
        <w:t xml:space="preserve">        /          </w:t>
      </w:r>
      <w:r>
        <w:rPr>
          <w:rFonts w:hint="eastAsia"/>
          <w:color w:val="auto"/>
          <w:highlight w:val="none"/>
        </w:rPr>
        <w:t>。</w:t>
      </w:r>
    </w:p>
    <w:p w14:paraId="1E78381F">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12.3.4 总价合同的计量</w:t>
      </w:r>
    </w:p>
    <w:p w14:paraId="138B9167">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关于总价合同计量的约定：</w:t>
      </w:r>
      <w:r>
        <w:rPr>
          <w:rFonts w:hint="eastAsia" w:ascii="宋体" w:hAnsi="宋体" w:cs="宋体"/>
          <w:color w:val="auto"/>
          <w:highlight w:val="none"/>
          <w:u w:val="single"/>
        </w:rPr>
        <w:t>/</w:t>
      </w:r>
      <w:r>
        <w:rPr>
          <w:rFonts w:hint="eastAsia" w:ascii="宋体" w:hAnsi="宋体" w:cs="宋体"/>
          <w:color w:val="auto"/>
          <w:highlight w:val="none"/>
        </w:rPr>
        <w:t>。</w:t>
      </w:r>
    </w:p>
    <w:p w14:paraId="441A5FA9">
      <w:pPr>
        <w:spacing w:line="360" w:lineRule="exact"/>
        <w:ind w:firstLine="420" w:firstLineChars="200"/>
        <w:rPr>
          <w:color w:val="auto"/>
          <w:sz w:val="21"/>
          <w:highlight w:val="none"/>
        </w:rPr>
      </w:pPr>
      <w:r>
        <w:rPr>
          <w:rFonts w:hint="eastAsia"/>
          <w:color w:val="auto"/>
          <w:sz w:val="21"/>
          <w:highlight w:val="none"/>
        </w:rPr>
        <w:t>工资性工程款比例约定：</w:t>
      </w:r>
      <w:r>
        <w:rPr>
          <w:rFonts w:hint="eastAsia"/>
          <w:color w:val="auto"/>
          <w:highlight w:val="none"/>
          <w:u w:val="single"/>
        </w:rPr>
        <w:t xml:space="preserve">        /          </w:t>
      </w:r>
      <w:r>
        <w:rPr>
          <w:rFonts w:hint="eastAsia"/>
          <w:color w:val="auto"/>
          <w:highlight w:val="none"/>
        </w:rPr>
        <w:t>。</w:t>
      </w:r>
    </w:p>
    <w:p w14:paraId="13EDB4EC">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12.3.5总价合同采用支付分解表计量支付的，是否适用第</w:t>
      </w:r>
      <w:r>
        <w:rPr>
          <w:rFonts w:hint="eastAsia" w:ascii="宋体" w:hAnsi="宋体" w:cs="宋体"/>
          <w:color w:val="auto"/>
          <w:kern w:val="0"/>
          <w:highlight w:val="none"/>
        </w:rPr>
        <w:t xml:space="preserve">12.3.4 </w:t>
      </w:r>
      <w:r>
        <w:rPr>
          <w:rFonts w:hint="eastAsia" w:ascii="宋体" w:hAnsi="宋体" w:cs="宋体"/>
          <w:color w:val="auto"/>
          <w:highlight w:val="none"/>
        </w:rPr>
        <w:t>项</w:t>
      </w:r>
      <w:r>
        <w:rPr>
          <w:rFonts w:hint="eastAsia" w:ascii="宋体" w:hAnsi="宋体" w:cs="宋体"/>
          <w:color w:val="auto"/>
          <w:kern w:val="0"/>
          <w:highlight w:val="none"/>
        </w:rPr>
        <w:t>〔总价合同的计量〕</w:t>
      </w:r>
      <w:r>
        <w:rPr>
          <w:rFonts w:hint="eastAsia" w:ascii="宋体" w:hAnsi="宋体" w:cs="宋体"/>
          <w:color w:val="auto"/>
          <w:highlight w:val="none"/>
        </w:rPr>
        <w:t>约定进行计量：</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6160371E">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12.3.6 其他价格形式合同的计量</w:t>
      </w:r>
    </w:p>
    <w:p w14:paraId="48194CF5">
      <w:pPr>
        <w:pStyle w:val="103"/>
        <w:adjustRightInd w:val="0"/>
        <w:snapToGrid w:val="0"/>
        <w:spacing w:line="360" w:lineRule="exact"/>
        <w:jc w:val="left"/>
        <w:rPr>
          <w:rFonts w:ascii="宋体" w:hAnsi="宋体" w:cs="宋体"/>
          <w:color w:val="auto"/>
          <w:highlight w:val="none"/>
        </w:rPr>
      </w:pPr>
      <w:r>
        <w:rPr>
          <w:rFonts w:hint="eastAsia" w:ascii="宋体" w:hAnsi="宋体" w:cs="宋体"/>
          <w:color w:val="auto"/>
          <w:highlight w:val="none"/>
        </w:rPr>
        <w:t xml:space="preserve">    其他价格形式的计量方式和程序：</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43090EA5">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12.4 工程进度款支付</w:t>
      </w:r>
    </w:p>
    <w:p w14:paraId="2E560AC5">
      <w:pPr>
        <w:pStyle w:val="103"/>
        <w:adjustRightInd w:val="0"/>
        <w:snapToGrid w:val="0"/>
        <w:spacing w:line="360" w:lineRule="exact"/>
        <w:ind w:firstLine="420" w:firstLineChars="200"/>
        <w:jc w:val="left"/>
        <w:rPr>
          <w:rFonts w:ascii="宋体" w:hAnsi="宋体" w:cs="宋体"/>
          <w:b/>
          <w:bCs/>
          <w:color w:val="auto"/>
          <w:highlight w:val="none"/>
          <w:u w:val="single"/>
        </w:rPr>
      </w:pPr>
      <w:r>
        <w:rPr>
          <w:rFonts w:hint="eastAsia" w:ascii="宋体" w:hAnsi="宋体" w:cs="宋体"/>
          <w:color w:val="auto"/>
          <w:highlight w:val="none"/>
        </w:rPr>
        <w:t>12.4.1 付款周期</w:t>
      </w:r>
    </w:p>
    <w:p w14:paraId="314F1999">
      <w:pPr>
        <w:pStyle w:val="103"/>
        <w:adjustRightInd w:val="0"/>
        <w:snapToGrid w:val="0"/>
        <w:spacing w:line="360" w:lineRule="exact"/>
        <w:ind w:firstLine="422" w:firstLineChars="200"/>
        <w:jc w:val="left"/>
        <w:rPr>
          <w:rFonts w:hint="eastAsia" w:ascii="宋体" w:hAnsi="宋体" w:cs="宋体"/>
          <w:b/>
          <w:bCs/>
          <w:color w:val="auto"/>
          <w:highlight w:val="none"/>
          <w:u w:val="single"/>
        </w:rPr>
      </w:pPr>
      <w:r>
        <w:rPr>
          <w:rFonts w:hint="eastAsia" w:ascii="宋体" w:hAnsi="宋体" w:cs="宋体"/>
          <w:b/>
          <w:bCs/>
          <w:color w:val="auto"/>
          <w:highlight w:val="none"/>
          <w:u w:val="single"/>
        </w:rPr>
        <w:t>（1）合同签订后一周内，乙方向甲方提交合同总价1%的履约保证金，履约保证金在合同履约期间无违约情形的，项目验收合格自动转为质量保证金（不计息）；履约保证金提交方式：其它非现金形式。</w:t>
      </w:r>
    </w:p>
    <w:p w14:paraId="68F4F21A">
      <w:pPr>
        <w:pStyle w:val="103"/>
        <w:adjustRightInd w:val="0"/>
        <w:snapToGrid w:val="0"/>
        <w:spacing w:line="360" w:lineRule="exact"/>
        <w:ind w:firstLine="422" w:firstLineChars="200"/>
        <w:jc w:val="left"/>
        <w:rPr>
          <w:rFonts w:ascii="宋体" w:hAnsi="宋体" w:cs="宋体"/>
          <w:b/>
          <w:bCs/>
          <w:color w:val="auto"/>
          <w:highlight w:val="none"/>
          <w:u w:val="single"/>
        </w:rPr>
      </w:pPr>
      <w:r>
        <w:rPr>
          <w:rFonts w:hint="eastAsia" w:ascii="宋体" w:hAnsi="宋体" w:cs="宋体"/>
          <w:b/>
          <w:bCs/>
          <w:color w:val="auto"/>
          <w:highlight w:val="none"/>
          <w:u w:val="single"/>
        </w:rPr>
        <w:t>（2）承包人递交履约保证金、合同签订后，满足进场施工条件，经发包人代表确认后7个工作日内向承包人支付合同总价40%的工程预付款，后期转为工程款（逾期未递交履约保证金及发票等付款凭证，视为承包人放弃工程预付款）；</w:t>
      </w:r>
    </w:p>
    <w:p w14:paraId="4F9C885E">
      <w:pPr>
        <w:pStyle w:val="103"/>
        <w:adjustRightInd w:val="0"/>
        <w:snapToGrid w:val="0"/>
        <w:spacing w:line="360" w:lineRule="exact"/>
        <w:ind w:firstLine="422" w:firstLineChars="200"/>
        <w:jc w:val="left"/>
        <w:rPr>
          <w:rFonts w:ascii="宋体" w:hAnsi="宋体" w:cs="宋体"/>
          <w:b/>
          <w:bCs/>
          <w:color w:val="auto"/>
          <w:highlight w:val="none"/>
          <w:u w:val="single"/>
        </w:rPr>
      </w:pPr>
      <w:r>
        <w:rPr>
          <w:rFonts w:hint="eastAsia" w:ascii="宋体" w:hAnsi="宋体" w:cs="宋体"/>
          <w:b/>
          <w:bCs/>
          <w:color w:val="auto"/>
          <w:highlight w:val="none"/>
          <w:u w:val="single"/>
        </w:rPr>
        <w:t>（3）承包人履行完全部合同约定，整体工程竣工验收合格后10个工作日内，支付至承包人合同总价款的85%，承包人向发包人账户缴纳的履约保证金自动转为质量保证金；</w:t>
      </w:r>
    </w:p>
    <w:p w14:paraId="4FC3EEFF">
      <w:pPr>
        <w:pStyle w:val="103"/>
        <w:adjustRightInd w:val="0"/>
        <w:snapToGrid w:val="0"/>
        <w:spacing w:line="360" w:lineRule="exact"/>
        <w:ind w:left="629" w:leftChars="174" w:hanging="211" w:hangingChars="100"/>
        <w:jc w:val="left"/>
        <w:rPr>
          <w:rFonts w:ascii="宋体" w:hAnsi="宋体" w:cs="宋体"/>
          <w:b/>
          <w:bCs/>
          <w:color w:val="auto"/>
          <w:highlight w:val="none"/>
          <w:u w:val="single"/>
        </w:rPr>
      </w:pPr>
      <w:r>
        <w:rPr>
          <w:rFonts w:hint="eastAsia" w:ascii="宋体" w:hAnsi="宋体" w:cs="宋体"/>
          <w:b/>
          <w:bCs/>
          <w:color w:val="auto"/>
          <w:highlight w:val="none"/>
          <w:u w:val="single"/>
        </w:rPr>
        <w:t>（4）工程造价结算审计完毕，其他相关服务按约定履行，发包人支付至审定工程总价款的100%；</w:t>
      </w:r>
    </w:p>
    <w:p w14:paraId="0558A0EC">
      <w:pPr>
        <w:pStyle w:val="103"/>
        <w:adjustRightInd w:val="0"/>
        <w:snapToGrid w:val="0"/>
        <w:spacing w:line="360" w:lineRule="exact"/>
        <w:ind w:left="629" w:leftChars="174" w:hanging="211" w:hangingChars="100"/>
        <w:jc w:val="left"/>
        <w:rPr>
          <w:rFonts w:ascii="宋体" w:hAnsi="宋体" w:cs="宋体"/>
          <w:b/>
          <w:bCs/>
          <w:color w:val="auto"/>
          <w:highlight w:val="none"/>
          <w:u w:val="single"/>
        </w:rPr>
      </w:pPr>
      <w:r>
        <w:rPr>
          <w:rFonts w:hint="eastAsia" w:ascii="宋体" w:hAnsi="宋体" w:cs="宋体"/>
          <w:b/>
          <w:bCs/>
          <w:color w:val="auto"/>
          <w:highlight w:val="none"/>
          <w:u w:val="single"/>
        </w:rPr>
        <w:t>（5）服务期满后若无质量问题，发包人在10个工作日内无息退还质保金。</w:t>
      </w:r>
    </w:p>
    <w:p w14:paraId="09215D28">
      <w:pPr>
        <w:pStyle w:val="126"/>
        <w:adjustRightInd w:val="0"/>
        <w:snapToGrid w:val="0"/>
        <w:spacing w:before="0" w:after="0" w:line="360" w:lineRule="exact"/>
        <w:ind w:firstLine="482" w:firstLineChars="200"/>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13. 验收和工程试车</w:t>
      </w:r>
    </w:p>
    <w:p w14:paraId="0EC7D82A">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13.1 分部分项工程验收</w:t>
      </w:r>
    </w:p>
    <w:p w14:paraId="449B96B8">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13.1.1监理人不能按时进行验收时，应提前</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24</w:t>
      </w:r>
      <w:r>
        <w:rPr>
          <w:rFonts w:hint="eastAsia" w:ascii="宋体" w:hAnsi="宋体" w:cs="宋体"/>
          <w:color w:val="auto"/>
          <w:highlight w:val="none"/>
          <w:u w:val="single"/>
        </w:rPr>
        <w:t xml:space="preserve"> </w:t>
      </w:r>
      <w:r>
        <w:rPr>
          <w:rFonts w:hint="eastAsia" w:ascii="宋体" w:hAnsi="宋体" w:cs="宋体"/>
          <w:color w:val="auto"/>
          <w:highlight w:val="none"/>
        </w:rPr>
        <w:t>小时提交书面延期要求。</w:t>
      </w:r>
    </w:p>
    <w:p w14:paraId="597F7218">
      <w:pPr>
        <w:pStyle w:val="103"/>
        <w:adjustRightInd w:val="0"/>
        <w:snapToGrid w:val="0"/>
        <w:spacing w:line="360" w:lineRule="exact"/>
        <w:ind w:firstLine="420" w:firstLineChars="200"/>
        <w:jc w:val="left"/>
        <w:rPr>
          <w:rFonts w:ascii="宋体" w:hAnsi="宋体" w:cs="宋体"/>
          <w:b/>
          <w:bCs/>
          <w:color w:val="auto"/>
          <w:highlight w:val="none"/>
        </w:rPr>
      </w:pPr>
      <w:r>
        <w:rPr>
          <w:rFonts w:hint="eastAsia" w:ascii="宋体" w:hAnsi="宋体" w:cs="宋体"/>
          <w:color w:val="auto"/>
          <w:highlight w:val="none"/>
        </w:rPr>
        <w:t>关于延期最长不得超过：</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 xml:space="preserve">48 </w:t>
      </w:r>
      <w:r>
        <w:rPr>
          <w:rFonts w:hint="eastAsia" w:ascii="宋体" w:hAnsi="宋体" w:cs="宋体"/>
          <w:color w:val="auto"/>
          <w:highlight w:val="none"/>
        </w:rPr>
        <w:t>小时。</w:t>
      </w:r>
    </w:p>
    <w:p w14:paraId="0E06D9CF">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13.2 竣工验收</w:t>
      </w:r>
    </w:p>
    <w:p w14:paraId="744C63C3">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13.2.1竣工验收程序</w:t>
      </w:r>
    </w:p>
    <w:p w14:paraId="4204312C">
      <w:pPr>
        <w:pStyle w:val="103"/>
        <w:adjustRightInd w:val="0"/>
        <w:snapToGrid w:val="0"/>
        <w:spacing w:line="360" w:lineRule="exact"/>
        <w:ind w:left="4200" w:hanging="4200" w:hangingChars="2000"/>
        <w:jc w:val="left"/>
        <w:rPr>
          <w:rFonts w:ascii="宋体" w:hAnsi="宋体" w:cs="宋体"/>
          <w:color w:val="auto"/>
          <w:highlight w:val="none"/>
        </w:rPr>
      </w:pPr>
      <w:r>
        <w:rPr>
          <w:rFonts w:hint="eastAsia" w:ascii="宋体" w:hAnsi="宋体" w:cs="宋体"/>
          <w:color w:val="auto"/>
          <w:kern w:val="0"/>
          <w:highlight w:val="none"/>
        </w:rPr>
        <w:t xml:space="preserve">    关于竣工验收程序的约定：</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合同内容完成后由承包人提交书面申请，发包人组织验收。</w:t>
      </w:r>
    </w:p>
    <w:p w14:paraId="733ACF9B">
      <w:pPr>
        <w:pStyle w:val="103"/>
        <w:adjustRightInd w:val="0"/>
        <w:snapToGrid w:val="0"/>
        <w:spacing w:line="360" w:lineRule="exact"/>
        <w:ind w:firstLine="420" w:firstLineChars="200"/>
        <w:jc w:val="left"/>
        <w:rPr>
          <w:rFonts w:ascii="宋体" w:hAnsi="宋体" w:cs="宋体"/>
          <w:b/>
          <w:bCs/>
          <w:color w:val="auto"/>
          <w:highlight w:val="none"/>
          <w:u w:val="single"/>
        </w:rPr>
      </w:pPr>
      <w:r>
        <w:rPr>
          <w:rFonts w:hint="eastAsia" w:ascii="宋体" w:hAnsi="宋体" w:cs="宋体"/>
          <w:color w:val="auto"/>
          <w:kern w:val="0"/>
          <w:highlight w:val="none"/>
        </w:rPr>
        <w:t>发包人不按照本项约定组织竣工验收、颁发工程接收证书的违约金的计算方法：</w:t>
      </w:r>
      <w:r>
        <w:rPr>
          <w:rFonts w:hint="eastAsia" w:ascii="宋体" w:hAnsi="宋体" w:cs="宋体"/>
          <w:b/>
          <w:bCs/>
          <w:color w:val="auto"/>
          <w:highlight w:val="none"/>
          <w:u w:val="single"/>
        </w:rPr>
        <w:t>/</w:t>
      </w:r>
      <w:r>
        <w:rPr>
          <w:rFonts w:hint="eastAsia" w:ascii="宋体" w:hAnsi="宋体" w:cs="宋体"/>
          <w:b/>
          <w:bCs/>
          <w:color w:val="auto"/>
          <w:highlight w:val="none"/>
        </w:rPr>
        <w:t>。</w:t>
      </w:r>
    </w:p>
    <w:p w14:paraId="050E1AFD">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13.2.2移交、接收全部与部分工程</w:t>
      </w:r>
    </w:p>
    <w:p w14:paraId="28BC2A3C">
      <w:pPr>
        <w:pStyle w:val="103"/>
        <w:autoSpaceDE w:val="0"/>
        <w:autoSpaceDN w:val="0"/>
        <w:adjustRightInd w:val="0"/>
        <w:snapToGrid w:val="0"/>
        <w:spacing w:line="360" w:lineRule="exact"/>
        <w:ind w:firstLine="420" w:firstLineChars="200"/>
        <w:jc w:val="left"/>
        <w:rPr>
          <w:rFonts w:ascii="宋体" w:hAnsi="宋体" w:cs="宋体"/>
          <w:b/>
          <w:bCs/>
          <w:color w:val="auto"/>
          <w:highlight w:val="none"/>
          <w:u w:val="single"/>
        </w:rPr>
      </w:pPr>
      <w:r>
        <w:rPr>
          <w:rFonts w:hint="eastAsia" w:ascii="宋体" w:hAnsi="宋体" w:cs="宋体"/>
          <w:color w:val="auto"/>
          <w:kern w:val="0"/>
          <w:highlight w:val="none"/>
        </w:rPr>
        <w:t>承包人向发包人移交工程的期限：</w:t>
      </w:r>
      <w:r>
        <w:rPr>
          <w:rFonts w:hint="eastAsia" w:ascii="宋体" w:hAnsi="宋体" w:cs="宋体"/>
          <w:b/>
          <w:bCs/>
          <w:color w:val="auto"/>
          <w:highlight w:val="none"/>
          <w:u w:val="single"/>
        </w:rPr>
        <w:t>竣工验收合格后7天内完成工程的移交。</w:t>
      </w:r>
    </w:p>
    <w:p w14:paraId="33A75ED2">
      <w:pPr>
        <w:pStyle w:val="103"/>
        <w:autoSpaceDE w:val="0"/>
        <w:autoSpaceDN w:val="0"/>
        <w:adjustRightInd w:val="0"/>
        <w:snapToGrid w:val="0"/>
        <w:spacing w:line="360" w:lineRule="exact"/>
        <w:ind w:firstLine="420" w:firstLineChars="200"/>
        <w:jc w:val="left"/>
        <w:rPr>
          <w:rFonts w:ascii="宋体" w:hAnsi="宋体" w:cs="宋体"/>
          <w:color w:val="auto"/>
          <w:kern w:val="0"/>
          <w:highlight w:val="none"/>
          <w:u w:val="single"/>
        </w:rPr>
      </w:pPr>
      <w:r>
        <w:rPr>
          <w:rFonts w:hint="eastAsia" w:ascii="宋体" w:hAnsi="宋体" w:cs="宋体"/>
          <w:color w:val="auto"/>
          <w:kern w:val="0"/>
          <w:highlight w:val="none"/>
        </w:rPr>
        <w:t>发包人未按本合同约定接收全部或部分工程的，违约金的计算方法为：</w:t>
      </w:r>
      <w:r>
        <w:rPr>
          <w:rFonts w:hint="eastAsia" w:ascii="宋体" w:hAnsi="宋体" w:cs="宋体"/>
          <w:b/>
          <w:bCs/>
          <w:color w:val="auto"/>
          <w:highlight w:val="none"/>
          <w:u w:val="single"/>
        </w:rPr>
        <w:t>/</w:t>
      </w:r>
      <w:r>
        <w:rPr>
          <w:rFonts w:hint="eastAsia" w:ascii="宋体" w:hAnsi="宋体" w:cs="宋体"/>
          <w:b/>
          <w:bCs/>
          <w:color w:val="auto"/>
          <w:highlight w:val="none"/>
        </w:rPr>
        <w:t>。</w:t>
      </w:r>
    </w:p>
    <w:p w14:paraId="0B674BC2">
      <w:pPr>
        <w:pStyle w:val="103"/>
        <w:adjustRightInd w:val="0"/>
        <w:snapToGrid w:val="0"/>
        <w:spacing w:line="360" w:lineRule="exact"/>
        <w:jc w:val="left"/>
        <w:rPr>
          <w:rFonts w:ascii="宋体" w:hAnsi="宋体" w:cs="宋体"/>
          <w:b/>
          <w:bCs/>
          <w:color w:val="auto"/>
          <w:highlight w:val="none"/>
          <w:u w:val="single"/>
        </w:rPr>
      </w:pPr>
      <w:r>
        <w:rPr>
          <w:rFonts w:hint="eastAsia" w:ascii="宋体" w:hAnsi="宋体" w:cs="宋体"/>
          <w:color w:val="auto"/>
          <w:highlight w:val="none"/>
        </w:rPr>
        <w:t xml:space="preserve">    承包人未按时移交工程的，违约金的计算方法为：</w:t>
      </w:r>
      <w:r>
        <w:rPr>
          <w:rFonts w:hint="eastAsia" w:ascii="宋体" w:hAnsi="宋体" w:cs="宋体"/>
          <w:b/>
          <w:bCs/>
          <w:color w:val="auto"/>
          <w:highlight w:val="none"/>
          <w:u w:val="single"/>
        </w:rPr>
        <w:t xml:space="preserve">承担违约责任，每延期一天按合同总价的万分之五向发包人支付违约金，在工程结算审定款中扣除。  </w:t>
      </w:r>
    </w:p>
    <w:p w14:paraId="6434603C">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13.3 工程试车</w:t>
      </w:r>
    </w:p>
    <w:p w14:paraId="6EF0C0CB">
      <w:pPr>
        <w:pStyle w:val="103"/>
        <w:adjustRightInd w:val="0"/>
        <w:snapToGrid w:val="0"/>
        <w:spacing w:line="360" w:lineRule="exact"/>
        <w:ind w:firstLine="420" w:firstLineChars="200"/>
        <w:jc w:val="left"/>
        <w:rPr>
          <w:rFonts w:ascii="宋体" w:hAnsi="宋体" w:cs="宋体"/>
          <w:color w:val="auto"/>
          <w:kern w:val="0"/>
          <w:highlight w:val="none"/>
        </w:rPr>
      </w:pPr>
      <w:r>
        <w:rPr>
          <w:rFonts w:hint="eastAsia" w:ascii="宋体" w:hAnsi="宋体" w:cs="宋体"/>
          <w:color w:val="auto"/>
          <w:kern w:val="0"/>
          <w:highlight w:val="none"/>
        </w:rPr>
        <w:t>13.3.1 试车程序</w:t>
      </w:r>
    </w:p>
    <w:p w14:paraId="4B492AF9">
      <w:pPr>
        <w:pStyle w:val="103"/>
        <w:adjustRightInd w:val="0"/>
        <w:snapToGrid w:val="0"/>
        <w:spacing w:line="360" w:lineRule="exact"/>
        <w:ind w:firstLine="420" w:firstLineChars="200"/>
        <w:jc w:val="left"/>
        <w:rPr>
          <w:rFonts w:ascii="宋体" w:hAnsi="宋体" w:cs="宋体"/>
          <w:color w:val="auto"/>
          <w:kern w:val="0"/>
          <w:highlight w:val="none"/>
        </w:rPr>
      </w:pPr>
      <w:r>
        <w:rPr>
          <w:rFonts w:hint="eastAsia" w:ascii="宋体" w:hAnsi="宋体" w:cs="宋体"/>
          <w:color w:val="auto"/>
          <w:kern w:val="0"/>
          <w:highlight w:val="none"/>
        </w:rPr>
        <w:t>工程试车内容：</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 xml:space="preserve">试车内容应与承包人承包范围相一致，试车费用由承包人承担。  </w:t>
      </w:r>
    </w:p>
    <w:p w14:paraId="7F740F66">
      <w:pPr>
        <w:pStyle w:val="103"/>
        <w:adjustRightInd w:val="0"/>
        <w:snapToGrid w:val="0"/>
        <w:spacing w:line="360" w:lineRule="exact"/>
        <w:ind w:firstLine="420" w:firstLineChars="200"/>
        <w:jc w:val="left"/>
        <w:rPr>
          <w:rFonts w:ascii="宋体" w:hAnsi="宋体" w:cs="宋体"/>
          <w:color w:val="auto"/>
          <w:kern w:val="0"/>
          <w:highlight w:val="none"/>
        </w:rPr>
      </w:pPr>
      <w:r>
        <w:rPr>
          <w:rFonts w:hint="eastAsia" w:ascii="宋体" w:hAnsi="宋体" w:cs="宋体"/>
          <w:color w:val="auto"/>
          <w:kern w:val="0"/>
          <w:highlight w:val="none"/>
        </w:rPr>
        <w:t>（1）单机无负荷试车费用由</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 xml:space="preserve"> 承包人 </w:t>
      </w:r>
      <w:r>
        <w:rPr>
          <w:rFonts w:hint="eastAsia" w:ascii="宋体" w:hAnsi="宋体" w:cs="宋体"/>
          <w:color w:val="auto"/>
          <w:highlight w:val="none"/>
          <w:u w:val="single"/>
        </w:rPr>
        <w:t xml:space="preserve">   </w:t>
      </w:r>
      <w:r>
        <w:rPr>
          <w:rFonts w:hint="eastAsia" w:ascii="宋体" w:hAnsi="宋体" w:cs="宋体"/>
          <w:color w:val="auto"/>
          <w:kern w:val="0"/>
          <w:highlight w:val="none"/>
        </w:rPr>
        <w:t>承担；</w:t>
      </w:r>
    </w:p>
    <w:p w14:paraId="34F0DDEC">
      <w:pPr>
        <w:pStyle w:val="103"/>
        <w:adjustRightInd w:val="0"/>
        <w:snapToGrid w:val="0"/>
        <w:spacing w:line="360" w:lineRule="exact"/>
        <w:ind w:firstLine="420" w:firstLineChars="200"/>
        <w:jc w:val="left"/>
        <w:rPr>
          <w:rFonts w:ascii="宋体" w:hAnsi="宋体" w:cs="宋体"/>
          <w:color w:val="auto"/>
          <w:kern w:val="0"/>
          <w:highlight w:val="none"/>
        </w:rPr>
      </w:pPr>
      <w:r>
        <w:rPr>
          <w:rFonts w:hint="eastAsia" w:ascii="宋体" w:hAnsi="宋体" w:cs="宋体"/>
          <w:color w:val="auto"/>
          <w:kern w:val="0"/>
          <w:highlight w:val="none"/>
        </w:rPr>
        <w:t>（2）无负荷联动试车费用由</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 xml:space="preserve"> 承包人 </w:t>
      </w:r>
      <w:r>
        <w:rPr>
          <w:rFonts w:hint="eastAsia" w:ascii="宋体" w:hAnsi="宋体" w:cs="宋体"/>
          <w:color w:val="auto"/>
          <w:highlight w:val="none"/>
          <w:u w:val="single"/>
        </w:rPr>
        <w:t xml:space="preserve">   </w:t>
      </w:r>
      <w:r>
        <w:rPr>
          <w:rFonts w:hint="eastAsia" w:ascii="宋体" w:hAnsi="宋体" w:cs="宋体"/>
          <w:color w:val="auto"/>
          <w:kern w:val="0"/>
          <w:highlight w:val="none"/>
        </w:rPr>
        <w:t>承担。</w:t>
      </w:r>
    </w:p>
    <w:p w14:paraId="4ABC1A5D">
      <w:pPr>
        <w:pStyle w:val="103"/>
        <w:adjustRightInd w:val="0"/>
        <w:snapToGrid w:val="0"/>
        <w:spacing w:line="360" w:lineRule="exact"/>
        <w:ind w:firstLine="420" w:firstLineChars="200"/>
        <w:jc w:val="left"/>
        <w:rPr>
          <w:rFonts w:ascii="宋体" w:hAnsi="宋体" w:cs="宋体"/>
          <w:color w:val="auto"/>
          <w:kern w:val="0"/>
          <w:highlight w:val="none"/>
        </w:rPr>
      </w:pPr>
      <w:r>
        <w:rPr>
          <w:rFonts w:hint="eastAsia" w:ascii="宋体" w:hAnsi="宋体" w:cs="宋体"/>
          <w:color w:val="auto"/>
          <w:kern w:val="0"/>
          <w:highlight w:val="none"/>
        </w:rPr>
        <w:t>13.3.2 投料试车</w:t>
      </w:r>
    </w:p>
    <w:p w14:paraId="53EF1EF3">
      <w:pPr>
        <w:pStyle w:val="103"/>
        <w:adjustRightInd w:val="0"/>
        <w:snapToGrid w:val="0"/>
        <w:spacing w:line="360" w:lineRule="exact"/>
        <w:ind w:firstLine="420" w:firstLineChars="200"/>
        <w:jc w:val="left"/>
        <w:rPr>
          <w:rFonts w:ascii="宋体" w:hAnsi="宋体" w:cs="宋体"/>
          <w:b/>
          <w:bCs/>
          <w:color w:val="auto"/>
          <w:highlight w:val="none"/>
          <w:u w:val="single"/>
        </w:rPr>
      </w:pPr>
      <w:r>
        <w:rPr>
          <w:rFonts w:hint="eastAsia" w:ascii="宋体" w:hAnsi="宋体" w:cs="宋体"/>
          <w:color w:val="auto"/>
          <w:kern w:val="0"/>
          <w:highlight w:val="none"/>
        </w:rPr>
        <w:t>关于投料试车相关事项的约定：</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按通用合同条款第13.3.3条规定执行。</w:t>
      </w:r>
    </w:p>
    <w:p w14:paraId="0AB2FFB1">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13.4 竣工退场</w:t>
      </w:r>
    </w:p>
    <w:p w14:paraId="3730331D">
      <w:pPr>
        <w:pStyle w:val="103"/>
        <w:adjustRightInd w:val="0"/>
        <w:snapToGrid w:val="0"/>
        <w:spacing w:line="360" w:lineRule="exact"/>
        <w:ind w:firstLine="420" w:firstLineChars="200"/>
        <w:jc w:val="left"/>
        <w:rPr>
          <w:rFonts w:ascii="宋体" w:hAnsi="宋体" w:cs="宋体"/>
          <w:color w:val="auto"/>
          <w:kern w:val="0"/>
          <w:highlight w:val="none"/>
        </w:rPr>
      </w:pPr>
      <w:r>
        <w:rPr>
          <w:rFonts w:hint="eastAsia" w:ascii="宋体" w:hAnsi="宋体" w:cs="宋体"/>
          <w:color w:val="auto"/>
          <w:kern w:val="0"/>
          <w:highlight w:val="none"/>
        </w:rPr>
        <w:t>13.4.1 竣工退场</w:t>
      </w:r>
    </w:p>
    <w:p w14:paraId="6D50EC95">
      <w:pPr>
        <w:pStyle w:val="103"/>
        <w:adjustRightInd w:val="0"/>
        <w:snapToGrid w:val="0"/>
        <w:spacing w:line="360" w:lineRule="exact"/>
        <w:ind w:firstLine="420" w:firstLineChars="200"/>
        <w:jc w:val="left"/>
        <w:rPr>
          <w:rFonts w:ascii="宋体" w:hAnsi="宋体" w:cs="宋体"/>
          <w:color w:val="auto"/>
          <w:kern w:val="0"/>
          <w:highlight w:val="none"/>
        </w:rPr>
      </w:pPr>
      <w:r>
        <w:rPr>
          <w:rFonts w:hint="eastAsia" w:ascii="宋体" w:hAnsi="宋体" w:cs="宋体"/>
          <w:color w:val="auto"/>
          <w:kern w:val="0"/>
          <w:highlight w:val="none"/>
        </w:rPr>
        <w:t>承包人完成竣工退场的期限：</w:t>
      </w:r>
      <w:r>
        <w:rPr>
          <w:rFonts w:hint="eastAsia" w:ascii="宋体" w:hAnsi="宋体" w:cs="宋体"/>
          <w:b/>
          <w:bCs/>
          <w:color w:val="auto"/>
          <w:highlight w:val="none"/>
          <w:u w:val="single"/>
        </w:rPr>
        <w:t xml:space="preserve"> 竣工验收合格后15天内清退全部临时设施、建筑材料、机械设备及建筑垃圾等</w:t>
      </w:r>
      <w:r>
        <w:rPr>
          <w:rFonts w:hint="eastAsia" w:ascii="宋体" w:hAnsi="宋体" w:cs="宋体"/>
          <w:b/>
          <w:bCs/>
          <w:color w:val="auto"/>
          <w:kern w:val="0"/>
          <w:highlight w:val="none"/>
        </w:rPr>
        <w:t>。</w:t>
      </w:r>
    </w:p>
    <w:p w14:paraId="0D1C94DF">
      <w:pPr>
        <w:pStyle w:val="126"/>
        <w:adjustRightInd w:val="0"/>
        <w:snapToGrid w:val="0"/>
        <w:spacing w:before="0" w:after="0" w:line="360" w:lineRule="exact"/>
        <w:ind w:firstLine="420"/>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14. 竣工结算</w:t>
      </w:r>
    </w:p>
    <w:p w14:paraId="6CCE4175">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14.1 竣工付款申请</w:t>
      </w:r>
    </w:p>
    <w:p w14:paraId="38E293A2">
      <w:pPr>
        <w:pStyle w:val="103"/>
        <w:autoSpaceDE w:val="0"/>
        <w:autoSpaceDN w:val="0"/>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承包人提交竣工付款申请单的期限：</w:t>
      </w:r>
      <w:r>
        <w:rPr>
          <w:rFonts w:hint="eastAsia" w:ascii="宋体" w:hAnsi="宋体" w:cs="宋体"/>
          <w:b/>
          <w:bCs/>
          <w:color w:val="auto"/>
          <w:highlight w:val="none"/>
          <w:u w:val="single"/>
        </w:rPr>
        <w:t>在工程竣工验收合格并提交以下资料后30日历天内。</w:t>
      </w:r>
    </w:p>
    <w:p w14:paraId="451460F1">
      <w:pPr>
        <w:pStyle w:val="103"/>
        <w:autoSpaceDE w:val="0"/>
        <w:autoSpaceDN w:val="0"/>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竣工付款申请单应包括的内容：</w:t>
      </w:r>
    </w:p>
    <w:p w14:paraId="79C97022">
      <w:pPr>
        <w:pStyle w:val="103"/>
        <w:autoSpaceDE w:val="0"/>
        <w:autoSpaceDN w:val="0"/>
        <w:adjustRightInd w:val="0"/>
        <w:snapToGrid w:val="0"/>
        <w:spacing w:line="360" w:lineRule="exact"/>
        <w:ind w:firstLine="422" w:firstLineChars="200"/>
        <w:jc w:val="left"/>
        <w:rPr>
          <w:rFonts w:ascii="宋体" w:hAnsi="宋体" w:cs="宋体"/>
          <w:b/>
          <w:bCs/>
          <w:color w:val="auto"/>
          <w:highlight w:val="none"/>
          <w:u w:val="single"/>
        </w:rPr>
      </w:pPr>
      <w:r>
        <w:rPr>
          <w:rFonts w:hint="eastAsia" w:ascii="宋体" w:hAnsi="宋体" w:cs="宋体"/>
          <w:b/>
          <w:bCs/>
          <w:color w:val="auto"/>
          <w:highlight w:val="none"/>
          <w:u w:val="single"/>
        </w:rPr>
        <w:t>（1）工程结算书；</w:t>
      </w:r>
    </w:p>
    <w:p w14:paraId="2120B7C1">
      <w:pPr>
        <w:pStyle w:val="103"/>
        <w:autoSpaceDE w:val="0"/>
        <w:autoSpaceDN w:val="0"/>
        <w:adjustRightInd w:val="0"/>
        <w:snapToGrid w:val="0"/>
        <w:spacing w:line="360" w:lineRule="exact"/>
        <w:ind w:firstLine="422" w:firstLineChars="200"/>
        <w:jc w:val="left"/>
        <w:rPr>
          <w:rFonts w:ascii="宋体" w:hAnsi="宋体" w:cs="宋体"/>
          <w:b/>
          <w:bCs/>
          <w:color w:val="auto"/>
          <w:highlight w:val="none"/>
          <w:u w:val="single"/>
        </w:rPr>
      </w:pPr>
      <w:r>
        <w:rPr>
          <w:rFonts w:hint="eastAsia" w:ascii="宋体" w:hAnsi="宋体" w:cs="宋体"/>
          <w:b/>
          <w:bCs/>
          <w:color w:val="auto"/>
          <w:highlight w:val="none"/>
          <w:u w:val="single"/>
        </w:rPr>
        <w:t>（2）纸质竣工图纸、技术资料各3套及电子版(光盘)竣工图2套等相关资料</w:t>
      </w:r>
      <w:r>
        <w:rPr>
          <w:rFonts w:hint="eastAsia"/>
          <w:b/>
          <w:bCs/>
          <w:color w:val="auto"/>
          <w:highlight w:val="none"/>
        </w:rPr>
        <w:t>（该项目如有施工设计图纸，则需要提供）</w:t>
      </w:r>
    </w:p>
    <w:p w14:paraId="609FF14A">
      <w:pPr>
        <w:pStyle w:val="103"/>
        <w:autoSpaceDE w:val="0"/>
        <w:autoSpaceDN w:val="0"/>
        <w:adjustRightInd w:val="0"/>
        <w:snapToGrid w:val="0"/>
        <w:spacing w:line="360" w:lineRule="exact"/>
        <w:ind w:firstLine="422" w:firstLineChars="200"/>
        <w:jc w:val="left"/>
        <w:rPr>
          <w:rFonts w:ascii="宋体" w:hAnsi="宋体" w:cs="宋体"/>
          <w:b/>
          <w:bCs/>
          <w:color w:val="auto"/>
          <w:highlight w:val="none"/>
          <w:u w:val="single"/>
        </w:rPr>
      </w:pPr>
      <w:r>
        <w:rPr>
          <w:rFonts w:hint="eastAsia" w:ascii="宋体" w:hAnsi="宋体" w:cs="宋体"/>
          <w:b/>
          <w:bCs/>
          <w:color w:val="auto"/>
          <w:highlight w:val="none"/>
          <w:u w:val="single"/>
        </w:rPr>
        <w:t>（3）发包人应支付承包人的价款。</w:t>
      </w:r>
    </w:p>
    <w:p w14:paraId="31322D2E">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14.2 竣工结算审核</w:t>
      </w:r>
    </w:p>
    <w:p w14:paraId="5FC5B32C">
      <w:pPr>
        <w:pStyle w:val="103"/>
        <w:adjustRightInd w:val="0"/>
        <w:snapToGrid w:val="0"/>
        <w:spacing w:line="360" w:lineRule="exact"/>
        <w:ind w:firstLine="420" w:firstLineChars="200"/>
        <w:jc w:val="left"/>
        <w:rPr>
          <w:rFonts w:ascii="宋体" w:hAnsi="宋体" w:cs="宋体"/>
          <w:b/>
          <w:bCs/>
          <w:color w:val="auto"/>
          <w:highlight w:val="none"/>
          <w:u w:val="single"/>
        </w:rPr>
      </w:pPr>
      <w:r>
        <w:rPr>
          <w:rFonts w:hint="eastAsia" w:ascii="宋体" w:hAnsi="宋体" w:cs="宋体"/>
          <w:color w:val="auto"/>
          <w:highlight w:val="none"/>
        </w:rPr>
        <w:t>发包人审批竣工付款申请单的期限：</w:t>
      </w:r>
      <w:r>
        <w:rPr>
          <w:rFonts w:hint="eastAsia" w:ascii="宋体" w:hAnsi="宋体" w:cs="宋体"/>
          <w:b/>
          <w:bCs/>
          <w:color w:val="auto"/>
          <w:highlight w:val="none"/>
          <w:u w:val="single"/>
        </w:rPr>
        <w:t>在收到承包人提交的全部资料后14天内。</w:t>
      </w:r>
    </w:p>
    <w:p w14:paraId="630ECB14">
      <w:pPr>
        <w:spacing w:line="360" w:lineRule="exact"/>
        <w:ind w:firstLine="420" w:firstLineChars="200"/>
        <w:rPr>
          <w:color w:val="auto"/>
          <w:sz w:val="21"/>
          <w:highlight w:val="none"/>
        </w:rPr>
      </w:pPr>
      <w:r>
        <w:rPr>
          <w:rFonts w:hint="eastAsia"/>
          <w:color w:val="auto"/>
          <w:sz w:val="21"/>
          <w:highlight w:val="none"/>
        </w:rPr>
        <w:t>发包人完成竣工付款的期限：</w:t>
      </w:r>
      <w:r>
        <w:rPr>
          <w:rFonts w:hint="eastAsia"/>
          <w:b/>
          <w:bCs/>
          <w:color w:val="auto"/>
          <w:highlight w:val="none"/>
          <w:u w:val="single"/>
        </w:rPr>
        <w:t>在签发竣工付款证书后的14天内。</w:t>
      </w:r>
    </w:p>
    <w:p w14:paraId="2D0026D1">
      <w:pPr>
        <w:spacing w:line="360" w:lineRule="exact"/>
        <w:ind w:firstLine="420" w:firstLineChars="200"/>
        <w:rPr>
          <w:color w:val="auto"/>
          <w:sz w:val="21"/>
          <w:highlight w:val="none"/>
        </w:rPr>
      </w:pPr>
      <w:r>
        <w:rPr>
          <w:rFonts w:hint="eastAsia"/>
          <w:color w:val="auto"/>
          <w:sz w:val="21"/>
          <w:highlight w:val="none"/>
        </w:rPr>
        <w:t>关于竣工付款证书异议部分复核的方式和程序：</w:t>
      </w:r>
      <w:r>
        <w:rPr>
          <w:rFonts w:hint="eastAsia"/>
          <w:color w:val="auto"/>
          <w:highlight w:val="none"/>
          <w:u w:val="single"/>
        </w:rPr>
        <w:t>/。</w:t>
      </w:r>
    </w:p>
    <w:p w14:paraId="10815FB3">
      <w:pPr>
        <w:pStyle w:val="126"/>
        <w:adjustRightInd w:val="0"/>
        <w:snapToGrid w:val="0"/>
        <w:spacing w:before="0" w:after="0" w:line="360" w:lineRule="exact"/>
        <w:ind w:firstLine="420"/>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15. 缺陷责任期与保修</w:t>
      </w:r>
    </w:p>
    <w:p w14:paraId="4A997909">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15.1缺陷责任期</w:t>
      </w:r>
    </w:p>
    <w:p w14:paraId="0B447AFD">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缺陷责任期的具体期限：</w:t>
      </w:r>
      <w:r>
        <w:rPr>
          <w:rFonts w:hint="eastAsia" w:ascii="宋体" w:hAnsi="宋体" w:cs="宋体"/>
          <w:b/>
          <w:bCs/>
          <w:color w:val="auto"/>
          <w:highlight w:val="none"/>
          <w:u w:val="single"/>
        </w:rPr>
        <w:t xml:space="preserve"> 24个月</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F05F05E">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15.2 质量保证金</w:t>
      </w:r>
    </w:p>
    <w:p w14:paraId="04A34FB9">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关于是否扣留质量保证金的约定：</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 xml:space="preserve">是 </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69E97D4">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在工程项目竣工前，承包人按专用合同条款第3.7条提供履约担保的，发包人不得同时预留工程质量保证金</w:t>
      </w:r>
    </w:p>
    <w:p w14:paraId="7C7F5504">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15.2.1 承包人提供质量保证金的方式</w:t>
      </w:r>
    </w:p>
    <w:p w14:paraId="2BCEAC44">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质量保证金采用以下第</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（3）</w:t>
      </w:r>
      <w:r>
        <w:rPr>
          <w:rFonts w:hint="eastAsia" w:ascii="宋体" w:hAnsi="宋体" w:cs="宋体"/>
          <w:color w:val="auto"/>
          <w:highlight w:val="none"/>
          <w:u w:val="single"/>
        </w:rPr>
        <w:t xml:space="preserve">   </w:t>
      </w:r>
      <w:r>
        <w:rPr>
          <w:rFonts w:hint="eastAsia" w:ascii="宋体" w:hAnsi="宋体" w:cs="宋体"/>
          <w:color w:val="auto"/>
          <w:highlight w:val="none"/>
        </w:rPr>
        <w:t>种方式：</w:t>
      </w:r>
    </w:p>
    <w:p w14:paraId="145A7844">
      <w:pPr>
        <w:pStyle w:val="103"/>
        <w:autoSpaceDE w:val="0"/>
        <w:autoSpaceDN w:val="0"/>
        <w:adjustRightInd w:val="0"/>
        <w:snapToGrid w:val="0"/>
        <w:spacing w:line="360" w:lineRule="exact"/>
        <w:ind w:firstLine="420" w:firstLineChars="200"/>
        <w:jc w:val="left"/>
        <w:rPr>
          <w:rFonts w:ascii="宋体" w:hAnsi="宋体" w:cs="宋体"/>
          <w:color w:val="auto"/>
          <w:kern w:val="0"/>
          <w:highlight w:val="none"/>
        </w:rPr>
      </w:pPr>
      <w:r>
        <w:rPr>
          <w:rFonts w:hint="eastAsia" w:ascii="宋体" w:hAnsi="宋体" w:cs="宋体"/>
          <w:color w:val="auto"/>
          <w:kern w:val="0"/>
          <w:highlight w:val="none"/>
        </w:rPr>
        <w:t>（1）质量保证金保函，保证金额为：</w:t>
      </w:r>
      <w:r>
        <w:rPr>
          <w:rFonts w:hint="eastAsia" w:ascii="宋体" w:hAnsi="宋体" w:cs="宋体"/>
          <w:color w:val="auto"/>
          <w:kern w:val="0"/>
          <w:highlight w:val="none"/>
          <w:u w:val="single"/>
        </w:rPr>
        <w:t xml:space="preserve">   /    </w:t>
      </w:r>
      <w:r>
        <w:rPr>
          <w:rFonts w:hint="eastAsia" w:ascii="宋体" w:hAnsi="宋体" w:cs="宋体"/>
          <w:color w:val="auto"/>
          <w:kern w:val="0"/>
          <w:highlight w:val="none"/>
        </w:rPr>
        <w:t xml:space="preserve">； </w:t>
      </w:r>
    </w:p>
    <w:p w14:paraId="7BC214BD">
      <w:pPr>
        <w:pStyle w:val="103"/>
        <w:autoSpaceDE w:val="0"/>
        <w:autoSpaceDN w:val="0"/>
        <w:adjustRightInd w:val="0"/>
        <w:snapToGrid w:val="0"/>
        <w:spacing w:line="360" w:lineRule="exact"/>
        <w:ind w:firstLine="420" w:firstLineChars="200"/>
        <w:jc w:val="left"/>
        <w:rPr>
          <w:rFonts w:ascii="宋体" w:hAnsi="宋体" w:cs="宋体"/>
          <w:color w:val="auto"/>
          <w:kern w:val="0"/>
          <w:highlight w:val="none"/>
        </w:rPr>
      </w:pPr>
      <w:r>
        <w:rPr>
          <w:rFonts w:hint="eastAsia" w:ascii="宋体" w:hAnsi="宋体" w:cs="宋体"/>
          <w:color w:val="auto"/>
          <w:kern w:val="0"/>
          <w:highlight w:val="none"/>
        </w:rPr>
        <w:t>（2）</w:t>
      </w:r>
      <w:r>
        <w:rPr>
          <w:rFonts w:hint="eastAsia" w:ascii="宋体" w:hAnsi="宋体" w:cs="宋体"/>
          <w:color w:val="auto"/>
          <w:kern w:val="0"/>
          <w:highlight w:val="none"/>
          <w:u w:val="single"/>
        </w:rPr>
        <w:t xml:space="preserve">  </w:t>
      </w:r>
      <w:r>
        <w:rPr>
          <w:rFonts w:hint="eastAsia" w:ascii="宋体" w:hAnsi="宋体" w:cs="宋体"/>
          <w:b/>
          <w:bCs/>
          <w:color w:val="auto"/>
          <w:kern w:val="0"/>
          <w:highlight w:val="none"/>
          <w:u w:val="single"/>
        </w:rPr>
        <w:t xml:space="preserve"> </w:t>
      </w:r>
      <w:r>
        <w:rPr>
          <w:rFonts w:hint="eastAsia" w:ascii="宋体" w:hAnsi="宋体" w:cs="宋体"/>
          <w:color w:val="auto"/>
          <w:kern w:val="0"/>
          <w:highlight w:val="none"/>
          <w:u w:val="single"/>
        </w:rPr>
        <w:t>/</w:t>
      </w:r>
      <w:r>
        <w:rPr>
          <w:rFonts w:hint="eastAsia" w:ascii="宋体" w:hAnsi="宋体" w:cs="宋体"/>
          <w:b/>
          <w:bCs/>
          <w:color w:val="auto"/>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%的工程款；</w:t>
      </w:r>
    </w:p>
    <w:p w14:paraId="0EB390EC">
      <w:pPr>
        <w:pStyle w:val="103"/>
        <w:autoSpaceDE w:val="0"/>
        <w:autoSpaceDN w:val="0"/>
        <w:adjustRightInd w:val="0"/>
        <w:snapToGrid w:val="0"/>
        <w:spacing w:line="360" w:lineRule="exact"/>
        <w:ind w:firstLine="420" w:firstLineChars="200"/>
        <w:jc w:val="left"/>
        <w:rPr>
          <w:rFonts w:ascii="宋体" w:hAnsi="宋体" w:cs="宋体"/>
          <w:color w:val="auto"/>
          <w:kern w:val="0"/>
          <w:highlight w:val="none"/>
        </w:rPr>
      </w:pPr>
      <w:r>
        <w:rPr>
          <w:rFonts w:hint="eastAsia" w:ascii="宋体" w:hAnsi="宋体" w:cs="宋体"/>
          <w:color w:val="auto"/>
          <w:kern w:val="0"/>
          <w:highlight w:val="none"/>
        </w:rPr>
        <w:t xml:space="preserve">（3）其他方式: </w:t>
      </w:r>
      <w:r>
        <w:rPr>
          <w:rFonts w:hint="eastAsia" w:ascii="宋体" w:hAnsi="宋体" w:cs="宋体"/>
          <w:color w:val="auto"/>
          <w:kern w:val="0"/>
          <w:highlight w:val="none"/>
          <w:u w:val="single"/>
        </w:rPr>
        <w:t>履约保证金自动转为质保金</w:t>
      </w:r>
      <w:r>
        <w:rPr>
          <w:rFonts w:hint="eastAsia" w:ascii="宋体" w:hAnsi="宋体" w:cs="宋体"/>
          <w:color w:val="auto"/>
          <w:kern w:val="0"/>
          <w:highlight w:val="none"/>
        </w:rPr>
        <w:t xml:space="preserve"> 。</w:t>
      </w:r>
    </w:p>
    <w:p w14:paraId="096677EF">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15.3保修</w:t>
      </w:r>
    </w:p>
    <w:p w14:paraId="1C309FF5">
      <w:pPr>
        <w:pStyle w:val="103"/>
        <w:adjustRightInd w:val="0"/>
        <w:snapToGrid w:val="0"/>
        <w:spacing w:line="360" w:lineRule="exact"/>
        <w:ind w:firstLine="409" w:firstLineChars="195"/>
        <w:jc w:val="left"/>
        <w:rPr>
          <w:rFonts w:ascii="宋体" w:hAnsi="宋体" w:cs="宋体"/>
          <w:color w:val="auto"/>
          <w:highlight w:val="none"/>
        </w:rPr>
      </w:pPr>
      <w:r>
        <w:rPr>
          <w:rFonts w:hint="eastAsia" w:ascii="宋体" w:hAnsi="宋体" w:cs="宋体"/>
          <w:color w:val="auto"/>
          <w:highlight w:val="none"/>
        </w:rPr>
        <w:t>15.3.1 保修责任</w:t>
      </w:r>
    </w:p>
    <w:p w14:paraId="6AC8A2CB">
      <w:pPr>
        <w:pStyle w:val="103"/>
        <w:adjustRightInd w:val="0"/>
        <w:snapToGrid w:val="0"/>
        <w:spacing w:line="360" w:lineRule="exact"/>
        <w:jc w:val="left"/>
        <w:rPr>
          <w:rFonts w:ascii="宋体" w:hAnsi="宋体" w:cs="宋体"/>
          <w:color w:val="auto"/>
          <w:kern w:val="0"/>
          <w:highlight w:val="none"/>
        </w:rPr>
      </w:pPr>
      <w:r>
        <w:rPr>
          <w:rFonts w:hint="eastAsia" w:ascii="宋体" w:hAnsi="宋体" w:cs="宋体"/>
          <w:color w:val="auto"/>
          <w:highlight w:val="none"/>
        </w:rPr>
        <w:t xml:space="preserve">    工程保修期为：</w:t>
      </w:r>
      <w:r>
        <w:rPr>
          <w:rFonts w:hint="eastAsia" w:ascii="宋体" w:hAnsi="宋体" w:cs="宋体"/>
          <w:b/>
          <w:bCs/>
          <w:color w:val="auto"/>
          <w:highlight w:val="none"/>
          <w:u w:val="single"/>
        </w:rPr>
        <w:t>按工程质量保修书规定执行。</w:t>
      </w:r>
    </w:p>
    <w:p w14:paraId="3E5957F7">
      <w:pPr>
        <w:pStyle w:val="103"/>
        <w:adjustRightInd w:val="0"/>
        <w:snapToGrid w:val="0"/>
        <w:spacing w:line="360" w:lineRule="exact"/>
        <w:ind w:firstLine="409" w:firstLineChars="195"/>
        <w:jc w:val="left"/>
        <w:rPr>
          <w:rFonts w:ascii="宋体" w:hAnsi="宋体" w:cs="宋体"/>
          <w:color w:val="auto"/>
          <w:highlight w:val="none"/>
        </w:rPr>
      </w:pPr>
      <w:r>
        <w:rPr>
          <w:rFonts w:hint="eastAsia" w:ascii="宋体" w:hAnsi="宋体" w:cs="宋体"/>
          <w:color w:val="auto"/>
          <w:highlight w:val="none"/>
        </w:rPr>
        <w:t>15.3.2 修复通知</w:t>
      </w:r>
    </w:p>
    <w:p w14:paraId="2B6BF437">
      <w:pPr>
        <w:pStyle w:val="103"/>
        <w:adjustRightInd w:val="0"/>
        <w:snapToGrid w:val="0"/>
        <w:spacing w:line="360" w:lineRule="exact"/>
        <w:jc w:val="left"/>
        <w:rPr>
          <w:rFonts w:ascii="宋体" w:hAnsi="宋体" w:cs="宋体"/>
          <w:color w:val="auto"/>
          <w:kern w:val="0"/>
          <w:highlight w:val="none"/>
        </w:rPr>
      </w:pPr>
      <w:r>
        <w:rPr>
          <w:rFonts w:hint="eastAsia" w:ascii="宋体" w:hAnsi="宋体" w:cs="宋体"/>
          <w:color w:val="auto"/>
          <w:kern w:val="0"/>
          <w:highlight w:val="none"/>
        </w:rPr>
        <w:t xml:space="preserve">    承包人收到保修通知并到达工程现场的合理时间：</w:t>
      </w:r>
      <w:r>
        <w:rPr>
          <w:rFonts w:hint="eastAsia" w:ascii="宋体" w:hAnsi="宋体" w:cs="宋体"/>
          <w:color w:val="auto"/>
          <w:kern w:val="0"/>
          <w:highlight w:val="none"/>
          <w:u w:val="single"/>
        </w:rPr>
        <w:t xml:space="preserve"> </w:t>
      </w:r>
      <w:r>
        <w:rPr>
          <w:rFonts w:hint="eastAsia" w:ascii="宋体" w:hAnsi="宋体" w:cs="宋体"/>
          <w:b/>
          <w:bCs/>
          <w:color w:val="auto"/>
          <w:highlight w:val="none"/>
          <w:u w:val="single"/>
        </w:rPr>
        <w:t xml:space="preserve"> 2日内。</w:t>
      </w:r>
    </w:p>
    <w:p w14:paraId="15727080">
      <w:pPr>
        <w:pStyle w:val="126"/>
        <w:adjustRightInd w:val="0"/>
        <w:snapToGrid w:val="0"/>
        <w:spacing w:before="0" w:after="0" w:line="360" w:lineRule="exact"/>
        <w:ind w:firstLine="420"/>
        <w:jc w:val="center"/>
        <w:rPr>
          <w:rFonts w:ascii="宋体" w:hAnsi="宋体" w:eastAsia="宋体" w:cs="宋体"/>
          <w:color w:val="auto"/>
          <w:sz w:val="21"/>
          <w:szCs w:val="21"/>
          <w:highlight w:val="none"/>
        </w:rPr>
      </w:pPr>
      <w:r>
        <w:rPr>
          <w:rFonts w:hint="eastAsia" w:ascii="宋体" w:hAnsi="宋体" w:eastAsia="宋体" w:cs="宋体"/>
          <w:b/>
          <w:bCs/>
          <w:color w:val="auto"/>
          <w:sz w:val="24"/>
          <w:highlight w:val="none"/>
        </w:rPr>
        <w:t>16. 违约</w:t>
      </w:r>
    </w:p>
    <w:p w14:paraId="6F4A5A30">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16.1 发包人违约</w:t>
      </w:r>
    </w:p>
    <w:p w14:paraId="651A554F">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16.1.1发包人违约的情形</w:t>
      </w:r>
    </w:p>
    <w:p w14:paraId="39B71325">
      <w:pPr>
        <w:pStyle w:val="103"/>
        <w:autoSpaceDE w:val="0"/>
        <w:autoSpaceDN w:val="0"/>
        <w:adjustRightInd w:val="0"/>
        <w:snapToGrid w:val="0"/>
        <w:spacing w:line="360" w:lineRule="exact"/>
        <w:ind w:firstLine="420" w:firstLineChars="200"/>
        <w:jc w:val="left"/>
        <w:rPr>
          <w:rFonts w:ascii="宋体" w:hAnsi="宋体" w:cs="宋体"/>
          <w:b/>
          <w:bCs/>
          <w:color w:val="auto"/>
          <w:highlight w:val="none"/>
          <w:u w:val="single"/>
        </w:rPr>
      </w:pPr>
      <w:r>
        <w:rPr>
          <w:rFonts w:hint="eastAsia" w:ascii="宋体" w:hAnsi="宋体" w:cs="宋体"/>
          <w:color w:val="auto"/>
          <w:kern w:val="0"/>
          <w:highlight w:val="none"/>
        </w:rPr>
        <w:t>发包人违约的其他情形：</w:t>
      </w:r>
      <w:r>
        <w:rPr>
          <w:rFonts w:hint="eastAsia" w:ascii="宋体" w:hAnsi="宋体" w:cs="宋体"/>
          <w:color w:val="auto"/>
          <w:kern w:val="0"/>
          <w:highlight w:val="none"/>
          <w:u w:val="single"/>
        </w:rPr>
        <w:t xml:space="preserve">     /      </w:t>
      </w:r>
      <w:r>
        <w:rPr>
          <w:rFonts w:hint="eastAsia" w:ascii="宋体" w:hAnsi="宋体" w:cs="宋体"/>
          <w:color w:val="auto"/>
          <w:kern w:val="0"/>
          <w:highlight w:val="none"/>
        </w:rPr>
        <w:t>。</w:t>
      </w:r>
    </w:p>
    <w:p w14:paraId="2D88ADA1">
      <w:pPr>
        <w:pStyle w:val="103"/>
        <w:adjustRightInd w:val="0"/>
        <w:snapToGrid w:val="0"/>
        <w:spacing w:line="360" w:lineRule="exact"/>
        <w:ind w:left="1050" w:hanging="1050" w:hangingChars="500"/>
        <w:jc w:val="left"/>
        <w:rPr>
          <w:rFonts w:ascii="宋体" w:hAnsi="宋体" w:cs="宋体"/>
          <w:color w:val="auto"/>
          <w:kern w:val="0"/>
          <w:highlight w:val="none"/>
        </w:rPr>
      </w:pPr>
      <w:r>
        <w:rPr>
          <w:rFonts w:hint="eastAsia" w:ascii="宋体" w:hAnsi="宋体" w:cs="宋体"/>
          <w:color w:val="auto"/>
          <w:kern w:val="0"/>
          <w:highlight w:val="none"/>
        </w:rPr>
        <w:t xml:space="preserve">    16.1.2 发包人违约的责任</w:t>
      </w:r>
    </w:p>
    <w:p w14:paraId="0CE04517">
      <w:pPr>
        <w:pStyle w:val="103"/>
        <w:adjustRightInd w:val="0"/>
        <w:snapToGrid w:val="0"/>
        <w:spacing w:line="360" w:lineRule="exact"/>
        <w:ind w:firstLine="420" w:firstLineChars="200"/>
        <w:jc w:val="left"/>
        <w:rPr>
          <w:rFonts w:ascii="宋体" w:hAnsi="宋体" w:cs="宋体"/>
          <w:color w:val="auto"/>
          <w:kern w:val="0"/>
          <w:highlight w:val="none"/>
        </w:rPr>
      </w:pPr>
      <w:r>
        <w:rPr>
          <w:rFonts w:hint="eastAsia" w:ascii="宋体" w:hAnsi="宋体" w:cs="宋体"/>
          <w:color w:val="auto"/>
          <w:kern w:val="0"/>
          <w:highlight w:val="none"/>
        </w:rPr>
        <w:t>发包人违约责任的承担方式和计算方法：</w:t>
      </w:r>
    </w:p>
    <w:p w14:paraId="73172BD5">
      <w:pPr>
        <w:pStyle w:val="103"/>
        <w:adjustRightInd w:val="0"/>
        <w:snapToGrid w:val="0"/>
        <w:spacing w:line="360" w:lineRule="exact"/>
        <w:ind w:firstLine="420" w:firstLineChars="200"/>
        <w:jc w:val="left"/>
        <w:rPr>
          <w:rFonts w:ascii="宋体" w:hAnsi="宋体" w:cs="宋体"/>
          <w:color w:val="auto"/>
          <w:highlight w:val="none"/>
          <w:u w:val="single"/>
        </w:rPr>
      </w:pPr>
      <w:r>
        <w:rPr>
          <w:rFonts w:hint="eastAsia" w:ascii="宋体" w:hAnsi="宋体" w:cs="宋体"/>
          <w:color w:val="auto"/>
          <w:kern w:val="0"/>
          <w:highlight w:val="none"/>
        </w:rPr>
        <w:t>（1）因发包人原因未能在计划开工日期前7天内下达开工通知的违约责任：</w:t>
      </w:r>
      <w:r>
        <w:rPr>
          <w:rFonts w:hint="eastAsia" w:ascii="宋体" w:hAnsi="宋体" w:cs="宋体"/>
          <w:color w:val="auto"/>
          <w:kern w:val="0"/>
          <w:highlight w:val="none"/>
          <w:u w:val="single"/>
        </w:rPr>
        <w:t xml:space="preserve"> </w:t>
      </w:r>
      <w:r>
        <w:rPr>
          <w:rFonts w:hint="eastAsia" w:ascii="宋体" w:hAnsi="宋体" w:cs="宋体"/>
          <w:color w:val="auto"/>
          <w:highlight w:val="none"/>
          <w:u w:val="single"/>
        </w:rPr>
        <w:t>/</w:t>
      </w:r>
      <w:r>
        <w:rPr>
          <w:rFonts w:hint="eastAsia" w:ascii="宋体" w:hAnsi="宋体" w:cs="宋体"/>
          <w:color w:val="auto"/>
          <w:highlight w:val="none"/>
        </w:rPr>
        <w:t xml:space="preserve"> </w:t>
      </w:r>
      <w:r>
        <w:rPr>
          <w:rFonts w:hint="eastAsia" w:ascii="宋体" w:hAnsi="宋体" w:cs="宋体"/>
          <w:color w:val="auto"/>
          <w:highlight w:val="none"/>
          <w:u w:val="single"/>
        </w:rPr>
        <w:t xml:space="preserve"> </w:t>
      </w:r>
    </w:p>
    <w:p w14:paraId="41EEA7EE">
      <w:pPr>
        <w:pStyle w:val="103"/>
        <w:adjustRightInd w:val="0"/>
        <w:snapToGrid w:val="0"/>
        <w:spacing w:line="360" w:lineRule="exact"/>
        <w:ind w:firstLine="420" w:firstLineChars="200"/>
        <w:jc w:val="left"/>
        <w:rPr>
          <w:rFonts w:ascii="宋体" w:hAnsi="宋体" w:cs="宋体"/>
          <w:color w:val="auto"/>
          <w:highlight w:val="none"/>
          <w:u w:val="single"/>
        </w:rPr>
      </w:pPr>
      <w:r>
        <w:rPr>
          <w:rFonts w:hint="eastAsia" w:ascii="宋体" w:hAnsi="宋体" w:cs="宋体"/>
          <w:color w:val="auto"/>
          <w:kern w:val="0"/>
          <w:highlight w:val="none"/>
        </w:rPr>
        <w:t>（2）因发包人原因未能按合同约定支付合同价款的违约责任：</w:t>
      </w:r>
      <w:r>
        <w:rPr>
          <w:rFonts w:hint="eastAsia" w:ascii="宋体" w:hAnsi="宋体" w:cs="宋体"/>
          <w:color w:val="auto"/>
          <w:kern w:val="0"/>
          <w:highlight w:val="none"/>
          <w:u w:val="single"/>
        </w:rPr>
        <w:t xml:space="preserve"> </w:t>
      </w:r>
      <w:r>
        <w:rPr>
          <w:rFonts w:hint="eastAsia" w:ascii="宋体" w:hAnsi="宋体" w:cs="宋体"/>
          <w:color w:val="auto"/>
          <w:highlight w:val="none"/>
          <w:u w:val="single"/>
        </w:rPr>
        <w:t xml:space="preserve">/ </w:t>
      </w:r>
    </w:p>
    <w:p w14:paraId="7228BDD7">
      <w:pPr>
        <w:pStyle w:val="103"/>
        <w:autoSpaceDE w:val="0"/>
        <w:autoSpaceDN w:val="0"/>
        <w:adjustRightInd w:val="0"/>
        <w:snapToGrid w:val="0"/>
        <w:spacing w:line="360" w:lineRule="exact"/>
        <w:ind w:firstLine="420" w:firstLineChars="200"/>
        <w:jc w:val="left"/>
        <w:rPr>
          <w:rFonts w:ascii="宋体" w:hAnsi="宋体" w:cs="宋体"/>
          <w:color w:val="auto"/>
          <w:kern w:val="0"/>
          <w:highlight w:val="none"/>
          <w:u w:val="single"/>
        </w:rPr>
      </w:pPr>
      <w:r>
        <w:rPr>
          <w:rFonts w:hint="eastAsia" w:ascii="宋体" w:hAnsi="宋体" w:cs="宋体"/>
          <w:color w:val="auto"/>
          <w:kern w:val="0"/>
          <w:highlight w:val="none"/>
        </w:rPr>
        <w:t>（3）发包人违反第10.1款〔变更的范围〕第（2）项约定，自行实施被取消的工作或转由他人实施的违约责任：</w:t>
      </w:r>
      <w:r>
        <w:rPr>
          <w:rFonts w:hint="eastAsia" w:ascii="宋体" w:hAnsi="宋体" w:cs="宋体"/>
          <w:color w:val="auto"/>
          <w:kern w:val="0"/>
          <w:highlight w:val="none"/>
          <w:u w:val="single"/>
        </w:rPr>
        <w:t xml:space="preserve"> </w:t>
      </w:r>
      <w:r>
        <w:rPr>
          <w:rFonts w:hint="eastAsia" w:ascii="宋体" w:hAnsi="宋体" w:cs="宋体"/>
          <w:color w:val="auto"/>
          <w:highlight w:val="none"/>
          <w:u w:val="single"/>
        </w:rPr>
        <w:t xml:space="preserve">/  </w:t>
      </w:r>
    </w:p>
    <w:p w14:paraId="302CF2EC">
      <w:pPr>
        <w:pStyle w:val="103"/>
        <w:adjustRightInd w:val="0"/>
        <w:snapToGrid w:val="0"/>
        <w:spacing w:line="360" w:lineRule="exact"/>
        <w:ind w:firstLine="420" w:firstLineChars="200"/>
        <w:jc w:val="left"/>
        <w:rPr>
          <w:rFonts w:ascii="宋体" w:hAnsi="宋体" w:cs="宋体"/>
          <w:color w:val="auto"/>
          <w:highlight w:val="none"/>
          <w:u w:val="single"/>
        </w:rPr>
      </w:pPr>
      <w:r>
        <w:rPr>
          <w:rFonts w:hint="eastAsia" w:ascii="宋体" w:hAnsi="宋体" w:cs="宋体"/>
          <w:color w:val="auto"/>
          <w:kern w:val="0"/>
          <w:highlight w:val="none"/>
        </w:rPr>
        <w:t>（4）发包人提供的材料、工程设备的规格、数量或质量不符合合同约定，或因发包人原因导致交货日期延误或交货地点变更等情况的违约责任：</w:t>
      </w:r>
      <w:r>
        <w:rPr>
          <w:rFonts w:hint="eastAsia" w:ascii="宋体" w:hAnsi="宋体" w:cs="宋体"/>
          <w:color w:val="auto"/>
          <w:kern w:val="0"/>
          <w:highlight w:val="none"/>
          <w:u w:val="single"/>
        </w:rPr>
        <w:t xml:space="preserve"> </w:t>
      </w:r>
      <w:r>
        <w:rPr>
          <w:rFonts w:hint="eastAsia" w:ascii="宋体" w:hAnsi="宋体" w:cs="宋体"/>
          <w:color w:val="auto"/>
          <w:highlight w:val="none"/>
          <w:u w:val="single"/>
        </w:rPr>
        <w:t xml:space="preserve">/ </w:t>
      </w:r>
    </w:p>
    <w:p w14:paraId="0857EE8F">
      <w:pPr>
        <w:pStyle w:val="103"/>
        <w:autoSpaceDE w:val="0"/>
        <w:autoSpaceDN w:val="0"/>
        <w:adjustRightInd w:val="0"/>
        <w:snapToGrid w:val="0"/>
        <w:spacing w:line="360" w:lineRule="exact"/>
        <w:ind w:firstLine="420" w:firstLineChars="200"/>
        <w:jc w:val="left"/>
        <w:rPr>
          <w:rFonts w:ascii="宋体" w:hAnsi="宋体" w:cs="宋体"/>
          <w:color w:val="auto"/>
          <w:highlight w:val="none"/>
          <w:u w:val="single"/>
        </w:rPr>
      </w:pPr>
      <w:r>
        <w:rPr>
          <w:rFonts w:hint="eastAsia" w:ascii="宋体" w:hAnsi="宋体" w:cs="宋体"/>
          <w:color w:val="auto"/>
          <w:kern w:val="0"/>
          <w:highlight w:val="none"/>
        </w:rPr>
        <w:t>（5）因发包人违反合同约定造成暂停施工的违约责任：</w:t>
      </w:r>
      <w:r>
        <w:rPr>
          <w:rFonts w:hint="eastAsia" w:ascii="宋体" w:hAnsi="宋体" w:cs="宋体"/>
          <w:color w:val="auto"/>
          <w:kern w:val="0"/>
          <w:highlight w:val="none"/>
          <w:u w:val="single"/>
        </w:rPr>
        <w:t xml:space="preserve"> </w:t>
      </w:r>
      <w:r>
        <w:rPr>
          <w:rFonts w:hint="eastAsia" w:ascii="宋体" w:hAnsi="宋体" w:cs="宋体"/>
          <w:color w:val="auto"/>
          <w:highlight w:val="none"/>
          <w:u w:val="single"/>
        </w:rPr>
        <w:t xml:space="preserve">/ </w:t>
      </w:r>
    </w:p>
    <w:p w14:paraId="273D9AF7">
      <w:pPr>
        <w:pStyle w:val="103"/>
        <w:autoSpaceDE w:val="0"/>
        <w:autoSpaceDN w:val="0"/>
        <w:adjustRightInd w:val="0"/>
        <w:snapToGrid w:val="0"/>
        <w:spacing w:line="360" w:lineRule="exact"/>
        <w:ind w:firstLine="420" w:firstLineChars="200"/>
        <w:jc w:val="left"/>
        <w:rPr>
          <w:rFonts w:ascii="宋体" w:hAnsi="宋体" w:cs="宋体"/>
          <w:color w:val="auto"/>
          <w:kern w:val="0"/>
          <w:highlight w:val="none"/>
          <w:u w:val="single"/>
        </w:rPr>
      </w:pPr>
      <w:r>
        <w:rPr>
          <w:rFonts w:hint="eastAsia" w:ascii="宋体" w:hAnsi="宋体" w:cs="宋体"/>
          <w:color w:val="auto"/>
          <w:kern w:val="0"/>
          <w:highlight w:val="none"/>
        </w:rPr>
        <w:t>（6）发包人无正当理由没有在约定期限内发出复工指示，导致承包人无法复工的违约责任：</w:t>
      </w:r>
      <w:r>
        <w:rPr>
          <w:rFonts w:hint="eastAsia" w:ascii="宋体" w:hAnsi="宋体" w:cs="宋体"/>
          <w:color w:val="auto"/>
          <w:kern w:val="0"/>
          <w:highlight w:val="none"/>
          <w:u w:val="single"/>
        </w:rPr>
        <w:t xml:space="preserve"> </w:t>
      </w:r>
      <w:r>
        <w:rPr>
          <w:rFonts w:hint="eastAsia" w:ascii="宋体" w:hAnsi="宋体" w:cs="宋体"/>
          <w:color w:val="auto"/>
          <w:highlight w:val="none"/>
          <w:u w:val="single"/>
        </w:rPr>
        <w:t xml:space="preserve">/ </w:t>
      </w:r>
    </w:p>
    <w:p w14:paraId="110CDDF9">
      <w:pPr>
        <w:pStyle w:val="103"/>
        <w:autoSpaceDE w:val="0"/>
        <w:autoSpaceDN w:val="0"/>
        <w:adjustRightInd w:val="0"/>
        <w:snapToGrid w:val="0"/>
        <w:spacing w:line="360" w:lineRule="exact"/>
        <w:ind w:firstLine="420" w:firstLineChars="200"/>
        <w:jc w:val="left"/>
        <w:rPr>
          <w:rFonts w:ascii="宋体" w:hAnsi="宋体" w:cs="宋体"/>
          <w:color w:val="auto"/>
          <w:highlight w:val="none"/>
          <w:u w:val="single"/>
        </w:rPr>
      </w:pPr>
      <w:r>
        <w:rPr>
          <w:rFonts w:hint="eastAsia" w:ascii="宋体" w:hAnsi="宋体" w:cs="宋体"/>
          <w:color w:val="auto"/>
          <w:kern w:val="0"/>
          <w:highlight w:val="none"/>
        </w:rPr>
        <w:t>（7）其他：</w:t>
      </w:r>
      <w:r>
        <w:rPr>
          <w:rFonts w:hint="eastAsia" w:ascii="宋体" w:hAnsi="宋体" w:cs="宋体"/>
          <w:color w:val="auto"/>
          <w:highlight w:val="none"/>
          <w:u w:val="single"/>
        </w:rPr>
        <w:t xml:space="preserve"> / </w:t>
      </w:r>
    </w:p>
    <w:p w14:paraId="1DC4DC84">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16.1.3 因发包人违约解除合同</w:t>
      </w:r>
    </w:p>
    <w:p w14:paraId="06D82043">
      <w:pPr>
        <w:pStyle w:val="103"/>
        <w:autoSpaceDE w:val="0"/>
        <w:autoSpaceDN w:val="0"/>
        <w:adjustRightInd w:val="0"/>
        <w:snapToGrid w:val="0"/>
        <w:spacing w:line="360" w:lineRule="exact"/>
        <w:ind w:firstLine="420" w:firstLineChars="200"/>
        <w:jc w:val="left"/>
        <w:rPr>
          <w:rFonts w:ascii="宋体" w:hAnsi="宋体" w:cs="宋体"/>
          <w:color w:val="auto"/>
          <w:kern w:val="0"/>
          <w:highlight w:val="none"/>
        </w:rPr>
      </w:pPr>
      <w:r>
        <w:rPr>
          <w:rFonts w:hint="eastAsia" w:ascii="宋体" w:hAnsi="宋体" w:cs="宋体"/>
          <w:color w:val="auto"/>
          <w:kern w:val="0"/>
          <w:highlight w:val="none"/>
        </w:rPr>
        <w:t>承包人按16.1.1项〔发包人违约的情形〕约定暂停施工满</w:t>
      </w:r>
      <w:r>
        <w:rPr>
          <w:rFonts w:hint="eastAsia" w:ascii="宋体" w:hAnsi="宋体" w:cs="宋体"/>
          <w:color w:val="auto"/>
          <w:kern w:val="0"/>
          <w:highlight w:val="none"/>
          <w:u w:val="single"/>
        </w:rPr>
        <w:t xml:space="preserve"> </w:t>
      </w:r>
      <w:r>
        <w:rPr>
          <w:rFonts w:hint="eastAsia" w:ascii="宋体" w:hAnsi="宋体" w:cs="宋体"/>
          <w:b/>
          <w:bCs/>
          <w:color w:val="auto"/>
          <w:kern w:val="0"/>
          <w:highlight w:val="none"/>
          <w:u w:val="single"/>
        </w:rPr>
        <w:t>60</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天后发包人仍不纠正其违约行为并致使合同目的不能实现的，承包人有权解除合同。</w:t>
      </w:r>
    </w:p>
    <w:p w14:paraId="5BC0486B">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16.2 承包人违约</w:t>
      </w:r>
    </w:p>
    <w:p w14:paraId="31BF764D">
      <w:pPr>
        <w:pStyle w:val="103"/>
        <w:adjustRightInd w:val="0"/>
        <w:snapToGrid w:val="0"/>
        <w:spacing w:line="360" w:lineRule="exact"/>
        <w:ind w:firstLine="420" w:firstLineChars="200"/>
        <w:jc w:val="left"/>
        <w:rPr>
          <w:rFonts w:ascii="宋体" w:hAnsi="宋体" w:cs="宋体"/>
          <w:color w:val="auto"/>
          <w:kern w:val="0"/>
          <w:highlight w:val="none"/>
        </w:rPr>
      </w:pPr>
      <w:r>
        <w:rPr>
          <w:rFonts w:hint="eastAsia" w:ascii="宋体" w:hAnsi="宋体" w:cs="宋体"/>
          <w:color w:val="auto"/>
          <w:kern w:val="0"/>
          <w:highlight w:val="none"/>
        </w:rPr>
        <w:t>16.2.1 承包人违约的情形</w:t>
      </w:r>
    </w:p>
    <w:p w14:paraId="53D03288">
      <w:pPr>
        <w:pStyle w:val="103"/>
        <w:adjustRightInd w:val="0"/>
        <w:snapToGrid w:val="0"/>
        <w:spacing w:line="360" w:lineRule="exact"/>
        <w:ind w:left="1110" w:leftChars="200" w:hanging="630" w:hangingChars="300"/>
        <w:jc w:val="left"/>
        <w:rPr>
          <w:rFonts w:ascii="宋体" w:hAnsi="宋体" w:cs="宋体"/>
          <w:color w:val="auto"/>
          <w:kern w:val="0"/>
          <w:highlight w:val="none"/>
        </w:rPr>
      </w:pPr>
      <w:r>
        <w:rPr>
          <w:rFonts w:hint="eastAsia" w:ascii="宋体" w:hAnsi="宋体" w:cs="宋体"/>
          <w:color w:val="auto"/>
          <w:kern w:val="0"/>
          <w:highlight w:val="none"/>
        </w:rPr>
        <w:t>承包人违约的其他情形：</w:t>
      </w:r>
      <w:r>
        <w:rPr>
          <w:rFonts w:hint="eastAsia" w:ascii="宋体" w:hAnsi="宋体" w:cs="宋体"/>
          <w:color w:val="auto"/>
          <w:kern w:val="0"/>
          <w:highlight w:val="none"/>
          <w:u w:val="single"/>
        </w:rPr>
        <w:t xml:space="preserve">   /    </w:t>
      </w:r>
      <w:r>
        <w:rPr>
          <w:rFonts w:hint="eastAsia" w:ascii="宋体" w:hAnsi="宋体" w:cs="宋体"/>
          <w:color w:val="auto"/>
          <w:kern w:val="0"/>
          <w:highlight w:val="none"/>
        </w:rPr>
        <w:t xml:space="preserve">。   </w:t>
      </w:r>
    </w:p>
    <w:p w14:paraId="56C740A9">
      <w:pPr>
        <w:pStyle w:val="103"/>
        <w:adjustRightInd w:val="0"/>
        <w:snapToGrid w:val="0"/>
        <w:spacing w:line="360" w:lineRule="exact"/>
        <w:ind w:firstLine="420" w:firstLineChars="200"/>
        <w:jc w:val="left"/>
        <w:rPr>
          <w:rFonts w:ascii="宋体" w:hAnsi="宋体" w:cs="宋体"/>
          <w:color w:val="auto"/>
          <w:kern w:val="0"/>
          <w:highlight w:val="none"/>
        </w:rPr>
      </w:pPr>
      <w:r>
        <w:rPr>
          <w:rFonts w:hint="eastAsia" w:ascii="宋体" w:hAnsi="宋体" w:cs="宋体"/>
          <w:color w:val="auto"/>
          <w:kern w:val="0"/>
          <w:highlight w:val="none"/>
        </w:rPr>
        <w:t>16.2.2承包人违约的责任</w:t>
      </w:r>
    </w:p>
    <w:p w14:paraId="5C8B0310">
      <w:pPr>
        <w:pStyle w:val="103"/>
        <w:adjustRightInd w:val="0"/>
        <w:snapToGrid w:val="0"/>
        <w:spacing w:line="360" w:lineRule="exact"/>
        <w:ind w:left="1110" w:leftChars="200" w:hanging="630" w:hangingChars="300"/>
        <w:jc w:val="left"/>
        <w:rPr>
          <w:rFonts w:ascii="宋体" w:hAnsi="宋体" w:cs="宋体"/>
          <w:color w:val="auto"/>
          <w:kern w:val="0"/>
          <w:highlight w:val="none"/>
          <w:u w:val="single"/>
        </w:rPr>
      </w:pPr>
      <w:r>
        <w:rPr>
          <w:rFonts w:hint="eastAsia" w:ascii="宋体" w:hAnsi="宋体" w:cs="宋体"/>
          <w:color w:val="auto"/>
          <w:kern w:val="0"/>
          <w:highlight w:val="none"/>
        </w:rPr>
        <w:t>承包人违约责任的承担方式和计算方法：</w:t>
      </w:r>
      <w:r>
        <w:rPr>
          <w:rFonts w:hint="eastAsia" w:ascii="宋体" w:hAnsi="宋体" w:cs="宋体"/>
          <w:color w:val="auto"/>
          <w:kern w:val="0"/>
          <w:highlight w:val="none"/>
          <w:u w:val="single"/>
        </w:rPr>
        <w:t xml:space="preserve">   /    </w:t>
      </w:r>
      <w:r>
        <w:rPr>
          <w:rFonts w:hint="eastAsia" w:ascii="宋体" w:hAnsi="宋体" w:cs="宋体"/>
          <w:color w:val="auto"/>
          <w:kern w:val="0"/>
          <w:highlight w:val="none"/>
        </w:rPr>
        <w:t>。</w:t>
      </w:r>
      <w:r>
        <w:rPr>
          <w:rFonts w:hint="eastAsia" w:ascii="宋体" w:hAnsi="宋体" w:cs="宋体"/>
          <w:color w:val="auto"/>
          <w:highlight w:val="none"/>
        </w:rPr>
        <w:t xml:space="preserve">    </w:t>
      </w:r>
    </w:p>
    <w:p w14:paraId="532A8BF1">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16.2.3 因承包人违约解除合同</w:t>
      </w:r>
    </w:p>
    <w:p w14:paraId="3D3FB09C">
      <w:pPr>
        <w:pStyle w:val="103"/>
        <w:adjustRightInd w:val="0"/>
        <w:snapToGrid w:val="0"/>
        <w:spacing w:line="360" w:lineRule="exact"/>
        <w:ind w:firstLine="420" w:firstLineChars="200"/>
        <w:jc w:val="left"/>
        <w:rPr>
          <w:rFonts w:ascii="宋体" w:hAnsi="宋体" w:cs="宋体"/>
          <w:color w:val="auto"/>
          <w:kern w:val="0"/>
          <w:highlight w:val="none"/>
        </w:rPr>
      </w:pPr>
      <w:r>
        <w:rPr>
          <w:rFonts w:hint="eastAsia" w:ascii="宋体" w:hAnsi="宋体" w:cs="宋体"/>
          <w:color w:val="auto"/>
          <w:kern w:val="0"/>
          <w:highlight w:val="none"/>
        </w:rPr>
        <w:t>关于承包人违约解除合同的特别约定：</w:t>
      </w:r>
      <w:r>
        <w:rPr>
          <w:rFonts w:hint="eastAsia" w:ascii="宋体" w:hAnsi="宋体" w:cs="宋体"/>
          <w:b/>
          <w:bCs/>
          <w:color w:val="auto"/>
          <w:highlight w:val="none"/>
          <w:u w:val="single"/>
        </w:rPr>
        <w:t>承包人无故中止施工超过30天而导致工程无法完工的，发包人有权解除合同，并要求承包人按合同金额的10%支付违约金，因承包人违约造成发包人损失超过上述违约金数额的，还需要承担相应赔偿责任，包括直接损失和间接损失。</w:t>
      </w:r>
    </w:p>
    <w:p w14:paraId="0ABD0831">
      <w:pPr>
        <w:pStyle w:val="103"/>
        <w:adjustRightInd w:val="0"/>
        <w:snapToGrid w:val="0"/>
        <w:spacing w:line="360" w:lineRule="exact"/>
        <w:ind w:firstLine="420" w:firstLineChars="200"/>
        <w:rPr>
          <w:rFonts w:ascii="宋体" w:hAnsi="宋体" w:cs="宋体"/>
          <w:b/>
          <w:bCs/>
          <w:color w:val="auto"/>
          <w:highlight w:val="none"/>
          <w:u w:val="single"/>
        </w:rPr>
      </w:pPr>
      <w:r>
        <w:rPr>
          <w:rFonts w:hint="eastAsia" w:ascii="宋体" w:hAnsi="宋体" w:cs="宋体"/>
          <w:color w:val="auto"/>
          <w:kern w:val="0"/>
          <w:highlight w:val="none"/>
        </w:rPr>
        <w:t>发包人继续使用承包人在施工现场的材料、设备、临时工程、承包人文件和由承包人或以其名义编制的其他文件的费用承担方式：</w:t>
      </w:r>
      <w:r>
        <w:rPr>
          <w:rFonts w:hint="eastAsia" w:ascii="宋体" w:hAnsi="宋体" w:cs="宋体"/>
          <w:color w:val="auto"/>
          <w:kern w:val="0"/>
          <w:highlight w:val="none"/>
          <w:u w:val="single"/>
        </w:rPr>
        <w:t xml:space="preserve">     /    </w:t>
      </w:r>
      <w:r>
        <w:rPr>
          <w:rFonts w:hint="eastAsia" w:ascii="宋体" w:hAnsi="宋体" w:cs="宋体"/>
          <w:color w:val="auto"/>
          <w:kern w:val="0"/>
          <w:highlight w:val="none"/>
        </w:rPr>
        <w:t>。</w:t>
      </w:r>
    </w:p>
    <w:p w14:paraId="6A64BA00">
      <w:pPr>
        <w:pStyle w:val="126"/>
        <w:adjustRightInd w:val="0"/>
        <w:snapToGrid w:val="0"/>
        <w:spacing w:before="0" w:after="0" w:line="360" w:lineRule="exact"/>
        <w:ind w:firstLine="420"/>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17. 不可抗力</w:t>
      </w:r>
    </w:p>
    <w:p w14:paraId="3A6EEDAC">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17.1 不可抗力的确认</w:t>
      </w:r>
    </w:p>
    <w:p w14:paraId="1F17A7F7">
      <w:pPr>
        <w:pStyle w:val="103"/>
        <w:adjustRightInd w:val="0"/>
        <w:snapToGrid w:val="0"/>
        <w:spacing w:line="360" w:lineRule="exact"/>
        <w:ind w:firstLine="420" w:firstLineChars="200"/>
        <w:jc w:val="left"/>
        <w:rPr>
          <w:rFonts w:ascii="宋体" w:hAnsi="宋体" w:cs="宋体"/>
          <w:color w:val="auto"/>
          <w:kern w:val="0"/>
          <w:highlight w:val="none"/>
          <w:u w:val="single"/>
        </w:rPr>
      </w:pPr>
      <w:r>
        <w:rPr>
          <w:rFonts w:hint="eastAsia" w:ascii="宋体" w:hAnsi="宋体" w:cs="宋体"/>
          <w:color w:val="auto"/>
          <w:highlight w:val="none"/>
        </w:rPr>
        <w:t>除通用合同条款约定的不可抗力事件之外，视为不可抗力的其他情形：</w:t>
      </w:r>
      <w:r>
        <w:rPr>
          <w:rFonts w:hint="eastAsia" w:ascii="宋体" w:hAnsi="宋体" w:cs="宋体"/>
          <w:color w:val="auto"/>
          <w:kern w:val="0"/>
          <w:highlight w:val="none"/>
          <w:u w:val="single"/>
        </w:rPr>
        <w:t xml:space="preserve">  /  </w:t>
      </w:r>
      <w:r>
        <w:rPr>
          <w:rFonts w:hint="eastAsia" w:ascii="宋体" w:hAnsi="宋体" w:cs="宋体"/>
          <w:color w:val="auto"/>
          <w:kern w:val="0"/>
          <w:highlight w:val="none"/>
        </w:rPr>
        <w:t>。</w:t>
      </w:r>
    </w:p>
    <w:p w14:paraId="73A6070E">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17.2 因不可抗力解除合同</w:t>
      </w:r>
    </w:p>
    <w:p w14:paraId="140D6DB7">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合同解除后，发包人应在商定或确定发包人应支付款项后</w:t>
      </w:r>
      <w:r>
        <w:rPr>
          <w:rFonts w:hint="eastAsia" w:ascii="宋体" w:hAnsi="宋体" w:cs="宋体"/>
          <w:color w:val="auto"/>
          <w:highlight w:val="none"/>
          <w:u w:val="single"/>
        </w:rPr>
        <w:t xml:space="preserve">  / </w:t>
      </w:r>
      <w:r>
        <w:rPr>
          <w:rFonts w:hint="eastAsia" w:ascii="宋体" w:hAnsi="宋体" w:cs="宋体"/>
          <w:color w:val="auto"/>
          <w:highlight w:val="none"/>
        </w:rPr>
        <w:t>天内完成款项的支付。</w:t>
      </w:r>
    </w:p>
    <w:p w14:paraId="22A58A09">
      <w:pPr>
        <w:pStyle w:val="126"/>
        <w:adjustRightInd w:val="0"/>
        <w:snapToGrid w:val="0"/>
        <w:spacing w:before="0" w:after="0" w:line="360" w:lineRule="exact"/>
        <w:ind w:firstLine="420"/>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18. 保险</w:t>
      </w:r>
    </w:p>
    <w:p w14:paraId="70C41E36">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18.1 工程保险</w:t>
      </w:r>
    </w:p>
    <w:p w14:paraId="2AC3CDDF">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关于工程保险的特别约定：</w:t>
      </w:r>
      <w:r>
        <w:rPr>
          <w:rFonts w:hint="eastAsia" w:ascii="宋体" w:hAnsi="宋体" w:cs="宋体"/>
          <w:color w:val="auto"/>
          <w:kern w:val="0"/>
          <w:highlight w:val="none"/>
          <w:u w:val="single"/>
        </w:rPr>
        <w:t xml:space="preserve">  /   </w:t>
      </w:r>
      <w:r>
        <w:rPr>
          <w:rFonts w:hint="eastAsia" w:ascii="宋体" w:hAnsi="宋体" w:cs="宋体"/>
          <w:color w:val="auto"/>
          <w:kern w:val="0"/>
          <w:highlight w:val="none"/>
        </w:rPr>
        <w:t>。</w:t>
      </w:r>
    </w:p>
    <w:p w14:paraId="139FF2ED">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18.2 其他保险</w:t>
      </w:r>
    </w:p>
    <w:p w14:paraId="5D5C7294">
      <w:pPr>
        <w:pStyle w:val="103"/>
        <w:adjustRightInd w:val="0"/>
        <w:snapToGrid w:val="0"/>
        <w:spacing w:line="360" w:lineRule="exact"/>
        <w:ind w:firstLine="420" w:firstLineChars="200"/>
        <w:jc w:val="left"/>
        <w:rPr>
          <w:rFonts w:ascii="宋体" w:hAnsi="宋体" w:cs="宋体"/>
          <w:b/>
          <w:bCs/>
          <w:color w:val="auto"/>
          <w:highlight w:val="none"/>
          <w:u w:val="single"/>
        </w:rPr>
      </w:pPr>
      <w:r>
        <w:rPr>
          <w:rFonts w:hint="eastAsia" w:ascii="宋体" w:hAnsi="宋体" w:cs="宋体"/>
          <w:color w:val="auto"/>
          <w:highlight w:val="none"/>
        </w:rPr>
        <w:t>关于其他保险的约定：</w:t>
      </w:r>
      <w:r>
        <w:rPr>
          <w:rFonts w:hint="eastAsia" w:ascii="宋体" w:hAnsi="宋体" w:cs="宋体"/>
          <w:b/>
          <w:bCs/>
          <w:color w:val="auto"/>
          <w:highlight w:val="none"/>
          <w:u w:val="single"/>
        </w:rPr>
        <w:t>承包人投保建筑工人及管理人员意外伤害保险。</w:t>
      </w:r>
    </w:p>
    <w:p w14:paraId="18FEB1F3">
      <w:pPr>
        <w:pStyle w:val="103"/>
        <w:adjustRightInd w:val="0"/>
        <w:snapToGrid w:val="0"/>
        <w:spacing w:line="360" w:lineRule="exact"/>
        <w:jc w:val="left"/>
        <w:rPr>
          <w:rFonts w:ascii="宋体" w:hAnsi="宋体" w:cs="宋体"/>
          <w:color w:val="auto"/>
          <w:kern w:val="0"/>
          <w:highlight w:val="none"/>
        </w:rPr>
      </w:pPr>
      <w:r>
        <w:rPr>
          <w:rFonts w:hint="eastAsia" w:ascii="宋体" w:hAnsi="宋体" w:cs="宋体"/>
          <w:color w:val="auto"/>
          <w:highlight w:val="none"/>
        </w:rPr>
        <w:t xml:space="preserve">    承包人是否应为其施工设备等办理财产保险：</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 xml:space="preserve">是 </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BF34DEE">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18.3 通知义务</w:t>
      </w:r>
    </w:p>
    <w:p w14:paraId="74D316C4">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kern w:val="0"/>
          <w:highlight w:val="none"/>
        </w:rPr>
        <w:t>关于变更保险合同时的通知义务的约定：</w:t>
      </w:r>
      <w:r>
        <w:rPr>
          <w:rFonts w:hint="eastAsia" w:ascii="宋体" w:hAnsi="宋体" w:cs="宋体"/>
          <w:b/>
          <w:bCs/>
          <w:color w:val="auto"/>
          <w:highlight w:val="none"/>
          <w:u w:val="single"/>
        </w:rPr>
        <w:t>按通用合同条款第18.7条项规定执行。</w:t>
      </w:r>
    </w:p>
    <w:p w14:paraId="41C5F20D">
      <w:pPr>
        <w:pStyle w:val="126"/>
        <w:adjustRightInd w:val="0"/>
        <w:snapToGrid w:val="0"/>
        <w:spacing w:before="0" w:after="0" w:line="360" w:lineRule="exact"/>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19. 争议解决</w:t>
      </w:r>
    </w:p>
    <w:p w14:paraId="2D60132A">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19.1 争议评审</w:t>
      </w:r>
    </w:p>
    <w:p w14:paraId="60EFC8F6">
      <w:pPr>
        <w:pStyle w:val="103"/>
        <w:adjustRightInd w:val="0"/>
        <w:snapToGrid w:val="0"/>
        <w:spacing w:line="360" w:lineRule="exact"/>
        <w:jc w:val="left"/>
        <w:rPr>
          <w:rFonts w:ascii="宋体" w:hAnsi="宋体" w:cs="宋体"/>
          <w:color w:val="auto"/>
          <w:highlight w:val="none"/>
        </w:rPr>
      </w:pPr>
      <w:r>
        <w:rPr>
          <w:rFonts w:hint="eastAsia" w:ascii="宋体" w:hAnsi="宋体" w:cs="宋体"/>
          <w:color w:val="auto"/>
          <w:highlight w:val="none"/>
        </w:rPr>
        <w:t xml:space="preserve">    合同当事人是否同意将工程争议提交争议评审小组决定：</w:t>
      </w:r>
      <w:r>
        <w:rPr>
          <w:rFonts w:hint="eastAsia" w:ascii="宋体" w:hAnsi="宋体" w:cs="宋体"/>
          <w:color w:val="auto"/>
          <w:highlight w:val="none"/>
          <w:u w:val="single"/>
        </w:rPr>
        <w:t xml:space="preserve">   /   </w:t>
      </w:r>
      <w:r>
        <w:rPr>
          <w:rFonts w:hint="eastAsia" w:ascii="宋体" w:hAnsi="宋体" w:cs="宋体"/>
          <w:color w:val="auto"/>
          <w:highlight w:val="none"/>
        </w:rPr>
        <w:t xml:space="preserve">。  </w:t>
      </w:r>
    </w:p>
    <w:p w14:paraId="19C35C05">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19.1.1 争议评审小组的确定</w:t>
      </w:r>
    </w:p>
    <w:p w14:paraId="2FD80957">
      <w:pPr>
        <w:pStyle w:val="103"/>
        <w:adjustRightInd w:val="0"/>
        <w:snapToGrid w:val="0"/>
        <w:spacing w:line="360" w:lineRule="exact"/>
        <w:ind w:firstLine="420" w:firstLineChars="200"/>
        <w:jc w:val="left"/>
        <w:rPr>
          <w:rFonts w:ascii="宋体" w:hAnsi="宋体" w:cs="宋体"/>
          <w:color w:val="auto"/>
          <w:highlight w:val="none"/>
          <w:u w:val="single"/>
        </w:rPr>
      </w:pPr>
      <w:r>
        <w:rPr>
          <w:rFonts w:hint="eastAsia" w:ascii="宋体" w:hAnsi="宋体" w:cs="宋体"/>
          <w:color w:val="auto"/>
          <w:highlight w:val="none"/>
        </w:rPr>
        <w:t>争议评审小组成员的确定：</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0C040ADA">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选定争议评审员的期限：</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5F5EE8C5">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争议评审小组成员的报酬承担方式：</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7B6081B4">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其他事项的约定：</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5EFDE53A">
      <w:pPr>
        <w:pStyle w:val="103"/>
        <w:autoSpaceDE w:val="0"/>
        <w:autoSpaceDN w:val="0"/>
        <w:adjustRightInd w:val="0"/>
        <w:snapToGrid w:val="0"/>
        <w:spacing w:line="360" w:lineRule="exact"/>
        <w:ind w:firstLine="420" w:firstLineChars="200"/>
        <w:jc w:val="left"/>
        <w:rPr>
          <w:rFonts w:ascii="宋体" w:hAnsi="宋体" w:cs="宋体"/>
          <w:color w:val="auto"/>
          <w:kern w:val="0"/>
          <w:highlight w:val="none"/>
        </w:rPr>
      </w:pPr>
      <w:r>
        <w:rPr>
          <w:rFonts w:hint="eastAsia" w:ascii="宋体" w:hAnsi="宋体" w:cs="宋体"/>
          <w:color w:val="auto"/>
          <w:kern w:val="0"/>
          <w:highlight w:val="none"/>
        </w:rPr>
        <w:t>19.1.2 争议评审小组的决定</w:t>
      </w:r>
    </w:p>
    <w:p w14:paraId="17DB6F05">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合同当事人关于本项的约定：</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68D596E5">
      <w:pPr>
        <w:pStyle w:val="103"/>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19.2仲裁或诉讼</w:t>
      </w:r>
    </w:p>
    <w:p w14:paraId="48BA892F">
      <w:pPr>
        <w:pStyle w:val="103"/>
        <w:adjustRightInd w:val="0"/>
        <w:snapToGrid w:val="0"/>
        <w:spacing w:line="288" w:lineRule="auto"/>
        <w:ind w:firstLine="420" w:firstLineChars="200"/>
        <w:rPr>
          <w:rFonts w:ascii="宋体" w:hAnsi="宋体" w:cs="宋体"/>
          <w:color w:val="auto"/>
          <w:highlight w:val="none"/>
        </w:rPr>
      </w:pPr>
      <w:r>
        <w:rPr>
          <w:rFonts w:hint="eastAsia" w:ascii="宋体" w:hAnsi="宋体" w:cs="宋体"/>
          <w:color w:val="auto"/>
          <w:highlight w:val="none"/>
        </w:rPr>
        <w:t>因合同及合同有关事项发生的争议，双方当事人一致同意提交杭州仲裁委员会申请仲裁；但双方当事人特别约定下列解决方式中第</w:t>
      </w:r>
      <w:r>
        <w:rPr>
          <w:rFonts w:hint="eastAsia" w:ascii="宋体" w:hAnsi="宋体" w:cs="宋体"/>
          <w:color w:val="auto"/>
          <w:highlight w:val="none"/>
          <w:u w:val="single"/>
        </w:rPr>
        <w:t>（2）</w:t>
      </w:r>
      <w:r>
        <w:rPr>
          <w:rFonts w:hint="eastAsia" w:ascii="宋体" w:hAnsi="宋体" w:cs="宋体"/>
          <w:color w:val="auto"/>
          <w:highlight w:val="none"/>
        </w:rPr>
        <w:t>种方式解决争议的除外：</w:t>
      </w:r>
    </w:p>
    <w:p w14:paraId="4D3C2E2E">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（1）向</w:t>
      </w:r>
      <w:r>
        <w:rPr>
          <w:rFonts w:hint="eastAsia" w:ascii="宋体" w:hAnsi="宋体" w:cs="宋体"/>
          <w:color w:val="auto"/>
          <w:highlight w:val="none"/>
          <w:u w:val="single"/>
        </w:rPr>
        <w:t xml:space="preserve">  /   </w:t>
      </w:r>
      <w:r>
        <w:rPr>
          <w:rFonts w:hint="eastAsia" w:ascii="宋体" w:hAnsi="宋体" w:cs="宋体"/>
          <w:color w:val="auto"/>
          <w:highlight w:val="none"/>
        </w:rPr>
        <w:t>仲裁委员会申请仲裁；</w:t>
      </w:r>
    </w:p>
    <w:p w14:paraId="3859A516">
      <w:pPr>
        <w:pStyle w:val="103"/>
        <w:adjustRightInd w:val="0"/>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（2）向</w:t>
      </w:r>
      <w:r>
        <w:rPr>
          <w:rFonts w:hint="eastAsia" w:ascii="宋体" w:hAnsi="宋体" w:cs="宋体"/>
          <w:color w:val="auto"/>
          <w:highlight w:val="none"/>
          <w:u w:val="single"/>
        </w:rPr>
        <w:t xml:space="preserve"> 合同履行地（工程所在地） </w:t>
      </w:r>
      <w:r>
        <w:rPr>
          <w:rFonts w:hint="eastAsia" w:ascii="宋体" w:hAnsi="宋体" w:cs="宋体"/>
          <w:color w:val="auto"/>
          <w:highlight w:val="none"/>
        </w:rPr>
        <w:t>人民法院起诉。</w:t>
      </w:r>
    </w:p>
    <w:p w14:paraId="1AF9470D">
      <w:pPr>
        <w:pStyle w:val="103"/>
        <w:adjustRightInd w:val="0"/>
        <w:snapToGrid w:val="0"/>
        <w:spacing w:line="360" w:lineRule="exact"/>
        <w:ind w:firstLine="482" w:firstLineChars="200"/>
        <w:jc w:val="center"/>
        <w:rPr>
          <w:rFonts w:ascii="宋体" w:hAnsi="宋体" w:cs="宋体"/>
          <w:b/>
          <w:bCs/>
          <w:color w:val="auto"/>
          <w:sz w:val="24"/>
          <w:highlight w:val="none"/>
        </w:rPr>
      </w:pPr>
      <w:r>
        <w:rPr>
          <w:rFonts w:hint="eastAsia" w:ascii="宋体" w:hAnsi="宋体" w:cs="宋体"/>
          <w:b/>
          <w:bCs/>
          <w:color w:val="auto"/>
          <w:sz w:val="24"/>
          <w:highlight w:val="none"/>
        </w:rPr>
        <w:t>20.其他补充事项的约定</w:t>
      </w:r>
    </w:p>
    <w:p w14:paraId="19236ECA">
      <w:pPr>
        <w:pStyle w:val="103"/>
        <w:adjustRightInd w:val="0"/>
        <w:snapToGrid w:val="0"/>
        <w:spacing w:line="288" w:lineRule="auto"/>
        <w:ind w:firstLine="420" w:firstLineChars="200"/>
        <w:rPr>
          <w:rFonts w:ascii="宋体" w:hAnsi="宋体" w:cs="宋体"/>
          <w:color w:val="auto"/>
          <w:highlight w:val="none"/>
        </w:rPr>
      </w:pPr>
      <w:r>
        <w:rPr>
          <w:rFonts w:hint="eastAsia" w:ascii="宋体" w:hAnsi="宋体" w:cs="宋体"/>
          <w:color w:val="auto"/>
          <w:highlight w:val="none"/>
        </w:rPr>
        <w:t>20.1承包人逾期开工、逾期竣工或逾期履行其他义务的，每逾期一日，均</w:t>
      </w:r>
      <w:r>
        <w:rPr>
          <w:rFonts w:hint="eastAsia" w:ascii="宋体" w:hAnsi="宋体" w:cs="宋体"/>
          <w:b/>
          <w:bCs/>
          <w:color w:val="auto"/>
          <w:highlight w:val="none"/>
        </w:rPr>
        <w:t>应按每天人民币1500元向发包人支付违约金</w:t>
      </w:r>
      <w:r>
        <w:rPr>
          <w:rFonts w:hint="eastAsia" w:ascii="宋体" w:hAnsi="宋体" w:cs="宋体"/>
          <w:color w:val="auto"/>
          <w:highlight w:val="none"/>
        </w:rPr>
        <w:t>，上限为合同价的10%。如发包人认为工期滞后，经书面提醒后不整改，可能会影响发包人活动进程的，发包人有权终止合同，并将剩余项目由交由其它单位实施。</w:t>
      </w:r>
    </w:p>
    <w:p w14:paraId="29FC5E19">
      <w:pPr>
        <w:pStyle w:val="103"/>
        <w:adjustRightInd w:val="0"/>
        <w:snapToGrid w:val="0"/>
        <w:spacing w:line="288" w:lineRule="auto"/>
        <w:ind w:firstLine="420" w:firstLineChars="200"/>
        <w:rPr>
          <w:rFonts w:ascii="宋体" w:hAnsi="宋体" w:cs="宋体"/>
          <w:color w:val="auto"/>
          <w:highlight w:val="none"/>
        </w:rPr>
      </w:pPr>
      <w:r>
        <w:rPr>
          <w:rFonts w:hint="eastAsia" w:ascii="宋体" w:hAnsi="宋体" w:cs="宋体"/>
          <w:color w:val="auto"/>
          <w:highlight w:val="none"/>
        </w:rPr>
        <w:t>20.2承包人工程竣工验收未达到一次性通过，承包人除承担全部返工费用外还须按合同价的1%支付违约金，如发生质量事故，视严重程度处罚。</w:t>
      </w:r>
    </w:p>
    <w:p w14:paraId="75E29B4C">
      <w:pPr>
        <w:pStyle w:val="103"/>
        <w:adjustRightInd w:val="0"/>
        <w:snapToGrid w:val="0"/>
        <w:spacing w:line="288" w:lineRule="auto"/>
        <w:ind w:firstLine="420" w:firstLineChars="200"/>
        <w:rPr>
          <w:rFonts w:ascii="宋体" w:hAnsi="宋体" w:cs="宋体"/>
          <w:color w:val="auto"/>
          <w:highlight w:val="none"/>
        </w:rPr>
      </w:pPr>
      <w:r>
        <w:rPr>
          <w:rFonts w:hint="eastAsia" w:ascii="宋体" w:hAnsi="宋体" w:cs="宋体"/>
          <w:color w:val="auto"/>
          <w:highlight w:val="none"/>
        </w:rPr>
        <w:t>20.3对承包人故意或疏忽导致的材料和施工工艺不符合技术规范及环保要求引起的工程质量问题，或与合同约定不符的，无论工程是否已验收合格、交付使用以及是否超过保修期，均自发包人知道之日起两年内享有对承包人的索赔追偿权利。</w:t>
      </w:r>
    </w:p>
    <w:p w14:paraId="418CF8ED">
      <w:pPr>
        <w:pStyle w:val="103"/>
        <w:adjustRightInd w:val="0"/>
        <w:snapToGrid w:val="0"/>
        <w:spacing w:line="288" w:lineRule="auto"/>
        <w:ind w:firstLine="420" w:firstLineChars="200"/>
        <w:rPr>
          <w:rFonts w:ascii="宋体" w:hAnsi="宋体" w:cs="宋体"/>
          <w:color w:val="auto"/>
          <w:highlight w:val="none"/>
        </w:rPr>
      </w:pPr>
      <w:r>
        <w:rPr>
          <w:rFonts w:hint="eastAsia" w:ascii="宋体" w:hAnsi="宋体" w:cs="宋体"/>
          <w:color w:val="auto"/>
          <w:highlight w:val="none"/>
        </w:rPr>
        <w:t>20.4未经发包人书面同意，承包人不得将本合同项下的权利、义务转让他人，否则，发包人有权解除合同。</w:t>
      </w:r>
    </w:p>
    <w:p w14:paraId="17773698">
      <w:pPr>
        <w:pStyle w:val="103"/>
        <w:adjustRightInd w:val="0"/>
        <w:snapToGrid w:val="0"/>
        <w:spacing w:line="288" w:lineRule="auto"/>
        <w:ind w:firstLine="420" w:firstLineChars="200"/>
        <w:rPr>
          <w:rFonts w:ascii="宋体" w:hAnsi="宋体" w:cs="宋体"/>
          <w:color w:val="auto"/>
          <w:highlight w:val="none"/>
        </w:rPr>
      </w:pPr>
      <w:r>
        <w:rPr>
          <w:rFonts w:hint="eastAsia" w:ascii="宋体" w:hAnsi="宋体" w:cs="宋体"/>
          <w:color w:val="auto"/>
          <w:highlight w:val="none"/>
        </w:rPr>
        <w:t>20.5承包人在施工过程中发生的工程质量问题在未解决前，发包人有权拒绝支付任何款项。</w:t>
      </w:r>
    </w:p>
    <w:p w14:paraId="156847E9">
      <w:pPr>
        <w:pStyle w:val="103"/>
        <w:adjustRightInd w:val="0"/>
        <w:snapToGrid w:val="0"/>
        <w:spacing w:line="288" w:lineRule="auto"/>
        <w:ind w:firstLine="420" w:firstLineChars="200"/>
        <w:rPr>
          <w:rFonts w:ascii="宋体" w:hAnsi="宋体" w:cs="宋体"/>
          <w:color w:val="auto"/>
          <w:highlight w:val="none"/>
        </w:rPr>
      </w:pPr>
      <w:r>
        <w:rPr>
          <w:rFonts w:hint="eastAsia" w:ascii="宋体" w:hAnsi="宋体" w:cs="宋体"/>
          <w:color w:val="auto"/>
          <w:highlight w:val="none"/>
        </w:rPr>
        <w:t>20.6承包人须在工程竣工验收合格后20日历天内向发包人提交工程结算和相关工程资料，逾期按21.1条处理。</w:t>
      </w:r>
    </w:p>
    <w:p w14:paraId="519D112A">
      <w:pPr>
        <w:pStyle w:val="103"/>
        <w:adjustRightInd w:val="0"/>
        <w:snapToGrid w:val="0"/>
        <w:spacing w:line="288" w:lineRule="auto"/>
        <w:ind w:firstLine="420" w:firstLineChars="200"/>
        <w:rPr>
          <w:rFonts w:ascii="宋体" w:hAnsi="宋体" w:cs="宋体"/>
          <w:color w:val="auto"/>
          <w:highlight w:val="none"/>
        </w:rPr>
      </w:pPr>
      <w:r>
        <w:rPr>
          <w:rFonts w:hint="eastAsia" w:ascii="宋体" w:hAnsi="宋体" w:cs="宋体"/>
          <w:color w:val="auto"/>
          <w:highlight w:val="none"/>
        </w:rPr>
        <w:t>20.7承包人在施工期间应严格遵守学院各项规章制度，按照《浙江交通职业技术学院校园管理暂行规定》文件执行，施工前到保卫处办理项目审批，审批通过后方可施工。</w:t>
      </w:r>
    </w:p>
    <w:p w14:paraId="75140146">
      <w:pPr>
        <w:pStyle w:val="103"/>
        <w:adjustRightInd w:val="0"/>
        <w:snapToGrid w:val="0"/>
        <w:spacing w:line="288" w:lineRule="auto"/>
        <w:ind w:firstLine="420" w:firstLineChars="200"/>
        <w:rPr>
          <w:rFonts w:ascii="宋体" w:hAnsi="宋体" w:cs="宋体"/>
          <w:color w:val="auto"/>
          <w:highlight w:val="none"/>
        </w:rPr>
      </w:pPr>
      <w:r>
        <w:rPr>
          <w:rFonts w:hint="eastAsia" w:ascii="宋体" w:hAnsi="宋体" w:cs="宋体"/>
          <w:color w:val="auto"/>
          <w:highlight w:val="none"/>
        </w:rPr>
        <w:t>20.8承包人在施工期间应全力配合学校及属地疫情防控要求，做好疫情防护工作，过程中产生的费用由施工单位自行考虑。</w:t>
      </w:r>
    </w:p>
    <w:p w14:paraId="555E041F">
      <w:pPr>
        <w:pStyle w:val="103"/>
        <w:adjustRightInd w:val="0"/>
        <w:snapToGrid w:val="0"/>
        <w:spacing w:line="288" w:lineRule="auto"/>
        <w:ind w:firstLine="420" w:firstLineChars="200"/>
        <w:rPr>
          <w:rFonts w:ascii="宋体" w:hAnsi="宋体" w:cs="宋体"/>
          <w:color w:val="auto"/>
          <w:highlight w:val="none"/>
        </w:rPr>
      </w:pPr>
      <w:r>
        <w:rPr>
          <w:rFonts w:hint="eastAsia" w:ascii="宋体" w:hAnsi="宋体" w:cs="宋体"/>
          <w:color w:val="auto"/>
          <w:highlight w:val="none"/>
        </w:rPr>
        <w:t>20.9承包人在施工时，项目部必须做好现场规范围护，在醒目位置处竖立施工通告，施工人员需严格做好自身的操作安全，避免安全事故的发生。</w:t>
      </w:r>
    </w:p>
    <w:p w14:paraId="6B115575">
      <w:pPr>
        <w:autoSpaceDE w:val="0"/>
        <w:autoSpaceDN w:val="0"/>
        <w:adjustRightInd w:val="0"/>
        <w:snapToGrid w:val="0"/>
        <w:spacing w:line="360" w:lineRule="auto"/>
        <w:ind w:firstLine="361"/>
        <w:jc w:val="left"/>
        <w:rPr>
          <w:b/>
          <w:bCs/>
          <w:color w:val="auto"/>
          <w:highlight w:val="none"/>
        </w:rPr>
      </w:pPr>
      <w:r>
        <w:rPr>
          <w:rFonts w:hint="eastAsia"/>
          <w:color w:val="auto"/>
          <w:highlight w:val="none"/>
        </w:rPr>
        <w:t xml:space="preserve"> </w:t>
      </w:r>
    </w:p>
    <w:p w14:paraId="176D9291">
      <w:pPr>
        <w:pStyle w:val="16"/>
        <w:adjustRightInd w:val="0"/>
        <w:snapToGrid w:val="0"/>
        <w:spacing w:line="276" w:lineRule="auto"/>
        <w:ind w:firstLine="360"/>
        <w:rPr>
          <w:rFonts w:ascii="宋体" w:hAnsi="宋体" w:eastAsia="宋体" w:cs="宋体"/>
          <w:b/>
          <w:bCs/>
          <w:color w:val="auto"/>
          <w:highlight w:val="none"/>
        </w:rPr>
      </w:pPr>
    </w:p>
    <w:p w14:paraId="159FDC00">
      <w:pPr>
        <w:pStyle w:val="16"/>
        <w:adjustRightInd w:val="0"/>
        <w:snapToGrid w:val="0"/>
        <w:spacing w:line="276" w:lineRule="auto"/>
        <w:ind w:firstLine="360"/>
        <w:rPr>
          <w:rFonts w:ascii="宋体" w:hAnsi="宋体" w:eastAsia="宋体" w:cs="宋体"/>
          <w:b/>
          <w:bCs/>
          <w:color w:val="auto"/>
          <w:highlight w:val="none"/>
        </w:rPr>
      </w:pPr>
    </w:p>
    <w:p w14:paraId="504EB47B">
      <w:pPr>
        <w:pStyle w:val="16"/>
        <w:adjustRightInd w:val="0"/>
        <w:snapToGrid w:val="0"/>
        <w:spacing w:line="276" w:lineRule="auto"/>
        <w:rPr>
          <w:rFonts w:ascii="宋体" w:hAnsi="宋体" w:eastAsia="宋体" w:cs="宋体"/>
          <w:color w:val="auto"/>
          <w:highlight w:val="none"/>
        </w:rPr>
      </w:pPr>
      <w:r>
        <w:rPr>
          <w:rFonts w:hint="eastAsia" w:ascii="宋体" w:hAnsi="宋体" w:eastAsia="宋体" w:cs="宋体"/>
          <w:b/>
          <w:bCs/>
          <w:color w:val="auto"/>
          <w:highlight w:val="none"/>
        </w:rPr>
        <w:t>附件：</w:t>
      </w:r>
    </w:p>
    <w:p w14:paraId="75E6AFB9">
      <w:pPr>
        <w:ind w:firstLine="211"/>
        <w:jc w:val="left"/>
        <w:rPr>
          <w:color w:val="auto"/>
          <w:sz w:val="21"/>
          <w:szCs w:val="21"/>
          <w:highlight w:val="none"/>
        </w:rPr>
      </w:pPr>
      <w:r>
        <w:rPr>
          <w:rFonts w:hint="eastAsia"/>
          <w:color w:val="auto"/>
          <w:sz w:val="21"/>
          <w:szCs w:val="21"/>
          <w:highlight w:val="none"/>
        </w:rPr>
        <w:t>附件1：工程质量保修书</w:t>
      </w:r>
    </w:p>
    <w:p w14:paraId="762EDB0A">
      <w:pPr>
        <w:ind w:firstLine="211"/>
        <w:jc w:val="left"/>
        <w:rPr>
          <w:color w:val="auto"/>
          <w:sz w:val="21"/>
          <w:szCs w:val="21"/>
          <w:highlight w:val="none"/>
        </w:rPr>
      </w:pPr>
      <w:r>
        <w:rPr>
          <w:rFonts w:hint="eastAsia"/>
          <w:color w:val="auto"/>
          <w:sz w:val="21"/>
          <w:szCs w:val="21"/>
          <w:highlight w:val="none"/>
        </w:rPr>
        <w:t xml:space="preserve">附件2：廉政协议书 </w:t>
      </w:r>
    </w:p>
    <w:p w14:paraId="0D03B9EC">
      <w:pPr>
        <w:ind w:firstLine="211"/>
        <w:jc w:val="left"/>
        <w:rPr>
          <w:color w:val="auto"/>
          <w:sz w:val="21"/>
          <w:szCs w:val="21"/>
          <w:highlight w:val="none"/>
        </w:rPr>
      </w:pPr>
      <w:r>
        <w:rPr>
          <w:rFonts w:hint="eastAsia"/>
          <w:color w:val="auto"/>
          <w:sz w:val="21"/>
          <w:szCs w:val="21"/>
          <w:highlight w:val="none"/>
        </w:rPr>
        <w:t>附件3：安全生产责任协议书</w:t>
      </w:r>
    </w:p>
    <w:p w14:paraId="37AF0DD8">
      <w:pPr>
        <w:ind w:firstLine="211"/>
        <w:jc w:val="left"/>
        <w:rPr>
          <w:color w:val="auto"/>
          <w:sz w:val="21"/>
          <w:szCs w:val="21"/>
          <w:highlight w:val="none"/>
        </w:rPr>
      </w:pPr>
      <w:r>
        <w:rPr>
          <w:rFonts w:hint="eastAsia"/>
          <w:color w:val="auto"/>
          <w:sz w:val="21"/>
          <w:szCs w:val="21"/>
          <w:highlight w:val="none"/>
        </w:rPr>
        <w:t>附件4：承诺书</w:t>
      </w:r>
    </w:p>
    <w:p w14:paraId="68A49922">
      <w:pPr>
        <w:ind w:firstLine="424" w:firstLineChars="177"/>
        <w:jc w:val="left"/>
        <w:rPr>
          <w:color w:val="auto"/>
          <w:highlight w:val="none"/>
        </w:rPr>
      </w:pPr>
      <w:r>
        <w:rPr>
          <w:rFonts w:hint="eastAsia"/>
          <w:color w:val="auto"/>
          <w:highlight w:val="none"/>
        </w:rPr>
        <w:t xml:space="preserve"> </w:t>
      </w:r>
    </w:p>
    <w:p w14:paraId="1B064A83">
      <w:pPr>
        <w:pStyle w:val="16"/>
        <w:spacing w:line="440" w:lineRule="exact"/>
        <w:rPr>
          <w:rFonts w:ascii="宋体" w:hAnsi="宋体" w:eastAsia="宋体" w:cs="宋体"/>
          <w:b/>
          <w:bCs/>
          <w:color w:val="auto"/>
          <w:sz w:val="28"/>
          <w:szCs w:val="28"/>
          <w:highlight w:val="none"/>
        </w:rPr>
      </w:pPr>
      <w:r>
        <w:rPr>
          <w:rFonts w:hint="eastAsia" w:ascii="宋体" w:hAnsi="宋体" w:eastAsia="宋体" w:cs="宋体"/>
          <w:color w:val="auto"/>
          <w:highlight w:val="none"/>
          <w:u w:val="single"/>
        </w:rPr>
        <w:br w:type="page"/>
      </w:r>
      <w:r>
        <w:rPr>
          <w:rFonts w:hint="eastAsia" w:ascii="宋体" w:hAnsi="宋体" w:eastAsia="宋体" w:cs="宋体"/>
          <w:b/>
          <w:bCs/>
          <w:color w:val="auto"/>
          <w:highlight w:val="none"/>
        </w:rPr>
        <w:t>附件1:</w:t>
      </w:r>
    </w:p>
    <w:p w14:paraId="0BC98220">
      <w:pPr>
        <w:pStyle w:val="103"/>
        <w:spacing w:before="194" w:beforeLines="50" w:after="194" w:afterLines="50" w:line="440" w:lineRule="exact"/>
        <w:ind w:firstLine="602"/>
        <w:jc w:val="center"/>
        <w:rPr>
          <w:rFonts w:ascii="宋体" w:hAnsi="宋体" w:cs="宋体"/>
          <w:color w:val="auto"/>
          <w:sz w:val="24"/>
          <w:highlight w:val="none"/>
        </w:rPr>
      </w:pPr>
      <w:r>
        <w:rPr>
          <w:rFonts w:hint="eastAsia" w:ascii="宋体" w:hAnsi="宋体" w:cs="宋体"/>
          <w:b/>
          <w:bCs/>
          <w:color w:val="auto"/>
          <w:sz w:val="24"/>
          <w:highlight w:val="none"/>
        </w:rPr>
        <w:t>工程质量保修书</w:t>
      </w:r>
    </w:p>
    <w:p w14:paraId="12131B67">
      <w:pPr>
        <w:pStyle w:val="103"/>
        <w:spacing w:line="300" w:lineRule="auto"/>
        <w:ind w:firstLine="422"/>
        <w:rPr>
          <w:rFonts w:ascii="宋体" w:hAnsi="宋体" w:cs="宋体"/>
          <w:color w:val="auto"/>
          <w:sz w:val="22"/>
          <w:szCs w:val="22"/>
          <w:highlight w:val="none"/>
        </w:rPr>
      </w:pPr>
      <w:r>
        <w:rPr>
          <w:rFonts w:hint="eastAsia" w:ascii="宋体" w:hAnsi="宋体" w:cs="宋体"/>
          <w:color w:val="auto"/>
          <w:sz w:val="22"/>
          <w:szCs w:val="22"/>
          <w:highlight w:val="none"/>
        </w:rPr>
        <w:t>发包人（全称）：</w:t>
      </w:r>
      <w:r>
        <w:rPr>
          <w:rFonts w:hint="eastAsia" w:ascii="宋体" w:hAnsi="宋体" w:cs="宋体"/>
          <w:color w:val="auto"/>
          <w:sz w:val="22"/>
          <w:szCs w:val="22"/>
          <w:highlight w:val="none"/>
          <w:u w:val="single"/>
        </w:rPr>
        <w:t xml:space="preserve"> 浙江交通职业技术学院             </w:t>
      </w:r>
    </w:p>
    <w:p w14:paraId="5C4470B0">
      <w:pPr>
        <w:pStyle w:val="103"/>
        <w:spacing w:line="300" w:lineRule="auto"/>
        <w:ind w:firstLine="422"/>
        <w:rPr>
          <w:rFonts w:ascii="宋体" w:hAnsi="宋体" w:cs="宋体"/>
          <w:color w:val="auto"/>
          <w:sz w:val="22"/>
          <w:szCs w:val="22"/>
          <w:highlight w:val="none"/>
        </w:rPr>
      </w:pPr>
      <w:r>
        <w:rPr>
          <w:rFonts w:hint="eastAsia" w:ascii="宋体" w:hAnsi="宋体" w:cs="宋体"/>
          <w:color w:val="auto"/>
          <w:sz w:val="22"/>
          <w:szCs w:val="22"/>
          <w:highlight w:val="none"/>
        </w:rPr>
        <w:t>承包人（全称）：</w:t>
      </w:r>
      <w:r>
        <w:rPr>
          <w:rFonts w:hint="eastAsia" w:ascii="宋体" w:hAnsi="宋体" w:cs="宋体"/>
          <w:color w:val="auto"/>
          <w:sz w:val="22"/>
          <w:szCs w:val="22"/>
          <w:highlight w:val="none"/>
          <w:u w:val="single"/>
        </w:rPr>
        <w:t xml:space="preserve">                                  </w:t>
      </w:r>
    </w:p>
    <w:p w14:paraId="7C7CC5CF">
      <w:pPr>
        <w:pStyle w:val="103"/>
        <w:spacing w:line="30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发包人和承包人根据《中华人民共和国建筑法》和《建设工程质量管理条例》，经协商一致就</w:t>
      </w:r>
      <w:r>
        <w:rPr>
          <w:rFonts w:hint="eastAsia" w:ascii="宋体" w:hAnsi="宋体" w:cs="宋体"/>
          <w:color w:val="auto"/>
          <w:sz w:val="22"/>
          <w:szCs w:val="22"/>
          <w:highlight w:val="none"/>
          <w:u w:val="single"/>
        </w:rPr>
        <w:t xml:space="preserve">  </w:t>
      </w:r>
      <w:r>
        <w:rPr>
          <w:rFonts w:hint="eastAsia" w:ascii="宋体" w:hAnsi="宋体" w:cs="宋体"/>
          <w:b/>
          <w:bCs/>
          <w:color w:val="auto"/>
          <w:sz w:val="22"/>
          <w:szCs w:val="22"/>
          <w:highlight w:val="none"/>
          <w:u w:val="single"/>
        </w:rPr>
        <w:t xml:space="preserve"> </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（工程全称）签订工程质量保修书。</w:t>
      </w:r>
    </w:p>
    <w:p w14:paraId="4BD2F663">
      <w:pPr>
        <w:pStyle w:val="103"/>
        <w:spacing w:line="30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一、工程质量保修范围和内容</w:t>
      </w:r>
    </w:p>
    <w:p w14:paraId="713C3A11">
      <w:pPr>
        <w:pStyle w:val="103"/>
        <w:spacing w:line="30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承包人在质量保修期内，按照有关法律规定和合同约定，承担工程质量保修责任。</w:t>
      </w:r>
    </w:p>
    <w:p w14:paraId="51623EBB">
      <w:pPr>
        <w:pStyle w:val="103"/>
        <w:spacing w:line="300" w:lineRule="auto"/>
        <w:ind w:firstLine="440" w:firstLineChars="200"/>
        <w:rPr>
          <w:rFonts w:ascii="宋体" w:hAnsi="宋体" w:cs="宋体"/>
          <w:b/>
          <w:bCs/>
          <w:color w:val="auto"/>
          <w:sz w:val="22"/>
          <w:szCs w:val="22"/>
          <w:highlight w:val="none"/>
          <w:u w:val="single"/>
        </w:rPr>
      </w:pPr>
      <w:r>
        <w:rPr>
          <w:rFonts w:hint="eastAsia" w:ascii="宋体" w:hAnsi="宋体" w:cs="宋体"/>
          <w:color w:val="auto"/>
          <w:sz w:val="22"/>
          <w:szCs w:val="22"/>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宋体" w:hAnsi="宋体" w:cs="宋体"/>
          <w:b/>
          <w:bCs/>
          <w:color w:val="auto"/>
          <w:sz w:val="22"/>
          <w:szCs w:val="22"/>
          <w:highlight w:val="none"/>
          <w:u w:val="single"/>
        </w:rPr>
        <w:t>承包范围内所有工程。</w:t>
      </w:r>
    </w:p>
    <w:p w14:paraId="5B198B10">
      <w:pPr>
        <w:pStyle w:val="103"/>
        <w:spacing w:line="30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二、质量保修期</w:t>
      </w:r>
    </w:p>
    <w:p w14:paraId="4DFB5972">
      <w:pPr>
        <w:pStyle w:val="103"/>
        <w:spacing w:line="30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根据《建设工程质量管理条例》及有关规定，工程的质量保修期如下：</w:t>
      </w:r>
    </w:p>
    <w:p w14:paraId="65110A69">
      <w:pPr>
        <w:pStyle w:val="103"/>
        <w:spacing w:line="30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1、地基基础工程和主体结构工程为设计文件规定的该工程合理使用年限；</w:t>
      </w:r>
    </w:p>
    <w:p w14:paraId="6C548EB0">
      <w:pPr>
        <w:pStyle w:val="103"/>
        <w:spacing w:line="30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2、屋面防水工程、有防水要求的卫生间、房间和外墙的防渗漏为</w:t>
      </w:r>
      <w:r>
        <w:rPr>
          <w:rFonts w:hint="eastAsia" w:ascii="宋体" w:hAnsi="宋体" w:cs="宋体"/>
          <w:color w:val="auto"/>
          <w:sz w:val="22"/>
          <w:szCs w:val="22"/>
          <w:highlight w:val="none"/>
          <w:u w:val="single"/>
        </w:rPr>
        <w:t xml:space="preserve"> 5 </w:t>
      </w:r>
      <w:r>
        <w:rPr>
          <w:rFonts w:hint="eastAsia" w:ascii="宋体" w:hAnsi="宋体" w:cs="宋体"/>
          <w:color w:val="auto"/>
          <w:sz w:val="22"/>
          <w:szCs w:val="22"/>
          <w:highlight w:val="none"/>
        </w:rPr>
        <w:t>年；</w:t>
      </w:r>
    </w:p>
    <w:p w14:paraId="6A214142">
      <w:pPr>
        <w:pStyle w:val="103"/>
        <w:spacing w:line="30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3、装修工程为</w:t>
      </w:r>
      <w:r>
        <w:rPr>
          <w:rFonts w:hint="eastAsia" w:ascii="宋体" w:hAnsi="宋体" w:cs="宋体"/>
          <w:color w:val="auto"/>
          <w:sz w:val="22"/>
          <w:szCs w:val="22"/>
          <w:highlight w:val="none"/>
          <w:u w:val="single"/>
        </w:rPr>
        <w:t xml:space="preserve"> 2 </w:t>
      </w:r>
      <w:r>
        <w:rPr>
          <w:rFonts w:hint="eastAsia" w:ascii="宋体" w:hAnsi="宋体" w:cs="宋体"/>
          <w:color w:val="auto"/>
          <w:sz w:val="22"/>
          <w:szCs w:val="22"/>
          <w:highlight w:val="none"/>
        </w:rPr>
        <w:t>年；</w:t>
      </w:r>
    </w:p>
    <w:p w14:paraId="3A0B04D3">
      <w:pPr>
        <w:pStyle w:val="103"/>
        <w:spacing w:line="30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4、电气管线、给排水管道、设备安装工程为</w:t>
      </w:r>
      <w:r>
        <w:rPr>
          <w:rFonts w:hint="eastAsia" w:ascii="宋体" w:hAnsi="宋体" w:cs="宋体"/>
          <w:color w:val="auto"/>
          <w:sz w:val="22"/>
          <w:szCs w:val="22"/>
          <w:highlight w:val="none"/>
          <w:u w:val="single"/>
        </w:rPr>
        <w:t>2</w:t>
      </w:r>
      <w:r>
        <w:rPr>
          <w:rFonts w:hint="eastAsia" w:ascii="宋体" w:hAnsi="宋体" w:cs="宋体"/>
          <w:color w:val="auto"/>
          <w:sz w:val="22"/>
          <w:szCs w:val="22"/>
          <w:highlight w:val="none"/>
        </w:rPr>
        <w:t>年；</w:t>
      </w:r>
    </w:p>
    <w:p w14:paraId="36D52386">
      <w:pPr>
        <w:pStyle w:val="103"/>
        <w:spacing w:line="30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5、供热与供冷系统为</w:t>
      </w:r>
      <w:r>
        <w:rPr>
          <w:rFonts w:hint="eastAsia" w:ascii="宋体" w:hAnsi="宋体" w:cs="宋体"/>
          <w:color w:val="auto"/>
          <w:sz w:val="22"/>
          <w:szCs w:val="22"/>
          <w:highlight w:val="none"/>
          <w:u w:val="single"/>
        </w:rPr>
        <w:t xml:space="preserve">  / </w:t>
      </w:r>
      <w:r>
        <w:rPr>
          <w:rFonts w:hint="eastAsia" w:ascii="宋体" w:hAnsi="宋体" w:cs="宋体"/>
          <w:color w:val="auto"/>
          <w:sz w:val="22"/>
          <w:szCs w:val="22"/>
          <w:highlight w:val="none"/>
        </w:rPr>
        <w:t>个采暖期、供冷期；</w:t>
      </w:r>
    </w:p>
    <w:p w14:paraId="145FDFB9">
      <w:pPr>
        <w:pStyle w:val="103"/>
        <w:spacing w:line="30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6、住宅小区内的给排水设施、道路等配套工程为</w:t>
      </w:r>
      <w:r>
        <w:rPr>
          <w:rFonts w:hint="eastAsia" w:ascii="宋体" w:hAnsi="宋体" w:cs="宋体"/>
          <w:color w:val="auto"/>
          <w:sz w:val="22"/>
          <w:szCs w:val="22"/>
          <w:highlight w:val="none"/>
          <w:u w:val="single"/>
        </w:rPr>
        <w:t xml:space="preserve">  /  </w:t>
      </w:r>
      <w:r>
        <w:rPr>
          <w:rFonts w:hint="eastAsia" w:ascii="宋体" w:hAnsi="宋体" w:cs="宋体"/>
          <w:color w:val="auto"/>
          <w:sz w:val="22"/>
          <w:szCs w:val="22"/>
          <w:highlight w:val="none"/>
        </w:rPr>
        <w:t>年；</w:t>
      </w:r>
    </w:p>
    <w:p w14:paraId="7E572D7A">
      <w:pPr>
        <w:pStyle w:val="103"/>
        <w:spacing w:line="300" w:lineRule="auto"/>
        <w:ind w:firstLine="440" w:firstLineChars="200"/>
        <w:rPr>
          <w:rFonts w:ascii="宋体" w:hAnsi="宋体" w:cs="宋体"/>
          <w:color w:val="auto"/>
          <w:sz w:val="22"/>
          <w:szCs w:val="22"/>
          <w:highlight w:val="none"/>
          <w:u w:val="single"/>
        </w:rPr>
      </w:pPr>
      <w:r>
        <w:rPr>
          <w:rFonts w:hint="eastAsia" w:ascii="宋体" w:hAnsi="宋体" w:cs="宋体"/>
          <w:color w:val="auto"/>
          <w:sz w:val="22"/>
          <w:szCs w:val="22"/>
          <w:highlight w:val="none"/>
        </w:rPr>
        <w:t>7、其他项目保修期限约定如下：</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w:t>
      </w:r>
    </w:p>
    <w:p w14:paraId="3C3E9ED0">
      <w:pPr>
        <w:pStyle w:val="103"/>
        <w:spacing w:line="30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本项目保修期【5】年，质量保修期自工程竣工验收合格之日，质量保修期自工程竣工验收合格之日起计算，具体期限以承包人承诺的延长质保期为准。</w:t>
      </w:r>
    </w:p>
    <w:p w14:paraId="2D809B06">
      <w:pPr>
        <w:pStyle w:val="103"/>
        <w:spacing w:line="30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三、缺陷责任期</w:t>
      </w:r>
    </w:p>
    <w:p w14:paraId="673E28F6">
      <w:pPr>
        <w:pStyle w:val="103"/>
        <w:spacing w:line="30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工程缺陷责任期为</w:t>
      </w:r>
      <w:r>
        <w:rPr>
          <w:rFonts w:hint="eastAsia" w:ascii="宋体" w:hAnsi="宋体" w:cs="宋体"/>
          <w:color w:val="auto"/>
          <w:sz w:val="22"/>
          <w:szCs w:val="22"/>
          <w:highlight w:val="none"/>
          <w:u w:val="single"/>
        </w:rPr>
        <w:t xml:space="preserve"> 60 </w:t>
      </w:r>
      <w:r>
        <w:rPr>
          <w:rFonts w:hint="eastAsia" w:ascii="宋体" w:hAnsi="宋体" w:cs="宋体"/>
          <w:color w:val="auto"/>
          <w:sz w:val="22"/>
          <w:szCs w:val="22"/>
          <w:highlight w:val="none"/>
        </w:rPr>
        <w:t>个月，缺陷责任期自工程通过竣工验收之日起计算。单位工程先于全部工程进行验收，单位工程缺陷责任期自单位工程验收合格之日起算。</w:t>
      </w:r>
    </w:p>
    <w:p w14:paraId="620D1B20">
      <w:pPr>
        <w:pStyle w:val="103"/>
        <w:spacing w:line="30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四、质量保修责任</w:t>
      </w:r>
    </w:p>
    <w:p w14:paraId="1637523F">
      <w:pPr>
        <w:pStyle w:val="103"/>
        <w:spacing w:line="300" w:lineRule="auto"/>
        <w:ind w:left="120" w:leftChars="50" w:firstLine="450" w:firstLineChars="205"/>
        <w:rPr>
          <w:rFonts w:ascii="宋体" w:hAnsi="宋体" w:cs="宋体"/>
          <w:color w:val="auto"/>
          <w:sz w:val="22"/>
          <w:szCs w:val="22"/>
          <w:highlight w:val="none"/>
        </w:rPr>
      </w:pPr>
      <w:r>
        <w:rPr>
          <w:rFonts w:hint="eastAsia" w:ascii="宋体" w:hAnsi="宋体" w:cs="宋体"/>
          <w:color w:val="auto"/>
          <w:sz w:val="22"/>
          <w:szCs w:val="22"/>
          <w:highlight w:val="none"/>
        </w:rPr>
        <w:t>1．属于保修范围、内容的项目，承包人应当在接到保修通知之日起7天内派人保修。承包人不在约定期限内派人保修的，发包人可以委托他人修理。</w:t>
      </w:r>
    </w:p>
    <w:p w14:paraId="6F997B5D">
      <w:pPr>
        <w:pStyle w:val="103"/>
        <w:spacing w:line="300" w:lineRule="auto"/>
        <w:ind w:left="120" w:leftChars="50" w:firstLine="450" w:firstLineChars="205"/>
        <w:rPr>
          <w:rFonts w:ascii="宋体" w:hAnsi="宋体" w:cs="宋体"/>
          <w:color w:val="auto"/>
          <w:sz w:val="22"/>
          <w:szCs w:val="22"/>
          <w:highlight w:val="none"/>
        </w:rPr>
      </w:pPr>
      <w:r>
        <w:rPr>
          <w:rFonts w:hint="eastAsia" w:ascii="宋体" w:hAnsi="宋体" w:cs="宋体"/>
          <w:color w:val="auto"/>
          <w:sz w:val="22"/>
          <w:szCs w:val="22"/>
          <w:highlight w:val="none"/>
        </w:rPr>
        <w:t>2. 发生紧急抢修事故的，承包人在接到事故通知后，应当立即到达事故现场抢修。</w:t>
      </w:r>
    </w:p>
    <w:p w14:paraId="0BB6D4F1">
      <w:pPr>
        <w:pStyle w:val="103"/>
        <w:spacing w:line="300" w:lineRule="auto"/>
        <w:ind w:left="120" w:leftChars="50" w:firstLine="450" w:firstLineChars="205"/>
        <w:rPr>
          <w:rFonts w:ascii="宋体" w:hAnsi="宋体" w:cs="宋体"/>
          <w:color w:val="auto"/>
          <w:sz w:val="22"/>
          <w:szCs w:val="22"/>
          <w:highlight w:val="none"/>
        </w:rPr>
      </w:pPr>
      <w:r>
        <w:rPr>
          <w:rFonts w:hint="eastAsia" w:ascii="宋体" w:hAnsi="宋体" w:cs="宋体"/>
          <w:color w:val="auto"/>
          <w:sz w:val="22"/>
          <w:szCs w:val="22"/>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07BC8734">
      <w:pPr>
        <w:pStyle w:val="103"/>
        <w:spacing w:line="300" w:lineRule="auto"/>
        <w:ind w:left="120" w:leftChars="50" w:firstLine="450" w:firstLineChars="205"/>
        <w:rPr>
          <w:rFonts w:ascii="宋体" w:hAnsi="宋体" w:cs="宋体"/>
          <w:color w:val="auto"/>
          <w:sz w:val="22"/>
          <w:szCs w:val="22"/>
          <w:highlight w:val="none"/>
        </w:rPr>
      </w:pPr>
      <w:r>
        <w:rPr>
          <w:rFonts w:hint="eastAsia" w:ascii="宋体" w:hAnsi="宋体" w:cs="宋体"/>
          <w:color w:val="auto"/>
          <w:sz w:val="22"/>
          <w:szCs w:val="22"/>
          <w:highlight w:val="none"/>
        </w:rPr>
        <w:t>4．质量保修完成后，由发包人组织验收。</w:t>
      </w:r>
    </w:p>
    <w:p w14:paraId="4ED3BC6B">
      <w:pPr>
        <w:spacing w:line="300" w:lineRule="auto"/>
        <w:ind w:left="120" w:leftChars="50" w:firstLine="450" w:firstLineChars="205"/>
        <w:rPr>
          <w:color w:val="auto"/>
          <w:sz w:val="22"/>
          <w:szCs w:val="22"/>
          <w:highlight w:val="none"/>
        </w:rPr>
      </w:pPr>
      <w:r>
        <w:rPr>
          <w:rFonts w:hint="eastAsia"/>
          <w:color w:val="auto"/>
          <w:sz w:val="22"/>
          <w:szCs w:val="22"/>
          <w:highlight w:val="none"/>
        </w:rPr>
        <w:t>5．承包人未在指定期限派人维修或发生其他视为承包人未履行维修义务情形的，发包人或管理单位有权委托第三方进行维修，所产生相关费用包括维修费、补偿金等均由承包人承担，并在工程保修金中扣除。</w:t>
      </w:r>
    </w:p>
    <w:p w14:paraId="326A57E1">
      <w:pPr>
        <w:pStyle w:val="103"/>
        <w:spacing w:line="30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五、保修费用</w:t>
      </w:r>
    </w:p>
    <w:p w14:paraId="51C1D84D">
      <w:pPr>
        <w:pStyle w:val="103"/>
        <w:spacing w:line="30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1.保修费用由造成质量缺陷的责任方承担。</w:t>
      </w:r>
    </w:p>
    <w:p w14:paraId="28B1AA22">
      <w:pPr>
        <w:adjustRightInd w:val="0"/>
        <w:snapToGrid w:val="0"/>
        <w:spacing w:line="300" w:lineRule="auto"/>
        <w:ind w:firstLine="426" w:firstLineChars="194"/>
        <w:rPr>
          <w:b/>
          <w:bCs/>
          <w:color w:val="auto"/>
          <w:sz w:val="22"/>
          <w:szCs w:val="22"/>
          <w:highlight w:val="none"/>
          <w:u w:val="single"/>
        </w:rPr>
      </w:pPr>
      <w:r>
        <w:rPr>
          <w:rFonts w:hint="eastAsia"/>
          <w:color w:val="auto"/>
          <w:sz w:val="22"/>
          <w:szCs w:val="22"/>
          <w:highlight w:val="none"/>
        </w:rPr>
        <w:t>2.工程质量保证金的退还：</w:t>
      </w:r>
      <w:r>
        <w:rPr>
          <w:rFonts w:hint="eastAsia"/>
          <w:b/>
          <w:bCs/>
          <w:color w:val="auto"/>
          <w:sz w:val="22"/>
          <w:szCs w:val="22"/>
          <w:highlight w:val="none"/>
          <w:u w:val="single"/>
        </w:rPr>
        <w:t>工程质量保修期满且回访质量符合要求后一次性付清（无息），如保修期间产生维修费、赔偿金等则扣除相应的维修费、赔偿金等款项后退还。</w:t>
      </w:r>
    </w:p>
    <w:p w14:paraId="1DF9F78C">
      <w:pPr>
        <w:pStyle w:val="103"/>
        <w:spacing w:line="300" w:lineRule="auto"/>
        <w:ind w:left="120" w:leftChars="50" w:firstLine="391" w:firstLineChars="178"/>
        <w:rPr>
          <w:rFonts w:ascii="宋体" w:hAnsi="宋体" w:cs="宋体"/>
          <w:color w:val="auto"/>
          <w:sz w:val="22"/>
          <w:szCs w:val="22"/>
          <w:highlight w:val="none"/>
        </w:rPr>
      </w:pPr>
      <w:r>
        <w:rPr>
          <w:rFonts w:hint="eastAsia" w:ascii="宋体" w:hAnsi="宋体" w:cs="宋体"/>
          <w:color w:val="auto"/>
          <w:sz w:val="22"/>
          <w:szCs w:val="22"/>
          <w:highlight w:val="none"/>
        </w:rPr>
        <w:t>六、双方约定的其他工程质量保修事项：</w:t>
      </w:r>
      <w:r>
        <w:rPr>
          <w:rFonts w:hint="eastAsia" w:ascii="宋体" w:hAnsi="宋体" w:cs="宋体"/>
          <w:color w:val="auto"/>
          <w:sz w:val="22"/>
          <w:szCs w:val="22"/>
          <w:highlight w:val="none"/>
          <w:u w:val="single"/>
        </w:rPr>
        <w:t xml:space="preserve">   无     。</w:t>
      </w:r>
    </w:p>
    <w:p w14:paraId="56AB83A4">
      <w:pPr>
        <w:pStyle w:val="103"/>
        <w:spacing w:line="300" w:lineRule="auto"/>
        <w:ind w:left="120" w:leftChars="50"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工程质量保修书由发包人、承包人在工程竣工验收前共同签署，作为施工合同附件，其有效期限至保修期满。</w:t>
      </w:r>
    </w:p>
    <w:p w14:paraId="0B93BFF9">
      <w:pPr>
        <w:pStyle w:val="103"/>
        <w:spacing w:line="300" w:lineRule="auto"/>
        <w:ind w:firstLine="418" w:firstLineChars="190"/>
        <w:rPr>
          <w:rFonts w:ascii="宋体" w:hAnsi="宋体" w:cs="宋体"/>
          <w:color w:val="auto"/>
          <w:sz w:val="22"/>
          <w:szCs w:val="22"/>
          <w:highlight w:val="none"/>
        </w:rPr>
      </w:pPr>
      <w:r>
        <w:rPr>
          <w:rFonts w:hint="eastAsia" w:ascii="宋体" w:hAnsi="宋体" w:cs="宋体"/>
          <w:color w:val="auto"/>
          <w:sz w:val="22"/>
          <w:szCs w:val="22"/>
          <w:highlight w:val="none"/>
        </w:rPr>
        <w:t xml:space="preserve"> </w:t>
      </w:r>
    </w:p>
    <w:p w14:paraId="7B0C81C7">
      <w:pPr>
        <w:pStyle w:val="103"/>
        <w:spacing w:line="400" w:lineRule="exact"/>
        <w:rPr>
          <w:rFonts w:ascii="宋体" w:hAnsi="宋体" w:cs="宋体"/>
          <w:color w:val="auto"/>
          <w:sz w:val="22"/>
          <w:szCs w:val="22"/>
          <w:highlight w:val="none"/>
        </w:rPr>
      </w:pPr>
      <w:r>
        <w:rPr>
          <w:rFonts w:hint="eastAsia" w:ascii="宋体" w:hAnsi="宋体" w:cs="宋体"/>
          <w:color w:val="auto"/>
          <w:sz w:val="22"/>
          <w:szCs w:val="22"/>
          <w:highlight w:val="none"/>
        </w:rPr>
        <w:t>发包人(公章)：</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承包人(公章)：</w:t>
      </w:r>
      <w:r>
        <w:rPr>
          <w:rFonts w:hint="eastAsia" w:ascii="宋体" w:hAnsi="宋体" w:cs="宋体"/>
          <w:color w:val="auto"/>
          <w:sz w:val="22"/>
          <w:szCs w:val="22"/>
          <w:highlight w:val="none"/>
          <w:u w:val="single"/>
        </w:rPr>
        <w:t xml:space="preserve">            </w:t>
      </w:r>
    </w:p>
    <w:p w14:paraId="59A97670">
      <w:pPr>
        <w:pStyle w:val="103"/>
        <w:spacing w:line="400" w:lineRule="exact"/>
        <w:rPr>
          <w:rFonts w:ascii="宋体" w:hAnsi="宋体" w:cs="宋体"/>
          <w:color w:val="auto"/>
          <w:sz w:val="22"/>
          <w:szCs w:val="22"/>
          <w:highlight w:val="none"/>
        </w:rPr>
      </w:pPr>
      <w:r>
        <w:rPr>
          <w:rFonts w:hint="eastAsia" w:ascii="宋体" w:hAnsi="宋体" w:cs="宋体"/>
          <w:color w:val="auto"/>
          <w:sz w:val="22"/>
          <w:szCs w:val="22"/>
          <w:highlight w:val="none"/>
        </w:rPr>
        <w:t>地  址：</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地  址：</w:t>
      </w:r>
      <w:r>
        <w:rPr>
          <w:rFonts w:hint="eastAsia" w:ascii="宋体" w:hAnsi="宋体" w:cs="宋体"/>
          <w:color w:val="auto"/>
          <w:sz w:val="22"/>
          <w:szCs w:val="22"/>
          <w:highlight w:val="none"/>
          <w:u w:val="single"/>
        </w:rPr>
        <w:t xml:space="preserve">                   </w:t>
      </w:r>
    </w:p>
    <w:p w14:paraId="6263CA3D">
      <w:pPr>
        <w:pStyle w:val="103"/>
        <w:spacing w:line="400" w:lineRule="exact"/>
        <w:rPr>
          <w:rFonts w:ascii="宋体" w:hAnsi="宋体" w:cs="宋体"/>
          <w:color w:val="auto"/>
          <w:sz w:val="22"/>
          <w:szCs w:val="22"/>
          <w:highlight w:val="none"/>
        </w:rPr>
      </w:pPr>
      <w:r>
        <w:rPr>
          <w:rFonts w:hint="eastAsia" w:ascii="宋体" w:hAnsi="宋体" w:cs="宋体"/>
          <w:color w:val="auto"/>
          <w:sz w:val="22"/>
          <w:szCs w:val="22"/>
          <w:highlight w:val="none"/>
        </w:rPr>
        <w:t>法定代表人(签字)：</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法定代表人(签字)：</w:t>
      </w:r>
      <w:r>
        <w:rPr>
          <w:rFonts w:hint="eastAsia" w:ascii="宋体" w:hAnsi="宋体" w:cs="宋体"/>
          <w:color w:val="auto"/>
          <w:sz w:val="22"/>
          <w:szCs w:val="22"/>
          <w:highlight w:val="none"/>
          <w:u w:val="single"/>
        </w:rPr>
        <w:t xml:space="preserve">       </w:t>
      </w:r>
    </w:p>
    <w:p w14:paraId="11AB5B71">
      <w:pPr>
        <w:pStyle w:val="103"/>
        <w:spacing w:line="400" w:lineRule="exact"/>
        <w:rPr>
          <w:rFonts w:ascii="宋体" w:hAnsi="宋体" w:cs="宋体"/>
          <w:color w:val="auto"/>
          <w:sz w:val="22"/>
          <w:szCs w:val="22"/>
          <w:highlight w:val="none"/>
        </w:rPr>
      </w:pPr>
      <w:r>
        <w:rPr>
          <w:rFonts w:hint="eastAsia" w:ascii="宋体" w:hAnsi="宋体" w:cs="宋体"/>
          <w:color w:val="auto"/>
          <w:sz w:val="22"/>
          <w:szCs w:val="22"/>
          <w:highlight w:val="none"/>
        </w:rPr>
        <w:t>委托代理人(签字)：</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委托代理人(签字)：</w:t>
      </w:r>
      <w:r>
        <w:rPr>
          <w:rFonts w:hint="eastAsia" w:ascii="宋体" w:hAnsi="宋体" w:cs="宋体"/>
          <w:color w:val="auto"/>
          <w:sz w:val="22"/>
          <w:szCs w:val="22"/>
          <w:highlight w:val="none"/>
          <w:u w:val="single"/>
        </w:rPr>
        <w:t xml:space="preserve">       </w:t>
      </w:r>
    </w:p>
    <w:p w14:paraId="70D1E8B1">
      <w:pPr>
        <w:pStyle w:val="16"/>
        <w:spacing w:line="440" w:lineRule="exact"/>
        <w:ind w:firstLine="221"/>
        <w:rPr>
          <w:rFonts w:ascii="宋体" w:hAnsi="宋体" w:eastAsia="宋体" w:cs="宋体"/>
          <w:b/>
          <w:bCs/>
          <w:color w:val="auto"/>
          <w:sz w:val="22"/>
          <w:szCs w:val="22"/>
          <w:highlight w:val="none"/>
        </w:rPr>
      </w:pPr>
      <w:r>
        <w:rPr>
          <w:rFonts w:hint="eastAsia" w:ascii="宋体" w:hAnsi="宋体" w:eastAsia="宋体" w:cs="宋体"/>
          <w:color w:val="auto"/>
          <w:sz w:val="22"/>
          <w:szCs w:val="22"/>
          <w:highlight w:val="none"/>
        </w:rPr>
        <w:br w:type="page"/>
      </w:r>
      <w:r>
        <w:rPr>
          <w:rFonts w:hint="eastAsia" w:ascii="宋体" w:hAnsi="宋体" w:eastAsia="宋体" w:cs="宋体"/>
          <w:b/>
          <w:bCs/>
          <w:color w:val="auto"/>
          <w:highlight w:val="none"/>
        </w:rPr>
        <w:t xml:space="preserve">附件2： </w:t>
      </w:r>
    </w:p>
    <w:p w14:paraId="6B606DD2">
      <w:pPr>
        <w:topLinePunct/>
        <w:jc w:val="center"/>
        <w:rPr>
          <w:b/>
          <w:bCs/>
          <w:color w:val="auto"/>
          <w:highlight w:val="none"/>
        </w:rPr>
      </w:pPr>
      <w:r>
        <w:rPr>
          <w:rFonts w:hint="eastAsia"/>
          <w:b/>
          <w:bCs/>
          <w:color w:val="auto"/>
          <w:highlight w:val="none"/>
        </w:rPr>
        <w:t>廉政责任合同</w:t>
      </w:r>
    </w:p>
    <w:p w14:paraId="23A19594">
      <w:pPr>
        <w:topLinePunct/>
        <w:ind w:firstLine="221"/>
        <w:jc w:val="center"/>
        <w:rPr>
          <w:b/>
          <w:bCs/>
          <w:color w:val="auto"/>
          <w:sz w:val="22"/>
          <w:szCs w:val="22"/>
          <w:highlight w:val="none"/>
        </w:rPr>
      </w:pPr>
      <w:r>
        <w:rPr>
          <w:rFonts w:hint="eastAsia"/>
          <w:b/>
          <w:bCs/>
          <w:color w:val="auto"/>
          <w:sz w:val="22"/>
          <w:szCs w:val="22"/>
          <w:highlight w:val="none"/>
        </w:rPr>
        <w:t xml:space="preserve"> </w:t>
      </w:r>
    </w:p>
    <w:p w14:paraId="53AA4CAC">
      <w:pPr>
        <w:pStyle w:val="128"/>
        <w:spacing w:line="360" w:lineRule="auto"/>
        <w:ind w:firstLine="442"/>
        <w:rPr>
          <w:rFonts w:ascii="宋体" w:hAnsi="宋体" w:cs="宋体"/>
          <w:color w:val="auto"/>
          <w:sz w:val="22"/>
          <w:szCs w:val="22"/>
          <w:highlight w:val="none"/>
        </w:rPr>
      </w:pPr>
      <w:r>
        <w:rPr>
          <w:rFonts w:hint="eastAsia" w:ascii="宋体" w:hAnsi="宋体" w:cs="宋体"/>
          <w:b/>
          <w:bCs/>
          <w:color w:val="auto"/>
          <w:sz w:val="22"/>
          <w:szCs w:val="22"/>
          <w:highlight w:val="none"/>
        </w:rPr>
        <w:t>第一条</w:t>
      </w:r>
      <w:r>
        <w:rPr>
          <w:rFonts w:hint="eastAsia" w:ascii="宋体" w:hAnsi="宋体" w:cs="宋体"/>
          <w:color w:val="auto"/>
          <w:sz w:val="22"/>
          <w:szCs w:val="22"/>
          <w:highlight w:val="none"/>
        </w:rPr>
        <w:t>：根据国家建设部、监察部《关于在工程建设中深入开展反对腐败和反不正当竞争的通知》精神和党风廉政建设的有关规定，为进一步规范工程建设中的经济活动管理，经双方协商一致，制订以下廉政责任合同。</w:t>
      </w:r>
    </w:p>
    <w:p w14:paraId="3B727F5D">
      <w:pPr>
        <w:pStyle w:val="128"/>
        <w:spacing w:line="360" w:lineRule="auto"/>
        <w:ind w:firstLine="442"/>
        <w:rPr>
          <w:rFonts w:ascii="宋体" w:hAnsi="宋体" w:cs="宋体"/>
          <w:color w:val="auto"/>
          <w:sz w:val="22"/>
          <w:szCs w:val="22"/>
          <w:highlight w:val="none"/>
        </w:rPr>
      </w:pPr>
      <w:r>
        <w:rPr>
          <w:rFonts w:hint="eastAsia" w:ascii="宋体" w:hAnsi="宋体" w:cs="宋体"/>
          <w:b/>
          <w:bCs/>
          <w:color w:val="auto"/>
          <w:sz w:val="22"/>
          <w:szCs w:val="22"/>
          <w:highlight w:val="none"/>
        </w:rPr>
        <w:t>第二条</w:t>
      </w:r>
      <w:r>
        <w:rPr>
          <w:rFonts w:hint="eastAsia" w:ascii="宋体" w:hAnsi="宋体" w:cs="宋体"/>
          <w:color w:val="auto"/>
          <w:sz w:val="22"/>
          <w:szCs w:val="22"/>
          <w:highlight w:val="none"/>
        </w:rPr>
        <w:t>：廉政责任合同（以下简称本合同）由浙江交通职业技术学院与承包方</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（以下简称承包人）共同签订。</w:t>
      </w:r>
    </w:p>
    <w:p w14:paraId="666306F3">
      <w:pPr>
        <w:pStyle w:val="128"/>
        <w:spacing w:line="360" w:lineRule="auto"/>
        <w:ind w:firstLine="442"/>
        <w:rPr>
          <w:rFonts w:ascii="宋体" w:hAnsi="宋体" w:cs="宋体"/>
          <w:color w:val="auto"/>
          <w:sz w:val="22"/>
          <w:szCs w:val="22"/>
          <w:highlight w:val="none"/>
        </w:rPr>
      </w:pPr>
      <w:r>
        <w:rPr>
          <w:rFonts w:hint="eastAsia" w:ascii="宋体" w:hAnsi="宋体" w:cs="宋体"/>
          <w:b/>
          <w:bCs/>
          <w:color w:val="auto"/>
          <w:sz w:val="22"/>
          <w:szCs w:val="22"/>
          <w:highlight w:val="none"/>
        </w:rPr>
        <w:t>第三条</w:t>
      </w:r>
      <w:r>
        <w:rPr>
          <w:rFonts w:hint="eastAsia" w:ascii="宋体" w:hAnsi="宋体" w:cs="宋体"/>
          <w:color w:val="auto"/>
          <w:sz w:val="22"/>
          <w:szCs w:val="22"/>
          <w:highlight w:val="none"/>
        </w:rPr>
        <w:t>：纪检监察部门负责履行本合同的监督管理工作。</w:t>
      </w:r>
    </w:p>
    <w:p w14:paraId="24743C61">
      <w:pPr>
        <w:pStyle w:val="128"/>
        <w:spacing w:line="360" w:lineRule="auto"/>
        <w:ind w:firstLine="442"/>
        <w:rPr>
          <w:rFonts w:ascii="宋体" w:hAnsi="宋体" w:cs="宋体"/>
          <w:color w:val="auto"/>
          <w:sz w:val="22"/>
          <w:szCs w:val="22"/>
          <w:highlight w:val="none"/>
        </w:rPr>
      </w:pPr>
      <w:r>
        <w:rPr>
          <w:rFonts w:hint="eastAsia" w:ascii="宋体" w:hAnsi="宋体" w:cs="宋体"/>
          <w:b/>
          <w:bCs/>
          <w:color w:val="auto"/>
          <w:sz w:val="22"/>
          <w:szCs w:val="22"/>
          <w:highlight w:val="none"/>
        </w:rPr>
        <w:t>第四条</w:t>
      </w:r>
      <w:r>
        <w:rPr>
          <w:rFonts w:hint="eastAsia" w:ascii="宋体" w:hAnsi="宋体" w:cs="宋体"/>
          <w:color w:val="auto"/>
          <w:sz w:val="22"/>
          <w:szCs w:val="22"/>
          <w:highlight w:val="none"/>
        </w:rPr>
        <w:t>：双方的权利和义务</w:t>
      </w:r>
    </w:p>
    <w:p w14:paraId="7113073E">
      <w:pPr>
        <w:pStyle w:val="128"/>
        <w:spacing w:line="360" w:lineRule="auto"/>
        <w:ind w:firstLine="440"/>
        <w:rPr>
          <w:rFonts w:ascii="宋体" w:hAnsi="宋体" w:cs="宋体"/>
          <w:color w:val="auto"/>
          <w:sz w:val="22"/>
          <w:szCs w:val="22"/>
          <w:highlight w:val="none"/>
        </w:rPr>
      </w:pPr>
      <w:r>
        <w:rPr>
          <w:rFonts w:hint="eastAsia" w:ascii="宋体" w:hAnsi="宋体" w:cs="宋体"/>
          <w:color w:val="auto"/>
          <w:sz w:val="22"/>
          <w:szCs w:val="22"/>
          <w:highlight w:val="none"/>
        </w:rPr>
        <w:t>一、双方应严格遵守党和国家法规、党风廉政建设及《反不正当竞争法》的各项规定。</w:t>
      </w:r>
    </w:p>
    <w:p w14:paraId="5757085C">
      <w:pPr>
        <w:pStyle w:val="128"/>
        <w:spacing w:line="360" w:lineRule="auto"/>
        <w:ind w:firstLine="440"/>
        <w:rPr>
          <w:rFonts w:ascii="宋体" w:hAnsi="宋体" w:cs="宋体"/>
          <w:color w:val="auto"/>
          <w:sz w:val="22"/>
          <w:szCs w:val="22"/>
          <w:highlight w:val="none"/>
        </w:rPr>
      </w:pPr>
      <w:r>
        <w:rPr>
          <w:rFonts w:hint="eastAsia" w:ascii="宋体" w:hAnsi="宋体" w:cs="宋体"/>
          <w:color w:val="auto"/>
          <w:sz w:val="22"/>
          <w:szCs w:val="22"/>
          <w:highlight w:val="none"/>
        </w:rPr>
        <w:t>二、双方严格执行所签订的经济合同各项条款，自觉按合同办事，严禁因违法违纪、违反工程建设管理的各项规章制度而损害国家和集体利益。</w:t>
      </w:r>
    </w:p>
    <w:p w14:paraId="520596CC">
      <w:pPr>
        <w:pStyle w:val="128"/>
        <w:spacing w:line="360" w:lineRule="auto"/>
        <w:ind w:firstLine="440"/>
        <w:rPr>
          <w:rFonts w:ascii="宋体" w:hAnsi="宋体" w:cs="宋体"/>
          <w:color w:val="auto"/>
          <w:sz w:val="22"/>
          <w:szCs w:val="22"/>
          <w:highlight w:val="none"/>
        </w:rPr>
      </w:pPr>
      <w:r>
        <w:rPr>
          <w:rFonts w:hint="eastAsia" w:ascii="宋体" w:hAnsi="宋体" w:cs="宋体"/>
          <w:color w:val="auto"/>
          <w:sz w:val="22"/>
          <w:szCs w:val="22"/>
          <w:highlight w:val="none"/>
        </w:rPr>
        <w:t>三、双方人员洽谈业务时，必须选择在办公场所或发包人确定的其它公共场所由二人以上共同进行，严禁私下商谈串通。</w:t>
      </w:r>
    </w:p>
    <w:p w14:paraId="5D5DD366">
      <w:pPr>
        <w:pStyle w:val="128"/>
        <w:spacing w:line="360" w:lineRule="auto"/>
        <w:ind w:firstLine="442"/>
        <w:rPr>
          <w:rFonts w:ascii="宋体" w:hAnsi="宋体" w:cs="宋体"/>
          <w:color w:val="auto"/>
          <w:sz w:val="22"/>
          <w:szCs w:val="22"/>
          <w:highlight w:val="none"/>
        </w:rPr>
      </w:pPr>
      <w:r>
        <w:rPr>
          <w:rFonts w:hint="eastAsia" w:ascii="宋体" w:hAnsi="宋体" w:cs="宋体"/>
          <w:b/>
          <w:bCs/>
          <w:color w:val="auto"/>
          <w:sz w:val="22"/>
          <w:szCs w:val="22"/>
          <w:highlight w:val="none"/>
        </w:rPr>
        <w:t xml:space="preserve">第五条  </w:t>
      </w:r>
      <w:r>
        <w:rPr>
          <w:rFonts w:hint="eastAsia" w:ascii="宋体" w:hAnsi="宋体" w:cs="宋体"/>
          <w:color w:val="auto"/>
          <w:sz w:val="22"/>
          <w:szCs w:val="22"/>
          <w:highlight w:val="none"/>
        </w:rPr>
        <w:t>发包人的权利和义务</w:t>
      </w:r>
    </w:p>
    <w:p w14:paraId="120EC94F">
      <w:pPr>
        <w:pStyle w:val="128"/>
        <w:spacing w:line="360" w:lineRule="auto"/>
        <w:ind w:firstLine="440"/>
        <w:rPr>
          <w:rFonts w:ascii="宋体" w:hAnsi="宋体" w:cs="宋体"/>
          <w:color w:val="auto"/>
          <w:sz w:val="22"/>
          <w:szCs w:val="22"/>
          <w:highlight w:val="none"/>
        </w:rPr>
      </w:pPr>
      <w:r>
        <w:rPr>
          <w:rFonts w:hint="eastAsia" w:ascii="宋体" w:hAnsi="宋体" w:cs="宋体"/>
          <w:color w:val="auto"/>
          <w:sz w:val="22"/>
          <w:szCs w:val="22"/>
          <w:highlight w:val="none"/>
        </w:rPr>
        <w:t>一、发包人人员不得以任何形式向承包人索要回扣；对无法拒收的，应及时上交纪检部门。</w:t>
      </w:r>
    </w:p>
    <w:p w14:paraId="73860D97">
      <w:pPr>
        <w:pStyle w:val="128"/>
        <w:spacing w:line="360" w:lineRule="auto"/>
        <w:ind w:firstLine="440"/>
        <w:rPr>
          <w:rFonts w:ascii="宋体" w:hAnsi="宋体" w:cs="宋体"/>
          <w:color w:val="auto"/>
          <w:sz w:val="22"/>
          <w:szCs w:val="22"/>
          <w:highlight w:val="none"/>
        </w:rPr>
      </w:pPr>
      <w:r>
        <w:rPr>
          <w:rFonts w:hint="eastAsia" w:ascii="宋体" w:hAnsi="宋体" w:cs="宋体"/>
          <w:color w:val="auto"/>
          <w:sz w:val="22"/>
          <w:szCs w:val="22"/>
          <w:highlight w:val="none"/>
        </w:rPr>
        <w:t>二、发包人人员在业务交往中或项目结束后，不得接受承包人以任何形式给予的礼金、礼品和有价证券，不得在承包人报销应由个人支付的任何费用。</w:t>
      </w:r>
    </w:p>
    <w:p w14:paraId="10D891BF">
      <w:pPr>
        <w:pStyle w:val="128"/>
        <w:spacing w:line="360" w:lineRule="auto"/>
        <w:ind w:firstLine="440"/>
        <w:rPr>
          <w:rFonts w:ascii="宋体" w:hAnsi="宋体" w:cs="宋体"/>
          <w:color w:val="auto"/>
          <w:sz w:val="22"/>
          <w:szCs w:val="22"/>
          <w:highlight w:val="none"/>
        </w:rPr>
      </w:pPr>
      <w:r>
        <w:rPr>
          <w:rFonts w:hint="eastAsia" w:ascii="宋体" w:hAnsi="宋体" w:cs="宋体"/>
          <w:color w:val="auto"/>
          <w:sz w:val="22"/>
          <w:szCs w:val="22"/>
          <w:highlight w:val="none"/>
        </w:rPr>
        <w:t>三、发包人人员不得参加可能对公正执行公务有影响的宴请、旅游和娱乐活动。</w:t>
      </w:r>
    </w:p>
    <w:p w14:paraId="2CC30790">
      <w:pPr>
        <w:pStyle w:val="128"/>
        <w:spacing w:line="360" w:lineRule="auto"/>
        <w:ind w:firstLine="440"/>
        <w:rPr>
          <w:rFonts w:ascii="宋体" w:hAnsi="宋体" w:cs="宋体"/>
          <w:color w:val="auto"/>
          <w:sz w:val="22"/>
          <w:szCs w:val="22"/>
          <w:highlight w:val="none"/>
        </w:rPr>
      </w:pPr>
      <w:r>
        <w:rPr>
          <w:rFonts w:hint="eastAsia" w:ascii="宋体" w:hAnsi="宋体" w:cs="宋体"/>
          <w:color w:val="auto"/>
          <w:sz w:val="22"/>
          <w:szCs w:val="22"/>
          <w:highlight w:val="none"/>
        </w:rPr>
        <w:t>四、发包人人员不得向承包人介绍家属或亲友从事与发包人工程有关的材料设备供应、工程分包等经济活动。</w:t>
      </w:r>
    </w:p>
    <w:p w14:paraId="721173CE">
      <w:pPr>
        <w:pStyle w:val="128"/>
        <w:spacing w:line="360" w:lineRule="auto"/>
        <w:ind w:firstLine="442"/>
        <w:rPr>
          <w:rFonts w:ascii="宋体" w:hAnsi="宋体" w:cs="宋体"/>
          <w:color w:val="auto"/>
          <w:sz w:val="22"/>
          <w:szCs w:val="22"/>
          <w:highlight w:val="none"/>
        </w:rPr>
      </w:pPr>
      <w:r>
        <w:rPr>
          <w:rFonts w:hint="eastAsia" w:ascii="宋体" w:hAnsi="宋体" w:cs="宋体"/>
          <w:b/>
          <w:bCs/>
          <w:color w:val="auto"/>
          <w:sz w:val="22"/>
          <w:szCs w:val="22"/>
          <w:highlight w:val="none"/>
        </w:rPr>
        <w:t>第六条</w:t>
      </w:r>
      <w:r>
        <w:rPr>
          <w:rFonts w:hint="eastAsia" w:ascii="宋体" w:hAnsi="宋体" w:cs="宋体"/>
          <w:color w:val="auto"/>
          <w:sz w:val="22"/>
          <w:szCs w:val="22"/>
          <w:highlight w:val="none"/>
        </w:rPr>
        <w:t>：承包人的权利和义务</w:t>
      </w:r>
    </w:p>
    <w:p w14:paraId="1B6FAEAB">
      <w:pPr>
        <w:pStyle w:val="128"/>
        <w:spacing w:line="360" w:lineRule="auto"/>
        <w:ind w:firstLine="440"/>
        <w:rPr>
          <w:rFonts w:ascii="宋体" w:hAnsi="宋体" w:cs="宋体"/>
          <w:color w:val="auto"/>
          <w:sz w:val="22"/>
          <w:szCs w:val="22"/>
          <w:highlight w:val="none"/>
        </w:rPr>
      </w:pPr>
      <w:r>
        <w:rPr>
          <w:rFonts w:hint="eastAsia" w:ascii="宋体" w:hAnsi="宋体" w:cs="宋体"/>
          <w:color w:val="auto"/>
          <w:sz w:val="22"/>
          <w:szCs w:val="22"/>
          <w:highlight w:val="none"/>
        </w:rPr>
        <w:t>一、承包人人员不得以任何形式向发包人人员赠送礼金、礼品和有价证券。项目结束后，也不得进行上述赠送。</w:t>
      </w:r>
    </w:p>
    <w:p w14:paraId="2A9EF7BF">
      <w:pPr>
        <w:pStyle w:val="128"/>
        <w:spacing w:line="360" w:lineRule="auto"/>
        <w:ind w:firstLine="440"/>
        <w:rPr>
          <w:rFonts w:ascii="宋体" w:hAnsi="宋体" w:cs="宋体"/>
          <w:color w:val="auto"/>
          <w:sz w:val="22"/>
          <w:szCs w:val="22"/>
          <w:highlight w:val="none"/>
        </w:rPr>
      </w:pPr>
      <w:r>
        <w:rPr>
          <w:rFonts w:hint="eastAsia" w:ascii="宋体" w:hAnsi="宋体" w:cs="宋体"/>
          <w:color w:val="auto"/>
          <w:sz w:val="22"/>
          <w:szCs w:val="22"/>
          <w:highlight w:val="none"/>
        </w:rPr>
        <w:t>二、承包人不准以任何名义为发包人人员报销应由发包人人员个人支付的费用。</w:t>
      </w:r>
    </w:p>
    <w:p w14:paraId="76037543">
      <w:pPr>
        <w:pStyle w:val="128"/>
        <w:spacing w:line="360" w:lineRule="auto"/>
        <w:ind w:firstLine="440"/>
        <w:rPr>
          <w:rFonts w:ascii="宋体" w:hAnsi="宋体" w:cs="宋体"/>
          <w:color w:val="auto"/>
          <w:sz w:val="22"/>
          <w:szCs w:val="22"/>
          <w:highlight w:val="none"/>
        </w:rPr>
      </w:pPr>
      <w:r>
        <w:rPr>
          <w:rFonts w:hint="eastAsia" w:ascii="宋体" w:hAnsi="宋体" w:cs="宋体"/>
          <w:color w:val="auto"/>
          <w:sz w:val="22"/>
          <w:szCs w:val="22"/>
          <w:highlight w:val="none"/>
        </w:rPr>
        <w:t>三、承包人人员不得以洽谈业务、签订经济合同为借口，邀请发包人人员参加宴会、旅游和娱乐活动等。</w:t>
      </w:r>
    </w:p>
    <w:p w14:paraId="14B50609">
      <w:pPr>
        <w:pStyle w:val="128"/>
        <w:spacing w:line="360" w:lineRule="auto"/>
        <w:ind w:firstLine="442"/>
        <w:rPr>
          <w:rFonts w:ascii="宋体" w:hAnsi="宋体" w:cs="宋体"/>
          <w:color w:val="auto"/>
          <w:sz w:val="22"/>
          <w:szCs w:val="22"/>
          <w:highlight w:val="none"/>
        </w:rPr>
      </w:pPr>
      <w:r>
        <w:rPr>
          <w:rFonts w:hint="eastAsia" w:ascii="宋体" w:hAnsi="宋体" w:cs="宋体"/>
          <w:b/>
          <w:bCs/>
          <w:color w:val="auto"/>
          <w:sz w:val="22"/>
          <w:szCs w:val="22"/>
          <w:highlight w:val="none"/>
        </w:rPr>
        <w:t>第七条</w:t>
      </w:r>
      <w:r>
        <w:rPr>
          <w:rFonts w:hint="eastAsia" w:ascii="宋体" w:hAnsi="宋体" w:cs="宋体"/>
          <w:color w:val="auto"/>
          <w:sz w:val="22"/>
          <w:szCs w:val="22"/>
          <w:highlight w:val="none"/>
        </w:rPr>
        <w:t>：违约责任</w:t>
      </w:r>
    </w:p>
    <w:p w14:paraId="29A29EAB">
      <w:pPr>
        <w:pStyle w:val="128"/>
        <w:spacing w:line="360" w:lineRule="auto"/>
        <w:ind w:firstLine="440"/>
        <w:rPr>
          <w:rFonts w:ascii="宋体" w:hAnsi="宋体" w:cs="宋体"/>
          <w:color w:val="auto"/>
          <w:sz w:val="22"/>
          <w:szCs w:val="22"/>
          <w:highlight w:val="none"/>
        </w:rPr>
      </w:pPr>
      <w:r>
        <w:rPr>
          <w:rFonts w:hint="eastAsia" w:ascii="宋体" w:hAnsi="宋体" w:cs="宋体"/>
          <w:color w:val="auto"/>
          <w:sz w:val="22"/>
          <w:szCs w:val="22"/>
          <w:highlight w:val="none"/>
        </w:rPr>
        <w:t>一、发包人人员若违反本合同，其主管部门将对违法、违纪、违规人员严肃查处。因此而给承包人造成的损失，发包人按有关规定予以赔偿。</w:t>
      </w:r>
    </w:p>
    <w:p w14:paraId="1A819505">
      <w:pPr>
        <w:pStyle w:val="128"/>
        <w:spacing w:line="360" w:lineRule="auto"/>
        <w:ind w:firstLine="440"/>
        <w:rPr>
          <w:rFonts w:ascii="宋体" w:hAnsi="宋体" w:cs="宋体"/>
          <w:color w:val="auto"/>
          <w:sz w:val="22"/>
          <w:szCs w:val="22"/>
          <w:highlight w:val="none"/>
        </w:rPr>
      </w:pPr>
      <w:r>
        <w:rPr>
          <w:rFonts w:hint="eastAsia" w:ascii="宋体" w:hAnsi="宋体" w:cs="宋体"/>
          <w:color w:val="auto"/>
          <w:sz w:val="22"/>
          <w:szCs w:val="22"/>
          <w:highlight w:val="none"/>
        </w:rPr>
        <w:t>二、发包人主管部门如发现承包人人员违反本合同规定，一经查实，有权终止其经济合同，由此而造成的损失由承包人负责赔偿；并将承包人列入不良行为名单登记入册，取消其在该工程任何经济项目的投标活动。同时，有义务向政府主管部门提供其不良记录情况。</w:t>
      </w:r>
    </w:p>
    <w:p w14:paraId="010336B4">
      <w:pPr>
        <w:pStyle w:val="128"/>
        <w:spacing w:line="360" w:lineRule="auto"/>
        <w:ind w:firstLine="440"/>
        <w:rPr>
          <w:rFonts w:ascii="宋体" w:hAnsi="宋体" w:cs="宋体"/>
          <w:color w:val="auto"/>
          <w:sz w:val="22"/>
          <w:szCs w:val="22"/>
          <w:highlight w:val="none"/>
        </w:rPr>
      </w:pPr>
      <w:r>
        <w:rPr>
          <w:rFonts w:hint="eastAsia" w:ascii="宋体" w:hAnsi="宋体" w:cs="宋体"/>
          <w:color w:val="auto"/>
          <w:sz w:val="22"/>
          <w:szCs w:val="22"/>
          <w:highlight w:val="none"/>
        </w:rPr>
        <w:t>三、承包人人员若违反本合同，其主管部门应对违法违纪人员严肃查处，因此而给发包人造成的损失，承包人按有关规定予以赔偿。</w:t>
      </w:r>
    </w:p>
    <w:p w14:paraId="0383990B">
      <w:pPr>
        <w:pStyle w:val="128"/>
        <w:spacing w:line="360" w:lineRule="auto"/>
        <w:ind w:firstLine="440"/>
        <w:rPr>
          <w:rFonts w:ascii="宋体" w:hAnsi="宋体" w:cs="宋体"/>
          <w:color w:val="auto"/>
          <w:sz w:val="22"/>
          <w:szCs w:val="22"/>
          <w:highlight w:val="none"/>
        </w:rPr>
      </w:pPr>
      <w:r>
        <w:rPr>
          <w:rFonts w:hint="eastAsia" w:ascii="宋体" w:hAnsi="宋体" w:cs="宋体"/>
          <w:color w:val="auto"/>
          <w:sz w:val="22"/>
          <w:szCs w:val="22"/>
          <w:highlight w:val="none"/>
        </w:rPr>
        <w:t>四、如承包人发现发包人人员有违反本合同的行为，应及时向发包人纪检监察部门举报。发包人不得以任何借口报复承包人。</w:t>
      </w:r>
    </w:p>
    <w:p w14:paraId="13CF1B5D">
      <w:pPr>
        <w:pStyle w:val="128"/>
        <w:spacing w:line="360" w:lineRule="auto"/>
        <w:ind w:firstLine="442"/>
        <w:rPr>
          <w:rFonts w:ascii="宋体" w:hAnsi="宋体" w:cs="宋体"/>
          <w:color w:val="auto"/>
          <w:sz w:val="22"/>
          <w:szCs w:val="22"/>
          <w:highlight w:val="none"/>
        </w:rPr>
      </w:pPr>
      <w:r>
        <w:rPr>
          <w:rFonts w:hint="eastAsia" w:ascii="宋体" w:hAnsi="宋体" w:cs="宋体"/>
          <w:b/>
          <w:bCs/>
          <w:color w:val="auto"/>
          <w:sz w:val="22"/>
          <w:szCs w:val="22"/>
          <w:highlight w:val="none"/>
        </w:rPr>
        <w:t>第八条</w:t>
      </w:r>
      <w:r>
        <w:rPr>
          <w:rFonts w:hint="eastAsia" w:ascii="宋体" w:hAnsi="宋体" w:cs="宋体"/>
          <w:color w:val="auto"/>
          <w:sz w:val="22"/>
          <w:szCs w:val="22"/>
          <w:highlight w:val="none"/>
        </w:rPr>
        <w:t>：双方必须将“廉政责任合同”贯穿于所签订的经济合同实施的全过程，及时布置、认真检查、严格考核。</w:t>
      </w:r>
    </w:p>
    <w:p w14:paraId="08F27CF4">
      <w:pPr>
        <w:pStyle w:val="128"/>
        <w:spacing w:line="360" w:lineRule="auto"/>
        <w:ind w:firstLine="442"/>
        <w:rPr>
          <w:rFonts w:ascii="宋体" w:hAnsi="宋体" w:cs="宋体"/>
          <w:color w:val="auto"/>
          <w:sz w:val="22"/>
          <w:szCs w:val="22"/>
          <w:highlight w:val="none"/>
        </w:rPr>
      </w:pPr>
      <w:r>
        <w:rPr>
          <w:rFonts w:hint="eastAsia" w:ascii="宋体" w:hAnsi="宋体" w:cs="宋体"/>
          <w:b/>
          <w:bCs/>
          <w:color w:val="auto"/>
          <w:sz w:val="22"/>
          <w:szCs w:val="22"/>
          <w:highlight w:val="none"/>
        </w:rPr>
        <w:t>第九条</w:t>
      </w:r>
      <w:r>
        <w:rPr>
          <w:rFonts w:hint="eastAsia" w:ascii="宋体" w:hAnsi="宋体" w:cs="宋体"/>
          <w:color w:val="auto"/>
          <w:sz w:val="22"/>
          <w:szCs w:val="22"/>
          <w:highlight w:val="none"/>
        </w:rPr>
        <w:t>：本合同在双方签订重大经济合同的同时签订。</w:t>
      </w:r>
    </w:p>
    <w:p w14:paraId="33265CFB">
      <w:pPr>
        <w:pStyle w:val="128"/>
        <w:spacing w:line="360" w:lineRule="auto"/>
        <w:ind w:firstLine="442"/>
        <w:rPr>
          <w:rFonts w:ascii="宋体" w:hAnsi="宋体" w:cs="宋体"/>
          <w:color w:val="auto"/>
          <w:sz w:val="22"/>
          <w:szCs w:val="22"/>
          <w:highlight w:val="none"/>
        </w:rPr>
      </w:pPr>
      <w:r>
        <w:rPr>
          <w:rFonts w:hint="eastAsia" w:ascii="宋体" w:hAnsi="宋体" w:cs="宋体"/>
          <w:b/>
          <w:bCs/>
          <w:color w:val="auto"/>
          <w:sz w:val="22"/>
          <w:szCs w:val="22"/>
          <w:highlight w:val="none"/>
        </w:rPr>
        <w:t>第十条</w:t>
      </w:r>
      <w:r>
        <w:rPr>
          <w:rFonts w:hint="eastAsia" w:ascii="宋体" w:hAnsi="宋体" w:cs="宋体"/>
          <w:color w:val="auto"/>
          <w:sz w:val="22"/>
          <w:szCs w:val="22"/>
          <w:highlight w:val="none"/>
        </w:rPr>
        <w:t>：本合同作为本次所签订的</w:t>
      </w:r>
      <w:r>
        <w:rPr>
          <w:rFonts w:hint="eastAsia" w:ascii="宋体" w:hAnsi="宋体" w:cs="宋体"/>
          <w:color w:val="auto"/>
          <w:sz w:val="22"/>
          <w:szCs w:val="22"/>
          <w:highlight w:val="none"/>
          <w:u w:val="single"/>
        </w:rPr>
        <w:t>《                             》</w:t>
      </w:r>
      <w:r>
        <w:rPr>
          <w:rFonts w:hint="eastAsia" w:ascii="宋体" w:hAnsi="宋体" w:cs="宋体"/>
          <w:color w:val="auto"/>
          <w:sz w:val="22"/>
          <w:szCs w:val="22"/>
          <w:highlight w:val="none"/>
        </w:rPr>
        <w:t>的附件，经合同双方共同签署后立即生效。</w:t>
      </w:r>
    </w:p>
    <w:p w14:paraId="6D610E13">
      <w:pPr>
        <w:pStyle w:val="128"/>
        <w:spacing w:line="360" w:lineRule="auto"/>
        <w:ind w:firstLine="442"/>
        <w:rPr>
          <w:rFonts w:ascii="宋体" w:hAnsi="宋体" w:cs="宋体"/>
          <w:color w:val="auto"/>
          <w:sz w:val="22"/>
          <w:szCs w:val="22"/>
          <w:highlight w:val="none"/>
        </w:rPr>
      </w:pPr>
      <w:r>
        <w:rPr>
          <w:rFonts w:hint="eastAsia" w:ascii="宋体" w:hAnsi="宋体" w:cs="宋体"/>
          <w:b/>
          <w:bCs/>
          <w:color w:val="auto"/>
          <w:sz w:val="22"/>
          <w:szCs w:val="22"/>
          <w:highlight w:val="none"/>
        </w:rPr>
        <w:t>第十一条：</w:t>
      </w:r>
      <w:r>
        <w:rPr>
          <w:rFonts w:hint="eastAsia" w:ascii="宋体" w:hAnsi="宋体" w:cs="宋体"/>
          <w:color w:val="auto"/>
          <w:sz w:val="22"/>
          <w:szCs w:val="22"/>
          <w:highlight w:val="none"/>
        </w:rPr>
        <w:t>本合同一式贰份，由双方各执一份。</w:t>
      </w:r>
    </w:p>
    <w:p w14:paraId="58F073B4">
      <w:pPr>
        <w:topLinePunct/>
        <w:spacing w:line="360" w:lineRule="auto"/>
        <w:ind w:firstLine="221"/>
        <w:rPr>
          <w:color w:val="auto"/>
          <w:sz w:val="22"/>
          <w:szCs w:val="22"/>
          <w:highlight w:val="none"/>
        </w:rPr>
      </w:pPr>
      <w:r>
        <w:rPr>
          <w:rFonts w:hint="eastAsia"/>
          <w:color w:val="auto"/>
          <w:sz w:val="22"/>
          <w:szCs w:val="22"/>
          <w:highlight w:val="none"/>
        </w:rPr>
        <w:t xml:space="preserve"> </w:t>
      </w:r>
    </w:p>
    <w:p w14:paraId="42B53162">
      <w:pPr>
        <w:topLinePunct/>
        <w:spacing w:line="360" w:lineRule="auto"/>
        <w:ind w:firstLine="221"/>
        <w:rPr>
          <w:color w:val="auto"/>
          <w:sz w:val="22"/>
          <w:szCs w:val="22"/>
          <w:highlight w:val="none"/>
        </w:rPr>
      </w:pPr>
      <w:r>
        <w:rPr>
          <w:rFonts w:hint="eastAsia"/>
          <w:color w:val="auto"/>
          <w:sz w:val="22"/>
          <w:szCs w:val="22"/>
          <w:highlight w:val="none"/>
        </w:rPr>
        <w:t xml:space="preserve"> </w:t>
      </w:r>
    </w:p>
    <w:p w14:paraId="3EAE003F">
      <w:pPr>
        <w:topLinePunct/>
        <w:spacing w:line="360" w:lineRule="auto"/>
        <w:ind w:firstLine="221"/>
        <w:rPr>
          <w:color w:val="auto"/>
          <w:sz w:val="22"/>
          <w:szCs w:val="22"/>
          <w:highlight w:val="none"/>
        </w:rPr>
      </w:pPr>
      <w:r>
        <w:rPr>
          <w:rFonts w:hint="eastAsia"/>
          <w:color w:val="auto"/>
          <w:sz w:val="22"/>
          <w:szCs w:val="22"/>
          <w:highlight w:val="none"/>
        </w:rPr>
        <w:t xml:space="preserve"> </w:t>
      </w:r>
    </w:p>
    <w:p w14:paraId="7E9B9C0A">
      <w:pPr>
        <w:pStyle w:val="128"/>
        <w:spacing w:line="360" w:lineRule="auto"/>
        <w:ind w:firstLine="442"/>
        <w:rPr>
          <w:rFonts w:ascii="宋体" w:hAnsi="宋体" w:cs="宋体"/>
          <w:b/>
          <w:bCs/>
          <w:color w:val="auto"/>
          <w:sz w:val="22"/>
          <w:szCs w:val="22"/>
          <w:highlight w:val="none"/>
        </w:rPr>
      </w:pPr>
      <w:r>
        <w:rPr>
          <w:rFonts w:hint="eastAsia" w:ascii="宋体" w:hAnsi="宋体" w:cs="宋体"/>
          <w:b/>
          <w:bCs/>
          <w:color w:val="auto"/>
          <w:sz w:val="22"/>
          <w:szCs w:val="22"/>
          <w:highlight w:val="none"/>
        </w:rPr>
        <w:t>发包人（盖章）                              承包人（盖章）</w:t>
      </w:r>
    </w:p>
    <w:p w14:paraId="58B7BEF9">
      <w:pPr>
        <w:pStyle w:val="128"/>
        <w:spacing w:line="360" w:lineRule="auto"/>
        <w:ind w:firstLine="440"/>
        <w:rPr>
          <w:rFonts w:ascii="宋体" w:hAnsi="宋体" w:cs="宋体"/>
          <w:color w:val="auto"/>
          <w:sz w:val="22"/>
          <w:szCs w:val="22"/>
          <w:highlight w:val="none"/>
        </w:rPr>
      </w:pPr>
      <w:r>
        <w:rPr>
          <w:rFonts w:hint="eastAsia" w:ascii="宋体" w:hAnsi="宋体" w:cs="宋体"/>
          <w:color w:val="auto"/>
          <w:sz w:val="22"/>
          <w:szCs w:val="22"/>
          <w:highlight w:val="none"/>
        </w:rPr>
        <w:t xml:space="preserve"> </w:t>
      </w:r>
    </w:p>
    <w:p w14:paraId="0C4EEC57">
      <w:pPr>
        <w:pStyle w:val="128"/>
        <w:spacing w:line="360" w:lineRule="auto"/>
        <w:ind w:firstLine="440"/>
        <w:rPr>
          <w:rFonts w:ascii="宋体" w:hAnsi="宋体" w:cs="宋体"/>
          <w:color w:val="auto"/>
          <w:sz w:val="22"/>
          <w:szCs w:val="22"/>
          <w:highlight w:val="none"/>
        </w:rPr>
      </w:pPr>
      <w:r>
        <w:rPr>
          <w:rFonts w:hint="eastAsia" w:ascii="宋体" w:hAnsi="宋体" w:cs="宋体"/>
          <w:color w:val="auto"/>
          <w:sz w:val="22"/>
          <w:szCs w:val="22"/>
          <w:highlight w:val="none"/>
        </w:rPr>
        <w:t>发包人法定代表人 ：                         承包人法定代表人：</w:t>
      </w:r>
    </w:p>
    <w:p w14:paraId="3982A59A">
      <w:pPr>
        <w:pStyle w:val="128"/>
        <w:spacing w:line="360" w:lineRule="auto"/>
        <w:ind w:firstLine="440"/>
        <w:rPr>
          <w:rFonts w:ascii="宋体" w:hAnsi="宋体" w:cs="宋体"/>
          <w:color w:val="auto"/>
          <w:sz w:val="22"/>
          <w:szCs w:val="22"/>
          <w:highlight w:val="none"/>
        </w:rPr>
      </w:pPr>
      <w:r>
        <w:rPr>
          <w:rFonts w:hint="eastAsia" w:ascii="宋体" w:hAnsi="宋体" w:cs="宋体"/>
          <w:color w:val="auto"/>
          <w:sz w:val="22"/>
          <w:szCs w:val="22"/>
          <w:highlight w:val="none"/>
        </w:rPr>
        <w:t>或                                          或</w:t>
      </w:r>
    </w:p>
    <w:p w14:paraId="0A89AF34">
      <w:pPr>
        <w:pStyle w:val="128"/>
        <w:spacing w:line="360" w:lineRule="auto"/>
        <w:ind w:firstLine="440"/>
        <w:rPr>
          <w:rFonts w:ascii="宋体" w:hAnsi="宋体" w:cs="宋体"/>
          <w:color w:val="auto"/>
          <w:sz w:val="22"/>
          <w:szCs w:val="22"/>
          <w:highlight w:val="none"/>
        </w:rPr>
      </w:pPr>
      <w:r>
        <w:rPr>
          <w:rFonts w:hint="eastAsia" w:ascii="宋体" w:hAnsi="宋体" w:cs="宋体"/>
          <w:color w:val="auto"/>
          <w:sz w:val="22"/>
          <w:szCs w:val="22"/>
          <w:highlight w:val="none"/>
        </w:rPr>
        <w:t>发包人委托代理人：                          承包人委托代理人：</w:t>
      </w:r>
    </w:p>
    <w:p w14:paraId="67526C31">
      <w:pPr>
        <w:pStyle w:val="128"/>
        <w:spacing w:line="360" w:lineRule="auto"/>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 </w:t>
      </w:r>
    </w:p>
    <w:p w14:paraId="474A6EDB">
      <w:pPr>
        <w:rPr>
          <w:color w:val="auto"/>
          <w:highlight w:val="none"/>
        </w:rPr>
      </w:pPr>
      <w:r>
        <w:rPr>
          <w:rFonts w:hint="eastAsia"/>
          <w:color w:val="auto"/>
          <w:highlight w:val="none"/>
        </w:rPr>
        <w:t xml:space="preserve"> </w:t>
      </w:r>
    </w:p>
    <w:p w14:paraId="122B3C6C">
      <w:pPr>
        <w:rPr>
          <w:b/>
          <w:bCs/>
          <w:color w:val="auto"/>
          <w:highlight w:val="none"/>
        </w:rPr>
      </w:pPr>
      <w:r>
        <w:rPr>
          <w:rFonts w:hint="eastAsia"/>
          <w:b/>
          <w:bCs/>
          <w:color w:val="auto"/>
          <w:highlight w:val="none"/>
        </w:rPr>
        <w:br w:type="page"/>
      </w:r>
    </w:p>
    <w:p w14:paraId="6433729A">
      <w:pPr>
        <w:spacing w:line="360" w:lineRule="auto"/>
        <w:rPr>
          <w:b/>
          <w:bCs/>
          <w:color w:val="auto"/>
          <w:highlight w:val="none"/>
        </w:rPr>
      </w:pPr>
      <w:r>
        <w:rPr>
          <w:rFonts w:hint="eastAsia"/>
          <w:b/>
          <w:bCs/>
          <w:color w:val="auto"/>
          <w:highlight w:val="none"/>
        </w:rPr>
        <w:t xml:space="preserve">附件3： </w:t>
      </w:r>
    </w:p>
    <w:p w14:paraId="49C853AE">
      <w:pPr>
        <w:spacing w:line="360" w:lineRule="auto"/>
        <w:jc w:val="center"/>
        <w:rPr>
          <w:b/>
          <w:color w:val="auto"/>
          <w:highlight w:val="none"/>
        </w:rPr>
      </w:pPr>
      <w:r>
        <w:rPr>
          <w:b/>
          <w:color w:val="auto"/>
          <w:highlight w:val="none"/>
        </w:rPr>
        <w:t>安全生产责任协议书</w:t>
      </w:r>
    </w:p>
    <w:p w14:paraId="72D3D4B4">
      <w:pPr>
        <w:snapToGrid w:val="0"/>
        <w:spacing w:line="360" w:lineRule="auto"/>
        <w:ind w:firstLine="221"/>
        <w:rPr>
          <w:b/>
          <w:color w:val="auto"/>
          <w:sz w:val="22"/>
          <w:szCs w:val="22"/>
          <w:highlight w:val="none"/>
        </w:rPr>
      </w:pPr>
      <w:r>
        <w:rPr>
          <w:b/>
          <w:color w:val="auto"/>
          <w:sz w:val="22"/>
          <w:szCs w:val="22"/>
          <w:highlight w:val="none"/>
        </w:rPr>
        <w:t>甲方（发包人）：</w:t>
      </w:r>
      <w:r>
        <w:rPr>
          <w:b/>
          <w:color w:val="auto"/>
          <w:sz w:val="22"/>
          <w:szCs w:val="22"/>
          <w:highlight w:val="none"/>
          <w:u w:val="single"/>
        </w:rPr>
        <w:t>浙江交通职业技术学院</w:t>
      </w:r>
      <w:r>
        <w:rPr>
          <w:rFonts w:hint="eastAsia"/>
          <w:b/>
          <w:color w:val="auto"/>
          <w:sz w:val="22"/>
          <w:szCs w:val="22"/>
          <w:highlight w:val="none"/>
          <w:u w:val="single"/>
        </w:rPr>
        <w:t xml:space="preserve">       </w:t>
      </w:r>
    </w:p>
    <w:p w14:paraId="49CA9399">
      <w:pPr>
        <w:snapToGrid w:val="0"/>
        <w:spacing w:line="360" w:lineRule="auto"/>
        <w:ind w:firstLine="221"/>
        <w:rPr>
          <w:b/>
          <w:color w:val="auto"/>
          <w:sz w:val="22"/>
          <w:szCs w:val="22"/>
          <w:highlight w:val="none"/>
        </w:rPr>
      </w:pPr>
      <w:r>
        <w:rPr>
          <w:b/>
          <w:color w:val="auto"/>
          <w:sz w:val="22"/>
          <w:szCs w:val="22"/>
          <w:highlight w:val="none"/>
        </w:rPr>
        <w:t>乙方（承包人）：</w:t>
      </w:r>
      <w:r>
        <w:rPr>
          <w:b/>
          <w:color w:val="auto"/>
          <w:sz w:val="22"/>
          <w:szCs w:val="22"/>
          <w:highlight w:val="none"/>
          <w:u w:val="single"/>
        </w:rPr>
        <w:t xml:space="preserve">                           </w:t>
      </w:r>
    </w:p>
    <w:p w14:paraId="4F227364">
      <w:pPr>
        <w:snapToGrid w:val="0"/>
        <w:spacing w:line="360" w:lineRule="auto"/>
        <w:ind w:firstLine="440" w:firstLineChars="200"/>
        <w:rPr>
          <w:color w:val="auto"/>
          <w:kern w:val="0"/>
          <w:sz w:val="22"/>
          <w:szCs w:val="22"/>
          <w:highlight w:val="none"/>
          <w:u w:val="single"/>
        </w:rPr>
      </w:pPr>
      <w:r>
        <w:rPr>
          <w:color w:val="auto"/>
          <w:sz w:val="22"/>
          <w:szCs w:val="22"/>
          <w:highlight w:val="none"/>
        </w:rPr>
        <w:t>工程项目名称：</w:t>
      </w:r>
      <w:r>
        <w:rPr>
          <w:color w:val="auto"/>
          <w:kern w:val="0"/>
          <w:sz w:val="22"/>
          <w:szCs w:val="22"/>
          <w:highlight w:val="none"/>
          <w:u w:val="single"/>
        </w:rPr>
        <w:t xml:space="preserve">                            </w:t>
      </w:r>
    </w:p>
    <w:p w14:paraId="3F7B526C">
      <w:pPr>
        <w:snapToGrid w:val="0"/>
        <w:spacing w:line="360" w:lineRule="auto"/>
        <w:ind w:firstLine="440" w:firstLineChars="200"/>
        <w:rPr>
          <w:color w:val="auto"/>
          <w:sz w:val="22"/>
          <w:szCs w:val="22"/>
          <w:highlight w:val="none"/>
        </w:rPr>
      </w:pPr>
      <w:r>
        <w:rPr>
          <w:color w:val="auto"/>
          <w:sz w:val="22"/>
          <w:szCs w:val="22"/>
          <w:highlight w:val="none"/>
        </w:rPr>
        <w:t>为落实安全生产的管理要求，</w:t>
      </w:r>
      <w:r>
        <w:rPr>
          <w:rFonts w:hint="eastAsia"/>
          <w:color w:val="auto"/>
          <w:sz w:val="22"/>
          <w:szCs w:val="22"/>
          <w:highlight w:val="none"/>
        </w:rPr>
        <w:t>坚决</w:t>
      </w:r>
      <w:r>
        <w:rPr>
          <w:color w:val="auto"/>
          <w:sz w:val="22"/>
          <w:szCs w:val="22"/>
          <w:highlight w:val="none"/>
        </w:rPr>
        <w:t>贯彻"安全第一，预防为主、综合治理"的方针，确保工程建设的顺利进行，按《浙江省建筑安全文明施工标准化工地管理办法》（浙建建[2005]41号)规定，甲乙双方共同协商，一致同意如下：</w:t>
      </w:r>
    </w:p>
    <w:p w14:paraId="56B6A546">
      <w:pPr>
        <w:snapToGrid w:val="0"/>
        <w:spacing w:line="360" w:lineRule="auto"/>
        <w:ind w:firstLine="440" w:firstLineChars="200"/>
        <w:rPr>
          <w:color w:val="auto"/>
          <w:sz w:val="22"/>
          <w:szCs w:val="22"/>
          <w:highlight w:val="none"/>
        </w:rPr>
      </w:pPr>
      <w:r>
        <w:rPr>
          <w:color w:val="auto"/>
          <w:sz w:val="22"/>
          <w:szCs w:val="22"/>
          <w:highlight w:val="none"/>
        </w:rPr>
        <w:t>一、发包人在施工开始前向承包人提交必要的施工场地，明确承包人安全生产管理的责任区域和要求，承包人负责施工现场的安全管理工作，是施工现场的安全管理的责任单位。承包人必须建立健全安全生产保证体系，建立健全应急救援体系其相关文件报发包人备案。</w:t>
      </w:r>
    </w:p>
    <w:p w14:paraId="3CFB56D6">
      <w:pPr>
        <w:snapToGrid w:val="0"/>
        <w:spacing w:line="360" w:lineRule="auto"/>
        <w:ind w:firstLine="440" w:firstLineChars="200"/>
        <w:rPr>
          <w:color w:val="auto"/>
          <w:sz w:val="22"/>
          <w:szCs w:val="22"/>
          <w:highlight w:val="none"/>
        </w:rPr>
      </w:pPr>
      <w:r>
        <w:rPr>
          <w:color w:val="auto"/>
          <w:sz w:val="22"/>
          <w:szCs w:val="22"/>
          <w:highlight w:val="none"/>
        </w:rPr>
        <w:t>二、发包人应积极组织和督促承包人开展安全达标活动，及时传达和部署上级的有关安全生产精神和要求，定期听取承包人的意见和要求。加强安全生产的指导和协调。</w:t>
      </w:r>
    </w:p>
    <w:p w14:paraId="1F31252B">
      <w:pPr>
        <w:snapToGrid w:val="0"/>
        <w:spacing w:line="360" w:lineRule="auto"/>
        <w:ind w:firstLine="440" w:firstLineChars="200"/>
        <w:rPr>
          <w:color w:val="auto"/>
          <w:sz w:val="22"/>
          <w:szCs w:val="22"/>
          <w:highlight w:val="none"/>
        </w:rPr>
      </w:pPr>
      <w:r>
        <w:rPr>
          <w:color w:val="auto"/>
          <w:sz w:val="22"/>
          <w:szCs w:val="22"/>
          <w:highlight w:val="none"/>
        </w:rPr>
        <w:t>三、</w:t>
      </w:r>
      <w:r>
        <w:rPr>
          <w:rFonts w:hint="eastAsia"/>
          <w:color w:val="auto"/>
          <w:sz w:val="22"/>
          <w:szCs w:val="22"/>
          <w:highlight w:val="none"/>
        </w:rPr>
        <w:t>发包人负责组织对承包人安全规范作业、文明施工情况的检查；对承包人及有关人员发生的违章、违规、违法行为和存在安全隐患以及安全生产活动中不积极配合的发包人有权制止、教育并责成其限期整改，必要时每次按违约责任给予经济处罚。</w:t>
      </w:r>
    </w:p>
    <w:p w14:paraId="6D95332C">
      <w:pPr>
        <w:snapToGrid w:val="0"/>
        <w:spacing w:line="360" w:lineRule="auto"/>
        <w:ind w:firstLine="440" w:firstLineChars="200"/>
        <w:rPr>
          <w:color w:val="auto"/>
          <w:spacing w:val="40"/>
          <w:sz w:val="22"/>
          <w:szCs w:val="22"/>
          <w:highlight w:val="none"/>
        </w:rPr>
      </w:pPr>
      <w:r>
        <w:rPr>
          <w:color w:val="auto"/>
          <w:sz w:val="22"/>
          <w:szCs w:val="22"/>
          <w:highlight w:val="none"/>
        </w:rPr>
        <w:t>四、</w:t>
      </w:r>
      <w:r>
        <w:rPr>
          <w:rFonts w:hint="eastAsia"/>
          <w:color w:val="auto"/>
          <w:sz w:val="22"/>
          <w:szCs w:val="22"/>
          <w:highlight w:val="none"/>
        </w:rPr>
        <w:t>凡在工地内发生的安全生产或人员伤亡事故，发包人有权派人员参与劳动行政部门、司法机关的调查处理；甲方可按其造成的后果及影响，对乙方单位及其安全负责人按责任违约造成的损失给予乙方单位一次性经济的处罚（从乙方工程款中扣除）。事故造成的经济损失及因乙方责任给甲方造成的连带经济损失全部由乙方承担。</w:t>
      </w:r>
    </w:p>
    <w:p w14:paraId="10D3B226">
      <w:pPr>
        <w:snapToGrid w:val="0"/>
        <w:spacing w:line="360" w:lineRule="auto"/>
        <w:ind w:firstLine="440" w:firstLineChars="200"/>
        <w:rPr>
          <w:color w:val="auto"/>
          <w:sz w:val="22"/>
          <w:szCs w:val="22"/>
          <w:highlight w:val="none"/>
        </w:rPr>
      </w:pPr>
      <w:r>
        <w:rPr>
          <w:color w:val="auto"/>
          <w:sz w:val="22"/>
          <w:szCs w:val="22"/>
          <w:highlight w:val="none"/>
        </w:rPr>
        <w:t>其他处理</w:t>
      </w:r>
      <w:r>
        <w:rPr>
          <w:rFonts w:hint="eastAsia"/>
          <w:color w:val="auto"/>
          <w:sz w:val="22"/>
          <w:szCs w:val="22"/>
          <w:highlight w:val="none"/>
        </w:rPr>
        <w:t>，</w:t>
      </w:r>
      <w:r>
        <w:rPr>
          <w:color w:val="auto"/>
          <w:sz w:val="22"/>
          <w:szCs w:val="22"/>
          <w:highlight w:val="none"/>
        </w:rPr>
        <w:t>依据国家和地方相关法律法规、政策、规定、制度执行。</w:t>
      </w:r>
    </w:p>
    <w:p w14:paraId="19C3A804">
      <w:pPr>
        <w:snapToGrid w:val="0"/>
        <w:spacing w:line="360" w:lineRule="auto"/>
        <w:ind w:firstLine="221"/>
        <w:rPr>
          <w:color w:val="auto"/>
          <w:sz w:val="22"/>
          <w:szCs w:val="22"/>
          <w:highlight w:val="none"/>
        </w:rPr>
      </w:pPr>
      <w:r>
        <w:rPr>
          <w:color w:val="auto"/>
          <w:sz w:val="22"/>
          <w:szCs w:val="22"/>
          <w:highlight w:val="none"/>
        </w:rPr>
        <w:t>五、承包人应严格贯彻执行国家和市颁布的有关安全生产的法律、法规，严格按照中华人民共和国建设部建标（99）79号“关于发布行业标准《建筑施工安全检查标准》的通知”（编号JGJ59—99）的要求加强内部安全管理，落实各项安全防护措施，确保工程建设中不发生人员死亡事故。</w:t>
      </w:r>
    </w:p>
    <w:p w14:paraId="456A1D74">
      <w:pPr>
        <w:snapToGrid w:val="0"/>
        <w:spacing w:line="360" w:lineRule="auto"/>
        <w:ind w:firstLine="440" w:firstLineChars="200"/>
        <w:rPr>
          <w:color w:val="auto"/>
          <w:sz w:val="22"/>
          <w:szCs w:val="22"/>
          <w:highlight w:val="none"/>
        </w:rPr>
      </w:pPr>
      <w:r>
        <w:rPr>
          <w:color w:val="auto"/>
          <w:sz w:val="22"/>
          <w:szCs w:val="22"/>
          <w:highlight w:val="none"/>
        </w:rPr>
        <w:t>六、承包人要按照安全作业规范针对本工程项目的特点、性质、规模以及施工现场条件编制施工组织设计和施工方案，制定和组织落实各项的施工安全技术措施，并向全体施工人员进行安全技术交底。严格按照施工组织设计和有关安全要求施工。</w:t>
      </w:r>
    </w:p>
    <w:p w14:paraId="38520A7B">
      <w:pPr>
        <w:snapToGrid w:val="0"/>
        <w:spacing w:line="360" w:lineRule="auto"/>
        <w:ind w:firstLine="440" w:firstLineChars="200"/>
        <w:rPr>
          <w:color w:val="auto"/>
          <w:sz w:val="22"/>
          <w:szCs w:val="22"/>
          <w:highlight w:val="none"/>
        </w:rPr>
      </w:pPr>
      <w:r>
        <w:rPr>
          <w:color w:val="auto"/>
          <w:sz w:val="22"/>
          <w:szCs w:val="22"/>
          <w:highlight w:val="none"/>
        </w:rPr>
        <w:t>七、</w:t>
      </w:r>
      <w:r>
        <w:rPr>
          <w:rFonts w:hint="eastAsia"/>
          <w:color w:val="auto"/>
          <w:sz w:val="22"/>
          <w:szCs w:val="22"/>
          <w:highlight w:val="none"/>
        </w:rPr>
        <w:t>承包人进场后应建立健全的安全生产保障体系，落实各级安全责任制，完善各项安全生产制度，按照“谁施工，谁负责”原则，负责单位内部和施工责任区域的安全生产管理工作。</w:t>
      </w:r>
    </w:p>
    <w:p w14:paraId="1816E5E3">
      <w:pPr>
        <w:snapToGrid w:val="0"/>
        <w:spacing w:line="360" w:lineRule="auto"/>
        <w:ind w:firstLine="440" w:firstLineChars="200"/>
        <w:rPr>
          <w:color w:val="auto"/>
          <w:sz w:val="22"/>
          <w:szCs w:val="22"/>
          <w:highlight w:val="none"/>
        </w:rPr>
      </w:pPr>
      <w:r>
        <w:rPr>
          <w:color w:val="auto"/>
          <w:sz w:val="22"/>
          <w:szCs w:val="22"/>
          <w:highlight w:val="none"/>
        </w:rPr>
        <w:t>八、承包人对各分包单位及外聘人员的安全生产工作要纳入本单位统一管理的范围，明确要求，签订管理协议；要加强对全体施工人员安全作业、文明施工和自我保护的宣传教育；做好上岗前的安全培训，特殊工种作业人员必须做到持证上岗：进入本市施工的外市特殊作业人员，还必须经本市有关特种作业考核站进审证教育，禁止实习、学习人员现场作业。严格执行各种安全操作规程，确保施工安全。</w:t>
      </w:r>
    </w:p>
    <w:p w14:paraId="27CD4ACE">
      <w:pPr>
        <w:snapToGrid w:val="0"/>
        <w:spacing w:line="360" w:lineRule="auto"/>
        <w:ind w:firstLine="440" w:firstLineChars="200"/>
        <w:rPr>
          <w:color w:val="auto"/>
          <w:sz w:val="22"/>
          <w:szCs w:val="22"/>
          <w:highlight w:val="none"/>
        </w:rPr>
      </w:pPr>
      <w:r>
        <w:rPr>
          <w:color w:val="auto"/>
          <w:sz w:val="22"/>
          <w:szCs w:val="22"/>
          <w:highlight w:val="none"/>
        </w:rPr>
        <w:t>九、承包人要按照“安全自查，隐患自改、责任自负”的原则加强对施工责任区的日常安全检查。</w:t>
      </w:r>
      <w:r>
        <w:rPr>
          <w:rFonts w:hint="eastAsia"/>
          <w:color w:val="auto"/>
          <w:sz w:val="22"/>
          <w:szCs w:val="22"/>
          <w:highlight w:val="none"/>
        </w:rPr>
        <w:t>及时制止</w:t>
      </w:r>
      <w:r>
        <w:rPr>
          <w:color w:val="auto"/>
          <w:sz w:val="22"/>
          <w:szCs w:val="22"/>
          <w:highlight w:val="none"/>
        </w:rPr>
        <w:t>和处理各类违章违法行为。对查获的隐患要及时落实整改措施，消除隐患。</w:t>
      </w:r>
    </w:p>
    <w:p w14:paraId="04458E1B">
      <w:pPr>
        <w:snapToGrid w:val="0"/>
        <w:spacing w:line="360" w:lineRule="auto"/>
        <w:ind w:firstLine="440" w:firstLineChars="200"/>
        <w:rPr>
          <w:color w:val="auto"/>
          <w:sz w:val="22"/>
          <w:szCs w:val="22"/>
          <w:highlight w:val="none"/>
        </w:rPr>
      </w:pPr>
      <w:r>
        <w:rPr>
          <w:color w:val="auto"/>
          <w:sz w:val="22"/>
          <w:szCs w:val="22"/>
          <w:highlight w:val="none"/>
        </w:rPr>
        <w:t>十、承包人应主动接受发包人在安全生产工作上的业务指导，检查和督促，服从管理；对发包人的工作布置和组织的活动要积极贯彻实施和参加。对发包人给予因责任违约的经济处理如有异议可要求复核。对发包人工作人员利用职权营私舞弊、有意刁难的违法行为，有权检举揭发，要求处理。</w:t>
      </w:r>
    </w:p>
    <w:p w14:paraId="1F9E2C77">
      <w:pPr>
        <w:snapToGrid w:val="0"/>
        <w:spacing w:line="360" w:lineRule="auto"/>
        <w:ind w:firstLine="440" w:firstLineChars="200"/>
        <w:rPr>
          <w:color w:val="auto"/>
          <w:sz w:val="22"/>
          <w:szCs w:val="22"/>
          <w:highlight w:val="none"/>
        </w:rPr>
      </w:pPr>
      <w:r>
        <w:rPr>
          <w:color w:val="auto"/>
          <w:sz w:val="22"/>
          <w:szCs w:val="22"/>
          <w:highlight w:val="none"/>
        </w:rPr>
        <w:t>十一、在施工现场或施工作业过程中，因承包人原因发生安全事故或造成人员伤亡的，由承包人承担处理和所有的经济赔偿责任。承包人须妥善处理事故，积极抢救受伤人员、保护现场，同时视事故</w:t>
      </w:r>
      <w:r>
        <w:rPr>
          <w:rFonts w:hint="eastAsia"/>
          <w:color w:val="auto"/>
          <w:sz w:val="22"/>
          <w:szCs w:val="22"/>
          <w:highlight w:val="none"/>
        </w:rPr>
        <w:t>程度</w:t>
      </w:r>
      <w:r>
        <w:rPr>
          <w:color w:val="auto"/>
          <w:sz w:val="22"/>
          <w:szCs w:val="22"/>
          <w:highlight w:val="none"/>
        </w:rPr>
        <w:t>按规定时限向当地安监等相关政府部门报告，并立即报告发包人，不得迟报瞒报。发包人应积极配合处理。</w:t>
      </w:r>
    </w:p>
    <w:p w14:paraId="1522F84A">
      <w:pPr>
        <w:snapToGrid w:val="0"/>
        <w:spacing w:line="360" w:lineRule="auto"/>
        <w:ind w:firstLine="440" w:firstLineChars="200"/>
        <w:rPr>
          <w:color w:val="auto"/>
          <w:sz w:val="22"/>
          <w:szCs w:val="22"/>
          <w:highlight w:val="none"/>
          <w:u w:val="single"/>
        </w:rPr>
      </w:pPr>
      <w:r>
        <w:rPr>
          <w:color w:val="auto"/>
          <w:sz w:val="22"/>
          <w:szCs w:val="22"/>
          <w:highlight w:val="none"/>
          <w:u w:val="single"/>
        </w:rPr>
        <w:t>十二、承包人须参加由发包人召集的工程工作列会，对工程进度、工程质量、安全施工等情况向会议进行汇报，并接受发包人的安全检查。</w:t>
      </w:r>
    </w:p>
    <w:p w14:paraId="073508FB">
      <w:pPr>
        <w:snapToGrid w:val="0"/>
        <w:spacing w:line="360" w:lineRule="auto"/>
        <w:ind w:firstLine="440" w:firstLineChars="200"/>
        <w:rPr>
          <w:color w:val="auto"/>
          <w:sz w:val="22"/>
          <w:szCs w:val="22"/>
          <w:highlight w:val="none"/>
          <w:u w:val="single"/>
        </w:rPr>
      </w:pPr>
      <w:r>
        <w:rPr>
          <w:color w:val="auto"/>
          <w:sz w:val="22"/>
          <w:szCs w:val="22"/>
          <w:highlight w:val="none"/>
          <w:u w:val="single"/>
        </w:rPr>
        <w:t>十三、承包人不准将工程项目进行整体转包。</w:t>
      </w:r>
    </w:p>
    <w:p w14:paraId="3704C629">
      <w:pPr>
        <w:snapToGrid w:val="0"/>
        <w:spacing w:line="360" w:lineRule="auto"/>
        <w:ind w:firstLine="440" w:firstLineChars="200"/>
        <w:rPr>
          <w:color w:val="auto"/>
          <w:sz w:val="22"/>
          <w:szCs w:val="22"/>
          <w:highlight w:val="none"/>
          <w:u w:val="single"/>
        </w:rPr>
      </w:pPr>
      <w:r>
        <w:rPr>
          <w:color w:val="auto"/>
          <w:sz w:val="22"/>
          <w:szCs w:val="22"/>
          <w:highlight w:val="none"/>
          <w:u w:val="single"/>
        </w:rPr>
        <w:t>十四、承包人对施工现场的安全负责。在施工过程中或施工现场，因承包人原因造成的安全事故，由承包人承担处理和所有的经济赔偿责任，承包人须根据事故</w:t>
      </w:r>
      <w:r>
        <w:rPr>
          <w:rFonts w:hint="eastAsia"/>
          <w:color w:val="auto"/>
          <w:sz w:val="22"/>
          <w:szCs w:val="22"/>
          <w:highlight w:val="none"/>
          <w:u w:val="single"/>
        </w:rPr>
        <w:t>程度</w:t>
      </w:r>
      <w:r>
        <w:rPr>
          <w:color w:val="auto"/>
          <w:sz w:val="22"/>
          <w:szCs w:val="22"/>
          <w:highlight w:val="none"/>
          <w:u w:val="single"/>
        </w:rPr>
        <w:t>按规定将事故发生情况向当地政府相关部门报告，并立即报告发包人。发包人积极协助处理。</w:t>
      </w:r>
    </w:p>
    <w:p w14:paraId="5A7EBB9F">
      <w:pPr>
        <w:snapToGrid w:val="0"/>
        <w:spacing w:line="360" w:lineRule="auto"/>
        <w:ind w:firstLine="440" w:firstLineChars="200"/>
        <w:rPr>
          <w:color w:val="auto"/>
          <w:sz w:val="22"/>
          <w:szCs w:val="22"/>
          <w:highlight w:val="none"/>
          <w:u w:val="single"/>
        </w:rPr>
      </w:pPr>
      <w:r>
        <w:rPr>
          <w:color w:val="auto"/>
          <w:sz w:val="22"/>
          <w:szCs w:val="22"/>
          <w:highlight w:val="none"/>
          <w:u w:val="single"/>
        </w:rPr>
        <w:t>十五、承包人须将施工作业人员名册报发包人备案，承包人的施工作业人员必须接受发包人组织的安全培训，方可进场施工作业。</w:t>
      </w:r>
    </w:p>
    <w:p w14:paraId="607B1A84">
      <w:pPr>
        <w:snapToGrid w:val="0"/>
        <w:spacing w:line="360" w:lineRule="auto"/>
        <w:ind w:firstLine="442" w:firstLineChars="200"/>
        <w:rPr>
          <w:b/>
          <w:bCs/>
          <w:color w:val="auto"/>
          <w:sz w:val="22"/>
          <w:szCs w:val="22"/>
          <w:highlight w:val="none"/>
          <w:u w:val="single"/>
        </w:rPr>
      </w:pPr>
      <w:r>
        <w:rPr>
          <w:b/>
          <w:bCs/>
          <w:color w:val="auto"/>
          <w:sz w:val="22"/>
          <w:szCs w:val="22"/>
          <w:highlight w:val="none"/>
          <w:u w:val="single"/>
        </w:rPr>
        <w:t>十六、承包人须为施工作业人员缴纳相关保险，并在合同签订之日起的10个工作日内将缴纳保险凭证复印件交发包人。</w:t>
      </w:r>
    </w:p>
    <w:p w14:paraId="59187D28">
      <w:pPr>
        <w:snapToGrid w:val="0"/>
        <w:spacing w:line="360" w:lineRule="auto"/>
        <w:ind w:firstLine="442" w:firstLineChars="200"/>
        <w:rPr>
          <w:b/>
          <w:color w:val="auto"/>
          <w:sz w:val="22"/>
          <w:szCs w:val="22"/>
          <w:highlight w:val="none"/>
          <w:u w:val="single"/>
        </w:rPr>
      </w:pPr>
      <w:r>
        <w:rPr>
          <w:b/>
          <w:color w:val="auto"/>
          <w:sz w:val="22"/>
          <w:szCs w:val="22"/>
          <w:highlight w:val="none"/>
          <w:u w:val="single"/>
        </w:rPr>
        <w:t>十七、承包人必须严格按发包人管理规范要求进场施工：必须报后勤处、</w:t>
      </w:r>
      <w:r>
        <w:rPr>
          <w:rFonts w:hint="eastAsia"/>
          <w:b/>
          <w:color w:val="auto"/>
          <w:sz w:val="22"/>
          <w:szCs w:val="22"/>
          <w:highlight w:val="none"/>
          <w:u w:val="single"/>
        </w:rPr>
        <w:t>校安处</w:t>
      </w:r>
      <w:r>
        <w:rPr>
          <w:b/>
          <w:color w:val="auto"/>
          <w:sz w:val="22"/>
          <w:szCs w:val="22"/>
          <w:highlight w:val="none"/>
          <w:u w:val="single"/>
        </w:rPr>
        <w:t>备案，并接受</w:t>
      </w:r>
      <w:r>
        <w:rPr>
          <w:rFonts w:hint="eastAsia"/>
          <w:b/>
          <w:color w:val="auto"/>
          <w:sz w:val="22"/>
          <w:szCs w:val="22"/>
          <w:highlight w:val="none"/>
          <w:u w:val="single"/>
        </w:rPr>
        <w:t>校安处</w:t>
      </w:r>
      <w:r>
        <w:rPr>
          <w:b/>
          <w:color w:val="auto"/>
          <w:sz w:val="22"/>
          <w:szCs w:val="22"/>
          <w:highlight w:val="none"/>
          <w:u w:val="single"/>
        </w:rPr>
        <w:t>的安全教育；进场施工必须佩戴</w:t>
      </w:r>
      <w:r>
        <w:rPr>
          <w:rFonts w:hint="eastAsia"/>
          <w:b/>
          <w:color w:val="auto"/>
          <w:sz w:val="22"/>
          <w:szCs w:val="22"/>
          <w:highlight w:val="none"/>
          <w:u w:val="single"/>
        </w:rPr>
        <w:t>安全帽</w:t>
      </w:r>
      <w:r>
        <w:rPr>
          <w:b/>
          <w:color w:val="auto"/>
          <w:sz w:val="22"/>
          <w:szCs w:val="22"/>
          <w:highlight w:val="none"/>
          <w:u w:val="single"/>
        </w:rPr>
        <w:t>，统一着装；施工垃圾及时清运，垃圾密闭包装，不得裸露在外。</w:t>
      </w:r>
    </w:p>
    <w:p w14:paraId="1E5F318B">
      <w:pPr>
        <w:snapToGrid w:val="0"/>
        <w:spacing w:line="360" w:lineRule="auto"/>
        <w:ind w:firstLine="440" w:firstLineChars="200"/>
        <w:rPr>
          <w:color w:val="auto"/>
          <w:sz w:val="22"/>
          <w:szCs w:val="22"/>
          <w:highlight w:val="none"/>
        </w:rPr>
      </w:pPr>
      <w:r>
        <w:rPr>
          <w:color w:val="auto"/>
          <w:sz w:val="22"/>
          <w:szCs w:val="22"/>
          <w:highlight w:val="none"/>
        </w:rPr>
        <w:t>十八、本协议中</w:t>
      </w:r>
      <w:r>
        <w:rPr>
          <w:rFonts w:hint="eastAsia"/>
          <w:color w:val="auto"/>
          <w:sz w:val="22"/>
          <w:szCs w:val="22"/>
          <w:highlight w:val="none"/>
        </w:rPr>
        <w:t>未</w:t>
      </w:r>
      <w:r>
        <w:rPr>
          <w:color w:val="auto"/>
          <w:sz w:val="22"/>
          <w:szCs w:val="22"/>
          <w:highlight w:val="none"/>
        </w:rPr>
        <w:t>涉及的有关条款，甲乙双方可根据需要协商补充修改。</w:t>
      </w:r>
    </w:p>
    <w:p w14:paraId="637C20F1">
      <w:pPr>
        <w:snapToGrid w:val="0"/>
        <w:spacing w:line="360" w:lineRule="auto"/>
        <w:ind w:firstLine="440" w:firstLineChars="200"/>
        <w:rPr>
          <w:color w:val="auto"/>
          <w:sz w:val="22"/>
          <w:szCs w:val="22"/>
          <w:highlight w:val="none"/>
        </w:rPr>
      </w:pPr>
      <w:r>
        <w:rPr>
          <w:color w:val="auto"/>
          <w:sz w:val="22"/>
          <w:szCs w:val="22"/>
          <w:highlight w:val="none"/>
        </w:rPr>
        <w:t>如遇有国家和本市的有关法规不符的，应按国家和本市的有关法规执行。</w:t>
      </w:r>
    </w:p>
    <w:p w14:paraId="18189B62">
      <w:pPr>
        <w:snapToGrid w:val="0"/>
        <w:spacing w:line="360" w:lineRule="auto"/>
        <w:ind w:firstLine="440" w:firstLineChars="200"/>
        <w:rPr>
          <w:color w:val="auto"/>
          <w:sz w:val="22"/>
          <w:szCs w:val="22"/>
          <w:highlight w:val="none"/>
        </w:rPr>
      </w:pPr>
      <w:r>
        <w:rPr>
          <w:color w:val="auto"/>
          <w:sz w:val="22"/>
          <w:szCs w:val="22"/>
          <w:highlight w:val="none"/>
        </w:rPr>
        <w:t>十九、本协议作为甲乙双方工程承包合同的附件，在工程承包合同签约后生效，与工程承包合同具有同等法律效力。工程承包合同期满，本协议终上。</w:t>
      </w:r>
    </w:p>
    <w:p w14:paraId="31AE2776">
      <w:pPr>
        <w:snapToGrid w:val="0"/>
        <w:spacing w:line="360" w:lineRule="auto"/>
        <w:ind w:firstLine="440" w:firstLineChars="200"/>
        <w:rPr>
          <w:color w:val="auto"/>
          <w:sz w:val="22"/>
          <w:szCs w:val="22"/>
          <w:highlight w:val="none"/>
        </w:rPr>
      </w:pPr>
      <w:r>
        <w:rPr>
          <w:color w:val="auto"/>
          <w:sz w:val="22"/>
          <w:szCs w:val="22"/>
          <w:highlight w:val="none"/>
        </w:rPr>
        <w:t>发包人（公章）：                                 承包人（公章）：</w:t>
      </w:r>
    </w:p>
    <w:p w14:paraId="096E1AF5">
      <w:pPr>
        <w:snapToGrid w:val="0"/>
        <w:spacing w:line="360" w:lineRule="auto"/>
        <w:ind w:firstLine="440" w:firstLineChars="200"/>
        <w:rPr>
          <w:color w:val="auto"/>
          <w:sz w:val="22"/>
          <w:szCs w:val="22"/>
          <w:highlight w:val="none"/>
        </w:rPr>
      </w:pPr>
      <w:r>
        <w:rPr>
          <w:color w:val="auto"/>
          <w:sz w:val="22"/>
          <w:szCs w:val="22"/>
          <w:highlight w:val="none"/>
        </w:rPr>
        <w:t>法定代表人：                                    法定代表人：</w:t>
      </w:r>
    </w:p>
    <w:p w14:paraId="73CCBAA7">
      <w:pPr>
        <w:snapToGrid w:val="0"/>
        <w:spacing w:line="360" w:lineRule="auto"/>
        <w:ind w:firstLine="440" w:firstLineChars="200"/>
        <w:rPr>
          <w:color w:val="auto"/>
          <w:sz w:val="22"/>
          <w:szCs w:val="22"/>
          <w:highlight w:val="none"/>
        </w:rPr>
        <w:sectPr>
          <w:headerReference r:id="rId5" w:type="default"/>
          <w:footerReference r:id="rId6" w:type="default"/>
          <w:pgSz w:w="11906" w:h="16838"/>
          <w:pgMar w:top="1247" w:right="1247" w:bottom="1247" w:left="1247" w:header="0" w:footer="0" w:gutter="0"/>
          <w:pgNumType w:start="2"/>
          <w:cols w:space="720" w:num="1"/>
          <w:docGrid w:type="lines" w:linePitch="388" w:charSpace="0"/>
        </w:sectPr>
      </w:pPr>
      <w:r>
        <w:rPr>
          <w:color w:val="auto"/>
          <w:sz w:val="22"/>
          <w:szCs w:val="22"/>
          <w:highlight w:val="none"/>
        </w:rPr>
        <w:t>或委托代理人：                                  或委托代理人：</w:t>
      </w:r>
    </w:p>
    <w:p w14:paraId="1A378249">
      <w:pPr>
        <w:autoSpaceDE w:val="0"/>
        <w:autoSpaceDN w:val="0"/>
        <w:adjustRightInd w:val="0"/>
        <w:snapToGrid w:val="0"/>
        <w:spacing w:line="360" w:lineRule="auto"/>
        <w:rPr>
          <w:bCs/>
          <w:color w:val="auto"/>
          <w:szCs w:val="21"/>
          <w:highlight w:val="none"/>
        </w:rPr>
      </w:pPr>
      <w:r>
        <w:rPr>
          <w:bCs/>
          <w:color w:val="auto"/>
          <w:szCs w:val="21"/>
          <w:highlight w:val="none"/>
        </w:rPr>
        <w:t>附件</w:t>
      </w:r>
      <w:r>
        <w:rPr>
          <w:rFonts w:hint="eastAsia"/>
          <w:bCs/>
          <w:color w:val="auto"/>
          <w:szCs w:val="21"/>
          <w:highlight w:val="none"/>
        </w:rPr>
        <w:t>四</w:t>
      </w:r>
      <w:r>
        <w:rPr>
          <w:bCs/>
          <w:color w:val="auto"/>
          <w:szCs w:val="21"/>
          <w:highlight w:val="none"/>
        </w:rPr>
        <w:t>：承诺书</w:t>
      </w:r>
    </w:p>
    <w:p w14:paraId="4FEDFC19">
      <w:pPr>
        <w:autoSpaceDE w:val="0"/>
        <w:autoSpaceDN w:val="0"/>
        <w:adjustRightInd w:val="0"/>
        <w:snapToGrid w:val="0"/>
        <w:spacing w:line="360" w:lineRule="auto"/>
        <w:jc w:val="center"/>
        <w:rPr>
          <w:b/>
          <w:bCs/>
          <w:color w:val="auto"/>
          <w:szCs w:val="21"/>
          <w:highlight w:val="none"/>
        </w:rPr>
      </w:pPr>
      <w:r>
        <w:rPr>
          <w:b/>
          <w:bCs/>
          <w:color w:val="auto"/>
          <w:szCs w:val="21"/>
          <w:highlight w:val="none"/>
        </w:rPr>
        <w:t>承 诺 书</w:t>
      </w:r>
    </w:p>
    <w:p w14:paraId="019A43DE">
      <w:pPr>
        <w:adjustRightInd w:val="0"/>
        <w:snapToGrid w:val="0"/>
        <w:spacing w:line="360" w:lineRule="auto"/>
        <w:rPr>
          <w:bCs/>
          <w:color w:val="auto"/>
          <w:szCs w:val="21"/>
          <w:highlight w:val="none"/>
          <w:u w:val="single"/>
        </w:rPr>
      </w:pPr>
    </w:p>
    <w:p w14:paraId="3CF351BC">
      <w:pPr>
        <w:adjustRightInd w:val="0"/>
        <w:snapToGrid w:val="0"/>
        <w:spacing w:line="360" w:lineRule="auto"/>
        <w:rPr>
          <w:bCs/>
          <w:color w:val="auto"/>
          <w:szCs w:val="21"/>
          <w:highlight w:val="none"/>
          <w:u w:val="single"/>
        </w:rPr>
      </w:pPr>
      <w:r>
        <w:rPr>
          <w:bCs/>
          <w:color w:val="auto"/>
          <w:szCs w:val="21"/>
          <w:highlight w:val="none"/>
          <w:u w:val="single"/>
        </w:rPr>
        <w:t>浙江交通职业技术学院：</w:t>
      </w:r>
    </w:p>
    <w:p w14:paraId="1C96B2F6">
      <w:pPr>
        <w:adjustRightInd w:val="0"/>
        <w:snapToGrid w:val="0"/>
        <w:spacing w:line="360" w:lineRule="auto"/>
        <w:ind w:firstLine="480" w:firstLineChars="200"/>
        <w:rPr>
          <w:bCs/>
          <w:color w:val="auto"/>
          <w:szCs w:val="21"/>
          <w:highlight w:val="none"/>
        </w:rPr>
      </w:pPr>
      <w:r>
        <w:rPr>
          <w:bCs/>
          <w:color w:val="auto"/>
          <w:szCs w:val="21"/>
          <w:highlight w:val="none"/>
        </w:rPr>
        <w:t>本公司对</w:t>
      </w:r>
      <w:r>
        <w:rPr>
          <w:bCs/>
          <w:color w:val="auto"/>
          <w:szCs w:val="21"/>
          <w:highlight w:val="none"/>
          <w:u w:val="single"/>
        </w:rPr>
        <w:t xml:space="preserve">  </w:t>
      </w:r>
      <w:r>
        <w:rPr>
          <w:rFonts w:hint="eastAsia"/>
          <w:bCs/>
          <w:color w:val="auto"/>
          <w:szCs w:val="21"/>
          <w:highlight w:val="none"/>
          <w:u w:val="single"/>
        </w:rPr>
        <w:t xml:space="preserve">       </w:t>
      </w:r>
      <w:r>
        <w:rPr>
          <w:bCs/>
          <w:color w:val="auto"/>
          <w:szCs w:val="21"/>
          <w:highlight w:val="none"/>
          <w:u w:val="single"/>
        </w:rPr>
        <w:t xml:space="preserve">   </w:t>
      </w:r>
      <w:r>
        <w:rPr>
          <w:bCs/>
          <w:color w:val="auto"/>
          <w:szCs w:val="21"/>
          <w:highlight w:val="none"/>
        </w:rPr>
        <w:t>工程质量安全责任制，承诺所提供设备、材料等均为符合国家或者行业规范的优质产品，工程施工按照国家、地方有关施工、验收规范和标准以及设计文件（施工图及设计联系单）进行，并以优异的施工工艺完成该工程的施工，确保工程安全使用。</w:t>
      </w:r>
    </w:p>
    <w:p w14:paraId="6872A761">
      <w:pPr>
        <w:adjustRightInd w:val="0"/>
        <w:snapToGrid w:val="0"/>
        <w:spacing w:line="360" w:lineRule="auto"/>
        <w:rPr>
          <w:bCs/>
          <w:color w:val="auto"/>
          <w:szCs w:val="21"/>
          <w:highlight w:val="none"/>
        </w:rPr>
      </w:pPr>
    </w:p>
    <w:p w14:paraId="43702F46">
      <w:pPr>
        <w:adjustRightInd w:val="0"/>
        <w:snapToGrid w:val="0"/>
        <w:spacing w:line="360" w:lineRule="auto"/>
        <w:rPr>
          <w:bCs/>
          <w:color w:val="auto"/>
          <w:szCs w:val="21"/>
          <w:highlight w:val="none"/>
        </w:rPr>
      </w:pPr>
    </w:p>
    <w:p w14:paraId="0C96617C">
      <w:pPr>
        <w:adjustRightInd w:val="0"/>
        <w:snapToGrid w:val="0"/>
        <w:spacing w:line="360" w:lineRule="auto"/>
        <w:rPr>
          <w:bCs/>
          <w:color w:val="auto"/>
          <w:szCs w:val="21"/>
          <w:highlight w:val="none"/>
        </w:rPr>
      </w:pPr>
    </w:p>
    <w:p w14:paraId="6B8D4F81">
      <w:pPr>
        <w:adjustRightInd w:val="0"/>
        <w:snapToGrid w:val="0"/>
        <w:spacing w:line="360" w:lineRule="auto"/>
        <w:ind w:firstLine="4055" w:firstLineChars="1690"/>
        <w:jc w:val="left"/>
        <w:rPr>
          <w:bCs/>
          <w:color w:val="auto"/>
          <w:szCs w:val="21"/>
          <w:highlight w:val="none"/>
        </w:rPr>
      </w:pPr>
      <w:r>
        <w:rPr>
          <w:bCs/>
          <w:color w:val="auto"/>
          <w:szCs w:val="21"/>
          <w:highlight w:val="none"/>
        </w:rPr>
        <w:t xml:space="preserve">供应商（单位公章）：            </w:t>
      </w:r>
    </w:p>
    <w:p w14:paraId="6CB3E16A">
      <w:pPr>
        <w:adjustRightInd w:val="0"/>
        <w:snapToGrid w:val="0"/>
        <w:spacing w:line="360" w:lineRule="auto"/>
        <w:jc w:val="left"/>
        <w:rPr>
          <w:bCs/>
          <w:color w:val="auto"/>
          <w:szCs w:val="21"/>
          <w:highlight w:val="none"/>
        </w:rPr>
      </w:pPr>
    </w:p>
    <w:p w14:paraId="18E71736">
      <w:pPr>
        <w:adjustRightInd w:val="0"/>
        <w:snapToGrid w:val="0"/>
        <w:spacing w:line="360" w:lineRule="auto"/>
        <w:ind w:firstLine="4055" w:firstLineChars="1690"/>
        <w:rPr>
          <w:bCs/>
          <w:color w:val="auto"/>
          <w:szCs w:val="21"/>
          <w:highlight w:val="none"/>
        </w:rPr>
      </w:pPr>
      <w:r>
        <w:rPr>
          <w:bCs/>
          <w:color w:val="auto"/>
          <w:szCs w:val="21"/>
          <w:highlight w:val="none"/>
        </w:rPr>
        <w:t>法定代表人或委托代理人（签字或盖章）：</w:t>
      </w:r>
    </w:p>
    <w:p w14:paraId="64CB2C7E">
      <w:pPr>
        <w:adjustRightInd w:val="0"/>
        <w:snapToGrid w:val="0"/>
        <w:spacing w:line="360" w:lineRule="auto"/>
        <w:rPr>
          <w:bCs/>
          <w:color w:val="auto"/>
          <w:szCs w:val="21"/>
          <w:highlight w:val="none"/>
        </w:rPr>
      </w:pPr>
    </w:p>
    <w:p w14:paraId="13887286">
      <w:pPr>
        <w:spacing w:line="360" w:lineRule="auto"/>
        <w:rPr>
          <w:color w:val="auto"/>
          <w:szCs w:val="21"/>
          <w:highlight w:val="none"/>
        </w:rPr>
      </w:pPr>
      <w:r>
        <w:rPr>
          <w:bCs/>
          <w:color w:val="auto"/>
          <w:szCs w:val="21"/>
          <w:highlight w:val="none"/>
        </w:rPr>
        <w:t xml:space="preserve">                                 日期：</w:t>
      </w:r>
      <w:r>
        <w:rPr>
          <w:bCs/>
          <w:color w:val="auto"/>
          <w:szCs w:val="21"/>
          <w:highlight w:val="none"/>
          <w:u w:val="single"/>
        </w:rPr>
        <w:t xml:space="preserve">      </w:t>
      </w:r>
      <w:r>
        <w:rPr>
          <w:bCs/>
          <w:color w:val="auto"/>
          <w:szCs w:val="21"/>
          <w:highlight w:val="none"/>
        </w:rPr>
        <w:t>年</w:t>
      </w:r>
      <w:r>
        <w:rPr>
          <w:bCs/>
          <w:color w:val="auto"/>
          <w:szCs w:val="21"/>
          <w:highlight w:val="none"/>
          <w:u w:val="single"/>
        </w:rPr>
        <w:t xml:space="preserve">    </w:t>
      </w:r>
      <w:r>
        <w:rPr>
          <w:bCs/>
          <w:color w:val="auto"/>
          <w:szCs w:val="21"/>
          <w:highlight w:val="none"/>
        </w:rPr>
        <w:t>月</w:t>
      </w:r>
      <w:r>
        <w:rPr>
          <w:bCs/>
          <w:color w:val="auto"/>
          <w:szCs w:val="21"/>
          <w:highlight w:val="none"/>
          <w:u w:val="single"/>
        </w:rPr>
        <w:t xml:space="preserve">    </w:t>
      </w:r>
      <w:r>
        <w:rPr>
          <w:bCs/>
          <w:color w:val="auto"/>
          <w:szCs w:val="21"/>
          <w:highlight w:val="none"/>
        </w:rPr>
        <w:t>日</w:t>
      </w:r>
    </w:p>
    <w:p w14:paraId="79B9A8E7">
      <w:pPr>
        <w:rPr>
          <w:color w:val="auto"/>
          <w:highlight w:val="none"/>
        </w:rPr>
      </w:pPr>
    </w:p>
    <w:p w14:paraId="4C32F562">
      <w:pPr>
        <w:snapToGrid w:val="0"/>
        <w:spacing w:line="360" w:lineRule="auto"/>
        <w:ind w:firstLine="440" w:firstLineChars="200"/>
        <w:rPr>
          <w:color w:val="auto"/>
          <w:sz w:val="22"/>
          <w:szCs w:val="22"/>
          <w:highlight w:val="none"/>
        </w:rPr>
        <w:sectPr>
          <w:pgSz w:w="11906" w:h="16838"/>
          <w:pgMar w:top="1247" w:right="1247" w:bottom="1247" w:left="1247" w:header="0" w:footer="0" w:gutter="0"/>
          <w:pgNumType w:start="2"/>
          <w:cols w:space="720" w:num="1"/>
          <w:docGrid w:type="lines" w:linePitch="388" w:charSpace="0"/>
        </w:sectPr>
      </w:pPr>
    </w:p>
    <w:p w14:paraId="6EE7F8B2">
      <w:pPr>
        <w:snapToGrid w:val="0"/>
        <w:spacing w:line="360" w:lineRule="auto"/>
        <w:ind w:firstLine="440" w:firstLineChars="200"/>
        <w:rPr>
          <w:color w:val="auto"/>
          <w:sz w:val="22"/>
          <w:szCs w:val="22"/>
          <w:highlight w:val="none"/>
        </w:rPr>
      </w:pPr>
    </w:p>
    <w:p w14:paraId="7D081AA5">
      <w:pPr>
        <w:adjustRightInd w:val="0"/>
        <w:snapToGrid w:val="0"/>
        <w:spacing w:line="288" w:lineRule="auto"/>
        <w:ind w:firstLine="320"/>
        <w:jc w:val="center"/>
        <w:outlineLvl w:val="0"/>
        <w:rPr>
          <w:b/>
          <w:bCs/>
          <w:color w:val="auto"/>
          <w:sz w:val="32"/>
          <w:szCs w:val="32"/>
          <w:highlight w:val="none"/>
        </w:rPr>
      </w:pPr>
    </w:p>
    <w:p w14:paraId="45798949">
      <w:pPr>
        <w:adjustRightInd w:val="0"/>
        <w:snapToGrid w:val="0"/>
        <w:spacing w:line="288" w:lineRule="auto"/>
        <w:ind w:firstLine="321"/>
        <w:jc w:val="center"/>
        <w:outlineLvl w:val="0"/>
        <w:rPr>
          <w:b/>
          <w:bCs/>
          <w:color w:val="auto"/>
          <w:sz w:val="32"/>
          <w:szCs w:val="32"/>
          <w:highlight w:val="none"/>
        </w:rPr>
      </w:pPr>
      <w:r>
        <w:rPr>
          <w:rFonts w:hint="eastAsia"/>
          <w:b/>
          <w:bCs/>
          <w:color w:val="auto"/>
          <w:sz w:val="32"/>
          <w:szCs w:val="32"/>
          <w:highlight w:val="none"/>
        </w:rPr>
        <w:t>第六章  响应文件格式</w:t>
      </w:r>
    </w:p>
    <w:p w14:paraId="66EA0CC4">
      <w:pPr>
        <w:adjustRightInd w:val="0"/>
        <w:snapToGrid w:val="0"/>
        <w:spacing w:line="288" w:lineRule="auto"/>
        <w:ind w:firstLine="211"/>
        <w:rPr>
          <w:color w:val="auto"/>
          <w:sz w:val="21"/>
          <w:szCs w:val="21"/>
          <w:highlight w:val="none"/>
        </w:rPr>
      </w:pPr>
    </w:p>
    <w:p w14:paraId="5BB2B733">
      <w:pPr>
        <w:adjustRightInd w:val="0"/>
        <w:snapToGrid w:val="0"/>
        <w:spacing w:line="288" w:lineRule="auto"/>
        <w:ind w:firstLine="211"/>
        <w:jc w:val="center"/>
        <w:rPr>
          <w:b/>
          <w:bCs/>
          <w:color w:val="auto"/>
          <w:sz w:val="21"/>
          <w:szCs w:val="21"/>
          <w:highlight w:val="none"/>
        </w:rPr>
      </w:pPr>
      <w:r>
        <w:rPr>
          <w:rFonts w:hint="eastAsia"/>
          <w:b/>
          <w:bCs/>
          <w:color w:val="auto"/>
          <w:sz w:val="21"/>
          <w:szCs w:val="21"/>
          <w:highlight w:val="none"/>
        </w:rPr>
        <w:t xml:space="preserve">目 </w:t>
      </w:r>
      <w:r>
        <w:rPr>
          <w:b/>
          <w:bCs/>
          <w:color w:val="auto"/>
          <w:sz w:val="21"/>
          <w:szCs w:val="21"/>
          <w:highlight w:val="none"/>
        </w:rPr>
        <w:t xml:space="preserve"> </w:t>
      </w:r>
      <w:r>
        <w:rPr>
          <w:rFonts w:hint="eastAsia"/>
          <w:b/>
          <w:bCs/>
          <w:color w:val="auto"/>
          <w:sz w:val="21"/>
          <w:szCs w:val="21"/>
          <w:highlight w:val="none"/>
        </w:rPr>
        <w:t>录</w:t>
      </w:r>
    </w:p>
    <w:p w14:paraId="65819EDB">
      <w:pPr>
        <w:adjustRightInd w:val="0"/>
        <w:snapToGrid w:val="0"/>
        <w:spacing w:line="276" w:lineRule="auto"/>
        <w:ind w:firstLine="211"/>
        <w:rPr>
          <w:color w:val="auto"/>
          <w:sz w:val="21"/>
          <w:szCs w:val="21"/>
          <w:highlight w:val="none"/>
        </w:rPr>
      </w:pPr>
    </w:p>
    <w:p w14:paraId="2EE9E350">
      <w:pPr>
        <w:adjustRightInd w:val="0"/>
        <w:snapToGrid w:val="0"/>
        <w:spacing w:line="288" w:lineRule="auto"/>
        <w:ind w:firstLine="422" w:firstLineChars="200"/>
        <w:rPr>
          <w:b/>
          <w:bCs/>
          <w:color w:val="auto"/>
          <w:sz w:val="21"/>
          <w:szCs w:val="21"/>
          <w:highlight w:val="none"/>
        </w:rPr>
      </w:pPr>
      <w:bookmarkStart w:id="48" w:name="_Hlk71884160"/>
      <w:r>
        <w:rPr>
          <w:rFonts w:hint="eastAsia"/>
          <w:b/>
          <w:bCs/>
          <w:color w:val="auto"/>
          <w:sz w:val="21"/>
          <w:szCs w:val="21"/>
          <w:highlight w:val="none"/>
        </w:rPr>
        <w:t>▲1.资格文件（单独上传）</w:t>
      </w:r>
    </w:p>
    <w:p w14:paraId="725D886D">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rPr>
        <w:t>资格审查要求的资格证明材料(均需加盖公章)：</w:t>
      </w:r>
    </w:p>
    <w:bookmarkEnd w:id="48"/>
    <w:p w14:paraId="1A930635">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rPr>
        <w:t>（1）有效的法人或者其他组织的营业执照等证明文件，自然人的身份证明</w:t>
      </w:r>
    </w:p>
    <w:p w14:paraId="573D83EC">
      <w:pPr>
        <w:adjustRightInd w:val="0"/>
        <w:snapToGrid w:val="0"/>
        <w:spacing w:line="288" w:lineRule="auto"/>
        <w:ind w:firstLine="422" w:firstLineChars="200"/>
        <w:rPr>
          <w:b/>
          <w:bCs/>
          <w:color w:val="auto"/>
          <w:sz w:val="21"/>
          <w:szCs w:val="21"/>
          <w:highlight w:val="none"/>
        </w:rPr>
      </w:pPr>
      <w:bookmarkStart w:id="49" w:name="_Hlk71884127"/>
      <w:r>
        <w:rPr>
          <w:rFonts w:hint="eastAsia"/>
          <w:b/>
          <w:bCs/>
          <w:color w:val="auto"/>
          <w:sz w:val="21"/>
          <w:szCs w:val="21"/>
          <w:highlight w:val="none"/>
        </w:rPr>
        <w:t>（</w:t>
      </w:r>
      <w:r>
        <w:rPr>
          <w:b/>
          <w:bCs/>
          <w:color w:val="auto"/>
          <w:sz w:val="21"/>
          <w:szCs w:val="21"/>
          <w:highlight w:val="none"/>
        </w:rPr>
        <w:t>2）符合参加政府采购活动应当具备的一般条件的承诺函</w:t>
      </w:r>
    </w:p>
    <w:p w14:paraId="5A0010F4">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rPr>
        <w:t>（</w:t>
      </w:r>
      <w:r>
        <w:rPr>
          <w:b/>
          <w:bCs/>
          <w:color w:val="auto"/>
          <w:sz w:val="21"/>
          <w:szCs w:val="21"/>
          <w:highlight w:val="none"/>
        </w:rPr>
        <w:t>3）落实政府采购政策需满足的资格要求</w:t>
      </w:r>
    </w:p>
    <w:p w14:paraId="5B1D1AAC">
      <w:pPr>
        <w:adjustRightInd w:val="0"/>
        <w:snapToGrid w:val="0"/>
        <w:spacing w:line="288" w:lineRule="auto"/>
        <w:ind w:left="480" w:leftChars="200" w:firstLine="422" w:firstLineChars="200"/>
        <w:rPr>
          <w:b/>
          <w:bCs/>
          <w:color w:val="auto"/>
          <w:sz w:val="21"/>
          <w:szCs w:val="21"/>
          <w:highlight w:val="none"/>
        </w:rPr>
      </w:pPr>
      <w:r>
        <w:rPr>
          <w:rFonts w:hint="eastAsia"/>
          <w:b/>
          <w:bCs/>
          <w:color w:val="auto"/>
          <w:sz w:val="21"/>
          <w:szCs w:val="21"/>
          <w:highlight w:val="none"/>
        </w:rPr>
        <w:t>中小企业声明函（若属于中小企业）</w:t>
      </w:r>
    </w:p>
    <w:p w14:paraId="0632E4C9">
      <w:pPr>
        <w:adjustRightInd w:val="0"/>
        <w:snapToGrid w:val="0"/>
        <w:spacing w:line="288" w:lineRule="auto"/>
        <w:ind w:left="480" w:leftChars="200" w:firstLine="422" w:firstLineChars="200"/>
        <w:rPr>
          <w:b/>
          <w:bCs/>
          <w:color w:val="auto"/>
          <w:sz w:val="21"/>
          <w:szCs w:val="21"/>
          <w:highlight w:val="none"/>
        </w:rPr>
      </w:pPr>
      <w:r>
        <w:rPr>
          <w:rFonts w:hint="eastAsia"/>
          <w:b/>
          <w:bCs/>
          <w:color w:val="auto"/>
          <w:sz w:val="21"/>
          <w:szCs w:val="21"/>
          <w:highlight w:val="none"/>
        </w:rPr>
        <w:t>属于监狱企业的证明文件（若属于监狱企业）</w:t>
      </w:r>
    </w:p>
    <w:p w14:paraId="5C3FA3D7">
      <w:pPr>
        <w:adjustRightInd w:val="0"/>
        <w:snapToGrid w:val="0"/>
        <w:spacing w:line="288" w:lineRule="auto"/>
        <w:ind w:left="480" w:leftChars="200" w:firstLine="422" w:firstLineChars="200"/>
        <w:rPr>
          <w:b/>
          <w:bCs/>
          <w:color w:val="auto"/>
          <w:sz w:val="21"/>
          <w:szCs w:val="21"/>
          <w:highlight w:val="none"/>
        </w:rPr>
      </w:pPr>
      <w:r>
        <w:rPr>
          <w:rFonts w:hint="eastAsia"/>
          <w:b/>
          <w:bCs/>
          <w:color w:val="auto"/>
          <w:sz w:val="21"/>
          <w:szCs w:val="21"/>
          <w:highlight w:val="none"/>
        </w:rPr>
        <w:t>残疾人福利性单位声明函（若属于残疾人福利性单位）</w:t>
      </w:r>
    </w:p>
    <w:p w14:paraId="3FF9D6CB">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rPr>
        <w:t>（</w:t>
      </w:r>
      <w:r>
        <w:rPr>
          <w:b/>
          <w:bCs/>
          <w:color w:val="auto"/>
          <w:sz w:val="21"/>
          <w:szCs w:val="21"/>
          <w:highlight w:val="none"/>
        </w:rPr>
        <w:t>4）</w:t>
      </w:r>
      <w:r>
        <w:rPr>
          <w:rFonts w:hint="eastAsia"/>
          <w:b/>
          <w:bCs/>
          <w:color w:val="auto"/>
          <w:sz w:val="21"/>
          <w:szCs w:val="21"/>
          <w:highlight w:val="none"/>
        </w:rPr>
        <w:t>本项目的特定资格要求</w:t>
      </w:r>
      <w:r>
        <w:rPr>
          <w:b/>
          <w:bCs/>
          <w:color w:val="auto"/>
          <w:sz w:val="21"/>
          <w:szCs w:val="21"/>
          <w:highlight w:val="none"/>
        </w:rPr>
        <w:t>证明材料：</w:t>
      </w:r>
    </w:p>
    <w:p w14:paraId="296A6A5A">
      <w:pPr>
        <w:adjustRightInd w:val="0"/>
        <w:snapToGrid w:val="0"/>
        <w:spacing w:line="288" w:lineRule="auto"/>
        <w:ind w:left="480" w:leftChars="200" w:firstLine="422" w:firstLineChars="200"/>
        <w:rPr>
          <w:b/>
          <w:bCs/>
          <w:color w:val="auto"/>
          <w:sz w:val="21"/>
          <w:szCs w:val="21"/>
          <w:highlight w:val="none"/>
        </w:rPr>
      </w:pPr>
      <w:r>
        <w:rPr>
          <w:b/>
          <w:bCs/>
          <w:color w:val="auto"/>
          <w:sz w:val="21"/>
          <w:szCs w:val="21"/>
          <w:highlight w:val="none"/>
        </w:rPr>
        <w:t>1）</w:t>
      </w:r>
      <w:r>
        <w:rPr>
          <w:rFonts w:hint="eastAsia"/>
          <w:color w:val="auto"/>
          <w:sz w:val="21"/>
          <w:szCs w:val="21"/>
          <w:highlight w:val="none"/>
        </w:rPr>
        <w:t>拟派项目负责人具有园林绿化或相关专业中级及以上职称</w:t>
      </w:r>
      <w:r>
        <w:rPr>
          <w:b/>
          <w:bCs/>
          <w:color w:val="auto"/>
          <w:sz w:val="21"/>
          <w:szCs w:val="21"/>
          <w:highlight w:val="none"/>
        </w:rPr>
        <w:t>；</w:t>
      </w:r>
    </w:p>
    <w:p w14:paraId="17B0034C">
      <w:pPr>
        <w:adjustRightInd w:val="0"/>
        <w:snapToGrid w:val="0"/>
        <w:spacing w:line="288" w:lineRule="auto"/>
        <w:ind w:left="480" w:leftChars="200" w:firstLine="422" w:firstLineChars="200"/>
        <w:rPr>
          <w:b/>
          <w:bCs/>
          <w:color w:val="auto"/>
          <w:sz w:val="21"/>
          <w:szCs w:val="21"/>
          <w:highlight w:val="none"/>
        </w:rPr>
      </w:pPr>
      <w:r>
        <w:rPr>
          <w:b/>
          <w:bCs/>
          <w:color w:val="auto"/>
          <w:sz w:val="21"/>
          <w:szCs w:val="21"/>
          <w:highlight w:val="none"/>
        </w:rPr>
        <w:t>2）供应商具有有效期内的企业安全生产许可证。</w:t>
      </w:r>
    </w:p>
    <w:p w14:paraId="15E45B7D">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rPr>
        <w:t>（5）联合协议（以联合体形式响应的，提供联合协议，格式详见附件2）</w:t>
      </w:r>
    </w:p>
    <w:p w14:paraId="3B710DD8">
      <w:pPr>
        <w:adjustRightInd w:val="0"/>
        <w:snapToGrid w:val="0"/>
        <w:spacing w:line="288" w:lineRule="auto"/>
        <w:ind w:firstLine="398" w:firstLineChars="200"/>
        <w:rPr>
          <w:b/>
          <w:bCs/>
          <w:color w:val="auto"/>
          <w:sz w:val="21"/>
          <w:szCs w:val="21"/>
          <w:highlight w:val="none"/>
        </w:rPr>
      </w:pPr>
      <w:r>
        <w:rPr>
          <w:rFonts w:hint="eastAsia"/>
          <w:b/>
          <w:color w:val="auto"/>
          <w:spacing w:val="-6"/>
          <w:sz w:val="21"/>
          <w:szCs w:val="21"/>
          <w:highlight w:val="none"/>
        </w:rPr>
        <w:t>▲联合体响应的，联合体各方均应提供资格文件（</w:t>
      </w:r>
      <w:r>
        <w:rPr>
          <w:b/>
          <w:color w:val="auto"/>
          <w:spacing w:val="-6"/>
          <w:sz w:val="21"/>
          <w:szCs w:val="21"/>
          <w:highlight w:val="none"/>
        </w:rPr>
        <w:t>1）、（2）</w:t>
      </w:r>
      <w:r>
        <w:rPr>
          <w:rFonts w:hint="eastAsia"/>
          <w:b/>
          <w:color w:val="auto"/>
          <w:spacing w:val="-6"/>
          <w:sz w:val="21"/>
          <w:szCs w:val="21"/>
          <w:highlight w:val="none"/>
        </w:rPr>
        <w:t>材料</w:t>
      </w:r>
      <w:r>
        <w:rPr>
          <w:b/>
          <w:color w:val="auto"/>
          <w:spacing w:val="-6"/>
          <w:sz w:val="21"/>
          <w:szCs w:val="21"/>
          <w:highlight w:val="none"/>
        </w:rPr>
        <w:t>。</w:t>
      </w:r>
    </w:p>
    <w:p w14:paraId="47D358DE">
      <w:pPr>
        <w:adjustRightInd w:val="0"/>
        <w:snapToGrid w:val="0"/>
        <w:spacing w:line="288" w:lineRule="auto"/>
        <w:ind w:firstLine="422" w:firstLineChars="200"/>
        <w:rPr>
          <w:b/>
          <w:bCs/>
          <w:color w:val="auto"/>
          <w:sz w:val="21"/>
          <w:szCs w:val="21"/>
          <w:highlight w:val="none"/>
        </w:rPr>
      </w:pPr>
    </w:p>
    <w:bookmarkEnd w:id="49"/>
    <w:p w14:paraId="25641721">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rPr>
        <w:t>2.报价文件</w:t>
      </w:r>
    </w:p>
    <w:p w14:paraId="5B5DC4C9">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（1）初次报价一览表</w:t>
      </w:r>
    </w:p>
    <w:p w14:paraId="201BBA09">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（2）招标工程量清单编制及工程量清单报价所采用的表格格式如下（供参考，实际以工程量清单为准）</w:t>
      </w:r>
    </w:p>
    <w:p w14:paraId="1FBF2711">
      <w:pPr>
        <w:adjustRightInd w:val="0"/>
        <w:snapToGrid w:val="0"/>
        <w:spacing w:line="288" w:lineRule="auto"/>
        <w:ind w:firstLine="422" w:firstLineChars="200"/>
        <w:rPr>
          <w:b/>
          <w:bCs/>
          <w:color w:val="auto"/>
          <w:sz w:val="21"/>
          <w:szCs w:val="21"/>
          <w:highlight w:val="none"/>
        </w:rPr>
      </w:pPr>
      <w:r>
        <w:rPr>
          <w:rFonts w:hint="eastAsia"/>
          <w:b/>
          <w:bCs/>
          <w:color w:val="auto"/>
          <w:sz w:val="21"/>
          <w:szCs w:val="21"/>
          <w:highlight w:val="none"/>
        </w:rPr>
        <w:t>3.商务和技术文件</w:t>
      </w:r>
    </w:p>
    <w:p w14:paraId="44C0FFE2">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（1）响应函</w:t>
      </w:r>
    </w:p>
    <w:p w14:paraId="4689F5B1">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w:t>
      </w:r>
      <w:r>
        <w:rPr>
          <w:color w:val="auto"/>
          <w:sz w:val="21"/>
          <w:szCs w:val="21"/>
          <w:highlight w:val="none"/>
        </w:rPr>
        <w:t>2）授权委托书/法定代表人（单位负责人、自然人本人）身份证明</w:t>
      </w:r>
    </w:p>
    <w:p w14:paraId="1466A92D">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附：授权代表社保缴纳证明（</w:t>
      </w:r>
      <w:r>
        <w:rPr>
          <w:color w:val="auto"/>
          <w:sz w:val="21"/>
          <w:szCs w:val="21"/>
          <w:highlight w:val="none"/>
        </w:rPr>
        <w:t>2023年1月（含）以后任意一月）</w:t>
      </w:r>
    </w:p>
    <w:p w14:paraId="6609C485">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w:t>
      </w:r>
      <w:r>
        <w:rPr>
          <w:color w:val="auto"/>
          <w:sz w:val="21"/>
          <w:szCs w:val="21"/>
          <w:highlight w:val="none"/>
        </w:rPr>
        <w:t>3</w:t>
      </w:r>
      <w:r>
        <w:rPr>
          <w:rFonts w:hint="eastAsia"/>
          <w:color w:val="auto"/>
          <w:sz w:val="21"/>
          <w:szCs w:val="21"/>
          <w:highlight w:val="none"/>
        </w:rPr>
        <w:t>）项目经理无在建工程声明函</w:t>
      </w:r>
    </w:p>
    <w:p w14:paraId="10984AD8">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w:t>
      </w:r>
      <w:r>
        <w:rPr>
          <w:color w:val="auto"/>
          <w:sz w:val="21"/>
          <w:szCs w:val="21"/>
          <w:highlight w:val="none"/>
        </w:rPr>
        <w:t>4</w:t>
      </w:r>
      <w:r>
        <w:rPr>
          <w:rFonts w:hint="eastAsia"/>
          <w:color w:val="auto"/>
          <w:sz w:val="21"/>
          <w:szCs w:val="21"/>
          <w:highlight w:val="none"/>
        </w:rPr>
        <w:t>）分包意向协议（如有）</w:t>
      </w:r>
    </w:p>
    <w:p w14:paraId="770F603A">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w:t>
      </w:r>
      <w:r>
        <w:rPr>
          <w:color w:val="auto"/>
          <w:sz w:val="21"/>
          <w:szCs w:val="21"/>
          <w:highlight w:val="none"/>
        </w:rPr>
        <w:t>5</w:t>
      </w:r>
      <w:r>
        <w:rPr>
          <w:rFonts w:hint="eastAsia"/>
          <w:color w:val="auto"/>
          <w:sz w:val="21"/>
          <w:szCs w:val="21"/>
          <w:highlight w:val="none"/>
        </w:rPr>
        <w:t>）供应商同类合同一览表</w:t>
      </w:r>
    </w:p>
    <w:p w14:paraId="0726D72C">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w:t>
      </w:r>
      <w:r>
        <w:rPr>
          <w:color w:val="auto"/>
          <w:sz w:val="21"/>
          <w:szCs w:val="21"/>
          <w:highlight w:val="none"/>
        </w:rPr>
        <w:t>6</w:t>
      </w:r>
      <w:r>
        <w:rPr>
          <w:rFonts w:hint="eastAsia"/>
          <w:color w:val="auto"/>
          <w:sz w:val="21"/>
          <w:szCs w:val="21"/>
          <w:highlight w:val="none"/>
        </w:rPr>
        <w:t>）商务分相关证明材料（如有）</w:t>
      </w:r>
    </w:p>
    <w:p w14:paraId="056563A4">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w:t>
      </w:r>
      <w:r>
        <w:rPr>
          <w:color w:val="auto"/>
          <w:sz w:val="21"/>
          <w:szCs w:val="21"/>
          <w:highlight w:val="none"/>
        </w:rPr>
        <w:t>7）采购需求偏离表</w:t>
      </w:r>
    </w:p>
    <w:p w14:paraId="707D4C7C">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w:t>
      </w:r>
      <w:r>
        <w:rPr>
          <w:color w:val="auto"/>
          <w:sz w:val="21"/>
          <w:szCs w:val="21"/>
          <w:highlight w:val="none"/>
        </w:rPr>
        <w:t>8）</w:t>
      </w:r>
      <w:bookmarkStart w:id="50" w:name="_Hlk71884196"/>
      <w:r>
        <w:rPr>
          <w:rFonts w:hint="eastAsia"/>
          <w:color w:val="auto"/>
          <w:sz w:val="21"/>
          <w:szCs w:val="21"/>
          <w:highlight w:val="none"/>
        </w:rPr>
        <w:t>技术方案【可根据评分细则结合自身情况提供】</w:t>
      </w:r>
    </w:p>
    <w:p w14:paraId="1DE92AD9">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w:t>
      </w:r>
      <w:r>
        <w:rPr>
          <w:color w:val="auto"/>
          <w:sz w:val="21"/>
          <w:szCs w:val="21"/>
          <w:highlight w:val="none"/>
        </w:rPr>
        <w:t>9）</w:t>
      </w:r>
      <w:r>
        <w:rPr>
          <w:rFonts w:hint="eastAsia"/>
          <w:color w:val="auto"/>
          <w:sz w:val="21"/>
          <w:szCs w:val="21"/>
          <w:highlight w:val="none"/>
        </w:rPr>
        <w:t>拟派人员【可根据评分细则结合自身情况提供】</w:t>
      </w:r>
    </w:p>
    <w:p w14:paraId="3F5C805B">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w:t>
      </w:r>
      <w:r>
        <w:rPr>
          <w:color w:val="auto"/>
          <w:sz w:val="21"/>
          <w:szCs w:val="21"/>
          <w:highlight w:val="none"/>
        </w:rPr>
        <w:t>10）</w:t>
      </w:r>
      <w:r>
        <w:rPr>
          <w:rFonts w:hint="eastAsia"/>
          <w:color w:val="auto"/>
          <w:sz w:val="21"/>
          <w:szCs w:val="21"/>
          <w:highlight w:val="none"/>
        </w:rPr>
        <w:t>其它服务承诺【可根据评分细则结合自身情况提供】</w:t>
      </w:r>
    </w:p>
    <w:p w14:paraId="5E72B598">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（1</w:t>
      </w:r>
      <w:r>
        <w:rPr>
          <w:color w:val="auto"/>
          <w:sz w:val="21"/>
          <w:szCs w:val="21"/>
          <w:highlight w:val="none"/>
        </w:rPr>
        <w:t>1</w:t>
      </w:r>
      <w:r>
        <w:rPr>
          <w:rFonts w:hint="eastAsia"/>
          <w:color w:val="auto"/>
          <w:sz w:val="21"/>
          <w:szCs w:val="21"/>
          <w:highlight w:val="none"/>
        </w:rPr>
        <w:t>）</w:t>
      </w:r>
      <w:r>
        <w:rPr>
          <w:color w:val="auto"/>
          <w:sz w:val="21"/>
          <w:szCs w:val="21"/>
          <w:highlight w:val="none"/>
        </w:rPr>
        <w:t>节能环保产品证明材料</w:t>
      </w:r>
    </w:p>
    <w:p w14:paraId="357D4B85">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w:t>
      </w:r>
      <w:r>
        <w:rPr>
          <w:color w:val="auto"/>
          <w:sz w:val="21"/>
          <w:szCs w:val="21"/>
          <w:highlight w:val="none"/>
        </w:rPr>
        <w:t>12）</w:t>
      </w:r>
      <w:r>
        <w:rPr>
          <w:rFonts w:hint="eastAsia"/>
          <w:color w:val="auto"/>
          <w:sz w:val="21"/>
          <w:szCs w:val="21"/>
          <w:highlight w:val="none"/>
        </w:rPr>
        <w:t>供应商</w:t>
      </w:r>
      <w:r>
        <w:rPr>
          <w:color w:val="auto"/>
          <w:sz w:val="21"/>
          <w:szCs w:val="21"/>
          <w:highlight w:val="none"/>
        </w:rPr>
        <w:t>需要说明的其他文件和材料</w:t>
      </w:r>
      <w:bookmarkEnd w:id="50"/>
    </w:p>
    <w:p w14:paraId="36DAFD15">
      <w:pPr>
        <w:adjustRightInd w:val="0"/>
        <w:snapToGrid w:val="0"/>
        <w:spacing w:line="288" w:lineRule="auto"/>
        <w:ind w:firstLine="211"/>
        <w:rPr>
          <w:color w:val="auto"/>
          <w:sz w:val="21"/>
          <w:szCs w:val="21"/>
          <w:highlight w:val="none"/>
        </w:rPr>
      </w:pPr>
      <w:r>
        <w:rPr>
          <w:rFonts w:hint="eastAsia"/>
          <w:color w:val="auto"/>
          <w:sz w:val="21"/>
          <w:szCs w:val="21"/>
          <w:highlight w:val="none"/>
        </w:rPr>
        <w:br w:type="page"/>
      </w:r>
    </w:p>
    <w:p w14:paraId="1D33CBFF">
      <w:pPr>
        <w:adjustRightInd w:val="0"/>
        <w:snapToGrid w:val="0"/>
        <w:spacing w:line="288" w:lineRule="auto"/>
        <w:rPr>
          <w:color w:val="auto"/>
          <w:highlight w:val="none"/>
        </w:rPr>
      </w:pPr>
    </w:p>
    <w:p w14:paraId="519807BE">
      <w:pPr>
        <w:adjustRightInd w:val="0"/>
        <w:snapToGrid w:val="0"/>
        <w:spacing w:line="288" w:lineRule="auto"/>
        <w:ind w:firstLine="843"/>
        <w:jc w:val="center"/>
        <w:outlineLvl w:val="1"/>
        <w:rPr>
          <w:b/>
          <w:bCs/>
          <w:color w:val="auto"/>
          <w:sz w:val="84"/>
          <w:szCs w:val="84"/>
          <w:highlight w:val="none"/>
        </w:rPr>
      </w:pPr>
      <w:r>
        <w:rPr>
          <w:rFonts w:hint="eastAsia"/>
          <w:b/>
          <w:bCs/>
          <w:color w:val="auto"/>
          <w:sz w:val="84"/>
          <w:szCs w:val="84"/>
          <w:highlight w:val="none"/>
        </w:rPr>
        <w:t>资格文件</w:t>
      </w:r>
    </w:p>
    <w:p w14:paraId="75A638E2">
      <w:pPr>
        <w:adjustRightInd w:val="0"/>
        <w:snapToGrid w:val="0"/>
        <w:spacing w:line="288" w:lineRule="auto"/>
        <w:ind w:firstLine="210"/>
        <w:jc w:val="center"/>
        <w:rPr>
          <w:b/>
          <w:bCs/>
          <w:color w:val="auto"/>
          <w:sz w:val="21"/>
          <w:szCs w:val="21"/>
          <w:highlight w:val="none"/>
        </w:rPr>
      </w:pPr>
    </w:p>
    <w:p w14:paraId="4F2FA594">
      <w:pPr>
        <w:adjustRightInd w:val="0"/>
        <w:snapToGrid w:val="0"/>
        <w:spacing w:line="288" w:lineRule="auto"/>
        <w:ind w:firstLine="210"/>
        <w:jc w:val="center"/>
        <w:rPr>
          <w:b/>
          <w:bCs/>
          <w:color w:val="auto"/>
          <w:sz w:val="21"/>
          <w:szCs w:val="21"/>
          <w:highlight w:val="none"/>
        </w:rPr>
      </w:pPr>
    </w:p>
    <w:p w14:paraId="354F55D5">
      <w:pPr>
        <w:adjustRightInd w:val="0"/>
        <w:snapToGrid w:val="0"/>
        <w:spacing w:line="288" w:lineRule="auto"/>
        <w:ind w:firstLine="211"/>
        <w:jc w:val="center"/>
        <w:rPr>
          <w:b/>
          <w:bCs/>
          <w:color w:val="auto"/>
          <w:sz w:val="21"/>
          <w:szCs w:val="21"/>
          <w:highlight w:val="none"/>
        </w:rPr>
      </w:pPr>
      <w:bookmarkStart w:id="51" w:name="_Hlk94097338"/>
      <w:r>
        <w:rPr>
          <w:rFonts w:hint="eastAsia"/>
          <w:b/>
          <w:bCs/>
          <w:color w:val="auto"/>
          <w:sz w:val="21"/>
          <w:szCs w:val="21"/>
          <w:highlight w:val="none"/>
        </w:rPr>
        <w:t>资格审查要求的资格证明材料(均需加盖公章)</w:t>
      </w:r>
    </w:p>
    <w:bookmarkEnd w:id="51"/>
    <w:p w14:paraId="32D757B4">
      <w:pPr>
        <w:adjustRightInd w:val="0"/>
        <w:snapToGrid w:val="0"/>
        <w:spacing w:line="288" w:lineRule="auto"/>
        <w:ind w:firstLine="211"/>
        <w:rPr>
          <w:color w:val="auto"/>
          <w:sz w:val="21"/>
          <w:szCs w:val="21"/>
          <w:highlight w:val="none"/>
        </w:rPr>
      </w:pPr>
      <w:r>
        <w:rPr>
          <w:rFonts w:hint="eastAsia"/>
          <w:color w:val="auto"/>
          <w:sz w:val="21"/>
          <w:szCs w:val="21"/>
          <w:highlight w:val="none"/>
        </w:rPr>
        <w:br w:type="page"/>
      </w:r>
    </w:p>
    <w:p w14:paraId="09209238">
      <w:pPr>
        <w:adjustRightInd w:val="0"/>
        <w:snapToGrid w:val="0"/>
        <w:spacing w:line="288" w:lineRule="auto"/>
        <w:ind w:firstLine="211"/>
        <w:outlineLvl w:val="2"/>
        <w:rPr>
          <w:b/>
          <w:bCs/>
          <w:color w:val="auto"/>
          <w:sz w:val="21"/>
          <w:szCs w:val="21"/>
          <w:highlight w:val="none"/>
        </w:rPr>
      </w:pPr>
      <w:r>
        <w:rPr>
          <w:rFonts w:hint="eastAsia"/>
          <w:b/>
          <w:bCs/>
          <w:color w:val="auto"/>
          <w:sz w:val="21"/>
          <w:szCs w:val="21"/>
          <w:highlight w:val="none"/>
        </w:rPr>
        <w:t>（1）有效的法人或者其他组织的营业执照等证明文件，自然人的身份证明（扫描件）</w:t>
      </w:r>
    </w:p>
    <w:p w14:paraId="44ABADC7">
      <w:pPr>
        <w:adjustRightInd w:val="0"/>
        <w:snapToGrid w:val="0"/>
        <w:spacing w:line="288" w:lineRule="auto"/>
        <w:ind w:firstLine="211"/>
        <w:rPr>
          <w:color w:val="auto"/>
          <w:sz w:val="21"/>
          <w:szCs w:val="21"/>
          <w:highlight w:val="none"/>
        </w:rPr>
      </w:pPr>
    </w:p>
    <w:p w14:paraId="14DA31C3">
      <w:pPr>
        <w:adjustRightInd w:val="0"/>
        <w:snapToGrid w:val="0"/>
        <w:spacing w:line="288" w:lineRule="auto"/>
        <w:ind w:firstLine="211"/>
        <w:rPr>
          <w:color w:val="auto"/>
          <w:sz w:val="21"/>
          <w:szCs w:val="21"/>
          <w:highlight w:val="none"/>
        </w:rPr>
      </w:pPr>
      <w:r>
        <w:rPr>
          <w:rFonts w:hint="eastAsia"/>
          <w:color w:val="auto"/>
          <w:sz w:val="21"/>
          <w:szCs w:val="21"/>
          <w:highlight w:val="none"/>
        </w:rPr>
        <w:t>说明：</w:t>
      </w:r>
    </w:p>
    <w:p w14:paraId="19F006D3">
      <w:pPr>
        <w:adjustRightInd w:val="0"/>
        <w:snapToGrid w:val="0"/>
        <w:spacing w:line="288" w:lineRule="auto"/>
        <w:ind w:firstLine="211"/>
        <w:rPr>
          <w:color w:val="auto"/>
          <w:sz w:val="21"/>
          <w:szCs w:val="21"/>
          <w:highlight w:val="none"/>
        </w:rPr>
      </w:pPr>
      <w:r>
        <w:rPr>
          <w:rFonts w:hint="eastAsia"/>
          <w:color w:val="auto"/>
          <w:sz w:val="21"/>
          <w:szCs w:val="21"/>
          <w:highlight w:val="none"/>
        </w:rPr>
        <w:t>1.如供应商是企业（包括合伙企业），提供在工商部门注册的有效“企业法人营业执照”或“营业执照”；</w:t>
      </w:r>
    </w:p>
    <w:p w14:paraId="4A871C1E">
      <w:pPr>
        <w:adjustRightInd w:val="0"/>
        <w:snapToGrid w:val="0"/>
        <w:spacing w:line="288" w:lineRule="auto"/>
        <w:ind w:firstLine="211"/>
        <w:rPr>
          <w:color w:val="auto"/>
          <w:sz w:val="21"/>
          <w:szCs w:val="21"/>
          <w:highlight w:val="none"/>
        </w:rPr>
      </w:pPr>
      <w:r>
        <w:rPr>
          <w:rFonts w:hint="eastAsia"/>
          <w:color w:val="auto"/>
          <w:sz w:val="21"/>
          <w:szCs w:val="21"/>
          <w:highlight w:val="none"/>
        </w:rPr>
        <w:t>2.如供应商是事业单位，提供有效的“事业单位法人证书”；</w:t>
      </w:r>
    </w:p>
    <w:p w14:paraId="2BC39391">
      <w:pPr>
        <w:adjustRightInd w:val="0"/>
        <w:snapToGrid w:val="0"/>
        <w:spacing w:line="288" w:lineRule="auto"/>
        <w:ind w:firstLine="211"/>
        <w:rPr>
          <w:color w:val="auto"/>
          <w:sz w:val="21"/>
          <w:szCs w:val="21"/>
          <w:highlight w:val="none"/>
        </w:rPr>
      </w:pPr>
      <w:r>
        <w:rPr>
          <w:rFonts w:hint="eastAsia"/>
          <w:color w:val="auto"/>
          <w:sz w:val="21"/>
          <w:szCs w:val="21"/>
          <w:highlight w:val="none"/>
        </w:rPr>
        <w:t>3.如供应商是非企业专业服务机构的，提供执业许可证等证明文件；</w:t>
      </w:r>
    </w:p>
    <w:p w14:paraId="7C2C9D0E">
      <w:pPr>
        <w:adjustRightInd w:val="0"/>
        <w:snapToGrid w:val="0"/>
        <w:spacing w:line="288" w:lineRule="auto"/>
        <w:ind w:firstLine="211"/>
        <w:rPr>
          <w:color w:val="auto"/>
          <w:sz w:val="21"/>
          <w:szCs w:val="21"/>
          <w:highlight w:val="none"/>
        </w:rPr>
      </w:pPr>
      <w:r>
        <w:rPr>
          <w:rFonts w:hint="eastAsia"/>
          <w:color w:val="auto"/>
          <w:sz w:val="21"/>
          <w:szCs w:val="21"/>
          <w:highlight w:val="none"/>
        </w:rPr>
        <w:t>4.如供应商是个体工商户，提供有效的“个体工商户营业执照”；</w:t>
      </w:r>
    </w:p>
    <w:p w14:paraId="13413B90">
      <w:pPr>
        <w:adjustRightInd w:val="0"/>
        <w:snapToGrid w:val="0"/>
        <w:spacing w:line="288" w:lineRule="auto"/>
        <w:ind w:firstLine="211"/>
        <w:rPr>
          <w:color w:val="auto"/>
          <w:sz w:val="21"/>
          <w:szCs w:val="21"/>
          <w:highlight w:val="none"/>
        </w:rPr>
      </w:pPr>
      <w:r>
        <w:rPr>
          <w:rFonts w:hint="eastAsia"/>
          <w:color w:val="auto"/>
          <w:sz w:val="21"/>
          <w:szCs w:val="21"/>
          <w:highlight w:val="none"/>
        </w:rPr>
        <w:t>5.如供应商是自然人，提供有效的自然人身份证明。</w:t>
      </w:r>
    </w:p>
    <w:p w14:paraId="13BE954F">
      <w:pPr>
        <w:adjustRightInd w:val="0"/>
        <w:snapToGrid w:val="0"/>
        <w:spacing w:line="288" w:lineRule="auto"/>
        <w:ind w:firstLine="211"/>
        <w:rPr>
          <w:color w:val="auto"/>
          <w:sz w:val="21"/>
          <w:szCs w:val="21"/>
          <w:highlight w:val="none"/>
        </w:rPr>
      </w:pPr>
      <w:r>
        <w:rPr>
          <w:rFonts w:hint="eastAsia"/>
          <w:color w:val="auto"/>
          <w:sz w:val="21"/>
          <w:szCs w:val="21"/>
          <w:highlight w:val="none"/>
        </w:rPr>
        <w:br w:type="page"/>
      </w:r>
    </w:p>
    <w:p w14:paraId="653F4BF9">
      <w:pPr>
        <w:adjustRightInd w:val="0"/>
        <w:snapToGrid w:val="0"/>
        <w:spacing w:line="288" w:lineRule="auto"/>
        <w:ind w:firstLine="199"/>
        <w:jc w:val="center"/>
        <w:outlineLvl w:val="2"/>
        <w:rPr>
          <w:rFonts w:cs="Times New Roman"/>
          <w:b/>
          <w:bCs/>
          <w:color w:val="auto"/>
          <w:sz w:val="21"/>
          <w:szCs w:val="21"/>
          <w:highlight w:val="none"/>
          <w:shd w:val="clear" w:color="auto" w:fill="FFFFFF"/>
        </w:rPr>
      </w:pPr>
      <w:r>
        <w:rPr>
          <w:rFonts w:hint="eastAsia" w:cs="Times New Roman"/>
          <w:b/>
          <w:color w:val="auto"/>
          <w:spacing w:val="-6"/>
          <w:sz w:val="21"/>
          <w:szCs w:val="21"/>
          <w:highlight w:val="none"/>
        </w:rPr>
        <w:t>（2）</w:t>
      </w:r>
      <w:r>
        <w:rPr>
          <w:rFonts w:hint="eastAsia" w:cs="Times New Roman"/>
          <w:b/>
          <w:bCs/>
          <w:color w:val="auto"/>
          <w:sz w:val="21"/>
          <w:szCs w:val="21"/>
          <w:highlight w:val="none"/>
        </w:rPr>
        <w:t>符合参加政府采购活动应当具备的一般条件的承诺函</w:t>
      </w:r>
    </w:p>
    <w:p w14:paraId="0402664C">
      <w:pPr>
        <w:adjustRightInd w:val="0"/>
        <w:snapToGrid w:val="0"/>
        <w:spacing w:line="288" w:lineRule="auto"/>
        <w:ind w:firstLine="211"/>
        <w:rPr>
          <w:rFonts w:cs="Times New Roman"/>
          <w:color w:val="auto"/>
          <w:sz w:val="21"/>
          <w:szCs w:val="21"/>
          <w:highlight w:val="none"/>
          <w:shd w:val="clear" w:color="auto" w:fill="FFFFFF"/>
        </w:rPr>
      </w:pPr>
    </w:p>
    <w:p w14:paraId="707CC1D0">
      <w:pPr>
        <w:adjustRightInd w:val="0"/>
        <w:snapToGrid w:val="0"/>
        <w:spacing w:line="288" w:lineRule="auto"/>
        <w:ind w:firstLine="199"/>
        <w:rPr>
          <w:rFonts w:cs="Times New Roman"/>
          <w:b/>
          <w:bCs/>
          <w:color w:val="auto"/>
          <w:spacing w:val="-6"/>
          <w:sz w:val="21"/>
          <w:szCs w:val="21"/>
          <w:highlight w:val="none"/>
        </w:rPr>
      </w:pPr>
      <w:r>
        <w:rPr>
          <w:rFonts w:hint="eastAsia" w:cs="Times New Roman"/>
          <w:b/>
          <w:bCs/>
          <w:color w:val="auto"/>
          <w:spacing w:val="-6"/>
          <w:sz w:val="21"/>
          <w:szCs w:val="21"/>
          <w:highlight w:val="none"/>
        </w:rPr>
        <w:t>致：浙江交通职业技术学院、浙江求是招标代理有限公司</w:t>
      </w:r>
    </w:p>
    <w:p w14:paraId="78F5E5CA">
      <w:pPr>
        <w:adjustRightInd w:val="0"/>
        <w:snapToGrid w:val="0"/>
        <w:spacing w:line="288" w:lineRule="auto"/>
        <w:ind w:firstLine="199"/>
        <w:rPr>
          <w:rFonts w:cs="Times New Roman"/>
          <w:color w:val="auto"/>
          <w:spacing w:val="-6"/>
          <w:sz w:val="21"/>
          <w:szCs w:val="21"/>
          <w:highlight w:val="none"/>
        </w:rPr>
      </w:pPr>
    </w:p>
    <w:p w14:paraId="2D07ABBD">
      <w:pPr>
        <w:adjustRightInd w:val="0"/>
        <w:snapToGrid w:val="0"/>
        <w:spacing w:line="288" w:lineRule="auto"/>
        <w:ind w:firstLine="396" w:firstLineChars="200"/>
        <w:rPr>
          <w:rFonts w:cs="Times New Roman"/>
          <w:color w:val="auto"/>
          <w:spacing w:val="-6"/>
          <w:sz w:val="21"/>
          <w:szCs w:val="21"/>
          <w:highlight w:val="none"/>
        </w:rPr>
      </w:pPr>
      <w:bookmarkStart w:id="52" w:name="_Hlk97040025"/>
      <w:r>
        <w:rPr>
          <w:rFonts w:hint="eastAsia" w:cs="Times New Roman"/>
          <w:color w:val="auto"/>
          <w:spacing w:val="-6"/>
          <w:sz w:val="21"/>
          <w:szCs w:val="21"/>
          <w:highlight w:val="none"/>
        </w:rPr>
        <w:t>我方</w:t>
      </w:r>
      <w:r>
        <w:rPr>
          <w:rFonts w:hint="eastAsia" w:cs="Times New Roman"/>
          <w:color w:val="auto"/>
          <w:spacing w:val="-6"/>
          <w:sz w:val="21"/>
          <w:szCs w:val="21"/>
          <w:highlight w:val="none"/>
          <w:u w:val="single"/>
        </w:rPr>
        <w:t xml:space="preserve">（供应商名称） </w:t>
      </w:r>
      <w:r>
        <w:rPr>
          <w:rFonts w:cs="Times New Roman"/>
          <w:color w:val="auto"/>
          <w:spacing w:val="-6"/>
          <w:sz w:val="21"/>
          <w:szCs w:val="21"/>
          <w:highlight w:val="none"/>
          <w:u w:val="single"/>
        </w:rPr>
        <w:t xml:space="preserve">     </w:t>
      </w:r>
      <w:r>
        <w:rPr>
          <w:rFonts w:hint="eastAsia" w:cs="Times New Roman"/>
          <w:color w:val="auto"/>
          <w:spacing w:val="-6"/>
          <w:sz w:val="21"/>
          <w:szCs w:val="21"/>
          <w:highlight w:val="none"/>
          <w:u w:val="single"/>
        </w:rPr>
        <w:t xml:space="preserve"> </w:t>
      </w:r>
      <w:r>
        <w:rPr>
          <w:rFonts w:cs="Times New Roman"/>
          <w:color w:val="auto"/>
          <w:spacing w:val="-6"/>
          <w:sz w:val="21"/>
          <w:szCs w:val="21"/>
          <w:highlight w:val="none"/>
          <w:u w:val="single"/>
        </w:rPr>
        <w:t xml:space="preserve"> </w:t>
      </w:r>
      <w:r>
        <w:rPr>
          <w:rFonts w:hint="eastAsia" w:cs="Times New Roman"/>
          <w:color w:val="auto"/>
          <w:spacing w:val="-6"/>
          <w:sz w:val="21"/>
          <w:szCs w:val="21"/>
          <w:highlight w:val="none"/>
        </w:rPr>
        <w:t>参加</w:t>
      </w:r>
      <w:r>
        <w:rPr>
          <w:rFonts w:hint="eastAsia" w:cs="Times New Roman"/>
          <w:color w:val="auto"/>
          <w:spacing w:val="-6"/>
          <w:sz w:val="21"/>
          <w:szCs w:val="21"/>
          <w:highlight w:val="none"/>
          <w:u w:val="single"/>
        </w:rPr>
        <w:t xml:space="preserve">（项目名称） </w:t>
      </w:r>
      <w:r>
        <w:rPr>
          <w:rFonts w:cs="Times New Roman"/>
          <w:color w:val="auto"/>
          <w:spacing w:val="-6"/>
          <w:sz w:val="21"/>
          <w:szCs w:val="21"/>
          <w:highlight w:val="none"/>
          <w:u w:val="single"/>
        </w:rPr>
        <w:t xml:space="preserve">      </w:t>
      </w:r>
      <w:r>
        <w:rPr>
          <w:rFonts w:hint="eastAsia" w:cs="Times New Roman"/>
          <w:color w:val="auto"/>
          <w:spacing w:val="-6"/>
          <w:sz w:val="21"/>
          <w:szCs w:val="21"/>
          <w:highlight w:val="none"/>
          <w:u w:val="single"/>
        </w:rPr>
        <w:t xml:space="preserve"> </w:t>
      </w:r>
      <w:r>
        <w:rPr>
          <w:rFonts w:hint="eastAsia" w:cs="Times New Roman"/>
          <w:color w:val="auto"/>
          <w:spacing w:val="-6"/>
          <w:sz w:val="21"/>
          <w:szCs w:val="21"/>
          <w:highlight w:val="none"/>
        </w:rPr>
        <w:t>项目的采购活动并承诺如下：</w:t>
      </w:r>
    </w:p>
    <w:p w14:paraId="21246C45">
      <w:pPr>
        <w:adjustRightInd w:val="0"/>
        <w:snapToGrid w:val="0"/>
        <w:spacing w:line="288" w:lineRule="auto"/>
        <w:ind w:firstLine="396" w:firstLineChars="200"/>
        <w:rPr>
          <w:rFonts w:cs="Times New Roman"/>
          <w:color w:val="auto"/>
          <w:spacing w:val="-6"/>
          <w:sz w:val="21"/>
          <w:szCs w:val="21"/>
          <w:highlight w:val="none"/>
        </w:rPr>
      </w:pPr>
      <w:r>
        <w:rPr>
          <w:rFonts w:hint="eastAsia" w:cs="Times New Roman"/>
          <w:color w:val="auto"/>
          <w:spacing w:val="-6"/>
          <w:sz w:val="21"/>
          <w:szCs w:val="21"/>
          <w:highlight w:val="none"/>
        </w:rPr>
        <w:t>一、我方满足《中华人民共和国政府采购法》第二十二条规定：</w:t>
      </w:r>
    </w:p>
    <w:p w14:paraId="7E68EF53">
      <w:pPr>
        <w:adjustRightInd w:val="0"/>
        <w:snapToGrid w:val="0"/>
        <w:spacing w:line="288" w:lineRule="auto"/>
        <w:ind w:firstLine="396" w:firstLineChars="200"/>
        <w:rPr>
          <w:rFonts w:cs="Times New Roman"/>
          <w:color w:val="auto"/>
          <w:spacing w:val="-6"/>
          <w:sz w:val="21"/>
          <w:szCs w:val="21"/>
          <w:highlight w:val="none"/>
        </w:rPr>
      </w:pPr>
      <w:r>
        <w:rPr>
          <w:rFonts w:hint="eastAsia" w:cs="Times New Roman"/>
          <w:color w:val="auto"/>
          <w:spacing w:val="-6"/>
          <w:sz w:val="21"/>
          <w:szCs w:val="21"/>
          <w:highlight w:val="none"/>
        </w:rPr>
        <w:t>（一）具有独立承担民事责任的能力；</w:t>
      </w:r>
    </w:p>
    <w:p w14:paraId="3853BA7B">
      <w:pPr>
        <w:adjustRightInd w:val="0"/>
        <w:snapToGrid w:val="0"/>
        <w:spacing w:line="288" w:lineRule="auto"/>
        <w:ind w:firstLine="396" w:firstLineChars="200"/>
        <w:rPr>
          <w:rFonts w:cs="Times New Roman"/>
          <w:color w:val="auto"/>
          <w:spacing w:val="-6"/>
          <w:sz w:val="21"/>
          <w:szCs w:val="21"/>
          <w:highlight w:val="none"/>
        </w:rPr>
      </w:pPr>
      <w:r>
        <w:rPr>
          <w:rFonts w:hint="eastAsia" w:cs="Times New Roman"/>
          <w:color w:val="auto"/>
          <w:spacing w:val="-6"/>
          <w:sz w:val="21"/>
          <w:szCs w:val="21"/>
          <w:highlight w:val="none"/>
        </w:rPr>
        <w:t>（二）具有良好的商业信誉和健全的财务会计制度；</w:t>
      </w:r>
    </w:p>
    <w:p w14:paraId="4B3360AB">
      <w:pPr>
        <w:adjustRightInd w:val="0"/>
        <w:snapToGrid w:val="0"/>
        <w:spacing w:line="288" w:lineRule="auto"/>
        <w:ind w:firstLine="396" w:firstLineChars="200"/>
        <w:rPr>
          <w:rFonts w:cs="Times New Roman"/>
          <w:color w:val="auto"/>
          <w:spacing w:val="-6"/>
          <w:sz w:val="21"/>
          <w:szCs w:val="21"/>
          <w:highlight w:val="none"/>
        </w:rPr>
      </w:pPr>
      <w:r>
        <w:rPr>
          <w:rFonts w:hint="eastAsia" w:cs="Times New Roman"/>
          <w:color w:val="auto"/>
          <w:spacing w:val="-6"/>
          <w:sz w:val="21"/>
          <w:szCs w:val="21"/>
          <w:highlight w:val="none"/>
        </w:rPr>
        <w:t>（三）具有履行合同所必需的设备和专业技术能力；</w:t>
      </w:r>
    </w:p>
    <w:p w14:paraId="4E90B129">
      <w:pPr>
        <w:adjustRightInd w:val="0"/>
        <w:snapToGrid w:val="0"/>
        <w:spacing w:line="288" w:lineRule="auto"/>
        <w:ind w:firstLine="396" w:firstLineChars="200"/>
        <w:rPr>
          <w:rFonts w:cs="Times New Roman"/>
          <w:color w:val="auto"/>
          <w:spacing w:val="-6"/>
          <w:sz w:val="21"/>
          <w:szCs w:val="21"/>
          <w:highlight w:val="none"/>
        </w:rPr>
      </w:pPr>
      <w:r>
        <w:rPr>
          <w:rFonts w:hint="eastAsia" w:cs="Times New Roman"/>
          <w:color w:val="auto"/>
          <w:spacing w:val="-6"/>
          <w:sz w:val="21"/>
          <w:szCs w:val="21"/>
          <w:highlight w:val="none"/>
        </w:rPr>
        <w:t>（四）有依法缴纳税收和社会保障资金的良好记录；</w:t>
      </w:r>
    </w:p>
    <w:p w14:paraId="0B29F835">
      <w:pPr>
        <w:adjustRightInd w:val="0"/>
        <w:snapToGrid w:val="0"/>
        <w:spacing w:line="288" w:lineRule="auto"/>
        <w:ind w:firstLine="396" w:firstLineChars="200"/>
        <w:rPr>
          <w:rFonts w:cs="Times New Roman"/>
          <w:color w:val="auto"/>
          <w:spacing w:val="-6"/>
          <w:sz w:val="21"/>
          <w:szCs w:val="21"/>
          <w:highlight w:val="none"/>
        </w:rPr>
      </w:pPr>
      <w:r>
        <w:rPr>
          <w:rFonts w:hint="eastAsia" w:cs="Times New Roman"/>
          <w:color w:val="auto"/>
          <w:spacing w:val="-6"/>
          <w:sz w:val="21"/>
          <w:szCs w:val="21"/>
          <w:highlight w:val="none"/>
        </w:rPr>
        <w:t>（五）参加本项目政府采购活动前三年内，在经营活动中</w:t>
      </w:r>
      <w:r>
        <w:rPr>
          <w:rFonts w:hint="eastAsia" w:cs="Times New Roman"/>
          <w:b/>
          <w:color w:val="auto"/>
          <w:spacing w:val="-6"/>
          <w:sz w:val="21"/>
          <w:szCs w:val="21"/>
          <w:highlight w:val="none"/>
          <w:u w:val="single"/>
        </w:rPr>
        <w:t xml:space="preserve">  没有  </w:t>
      </w:r>
      <w:r>
        <w:rPr>
          <w:rFonts w:hint="eastAsia" w:cs="Times New Roman"/>
          <w:color w:val="auto"/>
          <w:spacing w:val="-6"/>
          <w:sz w:val="21"/>
          <w:szCs w:val="21"/>
          <w:highlight w:val="none"/>
        </w:rPr>
        <w:t>重大违法记录。（重大违法记录是指供应商因违法经营受到刑事处罚或者责令停产停业、吊销许可证或者执照、较大数额罚款等行政处罚）</w:t>
      </w:r>
    </w:p>
    <w:p w14:paraId="60F42092">
      <w:pPr>
        <w:adjustRightInd w:val="0"/>
        <w:snapToGrid w:val="0"/>
        <w:spacing w:line="288" w:lineRule="auto"/>
        <w:ind w:firstLine="396" w:firstLineChars="200"/>
        <w:rPr>
          <w:rFonts w:cs="Times New Roman"/>
          <w:color w:val="auto"/>
          <w:spacing w:val="-6"/>
          <w:sz w:val="21"/>
          <w:szCs w:val="21"/>
          <w:highlight w:val="none"/>
        </w:rPr>
      </w:pPr>
      <w:r>
        <w:rPr>
          <w:rFonts w:hint="eastAsia" w:cs="Times New Roman"/>
          <w:color w:val="auto"/>
          <w:spacing w:val="-6"/>
          <w:sz w:val="21"/>
          <w:szCs w:val="21"/>
          <w:highlight w:val="none"/>
        </w:rPr>
        <w:t>（六）法律、行政法规规定的其他条件。</w:t>
      </w:r>
    </w:p>
    <w:p w14:paraId="0923D850">
      <w:pPr>
        <w:adjustRightInd w:val="0"/>
        <w:snapToGrid w:val="0"/>
        <w:spacing w:line="288" w:lineRule="auto"/>
        <w:ind w:firstLine="396" w:firstLineChars="200"/>
        <w:rPr>
          <w:rFonts w:cs="Times New Roman"/>
          <w:color w:val="auto"/>
          <w:spacing w:val="-6"/>
          <w:sz w:val="21"/>
          <w:szCs w:val="21"/>
          <w:highlight w:val="none"/>
        </w:rPr>
      </w:pPr>
      <w:r>
        <w:rPr>
          <w:rFonts w:hint="eastAsia" w:cs="Times New Roman"/>
          <w:color w:val="auto"/>
          <w:spacing w:val="-6"/>
          <w:sz w:val="21"/>
          <w:szCs w:val="21"/>
          <w:highlight w:val="none"/>
        </w:rPr>
        <w:t>二、未被信用中国（</w:t>
      </w:r>
      <w:r>
        <w:rPr>
          <w:rFonts w:cs="Times New Roman"/>
          <w:color w:val="auto"/>
          <w:spacing w:val="-6"/>
          <w:sz w:val="21"/>
          <w:szCs w:val="21"/>
          <w:highlight w:val="none"/>
        </w:rPr>
        <w:t>www.creditchina.gov.cn)、中国政府采购网（www.ccgp.gov.cn）列入失信被执行人、重大税收违法案件当事人名单、政府采购严重违法失信行为记录名单。</w:t>
      </w:r>
    </w:p>
    <w:p w14:paraId="7B6BCDAD">
      <w:pPr>
        <w:adjustRightInd w:val="0"/>
        <w:snapToGrid w:val="0"/>
        <w:spacing w:line="288" w:lineRule="auto"/>
        <w:ind w:firstLine="396" w:firstLineChars="200"/>
        <w:rPr>
          <w:rFonts w:cs="Times New Roman"/>
          <w:color w:val="auto"/>
          <w:spacing w:val="-6"/>
          <w:sz w:val="21"/>
          <w:szCs w:val="21"/>
          <w:highlight w:val="none"/>
        </w:rPr>
      </w:pPr>
      <w:r>
        <w:rPr>
          <w:rFonts w:hint="eastAsia" w:cs="Times New Roman"/>
          <w:color w:val="auto"/>
          <w:spacing w:val="-6"/>
          <w:sz w:val="21"/>
          <w:szCs w:val="21"/>
          <w:highlight w:val="none"/>
        </w:rPr>
        <w:t>三、不存在以下情况：</w:t>
      </w:r>
    </w:p>
    <w:p w14:paraId="5BC55089">
      <w:pPr>
        <w:adjustRightInd w:val="0"/>
        <w:snapToGrid w:val="0"/>
        <w:spacing w:line="288" w:lineRule="auto"/>
        <w:ind w:firstLine="396" w:firstLineChars="200"/>
        <w:rPr>
          <w:rFonts w:cs="Times New Roman"/>
          <w:color w:val="auto"/>
          <w:spacing w:val="-6"/>
          <w:sz w:val="21"/>
          <w:szCs w:val="21"/>
          <w:highlight w:val="none"/>
        </w:rPr>
      </w:pPr>
      <w:r>
        <w:rPr>
          <w:rFonts w:hint="eastAsia" w:cs="Times New Roman"/>
          <w:color w:val="auto"/>
          <w:spacing w:val="-6"/>
          <w:sz w:val="21"/>
          <w:szCs w:val="21"/>
          <w:highlight w:val="none"/>
        </w:rPr>
        <w:t>1、</w:t>
      </w:r>
      <w:r>
        <w:rPr>
          <w:rFonts w:cs="Times New Roman"/>
          <w:color w:val="auto"/>
          <w:spacing w:val="-6"/>
          <w:sz w:val="21"/>
          <w:szCs w:val="21"/>
          <w:highlight w:val="none"/>
        </w:rPr>
        <w:t>单位负责人为同一人或者存在直接控股、管理关系的不同供应商参加同一合同项下的政府采购活动的；</w:t>
      </w:r>
    </w:p>
    <w:p w14:paraId="1A792562">
      <w:pPr>
        <w:adjustRightInd w:val="0"/>
        <w:snapToGrid w:val="0"/>
        <w:spacing w:line="288" w:lineRule="auto"/>
        <w:ind w:firstLine="396" w:firstLineChars="200"/>
        <w:rPr>
          <w:rFonts w:cs="Times New Roman"/>
          <w:color w:val="auto"/>
          <w:spacing w:val="-6"/>
          <w:sz w:val="21"/>
          <w:szCs w:val="21"/>
          <w:highlight w:val="none"/>
        </w:rPr>
      </w:pPr>
      <w:r>
        <w:rPr>
          <w:rFonts w:hint="eastAsia" w:cs="Times New Roman"/>
          <w:color w:val="auto"/>
          <w:spacing w:val="-6"/>
          <w:sz w:val="21"/>
          <w:szCs w:val="21"/>
          <w:highlight w:val="none"/>
        </w:rPr>
        <w:t>2、</w:t>
      </w:r>
      <w:r>
        <w:rPr>
          <w:rFonts w:cs="Times New Roman"/>
          <w:color w:val="auto"/>
          <w:spacing w:val="-6"/>
          <w:sz w:val="21"/>
          <w:szCs w:val="21"/>
          <w:highlight w:val="none"/>
        </w:rPr>
        <w:t>为采购项目提供整体设计、规范编制或者项目管理、监理、检测等服务后再参加该采购项目的其他采购活动的。</w:t>
      </w:r>
    </w:p>
    <w:p w14:paraId="26F53B7B">
      <w:pPr>
        <w:adjustRightInd w:val="0"/>
        <w:snapToGrid w:val="0"/>
        <w:spacing w:line="288" w:lineRule="auto"/>
        <w:ind w:firstLine="396" w:firstLineChars="200"/>
        <w:rPr>
          <w:rFonts w:cs="Times New Roman"/>
          <w:color w:val="auto"/>
          <w:spacing w:val="-6"/>
          <w:sz w:val="21"/>
          <w:szCs w:val="21"/>
          <w:highlight w:val="none"/>
        </w:rPr>
      </w:pPr>
      <w:r>
        <w:rPr>
          <w:rFonts w:hint="eastAsia" w:cs="Times New Roman"/>
          <w:color w:val="auto"/>
          <w:spacing w:val="-6"/>
          <w:sz w:val="21"/>
          <w:szCs w:val="21"/>
          <w:highlight w:val="none"/>
        </w:rPr>
        <w:t>四、</w:t>
      </w:r>
      <w:r>
        <w:rPr>
          <w:rFonts w:cs="Times New Roman"/>
          <w:color w:val="auto"/>
          <w:spacing w:val="-6"/>
          <w:sz w:val="21"/>
          <w:szCs w:val="21"/>
          <w:highlight w:val="none"/>
        </w:rPr>
        <w:t>以上事项如有虚假或隐瞒，我方愿意承担一切后果和责任。</w:t>
      </w:r>
    </w:p>
    <w:p w14:paraId="3652D383">
      <w:pPr>
        <w:adjustRightInd w:val="0"/>
        <w:snapToGrid w:val="0"/>
        <w:spacing w:line="288" w:lineRule="auto"/>
        <w:ind w:firstLine="211"/>
        <w:rPr>
          <w:rFonts w:cs="Times New Roman"/>
          <w:color w:val="auto"/>
          <w:sz w:val="21"/>
          <w:szCs w:val="21"/>
          <w:highlight w:val="none"/>
        </w:rPr>
      </w:pPr>
    </w:p>
    <w:p w14:paraId="6BE4A77F">
      <w:pPr>
        <w:adjustRightInd w:val="0"/>
        <w:snapToGrid w:val="0"/>
        <w:spacing w:line="288" w:lineRule="auto"/>
        <w:ind w:firstLine="199"/>
        <w:rPr>
          <w:rFonts w:cs="Times New Roman"/>
          <w:b/>
          <w:bCs/>
          <w:color w:val="auto"/>
          <w:spacing w:val="-6"/>
          <w:sz w:val="21"/>
          <w:szCs w:val="21"/>
          <w:highlight w:val="none"/>
        </w:rPr>
      </w:pPr>
      <w:r>
        <w:rPr>
          <w:rFonts w:hint="eastAsia" w:cs="Times New Roman"/>
          <w:b/>
          <w:bCs/>
          <w:color w:val="auto"/>
          <w:spacing w:val="-6"/>
          <w:sz w:val="21"/>
          <w:szCs w:val="21"/>
          <w:highlight w:val="none"/>
        </w:rPr>
        <w:t>供应商名称（</w:t>
      </w:r>
      <w:r>
        <w:rPr>
          <w:rFonts w:cs="Times New Roman"/>
          <w:b/>
          <w:bCs/>
          <w:color w:val="auto"/>
          <w:spacing w:val="-6"/>
          <w:sz w:val="21"/>
          <w:szCs w:val="21"/>
          <w:highlight w:val="none"/>
        </w:rPr>
        <w:t>电子签名/公章</w:t>
      </w:r>
      <w:r>
        <w:rPr>
          <w:rFonts w:hint="eastAsia" w:cs="Times New Roman"/>
          <w:b/>
          <w:bCs/>
          <w:color w:val="auto"/>
          <w:spacing w:val="-6"/>
          <w:sz w:val="21"/>
          <w:szCs w:val="21"/>
          <w:highlight w:val="none"/>
        </w:rPr>
        <w:t>）：</w:t>
      </w:r>
    </w:p>
    <w:p w14:paraId="4C33F483">
      <w:pPr>
        <w:adjustRightInd w:val="0"/>
        <w:snapToGrid w:val="0"/>
        <w:spacing w:line="288" w:lineRule="auto"/>
        <w:ind w:firstLine="199"/>
        <w:rPr>
          <w:rFonts w:cs="Times New Roman"/>
          <w:b/>
          <w:bCs/>
          <w:color w:val="auto"/>
          <w:spacing w:val="-6"/>
          <w:sz w:val="21"/>
          <w:szCs w:val="21"/>
          <w:highlight w:val="none"/>
        </w:rPr>
      </w:pPr>
      <w:r>
        <w:rPr>
          <w:rFonts w:hint="eastAsia" w:cs="Times New Roman"/>
          <w:b/>
          <w:bCs/>
          <w:color w:val="auto"/>
          <w:spacing w:val="-6"/>
          <w:sz w:val="21"/>
          <w:szCs w:val="21"/>
          <w:highlight w:val="none"/>
        </w:rPr>
        <w:t>日期：     年   月   日</w:t>
      </w:r>
    </w:p>
    <w:bookmarkEnd w:id="52"/>
    <w:p w14:paraId="7FB7B7D9">
      <w:pPr>
        <w:widowControl/>
        <w:adjustRightInd w:val="0"/>
        <w:snapToGrid w:val="0"/>
        <w:spacing w:line="288" w:lineRule="auto"/>
        <w:ind w:firstLine="211"/>
        <w:jc w:val="left"/>
        <w:rPr>
          <w:color w:val="auto"/>
          <w:sz w:val="21"/>
          <w:szCs w:val="21"/>
          <w:highlight w:val="none"/>
        </w:rPr>
      </w:pPr>
      <w:r>
        <w:rPr>
          <w:color w:val="auto"/>
          <w:sz w:val="21"/>
          <w:szCs w:val="21"/>
          <w:highlight w:val="none"/>
        </w:rPr>
        <w:br w:type="page"/>
      </w:r>
    </w:p>
    <w:p w14:paraId="28F43F4F">
      <w:pPr>
        <w:adjustRightInd w:val="0"/>
        <w:snapToGrid w:val="0"/>
        <w:spacing w:line="288" w:lineRule="auto"/>
        <w:ind w:firstLine="199"/>
        <w:jc w:val="left"/>
        <w:outlineLvl w:val="2"/>
        <w:rPr>
          <w:b/>
          <w:color w:val="auto"/>
          <w:spacing w:val="-6"/>
          <w:sz w:val="21"/>
          <w:szCs w:val="21"/>
          <w:highlight w:val="none"/>
        </w:rPr>
      </w:pPr>
      <w:r>
        <w:rPr>
          <w:rFonts w:hint="eastAsia"/>
          <w:b/>
          <w:color w:val="auto"/>
          <w:spacing w:val="-6"/>
          <w:sz w:val="21"/>
          <w:szCs w:val="21"/>
          <w:highlight w:val="none"/>
        </w:rPr>
        <w:t>（</w:t>
      </w:r>
      <w:r>
        <w:rPr>
          <w:b/>
          <w:color w:val="auto"/>
          <w:spacing w:val="-6"/>
          <w:sz w:val="21"/>
          <w:szCs w:val="21"/>
          <w:highlight w:val="none"/>
        </w:rPr>
        <w:t>3）落实政府采购政策需满足的资格要求</w:t>
      </w:r>
    </w:p>
    <w:p w14:paraId="7BCCF7F3">
      <w:pPr>
        <w:adjustRightInd w:val="0"/>
        <w:snapToGrid w:val="0"/>
        <w:spacing w:line="288" w:lineRule="auto"/>
        <w:ind w:firstLine="498" w:firstLineChars="236"/>
        <w:jc w:val="center"/>
        <w:outlineLvl w:val="2"/>
        <w:rPr>
          <w:b/>
          <w:bCs/>
          <w:color w:val="auto"/>
          <w:sz w:val="21"/>
          <w:szCs w:val="21"/>
          <w:highlight w:val="none"/>
        </w:rPr>
      </w:pPr>
      <w:r>
        <w:rPr>
          <w:rFonts w:hint="eastAsia"/>
          <w:b/>
          <w:bCs/>
          <w:color w:val="auto"/>
          <w:sz w:val="21"/>
          <w:szCs w:val="21"/>
          <w:highlight w:val="none"/>
        </w:rPr>
        <w:t>1）</w:t>
      </w:r>
      <w:r>
        <w:rPr>
          <w:b/>
          <w:bCs/>
          <w:color w:val="auto"/>
          <w:sz w:val="21"/>
          <w:szCs w:val="21"/>
          <w:highlight w:val="none"/>
        </w:rPr>
        <w:t>中小企业声明函（工程、服务）</w:t>
      </w:r>
      <w:r>
        <w:rPr>
          <w:rFonts w:hint="eastAsia"/>
          <w:b/>
          <w:bCs/>
          <w:color w:val="auto"/>
          <w:sz w:val="21"/>
          <w:szCs w:val="21"/>
          <w:highlight w:val="none"/>
        </w:rPr>
        <w:t>（若属于中小企业）</w:t>
      </w:r>
    </w:p>
    <w:p w14:paraId="4C00073D">
      <w:pPr>
        <w:adjustRightInd w:val="0"/>
        <w:snapToGrid w:val="0"/>
        <w:spacing w:line="288" w:lineRule="auto"/>
        <w:ind w:firstLine="498" w:firstLineChars="236"/>
        <w:rPr>
          <w:b/>
          <w:color w:val="auto"/>
          <w:sz w:val="21"/>
          <w:szCs w:val="21"/>
          <w:highlight w:val="none"/>
        </w:rPr>
      </w:pPr>
    </w:p>
    <w:p w14:paraId="2B5285D4">
      <w:pPr>
        <w:adjustRightInd w:val="0"/>
        <w:snapToGrid w:val="0"/>
        <w:spacing w:line="288" w:lineRule="auto"/>
        <w:ind w:firstLine="495" w:firstLineChars="236"/>
        <w:rPr>
          <w:color w:val="auto"/>
          <w:sz w:val="21"/>
          <w:szCs w:val="21"/>
          <w:highlight w:val="none"/>
        </w:rPr>
      </w:pPr>
      <w:r>
        <w:rPr>
          <w:color w:val="auto"/>
          <w:sz w:val="21"/>
          <w:szCs w:val="21"/>
          <w:highlight w:val="none"/>
        </w:rPr>
        <w:t>本公司（联合体）郑重声明，根据《政府采购促进中小企业发展管理办法》（财库</w:t>
      </w:r>
      <w:r>
        <w:rPr>
          <w:rFonts w:hint="eastAsia"/>
          <w:color w:val="auto"/>
          <w:sz w:val="21"/>
          <w:szCs w:val="21"/>
          <w:highlight w:val="none"/>
        </w:rPr>
        <w:t>﹝</w:t>
      </w:r>
      <w:r>
        <w:rPr>
          <w:color w:val="auto"/>
          <w:sz w:val="21"/>
          <w:szCs w:val="21"/>
          <w:highlight w:val="none"/>
        </w:rPr>
        <w:t>2020</w:t>
      </w:r>
      <w:r>
        <w:rPr>
          <w:rFonts w:hint="eastAsia"/>
          <w:color w:val="auto"/>
          <w:sz w:val="21"/>
          <w:szCs w:val="21"/>
          <w:highlight w:val="none"/>
        </w:rPr>
        <w:t>﹞</w:t>
      </w:r>
      <w:r>
        <w:rPr>
          <w:color w:val="auto"/>
          <w:sz w:val="21"/>
          <w:szCs w:val="21"/>
          <w:highlight w:val="none"/>
        </w:rPr>
        <w:t>46 号）的规定，本公司（联合体）参加</w:t>
      </w:r>
      <w:r>
        <w:rPr>
          <w:rFonts w:hint="eastAsia"/>
          <w:color w:val="auto"/>
          <w:sz w:val="21"/>
          <w:szCs w:val="21"/>
          <w:highlight w:val="none"/>
          <w:u w:val="single"/>
        </w:rPr>
        <w:t xml:space="preserve"> </w:t>
      </w:r>
      <w:r>
        <w:rPr>
          <w:color w:val="auto"/>
          <w:sz w:val="21"/>
          <w:szCs w:val="21"/>
          <w:highlight w:val="none"/>
          <w:u w:val="single"/>
        </w:rPr>
        <w:t xml:space="preserve">      </w:t>
      </w:r>
      <w:r>
        <w:rPr>
          <w:i/>
          <w:color w:val="auto"/>
          <w:sz w:val="21"/>
          <w:szCs w:val="21"/>
          <w:highlight w:val="none"/>
          <w:u w:val="single"/>
        </w:rPr>
        <w:t>（单位名称）</w:t>
      </w:r>
      <w:r>
        <w:rPr>
          <w:color w:val="auto"/>
          <w:sz w:val="21"/>
          <w:szCs w:val="21"/>
          <w:highlight w:val="none"/>
        </w:rPr>
        <w:t>的</w:t>
      </w:r>
      <w:r>
        <w:rPr>
          <w:rFonts w:hint="eastAsia"/>
          <w:color w:val="auto"/>
          <w:sz w:val="21"/>
          <w:szCs w:val="21"/>
          <w:highlight w:val="none"/>
          <w:u w:val="single"/>
        </w:rPr>
        <w:t xml:space="preserve"> </w:t>
      </w:r>
      <w:r>
        <w:rPr>
          <w:color w:val="auto"/>
          <w:sz w:val="21"/>
          <w:szCs w:val="21"/>
          <w:highlight w:val="none"/>
          <w:u w:val="single"/>
        </w:rPr>
        <w:t xml:space="preserve">      </w:t>
      </w:r>
      <w:r>
        <w:rPr>
          <w:i/>
          <w:color w:val="auto"/>
          <w:sz w:val="21"/>
          <w:szCs w:val="21"/>
          <w:highlight w:val="none"/>
          <w:u w:val="single"/>
        </w:rPr>
        <w:t>（项目名称）</w:t>
      </w:r>
      <w:r>
        <w:rPr>
          <w:color w:val="auto"/>
          <w:sz w:val="21"/>
          <w:szCs w:val="21"/>
          <w:highlight w:val="none"/>
        </w:rPr>
        <w:t>采购活动，工程的施工单位全部为符合政策要求的中小企业。相关企业（含联合体中的中小企业、签订分包意向协议的中小企业）的具体情况如下：</w:t>
      </w:r>
    </w:p>
    <w:p w14:paraId="10E92115">
      <w:pPr>
        <w:adjustRightInd w:val="0"/>
        <w:snapToGrid w:val="0"/>
        <w:spacing w:line="288" w:lineRule="auto"/>
        <w:ind w:firstLine="495" w:firstLineChars="236"/>
        <w:rPr>
          <w:i/>
          <w:color w:val="auto"/>
          <w:sz w:val="21"/>
          <w:szCs w:val="21"/>
          <w:highlight w:val="none"/>
          <w:u w:val="single"/>
        </w:rPr>
      </w:pPr>
      <w:r>
        <w:rPr>
          <w:rFonts w:hint="eastAsia"/>
          <w:i/>
          <w:color w:val="auto"/>
          <w:sz w:val="21"/>
          <w:szCs w:val="21"/>
          <w:highlight w:val="none"/>
          <w:u w:val="single"/>
        </w:rPr>
        <w:t>1</w:t>
      </w:r>
      <w:r>
        <w:rPr>
          <w:i/>
          <w:color w:val="auto"/>
          <w:sz w:val="21"/>
          <w:szCs w:val="21"/>
          <w:highlight w:val="none"/>
          <w:u w:val="single"/>
        </w:rPr>
        <w:t>.</w:t>
      </w:r>
      <w:r>
        <w:rPr>
          <w:rFonts w:hint="eastAsia"/>
          <w:color w:val="auto"/>
          <w:sz w:val="21"/>
          <w:szCs w:val="21"/>
          <w:highlight w:val="none"/>
          <w:u w:val="single"/>
        </w:rPr>
        <w:t xml:space="preserve"> </w:t>
      </w:r>
      <w:r>
        <w:rPr>
          <w:color w:val="auto"/>
          <w:sz w:val="21"/>
          <w:szCs w:val="21"/>
          <w:highlight w:val="none"/>
          <w:u w:val="single"/>
        </w:rPr>
        <w:t xml:space="preserve">      </w:t>
      </w:r>
      <w:r>
        <w:rPr>
          <w:i/>
          <w:color w:val="auto"/>
          <w:sz w:val="21"/>
          <w:szCs w:val="21"/>
          <w:highlight w:val="none"/>
          <w:u w:val="single"/>
        </w:rPr>
        <w:t>（标的名称），属于</w:t>
      </w:r>
      <w:r>
        <w:rPr>
          <w:rFonts w:hint="eastAsia"/>
          <w:color w:val="auto"/>
          <w:sz w:val="21"/>
          <w:szCs w:val="21"/>
          <w:highlight w:val="none"/>
          <w:u w:val="single"/>
        </w:rPr>
        <w:t xml:space="preserve"> </w:t>
      </w:r>
      <w:r>
        <w:rPr>
          <w:color w:val="auto"/>
          <w:sz w:val="21"/>
          <w:szCs w:val="21"/>
          <w:highlight w:val="none"/>
          <w:u w:val="single"/>
        </w:rPr>
        <w:t xml:space="preserve">      </w:t>
      </w:r>
      <w:r>
        <w:rPr>
          <w:i/>
          <w:color w:val="auto"/>
          <w:sz w:val="21"/>
          <w:szCs w:val="21"/>
          <w:highlight w:val="none"/>
          <w:u w:val="single"/>
        </w:rPr>
        <w:t>（采购文件中明确的所属行业）；</w:t>
      </w:r>
      <w:r>
        <w:rPr>
          <w:color w:val="auto"/>
          <w:sz w:val="21"/>
          <w:szCs w:val="21"/>
          <w:highlight w:val="none"/>
        </w:rPr>
        <w:t>承建（承接）企业为</w:t>
      </w:r>
      <w:r>
        <w:rPr>
          <w:i/>
          <w:color w:val="auto"/>
          <w:sz w:val="21"/>
          <w:szCs w:val="21"/>
          <w:highlight w:val="none"/>
          <w:u w:val="single"/>
        </w:rPr>
        <w:t>（企业名称）</w:t>
      </w:r>
      <w:r>
        <w:rPr>
          <w:color w:val="auto"/>
          <w:sz w:val="21"/>
          <w:szCs w:val="21"/>
          <w:highlight w:val="none"/>
        </w:rPr>
        <w:t>，从业人员</w:t>
      </w:r>
      <w:r>
        <w:rPr>
          <w:color w:val="auto"/>
          <w:sz w:val="21"/>
          <w:szCs w:val="21"/>
          <w:highlight w:val="none"/>
          <w:u w:val="single"/>
        </w:rPr>
        <w:t xml:space="preserve"> </w:t>
      </w:r>
      <w:r>
        <w:rPr>
          <w:color w:val="auto"/>
          <w:sz w:val="21"/>
          <w:szCs w:val="21"/>
          <w:highlight w:val="none"/>
          <w:u w:val="single"/>
        </w:rPr>
        <w:tab/>
      </w:r>
      <w:r>
        <w:rPr>
          <w:color w:val="auto"/>
          <w:sz w:val="21"/>
          <w:szCs w:val="21"/>
          <w:highlight w:val="none"/>
        </w:rPr>
        <w:t>人，营业收入为</w:t>
      </w:r>
      <w:r>
        <w:rPr>
          <w:color w:val="auto"/>
          <w:sz w:val="21"/>
          <w:szCs w:val="21"/>
          <w:highlight w:val="none"/>
          <w:u w:val="single"/>
        </w:rPr>
        <w:t xml:space="preserve"> </w:t>
      </w:r>
      <w:r>
        <w:rPr>
          <w:color w:val="auto"/>
          <w:sz w:val="21"/>
          <w:szCs w:val="21"/>
          <w:highlight w:val="none"/>
          <w:u w:val="single"/>
        </w:rPr>
        <w:tab/>
      </w:r>
      <w:r>
        <w:rPr>
          <w:color w:val="auto"/>
          <w:sz w:val="21"/>
          <w:szCs w:val="21"/>
          <w:highlight w:val="none"/>
        </w:rPr>
        <w:t>万元，资产总额为</w:t>
      </w:r>
      <w:r>
        <w:rPr>
          <w:color w:val="auto"/>
          <w:sz w:val="21"/>
          <w:szCs w:val="21"/>
          <w:highlight w:val="none"/>
          <w:u w:val="single"/>
        </w:rPr>
        <w:t xml:space="preserve"> </w:t>
      </w:r>
      <w:r>
        <w:rPr>
          <w:color w:val="auto"/>
          <w:sz w:val="21"/>
          <w:szCs w:val="21"/>
          <w:highlight w:val="none"/>
          <w:u w:val="single"/>
        </w:rPr>
        <w:tab/>
      </w:r>
      <w:r>
        <w:rPr>
          <w:color w:val="auto"/>
          <w:sz w:val="21"/>
          <w:szCs w:val="21"/>
          <w:highlight w:val="none"/>
        </w:rPr>
        <w:t>万元，属于</w:t>
      </w:r>
      <w:r>
        <w:rPr>
          <w:i/>
          <w:color w:val="auto"/>
          <w:sz w:val="21"/>
          <w:szCs w:val="21"/>
          <w:highlight w:val="none"/>
          <w:u w:val="single"/>
        </w:rPr>
        <w:t>（中型企业、小型企业、微型企业）</w:t>
      </w:r>
      <w:r>
        <w:rPr>
          <w:color w:val="auto"/>
          <w:sz w:val="21"/>
          <w:szCs w:val="21"/>
          <w:highlight w:val="none"/>
        </w:rPr>
        <w:t>；</w:t>
      </w:r>
    </w:p>
    <w:p w14:paraId="42ABE489">
      <w:pPr>
        <w:adjustRightInd w:val="0"/>
        <w:snapToGrid w:val="0"/>
        <w:spacing w:line="288" w:lineRule="auto"/>
        <w:ind w:firstLine="495" w:firstLineChars="236"/>
        <w:rPr>
          <w:color w:val="auto"/>
          <w:sz w:val="21"/>
          <w:szCs w:val="21"/>
          <w:highlight w:val="none"/>
        </w:rPr>
      </w:pPr>
      <w:r>
        <w:rPr>
          <w:rFonts w:hint="eastAsia"/>
          <w:i/>
          <w:color w:val="auto"/>
          <w:sz w:val="21"/>
          <w:szCs w:val="21"/>
          <w:highlight w:val="none"/>
          <w:u w:val="single"/>
        </w:rPr>
        <w:t>2</w:t>
      </w:r>
      <w:r>
        <w:rPr>
          <w:i/>
          <w:color w:val="auto"/>
          <w:sz w:val="21"/>
          <w:szCs w:val="21"/>
          <w:highlight w:val="none"/>
          <w:u w:val="single"/>
        </w:rPr>
        <w:t>.</w:t>
      </w:r>
      <w:r>
        <w:rPr>
          <w:rFonts w:hint="eastAsia"/>
          <w:color w:val="auto"/>
          <w:sz w:val="21"/>
          <w:szCs w:val="21"/>
          <w:highlight w:val="none"/>
          <w:u w:val="single"/>
        </w:rPr>
        <w:t xml:space="preserve"> </w:t>
      </w:r>
      <w:r>
        <w:rPr>
          <w:color w:val="auto"/>
          <w:sz w:val="21"/>
          <w:szCs w:val="21"/>
          <w:highlight w:val="none"/>
          <w:u w:val="single"/>
        </w:rPr>
        <w:t xml:space="preserve">      </w:t>
      </w:r>
      <w:r>
        <w:rPr>
          <w:i/>
          <w:color w:val="auto"/>
          <w:sz w:val="21"/>
          <w:szCs w:val="21"/>
          <w:highlight w:val="none"/>
          <w:u w:val="single"/>
        </w:rPr>
        <w:t>（标的名称）</w:t>
      </w:r>
      <w:r>
        <w:rPr>
          <w:color w:val="auto"/>
          <w:sz w:val="21"/>
          <w:szCs w:val="21"/>
          <w:highlight w:val="none"/>
        </w:rPr>
        <w:t>，属于</w:t>
      </w:r>
      <w:r>
        <w:rPr>
          <w:rFonts w:hint="eastAsia"/>
          <w:color w:val="auto"/>
          <w:sz w:val="21"/>
          <w:szCs w:val="21"/>
          <w:highlight w:val="none"/>
          <w:u w:val="single"/>
        </w:rPr>
        <w:t xml:space="preserve"> </w:t>
      </w:r>
      <w:r>
        <w:rPr>
          <w:color w:val="auto"/>
          <w:sz w:val="21"/>
          <w:szCs w:val="21"/>
          <w:highlight w:val="none"/>
          <w:u w:val="single"/>
        </w:rPr>
        <w:t xml:space="preserve">      </w:t>
      </w:r>
      <w:r>
        <w:rPr>
          <w:i/>
          <w:color w:val="auto"/>
          <w:sz w:val="21"/>
          <w:szCs w:val="21"/>
          <w:highlight w:val="none"/>
          <w:u w:val="single"/>
        </w:rPr>
        <w:t>（采购文件中明确的所属行业）</w:t>
      </w:r>
      <w:r>
        <w:rPr>
          <w:color w:val="auto"/>
          <w:sz w:val="21"/>
          <w:szCs w:val="21"/>
          <w:highlight w:val="none"/>
        </w:rPr>
        <w:t>；承建（承接）企业为</w:t>
      </w:r>
      <w:r>
        <w:rPr>
          <w:i/>
          <w:color w:val="auto"/>
          <w:sz w:val="21"/>
          <w:szCs w:val="21"/>
          <w:highlight w:val="none"/>
          <w:u w:val="single"/>
        </w:rPr>
        <w:t>（企业名称）</w:t>
      </w:r>
      <w:r>
        <w:rPr>
          <w:color w:val="auto"/>
          <w:sz w:val="21"/>
          <w:szCs w:val="21"/>
          <w:highlight w:val="none"/>
        </w:rPr>
        <w:t>，从业人员</w:t>
      </w:r>
      <w:r>
        <w:rPr>
          <w:color w:val="auto"/>
          <w:sz w:val="21"/>
          <w:szCs w:val="21"/>
          <w:highlight w:val="none"/>
          <w:u w:val="single"/>
        </w:rPr>
        <w:t xml:space="preserve"> </w:t>
      </w:r>
      <w:r>
        <w:rPr>
          <w:color w:val="auto"/>
          <w:sz w:val="21"/>
          <w:szCs w:val="21"/>
          <w:highlight w:val="none"/>
          <w:u w:val="single"/>
        </w:rPr>
        <w:tab/>
      </w:r>
      <w:r>
        <w:rPr>
          <w:color w:val="auto"/>
          <w:sz w:val="21"/>
          <w:szCs w:val="21"/>
          <w:highlight w:val="none"/>
        </w:rPr>
        <w:t>人，营业收入为</w:t>
      </w:r>
      <w:r>
        <w:rPr>
          <w:color w:val="auto"/>
          <w:sz w:val="21"/>
          <w:szCs w:val="21"/>
          <w:highlight w:val="none"/>
          <w:u w:val="single"/>
        </w:rPr>
        <w:t xml:space="preserve"> </w:t>
      </w:r>
      <w:r>
        <w:rPr>
          <w:color w:val="auto"/>
          <w:sz w:val="21"/>
          <w:szCs w:val="21"/>
          <w:highlight w:val="none"/>
          <w:u w:val="single"/>
        </w:rPr>
        <w:tab/>
      </w:r>
      <w:r>
        <w:rPr>
          <w:color w:val="auto"/>
          <w:sz w:val="21"/>
          <w:szCs w:val="21"/>
          <w:highlight w:val="none"/>
        </w:rPr>
        <w:t>万元，资产总额为</w:t>
      </w:r>
      <w:r>
        <w:rPr>
          <w:color w:val="auto"/>
          <w:sz w:val="21"/>
          <w:szCs w:val="21"/>
          <w:highlight w:val="none"/>
          <w:u w:val="single"/>
        </w:rPr>
        <w:t xml:space="preserve"> </w:t>
      </w:r>
      <w:r>
        <w:rPr>
          <w:color w:val="auto"/>
          <w:sz w:val="21"/>
          <w:szCs w:val="21"/>
          <w:highlight w:val="none"/>
          <w:u w:val="single"/>
        </w:rPr>
        <w:tab/>
      </w:r>
      <w:r>
        <w:rPr>
          <w:color w:val="auto"/>
          <w:sz w:val="21"/>
          <w:szCs w:val="21"/>
          <w:highlight w:val="none"/>
        </w:rPr>
        <w:t>万元，属于</w:t>
      </w:r>
      <w:r>
        <w:rPr>
          <w:i/>
          <w:color w:val="auto"/>
          <w:sz w:val="21"/>
          <w:szCs w:val="21"/>
          <w:highlight w:val="none"/>
          <w:u w:val="single"/>
        </w:rPr>
        <w:t>（中型企业、小型企业、微型企业）</w:t>
      </w:r>
      <w:r>
        <w:rPr>
          <w:color w:val="auto"/>
          <w:sz w:val="21"/>
          <w:szCs w:val="21"/>
          <w:highlight w:val="none"/>
        </w:rPr>
        <w:t>；</w:t>
      </w:r>
    </w:p>
    <w:p w14:paraId="6A1E4F36">
      <w:pPr>
        <w:adjustRightInd w:val="0"/>
        <w:snapToGrid w:val="0"/>
        <w:spacing w:line="288" w:lineRule="auto"/>
        <w:ind w:firstLine="495" w:firstLineChars="236"/>
        <w:rPr>
          <w:color w:val="auto"/>
          <w:sz w:val="21"/>
          <w:szCs w:val="21"/>
          <w:highlight w:val="none"/>
        </w:rPr>
      </w:pPr>
      <w:r>
        <w:rPr>
          <w:color w:val="auto"/>
          <w:sz w:val="21"/>
          <w:szCs w:val="21"/>
          <w:highlight w:val="none"/>
        </w:rPr>
        <w:t>……</w:t>
      </w:r>
    </w:p>
    <w:p w14:paraId="3D659CDF">
      <w:pPr>
        <w:adjustRightInd w:val="0"/>
        <w:snapToGrid w:val="0"/>
        <w:spacing w:line="288" w:lineRule="auto"/>
        <w:ind w:firstLine="495" w:firstLineChars="236"/>
        <w:rPr>
          <w:color w:val="auto"/>
          <w:sz w:val="21"/>
          <w:szCs w:val="21"/>
          <w:highlight w:val="none"/>
        </w:rPr>
      </w:pPr>
      <w:r>
        <w:rPr>
          <w:color w:val="auto"/>
          <w:sz w:val="21"/>
          <w:szCs w:val="21"/>
          <w:highlight w:val="none"/>
        </w:rPr>
        <w:t>以上企业，不属于大企业的分支机构，不存在控股股东为大企业的情形，也不存在与大企业的负责人为同一人的情形。</w:t>
      </w:r>
    </w:p>
    <w:p w14:paraId="39F4EC2F">
      <w:pPr>
        <w:adjustRightInd w:val="0"/>
        <w:snapToGrid w:val="0"/>
        <w:spacing w:line="288" w:lineRule="auto"/>
        <w:ind w:firstLine="495" w:firstLineChars="236"/>
        <w:rPr>
          <w:color w:val="auto"/>
          <w:sz w:val="21"/>
          <w:szCs w:val="21"/>
          <w:highlight w:val="none"/>
        </w:rPr>
      </w:pPr>
      <w:r>
        <w:rPr>
          <w:color w:val="auto"/>
          <w:sz w:val="21"/>
          <w:szCs w:val="21"/>
          <w:highlight w:val="none"/>
        </w:rPr>
        <w:t>本企业对上述声明内容的真实性负责。如有虚假，将依法承担相应责任。</w:t>
      </w:r>
    </w:p>
    <w:p w14:paraId="40BEA4F1">
      <w:pPr>
        <w:adjustRightInd w:val="0"/>
        <w:snapToGrid w:val="0"/>
        <w:spacing w:line="288" w:lineRule="auto"/>
        <w:ind w:firstLine="495" w:firstLineChars="236"/>
        <w:rPr>
          <w:color w:val="auto"/>
          <w:sz w:val="21"/>
          <w:szCs w:val="21"/>
          <w:highlight w:val="none"/>
        </w:rPr>
      </w:pPr>
      <w:r>
        <w:rPr>
          <w:color w:val="auto"/>
          <w:sz w:val="21"/>
          <w:szCs w:val="21"/>
          <w:highlight w:val="none"/>
        </w:rPr>
        <w:t>企业名称（盖章）：</w:t>
      </w:r>
    </w:p>
    <w:p w14:paraId="63243837">
      <w:pPr>
        <w:adjustRightInd w:val="0"/>
        <w:snapToGrid w:val="0"/>
        <w:spacing w:line="288" w:lineRule="auto"/>
        <w:ind w:firstLine="495" w:firstLineChars="236"/>
        <w:rPr>
          <w:color w:val="auto"/>
          <w:sz w:val="21"/>
          <w:szCs w:val="21"/>
          <w:highlight w:val="none"/>
        </w:rPr>
      </w:pPr>
      <w:r>
        <w:rPr>
          <w:color w:val="auto"/>
          <w:sz w:val="21"/>
          <w:szCs w:val="21"/>
          <w:highlight w:val="none"/>
        </w:rPr>
        <w:t>日期：</w:t>
      </w:r>
    </w:p>
    <w:p w14:paraId="18C1DB00">
      <w:pPr>
        <w:adjustRightInd w:val="0"/>
        <w:snapToGrid w:val="0"/>
        <w:spacing w:line="288" w:lineRule="auto"/>
        <w:ind w:firstLine="495" w:firstLineChars="236"/>
        <w:rPr>
          <w:color w:val="auto"/>
          <w:sz w:val="21"/>
          <w:szCs w:val="21"/>
          <w:highlight w:val="none"/>
        </w:rPr>
      </w:pPr>
    </w:p>
    <w:p w14:paraId="5DB7F578">
      <w:pPr>
        <w:adjustRightInd w:val="0"/>
        <w:snapToGrid w:val="0"/>
        <w:spacing w:line="288" w:lineRule="auto"/>
        <w:ind w:firstLine="495" w:firstLineChars="236"/>
        <w:rPr>
          <w:color w:val="auto"/>
          <w:sz w:val="21"/>
          <w:szCs w:val="21"/>
          <w:highlight w:val="none"/>
        </w:rPr>
      </w:pPr>
      <w:r>
        <w:rPr>
          <w:rFonts w:hint="eastAsia"/>
          <w:color w:val="auto"/>
          <w:sz w:val="21"/>
          <w:szCs w:val="21"/>
          <w:highlight w:val="none"/>
        </w:rPr>
        <w:t>注：</w:t>
      </w:r>
    </w:p>
    <w:p w14:paraId="1A212E51">
      <w:pPr>
        <w:adjustRightInd w:val="0"/>
        <w:snapToGrid w:val="0"/>
        <w:spacing w:line="288" w:lineRule="auto"/>
        <w:ind w:firstLine="495" w:firstLineChars="236"/>
        <w:rPr>
          <w:rFonts w:cs="Times New Roman"/>
          <w:color w:val="auto"/>
          <w:sz w:val="21"/>
          <w:szCs w:val="21"/>
          <w:highlight w:val="none"/>
        </w:rPr>
      </w:pPr>
      <w:r>
        <w:rPr>
          <w:rFonts w:cs="Times New Roman"/>
          <w:color w:val="auto"/>
          <w:sz w:val="21"/>
          <w:szCs w:val="21"/>
          <w:highlight w:val="none"/>
        </w:rPr>
        <w:t>1.</w:t>
      </w:r>
      <w:r>
        <w:rPr>
          <w:rFonts w:hint="eastAsia" w:cs="Times New Roman"/>
          <w:color w:val="auto"/>
          <w:sz w:val="21"/>
          <w:szCs w:val="21"/>
          <w:highlight w:val="none"/>
        </w:rPr>
        <w:t>从业人员、营业收入、资产总额填报上一年度数据，无上一年度数据的新成立企业可不填报。</w:t>
      </w:r>
    </w:p>
    <w:p w14:paraId="7E8096F2">
      <w:pPr>
        <w:adjustRightInd w:val="0"/>
        <w:snapToGrid w:val="0"/>
        <w:spacing w:line="288" w:lineRule="auto"/>
        <w:ind w:firstLine="495" w:firstLineChars="236"/>
        <w:rPr>
          <w:rFonts w:cs="Times New Roman"/>
          <w:color w:val="auto"/>
          <w:sz w:val="21"/>
          <w:szCs w:val="21"/>
          <w:highlight w:val="none"/>
        </w:rPr>
      </w:pPr>
      <w:r>
        <w:rPr>
          <w:rFonts w:cs="Times New Roman"/>
          <w:color w:val="auto"/>
          <w:sz w:val="21"/>
          <w:szCs w:val="21"/>
          <w:highlight w:val="none"/>
        </w:rPr>
        <w:t>2.</w:t>
      </w:r>
      <w:r>
        <w:rPr>
          <w:rFonts w:hint="eastAsia" w:cs="Times New Roman"/>
          <w:color w:val="auto"/>
          <w:sz w:val="21"/>
          <w:szCs w:val="21"/>
          <w:highlight w:val="none"/>
        </w:rPr>
        <w:t>中小企业参加政府采购活动，应当出具财库〔2020〕46号文件规定的《中小企业声明函》，否则不得享受相关中小企业扶持政策。</w:t>
      </w:r>
    </w:p>
    <w:p w14:paraId="7FBF8147">
      <w:pPr>
        <w:adjustRightInd w:val="0"/>
        <w:snapToGrid w:val="0"/>
        <w:spacing w:line="288" w:lineRule="auto"/>
        <w:ind w:firstLine="495" w:firstLineChars="236"/>
        <w:rPr>
          <w:rFonts w:cs="Times New Roman"/>
          <w:color w:val="auto"/>
          <w:sz w:val="21"/>
          <w:szCs w:val="21"/>
          <w:highlight w:val="none"/>
        </w:rPr>
      </w:pPr>
      <w:r>
        <w:rPr>
          <w:rFonts w:cs="Times New Roman"/>
          <w:color w:val="auto"/>
          <w:sz w:val="21"/>
          <w:szCs w:val="21"/>
          <w:highlight w:val="none"/>
        </w:rPr>
        <w:t>3</w:t>
      </w:r>
      <w:r>
        <w:rPr>
          <w:rFonts w:hint="eastAsia" w:cs="Times New Roman"/>
          <w:color w:val="auto"/>
          <w:sz w:val="21"/>
          <w:szCs w:val="21"/>
          <w:highlight w:val="none"/>
        </w:rPr>
        <w:t>.本项目仅以《中小企业声明函》作为评判供应商是否属于中小企业的唯一依据。</w:t>
      </w:r>
    </w:p>
    <w:p w14:paraId="47BD0AAB">
      <w:pPr>
        <w:adjustRightInd w:val="0"/>
        <w:snapToGrid w:val="0"/>
        <w:spacing w:line="288" w:lineRule="auto"/>
        <w:ind w:firstLine="495" w:firstLineChars="236"/>
        <w:rPr>
          <w:rFonts w:cs="Times New Roman"/>
          <w:color w:val="auto"/>
          <w:sz w:val="21"/>
          <w:szCs w:val="21"/>
          <w:highlight w:val="none"/>
        </w:rPr>
      </w:pPr>
      <w:r>
        <w:rPr>
          <w:rFonts w:cs="Times New Roman"/>
          <w:color w:val="auto"/>
          <w:sz w:val="21"/>
          <w:szCs w:val="21"/>
          <w:highlight w:val="none"/>
        </w:rPr>
        <w:t>4</w:t>
      </w:r>
      <w:r>
        <w:rPr>
          <w:rFonts w:hint="eastAsia" w:cs="Times New Roman"/>
          <w:color w:val="auto"/>
          <w:sz w:val="21"/>
          <w:szCs w:val="21"/>
          <w:highlight w:val="none"/>
        </w:rPr>
        <w:t>.供应商提供《中小企业声明函》内容不实的，属于提供虚假材料谋取中标、成交，依照《中华人民共和国政府采购法》等国家有关规定追究相应责任。</w:t>
      </w:r>
    </w:p>
    <w:p w14:paraId="2ADB498B">
      <w:pPr>
        <w:adjustRightInd w:val="0"/>
        <w:snapToGrid w:val="0"/>
        <w:spacing w:line="288" w:lineRule="auto"/>
        <w:ind w:firstLine="495" w:firstLineChars="236"/>
        <w:rPr>
          <w:rFonts w:cstheme="minorBidi"/>
          <w:color w:val="auto"/>
          <w:sz w:val="21"/>
          <w:szCs w:val="22"/>
          <w:highlight w:val="none"/>
          <w:u w:val="single"/>
        </w:rPr>
      </w:pPr>
      <w:r>
        <w:rPr>
          <w:rFonts w:cs="Times New Roman"/>
          <w:color w:val="auto"/>
          <w:sz w:val="21"/>
          <w:szCs w:val="21"/>
          <w:highlight w:val="none"/>
          <w:u w:val="single"/>
        </w:rPr>
        <w:t>5.</w:t>
      </w:r>
      <w:r>
        <w:rPr>
          <w:rFonts w:hint="eastAsia" w:cs="Times New Roman"/>
          <w:color w:val="auto"/>
          <w:sz w:val="21"/>
          <w:szCs w:val="21"/>
          <w:highlight w:val="none"/>
          <w:u w:val="single"/>
        </w:rPr>
        <w:t>《中小企业声明函》填写不全（从业人员、营业收入、资产总额在中小企业划型标准规定中不涉及的除外），或未按照《中小企业声明函》要求填写的，视为未提供《中小企业声明函》，</w:t>
      </w:r>
      <w:r>
        <w:rPr>
          <w:rFonts w:hint="eastAsia" w:cstheme="minorBidi"/>
          <w:color w:val="auto"/>
          <w:sz w:val="21"/>
          <w:szCs w:val="22"/>
          <w:highlight w:val="none"/>
          <w:u w:val="single"/>
        </w:rPr>
        <w:t>不享受中小企业扶持政策。</w:t>
      </w:r>
    </w:p>
    <w:p w14:paraId="43819C32">
      <w:pPr>
        <w:adjustRightInd w:val="0"/>
        <w:snapToGrid w:val="0"/>
        <w:spacing w:line="288" w:lineRule="auto"/>
        <w:ind w:firstLine="495" w:firstLineChars="236"/>
        <w:rPr>
          <w:rFonts w:cs="Times New Roman"/>
          <w:color w:val="auto"/>
          <w:sz w:val="21"/>
          <w:szCs w:val="21"/>
          <w:highlight w:val="none"/>
          <w:u w:val="single"/>
        </w:rPr>
      </w:pPr>
      <w:r>
        <w:rPr>
          <w:rFonts w:hint="eastAsia" w:cs="Times New Roman"/>
          <w:color w:val="auto"/>
          <w:sz w:val="21"/>
          <w:szCs w:val="21"/>
          <w:highlight w:val="none"/>
          <w:u w:val="single"/>
        </w:rPr>
        <w:t>6</w:t>
      </w:r>
      <w:r>
        <w:rPr>
          <w:rFonts w:cs="Times New Roman"/>
          <w:color w:val="auto"/>
          <w:sz w:val="21"/>
          <w:szCs w:val="21"/>
          <w:highlight w:val="none"/>
          <w:u w:val="single"/>
        </w:rPr>
        <w:t>.如项目包含“多件”标的物的，需按标的物项数逐项填写。</w:t>
      </w:r>
    </w:p>
    <w:p w14:paraId="3402514E">
      <w:pPr>
        <w:adjustRightInd w:val="0"/>
        <w:snapToGrid w:val="0"/>
        <w:spacing w:line="288" w:lineRule="auto"/>
        <w:ind w:firstLine="495" w:firstLineChars="236"/>
        <w:rPr>
          <w:color w:val="auto"/>
          <w:sz w:val="21"/>
          <w:szCs w:val="21"/>
          <w:highlight w:val="none"/>
        </w:rPr>
      </w:pPr>
      <w:r>
        <w:rPr>
          <w:rFonts w:hint="eastAsia"/>
          <w:color w:val="auto"/>
          <w:sz w:val="21"/>
          <w:szCs w:val="21"/>
          <w:highlight w:val="none"/>
        </w:rPr>
        <w:br w:type="page"/>
      </w:r>
    </w:p>
    <w:p w14:paraId="1C2899E7">
      <w:pPr>
        <w:adjustRightInd w:val="0"/>
        <w:snapToGrid w:val="0"/>
        <w:spacing w:line="288" w:lineRule="auto"/>
        <w:ind w:firstLine="199"/>
        <w:jc w:val="center"/>
        <w:outlineLvl w:val="2"/>
        <w:rPr>
          <w:color w:val="auto"/>
          <w:kern w:val="0"/>
          <w:sz w:val="21"/>
          <w:szCs w:val="21"/>
          <w:highlight w:val="none"/>
        </w:rPr>
      </w:pPr>
      <w:r>
        <w:rPr>
          <w:rFonts w:hint="eastAsia"/>
          <w:b/>
          <w:color w:val="auto"/>
          <w:spacing w:val="-6"/>
          <w:sz w:val="21"/>
          <w:szCs w:val="21"/>
          <w:highlight w:val="none"/>
        </w:rPr>
        <w:t>2）属于监狱企业的证明文件（若属于监狱企业）</w:t>
      </w:r>
    </w:p>
    <w:p w14:paraId="1F4F4CD0">
      <w:pPr>
        <w:adjustRightInd w:val="0"/>
        <w:snapToGrid w:val="0"/>
        <w:spacing w:line="288" w:lineRule="auto"/>
        <w:ind w:firstLine="211"/>
        <w:rPr>
          <w:color w:val="auto"/>
          <w:kern w:val="0"/>
          <w:sz w:val="21"/>
          <w:szCs w:val="21"/>
          <w:highlight w:val="none"/>
        </w:rPr>
      </w:pPr>
    </w:p>
    <w:p w14:paraId="36F0D9BB">
      <w:pPr>
        <w:adjustRightInd w:val="0"/>
        <w:snapToGrid w:val="0"/>
        <w:spacing w:line="288" w:lineRule="auto"/>
        <w:ind w:firstLine="373" w:firstLineChars="177"/>
        <w:rPr>
          <w:b/>
          <w:bCs/>
          <w:color w:val="auto"/>
          <w:sz w:val="21"/>
          <w:szCs w:val="21"/>
          <w:highlight w:val="none"/>
        </w:rPr>
      </w:pPr>
      <w:r>
        <w:rPr>
          <w:rFonts w:hint="eastAsia"/>
          <w:b/>
          <w:bCs/>
          <w:color w:val="auto"/>
          <w:kern w:val="0"/>
          <w:sz w:val="21"/>
          <w:szCs w:val="21"/>
          <w:highlight w:val="none"/>
        </w:rPr>
        <w:t>监狱企业参加政府采购活动时，应当提供由省级以上监狱管理局、戒毒管理局（含新疆生产建设兵团）出具的属于监狱企业的证明文件。</w:t>
      </w:r>
    </w:p>
    <w:p w14:paraId="4C5CB4E3">
      <w:pPr>
        <w:adjustRightInd w:val="0"/>
        <w:snapToGrid w:val="0"/>
        <w:spacing w:line="288" w:lineRule="auto"/>
        <w:ind w:firstLine="211"/>
        <w:rPr>
          <w:color w:val="auto"/>
          <w:sz w:val="21"/>
          <w:szCs w:val="21"/>
          <w:highlight w:val="none"/>
        </w:rPr>
      </w:pPr>
    </w:p>
    <w:p w14:paraId="35D2667F">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说明：</w:t>
      </w:r>
    </w:p>
    <w:p w14:paraId="62321A78">
      <w:pPr>
        <w:widowControl/>
        <w:shd w:val="clear" w:color="auto" w:fill="FFFFFF"/>
        <w:adjustRightInd w:val="0"/>
        <w:snapToGrid w:val="0"/>
        <w:spacing w:line="288" w:lineRule="auto"/>
        <w:ind w:firstLine="371" w:firstLineChars="177"/>
        <w:jc w:val="left"/>
        <w:rPr>
          <w:color w:val="auto"/>
          <w:kern w:val="0"/>
          <w:sz w:val="21"/>
          <w:szCs w:val="21"/>
          <w:highlight w:val="none"/>
        </w:rPr>
      </w:pPr>
      <w:r>
        <w:rPr>
          <w:rFonts w:hint="eastAsia"/>
          <w:color w:val="auto"/>
          <w:kern w:val="0"/>
          <w:sz w:val="21"/>
          <w:szCs w:val="21"/>
          <w:highlight w:val="none"/>
        </w:rPr>
        <w:t>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7276FC76">
      <w:pPr>
        <w:widowControl/>
        <w:shd w:val="clear" w:color="auto" w:fill="FFFFFF"/>
        <w:adjustRightInd w:val="0"/>
        <w:snapToGrid w:val="0"/>
        <w:spacing w:line="288" w:lineRule="auto"/>
        <w:ind w:firstLine="371" w:firstLineChars="177"/>
        <w:jc w:val="left"/>
        <w:rPr>
          <w:color w:val="auto"/>
          <w:kern w:val="0"/>
          <w:sz w:val="21"/>
          <w:szCs w:val="21"/>
          <w:highlight w:val="none"/>
        </w:rPr>
      </w:pPr>
      <w:r>
        <w:rPr>
          <w:rFonts w:hint="eastAsia"/>
          <w:color w:val="auto"/>
          <w:kern w:val="0"/>
          <w:sz w:val="21"/>
          <w:szCs w:val="21"/>
          <w:highlight w:val="none"/>
        </w:rPr>
        <w:t>二、在政府采购活动中，监狱企业视同小型、微型企业，享受预留份额、评审中价格扣除等政府采购促进中小企业发展的政府采购政策。</w:t>
      </w:r>
    </w:p>
    <w:p w14:paraId="3EEC9484">
      <w:pPr>
        <w:widowControl/>
        <w:adjustRightInd w:val="0"/>
        <w:snapToGrid w:val="0"/>
        <w:spacing w:line="288" w:lineRule="auto"/>
        <w:ind w:firstLine="199"/>
        <w:jc w:val="left"/>
        <w:rPr>
          <w:b/>
          <w:color w:val="auto"/>
          <w:spacing w:val="-6"/>
          <w:sz w:val="21"/>
          <w:szCs w:val="21"/>
          <w:highlight w:val="none"/>
        </w:rPr>
      </w:pPr>
      <w:r>
        <w:rPr>
          <w:b/>
          <w:color w:val="auto"/>
          <w:spacing w:val="-6"/>
          <w:sz w:val="21"/>
          <w:szCs w:val="21"/>
          <w:highlight w:val="none"/>
        </w:rPr>
        <w:br w:type="page"/>
      </w:r>
    </w:p>
    <w:p w14:paraId="52DB7411">
      <w:pPr>
        <w:adjustRightInd w:val="0"/>
        <w:snapToGrid w:val="0"/>
        <w:spacing w:line="288" w:lineRule="auto"/>
        <w:ind w:firstLine="199"/>
        <w:jc w:val="center"/>
        <w:outlineLvl w:val="2"/>
        <w:rPr>
          <w:b/>
          <w:color w:val="auto"/>
          <w:spacing w:val="-6"/>
          <w:sz w:val="21"/>
          <w:szCs w:val="21"/>
          <w:highlight w:val="none"/>
        </w:rPr>
      </w:pPr>
      <w:r>
        <w:rPr>
          <w:rFonts w:hint="eastAsia"/>
          <w:b/>
          <w:color w:val="auto"/>
          <w:spacing w:val="-6"/>
          <w:sz w:val="21"/>
          <w:szCs w:val="21"/>
          <w:highlight w:val="none"/>
        </w:rPr>
        <w:t>3）残疾人福利性单位声明函（若属于残疾人福利性单位）</w:t>
      </w:r>
    </w:p>
    <w:p w14:paraId="54CDE3FE">
      <w:pPr>
        <w:adjustRightInd w:val="0"/>
        <w:snapToGrid w:val="0"/>
        <w:spacing w:line="288" w:lineRule="auto"/>
        <w:ind w:firstLine="222"/>
        <w:rPr>
          <w:rFonts w:cs="Times New Roman"/>
          <w:b/>
          <w:color w:val="auto"/>
          <w:spacing w:val="6"/>
          <w:sz w:val="21"/>
          <w:szCs w:val="21"/>
          <w:highlight w:val="none"/>
        </w:rPr>
      </w:pPr>
    </w:p>
    <w:p w14:paraId="48252CEF">
      <w:pPr>
        <w:adjustRightInd w:val="0"/>
        <w:snapToGrid w:val="0"/>
        <w:spacing w:line="288" w:lineRule="auto"/>
        <w:ind w:firstLine="444" w:firstLineChars="200"/>
        <w:rPr>
          <w:rFonts w:cs="Times New Roman"/>
          <w:color w:val="auto"/>
          <w:spacing w:val="6"/>
          <w:sz w:val="21"/>
          <w:szCs w:val="21"/>
          <w:highlight w:val="none"/>
        </w:rPr>
      </w:pPr>
      <w:r>
        <w:rPr>
          <w:rFonts w:hint="eastAsia" w:cs="Times New Roman"/>
          <w:color w:val="auto"/>
          <w:spacing w:val="6"/>
          <w:sz w:val="21"/>
          <w:szCs w:val="21"/>
          <w:highlight w:val="none"/>
        </w:rPr>
        <w:t>本单位郑重声明，根据《财政部 民政部 中国残疾人联合会关于促进残疾人就业政府采购政策的通知》（财库</w:t>
      </w:r>
      <w:r>
        <w:rPr>
          <w:rFonts w:hint="eastAsia" w:cs="Times New Roman"/>
          <w:color w:val="auto"/>
          <w:sz w:val="21"/>
          <w:szCs w:val="21"/>
          <w:highlight w:val="none"/>
        </w:rPr>
        <w:t>〔2017〕 141</w:t>
      </w:r>
      <w:r>
        <w:rPr>
          <w:rFonts w:hint="eastAsia" w:cs="Times New Roman"/>
          <w:color w:val="auto"/>
          <w:spacing w:val="6"/>
          <w:sz w:val="21"/>
          <w:szCs w:val="21"/>
          <w:highlight w:val="none"/>
        </w:rPr>
        <w:t>号）的规定，</w:t>
      </w:r>
      <w:r>
        <w:rPr>
          <w:rFonts w:hint="eastAsia" w:cs="Times New Roman"/>
          <w:b/>
          <w:bCs/>
          <w:color w:val="auto"/>
          <w:spacing w:val="6"/>
          <w:sz w:val="21"/>
          <w:szCs w:val="21"/>
          <w:highlight w:val="none"/>
        </w:rPr>
        <w:t>本单位为符合条件的残疾人福利性单位</w:t>
      </w:r>
      <w:r>
        <w:rPr>
          <w:rFonts w:hint="eastAsia" w:cs="Times New Roman"/>
          <w:color w:val="auto"/>
          <w:spacing w:val="6"/>
          <w:sz w:val="21"/>
          <w:szCs w:val="21"/>
          <w:highlight w:val="none"/>
        </w:rPr>
        <w:t>，且本单位参加______（采购人）单位的______（项目名称）项目采购活动由本单位承担工程。</w:t>
      </w:r>
    </w:p>
    <w:p w14:paraId="723F9B2E">
      <w:pPr>
        <w:adjustRightInd w:val="0"/>
        <w:snapToGrid w:val="0"/>
        <w:spacing w:line="288" w:lineRule="auto"/>
        <w:ind w:firstLine="444" w:firstLineChars="200"/>
        <w:rPr>
          <w:rFonts w:cs="Times New Roman"/>
          <w:color w:val="auto"/>
          <w:spacing w:val="6"/>
          <w:sz w:val="21"/>
          <w:szCs w:val="21"/>
          <w:highlight w:val="none"/>
        </w:rPr>
      </w:pPr>
      <w:r>
        <w:rPr>
          <w:rFonts w:hint="eastAsia" w:cs="Times New Roman"/>
          <w:color w:val="auto"/>
          <w:spacing w:val="6"/>
          <w:sz w:val="21"/>
          <w:szCs w:val="21"/>
          <w:highlight w:val="none"/>
        </w:rPr>
        <w:t>本单位对上述声明的真实性负责。如有虚假，将依法承担相应责任。</w:t>
      </w:r>
    </w:p>
    <w:p w14:paraId="75F9FD7C">
      <w:pPr>
        <w:tabs>
          <w:tab w:val="left" w:pos="4860"/>
        </w:tabs>
        <w:adjustRightInd w:val="0"/>
        <w:snapToGrid w:val="0"/>
        <w:spacing w:line="288" w:lineRule="auto"/>
        <w:ind w:right="1560" w:firstLine="444" w:firstLineChars="200"/>
        <w:rPr>
          <w:rFonts w:cs="Times New Roman"/>
          <w:color w:val="auto"/>
          <w:spacing w:val="6"/>
          <w:sz w:val="21"/>
          <w:szCs w:val="21"/>
          <w:highlight w:val="none"/>
        </w:rPr>
      </w:pPr>
      <w:r>
        <w:rPr>
          <w:rFonts w:hint="eastAsia" w:cs="Times New Roman"/>
          <w:color w:val="auto"/>
          <w:spacing w:val="6"/>
          <w:sz w:val="21"/>
          <w:szCs w:val="21"/>
          <w:highlight w:val="none"/>
        </w:rPr>
        <w:t>单位名称（盖章）：</w:t>
      </w:r>
    </w:p>
    <w:p w14:paraId="0BE5482B">
      <w:pPr>
        <w:tabs>
          <w:tab w:val="left" w:pos="4860"/>
        </w:tabs>
        <w:adjustRightInd w:val="0"/>
        <w:snapToGrid w:val="0"/>
        <w:spacing w:line="288" w:lineRule="auto"/>
        <w:ind w:right="1560" w:firstLine="444" w:firstLineChars="200"/>
        <w:rPr>
          <w:rFonts w:cs="Times New Roman"/>
          <w:color w:val="auto"/>
          <w:spacing w:val="6"/>
          <w:sz w:val="21"/>
          <w:szCs w:val="21"/>
          <w:highlight w:val="none"/>
        </w:rPr>
      </w:pPr>
      <w:r>
        <w:rPr>
          <w:rFonts w:hint="eastAsia" w:cs="Times New Roman"/>
          <w:color w:val="auto"/>
          <w:spacing w:val="6"/>
          <w:sz w:val="21"/>
          <w:szCs w:val="21"/>
          <w:highlight w:val="none"/>
        </w:rPr>
        <w:t>日  期：</w:t>
      </w:r>
    </w:p>
    <w:p w14:paraId="53BD4B2A">
      <w:pPr>
        <w:adjustRightInd w:val="0"/>
        <w:snapToGrid w:val="0"/>
        <w:spacing w:line="288" w:lineRule="auto"/>
        <w:ind w:firstLine="211"/>
        <w:rPr>
          <w:color w:val="auto"/>
          <w:sz w:val="21"/>
          <w:szCs w:val="21"/>
          <w:highlight w:val="none"/>
        </w:rPr>
      </w:pPr>
    </w:p>
    <w:p w14:paraId="700F9F3E">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说明：</w:t>
      </w:r>
    </w:p>
    <w:p w14:paraId="73FAE94E">
      <w:pPr>
        <w:widowControl/>
        <w:shd w:val="clear" w:color="auto" w:fill="FFFFFF"/>
        <w:adjustRightInd w:val="0"/>
        <w:snapToGrid w:val="0"/>
        <w:spacing w:line="288" w:lineRule="auto"/>
        <w:ind w:firstLine="371" w:firstLineChars="177"/>
        <w:jc w:val="left"/>
        <w:rPr>
          <w:color w:val="auto"/>
          <w:kern w:val="0"/>
          <w:sz w:val="21"/>
          <w:szCs w:val="21"/>
          <w:highlight w:val="none"/>
        </w:rPr>
      </w:pPr>
      <w:r>
        <w:rPr>
          <w:rFonts w:hint="eastAsia"/>
          <w:color w:val="auto"/>
          <w:kern w:val="0"/>
          <w:sz w:val="21"/>
          <w:szCs w:val="21"/>
          <w:highlight w:val="none"/>
        </w:rPr>
        <w:t>一、享受政府采购支持政策的残疾人福利性单位应当同时满足以下条件：</w:t>
      </w:r>
    </w:p>
    <w:p w14:paraId="6FAAB3A3">
      <w:pPr>
        <w:widowControl/>
        <w:shd w:val="clear" w:color="auto" w:fill="FFFFFF"/>
        <w:adjustRightInd w:val="0"/>
        <w:snapToGrid w:val="0"/>
        <w:spacing w:line="288" w:lineRule="auto"/>
        <w:ind w:firstLine="371" w:firstLineChars="177"/>
        <w:jc w:val="left"/>
        <w:rPr>
          <w:color w:val="auto"/>
          <w:kern w:val="0"/>
          <w:sz w:val="21"/>
          <w:szCs w:val="21"/>
          <w:highlight w:val="none"/>
        </w:rPr>
      </w:pPr>
      <w:r>
        <w:rPr>
          <w:rFonts w:hint="eastAsia"/>
          <w:color w:val="auto"/>
          <w:kern w:val="0"/>
          <w:sz w:val="21"/>
          <w:szCs w:val="21"/>
          <w:highlight w:val="none"/>
        </w:rPr>
        <w:t>（一）安置的残疾人占本单位在职职工人数的比例不低于25%（含25%），并且安置的残疾人人数不少于10人（含10人）；</w:t>
      </w:r>
    </w:p>
    <w:p w14:paraId="4826A2EE">
      <w:pPr>
        <w:widowControl/>
        <w:shd w:val="clear" w:color="auto" w:fill="FFFFFF"/>
        <w:adjustRightInd w:val="0"/>
        <w:snapToGrid w:val="0"/>
        <w:spacing w:line="288" w:lineRule="auto"/>
        <w:ind w:firstLine="371" w:firstLineChars="177"/>
        <w:jc w:val="left"/>
        <w:rPr>
          <w:color w:val="auto"/>
          <w:kern w:val="0"/>
          <w:sz w:val="21"/>
          <w:szCs w:val="21"/>
          <w:highlight w:val="none"/>
        </w:rPr>
      </w:pPr>
      <w:r>
        <w:rPr>
          <w:rFonts w:hint="eastAsia"/>
          <w:color w:val="auto"/>
          <w:kern w:val="0"/>
          <w:sz w:val="21"/>
          <w:szCs w:val="21"/>
          <w:highlight w:val="none"/>
        </w:rPr>
        <w:t>（二）依法与安置的每位残疾人签订了一年以上（含一年）的劳动合同或服务协议；</w:t>
      </w:r>
    </w:p>
    <w:p w14:paraId="7C885416">
      <w:pPr>
        <w:widowControl/>
        <w:shd w:val="clear" w:color="auto" w:fill="FFFFFF"/>
        <w:adjustRightInd w:val="0"/>
        <w:snapToGrid w:val="0"/>
        <w:spacing w:line="288" w:lineRule="auto"/>
        <w:ind w:firstLine="371" w:firstLineChars="177"/>
        <w:jc w:val="left"/>
        <w:rPr>
          <w:color w:val="auto"/>
          <w:kern w:val="0"/>
          <w:sz w:val="21"/>
          <w:szCs w:val="21"/>
          <w:highlight w:val="none"/>
        </w:rPr>
      </w:pPr>
      <w:r>
        <w:rPr>
          <w:rFonts w:hint="eastAsia"/>
          <w:color w:val="auto"/>
          <w:kern w:val="0"/>
          <w:sz w:val="21"/>
          <w:szCs w:val="21"/>
          <w:highlight w:val="none"/>
        </w:rPr>
        <w:t>（三）为安置的每位残疾人按月足额缴纳了基本养老保险、基本医疗保险、失业保险、工伤保险和生育保险等社会保险费；</w:t>
      </w:r>
    </w:p>
    <w:p w14:paraId="543A1151">
      <w:pPr>
        <w:widowControl/>
        <w:shd w:val="clear" w:color="auto" w:fill="FFFFFF"/>
        <w:adjustRightInd w:val="0"/>
        <w:snapToGrid w:val="0"/>
        <w:spacing w:line="288" w:lineRule="auto"/>
        <w:ind w:firstLine="371" w:firstLineChars="177"/>
        <w:jc w:val="left"/>
        <w:rPr>
          <w:color w:val="auto"/>
          <w:kern w:val="0"/>
          <w:sz w:val="21"/>
          <w:szCs w:val="21"/>
          <w:highlight w:val="none"/>
        </w:rPr>
      </w:pPr>
      <w:r>
        <w:rPr>
          <w:rFonts w:hint="eastAsia"/>
          <w:color w:val="auto"/>
          <w:kern w:val="0"/>
          <w:sz w:val="21"/>
          <w:szCs w:val="21"/>
          <w:highlight w:val="none"/>
        </w:rPr>
        <w:t>（四）通过银行等金融机构向安置的每位残疾人，按月支付了不低于单位所在区县适用的经省级人民政府批准的月最低工资标准的工资；</w:t>
      </w:r>
    </w:p>
    <w:p w14:paraId="571D087E">
      <w:pPr>
        <w:widowControl/>
        <w:shd w:val="clear" w:color="auto" w:fill="FFFFFF"/>
        <w:adjustRightInd w:val="0"/>
        <w:snapToGrid w:val="0"/>
        <w:spacing w:line="288" w:lineRule="auto"/>
        <w:ind w:firstLine="371" w:firstLineChars="177"/>
        <w:jc w:val="left"/>
        <w:rPr>
          <w:color w:val="auto"/>
          <w:kern w:val="0"/>
          <w:sz w:val="21"/>
          <w:szCs w:val="21"/>
          <w:highlight w:val="none"/>
        </w:rPr>
      </w:pPr>
      <w:r>
        <w:rPr>
          <w:rFonts w:hint="eastAsia"/>
          <w:color w:val="auto"/>
          <w:kern w:val="0"/>
          <w:sz w:val="21"/>
          <w:szCs w:val="21"/>
          <w:highlight w:val="none"/>
        </w:rPr>
        <w:t>（五）提供本单位制造的货物、承担的工程或者服务（以下简称产品），或者提供其他残疾人福利性单位制造的货物（不包括使用非残疾人福利性单位注册商标的货物）。</w:t>
      </w:r>
    </w:p>
    <w:p w14:paraId="636BCCA9">
      <w:pPr>
        <w:widowControl/>
        <w:shd w:val="clear" w:color="auto" w:fill="FFFFFF"/>
        <w:adjustRightInd w:val="0"/>
        <w:snapToGrid w:val="0"/>
        <w:spacing w:line="288" w:lineRule="auto"/>
        <w:ind w:firstLine="371" w:firstLineChars="177"/>
        <w:jc w:val="left"/>
        <w:rPr>
          <w:color w:val="auto"/>
          <w:kern w:val="0"/>
          <w:sz w:val="21"/>
          <w:szCs w:val="21"/>
          <w:highlight w:val="none"/>
        </w:rPr>
      </w:pPr>
      <w:r>
        <w:rPr>
          <w:rFonts w:hint="eastAsia"/>
          <w:color w:val="auto"/>
          <w:kern w:val="0"/>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3E9F75B9">
      <w:pPr>
        <w:widowControl/>
        <w:shd w:val="clear" w:color="auto" w:fill="FFFFFF"/>
        <w:adjustRightInd w:val="0"/>
        <w:snapToGrid w:val="0"/>
        <w:spacing w:line="288" w:lineRule="auto"/>
        <w:ind w:firstLine="371" w:firstLineChars="177"/>
        <w:jc w:val="left"/>
        <w:rPr>
          <w:color w:val="auto"/>
          <w:kern w:val="0"/>
          <w:sz w:val="21"/>
          <w:szCs w:val="21"/>
          <w:highlight w:val="none"/>
        </w:rPr>
      </w:pPr>
      <w:r>
        <w:rPr>
          <w:rFonts w:hint="eastAsia"/>
          <w:color w:val="auto"/>
          <w:kern w:val="0"/>
          <w:sz w:val="21"/>
          <w:szCs w:val="21"/>
          <w:highlight w:val="none"/>
        </w:rPr>
        <w:t>二、符合条件的残疾人福利性单位在参加政府采购活动时，应当提供财库</w:t>
      </w:r>
      <w:r>
        <w:rPr>
          <w:color w:val="auto"/>
          <w:kern w:val="0"/>
          <w:sz w:val="21"/>
          <w:szCs w:val="21"/>
          <w:highlight w:val="none"/>
        </w:rPr>
        <w:t>[2017]141号</w:t>
      </w:r>
      <w:r>
        <w:rPr>
          <w:rFonts w:hint="eastAsia"/>
          <w:color w:val="auto"/>
          <w:kern w:val="0"/>
          <w:sz w:val="21"/>
          <w:szCs w:val="21"/>
          <w:highlight w:val="none"/>
        </w:rPr>
        <w:t>文件规定的《残疾人福利性单位声明函》，并对声明的真实性负责。</w:t>
      </w:r>
    </w:p>
    <w:p w14:paraId="3975D12B">
      <w:pPr>
        <w:widowControl/>
        <w:shd w:val="clear" w:color="auto" w:fill="FFFFFF"/>
        <w:adjustRightInd w:val="0"/>
        <w:snapToGrid w:val="0"/>
        <w:spacing w:line="288" w:lineRule="auto"/>
        <w:ind w:firstLine="371" w:firstLineChars="177"/>
        <w:jc w:val="left"/>
        <w:rPr>
          <w:color w:val="auto"/>
          <w:kern w:val="0"/>
          <w:sz w:val="21"/>
          <w:szCs w:val="21"/>
          <w:highlight w:val="none"/>
        </w:rPr>
      </w:pPr>
      <w:r>
        <w:rPr>
          <w:rFonts w:hint="eastAsia"/>
          <w:color w:val="auto"/>
          <w:kern w:val="0"/>
          <w:sz w:val="21"/>
          <w:szCs w:val="21"/>
          <w:highlight w:val="none"/>
        </w:rPr>
        <w:t>三、在政府采购活动中，残疾人福利性单位视同小型、微型企业，享受预留份额、评审中价格扣除等促进中小企业发展的政府采购政策。</w:t>
      </w:r>
    </w:p>
    <w:p w14:paraId="02259FDA">
      <w:pPr>
        <w:widowControl/>
        <w:shd w:val="clear" w:color="auto" w:fill="FFFFFF"/>
        <w:adjustRightInd w:val="0"/>
        <w:snapToGrid w:val="0"/>
        <w:spacing w:line="288" w:lineRule="auto"/>
        <w:ind w:firstLine="371" w:firstLineChars="177"/>
        <w:jc w:val="left"/>
        <w:rPr>
          <w:color w:val="auto"/>
          <w:kern w:val="0"/>
          <w:sz w:val="21"/>
          <w:szCs w:val="21"/>
          <w:highlight w:val="none"/>
        </w:rPr>
      </w:pPr>
      <w:r>
        <w:rPr>
          <w:rFonts w:hint="eastAsia"/>
          <w:color w:val="auto"/>
          <w:kern w:val="0"/>
          <w:sz w:val="21"/>
          <w:szCs w:val="21"/>
          <w:highlight w:val="none"/>
        </w:rPr>
        <w:t>残疾人福利性单位属于小型、微型企业的，不重复享受政策。</w:t>
      </w:r>
    </w:p>
    <w:p w14:paraId="7A8048BE">
      <w:pPr>
        <w:widowControl/>
        <w:adjustRightInd w:val="0"/>
        <w:snapToGrid w:val="0"/>
        <w:spacing w:line="288" w:lineRule="auto"/>
        <w:ind w:firstLine="199"/>
        <w:jc w:val="left"/>
        <w:rPr>
          <w:rFonts w:cs="Times New Roman"/>
          <w:b/>
          <w:bCs/>
          <w:color w:val="auto"/>
          <w:spacing w:val="-6"/>
          <w:sz w:val="21"/>
          <w:szCs w:val="21"/>
          <w:highlight w:val="none"/>
        </w:rPr>
      </w:pPr>
      <w:r>
        <w:rPr>
          <w:rFonts w:cs="Times New Roman"/>
          <w:b/>
          <w:bCs/>
          <w:color w:val="auto"/>
          <w:spacing w:val="-6"/>
          <w:sz w:val="21"/>
          <w:szCs w:val="21"/>
          <w:highlight w:val="none"/>
        </w:rPr>
        <w:br w:type="page"/>
      </w:r>
    </w:p>
    <w:p w14:paraId="56002982">
      <w:pPr>
        <w:adjustRightInd w:val="0"/>
        <w:snapToGrid w:val="0"/>
        <w:spacing w:line="288" w:lineRule="auto"/>
        <w:ind w:firstLine="199"/>
        <w:jc w:val="left"/>
        <w:outlineLvl w:val="2"/>
        <w:rPr>
          <w:b/>
          <w:color w:val="auto"/>
          <w:spacing w:val="-6"/>
          <w:sz w:val="21"/>
          <w:szCs w:val="21"/>
          <w:highlight w:val="none"/>
        </w:rPr>
      </w:pPr>
      <w:r>
        <w:rPr>
          <w:rFonts w:hint="eastAsia"/>
          <w:b/>
          <w:color w:val="auto"/>
          <w:spacing w:val="-6"/>
          <w:sz w:val="21"/>
          <w:szCs w:val="21"/>
          <w:highlight w:val="none"/>
        </w:rPr>
        <w:t>（</w:t>
      </w:r>
      <w:r>
        <w:rPr>
          <w:b/>
          <w:color w:val="auto"/>
          <w:spacing w:val="-6"/>
          <w:sz w:val="21"/>
          <w:szCs w:val="21"/>
          <w:highlight w:val="none"/>
        </w:rPr>
        <w:t>4</w:t>
      </w:r>
      <w:r>
        <w:rPr>
          <w:rFonts w:hint="eastAsia"/>
          <w:b/>
          <w:color w:val="auto"/>
          <w:spacing w:val="-6"/>
          <w:sz w:val="21"/>
          <w:szCs w:val="21"/>
          <w:highlight w:val="none"/>
        </w:rPr>
        <w:t>）本项目的特定资格要求证明材料：</w:t>
      </w:r>
    </w:p>
    <w:p w14:paraId="1A2A03AE">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1）拟派项目负责人具有园林绿化或相关专业中级及以上职称。</w:t>
      </w:r>
    </w:p>
    <w:p w14:paraId="64922C80">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2）供应商具有有效期内的企业安全生产许可证。</w:t>
      </w:r>
    </w:p>
    <w:p w14:paraId="493667DB">
      <w:pPr>
        <w:pStyle w:val="117"/>
        <w:rPr>
          <w:color w:val="auto"/>
          <w:highlight w:val="none"/>
        </w:rPr>
      </w:pPr>
    </w:p>
    <w:p w14:paraId="3DADC596">
      <w:pPr>
        <w:pStyle w:val="117"/>
        <w:rPr>
          <w:color w:val="auto"/>
          <w:highlight w:val="none"/>
        </w:rPr>
      </w:pPr>
    </w:p>
    <w:p w14:paraId="3263C4B7">
      <w:pPr>
        <w:pStyle w:val="117"/>
        <w:rPr>
          <w:color w:val="auto"/>
          <w:highlight w:val="none"/>
        </w:rPr>
      </w:pPr>
    </w:p>
    <w:p w14:paraId="0F702AED">
      <w:pPr>
        <w:pStyle w:val="117"/>
        <w:rPr>
          <w:color w:val="auto"/>
          <w:highlight w:val="none"/>
        </w:rPr>
      </w:pPr>
    </w:p>
    <w:p w14:paraId="664DD935">
      <w:pPr>
        <w:adjustRightInd w:val="0"/>
        <w:snapToGrid w:val="0"/>
        <w:spacing w:line="288" w:lineRule="auto"/>
        <w:ind w:firstLine="199"/>
        <w:jc w:val="left"/>
        <w:outlineLvl w:val="2"/>
        <w:rPr>
          <w:color w:val="auto"/>
          <w:sz w:val="21"/>
          <w:szCs w:val="21"/>
          <w:highlight w:val="none"/>
        </w:rPr>
      </w:pPr>
      <w:r>
        <w:rPr>
          <w:rFonts w:hint="eastAsia"/>
          <w:b/>
          <w:color w:val="auto"/>
          <w:spacing w:val="-6"/>
          <w:sz w:val="21"/>
          <w:szCs w:val="21"/>
          <w:highlight w:val="none"/>
        </w:rPr>
        <w:t>（</w:t>
      </w:r>
      <w:r>
        <w:rPr>
          <w:b/>
          <w:color w:val="auto"/>
          <w:spacing w:val="-6"/>
          <w:sz w:val="21"/>
          <w:szCs w:val="21"/>
          <w:highlight w:val="none"/>
        </w:rPr>
        <w:t>5）联合协议（以联合体形式响应的，提供联合协议，格式详见附件2）</w:t>
      </w:r>
    </w:p>
    <w:p w14:paraId="1214F7D1">
      <w:pPr>
        <w:widowControl/>
        <w:ind w:firstLine="211"/>
        <w:jc w:val="left"/>
        <w:rPr>
          <w:color w:val="auto"/>
          <w:sz w:val="21"/>
          <w:szCs w:val="21"/>
          <w:highlight w:val="none"/>
        </w:rPr>
      </w:pPr>
      <w:r>
        <w:rPr>
          <w:color w:val="auto"/>
          <w:sz w:val="21"/>
          <w:szCs w:val="21"/>
          <w:highlight w:val="none"/>
        </w:rPr>
        <w:br w:type="page"/>
      </w:r>
    </w:p>
    <w:p w14:paraId="0464C233">
      <w:pPr>
        <w:adjustRightInd w:val="0"/>
        <w:snapToGrid w:val="0"/>
        <w:spacing w:line="288" w:lineRule="auto"/>
        <w:rPr>
          <w:color w:val="auto"/>
          <w:highlight w:val="none"/>
        </w:rPr>
      </w:pPr>
    </w:p>
    <w:p w14:paraId="10DBB95A">
      <w:pPr>
        <w:adjustRightInd w:val="0"/>
        <w:snapToGrid w:val="0"/>
        <w:spacing w:line="288" w:lineRule="auto"/>
        <w:ind w:firstLine="843"/>
        <w:jc w:val="center"/>
        <w:outlineLvl w:val="1"/>
        <w:rPr>
          <w:b/>
          <w:bCs/>
          <w:color w:val="auto"/>
          <w:sz w:val="84"/>
          <w:szCs w:val="84"/>
          <w:highlight w:val="none"/>
        </w:rPr>
      </w:pPr>
      <w:r>
        <w:rPr>
          <w:rFonts w:hint="eastAsia"/>
          <w:b/>
          <w:bCs/>
          <w:color w:val="auto"/>
          <w:sz w:val="84"/>
          <w:szCs w:val="84"/>
          <w:highlight w:val="none"/>
        </w:rPr>
        <w:t>报价文件</w:t>
      </w:r>
    </w:p>
    <w:p w14:paraId="4738CD82">
      <w:pPr>
        <w:adjustRightInd w:val="0"/>
        <w:snapToGrid w:val="0"/>
        <w:spacing w:line="288" w:lineRule="auto"/>
        <w:rPr>
          <w:color w:val="auto"/>
          <w:highlight w:val="none"/>
        </w:rPr>
      </w:pPr>
      <w:r>
        <w:rPr>
          <w:rFonts w:hint="eastAsia"/>
          <w:color w:val="auto"/>
          <w:highlight w:val="none"/>
        </w:rPr>
        <w:br w:type="page"/>
      </w:r>
    </w:p>
    <w:p w14:paraId="685292D0">
      <w:pPr>
        <w:adjustRightInd w:val="0"/>
        <w:snapToGrid w:val="0"/>
        <w:spacing w:line="288" w:lineRule="auto"/>
        <w:ind w:firstLine="211"/>
        <w:jc w:val="center"/>
        <w:outlineLvl w:val="2"/>
        <w:rPr>
          <w:b/>
          <w:bCs/>
          <w:color w:val="auto"/>
          <w:sz w:val="21"/>
          <w:szCs w:val="21"/>
          <w:highlight w:val="none"/>
        </w:rPr>
      </w:pPr>
      <w:r>
        <w:rPr>
          <w:rFonts w:hint="eastAsia"/>
          <w:b/>
          <w:bCs/>
          <w:color w:val="auto"/>
          <w:sz w:val="21"/>
          <w:szCs w:val="21"/>
          <w:highlight w:val="none"/>
        </w:rPr>
        <w:t>（1）初次报价一览表</w:t>
      </w:r>
    </w:p>
    <w:p w14:paraId="596C32B4">
      <w:pPr>
        <w:adjustRightInd w:val="0"/>
        <w:snapToGrid w:val="0"/>
        <w:spacing w:line="288" w:lineRule="auto"/>
        <w:ind w:firstLine="211"/>
        <w:rPr>
          <w:color w:val="auto"/>
          <w:sz w:val="21"/>
          <w:szCs w:val="21"/>
          <w:highlight w:val="none"/>
        </w:rPr>
      </w:pPr>
      <w:r>
        <w:rPr>
          <w:rFonts w:hint="eastAsia"/>
          <w:color w:val="auto"/>
          <w:sz w:val="21"/>
          <w:szCs w:val="21"/>
          <w:highlight w:val="none"/>
        </w:rPr>
        <w:t>采 购 人：浙江交通职业技术学院</w:t>
      </w:r>
    </w:p>
    <w:p w14:paraId="00C6C17E">
      <w:pPr>
        <w:adjustRightInd w:val="0"/>
        <w:snapToGrid w:val="0"/>
        <w:spacing w:line="288" w:lineRule="auto"/>
        <w:ind w:firstLine="211"/>
        <w:rPr>
          <w:color w:val="auto"/>
          <w:sz w:val="21"/>
          <w:szCs w:val="21"/>
          <w:highlight w:val="none"/>
        </w:rPr>
      </w:pPr>
      <w:r>
        <w:rPr>
          <w:rFonts w:hint="eastAsia"/>
          <w:color w:val="auto"/>
          <w:sz w:val="21"/>
          <w:szCs w:val="21"/>
          <w:highlight w:val="none"/>
        </w:rPr>
        <w:t>项目名称：长兴校区道路装饰工程</w:t>
      </w:r>
    </w:p>
    <w:p w14:paraId="124A8609">
      <w:pPr>
        <w:adjustRightInd w:val="0"/>
        <w:snapToGrid w:val="0"/>
        <w:spacing w:line="288" w:lineRule="auto"/>
        <w:ind w:firstLine="211"/>
        <w:rPr>
          <w:color w:val="auto"/>
          <w:sz w:val="21"/>
          <w:szCs w:val="21"/>
          <w:highlight w:val="none"/>
        </w:rPr>
      </w:pPr>
      <w:r>
        <w:rPr>
          <w:rFonts w:hint="eastAsia"/>
          <w:color w:val="auto"/>
          <w:sz w:val="21"/>
          <w:szCs w:val="21"/>
          <w:highlight w:val="none"/>
        </w:rPr>
        <w:t xml:space="preserve">项目编号：QSZB-Z(G)-C24307(CS)  </w:t>
      </w:r>
    </w:p>
    <w:tbl>
      <w:tblPr>
        <w:tblStyle w:val="31"/>
        <w:tblW w:w="991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918"/>
      </w:tblGrid>
      <w:tr w14:paraId="6891BD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918" w:type="dxa"/>
            <w:tcBorders>
              <w:top w:val="single" w:color="auto" w:sz="4" w:space="0"/>
              <w:left w:val="single" w:color="auto" w:sz="4" w:space="0"/>
              <w:bottom w:val="single" w:color="auto" w:sz="4" w:space="0"/>
              <w:right w:val="single" w:color="auto" w:sz="4" w:space="0"/>
            </w:tcBorders>
            <w:vAlign w:val="center"/>
          </w:tcPr>
          <w:p w14:paraId="03B19B75">
            <w:pPr>
              <w:adjustRightInd w:val="0"/>
              <w:snapToGrid w:val="0"/>
              <w:spacing w:line="288" w:lineRule="auto"/>
              <w:ind w:firstLine="198"/>
              <w:jc w:val="center"/>
              <w:rPr>
                <w:rFonts w:cs="Times New Roman"/>
                <w:b/>
                <w:color w:val="auto"/>
                <w:spacing w:val="-6"/>
                <w:sz w:val="21"/>
                <w:szCs w:val="21"/>
                <w:highlight w:val="none"/>
              </w:rPr>
            </w:pPr>
            <w:bookmarkStart w:id="53" w:name="_Hlk97040054"/>
          </w:p>
          <w:p w14:paraId="5C4D1F51">
            <w:pPr>
              <w:adjustRightInd w:val="0"/>
              <w:snapToGrid w:val="0"/>
              <w:spacing w:line="288" w:lineRule="auto"/>
              <w:ind w:firstLine="211"/>
              <w:jc w:val="center"/>
              <w:rPr>
                <w:b/>
                <w:bCs/>
                <w:color w:val="auto"/>
                <w:sz w:val="21"/>
                <w:szCs w:val="21"/>
                <w:highlight w:val="none"/>
              </w:rPr>
            </w:pPr>
            <w:r>
              <w:rPr>
                <w:rFonts w:hint="eastAsia"/>
                <w:b/>
                <w:bCs/>
                <w:color w:val="auto"/>
                <w:sz w:val="21"/>
                <w:szCs w:val="21"/>
                <w:highlight w:val="none"/>
              </w:rPr>
              <w:t>总价（人民币元）</w:t>
            </w:r>
          </w:p>
          <w:p w14:paraId="7F361BA4">
            <w:pPr>
              <w:adjustRightInd w:val="0"/>
              <w:snapToGrid w:val="0"/>
              <w:spacing w:line="288" w:lineRule="auto"/>
              <w:ind w:firstLine="210"/>
              <w:rPr>
                <w:b/>
                <w:bCs/>
                <w:color w:val="auto"/>
                <w:sz w:val="21"/>
                <w:szCs w:val="21"/>
                <w:highlight w:val="none"/>
              </w:rPr>
            </w:pPr>
          </w:p>
          <w:p w14:paraId="31068977">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小写：_________________________</w:t>
            </w:r>
          </w:p>
          <w:p w14:paraId="297B75A7">
            <w:pPr>
              <w:adjustRightInd w:val="0"/>
              <w:snapToGrid w:val="0"/>
              <w:spacing w:line="288" w:lineRule="auto"/>
              <w:ind w:firstLine="210"/>
              <w:rPr>
                <w:b/>
                <w:bCs/>
                <w:color w:val="auto"/>
                <w:sz w:val="21"/>
                <w:szCs w:val="21"/>
                <w:highlight w:val="none"/>
              </w:rPr>
            </w:pPr>
          </w:p>
          <w:p w14:paraId="4DDB3729">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大写：_________________________</w:t>
            </w:r>
          </w:p>
          <w:p w14:paraId="57177F37">
            <w:pPr>
              <w:adjustRightInd w:val="0"/>
              <w:snapToGrid w:val="0"/>
              <w:spacing w:line="288" w:lineRule="auto"/>
              <w:ind w:firstLine="210"/>
              <w:rPr>
                <w:b/>
                <w:bCs/>
                <w:color w:val="auto"/>
                <w:sz w:val="21"/>
                <w:szCs w:val="21"/>
                <w:highlight w:val="none"/>
              </w:rPr>
            </w:pPr>
          </w:p>
        </w:tc>
      </w:tr>
      <w:bookmarkEnd w:id="53"/>
    </w:tbl>
    <w:p w14:paraId="4CE9A9E0">
      <w:pPr>
        <w:adjustRightInd w:val="0"/>
        <w:snapToGrid w:val="0"/>
        <w:spacing w:line="288" w:lineRule="auto"/>
        <w:ind w:firstLine="199"/>
        <w:rPr>
          <w:rFonts w:cs="Times New Roman"/>
          <w:color w:val="auto"/>
          <w:spacing w:val="-6"/>
          <w:sz w:val="21"/>
          <w:szCs w:val="21"/>
          <w:highlight w:val="none"/>
        </w:rPr>
      </w:pPr>
    </w:p>
    <w:p w14:paraId="458A3EC1">
      <w:pPr>
        <w:adjustRightInd w:val="0"/>
        <w:snapToGrid w:val="0"/>
        <w:spacing w:line="288" w:lineRule="auto"/>
        <w:ind w:firstLine="199"/>
        <w:rPr>
          <w:rFonts w:cs="Times New Roman"/>
          <w:b/>
          <w:bCs/>
          <w:color w:val="auto"/>
          <w:spacing w:val="-6"/>
          <w:sz w:val="21"/>
          <w:szCs w:val="21"/>
          <w:highlight w:val="none"/>
        </w:rPr>
      </w:pPr>
      <w:bookmarkStart w:id="54" w:name="_Hlk97040072"/>
      <w:r>
        <w:rPr>
          <w:rFonts w:hint="eastAsia" w:cs="Times New Roman"/>
          <w:b/>
          <w:bCs/>
          <w:color w:val="auto"/>
          <w:spacing w:val="-6"/>
          <w:sz w:val="21"/>
          <w:szCs w:val="21"/>
          <w:highlight w:val="none"/>
        </w:rPr>
        <w:t>说明：</w:t>
      </w:r>
    </w:p>
    <w:p w14:paraId="43C5546E">
      <w:pPr>
        <w:adjustRightInd w:val="0"/>
        <w:snapToGrid w:val="0"/>
        <w:spacing w:line="288" w:lineRule="auto"/>
        <w:ind w:firstLine="199"/>
        <w:rPr>
          <w:rFonts w:cs="Times New Roman"/>
          <w:bCs/>
          <w:color w:val="auto"/>
          <w:spacing w:val="-6"/>
          <w:sz w:val="21"/>
          <w:szCs w:val="21"/>
          <w:highlight w:val="none"/>
        </w:rPr>
      </w:pPr>
      <w:r>
        <w:rPr>
          <w:rFonts w:cs="Times New Roman"/>
          <w:bCs/>
          <w:color w:val="auto"/>
          <w:spacing w:val="-6"/>
          <w:sz w:val="21"/>
          <w:szCs w:val="21"/>
          <w:highlight w:val="none"/>
        </w:rPr>
        <w:t>1.</w:t>
      </w:r>
      <w:r>
        <w:rPr>
          <w:rFonts w:hint="eastAsia" w:cs="Times New Roman"/>
          <w:bCs/>
          <w:color w:val="auto"/>
          <w:spacing w:val="-6"/>
          <w:sz w:val="21"/>
          <w:szCs w:val="21"/>
          <w:highlight w:val="none"/>
        </w:rPr>
        <w:t>此表在不改变格式要求的情况下，可自行增行。</w:t>
      </w:r>
    </w:p>
    <w:p w14:paraId="54DDBF7E">
      <w:pPr>
        <w:adjustRightInd w:val="0"/>
        <w:snapToGrid w:val="0"/>
        <w:spacing w:line="288" w:lineRule="auto"/>
        <w:ind w:firstLine="199"/>
        <w:rPr>
          <w:rFonts w:cs="Times New Roman"/>
          <w:bCs/>
          <w:color w:val="auto"/>
          <w:spacing w:val="-6"/>
          <w:sz w:val="21"/>
          <w:szCs w:val="21"/>
          <w:highlight w:val="none"/>
        </w:rPr>
      </w:pPr>
      <w:r>
        <w:rPr>
          <w:rFonts w:cs="Times New Roman"/>
          <w:bCs/>
          <w:color w:val="auto"/>
          <w:spacing w:val="-6"/>
          <w:sz w:val="21"/>
          <w:szCs w:val="21"/>
          <w:highlight w:val="none"/>
        </w:rPr>
        <w:t>2.有关本项目实施所涉及的一切费用均计入报价。</w:t>
      </w:r>
    </w:p>
    <w:p w14:paraId="074B478C">
      <w:pPr>
        <w:adjustRightInd w:val="0"/>
        <w:snapToGrid w:val="0"/>
        <w:spacing w:line="288" w:lineRule="auto"/>
        <w:ind w:firstLine="199"/>
        <w:rPr>
          <w:rFonts w:cs="Times New Roman"/>
          <w:bCs/>
          <w:color w:val="auto"/>
          <w:spacing w:val="-6"/>
          <w:sz w:val="21"/>
          <w:szCs w:val="21"/>
          <w:highlight w:val="none"/>
        </w:rPr>
      </w:pPr>
      <w:r>
        <w:rPr>
          <w:rFonts w:hint="eastAsia" w:cs="Times New Roman"/>
          <w:bCs/>
          <w:color w:val="auto"/>
          <w:spacing w:val="-6"/>
          <w:sz w:val="21"/>
          <w:szCs w:val="21"/>
          <w:highlight w:val="none"/>
        </w:rPr>
        <w:t>▲</w:t>
      </w:r>
      <w:r>
        <w:rPr>
          <w:rFonts w:cs="Times New Roman"/>
          <w:bCs/>
          <w:color w:val="auto"/>
          <w:spacing w:val="-6"/>
          <w:sz w:val="21"/>
          <w:szCs w:val="21"/>
          <w:highlight w:val="none"/>
        </w:rPr>
        <w:t>3.</w:t>
      </w:r>
      <w:r>
        <w:rPr>
          <w:rFonts w:hint="eastAsia" w:cs="Times New Roman"/>
          <w:bCs/>
          <w:color w:val="auto"/>
          <w:spacing w:val="-6"/>
          <w:sz w:val="21"/>
          <w:szCs w:val="21"/>
          <w:highlight w:val="none"/>
        </w:rPr>
        <w:t>响应报价应由供应商或受其委托具有相应资质的从事工程造价活动的专业人员编制，编制人员应在本人形成的工程造价成果文件上签字并加盖执业印章，并承担相应的法律责任。</w:t>
      </w:r>
    </w:p>
    <w:p w14:paraId="79718851">
      <w:pPr>
        <w:adjustRightInd w:val="0"/>
        <w:snapToGrid w:val="0"/>
        <w:spacing w:line="288" w:lineRule="auto"/>
        <w:ind w:firstLine="198"/>
        <w:jc w:val="left"/>
        <w:rPr>
          <w:rFonts w:cs="Times New Roman"/>
          <w:b/>
          <w:color w:val="auto"/>
          <w:spacing w:val="-6"/>
          <w:sz w:val="21"/>
          <w:szCs w:val="21"/>
          <w:highlight w:val="none"/>
        </w:rPr>
      </w:pPr>
    </w:p>
    <w:p w14:paraId="49A46A8B">
      <w:pPr>
        <w:adjustRightInd w:val="0"/>
        <w:snapToGrid w:val="0"/>
        <w:spacing w:line="288" w:lineRule="auto"/>
        <w:ind w:firstLine="211"/>
        <w:rPr>
          <w:color w:val="auto"/>
          <w:sz w:val="21"/>
          <w:szCs w:val="21"/>
          <w:highlight w:val="none"/>
        </w:rPr>
      </w:pPr>
    </w:p>
    <w:p w14:paraId="3ACF2D59">
      <w:pPr>
        <w:adjustRightInd w:val="0"/>
        <w:snapToGrid w:val="0"/>
        <w:spacing w:line="288" w:lineRule="auto"/>
        <w:ind w:firstLine="211"/>
        <w:rPr>
          <w:color w:val="auto"/>
          <w:sz w:val="21"/>
          <w:szCs w:val="21"/>
          <w:highlight w:val="none"/>
        </w:rPr>
      </w:pPr>
    </w:p>
    <w:p w14:paraId="4B385639">
      <w:pPr>
        <w:adjustRightInd w:val="0"/>
        <w:snapToGrid w:val="0"/>
        <w:spacing w:line="288" w:lineRule="auto"/>
        <w:ind w:firstLine="199"/>
        <w:rPr>
          <w:rFonts w:cs="Times New Roman"/>
          <w:b/>
          <w:bCs/>
          <w:color w:val="auto"/>
          <w:spacing w:val="-6"/>
          <w:sz w:val="21"/>
          <w:szCs w:val="21"/>
          <w:highlight w:val="none"/>
        </w:rPr>
      </w:pPr>
      <w:r>
        <w:rPr>
          <w:rFonts w:hint="eastAsia" w:cs="Times New Roman"/>
          <w:b/>
          <w:bCs/>
          <w:color w:val="auto"/>
          <w:spacing w:val="-6"/>
          <w:sz w:val="21"/>
          <w:szCs w:val="21"/>
          <w:highlight w:val="none"/>
        </w:rPr>
        <w:t>供应商名称（</w:t>
      </w:r>
      <w:r>
        <w:rPr>
          <w:rFonts w:cs="Times New Roman"/>
          <w:b/>
          <w:bCs/>
          <w:color w:val="auto"/>
          <w:spacing w:val="-6"/>
          <w:sz w:val="21"/>
          <w:szCs w:val="21"/>
          <w:highlight w:val="none"/>
        </w:rPr>
        <w:t>电子签名/公章</w:t>
      </w:r>
      <w:r>
        <w:rPr>
          <w:rFonts w:hint="eastAsia" w:cs="Times New Roman"/>
          <w:b/>
          <w:bCs/>
          <w:color w:val="auto"/>
          <w:spacing w:val="-6"/>
          <w:sz w:val="21"/>
          <w:szCs w:val="21"/>
          <w:highlight w:val="none"/>
        </w:rPr>
        <w:t>）：</w:t>
      </w:r>
    </w:p>
    <w:p w14:paraId="6D5CDC00">
      <w:pPr>
        <w:adjustRightInd w:val="0"/>
        <w:snapToGrid w:val="0"/>
        <w:spacing w:line="288" w:lineRule="auto"/>
        <w:ind w:firstLine="199"/>
        <w:rPr>
          <w:rFonts w:cs="Times New Roman"/>
          <w:b/>
          <w:bCs/>
          <w:color w:val="auto"/>
          <w:spacing w:val="-6"/>
          <w:sz w:val="21"/>
          <w:szCs w:val="21"/>
          <w:highlight w:val="none"/>
        </w:rPr>
      </w:pPr>
      <w:r>
        <w:rPr>
          <w:rFonts w:hint="eastAsia" w:cs="Times New Roman"/>
          <w:b/>
          <w:bCs/>
          <w:color w:val="auto"/>
          <w:spacing w:val="-6"/>
          <w:sz w:val="21"/>
          <w:szCs w:val="21"/>
          <w:highlight w:val="none"/>
        </w:rPr>
        <w:t>日期：     年   月   日</w:t>
      </w:r>
    </w:p>
    <w:p w14:paraId="6173D7C4">
      <w:pPr>
        <w:widowControl/>
        <w:ind w:firstLine="199"/>
        <w:jc w:val="left"/>
        <w:rPr>
          <w:rFonts w:cs="Times New Roman"/>
          <w:b/>
          <w:bCs/>
          <w:color w:val="auto"/>
          <w:spacing w:val="-6"/>
          <w:sz w:val="21"/>
          <w:szCs w:val="21"/>
          <w:highlight w:val="none"/>
        </w:rPr>
      </w:pPr>
      <w:r>
        <w:rPr>
          <w:rFonts w:cs="Times New Roman"/>
          <w:b/>
          <w:bCs/>
          <w:color w:val="auto"/>
          <w:spacing w:val="-6"/>
          <w:sz w:val="21"/>
          <w:szCs w:val="21"/>
          <w:highlight w:val="none"/>
        </w:rPr>
        <w:br w:type="page"/>
      </w:r>
    </w:p>
    <w:p w14:paraId="4DEDFBDA">
      <w:pPr>
        <w:widowControl/>
        <w:tabs>
          <w:tab w:val="center" w:pos="4755"/>
          <w:tab w:val="right" w:pos="9070"/>
        </w:tabs>
        <w:spacing w:before="100" w:beforeAutospacing="1" w:after="100" w:afterAutospacing="1" w:line="288" w:lineRule="auto"/>
        <w:ind w:firstLine="241" w:firstLineChars="100"/>
        <w:jc w:val="center"/>
        <w:rPr>
          <w:b/>
          <w:color w:val="auto"/>
          <w:kern w:val="0"/>
          <w:highlight w:val="none"/>
        </w:rPr>
      </w:pPr>
      <w:r>
        <w:rPr>
          <w:rFonts w:hint="eastAsia"/>
          <w:b/>
          <w:color w:val="auto"/>
          <w:kern w:val="0"/>
          <w:highlight w:val="none"/>
        </w:rPr>
        <w:t>磋商响应报价（初次报价）</w:t>
      </w:r>
    </w:p>
    <w:p w14:paraId="65CEBEE4">
      <w:pPr>
        <w:widowControl/>
        <w:tabs>
          <w:tab w:val="center" w:pos="4755"/>
          <w:tab w:val="right" w:pos="9070"/>
        </w:tabs>
        <w:spacing w:before="100" w:beforeAutospacing="1" w:after="100" w:afterAutospacing="1" w:line="288" w:lineRule="auto"/>
        <w:ind w:firstLine="240" w:firstLineChars="100"/>
        <w:jc w:val="center"/>
        <w:rPr>
          <w:color w:val="auto"/>
          <w:kern w:val="0"/>
          <w:highlight w:val="none"/>
        </w:rPr>
      </w:pPr>
    </w:p>
    <w:p w14:paraId="672962F4">
      <w:pPr>
        <w:widowControl/>
        <w:tabs>
          <w:tab w:val="center" w:pos="4755"/>
          <w:tab w:val="right" w:pos="9070"/>
        </w:tabs>
        <w:spacing w:before="100" w:beforeAutospacing="1" w:after="100" w:afterAutospacing="1" w:line="288" w:lineRule="auto"/>
        <w:ind w:firstLine="240" w:firstLineChars="100"/>
        <w:rPr>
          <w:color w:val="auto"/>
          <w:kern w:val="0"/>
          <w:highlight w:val="none"/>
          <w:u w:val="single"/>
        </w:rPr>
      </w:pPr>
      <w:r>
        <w:rPr>
          <w:rFonts w:hint="eastAsia"/>
          <w:color w:val="auto"/>
          <w:kern w:val="0"/>
          <w:highlight w:val="none"/>
        </w:rPr>
        <w:t>建设单位：</w:t>
      </w:r>
      <w:r>
        <w:rPr>
          <w:rFonts w:hint="eastAsia"/>
          <w:color w:val="auto"/>
          <w:kern w:val="0"/>
          <w:highlight w:val="none"/>
          <w:u w:val="single"/>
        </w:rPr>
        <w:t xml:space="preserve">                                 </w:t>
      </w:r>
      <w:r>
        <w:rPr>
          <w:rFonts w:hint="eastAsia"/>
          <w:color w:val="auto"/>
          <w:kern w:val="0"/>
          <w:highlight w:val="none"/>
        </w:rPr>
        <w:t xml:space="preserve">                                                                                                                                                                              </w:t>
      </w:r>
    </w:p>
    <w:p w14:paraId="28A4471C">
      <w:pPr>
        <w:widowControl/>
        <w:tabs>
          <w:tab w:val="center" w:pos="4755"/>
          <w:tab w:val="right" w:pos="9070"/>
        </w:tabs>
        <w:spacing w:before="100" w:beforeAutospacing="1" w:after="100" w:afterAutospacing="1" w:line="288" w:lineRule="auto"/>
        <w:ind w:firstLine="240" w:firstLineChars="100"/>
        <w:rPr>
          <w:color w:val="auto"/>
          <w:kern w:val="0"/>
          <w:highlight w:val="none"/>
        </w:rPr>
      </w:pPr>
      <w:r>
        <w:rPr>
          <w:rFonts w:hint="eastAsia"/>
          <w:color w:val="auto"/>
          <w:kern w:val="0"/>
          <w:highlight w:val="none"/>
        </w:rPr>
        <w:t>项目名称：</w:t>
      </w:r>
      <w:r>
        <w:rPr>
          <w:rFonts w:hint="eastAsia"/>
          <w:color w:val="auto"/>
          <w:kern w:val="0"/>
          <w:highlight w:val="none"/>
          <w:u w:val="single"/>
        </w:rPr>
        <w:t xml:space="preserve">                                 </w:t>
      </w:r>
      <w:r>
        <w:rPr>
          <w:rFonts w:hint="eastAsia"/>
          <w:color w:val="auto"/>
          <w:kern w:val="0"/>
          <w:highlight w:val="none"/>
        </w:rPr>
        <w:t xml:space="preserve">            </w:t>
      </w:r>
    </w:p>
    <w:p w14:paraId="66401122">
      <w:pPr>
        <w:widowControl/>
        <w:tabs>
          <w:tab w:val="center" w:pos="4755"/>
          <w:tab w:val="right" w:pos="9070"/>
        </w:tabs>
        <w:spacing w:before="100" w:beforeAutospacing="1" w:after="100" w:afterAutospacing="1" w:line="288" w:lineRule="auto"/>
        <w:ind w:firstLine="240" w:firstLineChars="100"/>
        <w:rPr>
          <w:color w:val="auto"/>
          <w:kern w:val="0"/>
          <w:highlight w:val="none"/>
          <w:u w:val="single"/>
        </w:rPr>
      </w:pPr>
      <w:r>
        <w:rPr>
          <w:rFonts w:hint="eastAsia"/>
          <w:color w:val="auto"/>
          <w:kern w:val="0"/>
          <w:highlight w:val="none"/>
        </w:rPr>
        <w:t>响应总价（小写）：</w:t>
      </w:r>
      <w:r>
        <w:rPr>
          <w:rFonts w:hint="eastAsia"/>
          <w:color w:val="auto"/>
          <w:kern w:val="0"/>
          <w:highlight w:val="none"/>
          <w:u w:val="single"/>
        </w:rPr>
        <w:t xml:space="preserve">                         </w:t>
      </w:r>
    </w:p>
    <w:p w14:paraId="2CE72C78">
      <w:pPr>
        <w:widowControl/>
        <w:tabs>
          <w:tab w:val="center" w:pos="4755"/>
          <w:tab w:val="right" w:pos="9070"/>
        </w:tabs>
        <w:spacing w:before="100" w:beforeAutospacing="1" w:after="100" w:afterAutospacing="1" w:line="288" w:lineRule="auto"/>
        <w:ind w:firstLine="240" w:firstLineChars="100"/>
        <w:rPr>
          <w:color w:val="auto"/>
          <w:kern w:val="0"/>
          <w:highlight w:val="none"/>
          <w:u w:val="single"/>
        </w:rPr>
      </w:pPr>
      <w:r>
        <w:rPr>
          <w:rFonts w:hint="eastAsia"/>
          <w:color w:val="auto"/>
          <w:kern w:val="0"/>
          <w:highlight w:val="none"/>
        </w:rPr>
        <w:t xml:space="preserve">        （大写）：</w:t>
      </w:r>
      <w:r>
        <w:rPr>
          <w:rFonts w:hint="eastAsia"/>
          <w:color w:val="auto"/>
          <w:kern w:val="0"/>
          <w:highlight w:val="none"/>
          <w:u w:val="single"/>
        </w:rPr>
        <w:t xml:space="preserve">                         </w:t>
      </w:r>
      <w:r>
        <w:rPr>
          <w:rFonts w:hint="eastAsia"/>
          <w:color w:val="auto"/>
          <w:kern w:val="0"/>
          <w:highlight w:val="none"/>
        </w:rPr>
        <w:t xml:space="preserve">             </w:t>
      </w:r>
    </w:p>
    <w:p w14:paraId="63E5DC2B">
      <w:pPr>
        <w:widowControl/>
        <w:tabs>
          <w:tab w:val="center" w:pos="4755"/>
          <w:tab w:val="right" w:pos="9070"/>
        </w:tabs>
        <w:spacing w:before="100" w:beforeAutospacing="1" w:after="100" w:afterAutospacing="1" w:line="288" w:lineRule="auto"/>
        <w:ind w:firstLine="360"/>
        <w:rPr>
          <w:b/>
          <w:color w:val="auto"/>
          <w:kern w:val="0"/>
          <w:highlight w:val="none"/>
        </w:rPr>
      </w:pPr>
    </w:p>
    <w:p w14:paraId="67F06354">
      <w:pPr>
        <w:widowControl/>
        <w:tabs>
          <w:tab w:val="center" w:pos="4755"/>
          <w:tab w:val="right" w:pos="9070"/>
        </w:tabs>
        <w:spacing w:before="100" w:beforeAutospacing="1" w:after="100" w:afterAutospacing="1" w:line="288" w:lineRule="auto"/>
        <w:ind w:right="1280" w:firstLine="240" w:firstLineChars="100"/>
        <w:jc w:val="center"/>
        <w:rPr>
          <w:color w:val="auto"/>
          <w:kern w:val="0"/>
          <w:highlight w:val="none"/>
        </w:rPr>
      </w:pPr>
    </w:p>
    <w:p w14:paraId="06B8BC42">
      <w:pPr>
        <w:widowControl/>
        <w:tabs>
          <w:tab w:val="center" w:pos="4755"/>
          <w:tab w:val="right" w:pos="9070"/>
        </w:tabs>
        <w:spacing w:before="100" w:beforeAutospacing="1" w:after="100" w:afterAutospacing="1" w:line="288" w:lineRule="auto"/>
        <w:ind w:firstLine="240" w:firstLineChars="100"/>
        <w:rPr>
          <w:color w:val="auto"/>
          <w:kern w:val="0"/>
          <w:highlight w:val="none"/>
        </w:rPr>
      </w:pPr>
      <w:r>
        <w:rPr>
          <w:rFonts w:hint="eastAsia"/>
          <w:color w:val="auto"/>
          <w:kern w:val="0"/>
          <w:highlight w:val="none"/>
        </w:rPr>
        <w:t xml:space="preserve">响   应   方： </w:t>
      </w:r>
      <w:r>
        <w:rPr>
          <w:rFonts w:hint="eastAsia"/>
          <w:color w:val="auto"/>
          <w:kern w:val="0"/>
          <w:highlight w:val="none"/>
          <w:u w:val="single"/>
        </w:rPr>
        <w:t xml:space="preserve">                    </w:t>
      </w:r>
      <w:r>
        <w:rPr>
          <w:rFonts w:hint="eastAsia"/>
          <w:color w:val="auto"/>
          <w:kern w:val="0"/>
          <w:highlight w:val="none"/>
        </w:rPr>
        <w:t>（单位盖章）</w:t>
      </w:r>
    </w:p>
    <w:p w14:paraId="5682B19F">
      <w:pPr>
        <w:pStyle w:val="26"/>
        <w:spacing w:line="288" w:lineRule="auto"/>
        <w:ind w:firstLine="240" w:firstLineChars="100"/>
        <w:jc w:val="both"/>
        <w:rPr>
          <w:rFonts w:ascii="ˎ̥" w:hAnsi="ˎ̥"/>
          <w:color w:val="auto"/>
          <w:highlight w:val="none"/>
        </w:rPr>
      </w:pPr>
      <w:r>
        <w:rPr>
          <w:rFonts w:ascii="ˎ̥" w:hAnsi="ˎ̥"/>
          <w:color w:val="auto"/>
          <w:highlight w:val="none"/>
        </w:rPr>
        <w:t>法</w:t>
      </w:r>
      <w:r>
        <w:rPr>
          <w:rFonts w:hint="eastAsia" w:ascii="ˎ̥" w:hAnsi="ˎ̥"/>
          <w:color w:val="auto"/>
          <w:highlight w:val="none"/>
        </w:rPr>
        <w:t xml:space="preserve"> </w:t>
      </w:r>
      <w:r>
        <w:rPr>
          <w:rFonts w:ascii="ˎ̥" w:hAnsi="ˎ̥"/>
          <w:color w:val="auto"/>
          <w:highlight w:val="none"/>
        </w:rPr>
        <w:t>定</w:t>
      </w:r>
      <w:r>
        <w:rPr>
          <w:rFonts w:hint="eastAsia" w:ascii="ˎ̥" w:hAnsi="ˎ̥"/>
          <w:color w:val="auto"/>
          <w:highlight w:val="none"/>
        </w:rPr>
        <w:t xml:space="preserve"> </w:t>
      </w:r>
      <w:r>
        <w:rPr>
          <w:rFonts w:ascii="ˎ̥" w:hAnsi="ˎ̥"/>
          <w:color w:val="auto"/>
          <w:highlight w:val="none"/>
        </w:rPr>
        <w:t>代</w:t>
      </w:r>
      <w:r>
        <w:rPr>
          <w:rFonts w:hint="eastAsia" w:ascii="ˎ̥" w:hAnsi="ˎ̥"/>
          <w:color w:val="auto"/>
          <w:highlight w:val="none"/>
        </w:rPr>
        <w:t xml:space="preserve"> </w:t>
      </w:r>
      <w:r>
        <w:rPr>
          <w:rFonts w:ascii="ˎ̥" w:hAnsi="ˎ̥"/>
          <w:color w:val="auto"/>
          <w:highlight w:val="none"/>
        </w:rPr>
        <w:t>表</w:t>
      </w:r>
      <w:r>
        <w:rPr>
          <w:rFonts w:hint="eastAsia" w:ascii="ˎ̥" w:hAnsi="ˎ̥"/>
          <w:color w:val="auto"/>
          <w:highlight w:val="none"/>
        </w:rPr>
        <w:t xml:space="preserve"> </w:t>
      </w:r>
      <w:r>
        <w:rPr>
          <w:rFonts w:ascii="ˎ̥" w:hAnsi="ˎ̥"/>
          <w:color w:val="auto"/>
          <w:highlight w:val="none"/>
        </w:rPr>
        <w:t>人：</w:t>
      </w:r>
      <w:r>
        <w:rPr>
          <w:rFonts w:hint="eastAsia"/>
          <w:color w:val="auto"/>
          <w:highlight w:val="none"/>
        </w:rPr>
        <w:t xml:space="preserve"> </w:t>
      </w:r>
      <w:r>
        <w:rPr>
          <w:rFonts w:hint="eastAsia"/>
          <w:color w:val="auto"/>
          <w:highlight w:val="none"/>
          <w:u w:val="single"/>
        </w:rPr>
        <w:t xml:space="preserve">                 </w:t>
      </w:r>
      <w:r>
        <w:rPr>
          <w:rFonts w:ascii="ˎ̥" w:hAnsi="ˎ̥"/>
          <w:color w:val="auto"/>
          <w:highlight w:val="none"/>
        </w:rPr>
        <w:t>（签字或盖章）</w:t>
      </w:r>
    </w:p>
    <w:p w14:paraId="32DD865D">
      <w:pPr>
        <w:widowControl/>
        <w:tabs>
          <w:tab w:val="center" w:pos="4755"/>
          <w:tab w:val="right" w:pos="9070"/>
        </w:tabs>
        <w:spacing w:before="100" w:beforeAutospacing="1" w:after="100" w:afterAutospacing="1" w:line="288" w:lineRule="auto"/>
        <w:ind w:firstLine="240" w:firstLineChars="100"/>
        <w:rPr>
          <w:color w:val="auto"/>
          <w:kern w:val="0"/>
          <w:highlight w:val="none"/>
        </w:rPr>
      </w:pPr>
      <w:r>
        <w:rPr>
          <w:rFonts w:hint="eastAsia"/>
          <w:color w:val="auto"/>
          <w:kern w:val="0"/>
          <w:highlight w:val="none"/>
        </w:rPr>
        <w:t xml:space="preserve">编  制 </w:t>
      </w:r>
      <w:r>
        <w:rPr>
          <w:color w:val="auto"/>
          <w:kern w:val="0"/>
          <w:highlight w:val="none"/>
        </w:rPr>
        <w:t xml:space="preserve"> </w:t>
      </w:r>
      <w:r>
        <w:rPr>
          <w:rFonts w:hint="eastAsia"/>
          <w:color w:val="auto"/>
          <w:kern w:val="0"/>
          <w:highlight w:val="none"/>
        </w:rPr>
        <w:t xml:space="preserve">人 </w:t>
      </w:r>
      <w:r>
        <w:rPr>
          <w:color w:val="auto"/>
          <w:kern w:val="0"/>
          <w:highlight w:val="none"/>
        </w:rPr>
        <w:t xml:space="preserve"> </w:t>
      </w:r>
      <w:r>
        <w:rPr>
          <w:rFonts w:hint="eastAsia"/>
          <w:color w:val="auto"/>
          <w:kern w:val="0"/>
          <w:highlight w:val="none"/>
        </w:rPr>
        <w:t>员：</w:t>
      </w:r>
      <w:r>
        <w:rPr>
          <w:rFonts w:hint="eastAsia"/>
          <w:color w:val="auto"/>
          <w:kern w:val="0"/>
          <w:highlight w:val="none"/>
          <w:u w:val="single"/>
        </w:rPr>
        <w:t xml:space="preserve">                 </w:t>
      </w:r>
      <w:r>
        <w:rPr>
          <w:rFonts w:hint="eastAsia"/>
          <w:color w:val="auto"/>
          <w:kern w:val="0"/>
          <w:highlight w:val="none"/>
        </w:rPr>
        <w:t>（签字及盖执业专用章）</w:t>
      </w:r>
    </w:p>
    <w:p w14:paraId="53EADAAC">
      <w:pPr>
        <w:widowControl/>
        <w:tabs>
          <w:tab w:val="center" w:pos="4755"/>
          <w:tab w:val="right" w:pos="9720"/>
        </w:tabs>
        <w:spacing w:before="100" w:beforeAutospacing="1" w:after="100" w:afterAutospacing="1" w:line="288" w:lineRule="auto"/>
        <w:ind w:firstLine="240" w:firstLineChars="100"/>
        <w:rPr>
          <w:color w:val="auto"/>
          <w:kern w:val="0"/>
          <w:highlight w:val="none"/>
        </w:rPr>
      </w:pPr>
      <w:r>
        <w:rPr>
          <w:rFonts w:hint="eastAsia"/>
          <w:color w:val="auto"/>
          <w:kern w:val="0"/>
          <w:highlight w:val="none"/>
        </w:rPr>
        <w:t xml:space="preserve">编  制  时  间：                </w:t>
      </w:r>
    </w:p>
    <w:p w14:paraId="081F6422">
      <w:pPr>
        <w:widowControl/>
        <w:tabs>
          <w:tab w:val="center" w:pos="4755"/>
          <w:tab w:val="right" w:pos="9720"/>
        </w:tabs>
        <w:spacing w:before="100" w:beforeAutospacing="1" w:after="100" w:afterAutospacing="1" w:line="288" w:lineRule="auto"/>
        <w:rPr>
          <w:color w:val="auto"/>
          <w:kern w:val="0"/>
          <w:sz w:val="32"/>
          <w:szCs w:val="32"/>
          <w:highlight w:val="none"/>
        </w:rPr>
      </w:pPr>
      <w:r>
        <w:rPr>
          <w:rFonts w:hint="eastAsia"/>
          <w:color w:val="auto"/>
          <w:kern w:val="0"/>
          <w:highlight w:val="none"/>
        </w:rPr>
        <w:br w:type="page"/>
      </w:r>
    </w:p>
    <w:bookmarkEnd w:id="54"/>
    <w:tbl>
      <w:tblPr>
        <w:tblStyle w:val="31"/>
        <w:tblW w:w="10490" w:type="dxa"/>
        <w:tblInd w:w="108" w:type="dxa"/>
        <w:tblLayout w:type="autofit"/>
        <w:tblCellMar>
          <w:top w:w="0" w:type="dxa"/>
          <w:left w:w="108" w:type="dxa"/>
          <w:bottom w:w="0" w:type="dxa"/>
          <w:right w:w="108" w:type="dxa"/>
        </w:tblCellMar>
      </w:tblPr>
      <w:tblGrid>
        <w:gridCol w:w="567"/>
        <w:gridCol w:w="1560"/>
        <w:gridCol w:w="3685"/>
        <w:gridCol w:w="709"/>
        <w:gridCol w:w="850"/>
        <w:gridCol w:w="709"/>
        <w:gridCol w:w="992"/>
        <w:gridCol w:w="851"/>
        <w:gridCol w:w="567"/>
      </w:tblGrid>
      <w:tr w14:paraId="6BCF1F16">
        <w:tblPrEx>
          <w:tblCellMar>
            <w:top w:w="0" w:type="dxa"/>
            <w:left w:w="108" w:type="dxa"/>
            <w:bottom w:w="0" w:type="dxa"/>
            <w:right w:w="108" w:type="dxa"/>
          </w:tblCellMar>
        </w:tblPrEx>
        <w:trPr>
          <w:trHeight w:val="852" w:hRule="atLeast"/>
        </w:trPr>
        <w:tc>
          <w:tcPr>
            <w:tcW w:w="10490" w:type="dxa"/>
            <w:gridSpan w:val="9"/>
            <w:tcBorders>
              <w:top w:val="nil"/>
              <w:left w:val="nil"/>
              <w:bottom w:val="nil"/>
              <w:right w:val="nil"/>
            </w:tcBorders>
            <w:shd w:val="clear" w:color="auto" w:fill="auto"/>
            <w:noWrap/>
            <w:vAlign w:val="center"/>
          </w:tcPr>
          <w:p w14:paraId="1580A8CD">
            <w:pPr>
              <w:widowControl/>
              <w:jc w:val="center"/>
              <w:rPr>
                <w:rFonts w:ascii="新宋体" w:hAnsi="新宋体" w:eastAsia="新宋体" w:cs="Arial"/>
                <w:b/>
                <w:bCs/>
                <w:color w:val="auto"/>
                <w:kern w:val="0"/>
                <w:sz w:val="40"/>
                <w:szCs w:val="40"/>
                <w:highlight w:val="none"/>
              </w:rPr>
            </w:pPr>
            <w:r>
              <w:rPr>
                <w:rFonts w:hint="eastAsia" w:ascii="新宋体" w:hAnsi="新宋体" w:eastAsia="新宋体" w:cs="Arial"/>
                <w:b/>
                <w:bCs/>
                <w:color w:val="auto"/>
                <w:kern w:val="0"/>
                <w:sz w:val="40"/>
                <w:szCs w:val="40"/>
                <w:highlight w:val="none"/>
              </w:rPr>
              <w:t>工 程 量 清 单</w:t>
            </w:r>
          </w:p>
        </w:tc>
      </w:tr>
      <w:tr w14:paraId="28B24B8C">
        <w:tblPrEx>
          <w:tblCellMar>
            <w:top w:w="0" w:type="dxa"/>
            <w:left w:w="108" w:type="dxa"/>
            <w:bottom w:w="0" w:type="dxa"/>
            <w:right w:w="108" w:type="dxa"/>
          </w:tblCellMar>
        </w:tblPrEx>
        <w:trPr>
          <w:gridAfter w:val="1"/>
          <w:wAfter w:w="567" w:type="dxa"/>
          <w:trHeight w:val="600" w:hRule="atLeast"/>
        </w:trPr>
        <w:tc>
          <w:tcPr>
            <w:tcW w:w="9072" w:type="dxa"/>
            <w:gridSpan w:val="7"/>
            <w:tcBorders>
              <w:top w:val="nil"/>
              <w:left w:val="nil"/>
              <w:bottom w:val="single" w:color="auto" w:sz="4" w:space="0"/>
              <w:right w:val="nil"/>
            </w:tcBorders>
            <w:shd w:val="clear" w:color="auto" w:fill="auto"/>
            <w:noWrap/>
            <w:vAlign w:val="center"/>
          </w:tcPr>
          <w:p w14:paraId="41E41D05">
            <w:pPr>
              <w:widowControl/>
              <w:jc w:val="left"/>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项目名称：长兴校区道路装饰工程</w:t>
            </w:r>
          </w:p>
        </w:tc>
        <w:tc>
          <w:tcPr>
            <w:tcW w:w="851" w:type="dxa"/>
            <w:tcBorders>
              <w:top w:val="nil"/>
              <w:left w:val="nil"/>
              <w:bottom w:val="nil"/>
              <w:right w:val="nil"/>
            </w:tcBorders>
            <w:shd w:val="clear" w:color="auto" w:fill="auto"/>
            <w:noWrap/>
            <w:vAlign w:val="center"/>
          </w:tcPr>
          <w:p w14:paraId="2643CA70">
            <w:pPr>
              <w:widowControl/>
              <w:jc w:val="left"/>
              <w:rPr>
                <w:rFonts w:ascii="新宋体" w:hAnsi="新宋体" w:eastAsia="新宋体" w:cs="Arial"/>
                <w:color w:val="auto"/>
                <w:kern w:val="0"/>
                <w:sz w:val="22"/>
                <w:szCs w:val="22"/>
                <w:highlight w:val="none"/>
              </w:rPr>
            </w:pPr>
          </w:p>
        </w:tc>
      </w:tr>
      <w:tr w14:paraId="1C42E87C">
        <w:tblPrEx>
          <w:tblCellMar>
            <w:top w:w="0" w:type="dxa"/>
            <w:left w:w="108" w:type="dxa"/>
            <w:bottom w:w="0" w:type="dxa"/>
            <w:right w:w="108" w:type="dxa"/>
          </w:tblCellMar>
        </w:tblPrEx>
        <w:trPr>
          <w:gridAfter w:val="1"/>
          <w:wAfter w:w="567" w:type="dxa"/>
          <w:trHeight w:val="66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48A93187">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序号</w:t>
            </w:r>
          </w:p>
        </w:tc>
        <w:tc>
          <w:tcPr>
            <w:tcW w:w="1560" w:type="dxa"/>
            <w:tcBorders>
              <w:top w:val="nil"/>
              <w:left w:val="nil"/>
              <w:bottom w:val="single" w:color="auto" w:sz="4" w:space="0"/>
              <w:right w:val="single" w:color="auto" w:sz="4" w:space="0"/>
            </w:tcBorders>
            <w:shd w:val="clear" w:color="auto" w:fill="auto"/>
            <w:noWrap/>
            <w:vAlign w:val="center"/>
          </w:tcPr>
          <w:p w14:paraId="0B465F86">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项目名称</w:t>
            </w:r>
          </w:p>
        </w:tc>
        <w:tc>
          <w:tcPr>
            <w:tcW w:w="3685" w:type="dxa"/>
            <w:tcBorders>
              <w:top w:val="nil"/>
              <w:left w:val="nil"/>
              <w:bottom w:val="single" w:color="auto" w:sz="4" w:space="0"/>
              <w:right w:val="single" w:color="auto" w:sz="4" w:space="0"/>
            </w:tcBorders>
            <w:shd w:val="clear" w:color="auto" w:fill="auto"/>
            <w:vAlign w:val="center"/>
          </w:tcPr>
          <w:p w14:paraId="42A7A293">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规格</w:t>
            </w:r>
          </w:p>
        </w:tc>
        <w:tc>
          <w:tcPr>
            <w:tcW w:w="709" w:type="dxa"/>
            <w:tcBorders>
              <w:top w:val="nil"/>
              <w:left w:val="nil"/>
              <w:bottom w:val="single" w:color="auto" w:sz="4" w:space="0"/>
              <w:right w:val="single" w:color="auto" w:sz="4" w:space="0"/>
            </w:tcBorders>
            <w:shd w:val="clear" w:color="auto" w:fill="auto"/>
            <w:noWrap/>
            <w:vAlign w:val="center"/>
          </w:tcPr>
          <w:p w14:paraId="2EE88BAE">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单位</w:t>
            </w:r>
          </w:p>
        </w:tc>
        <w:tc>
          <w:tcPr>
            <w:tcW w:w="850" w:type="dxa"/>
            <w:tcBorders>
              <w:top w:val="nil"/>
              <w:left w:val="nil"/>
              <w:bottom w:val="single" w:color="auto" w:sz="4" w:space="0"/>
              <w:right w:val="single" w:color="auto" w:sz="4" w:space="0"/>
            </w:tcBorders>
            <w:shd w:val="clear" w:color="auto" w:fill="auto"/>
            <w:noWrap/>
            <w:vAlign w:val="center"/>
          </w:tcPr>
          <w:p w14:paraId="78F96B9C">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数量</w:t>
            </w:r>
          </w:p>
        </w:tc>
        <w:tc>
          <w:tcPr>
            <w:tcW w:w="709" w:type="dxa"/>
            <w:tcBorders>
              <w:top w:val="nil"/>
              <w:left w:val="nil"/>
              <w:bottom w:val="single" w:color="auto" w:sz="4" w:space="0"/>
              <w:right w:val="single" w:color="auto" w:sz="4" w:space="0"/>
            </w:tcBorders>
            <w:shd w:val="clear" w:color="auto" w:fill="auto"/>
            <w:noWrap/>
            <w:vAlign w:val="center"/>
          </w:tcPr>
          <w:p w14:paraId="2BDB6B73">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单价</w:t>
            </w:r>
          </w:p>
        </w:tc>
        <w:tc>
          <w:tcPr>
            <w:tcW w:w="992" w:type="dxa"/>
            <w:tcBorders>
              <w:top w:val="nil"/>
              <w:left w:val="nil"/>
              <w:bottom w:val="single" w:color="auto" w:sz="4" w:space="0"/>
              <w:right w:val="single" w:color="auto" w:sz="4" w:space="0"/>
            </w:tcBorders>
            <w:shd w:val="clear" w:color="auto" w:fill="auto"/>
            <w:noWrap/>
            <w:vAlign w:val="center"/>
          </w:tcPr>
          <w:p w14:paraId="48381DC2">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合计</w:t>
            </w:r>
          </w:p>
        </w:tc>
        <w:tc>
          <w:tcPr>
            <w:tcW w:w="851" w:type="dxa"/>
            <w:tcBorders>
              <w:top w:val="single" w:color="auto" w:sz="4" w:space="0"/>
              <w:left w:val="nil"/>
              <w:bottom w:val="single" w:color="auto" w:sz="4" w:space="0"/>
              <w:right w:val="single" w:color="auto" w:sz="4" w:space="0"/>
            </w:tcBorders>
            <w:shd w:val="clear" w:color="auto" w:fill="auto"/>
            <w:vAlign w:val="center"/>
          </w:tcPr>
          <w:p w14:paraId="035189A2">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备注</w:t>
            </w:r>
          </w:p>
        </w:tc>
      </w:tr>
      <w:tr w14:paraId="0615FBB3">
        <w:tblPrEx>
          <w:tblCellMar>
            <w:top w:w="0" w:type="dxa"/>
            <w:left w:w="108" w:type="dxa"/>
            <w:bottom w:w="0" w:type="dxa"/>
            <w:right w:w="108" w:type="dxa"/>
          </w:tblCellMar>
        </w:tblPrEx>
        <w:trPr>
          <w:gridAfter w:val="1"/>
          <w:wAfter w:w="567" w:type="dxa"/>
          <w:trHeight w:val="138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2E5A0D3C">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1</w:t>
            </w:r>
          </w:p>
        </w:tc>
        <w:tc>
          <w:tcPr>
            <w:tcW w:w="1560" w:type="dxa"/>
            <w:tcBorders>
              <w:top w:val="nil"/>
              <w:left w:val="nil"/>
              <w:bottom w:val="single" w:color="auto" w:sz="4" w:space="0"/>
              <w:right w:val="single" w:color="auto" w:sz="4" w:space="0"/>
            </w:tcBorders>
            <w:shd w:val="clear" w:color="auto" w:fill="auto"/>
            <w:noWrap/>
            <w:vAlign w:val="center"/>
          </w:tcPr>
          <w:p w14:paraId="76DC089D">
            <w:pPr>
              <w:widowControl/>
              <w:jc w:val="left"/>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花箱</w:t>
            </w:r>
          </w:p>
        </w:tc>
        <w:tc>
          <w:tcPr>
            <w:tcW w:w="3685" w:type="dxa"/>
            <w:tcBorders>
              <w:top w:val="nil"/>
              <w:left w:val="nil"/>
              <w:bottom w:val="single" w:color="auto" w:sz="4" w:space="0"/>
              <w:right w:val="single" w:color="auto" w:sz="4" w:space="0"/>
            </w:tcBorders>
            <w:shd w:val="clear" w:color="auto" w:fill="auto"/>
            <w:vAlign w:val="center"/>
          </w:tcPr>
          <w:p w14:paraId="08868CE8">
            <w:pPr>
              <w:widowControl/>
              <w:jc w:val="left"/>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定制不锈钢花箱，800*400*800，板厚度≥1.0mm，喷塑氟碳烤漆，含内部支架、不锈钢底板、无纺布内衬等，定制学校LOGO，按要求安装摆放，具体参照采购需求。</w:t>
            </w:r>
          </w:p>
        </w:tc>
        <w:tc>
          <w:tcPr>
            <w:tcW w:w="709" w:type="dxa"/>
            <w:tcBorders>
              <w:top w:val="nil"/>
              <w:left w:val="nil"/>
              <w:bottom w:val="single" w:color="auto" w:sz="4" w:space="0"/>
              <w:right w:val="single" w:color="auto" w:sz="4" w:space="0"/>
            </w:tcBorders>
            <w:shd w:val="clear" w:color="auto" w:fill="auto"/>
            <w:noWrap/>
            <w:vAlign w:val="center"/>
          </w:tcPr>
          <w:p w14:paraId="30E231D7">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只</w:t>
            </w:r>
          </w:p>
        </w:tc>
        <w:tc>
          <w:tcPr>
            <w:tcW w:w="850" w:type="dxa"/>
            <w:tcBorders>
              <w:top w:val="nil"/>
              <w:left w:val="nil"/>
              <w:bottom w:val="single" w:color="auto" w:sz="4" w:space="0"/>
              <w:right w:val="single" w:color="auto" w:sz="4" w:space="0"/>
            </w:tcBorders>
            <w:shd w:val="clear" w:color="auto" w:fill="auto"/>
            <w:noWrap/>
            <w:vAlign w:val="center"/>
          </w:tcPr>
          <w:p w14:paraId="3A66B7F8">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sz w:val="22"/>
                <w:szCs w:val="22"/>
                <w:highlight w:val="none"/>
              </w:rPr>
              <w:t>44</w:t>
            </w:r>
          </w:p>
        </w:tc>
        <w:tc>
          <w:tcPr>
            <w:tcW w:w="709" w:type="dxa"/>
            <w:tcBorders>
              <w:top w:val="nil"/>
              <w:left w:val="nil"/>
              <w:bottom w:val="single" w:color="auto" w:sz="4" w:space="0"/>
              <w:right w:val="single" w:color="auto" w:sz="4" w:space="0"/>
            </w:tcBorders>
            <w:shd w:val="clear" w:color="auto" w:fill="auto"/>
            <w:noWrap/>
            <w:vAlign w:val="center"/>
          </w:tcPr>
          <w:p w14:paraId="25515D5D">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992" w:type="dxa"/>
            <w:tcBorders>
              <w:top w:val="nil"/>
              <w:left w:val="nil"/>
              <w:bottom w:val="single" w:color="auto" w:sz="4" w:space="0"/>
              <w:right w:val="single" w:color="auto" w:sz="4" w:space="0"/>
            </w:tcBorders>
            <w:shd w:val="clear" w:color="auto" w:fill="auto"/>
            <w:noWrap/>
            <w:vAlign w:val="center"/>
          </w:tcPr>
          <w:p w14:paraId="31E32296">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851" w:type="dxa"/>
            <w:tcBorders>
              <w:top w:val="nil"/>
              <w:left w:val="nil"/>
              <w:bottom w:val="single" w:color="auto" w:sz="4" w:space="0"/>
              <w:right w:val="single" w:color="auto" w:sz="4" w:space="0"/>
            </w:tcBorders>
            <w:shd w:val="clear" w:color="auto" w:fill="auto"/>
            <w:vAlign w:val="center"/>
          </w:tcPr>
          <w:p w14:paraId="52F3EB1A">
            <w:pPr>
              <w:widowControl/>
              <w:jc w:val="left"/>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r>
      <w:tr w14:paraId="56B82FBE">
        <w:tblPrEx>
          <w:tblCellMar>
            <w:top w:w="0" w:type="dxa"/>
            <w:left w:w="108" w:type="dxa"/>
            <w:bottom w:w="0" w:type="dxa"/>
            <w:right w:w="108" w:type="dxa"/>
          </w:tblCellMar>
        </w:tblPrEx>
        <w:trPr>
          <w:gridAfter w:val="1"/>
          <w:wAfter w:w="567" w:type="dxa"/>
          <w:trHeight w:val="139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2BAA4A2E">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2</w:t>
            </w:r>
          </w:p>
        </w:tc>
        <w:tc>
          <w:tcPr>
            <w:tcW w:w="1560" w:type="dxa"/>
            <w:tcBorders>
              <w:top w:val="nil"/>
              <w:left w:val="nil"/>
              <w:bottom w:val="single" w:color="auto" w:sz="4" w:space="0"/>
              <w:right w:val="single" w:color="auto" w:sz="4" w:space="0"/>
            </w:tcBorders>
            <w:shd w:val="clear" w:color="auto" w:fill="auto"/>
            <w:noWrap/>
            <w:vAlign w:val="center"/>
          </w:tcPr>
          <w:p w14:paraId="1D4F7119">
            <w:pPr>
              <w:widowControl/>
              <w:jc w:val="left"/>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花箱</w:t>
            </w:r>
          </w:p>
        </w:tc>
        <w:tc>
          <w:tcPr>
            <w:tcW w:w="3685" w:type="dxa"/>
            <w:tcBorders>
              <w:top w:val="nil"/>
              <w:left w:val="nil"/>
              <w:bottom w:val="single" w:color="auto" w:sz="4" w:space="0"/>
              <w:right w:val="single" w:color="auto" w:sz="4" w:space="0"/>
            </w:tcBorders>
            <w:shd w:val="clear" w:color="auto" w:fill="auto"/>
            <w:vAlign w:val="center"/>
          </w:tcPr>
          <w:p w14:paraId="05564FEC">
            <w:pPr>
              <w:widowControl/>
              <w:jc w:val="left"/>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定制不锈钢花箱，1200*400*600mm，板厚度≥1.0mm，，喷塑氟碳烤漆，含内部支架、不锈钢底板、无纺布内衬等，定制学校LOGO，按要求安装摆放，具体参照采购需求。</w:t>
            </w:r>
          </w:p>
        </w:tc>
        <w:tc>
          <w:tcPr>
            <w:tcW w:w="709" w:type="dxa"/>
            <w:tcBorders>
              <w:top w:val="nil"/>
              <w:left w:val="nil"/>
              <w:bottom w:val="single" w:color="auto" w:sz="4" w:space="0"/>
              <w:right w:val="single" w:color="auto" w:sz="4" w:space="0"/>
            </w:tcBorders>
            <w:shd w:val="clear" w:color="auto" w:fill="auto"/>
            <w:noWrap/>
            <w:vAlign w:val="center"/>
          </w:tcPr>
          <w:p w14:paraId="20EDA580">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只</w:t>
            </w:r>
          </w:p>
        </w:tc>
        <w:tc>
          <w:tcPr>
            <w:tcW w:w="850" w:type="dxa"/>
            <w:tcBorders>
              <w:top w:val="nil"/>
              <w:left w:val="nil"/>
              <w:bottom w:val="single" w:color="auto" w:sz="4" w:space="0"/>
              <w:right w:val="single" w:color="auto" w:sz="4" w:space="0"/>
            </w:tcBorders>
            <w:shd w:val="clear" w:color="auto" w:fill="auto"/>
            <w:noWrap/>
            <w:vAlign w:val="center"/>
          </w:tcPr>
          <w:p w14:paraId="6B025C7B">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sz w:val="22"/>
                <w:szCs w:val="22"/>
                <w:highlight w:val="none"/>
              </w:rPr>
              <w:t>134</w:t>
            </w:r>
          </w:p>
        </w:tc>
        <w:tc>
          <w:tcPr>
            <w:tcW w:w="709" w:type="dxa"/>
            <w:tcBorders>
              <w:top w:val="nil"/>
              <w:left w:val="nil"/>
              <w:bottom w:val="single" w:color="auto" w:sz="4" w:space="0"/>
              <w:right w:val="single" w:color="auto" w:sz="4" w:space="0"/>
            </w:tcBorders>
            <w:shd w:val="clear" w:color="auto" w:fill="auto"/>
            <w:noWrap/>
            <w:vAlign w:val="center"/>
          </w:tcPr>
          <w:p w14:paraId="2C84B2CD">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992" w:type="dxa"/>
            <w:tcBorders>
              <w:top w:val="nil"/>
              <w:left w:val="nil"/>
              <w:bottom w:val="single" w:color="auto" w:sz="4" w:space="0"/>
              <w:right w:val="single" w:color="auto" w:sz="4" w:space="0"/>
            </w:tcBorders>
            <w:shd w:val="clear" w:color="auto" w:fill="auto"/>
            <w:noWrap/>
            <w:vAlign w:val="center"/>
          </w:tcPr>
          <w:p w14:paraId="13348B0E">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851" w:type="dxa"/>
            <w:tcBorders>
              <w:top w:val="nil"/>
              <w:left w:val="nil"/>
              <w:bottom w:val="single" w:color="auto" w:sz="4" w:space="0"/>
              <w:right w:val="single" w:color="auto" w:sz="4" w:space="0"/>
            </w:tcBorders>
            <w:shd w:val="clear" w:color="auto" w:fill="auto"/>
            <w:vAlign w:val="center"/>
          </w:tcPr>
          <w:p w14:paraId="49436DF9">
            <w:pPr>
              <w:widowControl/>
              <w:jc w:val="left"/>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r>
      <w:tr w14:paraId="3AD0AA9D">
        <w:tblPrEx>
          <w:tblCellMar>
            <w:top w:w="0" w:type="dxa"/>
            <w:left w:w="108" w:type="dxa"/>
            <w:bottom w:w="0" w:type="dxa"/>
            <w:right w:w="108" w:type="dxa"/>
          </w:tblCellMar>
        </w:tblPrEx>
        <w:trPr>
          <w:gridAfter w:val="1"/>
          <w:wAfter w:w="567" w:type="dxa"/>
          <w:trHeight w:val="111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6E6B9ED5">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3</w:t>
            </w:r>
          </w:p>
        </w:tc>
        <w:tc>
          <w:tcPr>
            <w:tcW w:w="1560" w:type="dxa"/>
            <w:tcBorders>
              <w:top w:val="nil"/>
              <w:left w:val="nil"/>
              <w:bottom w:val="single" w:color="auto" w:sz="4" w:space="0"/>
              <w:right w:val="single" w:color="auto" w:sz="4" w:space="0"/>
            </w:tcBorders>
            <w:shd w:val="clear" w:color="auto" w:fill="auto"/>
            <w:noWrap/>
            <w:vAlign w:val="center"/>
          </w:tcPr>
          <w:p w14:paraId="485EBF8A">
            <w:pPr>
              <w:widowControl/>
              <w:jc w:val="left"/>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四季时花</w:t>
            </w:r>
          </w:p>
        </w:tc>
        <w:tc>
          <w:tcPr>
            <w:tcW w:w="3685" w:type="dxa"/>
            <w:tcBorders>
              <w:top w:val="nil"/>
              <w:left w:val="nil"/>
              <w:bottom w:val="single" w:color="auto" w:sz="4" w:space="0"/>
              <w:right w:val="single" w:color="auto" w:sz="4" w:space="0"/>
            </w:tcBorders>
            <w:shd w:val="clear" w:color="auto" w:fill="auto"/>
            <w:vAlign w:val="center"/>
          </w:tcPr>
          <w:p w14:paraId="1F985554">
            <w:pPr>
              <w:widowControl/>
              <w:jc w:val="left"/>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花箱内四季时花种植、更换及养护，服务期一年，至少更换5次，具体参照采购需求。</w:t>
            </w:r>
          </w:p>
        </w:tc>
        <w:tc>
          <w:tcPr>
            <w:tcW w:w="709" w:type="dxa"/>
            <w:tcBorders>
              <w:top w:val="nil"/>
              <w:left w:val="nil"/>
              <w:bottom w:val="single" w:color="auto" w:sz="4" w:space="0"/>
              <w:right w:val="single" w:color="auto" w:sz="4" w:space="0"/>
            </w:tcBorders>
            <w:shd w:val="clear" w:color="auto" w:fill="auto"/>
            <w:noWrap/>
            <w:vAlign w:val="center"/>
          </w:tcPr>
          <w:p w14:paraId="622A8385">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平米</w:t>
            </w:r>
          </w:p>
        </w:tc>
        <w:tc>
          <w:tcPr>
            <w:tcW w:w="850" w:type="dxa"/>
            <w:tcBorders>
              <w:top w:val="nil"/>
              <w:left w:val="nil"/>
              <w:bottom w:val="single" w:color="auto" w:sz="4" w:space="0"/>
              <w:right w:val="single" w:color="auto" w:sz="4" w:space="0"/>
            </w:tcBorders>
            <w:shd w:val="clear" w:color="auto" w:fill="auto"/>
            <w:noWrap/>
            <w:vAlign w:val="center"/>
          </w:tcPr>
          <w:p w14:paraId="3A1F0ACE">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sz w:val="22"/>
                <w:szCs w:val="22"/>
                <w:highlight w:val="none"/>
              </w:rPr>
              <w:t>65.5</w:t>
            </w:r>
          </w:p>
        </w:tc>
        <w:tc>
          <w:tcPr>
            <w:tcW w:w="709" w:type="dxa"/>
            <w:tcBorders>
              <w:top w:val="nil"/>
              <w:left w:val="nil"/>
              <w:bottom w:val="single" w:color="auto" w:sz="4" w:space="0"/>
              <w:right w:val="single" w:color="auto" w:sz="4" w:space="0"/>
            </w:tcBorders>
            <w:shd w:val="clear" w:color="auto" w:fill="auto"/>
            <w:noWrap/>
            <w:vAlign w:val="center"/>
          </w:tcPr>
          <w:p w14:paraId="1B446DF8">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992" w:type="dxa"/>
            <w:tcBorders>
              <w:top w:val="nil"/>
              <w:left w:val="nil"/>
              <w:bottom w:val="single" w:color="auto" w:sz="4" w:space="0"/>
              <w:right w:val="single" w:color="auto" w:sz="4" w:space="0"/>
            </w:tcBorders>
            <w:shd w:val="clear" w:color="auto" w:fill="auto"/>
            <w:noWrap/>
            <w:vAlign w:val="center"/>
          </w:tcPr>
          <w:p w14:paraId="16371EA0">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851" w:type="dxa"/>
            <w:tcBorders>
              <w:top w:val="nil"/>
              <w:left w:val="nil"/>
              <w:bottom w:val="single" w:color="auto" w:sz="4" w:space="0"/>
              <w:right w:val="single" w:color="auto" w:sz="4" w:space="0"/>
            </w:tcBorders>
            <w:shd w:val="clear" w:color="auto" w:fill="auto"/>
            <w:vAlign w:val="center"/>
          </w:tcPr>
          <w:p w14:paraId="1A3699B7">
            <w:pPr>
              <w:widowControl/>
              <w:jc w:val="left"/>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r>
      <w:tr w14:paraId="05CDE28C">
        <w:tblPrEx>
          <w:tblCellMar>
            <w:top w:w="0" w:type="dxa"/>
            <w:left w:w="108" w:type="dxa"/>
            <w:bottom w:w="0" w:type="dxa"/>
            <w:right w:w="108" w:type="dxa"/>
          </w:tblCellMar>
        </w:tblPrEx>
        <w:trPr>
          <w:gridAfter w:val="1"/>
          <w:wAfter w:w="567" w:type="dxa"/>
          <w:trHeight w:val="112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6FEFAD39">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4</w:t>
            </w:r>
          </w:p>
        </w:tc>
        <w:tc>
          <w:tcPr>
            <w:tcW w:w="1560" w:type="dxa"/>
            <w:tcBorders>
              <w:top w:val="nil"/>
              <w:left w:val="nil"/>
              <w:bottom w:val="single" w:color="auto" w:sz="4" w:space="0"/>
              <w:right w:val="single" w:color="auto" w:sz="4" w:space="0"/>
            </w:tcBorders>
            <w:shd w:val="clear" w:color="auto" w:fill="auto"/>
            <w:noWrap/>
            <w:vAlign w:val="center"/>
          </w:tcPr>
          <w:p w14:paraId="2475E3C3">
            <w:pPr>
              <w:widowControl/>
              <w:jc w:val="left"/>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花镜时花</w:t>
            </w:r>
          </w:p>
        </w:tc>
        <w:tc>
          <w:tcPr>
            <w:tcW w:w="3685" w:type="dxa"/>
            <w:tcBorders>
              <w:top w:val="nil"/>
              <w:left w:val="nil"/>
              <w:bottom w:val="single" w:color="auto" w:sz="4" w:space="0"/>
              <w:right w:val="single" w:color="auto" w:sz="4" w:space="0"/>
            </w:tcBorders>
            <w:shd w:val="clear" w:color="auto" w:fill="auto"/>
            <w:vAlign w:val="center"/>
          </w:tcPr>
          <w:p w14:paraId="74E2BEA1">
            <w:pPr>
              <w:widowControl/>
              <w:jc w:val="left"/>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校训石等周边四季时花种植、更换及养护，服务期一年，时花至少更换5次，具体参照采购需求。</w:t>
            </w:r>
          </w:p>
        </w:tc>
        <w:tc>
          <w:tcPr>
            <w:tcW w:w="709" w:type="dxa"/>
            <w:tcBorders>
              <w:top w:val="nil"/>
              <w:left w:val="nil"/>
              <w:bottom w:val="single" w:color="auto" w:sz="4" w:space="0"/>
              <w:right w:val="single" w:color="auto" w:sz="4" w:space="0"/>
            </w:tcBorders>
            <w:shd w:val="clear" w:color="auto" w:fill="auto"/>
            <w:noWrap/>
            <w:vAlign w:val="center"/>
          </w:tcPr>
          <w:p w14:paraId="35A56B3F">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平米</w:t>
            </w:r>
          </w:p>
        </w:tc>
        <w:tc>
          <w:tcPr>
            <w:tcW w:w="850" w:type="dxa"/>
            <w:tcBorders>
              <w:top w:val="nil"/>
              <w:left w:val="nil"/>
              <w:bottom w:val="single" w:color="auto" w:sz="4" w:space="0"/>
              <w:right w:val="single" w:color="auto" w:sz="4" w:space="0"/>
            </w:tcBorders>
            <w:shd w:val="clear" w:color="auto" w:fill="auto"/>
            <w:noWrap/>
            <w:vAlign w:val="center"/>
          </w:tcPr>
          <w:p w14:paraId="2D015CB4">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sz w:val="22"/>
                <w:szCs w:val="22"/>
                <w:highlight w:val="none"/>
              </w:rPr>
              <w:t>20</w:t>
            </w:r>
          </w:p>
        </w:tc>
        <w:tc>
          <w:tcPr>
            <w:tcW w:w="709" w:type="dxa"/>
            <w:tcBorders>
              <w:top w:val="nil"/>
              <w:left w:val="nil"/>
              <w:bottom w:val="single" w:color="auto" w:sz="4" w:space="0"/>
              <w:right w:val="single" w:color="auto" w:sz="4" w:space="0"/>
            </w:tcBorders>
            <w:shd w:val="clear" w:color="auto" w:fill="auto"/>
            <w:noWrap/>
            <w:vAlign w:val="center"/>
          </w:tcPr>
          <w:p w14:paraId="40939BB7">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992" w:type="dxa"/>
            <w:tcBorders>
              <w:top w:val="nil"/>
              <w:left w:val="nil"/>
              <w:bottom w:val="single" w:color="auto" w:sz="4" w:space="0"/>
              <w:right w:val="single" w:color="auto" w:sz="4" w:space="0"/>
            </w:tcBorders>
            <w:shd w:val="clear" w:color="auto" w:fill="auto"/>
            <w:noWrap/>
            <w:vAlign w:val="center"/>
          </w:tcPr>
          <w:p w14:paraId="1C287FD3">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851" w:type="dxa"/>
            <w:tcBorders>
              <w:top w:val="nil"/>
              <w:left w:val="nil"/>
              <w:bottom w:val="single" w:color="auto" w:sz="4" w:space="0"/>
              <w:right w:val="single" w:color="auto" w:sz="4" w:space="0"/>
            </w:tcBorders>
            <w:shd w:val="clear" w:color="auto" w:fill="auto"/>
            <w:vAlign w:val="center"/>
          </w:tcPr>
          <w:p w14:paraId="51F53FB1">
            <w:pPr>
              <w:widowControl/>
              <w:jc w:val="left"/>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r>
      <w:tr w14:paraId="37DC2FC1">
        <w:tblPrEx>
          <w:tblCellMar>
            <w:top w:w="0" w:type="dxa"/>
            <w:left w:w="108" w:type="dxa"/>
            <w:bottom w:w="0" w:type="dxa"/>
            <w:right w:w="108" w:type="dxa"/>
          </w:tblCellMar>
        </w:tblPrEx>
        <w:trPr>
          <w:gridAfter w:val="1"/>
          <w:wAfter w:w="567" w:type="dxa"/>
          <w:trHeight w:val="1464"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1DE0D6C5">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5</w:t>
            </w:r>
          </w:p>
        </w:tc>
        <w:tc>
          <w:tcPr>
            <w:tcW w:w="1560" w:type="dxa"/>
            <w:tcBorders>
              <w:top w:val="nil"/>
              <w:left w:val="nil"/>
              <w:bottom w:val="single" w:color="auto" w:sz="4" w:space="0"/>
              <w:right w:val="single" w:color="auto" w:sz="4" w:space="0"/>
            </w:tcBorders>
            <w:shd w:val="clear" w:color="auto" w:fill="auto"/>
            <w:noWrap/>
            <w:vAlign w:val="center"/>
          </w:tcPr>
          <w:p w14:paraId="357F0D5A">
            <w:pPr>
              <w:widowControl/>
              <w:jc w:val="left"/>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表层营养土</w:t>
            </w:r>
          </w:p>
        </w:tc>
        <w:tc>
          <w:tcPr>
            <w:tcW w:w="3685" w:type="dxa"/>
            <w:tcBorders>
              <w:top w:val="nil"/>
              <w:left w:val="nil"/>
              <w:bottom w:val="single" w:color="auto" w:sz="4" w:space="0"/>
              <w:right w:val="single" w:color="auto" w:sz="4" w:space="0"/>
            </w:tcBorders>
            <w:shd w:val="clear" w:color="auto" w:fill="auto"/>
            <w:vAlign w:val="center"/>
          </w:tcPr>
          <w:p w14:paraId="2F43BBDD">
            <w:pPr>
              <w:widowControl/>
              <w:jc w:val="left"/>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花箱营养土回填，含30% 以上纤维藓类泥炭，掺适合比例的珍珠岩、蛭石，高温有氧发酵灭活虫卵，无臭 无刺激性异味，结构蓬松不易板结，具有良好的保水和保肥性能</w:t>
            </w:r>
          </w:p>
        </w:tc>
        <w:tc>
          <w:tcPr>
            <w:tcW w:w="709" w:type="dxa"/>
            <w:tcBorders>
              <w:top w:val="nil"/>
              <w:left w:val="nil"/>
              <w:bottom w:val="single" w:color="auto" w:sz="4" w:space="0"/>
              <w:right w:val="single" w:color="auto" w:sz="4" w:space="0"/>
            </w:tcBorders>
            <w:shd w:val="clear" w:color="auto" w:fill="auto"/>
            <w:noWrap/>
            <w:vAlign w:val="center"/>
          </w:tcPr>
          <w:p w14:paraId="1247EA40">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立方</w:t>
            </w:r>
          </w:p>
        </w:tc>
        <w:tc>
          <w:tcPr>
            <w:tcW w:w="850" w:type="dxa"/>
            <w:tcBorders>
              <w:top w:val="nil"/>
              <w:left w:val="nil"/>
              <w:bottom w:val="single" w:color="auto" w:sz="4" w:space="0"/>
              <w:right w:val="single" w:color="auto" w:sz="4" w:space="0"/>
            </w:tcBorders>
            <w:shd w:val="clear" w:color="auto" w:fill="auto"/>
            <w:noWrap/>
            <w:vAlign w:val="center"/>
          </w:tcPr>
          <w:p w14:paraId="3D937991">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sz w:val="22"/>
                <w:szCs w:val="22"/>
                <w:highlight w:val="none"/>
              </w:rPr>
              <w:t>9.8</w:t>
            </w:r>
          </w:p>
        </w:tc>
        <w:tc>
          <w:tcPr>
            <w:tcW w:w="709" w:type="dxa"/>
            <w:tcBorders>
              <w:top w:val="nil"/>
              <w:left w:val="nil"/>
              <w:bottom w:val="single" w:color="auto" w:sz="4" w:space="0"/>
              <w:right w:val="single" w:color="auto" w:sz="4" w:space="0"/>
            </w:tcBorders>
            <w:shd w:val="clear" w:color="auto" w:fill="auto"/>
            <w:noWrap/>
            <w:vAlign w:val="center"/>
          </w:tcPr>
          <w:p w14:paraId="049D8433">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992" w:type="dxa"/>
            <w:tcBorders>
              <w:top w:val="nil"/>
              <w:left w:val="nil"/>
              <w:bottom w:val="single" w:color="auto" w:sz="4" w:space="0"/>
              <w:right w:val="single" w:color="auto" w:sz="4" w:space="0"/>
            </w:tcBorders>
            <w:shd w:val="clear" w:color="auto" w:fill="auto"/>
            <w:noWrap/>
            <w:vAlign w:val="center"/>
          </w:tcPr>
          <w:p w14:paraId="6D4D33D0">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851" w:type="dxa"/>
            <w:tcBorders>
              <w:top w:val="nil"/>
              <w:left w:val="nil"/>
              <w:bottom w:val="single" w:color="auto" w:sz="4" w:space="0"/>
              <w:right w:val="single" w:color="auto" w:sz="4" w:space="0"/>
            </w:tcBorders>
            <w:shd w:val="clear" w:color="auto" w:fill="auto"/>
            <w:vAlign w:val="center"/>
          </w:tcPr>
          <w:p w14:paraId="349E0331">
            <w:pPr>
              <w:widowControl/>
              <w:jc w:val="left"/>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r>
      <w:tr w14:paraId="5F474F95">
        <w:tblPrEx>
          <w:tblCellMar>
            <w:top w:w="0" w:type="dxa"/>
            <w:left w:w="108" w:type="dxa"/>
            <w:bottom w:w="0" w:type="dxa"/>
            <w:right w:w="108" w:type="dxa"/>
          </w:tblCellMar>
        </w:tblPrEx>
        <w:trPr>
          <w:gridAfter w:val="1"/>
          <w:wAfter w:w="567" w:type="dxa"/>
          <w:trHeight w:val="1308"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69A0DBD7">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6</w:t>
            </w:r>
          </w:p>
        </w:tc>
        <w:tc>
          <w:tcPr>
            <w:tcW w:w="1560" w:type="dxa"/>
            <w:tcBorders>
              <w:top w:val="nil"/>
              <w:left w:val="nil"/>
              <w:bottom w:val="single" w:color="auto" w:sz="4" w:space="0"/>
              <w:right w:val="single" w:color="auto" w:sz="4" w:space="0"/>
            </w:tcBorders>
            <w:shd w:val="clear" w:color="auto" w:fill="auto"/>
            <w:noWrap/>
            <w:vAlign w:val="center"/>
          </w:tcPr>
          <w:p w14:paraId="580C924F">
            <w:pPr>
              <w:widowControl/>
              <w:jc w:val="left"/>
              <w:rPr>
                <w:rFonts w:cs="Arial"/>
                <w:color w:val="auto"/>
                <w:kern w:val="0"/>
                <w:sz w:val="20"/>
                <w:szCs w:val="20"/>
                <w:highlight w:val="none"/>
              </w:rPr>
            </w:pPr>
            <w:r>
              <w:rPr>
                <w:rFonts w:hint="eastAsia" w:cs="Arial"/>
                <w:color w:val="auto"/>
                <w:kern w:val="0"/>
                <w:sz w:val="20"/>
                <w:szCs w:val="20"/>
                <w:highlight w:val="none"/>
              </w:rPr>
              <w:t>混合土</w:t>
            </w:r>
          </w:p>
        </w:tc>
        <w:tc>
          <w:tcPr>
            <w:tcW w:w="3685" w:type="dxa"/>
            <w:tcBorders>
              <w:top w:val="nil"/>
              <w:left w:val="nil"/>
              <w:bottom w:val="single" w:color="auto" w:sz="4" w:space="0"/>
              <w:right w:val="single" w:color="auto" w:sz="4" w:space="0"/>
            </w:tcBorders>
            <w:shd w:val="clear" w:color="auto" w:fill="auto"/>
            <w:vAlign w:val="center"/>
          </w:tcPr>
          <w:p w14:paraId="2C36A55C">
            <w:pPr>
              <w:widowControl/>
              <w:jc w:val="left"/>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花箱混合土回填，位于表层土的下一层，要求由多种有机物和无机物混合而成，具有较好的透气性和排水性，能够为植物提供充足的氧气和养分</w:t>
            </w:r>
          </w:p>
        </w:tc>
        <w:tc>
          <w:tcPr>
            <w:tcW w:w="709" w:type="dxa"/>
            <w:tcBorders>
              <w:top w:val="nil"/>
              <w:left w:val="nil"/>
              <w:bottom w:val="single" w:color="auto" w:sz="4" w:space="0"/>
              <w:right w:val="single" w:color="auto" w:sz="4" w:space="0"/>
            </w:tcBorders>
            <w:shd w:val="clear" w:color="auto" w:fill="auto"/>
            <w:noWrap/>
            <w:vAlign w:val="center"/>
          </w:tcPr>
          <w:p w14:paraId="2AC23E79">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立方</w:t>
            </w:r>
          </w:p>
        </w:tc>
        <w:tc>
          <w:tcPr>
            <w:tcW w:w="850" w:type="dxa"/>
            <w:tcBorders>
              <w:top w:val="nil"/>
              <w:left w:val="nil"/>
              <w:bottom w:val="single" w:color="auto" w:sz="4" w:space="0"/>
              <w:right w:val="single" w:color="auto" w:sz="4" w:space="0"/>
            </w:tcBorders>
            <w:shd w:val="clear" w:color="auto" w:fill="auto"/>
            <w:noWrap/>
            <w:vAlign w:val="center"/>
          </w:tcPr>
          <w:p w14:paraId="3BBC4404">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sz w:val="22"/>
                <w:szCs w:val="22"/>
                <w:highlight w:val="none"/>
              </w:rPr>
              <w:t>16.4</w:t>
            </w:r>
          </w:p>
        </w:tc>
        <w:tc>
          <w:tcPr>
            <w:tcW w:w="709" w:type="dxa"/>
            <w:tcBorders>
              <w:top w:val="nil"/>
              <w:left w:val="nil"/>
              <w:bottom w:val="single" w:color="auto" w:sz="4" w:space="0"/>
              <w:right w:val="single" w:color="auto" w:sz="4" w:space="0"/>
            </w:tcBorders>
            <w:shd w:val="clear" w:color="auto" w:fill="auto"/>
            <w:noWrap/>
            <w:vAlign w:val="center"/>
          </w:tcPr>
          <w:p w14:paraId="6AB0F49B">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992" w:type="dxa"/>
            <w:tcBorders>
              <w:top w:val="nil"/>
              <w:left w:val="nil"/>
              <w:bottom w:val="single" w:color="auto" w:sz="4" w:space="0"/>
              <w:right w:val="single" w:color="auto" w:sz="4" w:space="0"/>
            </w:tcBorders>
            <w:shd w:val="clear" w:color="auto" w:fill="auto"/>
            <w:noWrap/>
            <w:vAlign w:val="center"/>
          </w:tcPr>
          <w:p w14:paraId="26CD3A6C">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851" w:type="dxa"/>
            <w:tcBorders>
              <w:top w:val="nil"/>
              <w:left w:val="nil"/>
              <w:bottom w:val="single" w:color="auto" w:sz="4" w:space="0"/>
              <w:right w:val="single" w:color="auto" w:sz="4" w:space="0"/>
            </w:tcBorders>
            <w:shd w:val="clear" w:color="auto" w:fill="auto"/>
            <w:vAlign w:val="center"/>
          </w:tcPr>
          <w:p w14:paraId="5DE2F85D">
            <w:pPr>
              <w:widowControl/>
              <w:jc w:val="left"/>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r>
      <w:tr w14:paraId="670B727E">
        <w:tblPrEx>
          <w:tblCellMar>
            <w:top w:w="0" w:type="dxa"/>
            <w:left w:w="108" w:type="dxa"/>
            <w:bottom w:w="0" w:type="dxa"/>
            <w:right w:w="108" w:type="dxa"/>
          </w:tblCellMar>
        </w:tblPrEx>
        <w:trPr>
          <w:gridAfter w:val="1"/>
          <w:wAfter w:w="567" w:type="dxa"/>
          <w:trHeight w:val="99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7F0C0CDC">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7</w:t>
            </w:r>
          </w:p>
        </w:tc>
        <w:tc>
          <w:tcPr>
            <w:tcW w:w="1560" w:type="dxa"/>
            <w:tcBorders>
              <w:top w:val="nil"/>
              <w:left w:val="nil"/>
              <w:bottom w:val="single" w:color="auto" w:sz="4" w:space="0"/>
              <w:right w:val="single" w:color="auto" w:sz="4" w:space="0"/>
            </w:tcBorders>
            <w:shd w:val="clear" w:color="auto" w:fill="auto"/>
            <w:noWrap/>
            <w:vAlign w:val="center"/>
          </w:tcPr>
          <w:p w14:paraId="35107D2C">
            <w:pPr>
              <w:widowControl/>
              <w:jc w:val="left"/>
              <w:rPr>
                <w:rFonts w:cs="Arial"/>
                <w:color w:val="auto"/>
                <w:kern w:val="0"/>
                <w:sz w:val="20"/>
                <w:szCs w:val="20"/>
                <w:highlight w:val="none"/>
              </w:rPr>
            </w:pPr>
            <w:r>
              <w:rPr>
                <w:rFonts w:hint="eastAsia" w:cs="Arial"/>
                <w:color w:val="auto"/>
                <w:kern w:val="0"/>
                <w:sz w:val="20"/>
                <w:szCs w:val="20"/>
                <w:highlight w:val="none"/>
              </w:rPr>
              <w:t>排水土</w:t>
            </w:r>
          </w:p>
        </w:tc>
        <w:tc>
          <w:tcPr>
            <w:tcW w:w="3685" w:type="dxa"/>
            <w:tcBorders>
              <w:top w:val="nil"/>
              <w:left w:val="nil"/>
              <w:bottom w:val="single" w:color="auto" w:sz="4" w:space="0"/>
              <w:right w:val="single" w:color="auto" w:sz="4" w:space="0"/>
            </w:tcBorders>
            <w:shd w:val="clear" w:color="auto" w:fill="auto"/>
            <w:vAlign w:val="center"/>
          </w:tcPr>
          <w:p w14:paraId="34CA878D">
            <w:pPr>
              <w:widowControl/>
              <w:jc w:val="left"/>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花箱轻质陶粒回填，位于土层结构的最下层，主要用于排水，防止士壤积水。</w:t>
            </w:r>
          </w:p>
        </w:tc>
        <w:tc>
          <w:tcPr>
            <w:tcW w:w="709" w:type="dxa"/>
            <w:tcBorders>
              <w:top w:val="nil"/>
              <w:left w:val="nil"/>
              <w:bottom w:val="single" w:color="auto" w:sz="4" w:space="0"/>
              <w:right w:val="single" w:color="auto" w:sz="4" w:space="0"/>
            </w:tcBorders>
            <w:shd w:val="clear" w:color="auto" w:fill="auto"/>
            <w:noWrap/>
            <w:vAlign w:val="center"/>
          </w:tcPr>
          <w:p w14:paraId="29A2FD8A">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立方</w:t>
            </w:r>
          </w:p>
        </w:tc>
        <w:tc>
          <w:tcPr>
            <w:tcW w:w="850" w:type="dxa"/>
            <w:tcBorders>
              <w:top w:val="nil"/>
              <w:left w:val="nil"/>
              <w:bottom w:val="single" w:color="auto" w:sz="4" w:space="0"/>
              <w:right w:val="single" w:color="auto" w:sz="4" w:space="0"/>
            </w:tcBorders>
            <w:shd w:val="clear" w:color="auto" w:fill="auto"/>
            <w:noWrap/>
            <w:vAlign w:val="center"/>
          </w:tcPr>
          <w:p w14:paraId="46E1A902">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sz w:val="22"/>
                <w:szCs w:val="22"/>
                <w:highlight w:val="none"/>
              </w:rPr>
              <w:t>6.5</w:t>
            </w:r>
          </w:p>
        </w:tc>
        <w:tc>
          <w:tcPr>
            <w:tcW w:w="709" w:type="dxa"/>
            <w:tcBorders>
              <w:top w:val="nil"/>
              <w:left w:val="nil"/>
              <w:bottom w:val="single" w:color="auto" w:sz="4" w:space="0"/>
              <w:right w:val="single" w:color="auto" w:sz="4" w:space="0"/>
            </w:tcBorders>
            <w:shd w:val="clear" w:color="auto" w:fill="auto"/>
            <w:noWrap/>
            <w:vAlign w:val="center"/>
          </w:tcPr>
          <w:p w14:paraId="21361276">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992" w:type="dxa"/>
            <w:tcBorders>
              <w:top w:val="nil"/>
              <w:left w:val="nil"/>
              <w:bottom w:val="single" w:color="auto" w:sz="4" w:space="0"/>
              <w:right w:val="single" w:color="auto" w:sz="4" w:space="0"/>
            </w:tcBorders>
            <w:shd w:val="clear" w:color="auto" w:fill="auto"/>
            <w:noWrap/>
            <w:vAlign w:val="center"/>
          </w:tcPr>
          <w:p w14:paraId="327BEFE8">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851" w:type="dxa"/>
            <w:tcBorders>
              <w:top w:val="nil"/>
              <w:left w:val="nil"/>
              <w:bottom w:val="single" w:color="auto" w:sz="4" w:space="0"/>
              <w:right w:val="single" w:color="auto" w:sz="4" w:space="0"/>
            </w:tcBorders>
            <w:shd w:val="clear" w:color="auto" w:fill="auto"/>
            <w:vAlign w:val="center"/>
          </w:tcPr>
          <w:p w14:paraId="4FAA41FA">
            <w:pPr>
              <w:widowControl/>
              <w:jc w:val="left"/>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r>
      <w:tr w14:paraId="47B67942">
        <w:tblPrEx>
          <w:tblCellMar>
            <w:top w:w="0" w:type="dxa"/>
            <w:left w:w="108" w:type="dxa"/>
            <w:bottom w:w="0" w:type="dxa"/>
            <w:right w:w="108" w:type="dxa"/>
          </w:tblCellMar>
        </w:tblPrEx>
        <w:trPr>
          <w:gridAfter w:val="1"/>
          <w:wAfter w:w="567" w:type="dxa"/>
          <w:trHeight w:val="160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0F87430D">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8</w:t>
            </w:r>
          </w:p>
        </w:tc>
        <w:tc>
          <w:tcPr>
            <w:tcW w:w="1560" w:type="dxa"/>
            <w:tcBorders>
              <w:top w:val="nil"/>
              <w:left w:val="nil"/>
              <w:bottom w:val="single" w:color="auto" w:sz="4" w:space="0"/>
              <w:right w:val="single" w:color="auto" w:sz="4" w:space="0"/>
            </w:tcBorders>
            <w:shd w:val="clear" w:color="auto" w:fill="auto"/>
            <w:noWrap/>
            <w:vAlign w:val="center"/>
          </w:tcPr>
          <w:p w14:paraId="315BBF31">
            <w:pPr>
              <w:widowControl/>
              <w:jc w:val="left"/>
              <w:rPr>
                <w:rFonts w:cs="Arial"/>
                <w:color w:val="auto"/>
                <w:kern w:val="0"/>
                <w:sz w:val="22"/>
                <w:szCs w:val="22"/>
                <w:highlight w:val="none"/>
              </w:rPr>
            </w:pPr>
            <w:r>
              <w:rPr>
                <w:rFonts w:hint="eastAsia" w:cs="Arial"/>
                <w:color w:val="auto"/>
                <w:kern w:val="0"/>
                <w:sz w:val="22"/>
                <w:szCs w:val="22"/>
                <w:highlight w:val="none"/>
              </w:rPr>
              <w:t>石球</w:t>
            </w:r>
          </w:p>
        </w:tc>
        <w:tc>
          <w:tcPr>
            <w:tcW w:w="3685" w:type="dxa"/>
            <w:tcBorders>
              <w:top w:val="nil"/>
              <w:left w:val="nil"/>
              <w:bottom w:val="single" w:color="auto" w:sz="4" w:space="0"/>
              <w:right w:val="single" w:color="auto" w:sz="4" w:space="0"/>
            </w:tcBorders>
            <w:shd w:val="clear" w:color="auto" w:fill="auto"/>
            <w:vAlign w:val="center"/>
          </w:tcPr>
          <w:p w14:paraId="12A2F3EA">
            <w:pPr>
              <w:widowControl/>
              <w:jc w:val="left"/>
              <w:rPr>
                <w:rFonts w:ascii="Arial" w:hAnsi="Arial" w:cs="Arial"/>
                <w:color w:val="auto"/>
                <w:kern w:val="0"/>
                <w:sz w:val="20"/>
                <w:szCs w:val="20"/>
                <w:highlight w:val="none"/>
              </w:rPr>
            </w:pPr>
            <w:r>
              <w:rPr>
                <w:rFonts w:hint="eastAsia" w:cs="Arial"/>
                <w:color w:val="auto"/>
                <w:kern w:val="0"/>
                <w:sz w:val="20"/>
                <w:szCs w:val="20"/>
                <w:highlight w:val="none"/>
              </w:rPr>
              <w:t>芝麻灰花岗岩石球，直径</w:t>
            </w:r>
            <w:r>
              <w:rPr>
                <w:rFonts w:ascii="Arial" w:hAnsi="Arial" w:cs="Arial"/>
                <w:color w:val="auto"/>
                <w:kern w:val="0"/>
                <w:sz w:val="20"/>
                <w:szCs w:val="20"/>
                <w:highlight w:val="none"/>
              </w:rPr>
              <w:t>50cm</w:t>
            </w:r>
            <w:r>
              <w:rPr>
                <w:rFonts w:hint="eastAsia" w:cs="Arial"/>
                <w:color w:val="auto"/>
                <w:kern w:val="0"/>
                <w:sz w:val="20"/>
                <w:szCs w:val="20"/>
                <w:highlight w:val="none"/>
              </w:rPr>
              <w:t>，按业主要求摆放或调整，样式如图</w:t>
            </w:r>
          </w:p>
        </w:tc>
        <w:tc>
          <w:tcPr>
            <w:tcW w:w="709" w:type="dxa"/>
            <w:tcBorders>
              <w:top w:val="nil"/>
              <w:left w:val="nil"/>
              <w:bottom w:val="single" w:color="auto" w:sz="4" w:space="0"/>
              <w:right w:val="single" w:color="auto" w:sz="4" w:space="0"/>
            </w:tcBorders>
            <w:shd w:val="clear" w:color="auto" w:fill="auto"/>
            <w:noWrap/>
            <w:vAlign w:val="center"/>
          </w:tcPr>
          <w:p w14:paraId="72441DEE">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只</w:t>
            </w:r>
          </w:p>
        </w:tc>
        <w:tc>
          <w:tcPr>
            <w:tcW w:w="850" w:type="dxa"/>
            <w:tcBorders>
              <w:top w:val="nil"/>
              <w:left w:val="nil"/>
              <w:bottom w:val="single" w:color="auto" w:sz="4" w:space="0"/>
              <w:right w:val="single" w:color="auto" w:sz="4" w:space="0"/>
            </w:tcBorders>
            <w:shd w:val="clear" w:color="auto" w:fill="auto"/>
            <w:noWrap/>
            <w:vAlign w:val="center"/>
          </w:tcPr>
          <w:p w14:paraId="0D2BF568">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sz w:val="22"/>
                <w:szCs w:val="22"/>
                <w:highlight w:val="none"/>
              </w:rPr>
              <w:t>158</w:t>
            </w:r>
          </w:p>
        </w:tc>
        <w:tc>
          <w:tcPr>
            <w:tcW w:w="709" w:type="dxa"/>
            <w:tcBorders>
              <w:top w:val="nil"/>
              <w:left w:val="nil"/>
              <w:bottom w:val="single" w:color="auto" w:sz="4" w:space="0"/>
              <w:right w:val="single" w:color="auto" w:sz="4" w:space="0"/>
            </w:tcBorders>
            <w:shd w:val="clear" w:color="auto" w:fill="auto"/>
            <w:noWrap/>
            <w:vAlign w:val="center"/>
          </w:tcPr>
          <w:p w14:paraId="267FE284">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992" w:type="dxa"/>
            <w:tcBorders>
              <w:top w:val="nil"/>
              <w:left w:val="nil"/>
              <w:bottom w:val="single" w:color="auto" w:sz="4" w:space="0"/>
              <w:right w:val="single" w:color="auto" w:sz="4" w:space="0"/>
            </w:tcBorders>
            <w:shd w:val="clear" w:color="auto" w:fill="auto"/>
            <w:noWrap/>
            <w:vAlign w:val="center"/>
          </w:tcPr>
          <w:p w14:paraId="286856CF">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851" w:type="dxa"/>
            <w:tcBorders>
              <w:top w:val="nil"/>
              <w:left w:val="nil"/>
              <w:bottom w:val="single" w:color="auto" w:sz="4" w:space="0"/>
              <w:right w:val="single" w:color="auto" w:sz="4" w:space="0"/>
            </w:tcBorders>
            <w:shd w:val="clear" w:color="auto" w:fill="auto"/>
            <w:vAlign w:val="center"/>
          </w:tcPr>
          <w:p w14:paraId="51D0BA5C">
            <w:pPr>
              <w:widowControl/>
              <w:jc w:val="left"/>
              <w:rPr>
                <w:rFonts w:ascii="Arial" w:hAnsi="Arial" w:cs="Arial"/>
                <w:color w:val="auto"/>
                <w:kern w:val="0"/>
                <w:sz w:val="20"/>
                <w:szCs w:val="20"/>
                <w:highlight w:val="none"/>
              </w:rPr>
            </w:pPr>
            <w:r>
              <w:rPr>
                <w:rFonts w:ascii="Arial" w:hAnsi="Arial" w:cs="Arial"/>
                <w:color w:val="auto"/>
                <w:kern w:val="0"/>
                <w:sz w:val="20"/>
                <w:szCs w:val="20"/>
                <w:highlight w:val="none"/>
              </w:rPr>
              <w:t>　</w:t>
            </w:r>
          </w:p>
        </w:tc>
      </w:tr>
      <w:tr w14:paraId="19DB3592">
        <w:tblPrEx>
          <w:tblCellMar>
            <w:top w:w="0" w:type="dxa"/>
            <w:left w:w="108" w:type="dxa"/>
            <w:bottom w:w="0" w:type="dxa"/>
            <w:right w:w="108" w:type="dxa"/>
          </w:tblCellMar>
        </w:tblPrEx>
        <w:trPr>
          <w:gridAfter w:val="1"/>
          <w:wAfter w:w="567" w:type="dxa"/>
          <w:trHeight w:val="159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2B883D4F">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9</w:t>
            </w:r>
          </w:p>
        </w:tc>
        <w:tc>
          <w:tcPr>
            <w:tcW w:w="1560" w:type="dxa"/>
            <w:tcBorders>
              <w:top w:val="nil"/>
              <w:left w:val="nil"/>
              <w:bottom w:val="single" w:color="auto" w:sz="4" w:space="0"/>
              <w:right w:val="single" w:color="auto" w:sz="4" w:space="0"/>
            </w:tcBorders>
            <w:shd w:val="clear" w:color="auto" w:fill="auto"/>
            <w:noWrap/>
            <w:vAlign w:val="center"/>
          </w:tcPr>
          <w:p w14:paraId="1C022ED5">
            <w:pPr>
              <w:widowControl/>
              <w:jc w:val="left"/>
              <w:rPr>
                <w:rFonts w:cs="Arial"/>
                <w:color w:val="auto"/>
                <w:kern w:val="0"/>
                <w:sz w:val="22"/>
                <w:szCs w:val="22"/>
                <w:highlight w:val="none"/>
              </w:rPr>
            </w:pPr>
            <w:r>
              <w:rPr>
                <w:rFonts w:hint="eastAsia" w:cs="Arial"/>
                <w:color w:val="auto"/>
                <w:kern w:val="0"/>
                <w:sz w:val="22"/>
                <w:szCs w:val="22"/>
                <w:highlight w:val="none"/>
              </w:rPr>
              <w:t>景观小品</w:t>
            </w:r>
          </w:p>
        </w:tc>
        <w:tc>
          <w:tcPr>
            <w:tcW w:w="3685" w:type="dxa"/>
            <w:tcBorders>
              <w:top w:val="nil"/>
              <w:left w:val="nil"/>
              <w:bottom w:val="single" w:color="auto" w:sz="4" w:space="0"/>
              <w:right w:val="single" w:color="auto" w:sz="4" w:space="0"/>
            </w:tcBorders>
            <w:shd w:val="clear" w:color="auto" w:fill="auto"/>
            <w:vAlign w:val="center"/>
          </w:tcPr>
          <w:p w14:paraId="22EB519E">
            <w:pPr>
              <w:widowControl/>
              <w:jc w:val="left"/>
              <w:rPr>
                <w:rFonts w:cs="Arial"/>
                <w:color w:val="auto"/>
                <w:kern w:val="0"/>
                <w:sz w:val="22"/>
                <w:szCs w:val="22"/>
                <w:highlight w:val="none"/>
              </w:rPr>
            </w:pPr>
            <w:r>
              <w:rPr>
                <w:rFonts w:hint="eastAsia" w:cs="Arial"/>
                <w:color w:val="auto"/>
                <w:kern w:val="0"/>
                <w:sz w:val="22"/>
                <w:szCs w:val="22"/>
                <w:highlight w:val="none"/>
              </w:rPr>
              <w:t>1.校训石周边点缀景观石，景观石的尺寸、颜色、纹理、形状和结构应与周围环境相协调，数量约6块；</w:t>
            </w:r>
          </w:p>
          <w:p w14:paraId="2ED88F13">
            <w:pPr>
              <w:widowControl/>
              <w:jc w:val="left"/>
              <w:rPr>
                <w:rFonts w:cs="Arial"/>
                <w:color w:val="auto"/>
                <w:kern w:val="0"/>
                <w:sz w:val="22"/>
                <w:szCs w:val="22"/>
                <w:highlight w:val="none"/>
              </w:rPr>
            </w:pPr>
            <w:r>
              <w:rPr>
                <w:rFonts w:hint="eastAsia" w:cs="Arial"/>
                <w:color w:val="auto"/>
                <w:kern w:val="0"/>
                <w:sz w:val="22"/>
                <w:szCs w:val="22"/>
                <w:highlight w:val="none"/>
              </w:rPr>
              <w:t>2.拟种植黑松或罗汉松等植物2棵，树高度≤2米；</w:t>
            </w:r>
          </w:p>
          <w:p w14:paraId="1258FF18">
            <w:pPr>
              <w:widowControl/>
              <w:jc w:val="left"/>
              <w:rPr>
                <w:rFonts w:cs="Arial"/>
                <w:color w:val="auto"/>
                <w:kern w:val="0"/>
                <w:sz w:val="22"/>
                <w:szCs w:val="22"/>
                <w:highlight w:val="none"/>
              </w:rPr>
            </w:pPr>
            <w:r>
              <w:rPr>
                <w:rFonts w:hint="eastAsia" w:cs="Arial"/>
                <w:color w:val="auto"/>
                <w:kern w:val="0"/>
                <w:sz w:val="22"/>
                <w:szCs w:val="22"/>
                <w:highlight w:val="none"/>
              </w:rPr>
              <w:t>3.原校训石底部基础砼凿除，校训石周边土方平整清理约30平米，更换苗木种植土，满足种植苗木要求；</w:t>
            </w:r>
          </w:p>
          <w:p w14:paraId="5D9EF129">
            <w:pPr>
              <w:widowControl/>
              <w:jc w:val="left"/>
              <w:rPr>
                <w:rFonts w:cs="Arial"/>
                <w:color w:val="auto"/>
                <w:kern w:val="0"/>
                <w:sz w:val="22"/>
                <w:szCs w:val="22"/>
                <w:highlight w:val="none"/>
              </w:rPr>
            </w:pPr>
            <w:r>
              <w:rPr>
                <w:rFonts w:hint="eastAsia" w:cs="Arial"/>
                <w:color w:val="auto"/>
                <w:kern w:val="0"/>
                <w:sz w:val="22"/>
                <w:szCs w:val="22"/>
                <w:highlight w:val="none"/>
              </w:rPr>
              <w:t>4.种植草坪和配套的树球等植物，不含时花花镜面积；</w:t>
            </w:r>
          </w:p>
          <w:p w14:paraId="47F75E71">
            <w:pPr>
              <w:widowControl/>
              <w:jc w:val="left"/>
              <w:rPr>
                <w:rFonts w:cs="Arial"/>
                <w:color w:val="auto"/>
                <w:kern w:val="0"/>
                <w:sz w:val="22"/>
                <w:szCs w:val="22"/>
                <w:highlight w:val="none"/>
              </w:rPr>
            </w:pPr>
            <w:r>
              <w:rPr>
                <w:rFonts w:hint="eastAsia" w:cs="Arial"/>
                <w:color w:val="auto"/>
                <w:kern w:val="0"/>
                <w:sz w:val="22"/>
                <w:szCs w:val="22"/>
                <w:highlight w:val="none"/>
              </w:rPr>
              <w:t>5.供应商优化方案效果图，符合业主要求后再施工。</w:t>
            </w:r>
          </w:p>
        </w:tc>
        <w:tc>
          <w:tcPr>
            <w:tcW w:w="709" w:type="dxa"/>
            <w:tcBorders>
              <w:top w:val="nil"/>
              <w:left w:val="nil"/>
              <w:bottom w:val="single" w:color="auto" w:sz="4" w:space="0"/>
              <w:right w:val="single" w:color="auto" w:sz="4" w:space="0"/>
            </w:tcBorders>
            <w:shd w:val="clear" w:color="auto" w:fill="auto"/>
            <w:noWrap/>
            <w:vAlign w:val="center"/>
          </w:tcPr>
          <w:p w14:paraId="4F6181B7">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项</w:t>
            </w:r>
          </w:p>
        </w:tc>
        <w:tc>
          <w:tcPr>
            <w:tcW w:w="850" w:type="dxa"/>
            <w:tcBorders>
              <w:top w:val="nil"/>
              <w:left w:val="nil"/>
              <w:bottom w:val="single" w:color="auto" w:sz="4" w:space="0"/>
              <w:right w:val="single" w:color="auto" w:sz="4" w:space="0"/>
            </w:tcBorders>
            <w:shd w:val="clear" w:color="auto" w:fill="auto"/>
            <w:noWrap/>
            <w:vAlign w:val="center"/>
          </w:tcPr>
          <w:p w14:paraId="23E7D1C2">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sz w:val="22"/>
                <w:szCs w:val="22"/>
                <w:highlight w:val="none"/>
              </w:rPr>
              <w:t>1</w:t>
            </w:r>
          </w:p>
        </w:tc>
        <w:tc>
          <w:tcPr>
            <w:tcW w:w="709" w:type="dxa"/>
            <w:tcBorders>
              <w:top w:val="nil"/>
              <w:left w:val="nil"/>
              <w:bottom w:val="single" w:color="auto" w:sz="4" w:space="0"/>
              <w:right w:val="single" w:color="auto" w:sz="4" w:space="0"/>
            </w:tcBorders>
            <w:shd w:val="clear" w:color="auto" w:fill="auto"/>
            <w:noWrap/>
            <w:vAlign w:val="center"/>
          </w:tcPr>
          <w:p w14:paraId="1172879F">
            <w:pPr>
              <w:widowControl/>
              <w:jc w:val="center"/>
              <w:rPr>
                <w:rFonts w:ascii="新宋体" w:hAnsi="新宋体" w:eastAsia="新宋体" w:cs="Arial"/>
                <w:color w:val="auto"/>
                <w:kern w:val="0"/>
                <w:sz w:val="22"/>
                <w:szCs w:val="22"/>
                <w:highlight w:val="none"/>
              </w:rPr>
            </w:pPr>
          </w:p>
        </w:tc>
        <w:tc>
          <w:tcPr>
            <w:tcW w:w="992" w:type="dxa"/>
            <w:tcBorders>
              <w:top w:val="nil"/>
              <w:left w:val="nil"/>
              <w:bottom w:val="single" w:color="auto" w:sz="4" w:space="0"/>
              <w:right w:val="single" w:color="auto" w:sz="4" w:space="0"/>
            </w:tcBorders>
            <w:shd w:val="clear" w:color="auto" w:fill="auto"/>
            <w:noWrap/>
            <w:vAlign w:val="center"/>
          </w:tcPr>
          <w:p w14:paraId="2B07E9E2">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851" w:type="dxa"/>
            <w:tcBorders>
              <w:top w:val="nil"/>
              <w:left w:val="nil"/>
              <w:bottom w:val="single" w:color="auto" w:sz="4" w:space="0"/>
              <w:right w:val="single" w:color="auto" w:sz="4" w:space="0"/>
            </w:tcBorders>
            <w:shd w:val="clear" w:color="auto" w:fill="auto"/>
            <w:vAlign w:val="center"/>
          </w:tcPr>
          <w:p w14:paraId="21D3F3FE">
            <w:pPr>
              <w:widowControl/>
              <w:jc w:val="left"/>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r>
      <w:tr w14:paraId="2D8919BF">
        <w:tblPrEx>
          <w:tblCellMar>
            <w:top w:w="0" w:type="dxa"/>
            <w:left w:w="108" w:type="dxa"/>
            <w:bottom w:w="0" w:type="dxa"/>
            <w:right w:w="108" w:type="dxa"/>
          </w:tblCellMar>
        </w:tblPrEx>
        <w:trPr>
          <w:gridAfter w:val="1"/>
          <w:wAfter w:w="567" w:type="dxa"/>
          <w:trHeight w:val="114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1C339F2E">
            <w:pPr>
              <w:widowControl/>
              <w:jc w:val="center"/>
              <w:rPr>
                <w:rFonts w:ascii="新宋体" w:hAnsi="新宋体" w:eastAsia="新宋体" w:cs="Arial"/>
                <w:color w:val="auto"/>
                <w:kern w:val="0"/>
                <w:sz w:val="22"/>
                <w:szCs w:val="22"/>
                <w:highlight w:val="none"/>
              </w:rPr>
            </w:pPr>
          </w:p>
        </w:tc>
        <w:tc>
          <w:tcPr>
            <w:tcW w:w="1560" w:type="dxa"/>
            <w:tcBorders>
              <w:top w:val="nil"/>
              <w:left w:val="nil"/>
              <w:bottom w:val="single" w:color="auto" w:sz="4" w:space="0"/>
              <w:right w:val="single" w:color="auto" w:sz="4" w:space="0"/>
            </w:tcBorders>
            <w:shd w:val="clear" w:color="auto" w:fill="auto"/>
            <w:noWrap/>
            <w:vAlign w:val="center"/>
          </w:tcPr>
          <w:p w14:paraId="283FB079">
            <w:pPr>
              <w:widowControl/>
              <w:jc w:val="left"/>
              <w:rPr>
                <w:rFonts w:cs="Arial"/>
                <w:color w:val="auto"/>
                <w:kern w:val="0"/>
                <w:sz w:val="22"/>
                <w:szCs w:val="22"/>
                <w:highlight w:val="none"/>
              </w:rPr>
            </w:pPr>
          </w:p>
        </w:tc>
        <w:tc>
          <w:tcPr>
            <w:tcW w:w="3685" w:type="dxa"/>
            <w:tcBorders>
              <w:top w:val="nil"/>
              <w:left w:val="nil"/>
              <w:bottom w:val="single" w:color="auto" w:sz="4" w:space="0"/>
              <w:right w:val="single" w:color="auto" w:sz="4" w:space="0"/>
            </w:tcBorders>
            <w:shd w:val="clear" w:color="auto" w:fill="auto"/>
            <w:vAlign w:val="center"/>
          </w:tcPr>
          <w:p w14:paraId="20BF2763">
            <w:pPr>
              <w:widowControl/>
              <w:jc w:val="left"/>
              <w:rPr>
                <w:rFonts w:cs="Arial"/>
                <w:color w:val="auto"/>
                <w:kern w:val="0"/>
                <w:sz w:val="22"/>
                <w:szCs w:val="22"/>
                <w:highlight w:val="none"/>
              </w:rPr>
            </w:pPr>
          </w:p>
        </w:tc>
        <w:tc>
          <w:tcPr>
            <w:tcW w:w="709" w:type="dxa"/>
            <w:tcBorders>
              <w:top w:val="nil"/>
              <w:left w:val="nil"/>
              <w:bottom w:val="single" w:color="auto" w:sz="4" w:space="0"/>
              <w:right w:val="single" w:color="auto" w:sz="4" w:space="0"/>
            </w:tcBorders>
            <w:shd w:val="clear" w:color="auto" w:fill="auto"/>
            <w:noWrap/>
            <w:vAlign w:val="center"/>
          </w:tcPr>
          <w:p w14:paraId="4E9D1233">
            <w:pPr>
              <w:widowControl/>
              <w:jc w:val="center"/>
              <w:rPr>
                <w:rFonts w:ascii="新宋体" w:hAnsi="新宋体" w:eastAsia="新宋体" w:cs="Arial"/>
                <w:color w:val="auto"/>
                <w:kern w:val="0"/>
                <w:sz w:val="22"/>
                <w:szCs w:val="22"/>
                <w:highlight w:val="none"/>
              </w:rPr>
            </w:pPr>
          </w:p>
        </w:tc>
        <w:tc>
          <w:tcPr>
            <w:tcW w:w="850" w:type="dxa"/>
            <w:tcBorders>
              <w:top w:val="nil"/>
              <w:left w:val="nil"/>
              <w:bottom w:val="single" w:color="auto" w:sz="4" w:space="0"/>
              <w:right w:val="single" w:color="auto" w:sz="4" w:space="0"/>
            </w:tcBorders>
            <w:shd w:val="clear" w:color="auto" w:fill="auto"/>
            <w:noWrap/>
            <w:vAlign w:val="center"/>
          </w:tcPr>
          <w:p w14:paraId="6455F4E7">
            <w:pPr>
              <w:widowControl/>
              <w:jc w:val="center"/>
              <w:rPr>
                <w:rFonts w:ascii="新宋体" w:hAnsi="新宋体" w:eastAsia="新宋体" w:cs="Arial"/>
                <w:color w:val="auto"/>
                <w:kern w:val="0"/>
                <w:sz w:val="22"/>
                <w:szCs w:val="22"/>
                <w:highlight w:val="none"/>
              </w:rPr>
            </w:pPr>
          </w:p>
        </w:tc>
        <w:tc>
          <w:tcPr>
            <w:tcW w:w="709" w:type="dxa"/>
            <w:tcBorders>
              <w:top w:val="nil"/>
              <w:left w:val="nil"/>
              <w:bottom w:val="single" w:color="auto" w:sz="4" w:space="0"/>
              <w:right w:val="single" w:color="auto" w:sz="4" w:space="0"/>
            </w:tcBorders>
            <w:shd w:val="clear" w:color="auto" w:fill="auto"/>
            <w:noWrap/>
            <w:vAlign w:val="center"/>
          </w:tcPr>
          <w:p w14:paraId="6CFA3741">
            <w:pPr>
              <w:widowControl/>
              <w:jc w:val="center"/>
              <w:rPr>
                <w:rFonts w:ascii="新宋体" w:hAnsi="新宋体" w:eastAsia="新宋体" w:cs="Arial"/>
                <w:color w:val="auto"/>
                <w:kern w:val="0"/>
                <w:sz w:val="22"/>
                <w:szCs w:val="22"/>
                <w:highlight w:val="none"/>
              </w:rPr>
            </w:pPr>
          </w:p>
        </w:tc>
        <w:tc>
          <w:tcPr>
            <w:tcW w:w="992" w:type="dxa"/>
            <w:tcBorders>
              <w:top w:val="nil"/>
              <w:left w:val="nil"/>
              <w:bottom w:val="single" w:color="auto" w:sz="4" w:space="0"/>
              <w:right w:val="single" w:color="auto" w:sz="4" w:space="0"/>
            </w:tcBorders>
            <w:shd w:val="clear" w:color="auto" w:fill="auto"/>
            <w:noWrap/>
            <w:vAlign w:val="center"/>
          </w:tcPr>
          <w:p w14:paraId="6524EEC5">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851" w:type="dxa"/>
            <w:tcBorders>
              <w:top w:val="nil"/>
              <w:left w:val="nil"/>
              <w:bottom w:val="single" w:color="auto" w:sz="4" w:space="0"/>
              <w:right w:val="single" w:color="auto" w:sz="4" w:space="0"/>
            </w:tcBorders>
            <w:shd w:val="clear" w:color="auto" w:fill="auto"/>
            <w:vAlign w:val="center"/>
          </w:tcPr>
          <w:p w14:paraId="0B762819">
            <w:pPr>
              <w:widowControl/>
              <w:jc w:val="left"/>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r>
      <w:tr w14:paraId="111F7918">
        <w:tblPrEx>
          <w:tblCellMar>
            <w:top w:w="0" w:type="dxa"/>
            <w:left w:w="108" w:type="dxa"/>
            <w:bottom w:w="0" w:type="dxa"/>
            <w:right w:w="108" w:type="dxa"/>
          </w:tblCellMar>
        </w:tblPrEx>
        <w:trPr>
          <w:gridAfter w:val="1"/>
          <w:wAfter w:w="567" w:type="dxa"/>
          <w:trHeight w:val="55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6AC3BFB3">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1560" w:type="dxa"/>
            <w:tcBorders>
              <w:top w:val="nil"/>
              <w:left w:val="nil"/>
              <w:bottom w:val="single" w:color="auto" w:sz="4" w:space="0"/>
              <w:right w:val="single" w:color="auto" w:sz="4" w:space="0"/>
            </w:tcBorders>
            <w:shd w:val="clear" w:color="auto" w:fill="auto"/>
            <w:noWrap/>
            <w:vAlign w:val="center"/>
          </w:tcPr>
          <w:p w14:paraId="6D5BD0A0">
            <w:pPr>
              <w:widowControl/>
              <w:jc w:val="left"/>
              <w:rPr>
                <w:rFonts w:cs="Arial"/>
                <w:color w:val="auto"/>
                <w:kern w:val="0"/>
                <w:sz w:val="22"/>
                <w:szCs w:val="22"/>
                <w:highlight w:val="none"/>
              </w:rPr>
            </w:pPr>
            <w:r>
              <w:rPr>
                <w:rFonts w:hint="eastAsia" w:cs="Arial"/>
                <w:color w:val="auto"/>
                <w:kern w:val="0"/>
                <w:sz w:val="22"/>
                <w:szCs w:val="22"/>
                <w:highlight w:val="none"/>
              </w:rPr>
              <w:t>　</w:t>
            </w:r>
          </w:p>
        </w:tc>
        <w:tc>
          <w:tcPr>
            <w:tcW w:w="3685" w:type="dxa"/>
            <w:tcBorders>
              <w:top w:val="nil"/>
              <w:left w:val="nil"/>
              <w:bottom w:val="single" w:color="auto" w:sz="4" w:space="0"/>
              <w:right w:val="single" w:color="auto" w:sz="4" w:space="0"/>
            </w:tcBorders>
            <w:shd w:val="clear" w:color="auto" w:fill="auto"/>
            <w:vAlign w:val="center"/>
          </w:tcPr>
          <w:p w14:paraId="38890939">
            <w:pPr>
              <w:widowControl/>
              <w:jc w:val="left"/>
              <w:rPr>
                <w:rFonts w:cs="Arial"/>
                <w:color w:val="auto"/>
                <w:kern w:val="0"/>
                <w:sz w:val="22"/>
                <w:szCs w:val="22"/>
                <w:highlight w:val="none"/>
              </w:rPr>
            </w:pPr>
            <w:r>
              <w:rPr>
                <w:rFonts w:hint="eastAsia" w:cs="Arial"/>
                <w:color w:val="auto"/>
                <w:kern w:val="0"/>
                <w:sz w:val="22"/>
                <w:szCs w:val="22"/>
                <w:highlight w:val="none"/>
              </w:rPr>
              <w:t>　</w:t>
            </w:r>
          </w:p>
        </w:tc>
        <w:tc>
          <w:tcPr>
            <w:tcW w:w="709" w:type="dxa"/>
            <w:tcBorders>
              <w:top w:val="nil"/>
              <w:left w:val="nil"/>
              <w:bottom w:val="single" w:color="auto" w:sz="4" w:space="0"/>
              <w:right w:val="single" w:color="auto" w:sz="4" w:space="0"/>
            </w:tcBorders>
            <w:shd w:val="clear" w:color="auto" w:fill="auto"/>
            <w:noWrap/>
            <w:vAlign w:val="center"/>
          </w:tcPr>
          <w:p w14:paraId="47730898">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850" w:type="dxa"/>
            <w:tcBorders>
              <w:top w:val="nil"/>
              <w:left w:val="nil"/>
              <w:bottom w:val="single" w:color="auto" w:sz="4" w:space="0"/>
              <w:right w:val="single" w:color="auto" w:sz="4" w:space="0"/>
            </w:tcBorders>
            <w:shd w:val="clear" w:color="auto" w:fill="auto"/>
            <w:noWrap/>
            <w:vAlign w:val="center"/>
          </w:tcPr>
          <w:p w14:paraId="76E64AB3">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709" w:type="dxa"/>
            <w:tcBorders>
              <w:top w:val="nil"/>
              <w:left w:val="nil"/>
              <w:bottom w:val="single" w:color="auto" w:sz="4" w:space="0"/>
              <w:right w:val="single" w:color="auto" w:sz="4" w:space="0"/>
            </w:tcBorders>
            <w:shd w:val="clear" w:color="auto" w:fill="auto"/>
            <w:noWrap/>
            <w:vAlign w:val="center"/>
          </w:tcPr>
          <w:p w14:paraId="278291BF">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992" w:type="dxa"/>
            <w:tcBorders>
              <w:top w:val="nil"/>
              <w:left w:val="nil"/>
              <w:bottom w:val="single" w:color="auto" w:sz="4" w:space="0"/>
              <w:right w:val="single" w:color="auto" w:sz="4" w:space="0"/>
            </w:tcBorders>
            <w:shd w:val="clear" w:color="auto" w:fill="auto"/>
            <w:noWrap/>
            <w:vAlign w:val="center"/>
          </w:tcPr>
          <w:p w14:paraId="07CDCFAF">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851" w:type="dxa"/>
            <w:tcBorders>
              <w:top w:val="nil"/>
              <w:left w:val="nil"/>
              <w:bottom w:val="single" w:color="auto" w:sz="4" w:space="0"/>
              <w:right w:val="single" w:color="auto" w:sz="4" w:space="0"/>
            </w:tcBorders>
            <w:shd w:val="clear" w:color="auto" w:fill="auto"/>
            <w:vAlign w:val="center"/>
          </w:tcPr>
          <w:p w14:paraId="657289AA">
            <w:pPr>
              <w:widowControl/>
              <w:jc w:val="left"/>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r>
      <w:tr w14:paraId="1AE639D7">
        <w:tblPrEx>
          <w:tblCellMar>
            <w:top w:w="0" w:type="dxa"/>
            <w:left w:w="108" w:type="dxa"/>
            <w:bottom w:w="0" w:type="dxa"/>
            <w:right w:w="108" w:type="dxa"/>
          </w:tblCellMar>
        </w:tblPrEx>
        <w:trPr>
          <w:gridAfter w:val="1"/>
          <w:wAfter w:w="567" w:type="dxa"/>
          <w:trHeight w:val="55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4B1548A0">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1560" w:type="dxa"/>
            <w:tcBorders>
              <w:top w:val="nil"/>
              <w:left w:val="nil"/>
              <w:bottom w:val="single" w:color="auto" w:sz="4" w:space="0"/>
              <w:right w:val="single" w:color="auto" w:sz="4" w:space="0"/>
            </w:tcBorders>
            <w:shd w:val="clear" w:color="auto" w:fill="auto"/>
            <w:noWrap/>
            <w:vAlign w:val="center"/>
          </w:tcPr>
          <w:p w14:paraId="7E939287">
            <w:pPr>
              <w:widowControl/>
              <w:jc w:val="left"/>
              <w:rPr>
                <w:rFonts w:cs="Arial"/>
                <w:color w:val="auto"/>
                <w:kern w:val="0"/>
                <w:sz w:val="22"/>
                <w:szCs w:val="22"/>
                <w:highlight w:val="none"/>
              </w:rPr>
            </w:pPr>
            <w:r>
              <w:rPr>
                <w:rFonts w:hint="eastAsia" w:cs="Arial"/>
                <w:color w:val="auto"/>
                <w:kern w:val="0"/>
                <w:sz w:val="22"/>
                <w:szCs w:val="22"/>
                <w:highlight w:val="none"/>
              </w:rPr>
              <w:t>　</w:t>
            </w:r>
          </w:p>
        </w:tc>
        <w:tc>
          <w:tcPr>
            <w:tcW w:w="3685" w:type="dxa"/>
            <w:tcBorders>
              <w:top w:val="nil"/>
              <w:left w:val="nil"/>
              <w:bottom w:val="single" w:color="auto" w:sz="4" w:space="0"/>
              <w:right w:val="single" w:color="auto" w:sz="4" w:space="0"/>
            </w:tcBorders>
            <w:shd w:val="clear" w:color="auto" w:fill="auto"/>
            <w:vAlign w:val="center"/>
          </w:tcPr>
          <w:p w14:paraId="26F48F35">
            <w:pPr>
              <w:widowControl/>
              <w:jc w:val="left"/>
              <w:rPr>
                <w:rFonts w:cs="Arial"/>
                <w:color w:val="auto"/>
                <w:kern w:val="0"/>
                <w:sz w:val="22"/>
                <w:szCs w:val="22"/>
                <w:highlight w:val="none"/>
              </w:rPr>
            </w:pPr>
            <w:r>
              <w:rPr>
                <w:rFonts w:hint="eastAsia" w:cs="Arial"/>
                <w:color w:val="auto"/>
                <w:kern w:val="0"/>
                <w:sz w:val="22"/>
                <w:szCs w:val="22"/>
                <w:highlight w:val="none"/>
              </w:rPr>
              <w:t>　</w:t>
            </w:r>
          </w:p>
        </w:tc>
        <w:tc>
          <w:tcPr>
            <w:tcW w:w="709" w:type="dxa"/>
            <w:tcBorders>
              <w:top w:val="nil"/>
              <w:left w:val="nil"/>
              <w:bottom w:val="single" w:color="auto" w:sz="4" w:space="0"/>
              <w:right w:val="single" w:color="auto" w:sz="4" w:space="0"/>
            </w:tcBorders>
            <w:shd w:val="clear" w:color="auto" w:fill="auto"/>
            <w:noWrap/>
            <w:vAlign w:val="center"/>
          </w:tcPr>
          <w:p w14:paraId="09ACF64B">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850" w:type="dxa"/>
            <w:tcBorders>
              <w:top w:val="nil"/>
              <w:left w:val="nil"/>
              <w:bottom w:val="single" w:color="auto" w:sz="4" w:space="0"/>
              <w:right w:val="single" w:color="auto" w:sz="4" w:space="0"/>
            </w:tcBorders>
            <w:shd w:val="clear" w:color="auto" w:fill="auto"/>
            <w:noWrap/>
            <w:vAlign w:val="center"/>
          </w:tcPr>
          <w:p w14:paraId="10F711F9">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709" w:type="dxa"/>
            <w:tcBorders>
              <w:top w:val="nil"/>
              <w:left w:val="nil"/>
              <w:bottom w:val="single" w:color="auto" w:sz="4" w:space="0"/>
              <w:right w:val="single" w:color="auto" w:sz="4" w:space="0"/>
            </w:tcBorders>
            <w:shd w:val="clear" w:color="auto" w:fill="auto"/>
            <w:noWrap/>
            <w:vAlign w:val="center"/>
          </w:tcPr>
          <w:p w14:paraId="592A09B4">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992" w:type="dxa"/>
            <w:tcBorders>
              <w:top w:val="nil"/>
              <w:left w:val="nil"/>
              <w:bottom w:val="single" w:color="auto" w:sz="4" w:space="0"/>
              <w:right w:val="single" w:color="auto" w:sz="4" w:space="0"/>
            </w:tcBorders>
            <w:shd w:val="clear" w:color="auto" w:fill="auto"/>
            <w:noWrap/>
            <w:vAlign w:val="center"/>
          </w:tcPr>
          <w:p w14:paraId="707324FB">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851" w:type="dxa"/>
            <w:tcBorders>
              <w:top w:val="nil"/>
              <w:left w:val="nil"/>
              <w:bottom w:val="single" w:color="auto" w:sz="4" w:space="0"/>
              <w:right w:val="single" w:color="auto" w:sz="4" w:space="0"/>
            </w:tcBorders>
            <w:shd w:val="clear" w:color="auto" w:fill="auto"/>
            <w:vAlign w:val="center"/>
          </w:tcPr>
          <w:p w14:paraId="1EAE6339">
            <w:pPr>
              <w:widowControl/>
              <w:jc w:val="left"/>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r>
      <w:tr w14:paraId="0609B64F">
        <w:tblPrEx>
          <w:tblCellMar>
            <w:top w:w="0" w:type="dxa"/>
            <w:left w:w="108" w:type="dxa"/>
            <w:bottom w:w="0" w:type="dxa"/>
            <w:right w:w="108" w:type="dxa"/>
          </w:tblCellMar>
        </w:tblPrEx>
        <w:trPr>
          <w:gridAfter w:val="1"/>
          <w:wAfter w:w="567" w:type="dxa"/>
          <w:trHeight w:val="55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50E7801C">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1560" w:type="dxa"/>
            <w:tcBorders>
              <w:top w:val="nil"/>
              <w:left w:val="nil"/>
              <w:bottom w:val="single" w:color="auto" w:sz="4" w:space="0"/>
              <w:right w:val="single" w:color="auto" w:sz="4" w:space="0"/>
            </w:tcBorders>
            <w:shd w:val="clear" w:color="auto" w:fill="auto"/>
            <w:noWrap/>
            <w:vAlign w:val="center"/>
          </w:tcPr>
          <w:p w14:paraId="41AC2B65">
            <w:pPr>
              <w:widowControl/>
              <w:jc w:val="left"/>
              <w:rPr>
                <w:rFonts w:cs="Arial"/>
                <w:color w:val="auto"/>
                <w:kern w:val="0"/>
                <w:sz w:val="22"/>
                <w:szCs w:val="22"/>
                <w:highlight w:val="none"/>
              </w:rPr>
            </w:pPr>
            <w:r>
              <w:rPr>
                <w:rFonts w:hint="eastAsia" w:cs="Arial"/>
                <w:color w:val="auto"/>
                <w:kern w:val="0"/>
                <w:sz w:val="22"/>
                <w:szCs w:val="22"/>
                <w:highlight w:val="none"/>
              </w:rPr>
              <w:t>　</w:t>
            </w:r>
          </w:p>
        </w:tc>
        <w:tc>
          <w:tcPr>
            <w:tcW w:w="3685" w:type="dxa"/>
            <w:tcBorders>
              <w:top w:val="nil"/>
              <w:left w:val="nil"/>
              <w:bottom w:val="single" w:color="auto" w:sz="4" w:space="0"/>
              <w:right w:val="single" w:color="auto" w:sz="4" w:space="0"/>
            </w:tcBorders>
            <w:shd w:val="clear" w:color="auto" w:fill="auto"/>
            <w:vAlign w:val="center"/>
          </w:tcPr>
          <w:p w14:paraId="6D44E1DC">
            <w:pPr>
              <w:widowControl/>
              <w:jc w:val="left"/>
              <w:rPr>
                <w:rFonts w:cs="Arial"/>
                <w:color w:val="auto"/>
                <w:kern w:val="0"/>
                <w:sz w:val="22"/>
                <w:szCs w:val="22"/>
                <w:highlight w:val="none"/>
              </w:rPr>
            </w:pPr>
            <w:r>
              <w:rPr>
                <w:rFonts w:hint="eastAsia" w:cs="Arial"/>
                <w:color w:val="auto"/>
                <w:kern w:val="0"/>
                <w:sz w:val="22"/>
                <w:szCs w:val="22"/>
                <w:highlight w:val="none"/>
              </w:rPr>
              <w:t>　</w:t>
            </w:r>
          </w:p>
        </w:tc>
        <w:tc>
          <w:tcPr>
            <w:tcW w:w="709" w:type="dxa"/>
            <w:tcBorders>
              <w:top w:val="nil"/>
              <w:left w:val="nil"/>
              <w:bottom w:val="single" w:color="auto" w:sz="4" w:space="0"/>
              <w:right w:val="single" w:color="auto" w:sz="4" w:space="0"/>
            </w:tcBorders>
            <w:shd w:val="clear" w:color="auto" w:fill="auto"/>
            <w:noWrap/>
            <w:vAlign w:val="center"/>
          </w:tcPr>
          <w:p w14:paraId="70E462DC">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850" w:type="dxa"/>
            <w:tcBorders>
              <w:top w:val="nil"/>
              <w:left w:val="nil"/>
              <w:bottom w:val="single" w:color="auto" w:sz="4" w:space="0"/>
              <w:right w:val="single" w:color="auto" w:sz="4" w:space="0"/>
            </w:tcBorders>
            <w:shd w:val="clear" w:color="auto" w:fill="auto"/>
            <w:noWrap/>
            <w:vAlign w:val="center"/>
          </w:tcPr>
          <w:p w14:paraId="21E3A1B1">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709" w:type="dxa"/>
            <w:tcBorders>
              <w:top w:val="nil"/>
              <w:left w:val="nil"/>
              <w:bottom w:val="single" w:color="auto" w:sz="4" w:space="0"/>
              <w:right w:val="single" w:color="auto" w:sz="4" w:space="0"/>
            </w:tcBorders>
            <w:shd w:val="clear" w:color="auto" w:fill="auto"/>
            <w:noWrap/>
            <w:vAlign w:val="center"/>
          </w:tcPr>
          <w:p w14:paraId="7B115029">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992" w:type="dxa"/>
            <w:tcBorders>
              <w:top w:val="nil"/>
              <w:left w:val="nil"/>
              <w:bottom w:val="single" w:color="auto" w:sz="4" w:space="0"/>
              <w:right w:val="single" w:color="auto" w:sz="4" w:space="0"/>
            </w:tcBorders>
            <w:shd w:val="clear" w:color="auto" w:fill="auto"/>
            <w:noWrap/>
            <w:vAlign w:val="center"/>
          </w:tcPr>
          <w:p w14:paraId="3F603A5E">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851" w:type="dxa"/>
            <w:tcBorders>
              <w:top w:val="nil"/>
              <w:left w:val="nil"/>
              <w:bottom w:val="single" w:color="auto" w:sz="4" w:space="0"/>
              <w:right w:val="single" w:color="auto" w:sz="4" w:space="0"/>
            </w:tcBorders>
            <w:shd w:val="clear" w:color="auto" w:fill="auto"/>
            <w:vAlign w:val="center"/>
          </w:tcPr>
          <w:p w14:paraId="29F8A9A9">
            <w:pPr>
              <w:widowControl/>
              <w:jc w:val="left"/>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r>
      <w:tr w14:paraId="56F66126">
        <w:tblPrEx>
          <w:tblCellMar>
            <w:top w:w="0" w:type="dxa"/>
            <w:left w:w="108" w:type="dxa"/>
            <w:bottom w:w="0" w:type="dxa"/>
            <w:right w:w="108" w:type="dxa"/>
          </w:tblCellMar>
        </w:tblPrEx>
        <w:trPr>
          <w:gridAfter w:val="1"/>
          <w:wAfter w:w="567" w:type="dxa"/>
          <w:trHeight w:val="55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02AF3038">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1560" w:type="dxa"/>
            <w:tcBorders>
              <w:top w:val="nil"/>
              <w:left w:val="nil"/>
              <w:bottom w:val="single" w:color="auto" w:sz="4" w:space="0"/>
              <w:right w:val="single" w:color="auto" w:sz="4" w:space="0"/>
            </w:tcBorders>
            <w:shd w:val="clear" w:color="auto" w:fill="auto"/>
            <w:noWrap/>
            <w:vAlign w:val="center"/>
          </w:tcPr>
          <w:p w14:paraId="6D1E1A0F">
            <w:pPr>
              <w:widowControl/>
              <w:jc w:val="left"/>
              <w:rPr>
                <w:rFonts w:cs="Arial"/>
                <w:color w:val="auto"/>
                <w:kern w:val="0"/>
                <w:sz w:val="22"/>
                <w:szCs w:val="22"/>
                <w:highlight w:val="none"/>
              </w:rPr>
            </w:pPr>
            <w:r>
              <w:rPr>
                <w:rFonts w:hint="eastAsia" w:cs="Arial"/>
                <w:color w:val="auto"/>
                <w:kern w:val="0"/>
                <w:sz w:val="22"/>
                <w:szCs w:val="22"/>
                <w:highlight w:val="none"/>
              </w:rPr>
              <w:t>　</w:t>
            </w:r>
          </w:p>
        </w:tc>
        <w:tc>
          <w:tcPr>
            <w:tcW w:w="3685" w:type="dxa"/>
            <w:tcBorders>
              <w:top w:val="nil"/>
              <w:left w:val="nil"/>
              <w:bottom w:val="single" w:color="auto" w:sz="4" w:space="0"/>
              <w:right w:val="single" w:color="auto" w:sz="4" w:space="0"/>
            </w:tcBorders>
            <w:shd w:val="clear" w:color="auto" w:fill="auto"/>
            <w:vAlign w:val="center"/>
          </w:tcPr>
          <w:p w14:paraId="4622093A">
            <w:pPr>
              <w:widowControl/>
              <w:jc w:val="left"/>
              <w:rPr>
                <w:rFonts w:cs="Arial"/>
                <w:color w:val="auto"/>
                <w:kern w:val="0"/>
                <w:sz w:val="22"/>
                <w:szCs w:val="22"/>
                <w:highlight w:val="none"/>
              </w:rPr>
            </w:pPr>
            <w:r>
              <w:rPr>
                <w:rFonts w:hint="eastAsia" w:cs="Arial"/>
                <w:color w:val="auto"/>
                <w:kern w:val="0"/>
                <w:sz w:val="22"/>
                <w:szCs w:val="22"/>
                <w:highlight w:val="none"/>
              </w:rPr>
              <w:t>　</w:t>
            </w:r>
          </w:p>
        </w:tc>
        <w:tc>
          <w:tcPr>
            <w:tcW w:w="709" w:type="dxa"/>
            <w:tcBorders>
              <w:top w:val="nil"/>
              <w:left w:val="nil"/>
              <w:bottom w:val="single" w:color="auto" w:sz="4" w:space="0"/>
              <w:right w:val="single" w:color="auto" w:sz="4" w:space="0"/>
            </w:tcBorders>
            <w:shd w:val="clear" w:color="auto" w:fill="auto"/>
            <w:noWrap/>
            <w:vAlign w:val="center"/>
          </w:tcPr>
          <w:p w14:paraId="543A733E">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850" w:type="dxa"/>
            <w:tcBorders>
              <w:top w:val="nil"/>
              <w:left w:val="nil"/>
              <w:bottom w:val="single" w:color="auto" w:sz="4" w:space="0"/>
              <w:right w:val="single" w:color="auto" w:sz="4" w:space="0"/>
            </w:tcBorders>
            <w:shd w:val="clear" w:color="auto" w:fill="auto"/>
            <w:noWrap/>
            <w:vAlign w:val="center"/>
          </w:tcPr>
          <w:p w14:paraId="06A00AE5">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709" w:type="dxa"/>
            <w:tcBorders>
              <w:top w:val="nil"/>
              <w:left w:val="nil"/>
              <w:bottom w:val="single" w:color="auto" w:sz="4" w:space="0"/>
              <w:right w:val="single" w:color="auto" w:sz="4" w:space="0"/>
            </w:tcBorders>
            <w:shd w:val="clear" w:color="auto" w:fill="auto"/>
            <w:noWrap/>
            <w:vAlign w:val="center"/>
          </w:tcPr>
          <w:p w14:paraId="6320934B">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992" w:type="dxa"/>
            <w:tcBorders>
              <w:top w:val="nil"/>
              <w:left w:val="nil"/>
              <w:bottom w:val="single" w:color="auto" w:sz="4" w:space="0"/>
              <w:right w:val="single" w:color="auto" w:sz="4" w:space="0"/>
            </w:tcBorders>
            <w:shd w:val="clear" w:color="auto" w:fill="auto"/>
            <w:noWrap/>
            <w:vAlign w:val="center"/>
          </w:tcPr>
          <w:p w14:paraId="6CAEB9CF">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851" w:type="dxa"/>
            <w:tcBorders>
              <w:top w:val="nil"/>
              <w:left w:val="nil"/>
              <w:bottom w:val="single" w:color="auto" w:sz="4" w:space="0"/>
              <w:right w:val="single" w:color="auto" w:sz="4" w:space="0"/>
            </w:tcBorders>
            <w:shd w:val="clear" w:color="auto" w:fill="auto"/>
            <w:vAlign w:val="center"/>
          </w:tcPr>
          <w:p w14:paraId="0FA66E14">
            <w:pPr>
              <w:widowControl/>
              <w:jc w:val="left"/>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r>
      <w:tr w14:paraId="6B733785">
        <w:tblPrEx>
          <w:tblCellMar>
            <w:top w:w="0" w:type="dxa"/>
            <w:left w:w="108" w:type="dxa"/>
            <w:bottom w:w="0" w:type="dxa"/>
            <w:right w:w="108" w:type="dxa"/>
          </w:tblCellMar>
        </w:tblPrEx>
        <w:trPr>
          <w:gridAfter w:val="1"/>
          <w:wAfter w:w="567" w:type="dxa"/>
          <w:trHeight w:val="55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26AE8F13">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1560" w:type="dxa"/>
            <w:tcBorders>
              <w:top w:val="nil"/>
              <w:left w:val="nil"/>
              <w:bottom w:val="single" w:color="auto" w:sz="4" w:space="0"/>
              <w:right w:val="single" w:color="auto" w:sz="4" w:space="0"/>
            </w:tcBorders>
            <w:shd w:val="clear" w:color="auto" w:fill="auto"/>
            <w:noWrap/>
            <w:vAlign w:val="center"/>
          </w:tcPr>
          <w:p w14:paraId="52CBD19A">
            <w:pPr>
              <w:widowControl/>
              <w:jc w:val="left"/>
              <w:rPr>
                <w:rFonts w:cs="Arial"/>
                <w:color w:val="auto"/>
                <w:kern w:val="0"/>
                <w:sz w:val="22"/>
                <w:szCs w:val="22"/>
                <w:highlight w:val="none"/>
              </w:rPr>
            </w:pPr>
            <w:r>
              <w:rPr>
                <w:rFonts w:hint="eastAsia" w:cs="Arial"/>
                <w:color w:val="auto"/>
                <w:kern w:val="0"/>
                <w:sz w:val="22"/>
                <w:szCs w:val="22"/>
                <w:highlight w:val="none"/>
              </w:rPr>
              <w:t>　</w:t>
            </w:r>
          </w:p>
        </w:tc>
        <w:tc>
          <w:tcPr>
            <w:tcW w:w="3685" w:type="dxa"/>
            <w:tcBorders>
              <w:top w:val="nil"/>
              <w:left w:val="nil"/>
              <w:bottom w:val="single" w:color="auto" w:sz="4" w:space="0"/>
              <w:right w:val="single" w:color="auto" w:sz="4" w:space="0"/>
            </w:tcBorders>
            <w:shd w:val="clear" w:color="auto" w:fill="auto"/>
            <w:vAlign w:val="center"/>
          </w:tcPr>
          <w:p w14:paraId="0AD16377">
            <w:pPr>
              <w:widowControl/>
              <w:jc w:val="center"/>
              <w:rPr>
                <w:rFonts w:ascii="Arial" w:hAnsi="Arial" w:cs="Arial"/>
                <w:color w:val="auto"/>
                <w:kern w:val="0"/>
                <w:sz w:val="22"/>
                <w:szCs w:val="22"/>
                <w:highlight w:val="none"/>
              </w:rPr>
            </w:pPr>
            <w:r>
              <w:rPr>
                <w:rFonts w:ascii="Arial" w:hAnsi="Arial" w:cs="Arial"/>
                <w:color w:val="auto"/>
                <w:kern w:val="0"/>
                <w:sz w:val="22"/>
                <w:szCs w:val="22"/>
                <w:highlight w:val="none"/>
              </w:rPr>
              <w:t>　</w:t>
            </w:r>
          </w:p>
        </w:tc>
        <w:tc>
          <w:tcPr>
            <w:tcW w:w="709" w:type="dxa"/>
            <w:tcBorders>
              <w:top w:val="nil"/>
              <w:left w:val="nil"/>
              <w:bottom w:val="single" w:color="auto" w:sz="4" w:space="0"/>
              <w:right w:val="single" w:color="auto" w:sz="4" w:space="0"/>
            </w:tcBorders>
            <w:shd w:val="clear" w:color="auto" w:fill="auto"/>
            <w:noWrap/>
            <w:vAlign w:val="center"/>
          </w:tcPr>
          <w:p w14:paraId="3C7F9750">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850" w:type="dxa"/>
            <w:tcBorders>
              <w:top w:val="nil"/>
              <w:left w:val="nil"/>
              <w:bottom w:val="single" w:color="auto" w:sz="4" w:space="0"/>
              <w:right w:val="single" w:color="auto" w:sz="4" w:space="0"/>
            </w:tcBorders>
            <w:shd w:val="clear" w:color="auto" w:fill="auto"/>
            <w:noWrap/>
            <w:vAlign w:val="center"/>
          </w:tcPr>
          <w:p w14:paraId="5271A1AB">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709" w:type="dxa"/>
            <w:tcBorders>
              <w:top w:val="nil"/>
              <w:left w:val="nil"/>
              <w:bottom w:val="single" w:color="auto" w:sz="4" w:space="0"/>
              <w:right w:val="single" w:color="auto" w:sz="4" w:space="0"/>
            </w:tcBorders>
            <w:shd w:val="clear" w:color="auto" w:fill="auto"/>
            <w:noWrap/>
            <w:vAlign w:val="center"/>
          </w:tcPr>
          <w:p w14:paraId="52A25924">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992" w:type="dxa"/>
            <w:tcBorders>
              <w:top w:val="nil"/>
              <w:left w:val="nil"/>
              <w:bottom w:val="single" w:color="auto" w:sz="4" w:space="0"/>
              <w:right w:val="single" w:color="auto" w:sz="4" w:space="0"/>
            </w:tcBorders>
            <w:shd w:val="clear" w:color="auto" w:fill="auto"/>
            <w:noWrap/>
            <w:vAlign w:val="center"/>
          </w:tcPr>
          <w:p w14:paraId="7497366C">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851" w:type="dxa"/>
            <w:tcBorders>
              <w:top w:val="nil"/>
              <w:left w:val="nil"/>
              <w:bottom w:val="single" w:color="auto" w:sz="4" w:space="0"/>
              <w:right w:val="single" w:color="auto" w:sz="4" w:space="0"/>
            </w:tcBorders>
            <w:shd w:val="clear" w:color="auto" w:fill="auto"/>
            <w:vAlign w:val="center"/>
          </w:tcPr>
          <w:p w14:paraId="0545307B">
            <w:pPr>
              <w:widowControl/>
              <w:jc w:val="left"/>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r>
      <w:tr w14:paraId="1A52522E">
        <w:tblPrEx>
          <w:tblCellMar>
            <w:top w:w="0" w:type="dxa"/>
            <w:left w:w="108" w:type="dxa"/>
            <w:bottom w:w="0" w:type="dxa"/>
            <w:right w:w="108" w:type="dxa"/>
          </w:tblCellMar>
        </w:tblPrEx>
        <w:trPr>
          <w:gridAfter w:val="1"/>
          <w:wAfter w:w="567" w:type="dxa"/>
          <w:trHeight w:val="55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1B7510ED">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1560" w:type="dxa"/>
            <w:tcBorders>
              <w:top w:val="nil"/>
              <w:left w:val="nil"/>
              <w:bottom w:val="single" w:color="auto" w:sz="4" w:space="0"/>
              <w:right w:val="single" w:color="auto" w:sz="4" w:space="0"/>
            </w:tcBorders>
            <w:shd w:val="clear" w:color="auto" w:fill="auto"/>
            <w:noWrap/>
            <w:vAlign w:val="center"/>
          </w:tcPr>
          <w:p w14:paraId="0F9BB2FB">
            <w:pPr>
              <w:widowControl/>
              <w:jc w:val="left"/>
              <w:rPr>
                <w:rFonts w:cs="Arial"/>
                <w:color w:val="auto"/>
                <w:kern w:val="0"/>
                <w:sz w:val="22"/>
                <w:szCs w:val="22"/>
                <w:highlight w:val="none"/>
              </w:rPr>
            </w:pPr>
            <w:r>
              <w:rPr>
                <w:rFonts w:hint="eastAsia" w:cs="Arial"/>
                <w:color w:val="auto"/>
                <w:kern w:val="0"/>
                <w:sz w:val="22"/>
                <w:szCs w:val="22"/>
                <w:highlight w:val="none"/>
              </w:rPr>
              <w:t>小计</w:t>
            </w:r>
          </w:p>
        </w:tc>
        <w:tc>
          <w:tcPr>
            <w:tcW w:w="3685" w:type="dxa"/>
            <w:tcBorders>
              <w:top w:val="nil"/>
              <w:left w:val="nil"/>
              <w:bottom w:val="single" w:color="auto" w:sz="4" w:space="0"/>
              <w:right w:val="single" w:color="auto" w:sz="4" w:space="0"/>
            </w:tcBorders>
            <w:shd w:val="clear" w:color="auto" w:fill="auto"/>
            <w:vAlign w:val="center"/>
          </w:tcPr>
          <w:p w14:paraId="2ADAF559">
            <w:pPr>
              <w:widowControl/>
              <w:jc w:val="center"/>
              <w:rPr>
                <w:rFonts w:ascii="Arial" w:hAnsi="Arial" w:cs="Arial"/>
                <w:color w:val="auto"/>
                <w:kern w:val="0"/>
                <w:sz w:val="22"/>
                <w:szCs w:val="22"/>
                <w:highlight w:val="none"/>
              </w:rPr>
            </w:pPr>
            <w:r>
              <w:rPr>
                <w:rFonts w:ascii="Arial" w:hAnsi="Arial" w:cs="Arial"/>
                <w:color w:val="auto"/>
                <w:kern w:val="0"/>
                <w:sz w:val="22"/>
                <w:szCs w:val="22"/>
                <w:highlight w:val="none"/>
              </w:rPr>
              <w:t>　</w:t>
            </w:r>
          </w:p>
        </w:tc>
        <w:tc>
          <w:tcPr>
            <w:tcW w:w="709" w:type="dxa"/>
            <w:tcBorders>
              <w:top w:val="nil"/>
              <w:left w:val="nil"/>
              <w:bottom w:val="single" w:color="auto" w:sz="4" w:space="0"/>
              <w:right w:val="single" w:color="auto" w:sz="4" w:space="0"/>
            </w:tcBorders>
            <w:shd w:val="clear" w:color="auto" w:fill="auto"/>
            <w:noWrap/>
            <w:vAlign w:val="center"/>
          </w:tcPr>
          <w:p w14:paraId="4D74F72E">
            <w:pPr>
              <w:widowControl/>
              <w:jc w:val="center"/>
              <w:rPr>
                <w:rFonts w:cs="Arial"/>
                <w:color w:val="auto"/>
                <w:kern w:val="0"/>
                <w:sz w:val="22"/>
                <w:szCs w:val="22"/>
                <w:highlight w:val="none"/>
              </w:rPr>
            </w:pPr>
            <w:r>
              <w:rPr>
                <w:rFonts w:hint="eastAsia" w:cs="Arial"/>
                <w:color w:val="auto"/>
                <w:kern w:val="0"/>
                <w:sz w:val="22"/>
                <w:szCs w:val="22"/>
                <w:highlight w:val="none"/>
              </w:rPr>
              <w:t>元</w:t>
            </w:r>
          </w:p>
        </w:tc>
        <w:tc>
          <w:tcPr>
            <w:tcW w:w="850" w:type="dxa"/>
            <w:tcBorders>
              <w:top w:val="nil"/>
              <w:left w:val="nil"/>
              <w:bottom w:val="single" w:color="auto" w:sz="4" w:space="0"/>
              <w:right w:val="single" w:color="auto" w:sz="4" w:space="0"/>
            </w:tcBorders>
            <w:shd w:val="clear" w:color="auto" w:fill="auto"/>
            <w:noWrap/>
            <w:vAlign w:val="center"/>
          </w:tcPr>
          <w:p w14:paraId="60A8FA2D">
            <w:pPr>
              <w:widowControl/>
              <w:jc w:val="center"/>
              <w:rPr>
                <w:rFonts w:ascii="Arial" w:hAnsi="Arial" w:cs="Arial"/>
                <w:color w:val="auto"/>
                <w:kern w:val="0"/>
                <w:sz w:val="22"/>
                <w:szCs w:val="22"/>
                <w:highlight w:val="none"/>
              </w:rPr>
            </w:pPr>
            <w:r>
              <w:rPr>
                <w:rFonts w:ascii="Arial" w:hAnsi="Arial" w:cs="Arial"/>
                <w:color w:val="auto"/>
                <w:kern w:val="0"/>
                <w:sz w:val="22"/>
                <w:szCs w:val="22"/>
                <w:highlight w:val="none"/>
              </w:rPr>
              <w:t>　</w:t>
            </w:r>
          </w:p>
        </w:tc>
        <w:tc>
          <w:tcPr>
            <w:tcW w:w="709" w:type="dxa"/>
            <w:tcBorders>
              <w:top w:val="nil"/>
              <w:left w:val="nil"/>
              <w:bottom w:val="single" w:color="auto" w:sz="4" w:space="0"/>
              <w:right w:val="single" w:color="auto" w:sz="4" w:space="0"/>
            </w:tcBorders>
            <w:shd w:val="clear" w:color="auto" w:fill="auto"/>
            <w:noWrap/>
            <w:vAlign w:val="center"/>
          </w:tcPr>
          <w:p w14:paraId="0C011DC0">
            <w:pPr>
              <w:widowControl/>
              <w:jc w:val="center"/>
              <w:rPr>
                <w:rFonts w:ascii="Arial" w:hAnsi="Arial" w:cs="Arial"/>
                <w:color w:val="auto"/>
                <w:kern w:val="0"/>
                <w:sz w:val="22"/>
                <w:szCs w:val="22"/>
                <w:highlight w:val="none"/>
              </w:rPr>
            </w:pPr>
            <w:r>
              <w:rPr>
                <w:rFonts w:ascii="Arial" w:hAnsi="Arial" w:cs="Arial"/>
                <w:color w:val="auto"/>
                <w:kern w:val="0"/>
                <w:sz w:val="22"/>
                <w:szCs w:val="22"/>
                <w:highlight w:val="none"/>
              </w:rPr>
              <w:t>　</w:t>
            </w:r>
          </w:p>
        </w:tc>
        <w:tc>
          <w:tcPr>
            <w:tcW w:w="992" w:type="dxa"/>
            <w:tcBorders>
              <w:top w:val="nil"/>
              <w:left w:val="nil"/>
              <w:bottom w:val="single" w:color="auto" w:sz="4" w:space="0"/>
              <w:right w:val="single" w:color="auto" w:sz="4" w:space="0"/>
            </w:tcBorders>
            <w:shd w:val="clear" w:color="auto" w:fill="auto"/>
            <w:noWrap/>
            <w:vAlign w:val="center"/>
          </w:tcPr>
          <w:p w14:paraId="13A67E60">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851" w:type="dxa"/>
            <w:tcBorders>
              <w:top w:val="nil"/>
              <w:left w:val="nil"/>
              <w:bottom w:val="single" w:color="auto" w:sz="4" w:space="0"/>
              <w:right w:val="single" w:color="auto" w:sz="4" w:space="0"/>
            </w:tcBorders>
            <w:shd w:val="clear" w:color="auto" w:fill="auto"/>
            <w:vAlign w:val="center"/>
          </w:tcPr>
          <w:p w14:paraId="0D294AF4">
            <w:pPr>
              <w:widowControl/>
              <w:jc w:val="left"/>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r>
      <w:tr w14:paraId="4906EE90">
        <w:tblPrEx>
          <w:tblCellMar>
            <w:top w:w="0" w:type="dxa"/>
            <w:left w:w="108" w:type="dxa"/>
            <w:bottom w:w="0" w:type="dxa"/>
            <w:right w:w="108" w:type="dxa"/>
          </w:tblCellMar>
        </w:tblPrEx>
        <w:trPr>
          <w:gridAfter w:val="1"/>
          <w:wAfter w:w="567" w:type="dxa"/>
          <w:trHeight w:val="55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30AE59F1">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1560" w:type="dxa"/>
            <w:tcBorders>
              <w:top w:val="nil"/>
              <w:left w:val="nil"/>
              <w:bottom w:val="single" w:color="auto" w:sz="4" w:space="0"/>
              <w:right w:val="single" w:color="auto" w:sz="4" w:space="0"/>
            </w:tcBorders>
            <w:shd w:val="clear" w:color="auto" w:fill="auto"/>
            <w:noWrap/>
            <w:vAlign w:val="center"/>
          </w:tcPr>
          <w:p w14:paraId="6E122BF7">
            <w:pPr>
              <w:widowControl/>
              <w:jc w:val="left"/>
              <w:rPr>
                <w:rFonts w:cs="Arial"/>
                <w:color w:val="auto"/>
                <w:kern w:val="0"/>
                <w:sz w:val="22"/>
                <w:szCs w:val="22"/>
                <w:highlight w:val="none"/>
              </w:rPr>
            </w:pPr>
            <w:r>
              <w:rPr>
                <w:rFonts w:hint="eastAsia" w:cs="Arial"/>
                <w:color w:val="auto"/>
                <w:kern w:val="0"/>
                <w:sz w:val="22"/>
                <w:szCs w:val="22"/>
                <w:highlight w:val="none"/>
              </w:rPr>
              <w:t>税金</w:t>
            </w:r>
          </w:p>
        </w:tc>
        <w:tc>
          <w:tcPr>
            <w:tcW w:w="3685" w:type="dxa"/>
            <w:tcBorders>
              <w:top w:val="nil"/>
              <w:left w:val="nil"/>
              <w:bottom w:val="single" w:color="auto" w:sz="4" w:space="0"/>
              <w:right w:val="single" w:color="auto" w:sz="4" w:space="0"/>
            </w:tcBorders>
            <w:shd w:val="clear" w:color="auto" w:fill="auto"/>
            <w:vAlign w:val="center"/>
          </w:tcPr>
          <w:p w14:paraId="68AF7210">
            <w:pPr>
              <w:widowControl/>
              <w:jc w:val="center"/>
              <w:rPr>
                <w:rFonts w:ascii="Arial" w:hAnsi="Arial" w:cs="Arial"/>
                <w:color w:val="auto"/>
                <w:kern w:val="0"/>
                <w:sz w:val="22"/>
                <w:szCs w:val="22"/>
                <w:highlight w:val="none"/>
              </w:rPr>
            </w:pPr>
            <w:r>
              <w:rPr>
                <w:rFonts w:ascii="Arial" w:hAnsi="Arial" w:cs="Arial"/>
                <w:color w:val="auto"/>
                <w:kern w:val="0"/>
                <w:sz w:val="22"/>
                <w:szCs w:val="22"/>
                <w:highlight w:val="none"/>
              </w:rPr>
              <w:t>9%</w:t>
            </w:r>
          </w:p>
        </w:tc>
        <w:tc>
          <w:tcPr>
            <w:tcW w:w="709" w:type="dxa"/>
            <w:tcBorders>
              <w:top w:val="nil"/>
              <w:left w:val="nil"/>
              <w:bottom w:val="single" w:color="auto" w:sz="4" w:space="0"/>
              <w:right w:val="single" w:color="auto" w:sz="4" w:space="0"/>
            </w:tcBorders>
            <w:shd w:val="clear" w:color="auto" w:fill="auto"/>
            <w:noWrap/>
            <w:vAlign w:val="center"/>
          </w:tcPr>
          <w:p w14:paraId="7FF66AF1">
            <w:pPr>
              <w:widowControl/>
              <w:jc w:val="center"/>
              <w:rPr>
                <w:rFonts w:cs="Arial"/>
                <w:color w:val="auto"/>
                <w:kern w:val="0"/>
                <w:sz w:val="22"/>
                <w:szCs w:val="22"/>
                <w:highlight w:val="none"/>
              </w:rPr>
            </w:pPr>
            <w:r>
              <w:rPr>
                <w:rFonts w:hint="eastAsia" w:cs="Arial"/>
                <w:color w:val="auto"/>
                <w:kern w:val="0"/>
                <w:sz w:val="22"/>
                <w:szCs w:val="22"/>
                <w:highlight w:val="none"/>
              </w:rPr>
              <w:t>元</w:t>
            </w:r>
          </w:p>
        </w:tc>
        <w:tc>
          <w:tcPr>
            <w:tcW w:w="850" w:type="dxa"/>
            <w:tcBorders>
              <w:top w:val="nil"/>
              <w:left w:val="nil"/>
              <w:bottom w:val="single" w:color="auto" w:sz="4" w:space="0"/>
              <w:right w:val="single" w:color="auto" w:sz="4" w:space="0"/>
            </w:tcBorders>
            <w:shd w:val="clear" w:color="auto" w:fill="auto"/>
            <w:noWrap/>
            <w:vAlign w:val="center"/>
          </w:tcPr>
          <w:p w14:paraId="5C50163F">
            <w:pPr>
              <w:widowControl/>
              <w:jc w:val="center"/>
              <w:rPr>
                <w:rFonts w:ascii="Arial" w:hAnsi="Arial" w:cs="Arial"/>
                <w:color w:val="auto"/>
                <w:kern w:val="0"/>
                <w:sz w:val="22"/>
                <w:szCs w:val="22"/>
                <w:highlight w:val="none"/>
              </w:rPr>
            </w:pPr>
            <w:r>
              <w:rPr>
                <w:rFonts w:ascii="Arial" w:hAnsi="Arial" w:cs="Arial"/>
                <w:color w:val="auto"/>
                <w:kern w:val="0"/>
                <w:sz w:val="22"/>
                <w:szCs w:val="22"/>
                <w:highlight w:val="none"/>
              </w:rPr>
              <w:t>　</w:t>
            </w:r>
          </w:p>
        </w:tc>
        <w:tc>
          <w:tcPr>
            <w:tcW w:w="709" w:type="dxa"/>
            <w:tcBorders>
              <w:top w:val="nil"/>
              <w:left w:val="nil"/>
              <w:bottom w:val="single" w:color="auto" w:sz="4" w:space="0"/>
              <w:right w:val="single" w:color="auto" w:sz="4" w:space="0"/>
            </w:tcBorders>
            <w:shd w:val="clear" w:color="auto" w:fill="auto"/>
            <w:noWrap/>
            <w:vAlign w:val="center"/>
          </w:tcPr>
          <w:p w14:paraId="48AB66DB">
            <w:pPr>
              <w:widowControl/>
              <w:jc w:val="center"/>
              <w:rPr>
                <w:rFonts w:ascii="Arial" w:hAnsi="Arial" w:cs="Arial"/>
                <w:color w:val="auto"/>
                <w:kern w:val="0"/>
                <w:sz w:val="22"/>
                <w:szCs w:val="22"/>
                <w:highlight w:val="none"/>
              </w:rPr>
            </w:pPr>
            <w:r>
              <w:rPr>
                <w:rFonts w:ascii="Arial" w:hAnsi="Arial" w:cs="Arial"/>
                <w:color w:val="auto"/>
                <w:kern w:val="0"/>
                <w:sz w:val="22"/>
                <w:szCs w:val="22"/>
                <w:highlight w:val="none"/>
              </w:rPr>
              <w:t>　</w:t>
            </w:r>
          </w:p>
        </w:tc>
        <w:tc>
          <w:tcPr>
            <w:tcW w:w="992" w:type="dxa"/>
            <w:tcBorders>
              <w:top w:val="nil"/>
              <w:left w:val="nil"/>
              <w:bottom w:val="single" w:color="auto" w:sz="4" w:space="0"/>
              <w:right w:val="single" w:color="auto" w:sz="4" w:space="0"/>
            </w:tcBorders>
            <w:shd w:val="clear" w:color="auto" w:fill="auto"/>
            <w:noWrap/>
            <w:vAlign w:val="center"/>
          </w:tcPr>
          <w:p w14:paraId="1EB078F7">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851" w:type="dxa"/>
            <w:tcBorders>
              <w:top w:val="nil"/>
              <w:left w:val="nil"/>
              <w:bottom w:val="single" w:color="auto" w:sz="4" w:space="0"/>
              <w:right w:val="single" w:color="auto" w:sz="4" w:space="0"/>
            </w:tcBorders>
            <w:shd w:val="clear" w:color="auto" w:fill="auto"/>
            <w:vAlign w:val="center"/>
          </w:tcPr>
          <w:p w14:paraId="0462E68C">
            <w:pPr>
              <w:widowControl/>
              <w:jc w:val="left"/>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r>
      <w:tr w14:paraId="36B7F1F0">
        <w:tblPrEx>
          <w:tblCellMar>
            <w:top w:w="0" w:type="dxa"/>
            <w:left w:w="108" w:type="dxa"/>
            <w:bottom w:w="0" w:type="dxa"/>
            <w:right w:w="108" w:type="dxa"/>
          </w:tblCellMar>
        </w:tblPrEx>
        <w:trPr>
          <w:gridAfter w:val="1"/>
          <w:wAfter w:w="567" w:type="dxa"/>
          <w:trHeight w:val="55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14:paraId="092BC8BF">
            <w:pPr>
              <w:widowControl/>
              <w:jc w:val="center"/>
              <w:rPr>
                <w:rFonts w:ascii="新宋体" w:hAnsi="新宋体" w:eastAsia="新宋体" w:cs="Arial"/>
                <w:color w:val="auto"/>
                <w:kern w:val="0"/>
                <w:sz w:val="22"/>
                <w:szCs w:val="22"/>
                <w:highlight w:val="none"/>
              </w:rPr>
            </w:pPr>
            <w:r>
              <w:rPr>
                <w:rFonts w:hint="eastAsia" w:ascii="新宋体" w:hAnsi="新宋体" w:eastAsia="新宋体" w:cs="Arial"/>
                <w:color w:val="auto"/>
                <w:kern w:val="0"/>
                <w:sz w:val="22"/>
                <w:szCs w:val="22"/>
                <w:highlight w:val="none"/>
              </w:rPr>
              <w:t>　</w:t>
            </w:r>
          </w:p>
        </w:tc>
        <w:tc>
          <w:tcPr>
            <w:tcW w:w="1560" w:type="dxa"/>
            <w:tcBorders>
              <w:top w:val="nil"/>
              <w:left w:val="nil"/>
              <w:bottom w:val="single" w:color="auto" w:sz="4" w:space="0"/>
              <w:right w:val="single" w:color="auto" w:sz="4" w:space="0"/>
            </w:tcBorders>
            <w:shd w:val="clear" w:color="auto" w:fill="auto"/>
            <w:noWrap/>
            <w:vAlign w:val="center"/>
          </w:tcPr>
          <w:p w14:paraId="49E14A7B">
            <w:pPr>
              <w:widowControl/>
              <w:jc w:val="left"/>
              <w:rPr>
                <w:rFonts w:cs="Arial"/>
                <w:b/>
                <w:bCs/>
                <w:color w:val="auto"/>
                <w:kern w:val="0"/>
                <w:sz w:val="22"/>
                <w:szCs w:val="22"/>
                <w:highlight w:val="none"/>
              </w:rPr>
            </w:pPr>
            <w:r>
              <w:rPr>
                <w:rFonts w:hint="eastAsia" w:cs="Arial"/>
                <w:b/>
                <w:bCs/>
                <w:color w:val="auto"/>
                <w:kern w:val="0"/>
                <w:sz w:val="22"/>
                <w:szCs w:val="22"/>
                <w:highlight w:val="none"/>
              </w:rPr>
              <w:t>合计</w:t>
            </w:r>
          </w:p>
        </w:tc>
        <w:tc>
          <w:tcPr>
            <w:tcW w:w="3685" w:type="dxa"/>
            <w:tcBorders>
              <w:top w:val="nil"/>
              <w:left w:val="nil"/>
              <w:bottom w:val="single" w:color="auto" w:sz="4" w:space="0"/>
              <w:right w:val="single" w:color="auto" w:sz="4" w:space="0"/>
            </w:tcBorders>
            <w:shd w:val="clear" w:color="auto" w:fill="auto"/>
            <w:vAlign w:val="center"/>
          </w:tcPr>
          <w:p w14:paraId="30525EB9">
            <w:pPr>
              <w:widowControl/>
              <w:jc w:val="center"/>
              <w:rPr>
                <w:rFonts w:ascii="Arial" w:hAnsi="Arial" w:cs="Arial"/>
                <w:b/>
                <w:bCs/>
                <w:color w:val="auto"/>
                <w:kern w:val="0"/>
                <w:sz w:val="22"/>
                <w:szCs w:val="22"/>
                <w:highlight w:val="none"/>
              </w:rPr>
            </w:pPr>
            <w:r>
              <w:rPr>
                <w:rFonts w:ascii="Arial" w:hAnsi="Arial" w:cs="Arial"/>
                <w:b/>
                <w:bCs/>
                <w:color w:val="auto"/>
                <w:kern w:val="0"/>
                <w:sz w:val="22"/>
                <w:szCs w:val="22"/>
                <w:highlight w:val="none"/>
              </w:rPr>
              <w:t>　</w:t>
            </w:r>
          </w:p>
        </w:tc>
        <w:tc>
          <w:tcPr>
            <w:tcW w:w="709" w:type="dxa"/>
            <w:tcBorders>
              <w:top w:val="nil"/>
              <w:left w:val="nil"/>
              <w:bottom w:val="single" w:color="auto" w:sz="4" w:space="0"/>
              <w:right w:val="single" w:color="auto" w:sz="4" w:space="0"/>
            </w:tcBorders>
            <w:shd w:val="clear" w:color="auto" w:fill="auto"/>
            <w:noWrap/>
            <w:vAlign w:val="center"/>
          </w:tcPr>
          <w:p w14:paraId="025A557E">
            <w:pPr>
              <w:widowControl/>
              <w:jc w:val="center"/>
              <w:rPr>
                <w:rFonts w:cs="Arial"/>
                <w:b/>
                <w:bCs/>
                <w:color w:val="auto"/>
                <w:kern w:val="0"/>
                <w:sz w:val="22"/>
                <w:szCs w:val="22"/>
                <w:highlight w:val="none"/>
              </w:rPr>
            </w:pPr>
            <w:r>
              <w:rPr>
                <w:rFonts w:hint="eastAsia" w:cs="Arial"/>
                <w:b/>
                <w:bCs/>
                <w:color w:val="auto"/>
                <w:kern w:val="0"/>
                <w:sz w:val="22"/>
                <w:szCs w:val="22"/>
                <w:highlight w:val="none"/>
              </w:rPr>
              <w:t>元</w:t>
            </w:r>
          </w:p>
        </w:tc>
        <w:tc>
          <w:tcPr>
            <w:tcW w:w="850" w:type="dxa"/>
            <w:tcBorders>
              <w:top w:val="nil"/>
              <w:left w:val="nil"/>
              <w:bottom w:val="single" w:color="auto" w:sz="4" w:space="0"/>
              <w:right w:val="single" w:color="auto" w:sz="4" w:space="0"/>
            </w:tcBorders>
            <w:shd w:val="clear" w:color="auto" w:fill="auto"/>
            <w:noWrap/>
            <w:vAlign w:val="center"/>
          </w:tcPr>
          <w:p w14:paraId="34F4C1AF">
            <w:pPr>
              <w:widowControl/>
              <w:jc w:val="center"/>
              <w:rPr>
                <w:rFonts w:ascii="Arial" w:hAnsi="Arial" w:cs="Arial"/>
                <w:b/>
                <w:bCs/>
                <w:color w:val="auto"/>
                <w:kern w:val="0"/>
                <w:sz w:val="22"/>
                <w:szCs w:val="22"/>
                <w:highlight w:val="none"/>
              </w:rPr>
            </w:pPr>
            <w:r>
              <w:rPr>
                <w:rFonts w:ascii="Arial" w:hAnsi="Arial" w:cs="Arial"/>
                <w:b/>
                <w:bCs/>
                <w:color w:val="auto"/>
                <w:kern w:val="0"/>
                <w:sz w:val="22"/>
                <w:szCs w:val="22"/>
                <w:highlight w:val="none"/>
              </w:rPr>
              <w:t>　</w:t>
            </w:r>
          </w:p>
        </w:tc>
        <w:tc>
          <w:tcPr>
            <w:tcW w:w="709" w:type="dxa"/>
            <w:tcBorders>
              <w:top w:val="nil"/>
              <w:left w:val="nil"/>
              <w:bottom w:val="single" w:color="auto" w:sz="4" w:space="0"/>
              <w:right w:val="single" w:color="auto" w:sz="4" w:space="0"/>
            </w:tcBorders>
            <w:shd w:val="clear" w:color="auto" w:fill="auto"/>
            <w:noWrap/>
            <w:vAlign w:val="center"/>
          </w:tcPr>
          <w:p w14:paraId="3E6329D9">
            <w:pPr>
              <w:widowControl/>
              <w:jc w:val="center"/>
              <w:rPr>
                <w:rFonts w:ascii="Arial" w:hAnsi="Arial" w:cs="Arial"/>
                <w:b/>
                <w:bCs/>
                <w:color w:val="auto"/>
                <w:kern w:val="0"/>
                <w:sz w:val="22"/>
                <w:szCs w:val="22"/>
                <w:highlight w:val="none"/>
              </w:rPr>
            </w:pPr>
            <w:r>
              <w:rPr>
                <w:rFonts w:ascii="Arial" w:hAnsi="Arial" w:cs="Arial"/>
                <w:b/>
                <w:bCs/>
                <w:color w:val="auto"/>
                <w:kern w:val="0"/>
                <w:sz w:val="22"/>
                <w:szCs w:val="22"/>
                <w:highlight w:val="none"/>
              </w:rPr>
              <w:t>　</w:t>
            </w:r>
          </w:p>
        </w:tc>
        <w:tc>
          <w:tcPr>
            <w:tcW w:w="992" w:type="dxa"/>
            <w:tcBorders>
              <w:top w:val="nil"/>
              <w:left w:val="nil"/>
              <w:bottom w:val="single" w:color="auto" w:sz="4" w:space="0"/>
              <w:right w:val="single" w:color="auto" w:sz="4" w:space="0"/>
            </w:tcBorders>
            <w:shd w:val="clear" w:color="auto" w:fill="auto"/>
            <w:noWrap/>
            <w:vAlign w:val="center"/>
          </w:tcPr>
          <w:p w14:paraId="47D2A4A4">
            <w:pPr>
              <w:widowControl/>
              <w:jc w:val="center"/>
              <w:rPr>
                <w:rFonts w:ascii="新宋体" w:hAnsi="新宋体" w:eastAsia="新宋体" w:cs="Arial"/>
                <w:b/>
                <w:bCs/>
                <w:color w:val="auto"/>
                <w:kern w:val="0"/>
                <w:sz w:val="22"/>
                <w:szCs w:val="22"/>
                <w:highlight w:val="none"/>
              </w:rPr>
            </w:pPr>
            <w:r>
              <w:rPr>
                <w:rFonts w:hint="eastAsia" w:ascii="新宋体" w:hAnsi="新宋体" w:eastAsia="新宋体" w:cs="Arial"/>
                <w:b/>
                <w:bCs/>
                <w:color w:val="auto"/>
                <w:kern w:val="0"/>
                <w:sz w:val="22"/>
                <w:szCs w:val="22"/>
                <w:highlight w:val="none"/>
              </w:rPr>
              <w:t>　</w:t>
            </w:r>
          </w:p>
        </w:tc>
        <w:tc>
          <w:tcPr>
            <w:tcW w:w="851" w:type="dxa"/>
            <w:tcBorders>
              <w:top w:val="nil"/>
              <w:left w:val="nil"/>
              <w:bottom w:val="single" w:color="auto" w:sz="4" w:space="0"/>
              <w:right w:val="single" w:color="auto" w:sz="4" w:space="0"/>
            </w:tcBorders>
            <w:shd w:val="clear" w:color="auto" w:fill="auto"/>
            <w:vAlign w:val="center"/>
          </w:tcPr>
          <w:p w14:paraId="471256AB">
            <w:pPr>
              <w:widowControl/>
              <w:jc w:val="left"/>
              <w:rPr>
                <w:rFonts w:ascii="新宋体" w:hAnsi="新宋体" w:eastAsia="新宋体" w:cs="Arial"/>
                <w:b/>
                <w:bCs/>
                <w:color w:val="auto"/>
                <w:kern w:val="0"/>
                <w:sz w:val="22"/>
                <w:szCs w:val="22"/>
                <w:highlight w:val="none"/>
              </w:rPr>
            </w:pPr>
            <w:r>
              <w:rPr>
                <w:rFonts w:hint="eastAsia" w:ascii="新宋体" w:hAnsi="新宋体" w:eastAsia="新宋体" w:cs="Arial"/>
                <w:b/>
                <w:bCs/>
                <w:color w:val="auto"/>
                <w:kern w:val="0"/>
                <w:sz w:val="22"/>
                <w:szCs w:val="22"/>
                <w:highlight w:val="none"/>
              </w:rPr>
              <w:t>　</w:t>
            </w:r>
          </w:p>
        </w:tc>
      </w:tr>
    </w:tbl>
    <w:p w14:paraId="34356CA2">
      <w:pPr>
        <w:widowControl/>
        <w:tabs>
          <w:tab w:val="center" w:pos="4755"/>
          <w:tab w:val="right" w:pos="9070"/>
        </w:tabs>
        <w:spacing w:line="288" w:lineRule="auto"/>
        <w:ind w:firstLine="211"/>
        <w:jc w:val="center"/>
        <w:rPr>
          <w:color w:val="auto"/>
          <w:kern w:val="0"/>
          <w:sz w:val="21"/>
          <w:szCs w:val="21"/>
          <w:highlight w:val="none"/>
        </w:rPr>
      </w:pPr>
      <w:r>
        <w:rPr>
          <w:rFonts w:hint="eastAsia"/>
          <w:color w:val="auto"/>
          <w:kern w:val="0"/>
          <w:sz w:val="21"/>
          <w:szCs w:val="21"/>
          <w:highlight w:val="none"/>
        </w:rPr>
        <w:br w:type="page"/>
      </w:r>
    </w:p>
    <w:p w14:paraId="4FEA69A2">
      <w:pPr>
        <w:adjustRightInd w:val="0"/>
        <w:snapToGrid w:val="0"/>
        <w:spacing w:line="288" w:lineRule="auto"/>
        <w:rPr>
          <w:color w:val="auto"/>
          <w:highlight w:val="none"/>
        </w:rPr>
      </w:pPr>
    </w:p>
    <w:p w14:paraId="7F39C89F">
      <w:pPr>
        <w:adjustRightInd w:val="0"/>
        <w:snapToGrid w:val="0"/>
        <w:spacing w:line="288" w:lineRule="auto"/>
        <w:ind w:firstLine="843"/>
        <w:jc w:val="center"/>
        <w:outlineLvl w:val="1"/>
        <w:rPr>
          <w:b/>
          <w:bCs/>
          <w:color w:val="auto"/>
          <w:sz w:val="84"/>
          <w:szCs w:val="84"/>
          <w:highlight w:val="none"/>
        </w:rPr>
      </w:pPr>
      <w:r>
        <w:rPr>
          <w:rFonts w:hint="eastAsia"/>
          <w:b/>
          <w:bCs/>
          <w:color w:val="auto"/>
          <w:sz w:val="84"/>
          <w:szCs w:val="84"/>
          <w:highlight w:val="none"/>
        </w:rPr>
        <w:t>商务和技术文件</w:t>
      </w:r>
    </w:p>
    <w:p w14:paraId="2D73B1CC">
      <w:pPr>
        <w:adjustRightInd w:val="0"/>
        <w:snapToGrid w:val="0"/>
        <w:spacing w:line="288" w:lineRule="auto"/>
        <w:rPr>
          <w:color w:val="auto"/>
          <w:highlight w:val="none"/>
        </w:rPr>
      </w:pPr>
      <w:r>
        <w:rPr>
          <w:rFonts w:hint="eastAsia"/>
          <w:color w:val="auto"/>
          <w:highlight w:val="none"/>
        </w:rPr>
        <w:br w:type="page"/>
      </w:r>
    </w:p>
    <w:p w14:paraId="56BED92E">
      <w:pPr>
        <w:adjustRightInd w:val="0"/>
        <w:snapToGrid w:val="0"/>
        <w:spacing w:line="288" w:lineRule="auto"/>
        <w:ind w:firstLine="211"/>
        <w:jc w:val="center"/>
        <w:outlineLvl w:val="2"/>
        <w:rPr>
          <w:b/>
          <w:bCs/>
          <w:color w:val="auto"/>
          <w:sz w:val="21"/>
          <w:szCs w:val="21"/>
          <w:highlight w:val="none"/>
        </w:rPr>
      </w:pPr>
      <w:r>
        <w:rPr>
          <w:rFonts w:hint="eastAsia"/>
          <w:b/>
          <w:bCs/>
          <w:color w:val="auto"/>
          <w:sz w:val="21"/>
          <w:szCs w:val="21"/>
          <w:highlight w:val="none"/>
        </w:rPr>
        <w:t>（1）响应函</w:t>
      </w:r>
    </w:p>
    <w:p w14:paraId="4FFFFAE7">
      <w:pPr>
        <w:adjustRightInd w:val="0"/>
        <w:snapToGrid w:val="0"/>
        <w:spacing w:line="288" w:lineRule="auto"/>
        <w:ind w:firstLine="211"/>
        <w:rPr>
          <w:color w:val="auto"/>
          <w:sz w:val="21"/>
          <w:szCs w:val="21"/>
          <w:highlight w:val="none"/>
        </w:rPr>
      </w:pPr>
    </w:p>
    <w:p w14:paraId="0C44BCB4">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致：浙江交通职业技术学院、浙江求是招标代理有限公司</w:t>
      </w:r>
    </w:p>
    <w:p w14:paraId="09B3E44C">
      <w:pPr>
        <w:adjustRightInd w:val="0"/>
        <w:snapToGrid w:val="0"/>
        <w:spacing w:line="288" w:lineRule="auto"/>
        <w:ind w:firstLine="199"/>
        <w:rPr>
          <w:rFonts w:cs="Times New Roman"/>
          <w:color w:val="auto"/>
          <w:spacing w:val="-6"/>
          <w:sz w:val="21"/>
          <w:szCs w:val="21"/>
          <w:highlight w:val="none"/>
        </w:rPr>
      </w:pPr>
    </w:p>
    <w:p w14:paraId="52392F96">
      <w:pPr>
        <w:adjustRightInd w:val="0"/>
        <w:snapToGrid w:val="0"/>
        <w:spacing w:line="288" w:lineRule="auto"/>
        <w:ind w:firstLine="396" w:firstLineChars="200"/>
        <w:rPr>
          <w:color w:val="auto"/>
          <w:sz w:val="21"/>
          <w:szCs w:val="21"/>
          <w:highlight w:val="none"/>
        </w:rPr>
      </w:pPr>
      <w:bookmarkStart w:id="55" w:name="_Hlk97040115"/>
      <w:r>
        <w:rPr>
          <w:rFonts w:hint="eastAsia" w:cs="Times New Roman"/>
          <w:color w:val="auto"/>
          <w:spacing w:val="-6"/>
          <w:sz w:val="21"/>
          <w:szCs w:val="21"/>
          <w:highlight w:val="none"/>
        </w:rPr>
        <w:t>我方参加</w:t>
      </w:r>
      <w:r>
        <w:rPr>
          <w:rFonts w:hint="eastAsia" w:cs="Times New Roman"/>
          <w:bCs/>
          <w:color w:val="auto"/>
          <w:spacing w:val="-6"/>
          <w:sz w:val="21"/>
          <w:szCs w:val="21"/>
          <w:highlight w:val="none"/>
          <w:u w:val="single"/>
        </w:rPr>
        <w:t>浙江交通职业技术学院长兴校区道路装饰工程</w:t>
      </w:r>
      <w:r>
        <w:rPr>
          <w:rFonts w:hint="eastAsia" w:cs="Times New Roman"/>
          <w:color w:val="auto"/>
          <w:spacing w:val="-6"/>
          <w:sz w:val="21"/>
          <w:szCs w:val="21"/>
          <w:highlight w:val="none"/>
          <w:u w:val="single"/>
        </w:rPr>
        <w:t>（项目编号</w:t>
      </w:r>
      <w:r>
        <w:rPr>
          <w:rFonts w:hint="eastAsia" w:cs="Times New Roman"/>
          <w:bCs/>
          <w:color w:val="auto"/>
          <w:spacing w:val="-6"/>
          <w:sz w:val="21"/>
          <w:szCs w:val="21"/>
          <w:highlight w:val="none"/>
          <w:u w:val="single"/>
        </w:rPr>
        <w:t xml:space="preserve">：QSZB-Z(G)-C24307(CS)  </w:t>
      </w:r>
      <w:r>
        <w:rPr>
          <w:rFonts w:hint="eastAsia" w:cs="Times New Roman"/>
          <w:color w:val="auto"/>
          <w:spacing w:val="-6"/>
          <w:sz w:val="21"/>
          <w:szCs w:val="21"/>
          <w:highlight w:val="none"/>
          <w:u w:val="single"/>
        </w:rPr>
        <w:t>）</w:t>
      </w:r>
      <w:r>
        <w:rPr>
          <w:rFonts w:hint="eastAsia" w:cs="Times New Roman"/>
          <w:color w:val="auto"/>
          <w:spacing w:val="-6"/>
          <w:sz w:val="21"/>
          <w:szCs w:val="21"/>
          <w:highlight w:val="none"/>
        </w:rPr>
        <w:t>项目，为此，我方提交电子加密响应文件一份、以介质（U盘）存储的数据电文形式的</w:t>
      </w:r>
      <w:r>
        <w:rPr>
          <w:rFonts w:hint="eastAsia" w:cs="Times New Roman"/>
          <w:color w:val="auto"/>
          <w:spacing w:val="-6"/>
          <w:sz w:val="21"/>
          <w:szCs w:val="21"/>
          <w:highlight w:val="none"/>
          <w:u w:val="single"/>
        </w:rPr>
        <w:t xml:space="preserve">备份响应文件 </w:t>
      </w:r>
      <w:r>
        <w:rPr>
          <w:rFonts w:cs="Times New Roman"/>
          <w:color w:val="auto"/>
          <w:spacing w:val="-6"/>
          <w:sz w:val="21"/>
          <w:szCs w:val="21"/>
          <w:highlight w:val="none"/>
          <w:u w:val="single"/>
        </w:rPr>
        <w:t xml:space="preserve">    </w:t>
      </w:r>
      <w:r>
        <w:rPr>
          <w:rFonts w:hint="eastAsia" w:cs="Times New Roman"/>
          <w:color w:val="auto"/>
          <w:spacing w:val="-6"/>
          <w:sz w:val="21"/>
          <w:szCs w:val="21"/>
          <w:highlight w:val="none"/>
          <w:u w:val="single"/>
        </w:rPr>
        <w:t>份</w:t>
      </w:r>
      <w:r>
        <w:rPr>
          <w:rFonts w:hint="eastAsia" w:cs="Times New Roman"/>
          <w:color w:val="auto"/>
          <w:spacing w:val="-6"/>
          <w:sz w:val="21"/>
          <w:szCs w:val="21"/>
          <w:highlight w:val="none"/>
        </w:rPr>
        <w:t>。宣布同意如下：</w:t>
      </w:r>
    </w:p>
    <w:bookmarkEnd w:id="55"/>
    <w:p w14:paraId="49B346C7">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1.我方已详细审查全部“磋商文件”，包括修改文件（如有）以及全部参考资料和有关附件，已经了解我方对于磋商文件、采购过程、成交结果有依法进行询问、质疑、投诉的权利及相关渠道和要求。</w:t>
      </w:r>
    </w:p>
    <w:p w14:paraId="435452B6">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2.我方在磋商响应之前已经与贵方进行了充分的沟通，完全理解并接受磋商文件的各项规定和要求，对磋商文件的合理性、合法性不再有异议。</w:t>
      </w:r>
    </w:p>
    <w:p w14:paraId="415BFE58">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3.响应有效期自提交响应文件的截止之日起</w:t>
      </w:r>
      <w:r>
        <w:rPr>
          <w:rFonts w:hint="eastAsia"/>
          <w:color w:val="auto"/>
          <w:sz w:val="21"/>
          <w:szCs w:val="21"/>
          <w:highlight w:val="none"/>
          <w:u w:val="single"/>
        </w:rPr>
        <w:t>90</w:t>
      </w:r>
      <w:r>
        <w:rPr>
          <w:rFonts w:hint="eastAsia"/>
          <w:color w:val="auto"/>
          <w:sz w:val="21"/>
          <w:szCs w:val="21"/>
          <w:highlight w:val="none"/>
        </w:rPr>
        <w:t>天。</w:t>
      </w:r>
    </w:p>
    <w:p w14:paraId="25DE7D5B">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4.如成交，本响应文件至本项目合同履行完毕止均保持有效，我方将按“磋商文件”及政府采购法律、法规的规定履行合同责任和义务。关于代理服务费，我方承诺按照磋商文件的规定履行并承担相应的责任。</w:t>
      </w:r>
    </w:p>
    <w:p w14:paraId="3D58B080">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5.我方同意按照贵方要求提供与磋商有关的一切数据或资料。</w:t>
      </w:r>
    </w:p>
    <w:p w14:paraId="0BF9A73F">
      <w:pPr>
        <w:adjustRightInd w:val="0"/>
        <w:snapToGrid w:val="0"/>
        <w:spacing w:line="288" w:lineRule="auto"/>
        <w:ind w:firstLine="420" w:firstLineChars="200"/>
        <w:rPr>
          <w:color w:val="auto"/>
          <w:sz w:val="21"/>
          <w:szCs w:val="21"/>
          <w:highlight w:val="none"/>
        </w:rPr>
      </w:pPr>
      <w:r>
        <w:rPr>
          <w:rFonts w:hint="eastAsia"/>
          <w:color w:val="auto"/>
          <w:sz w:val="21"/>
          <w:szCs w:val="21"/>
          <w:highlight w:val="none"/>
        </w:rPr>
        <w:t>6.与本磋商有关的一切正式往来信函联系：</w:t>
      </w:r>
    </w:p>
    <w:tbl>
      <w:tblPr>
        <w:tblStyle w:val="32"/>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6808"/>
      </w:tblGrid>
      <w:tr w14:paraId="1DD64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14:paraId="0EAF2163">
            <w:pPr>
              <w:adjustRightInd w:val="0"/>
              <w:snapToGrid w:val="0"/>
              <w:spacing w:line="288" w:lineRule="auto"/>
              <w:ind w:firstLine="199"/>
              <w:rPr>
                <w:rFonts w:cs="Times New Roman"/>
                <w:color w:val="auto"/>
                <w:spacing w:val="-6"/>
                <w:kern w:val="0"/>
                <w:sz w:val="21"/>
                <w:szCs w:val="21"/>
                <w:highlight w:val="none"/>
              </w:rPr>
            </w:pPr>
            <w:bookmarkStart w:id="56" w:name="_Hlk97040154"/>
            <w:r>
              <w:rPr>
                <w:rFonts w:hint="eastAsia" w:cs="Times New Roman"/>
                <w:color w:val="auto"/>
                <w:spacing w:val="-6"/>
                <w:kern w:val="0"/>
                <w:sz w:val="21"/>
                <w:szCs w:val="21"/>
                <w:highlight w:val="none"/>
              </w:rPr>
              <w:t>联系人：</w:t>
            </w:r>
          </w:p>
        </w:tc>
        <w:tc>
          <w:tcPr>
            <w:tcW w:w="6808" w:type="dxa"/>
          </w:tcPr>
          <w:p w14:paraId="4CC570BC">
            <w:pPr>
              <w:adjustRightInd w:val="0"/>
              <w:snapToGrid w:val="0"/>
              <w:spacing w:line="288" w:lineRule="auto"/>
              <w:ind w:firstLine="199"/>
              <w:rPr>
                <w:rFonts w:cs="Times New Roman"/>
                <w:color w:val="auto"/>
                <w:spacing w:val="-6"/>
                <w:kern w:val="0"/>
                <w:sz w:val="21"/>
                <w:szCs w:val="21"/>
                <w:highlight w:val="none"/>
              </w:rPr>
            </w:pPr>
          </w:p>
        </w:tc>
      </w:tr>
      <w:tr w14:paraId="30677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14:paraId="223D6DF7">
            <w:pPr>
              <w:adjustRightInd w:val="0"/>
              <w:snapToGrid w:val="0"/>
              <w:spacing w:line="288" w:lineRule="auto"/>
              <w:ind w:firstLine="199"/>
              <w:rPr>
                <w:rFonts w:cs="Times New Roman"/>
                <w:color w:val="auto"/>
                <w:spacing w:val="-6"/>
                <w:kern w:val="0"/>
                <w:sz w:val="21"/>
                <w:szCs w:val="21"/>
                <w:highlight w:val="none"/>
              </w:rPr>
            </w:pPr>
            <w:r>
              <w:rPr>
                <w:rFonts w:hint="eastAsia" w:cs="Times New Roman"/>
                <w:color w:val="auto"/>
                <w:spacing w:val="-6"/>
                <w:kern w:val="0"/>
                <w:sz w:val="21"/>
                <w:szCs w:val="21"/>
                <w:highlight w:val="none"/>
              </w:rPr>
              <w:t>职务：</w:t>
            </w:r>
          </w:p>
        </w:tc>
        <w:tc>
          <w:tcPr>
            <w:tcW w:w="6808" w:type="dxa"/>
          </w:tcPr>
          <w:p w14:paraId="2C4CF621">
            <w:pPr>
              <w:adjustRightInd w:val="0"/>
              <w:snapToGrid w:val="0"/>
              <w:spacing w:line="288" w:lineRule="auto"/>
              <w:ind w:firstLine="199"/>
              <w:rPr>
                <w:rFonts w:cs="Times New Roman"/>
                <w:color w:val="auto"/>
                <w:spacing w:val="-6"/>
                <w:kern w:val="0"/>
                <w:sz w:val="21"/>
                <w:szCs w:val="21"/>
                <w:highlight w:val="none"/>
              </w:rPr>
            </w:pPr>
          </w:p>
        </w:tc>
      </w:tr>
      <w:tr w14:paraId="569F7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14:paraId="70768A2C">
            <w:pPr>
              <w:adjustRightInd w:val="0"/>
              <w:snapToGrid w:val="0"/>
              <w:spacing w:line="288" w:lineRule="auto"/>
              <w:ind w:firstLine="199"/>
              <w:rPr>
                <w:rFonts w:cs="Times New Roman"/>
                <w:color w:val="auto"/>
                <w:spacing w:val="-6"/>
                <w:kern w:val="0"/>
                <w:sz w:val="21"/>
                <w:szCs w:val="21"/>
                <w:highlight w:val="none"/>
              </w:rPr>
            </w:pPr>
            <w:r>
              <w:rPr>
                <w:rFonts w:hint="eastAsia" w:cs="Times New Roman"/>
                <w:color w:val="auto"/>
                <w:spacing w:val="-6"/>
                <w:kern w:val="0"/>
                <w:sz w:val="21"/>
                <w:szCs w:val="21"/>
                <w:highlight w:val="none"/>
              </w:rPr>
              <w:t>手机：</w:t>
            </w:r>
          </w:p>
        </w:tc>
        <w:tc>
          <w:tcPr>
            <w:tcW w:w="6808" w:type="dxa"/>
          </w:tcPr>
          <w:p w14:paraId="4721F83D">
            <w:pPr>
              <w:adjustRightInd w:val="0"/>
              <w:snapToGrid w:val="0"/>
              <w:spacing w:line="288" w:lineRule="auto"/>
              <w:ind w:firstLine="199"/>
              <w:rPr>
                <w:rFonts w:cs="Times New Roman"/>
                <w:color w:val="auto"/>
                <w:spacing w:val="-6"/>
                <w:kern w:val="0"/>
                <w:sz w:val="21"/>
                <w:szCs w:val="21"/>
                <w:highlight w:val="none"/>
              </w:rPr>
            </w:pPr>
          </w:p>
        </w:tc>
      </w:tr>
      <w:tr w14:paraId="342AB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14:paraId="6AAD374C">
            <w:pPr>
              <w:adjustRightInd w:val="0"/>
              <w:snapToGrid w:val="0"/>
              <w:spacing w:line="288" w:lineRule="auto"/>
              <w:ind w:firstLine="199"/>
              <w:rPr>
                <w:rFonts w:cs="Times New Roman"/>
                <w:color w:val="auto"/>
                <w:spacing w:val="-6"/>
                <w:kern w:val="0"/>
                <w:sz w:val="21"/>
                <w:szCs w:val="21"/>
                <w:highlight w:val="none"/>
              </w:rPr>
            </w:pPr>
            <w:r>
              <w:rPr>
                <w:rFonts w:hint="eastAsia" w:cs="Times New Roman"/>
                <w:color w:val="auto"/>
                <w:spacing w:val="-6"/>
                <w:kern w:val="0"/>
                <w:sz w:val="21"/>
                <w:szCs w:val="21"/>
                <w:highlight w:val="none"/>
              </w:rPr>
              <w:t>电子邮箱：</w:t>
            </w:r>
          </w:p>
        </w:tc>
        <w:tc>
          <w:tcPr>
            <w:tcW w:w="6808" w:type="dxa"/>
          </w:tcPr>
          <w:p w14:paraId="1EEDCE94">
            <w:pPr>
              <w:adjustRightInd w:val="0"/>
              <w:snapToGrid w:val="0"/>
              <w:spacing w:line="288" w:lineRule="auto"/>
              <w:ind w:firstLine="199"/>
              <w:rPr>
                <w:rFonts w:cs="Times New Roman"/>
                <w:color w:val="auto"/>
                <w:spacing w:val="-6"/>
                <w:kern w:val="0"/>
                <w:sz w:val="21"/>
                <w:szCs w:val="21"/>
                <w:highlight w:val="none"/>
              </w:rPr>
            </w:pPr>
          </w:p>
        </w:tc>
      </w:tr>
      <w:tr w14:paraId="05D6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14:paraId="455DC05E">
            <w:pPr>
              <w:adjustRightInd w:val="0"/>
              <w:snapToGrid w:val="0"/>
              <w:spacing w:line="288" w:lineRule="auto"/>
              <w:ind w:firstLine="199"/>
              <w:rPr>
                <w:rFonts w:cs="Times New Roman"/>
                <w:color w:val="auto"/>
                <w:spacing w:val="-6"/>
                <w:kern w:val="0"/>
                <w:sz w:val="21"/>
                <w:szCs w:val="21"/>
                <w:highlight w:val="none"/>
              </w:rPr>
            </w:pPr>
            <w:r>
              <w:rPr>
                <w:rFonts w:hint="eastAsia" w:cs="Times New Roman"/>
                <w:color w:val="auto"/>
                <w:spacing w:val="-6"/>
                <w:kern w:val="0"/>
                <w:sz w:val="21"/>
                <w:szCs w:val="21"/>
                <w:highlight w:val="none"/>
              </w:rPr>
              <w:t>地址：</w:t>
            </w:r>
          </w:p>
        </w:tc>
        <w:tc>
          <w:tcPr>
            <w:tcW w:w="6808" w:type="dxa"/>
          </w:tcPr>
          <w:p w14:paraId="459ED412">
            <w:pPr>
              <w:adjustRightInd w:val="0"/>
              <w:snapToGrid w:val="0"/>
              <w:spacing w:line="288" w:lineRule="auto"/>
              <w:ind w:firstLine="199"/>
              <w:rPr>
                <w:rFonts w:cs="Times New Roman"/>
                <w:color w:val="auto"/>
                <w:spacing w:val="-6"/>
                <w:kern w:val="0"/>
                <w:sz w:val="21"/>
                <w:szCs w:val="21"/>
                <w:highlight w:val="none"/>
              </w:rPr>
            </w:pPr>
          </w:p>
        </w:tc>
      </w:tr>
      <w:tr w14:paraId="3EAC7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14:paraId="1502FAD5">
            <w:pPr>
              <w:adjustRightInd w:val="0"/>
              <w:snapToGrid w:val="0"/>
              <w:spacing w:line="288" w:lineRule="auto"/>
              <w:ind w:firstLine="199"/>
              <w:rPr>
                <w:rFonts w:cs="Times New Roman"/>
                <w:color w:val="auto"/>
                <w:spacing w:val="-6"/>
                <w:kern w:val="0"/>
                <w:sz w:val="21"/>
                <w:szCs w:val="21"/>
                <w:highlight w:val="none"/>
              </w:rPr>
            </w:pPr>
            <w:r>
              <w:rPr>
                <w:rFonts w:hint="eastAsia" w:cs="Times New Roman"/>
                <w:color w:val="auto"/>
                <w:spacing w:val="-6"/>
                <w:kern w:val="0"/>
                <w:sz w:val="21"/>
                <w:szCs w:val="21"/>
                <w:highlight w:val="none"/>
              </w:rPr>
              <w:t>开户银行：</w:t>
            </w:r>
          </w:p>
        </w:tc>
        <w:tc>
          <w:tcPr>
            <w:tcW w:w="6808" w:type="dxa"/>
          </w:tcPr>
          <w:p w14:paraId="2B20D4C0">
            <w:pPr>
              <w:adjustRightInd w:val="0"/>
              <w:snapToGrid w:val="0"/>
              <w:spacing w:line="288" w:lineRule="auto"/>
              <w:ind w:firstLine="199"/>
              <w:rPr>
                <w:rFonts w:cs="Times New Roman"/>
                <w:color w:val="auto"/>
                <w:spacing w:val="-6"/>
                <w:kern w:val="0"/>
                <w:sz w:val="21"/>
                <w:szCs w:val="21"/>
                <w:highlight w:val="none"/>
              </w:rPr>
            </w:pPr>
          </w:p>
        </w:tc>
      </w:tr>
      <w:tr w14:paraId="268CF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14:paraId="78FFD958">
            <w:pPr>
              <w:adjustRightInd w:val="0"/>
              <w:snapToGrid w:val="0"/>
              <w:spacing w:line="288" w:lineRule="auto"/>
              <w:ind w:firstLine="199"/>
              <w:rPr>
                <w:rFonts w:cs="Times New Roman"/>
                <w:color w:val="auto"/>
                <w:spacing w:val="-6"/>
                <w:kern w:val="0"/>
                <w:sz w:val="21"/>
                <w:szCs w:val="21"/>
                <w:highlight w:val="none"/>
              </w:rPr>
            </w:pPr>
            <w:r>
              <w:rPr>
                <w:rFonts w:hint="eastAsia" w:cs="Times New Roman"/>
                <w:color w:val="auto"/>
                <w:spacing w:val="-6"/>
                <w:kern w:val="0"/>
                <w:sz w:val="21"/>
                <w:szCs w:val="21"/>
                <w:highlight w:val="none"/>
              </w:rPr>
              <w:t>银行账号：</w:t>
            </w:r>
          </w:p>
        </w:tc>
        <w:tc>
          <w:tcPr>
            <w:tcW w:w="6808" w:type="dxa"/>
          </w:tcPr>
          <w:p w14:paraId="2BE910D7">
            <w:pPr>
              <w:adjustRightInd w:val="0"/>
              <w:snapToGrid w:val="0"/>
              <w:spacing w:line="288" w:lineRule="auto"/>
              <w:ind w:firstLine="199"/>
              <w:rPr>
                <w:rFonts w:cs="Times New Roman"/>
                <w:color w:val="auto"/>
                <w:spacing w:val="-6"/>
                <w:kern w:val="0"/>
                <w:sz w:val="21"/>
                <w:szCs w:val="21"/>
                <w:highlight w:val="none"/>
              </w:rPr>
            </w:pPr>
          </w:p>
        </w:tc>
      </w:tr>
      <w:bookmarkEnd w:id="56"/>
    </w:tbl>
    <w:p w14:paraId="1EF69529">
      <w:pPr>
        <w:adjustRightInd w:val="0"/>
        <w:snapToGrid w:val="0"/>
        <w:spacing w:line="288" w:lineRule="auto"/>
        <w:ind w:firstLine="211"/>
        <w:rPr>
          <w:color w:val="auto"/>
          <w:sz w:val="21"/>
          <w:szCs w:val="21"/>
          <w:highlight w:val="none"/>
        </w:rPr>
      </w:pPr>
    </w:p>
    <w:p w14:paraId="2EA8B9EA">
      <w:pPr>
        <w:adjustRightInd w:val="0"/>
        <w:snapToGrid w:val="0"/>
        <w:spacing w:line="288" w:lineRule="auto"/>
        <w:ind w:firstLine="211"/>
        <w:rPr>
          <w:color w:val="auto"/>
          <w:sz w:val="21"/>
          <w:szCs w:val="21"/>
          <w:highlight w:val="none"/>
        </w:rPr>
      </w:pPr>
    </w:p>
    <w:p w14:paraId="30A2C167">
      <w:pPr>
        <w:adjustRightInd w:val="0"/>
        <w:snapToGrid w:val="0"/>
        <w:spacing w:line="288" w:lineRule="auto"/>
        <w:ind w:firstLine="199"/>
        <w:rPr>
          <w:rFonts w:cs="Times New Roman"/>
          <w:b/>
          <w:bCs/>
          <w:color w:val="auto"/>
          <w:spacing w:val="-6"/>
          <w:sz w:val="21"/>
          <w:szCs w:val="21"/>
          <w:highlight w:val="none"/>
        </w:rPr>
      </w:pPr>
      <w:bookmarkStart w:id="57" w:name="_Hlk97040160"/>
      <w:r>
        <w:rPr>
          <w:rFonts w:hint="eastAsia" w:cs="Times New Roman"/>
          <w:b/>
          <w:bCs/>
          <w:color w:val="auto"/>
          <w:spacing w:val="-6"/>
          <w:sz w:val="21"/>
          <w:szCs w:val="21"/>
          <w:highlight w:val="none"/>
        </w:rPr>
        <w:t>供应商名称（</w:t>
      </w:r>
      <w:r>
        <w:rPr>
          <w:rFonts w:cs="Times New Roman"/>
          <w:b/>
          <w:bCs/>
          <w:color w:val="auto"/>
          <w:spacing w:val="-6"/>
          <w:sz w:val="21"/>
          <w:szCs w:val="21"/>
          <w:highlight w:val="none"/>
        </w:rPr>
        <w:t>电子签名/公章</w:t>
      </w:r>
      <w:r>
        <w:rPr>
          <w:rFonts w:hint="eastAsia" w:cs="Times New Roman"/>
          <w:b/>
          <w:bCs/>
          <w:color w:val="auto"/>
          <w:spacing w:val="-6"/>
          <w:sz w:val="21"/>
          <w:szCs w:val="21"/>
          <w:highlight w:val="none"/>
        </w:rPr>
        <w:t>）：</w:t>
      </w:r>
    </w:p>
    <w:p w14:paraId="65E4A8A4">
      <w:pPr>
        <w:adjustRightInd w:val="0"/>
        <w:snapToGrid w:val="0"/>
        <w:spacing w:line="288" w:lineRule="auto"/>
        <w:ind w:firstLine="199"/>
        <w:rPr>
          <w:rFonts w:cs="Times New Roman"/>
          <w:b/>
          <w:bCs/>
          <w:color w:val="auto"/>
          <w:spacing w:val="-6"/>
          <w:sz w:val="21"/>
          <w:szCs w:val="21"/>
          <w:highlight w:val="none"/>
        </w:rPr>
      </w:pPr>
      <w:r>
        <w:rPr>
          <w:rFonts w:hint="eastAsia" w:cs="Times New Roman"/>
          <w:b/>
          <w:bCs/>
          <w:color w:val="auto"/>
          <w:spacing w:val="-6"/>
          <w:sz w:val="21"/>
          <w:szCs w:val="21"/>
          <w:highlight w:val="none"/>
        </w:rPr>
        <w:t>日期：     年   月   日</w:t>
      </w:r>
    </w:p>
    <w:bookmarkEnd w:id="57"/>
    <w:p w14:paraId="65CB0EEA">
      <w:pPr>
        <w:widowControl/>
        <w:adjustRightInd w:val="0"/>
        <w:snapToGrid w:val="0"/>
        <w:spacing w:line="288" w:lineRule="auto"/>
        <w:ind w:firstLine="211"/>
        <w:jc w:val="left"/>
        <w:rPr>
          <w:color w:val="auto"/>
          <w:sz w:val="21"/>
          <w:szCs w:val="21"/>
          <w:highlight w:val="none"/>
        </w:rPr>
      </w:pPr>
      <w:r>
        <w:rPr>
          <w:color w:val="auto"/>
          <w:sz w:val="21"/>
          <w:szCs w:val="21"/>
          <w:highlight w:val="none"/>
        </w:rPr>
        <w:br w:type="page"/>
      </w:r>
    </w:p>
    <w:p w14:paraId="5D7027D8">
      <w:pPr>
        <w:adjustRightInd w:val="0"/>
        <w:snapToGrid w:val="0"/>
        <w:spacing w:line="288" w:lineRule="auto"/>
        <w:ind w:firstLine="498" w:firstLineChars="236"/>
        <w:jc w:val="center"/>
        <w:outlineLvl w:val="2"/>
        <w:rPr>
          <w:rFonts w:cs="Times New Roman"/>
          <w:b/>
          <w:bCs/>
          <w:color w:val="auto"/>
          <w:sz w:val="21"/>
          <w:szCs w:val="21"/>
          <w:highlight w:val="none"/>
        </w:rPr>
      </w:pPr>
      <w:bookmarkStart w:id="58" w:name="_Hlk97040253"/>
      <w:r>
        <w:rPr>
          <w:rFonts w:hint="eastAsia" w:cs="Times New Roman"/>
          <w:b/>
          <w:bCs/>
          <w:color w:val="auto"/>
          <w:sz w:val="21"/>
          <w:szCs w:val="21"/>
          <w:highlight w:val="none"/>
        </w:rPr>
        <w:t>（</w:t>
      </w:r>
      <w:r>
        <w:rPr>
          <w:rFonts w:cs="Times New Roman"/>
          <w:b/>
          <w:bCs/>
          <w:color w:val="auto"/>
          <w:sz w:val="21"/>
          <w:szCs w:val="21"/>
          <w:highlight w:val="none"/>
        </w:rPr>
        <w:t>2</w:t>
      </w:r>
      <w:r>
        <w:rPr>
          <w:rFonts w:hint="eastAsia" w:cs="Times New Roman"/>
          <w:b/>
          <w:bCs/>
          <w:color w:val="auto"/>
          <w:sz w:val="21"/>
          <w:szCs w:val="21"/>
          <w:highlight w:val="none"/>
        </w:rPr>
        <w:t>）授权委托书</w:t>
      </w:r>
    </w:p>
    <w:p w14:paraId="5B230366">
      <w:pPr>
        <w:adjustRightInd w:val="0"/>
        <w:snapToGrid w:val="0"/>
        <w:spacing w:line="288" w:lineRule="auto"/>
        <w:ind w:firstLine="211"/>
        <w:rPr>
          <w:color w:val="auto"/>
          <w:sz w:val="21"/>
          <w:szCs w:val="21"/>
          <w:highlight w:val="none"/>
        </w:rPr>
      </w:pPr>
      <w:r>
        <w:rPr>
          <w:rFonts w:hint="eastAsia"/>
          <w:color w:val="auto"/>
          <w:sz w:val="21"/>
          <w:szCs w:val="21"/>
          <w:highlight w:val="none"/>
        </w:rPr>
        <w:t>致：浙江交通职业技术学院、浙江求是招标代理有限公司</w:t>
      </w:r>
    </w:p>
    <w:p w14:paraId="73413BDE">
      <w:pPr>
        <w:adjustRightInd w:val="0"/>
        <w:snapToGrid w:val="0"/>
        <w:spacing w:line="288" w:lineRule="auto"/>
        <w:ind w:firstLine="396" w:firstLineChars="200"/>
        <w:rPr>
          <w:rFonts w:cs="Times New Roman"/>
          <w:color w:val="auto"/>
          <w:spacing w:val="-6"/>
          <w:sz w:val="21"/>
          <w:szCs w:val="21"/>
          <w:highlight w:val="none"/>
        </w:rPr>
      </w:pPr>
      <w:r>
        <w:rPr>
          <w:rFonts w:hint="eastAsia" w:cs="Times New Roman"/>
          <w:color w:val="auto"/>
          <w:spacing w:val="-6"/>
          <w:sz w:val="21"/>
          <w:szCs w:val="21"/>
          <w:highlight w:val="none"/>
        </w:rPr>
        <w:t>现授权委托：</w:t>
      </w:r>
      <w:r>
        <w:rPr>
          <w:rFonts w:cs="Times New Roman"/>
          <w:color w:val="auto"/>
          <w:spacing w:val="-6"/>
          <w:sz w:val="21"/>
          <w:szCs w:val="21"/>
          <w:highlight w:val="none"/>
          <w:u w:val="single"/>
        </w:rPr>
        <w:t xml:space="preserve">            </w:t>
      </w:r>
      <w:r>
        <w:rPr>
          <w:rFonts w:hint="eastAsia" w:cs="Times New Roman"/>
          <w:color w:val="auto"/>
          <w:spacing w:val="-6"/>
          <w:sz w:val="21"/>
          <w:szCs w:val="21"/>
          <w:highlight w:val="none"/>
        </w:rPr>
        <w:t>（授权代表姓名）（身份证号码：</w:t>
      </w:r>
      <w:r>
        <w:rPr>
          <w:rFonts w:cs="Times New Roman"/>
          <w:color w:val="auto"/>
          <w:spacing w:val="-6"/>
          <w:sz w:val="21"/>
          <w:szCs w:val="21"/>
          <w:highlight w:val="none"/>
          <w:u w:val="single"/>
        </w:rPr>
        <w:t xml:space="preserve">            </w:t>
      </w:r>
      <w:r>
        <w:rPr>
          <w:rFonts w:hint="eastAsia" w:cs="Times New Roman"/>
          <w:color w:val="auto"/>
          <w:spacing w:val="-6"/>
          <w:sz w:val="21"/>
          <w:szCs w:val="21"/>
          <w:highlight w:val="none"/>
        </w:rPr>
        <w:t>，手机：</w:t>
      </w:r>
      <w:r>
        <w:rPr>
          <w:rFonts w:cs="Times New Roman"/>
          <w:color w:val="auto"/>
          <w:spacing w:val="-6"/>
          <w:sz w:val="21"/>
          <w:szCs w:val="21"/>
          <w:highlight w:val="none"/>
          <w:u w:val="single"/>
        </w:rPr>
        <w:t xml:space="preserve">            </w:t>
      </w:r>
      <w:r>
        <w:rPr>
          <w:rFonts w:hint="eastAsia" w:cs="Times New Roman"/>
          <w:color w:val="auto"/>
          <w:spacing w:val="-6"/>
          <w:sz w:val="21"/>
          <w:szCs w:val="21"/>
          <w:highlight w:val="none"/>
        </w:rPr>
        <w:t>）以我方的名义参加</w:t>
      </w:r>
      <w:r>
        <w:rPr>
          <w:rFonts w:hint="eastAsia" w:cs="Times New Roman"/>
          <w:bCs/>
          <w:color w:val="auto"/>
          <w:spacing w:val="-6"/>
          <w:sz w:val="21"/>
          <w:szCs w:val="21"/>
          <w:highlight w:val="none"/>
        </w:rPr>
        <w:t>浙江交通职业技术学院长兴校区道路装饰工程标项</w:t>
      </w:r>
      <w:r>
        <w:rPr>
          <w:rFonts w:hint="eastAsia" w:cs="Times New Roman"/>
          <w:bCs/>
          <w:color w:val="auto"/>
          <w:spacing w:val="-6"/>
          <w:sz w:val="21"/>
          <w:szCs w:val="21"/>
          <w:highlight w:val="none"/>
          <w:u w:val="single"/>
        </w:rPr>
        <w:t xml:space="preserve">  </w:t>
      </w:r>
      <w:r>
        <w:rPr>
          <w:rFonts w:cs="Times New Roman"/>
          <w:bCs/>
          <w:color w:val="auto"/>
          <w:spacing w:val="-6"/>
          <w:sz w:val="21"/>
          <w:szCs w:val="21"/>
          <w:highlight w:val="none"/>
          <w:u w:val="single"/>
        </w:rPr>
        <w:t xml:space="preserve"> </w:t>
      </w:r>
      <w:r>
        <w:rPr>
          <w:rFonts w:hint="eastAsia" w:cs="Times New Roman"/>
          <w:bCs/>
          <w:color w:val="auto"/>
          <w:spacing w:val="-6"/>
          <w:sz w:val="21"/>
          <w:szCs w:val="21"/>
          <w:highlight w:val="none"/>
          <w:u w:val="single"/>
        </w:rPr>
        <w:t xml:space="preserve"> </w:t>
      </w:r>
      <w:r>
        <w:rPr>
          <w:rFonts w:hint="eastAsia" w:cs="Times New Roman"/>
          <w:color w:val="auto"/>
          <w:spacing w:val="-6"/>
          <w:sz w:val="21"/>
          <w:szCs w:val="21"/>
          <w:highlight w:val="none"/>
        </w:rPr>
        <w:t>的</w:t>
      </w:r>
      <w:bookmarkEnd w:id="58"/>
      <w:r>
        <w:rPr>
          <w:rFonts w:hint="eastAsia" w:cs="Times New Roman"/>
          <w:color w:val="auto"/>
          <w:spacing w:val="-6"/>
          <w:sz w:val="21"/>
          <w:szCs w:val="21"/>
          <w:highlight w:val="none"/>
        </w:rPr>
        <w:t>的采购活动，并代表我方全权办理针对上述项目的响应、评审、签约等具体事务和签署相关文件。</w:t>
      </w:r>
    </w:p>
    <w:p w14:paraId="6458841A">
      <w:pPr>
        <w:adjustRightInd w:val="0"/>
        <w:snapToGrid w:val="0"/>
        <w:spacing w:line="288" w:lineRule="auto"/>
        <w:ind w:firstLine="396" w:firstLineChars="200"/>
        <w:rPr>
          <w:rFonts w:cs="Times New Roman"/>
          <w:color w:val="auto"/>
          <w:spacing w:val="-6"/>
          <w:sz w:val="21"/>
          <w:szCs w:val="21"/>
          <w:highlight w:val="none"/>
        </w:rPr>
      </w:pPr>
      <w:r>
        <w:rPr>
          <w:rFonts w:hint="eastAsia" w:cs="Times New Roman"/>
          <w:color w:val="auto"/>
          <w:spacing w:val="-6"/>
          <w:sz w:val="21"/>
          <w:szCs w:val="21"/>
          <w:highlight w:val="none"/>
        </w:rPr>
        <w:t>我方对被授权人的签名负全部责任。</w:t>
      </w:r>
    </w:p>
    <w:p w14:paraId="519CC747">
      <w:pPr>
        <w:adjustRightInd w:val="0"/>
        <w:snapToGrid w:val="0"/>
        <w:spacing w:line="288" w:lineRule="auto"/>
        <w:ind w:firstLine="396" w:firstLineChars="200"/>
        <w:rPr>
          <w:rFonts w:cs="Times New Roman"/>
          <w:color w:val="auto"/>
          <w:spacing w:val="-6"/>
          <w:sz w:val="21"/>
          <w:szCs w:val="21"/>
          <w:highlight w:val="none"/>
        </w:rPr>
      </w:pPr>
      <w:r>
        <w:rPr>
          <w:rFonts w:hint="eastAsia" w:cs="Times New Roman"/>
          <w:color w:val="auto"/>
          <w:spacing w:val="-6"/>
          <w:sz w:val="21"/>
          <w:szCs w:val="21"/>
          <w:highlight w:val="none"/>
        </w:rPr>
        <w:t>在撤销授权的书面通知以前，本授权书一直有效。被授权人在授权书有效期内签署的所有文件不因授权的撤销而失效。</w:t>
      </w:r>
    </w:p>
    <w:p w14:paraId="44F5D5DC">
      <w:pPr>
        <w:adjustRightInd w:val="0"/>
        <w:snapToGrid w:val="0"/>
        <w:spacing w:line="288" w:lineRule="auto"/>
        <w:ind w:firstLine="396" w:firstLineChars="200"/>
        <w:rPr>
          <w:rFonts w:cs="Times New Roman"/>
          <w:color w:val="auto"/>
          <w:spacing w:val="-6"/>
          <w:sz w:val="21"/>
          <w:szCs w:val="21"/>
          <w:highlight w:val="none"/>
        </w:rPr>
      </w:pPr>
      <w:r>
        <w:rPr>
          <w:rFonts w:hint="eastAsia" w:cs="Times New Roman"/>
          <w:color w:val="auto"/>
          <w:spacing w:val="-6"/>
          <w:sz w:val="21"/>
          <w:szCs w:val="21"/>
          <w:highlight w:val="none"/>
        </w:rPr>
        <w:t>被授权人无转委托权，特此告知。</w:t>
      </w:r>
    </w:p>
    <w:p w14:paraId="42EFD211">
      <w:pPr>
        <w:adjustRightInd w:val="0"/>
        <w:snapToGrid w:val="0"/>
        <w:spacing w:line="288" w:lineRule="auto"/>
        <w:ind w:firstLine="368" w:firstLineChars="186"/>
        <w:rPr>
          <w:rFonts w:cs="Times New Roman"/>
          <w:color w:val="auto"/>
          <w:spacing w:val="-6"/>
          <w:sz w:val="21"/>
          <w:szCs w:val="21"/>
          <w:highlight w:val="none"/>
          <w:u w:val="single"/>
        </w:rPr>
      </w:pPr>
      <w:r>
        <w:rPr>
          <w:rFonts w:hint="eastAsia" w:cs="Times New Roman"/>
          <w:color w:val="auto"/>
          <w:spacing w:val="-6"/>
          <w:sz w:val="21"/>
          <w:szCs w:val="21"/>
          <w:highlight w:val="none"/>
          <w:u w:val="single"/>
        </w:rPr>
        <w:t>▲提供授权代表社保缴纳证明（2023年1月（含）以后任意一月）。</w:t>
      </w:r>
    </w:p>
    <w:p w14:paraId="3C8A42AC">
      <w:pPr>
        <w:adjustRightInd w:val="0"/>
        <w:snapToGrid w:val="0"/>
        <w:spacing w:line="288" w:lineRule="auto"/>
        <w:ind w:firstLine="199"/>
        <w:rPr>
          <w:rFonts w:cs="Times New Roman"/>
          <w:color w:val="auto"/>
          <w:spacing w:val="-6"/>
          <w:sz w:val="21"/>
          <w:szCs w:val="21"/>
          <w:highlight w:val="none"/>
        </w:rPr>
      </w:pPr>
    </w:p>
    <w:p w14:paraId="3F8856D7">
      <w:pPr>
        <w:adjustRightInd w:val="0"/>
        <w:snapToGrid w:val="0"/>
        <w:spacing w:line="288" w:lineRule="auto"/>
        <w:ind w:firstLine="199"/>
        <w:rPr>
          <w:rFonts w:cs="Times New Roman"/>
          <w:b/>
          <w:bCs/>
          <w:color w:val="auto"/>
          <w:spacing w:val="-6"/>
          <w:sz w:val="21"/>
          <w:szCs w:val="21"/>
          <w:highlight w:val="none"/>
        </w:rPr>
      </w:pPr>
      <w:r>
        <w:rPr>
          <w:rFonts w:hint="eastAsia" w:cs="Times New Roman"/>
          <w:b/>
          <w:bCs/>
          <w:color w:val="auto"/>
          <w:spacing w:val="-6"/>
          <w:sz w:val="21"/>
          <w:szCs w:val="21"/>
          <w:highlight w:val="none"/>
        </w:rPr>
        <w:t>供应商名称（</w:t>
      </w:r>
      <w:r>
        <w:rPr>
          <w:rFonts w:cs="Times New Roman"/>
          <w:b/>
          <w:bCs/>
          <w:color w:val="auto"/>
          <w:spacing w:val="-6"/>
          <w:sz w:val="21"/>
          <w:szCs w:val="21"/>
          <w:highlight w:val="none"/>
        </w:rPr>
        <w:t>电子签名/公章</w:t>
      </w:r>
      <w:r>
        <w:rPr>
          <w:rFonts w:hint="eastAsia" w:cs="Times New Roman"/>
          <w:b/>
          <w:bCs/>
          <w:color w:val="auto"/>
          <w:spacing w:val="-6"/>
          <w:sz w:val="21"/>
          <w:szCs w:val="21"/>
          <w:highlight w:val="none"/>
        </w:rPr>
        <w:t>）：</w:t>
      </w:r>
    </w:p>
    <w:p w14:paraId="20663863">
      <w:pPr>
        <w:adjustRightInd w:val="0"/>
        <w:snapToGrid w:val="0"/>
        <w:spacing w:line="288" w:lineRule="auto"/>
        <w:ind w:firstLine="199"/>
        <w:rPr>
          <w:rFonts w:cs="Times New Roman"/>
          <w:b/>
          <w:bCs/>
          <w:color w:val="auto"/>
          <w:spacing w:val="-6"/>
          <w:sz w:val="21"/>
          <w:szCs w:val="21"/>
          <w:highlight w:val="none"/>
        </w:rPr>
      </w:pPr>
      <w:r>
        <w:rPr>
          <w:rFonts w:hint="eastAsia" w:cs="Times New Roman"/>
          <w:b/>
          <w:bCs/>
          <w:color w:val="auto"/>
          <w:spacing w:val="-6"/>
          <w:sz w:val="21"/>
          <w:szCs w:val="21"/>
          <w:highlight w:val="none"/>
        </w:rPr>
        <w:t>日期：     年   月   日</w:t>
      </w:r>
    </w:p>
    <w:p w14:paraId="507E95BE">
      <w:pPr>
        <w:adjustRightInd w:val="0"/>
        <w:snapToGrid w:val="0"/>
        <w:spacing w:line="288" w:lineRule="auto"/>
        <w:ind w:firstLine="211"/>
        <w:rPr>
          <w:rFonts w:cs="Times New Roman"/>
          <w:color w:val="auto"/>
          <w:sz w:val="21"/>
          <w:szCs w:val="21"/>
          <w:highlight w:val="none"/>
        </w:rPr>
      </w:pPr>
    </w:p>
    <w:p w14:paraId="42D2CEDC">
      <w:pPr>
        <w:adjustRightInd w:val="0"/>
        <w:snapToGrid w:val="0"/>
        <w:spacing w:line="288" w:lineRule="auto"/>
        <w:ind w:firstLine="211"/>
        <w:rPr>
          <w:rFonts w:cs="Times New Roman"/>
          <w:color w:val="auto"/>
          <w:sz w:val="21"/>
          <w:szCs w:val="21"/>
          <w:highlight w:val="none"/>
        </w:rPr>
      </w:pPr>
      <w:r>
        <w:rPr>
          <w:rFonts w:hint="eastAsia" w:cs="Times New Roman"/>
          <w:color w:val="auto"/>
          <w:sz w:val="21"/>
          <w:szCs w:val="21"/>
          <w:highlight w:val="none"/>
        </w:rPr>
        <w:t>注：</w:t>
      </w:r>
    </w:p>
    <w:p w14:paraId="3FA0CBD5">
      <w:pPr>
        <w:adjustRightInd w:val="0"/>
        <w:snapToGrid w:val="0"/>
        <w:spacing w:line="288" w:lineRule="auto"/>
        <w:ind w:firstLine="211"/>
        <w:rPr>
          <w:rFonts w:cs="Times New Roman"/>
          <w:color w:val="auto"/>
          <w:sz w:val="21"/>
          <w:szCs w:val="21"/>
          <w:highlight w:val="none"/>
        </w:rPr>
      </w:pPr>
      <w:r>
        <w:rPr>
          <w:rFonts w:hint="eastAsia" w:cs="Times New Roman"/>
          <w:color w:val="auto"/>
          <w:sz w:val="21"/>
          <w:szCs w:val="21"/>
          <w:highlight w:val="none"/>
        </w:rPr>
        <w:t>1、供应商委派不在本单位缴纳社保的人员作为授权代表的，应当在响应文件中，说明具体原因、授权代表缴纳社保的单位，并附列该授权代表缴纳社保清单。</w:t>
      </w:r>
    </w:p>
    <w:p w14:paraId="4D3CE0C2">
      <w:pPr>
        <w:adjustRightInd w:val="0"/>
        <w:snapToGrid w:val="0"/>
        <w:spacing w:line="288" w:lineRule="auto"/>
        <w:ind w:firstLine="211"/>
        <w:rPr>
          <w:rFonts w:cs="Times New Roman"/>
          <w:color w:val="auto"/>
          <w:sz w:val="21"/>
          <w:szCs w:val="21"/>
          <w:highlight w:val="none"/>
        </w:rPr>
      </w:pPr>
      <w:r>
        <w:rPr>
          <w:rFonts w:hint="eastAsia" w:cs="Times New Roman"/>
          <w:color w:val="auto"/>
          <w:sz w:val="21"/>
          <w:szCs w:val="21"/>
          <w:highlight w:val="none"/>
        </w:rPr>
        <w:t>2、供应商是联合体的，联合体各成员均应在“授权委托书”上盖章（电子签名</w:t>
      </w:r>
      <w:r>
        <w:rPr>
          <w:rFonts w:cs="Times New Roman"/>
          <w:color w:val="auto"/>
          <w:sz w:val="21"/>
          <w:szCs w:val="21"/>
          <w:highlight w:val="none"/>
        </w:rPr>
        <w:t>/公章）</w:t>
      </w:r>
      <w:r>
        <w:rPr>
          <w:rFonts w:hint="eastAsia" w:cs="Times New Roman"/>
          <w:color w:val="auto"/>
          <w:sz w:val="21"/>
          <w:szCs w:val="21"/>
          <w:highlight w:val="none"/>
        </w:rPr>
        <w:t>。</w:t>
      </w:r>
    </w:p>
    <w:p w14:paraId="65B54215">
      <w:pPr>
        <w:adjustRightInd w:val="0"/>
        <w:snapToGrid w:val="0"/>
        <w:spacing w:line="288" w:lineRule="auto"/>
        <w:ind w:firstLine="211"/>
        <w:rPr>
          <w:rFonts w:cs="Times New Roman"/>
          <w:color w:val="auto"/>
          <w:sz w:val="21"/>
          <w:szCs w:val="21"/>
          <w:highlight w:val="none"/>
        </w:rPr>
      </w:pPr>
    </w:p>
    <w:p w14:paraId="0F888BF0">
      <w:pPr>
        <w:adjustRightInd w:val="0"/>
        <w:snapToGrid w:val="0"/>
        <w:spacing w:line="288" w:lineRule="auto"/>
        <w:ind w:firstLine="211"/>
        <w:rPr>
          <w:rFonts w:cs="Times New Roman"/>
          <w:color w:val="auto"/>
          <w:sz w:val="21"/>
          <w:szCs w:val="21"/>
          <w:highlight w:val="none"/>
        </w:rPr>
      </w:pPr>
    </w:p>
    <w:p w14:paraId="41407A3D">
      <w:pPr>
        <w:adjustRightInd w:val="0"/>
        <w:snapToGrid w:val="0"/>
        <w:spacing w:line="288" w:lineRule="auto"/>
        <w:ind w:firstLine="211"/>
        <w:jc w:val="center"/>
        <w:outlineLvl w:val="2"/>
        <w:rPr>
          <w:rFonts w:cs="Times New Roman"/>
          <w:b/>
          <w:bCs/>
          <w:color w:val="auto"/>
          <w:spacing w:val="-6"/>
          <w:sz w:val="21"/>
          <w:szCs w:val="21"/>
          <w:highlight w:val="none"/>
        </w:rPr>
      </w:pPr>
      <w:r>
        <w:rPr>
          <w:rFonts w:hint="eastAsia" w:cs="Times New Roman"/>
          <w:b/>
          <w:bCs/>
          <w:color w:val="auto"/>
          <w:sz w:val="21"/>
          <w:szCs w:val="21"/>
          <w:highlight w:val="none"/>
        </w:rPr>
        <w:t>（2）法定代表人（单位负责人、自然人本人）</w:t>
      </w:r>
      <w:r>
        <w:rPr>
          <w:rFonts w:hint="eastAsia" w:cs="Times New Roman"/>
          <w:b/>
          <w:bCs/>
          <w:color w:val="auto"/>
          <w:spacing w:val="-6"/>
          <w:sz w:val="21"/>
          <w:szCs w:val="21"/>
          <w:highlight w:val="none"/>
        </w:rPr>
        <w:t>身份证明</w:t>
      </w:r>
    </w:p>
    <w:p w14:paraId="6CFE4C5C">
      <w:pPr>
        <w:adjustRightInd w:val="0"/>
        <w:snapToGrid w:val="0"/>
        <w:spacing w:line="288" w:lineRule="auto"/>
        <w:ind w:firstLine="495" w:firstLineChars="236"/>
        <w:jc w:val="center"/>
        <w:rPr>
          <w:rFonts w:cs="Times New Roman"/>
          <w:color w:val="auto"/>
          <w:sz w:val="21"/>
          <w:szCs w:val="21"/>
          <w:highlight w:val="none"/>
        </w:rPr>
      </w:pPr>
      <w:r>
        <w:rPr>
          <w:rFonts w:hint="eastAsia" w:cs="Times New Roman"/>
          <w:color w:val="auto"/>
          <w:sz w:val="21"/>
          <w:szCs w:val="21"/>
          <w:highlight w:val="none"/>
        </w:rPr>
        <w:t>（适用于：法定代表人（单位负责人、自然人本人）</w:t>
      </w:r>
      <w:r>
        <w:rPr>
          <w:rFonts w:hint="eastAsia" w:cs="Times New Roman"/>
          <w:color w:val="auto"/>
          <w:spacing w:val="-6"/>
          <w:sz w:val="21"/>
          <w:szCs w:val="21"/>
          <w:highlight w:val="none"/>
        </w:rPr>
        <w:t>代表供应商参加采购活动</w:t>
      </w:r>
      <w:r>
        <w:rPr>
          <w:rFonts w:hint="eastAsia" w:cs="Times New Roman"/>
          <w:color w:val="auto"/>
          <w:sz w:val="21"/>
          <w:szCs w:val="21"/>
          <w:highlight w:val="none"/>
        </w:rPr>
        <w:t>）</w:t>
      </w:r>
    </w:p>
    <w:p w14:paraId="44BCDC9E">
      <w:pPr>
        <w:adjustRightInd w:val="0"/>
        <w:snapToGrid w:val="0"/>
        <w:spacing w:line="288" w:lineRule="auto"/>
        <w:ind w:firstLine="211"/>
        <w:jc w:val="left"/>
        <w:rPr>
          <w:rFonts w:cs="Times New Roman"/>
          <w:color w:val="auto"/>
          <w:sz w:val="21"/>
          <w:szCs w:val="21"/>
          <w:highlight w:val="none"/>
        </w:rPr>
      </w:pPr>
      <w:r>
        <w:rPr>
          <w:rFonts w:hint="eastAsia"/>
          <w:bCs/>
          <w:color w:val="auto"/>
          <w:sz w:val="21"/>
          <w:szCs w:val="21"/>
          <w:highlight w:val="none"/>
        </w:rPr>
        <w:t>身份证件复印件</w:t>
      </w:r>
    </w:p>
    <w:tbl>
      <w:tblPr>
        <w:tblStyle w:val="1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4"/>
        <w:gridCol w:w="4814"/>
      </w:tblGrid>
      <w:tr w14:paraId="1263D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9" w:hRule="atLeast"/>
        </w:trPr>
        <w:tc>
          <w:tcPr>
            <w:tcW w:w="4951" w:type="dxa"/>
          </w:tcPr>
          <w:p w14:paraId="102B9D3F">
            <w:pPr>
              <w:adjustRightInd w:val="0"/>
              <w:snapToGrid w:val="0"/>
              <w:spacing w:line="288" w:lineRule="auto"/>
              <w:ind w:firstLine="211"/>
              <w:rPr>
                <w:bCs/>
                <w:color w:val="auto"/>
                <w:sz w:val="21"/>
                <w:szCs w:val="21"/>
                <w:highlight w:val="none"/>
              </w:rPr>
            </w:pPr>
            <w:r>
              <w:rPr>
                <w:rFonts w:hint="eastAsia"/>
                <w:bCs/>
                <w:color w:val="auto"/>
                <w:sz w:val="21"/>
                <w:szCs w:val="21"/>
                <w:highlight w:val="none"/>
              </w:rPr>
              <w:t>正面：</w:t>
            </w:r>
          </w:p>
        </w:tc>
        <w:tc>
          <w:tcPr>
            <w:tcW w:w="4951" w:type="dxa"/>
          </w:tcPr>
          <w:p w14:paraId="45BF2414">
            <w:pPr>
              <w:adjustRightInd w:val="0"/>
              <w:snapToGrid w:val="0"/>
              <w:spacing w:line="288" w:lineRule="auto"/>
              <w:ind w:firstLine="211"/>
              <w:rPr>
                <w:bCs/>
                <w:color w:val="auto"/>
                <w:sz w:val="21"/>
                <w:szCs w:val="21"/>
                <w:highlight w:val="none"/>
              </w:rPr>
            </w:pPr>
            <w:r>
              <w:rPr>
                <w:rFonts w:hint="eastAsia"/>
                <w:bCs/>
                <w:color w:val="auto"/>
                <w:sz w:val="21"/>
                <w:szCs w:val="21"/>
                <w:highlight w:val="none"/>
              </w:rPr>
              <w:t>反面：</w:t>
            </w:r>
          </w:p>
        </w:tc>
      </w:tr>
    </w:tbl>
    <w:p w14:paraId="723D361F">
      <w:pPr>
        <w:adjustRightInd w:val="0"/>
        <w:snapToGrid w:val="0"/>
        <w:spacing w:line="288" w:lineRule="auto"/>
        <w:ind w:firstLine="211"/>
        <w:rPr>
          <w:rFonts w:cs="Times New Roman"/>
          <w:color w:val="auto"/>
          <w:sz w:val="21"/>
          <w:szCs w:val="21"/>
          <w:highlight w:val="none"/>
        </w:rPr>
      </w:pPr>
    </w:p>
    <w:p w14:paraId="5B841777">
      <w:pPr>
        <w:widowControl/>
        <w:adjustRightInd w:val="0"/>
        <w:snapToGrid w:val="0"/>
        <w:spacing w:line="288" w:lineRule="auto"/>
        <w:ind w:firstLine="211"/>
        <w:jc w:val="left"/>
        <w:rPr>
          <w:rFonts w:cs="Times New Roman"/>
          <w:color w:val="auto"/>
          <w:sz w:val="21"/>
          <w:szCs w:val="21"/>
          <w:highlight w:val="none"/>
        </w:rPr>
      </w:pPr>
      <w:r>
        <w:rPr>
          <w:rFonts w:cs="Times New Roman"/>
          <w:color w:val="auto"/>
          <w:sz w:val="21"/>
          <w:szCs w:val="21"/>
          <w:highlight w:val="none"/>
        </w:rPr>
        <w:br w:type="page"/>
      </w:r>
    </w:p>
    <w:p w14:paraId="07F91D75">
      <w:pPr>
        <w:adjustRightInd w:val="0"/>
        <w:snapToGrid w:val="0"/>
        <w:spacing w:line="288" w:lineRule="auto"/>
        <w:ind w:firstLine="211"/>
        <w:jc w:val="left"/>
        <w:outlineLvl w:val="2"/>
        <w:rPr>
          <w:rFonts w:cs="Times New Roman"/>
          <w:b/>
          <w:bCs/>
          <w:color w:val="auto"/>
          <w:sz w:val="21"/>
          <w:szCs w:val="21"/>
          <w:highlight w:val="none"/>
        </w:rPr>
      </w:pPr>
      <w:r>
        <w:rPr>
          <w:rFonts w:hint="eastAsia" w:cs="Times New Roman"/>
          <w:b/>
          <w:bCs/>
          <w:color w:val="auto"/>
          <w:sz w:val="21"/>
          <w:szCs w:val="21"/>
          <w:highlight w:val="none"/>
        </w:rPr>
        <w:t>附：授权代表社保缴纳证明（2023年1月（含）以后任意一月）</w:t>
      </w:r>
    </w:p>
    <w:p w14:paraId="066A174A">
      <w:pPr>
        <w:widowControl/>
        <w:ind w:firstLine="211"/>
        <w:jc w:val="left"/>
        <w:rPr>
          <w:color w:val="auto"/>
          <w:sz w:val="21"/>
          <w:szCs w:val="21"/>
          <w:highlight w:val="none"/>
        </w:rPr>
      </w:pPr>
      <w:r>
        <w:rPr>
          <w:color w:val="auto"/>
          <w:sz w:val="21"/>
          <w:szCs w:val="21"/>
          <w:highlight w:val="none"/>
        </w:rPr>
        <w:br w:type="page"/>
      </w:r>
    </w:p>
    <w:p w14:paraId="6A85B4E0">
      <w:pPr>
        <w:widowControl/>
        <w:ind w:firstLine="211"/>
        <w:jc w:val="left"/>
        <w:rPr>
          <w:color w:val="auto"/>
          <w:sz w:val="21"/>
          <w:szCs w:val="21"/>
          <w:highlight w:val="none"/>
        </w:rPr>
      </w:pPr>
    </w:p>
    <w:p w14:paraId="778DC1BA">
      <w:pPr>
        <w:adjustRightInd w:val="0"/>
        <w:snapToGrid w:val="0"/>
        <w:spacing w:line="288" w:lineRule="auto"/>
        <w:ind w:firstLine="211"/>
        <w:jc w:val="center"/>
        <w:outlineLvl w:val="2"/>
        <w:rPr>
          <w:b/>
          <w:bCs/>
          <w:color w:val="auto"/>
          <w:sz w:val="21"/>
          <w:szCs w:val="21"/>
          <w:highlight w:val="none"/>
        </w:rPr>
      </w:pPr>
      <w:r>
        <w:rPr>
          <w:rFonts w:hint="eastAsia"/>
          <w:b/>
          <w:bCs/>
          <w:color w:val="auto"/>
          <w:sz w:val="21"/>
          <w:szCs w:val="21"/>
          <w:highlight w:val="none"/>
        </w:rPr>
        <w:t>（</w:t>
      </w:r>
      <w:r>
        <w:rPr>
          <w:b/>
          <w:bCs/>
          <w:color w:val="auto"/>
          <w:sz w:val="21"/>
          <w:szCs w:val="21"/>
          <w:highlight w:val="none"/>
        </w:rPr>
        <w:t>3</w:t>
      </w:r>
      <w:r>
        <w:rPr>
          <w:rFonts w:hint="eastAsia"/>
          <w:b/>
          <w:bCs/>
          <w:color w:val="auto"/>
          <w:sz w:val="21"/>
          <w:szCs w:val="21"/>
          <w:highlight w:val="none"/>
        </w:rPr>
        <w:t>）项目经理无在建工程声明函</w:t>
      </w:r>
    </w:p>
    <w:p w14:paraId="774BB92B">
      <w:pPr>
        <w:pStyle w:val="16"/>
        <w:adjustRightInd w:val="0"/>
        <w:snapToGrid w:val="0"/>
        <w:spacing w:before="120" w:after="120" w:line="360" w:lineRule="auto"/>
        <w:ind w:firstLine="211"/>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浙江交通职业技术学院、浙江求是招标代理有限公司：</w:t>
      </w:r>
    </w:p>
    <w:p w14:paraId="226734B5">
      <w:pPr>
        <w:snapToGrid w:val="0"/>
        <w:spacing w:line="360" w:lineRule="auto"/>
        <w:ind w:firstLine="420" w:firstLineChars="200"/>
        <w:rPr>
          <w:color w:val="auto"/>
          <w:sz w:val="21"/>
          <w:szCs w:val="21"/>
          <w:highlight w:val="none"/>
          <w:u w:val="single"/>
        </w:rPr>
      </w:pPr>
      <w:r>
        <w:rPr>
          <w:rFonts w:hint="eastAsia"/>
          <w:color w:val="auto"/>
          <w:sz w:val="21"/>
          <w:szCs w:val="21"/>
          <w:highlight w:val="none"/>
        </w:rPr>
        <w:t>我方参加</w:t>
      </w:r>
      <w:r>
        <w:rPr>
          <w:rFonts w:hint="eastAsia"/>
          <w:color w:val="auto"/>
          <w:sz w:val="21"/>
          <w:szCs w:val="21"/>
          <w:highlight w:val="none"/>
          <w:u w:val="single"/>
        </w:rPr>
        <w:t xml:space="preserve"> 浙江交通职业技术学院</w:t>
      </w:r>
      <w:r>
        <w:rPr>
          <w:rFonts w:hint="eastAsia"/>
          <w:color w:val="auto"/>
          <w:sz w:val="21"/>
          <w:szCs w:val="21"/>
          <w:highlight w:val="none"/>
        </w:rPr>
        <w:t>（采购人）</w:t>
      </w:r>
      <w:r>
        <w:rPr>
          <w:rFonts w:hint="eastAsia"/>
          <w:color w:val="auto"/>
          <w:sz w:val="21"/>
          <w:szCs w:val="21"/>
          <w:highlight w:val="none"/>
          <w:u w:val="single"/>
        </w:rPr>
        <w:t xml:space="preserve"> 长兴校区道路装饰工程</w:t>
      </w:r>
      <w:r>
        <w:rPr>
          <w:rFonts w:hint="eastAsia"/>
          <w:color w:val="auto"/>
          <w:sz w:val="21"/>
          <w:szCs w:val="21"/>
          <w:highlight w:val="none"/>
        </w:rPr>
        <w:t>（项目名称）</w:t>
      </w:r>
      <w:r>
        <w:rPr>
          <w:rFonts w:hint="eastAsia"/>
          <w:color w:val="auto"/>
          <w:sz w:val="21"/>
          <w:szCs w:val="21"/>
          <w:highlight w:val="none"/>
          <w:u w:val="single"/>
        </w:rPr>
        <w:t xml:space="preserve"> QSZB-Z(G)-C24307(CS) </w:t>
      </w:r>
      <w:r>
        <w:rPr>
          <w:color w:val="auto"/>
          <w:sz w:val="21"/>
          <w:szCs w:val="21"/>
          <w:highlight w:val="none"/>
          <w:u w:val="single"/>
        </w:rPr>
        <w:t xml:space="preserve"> </w:t>
      </w:r>
      <w:r>
        <w:rPr>
          <w:rFonts w:hint="eastAsia"/>
          <w:color w:val="auto"/>
          <w:sz w:val="21"/>
          <w:szCs w:val="21"/>
          <w:highlight w:val="none"/>
        </w:rPr>
        <w:t>（项目编号）采购活动，拟派项目经理_</w:t>
      </w:r>
      <w:r>
        <w:rPr>
          <w:color w:val="auto"/>
          <w:sz w:val="21"/>
          <w:szCs w:val="21"/>
          <w:highlight w:val="none"/>
        </w:rPr>
        <w:t>_________________________</w:t>
      </w:r>
      <w:r>
        <w:rPr>
          <w:rFonts w:hint="eastAsia"/>
          <w:color w:val="auto"/>
          <w:sz w:val="21"/>
          <w:szCs w:val="21"/>
          <w:highlight w:val="none"/>
        </w:rPr>
        <w:t>（</w:t>
      </w:r>
      <w:r>
        <w:rPr>
          <w:rFonts w:hint="eastAsia"/>
          <w:color w:val="auto"/>
          <w:sz w:val="21"/>
          <w:szCs w:val="21"/>
          <w:highlight w:val="none"/>
          <w:u w:val="single"/>
        </w:rPr>
        <w:t>姓名及身份证号码</w:t>
      </w:r>
      <w:r>
        <w:rPr>
          <w:rFonts w:hint="eastAsia"/>
          <w:color w:val="auto"/>
          <w:sz w:val="21"/>
          <w:szCs w:val="21"/>
          <w:highlight w:val="none"/>
        </w:rPr>
        <w:t>）无在建工程。</w:t>
      </w:r>
    </w:p>
    <w:p w14:paraId="5F924CCA">
      <w:pPr>
        <w:snapToGrid w:val="0"/>
        <w:spacing w:line="360" w:lineRule="auto"/>
        <w:ind w:firstLine="420" w:firstLineChars="200"/>
        <w:rPr>
          <w:color w:val="auto"/>
          <w:kern w:val="0"/>
          <w:sz w:val="21"/>
          <w:szCs w:val="21"/>
          <w:highlight w:val="none"/>
        </w:rPr>
      </w:pPr>
      <w:r>
        <w:rPr>
          <w:rFonts w:hint="eastAsia"/>
          <w:color w:val="auto"/>
          <w:kern w:val="0"/>
          <w:sz w:val="21"/>
          <w:szCs w:val="21"/>
          <w:highlight w:val="none"/>
        </w:rPr>
        <w:t>本公司对上述声明的真实性负责。如有虚假，愿意承担相应法律责任，对此无任何异议。</w:t>
      </w:r>
    </w:p>
    <w:p w14:paraId="79A2F49D">
      <w:pPr>
        <w:snapToGrid w:val="0"/>
        <w:spacing w:line="360" w:lineRule="auto"/>
        <w:ind w:firstLine="420" w:firstLineChars="200"/>
        <w:rPr>
          <w:color w:val="auto"/>
          <w:sz w:val="21"/>
          <w:szCs w:val="21"/>
          <w:highlight w:val="none"/>
        </w:rPr>
      </w:pPr>
      <w:r>
        <w:rPr>
          <w:rFonts w:hint="eastAsia"/>
          <w:color w:val="auto"/>
          <w:sz w:val="21"/>
          <w:szCs w:val="21"/>
          <w:highlight w:val="none"/>
        </w:rPr>
        <w:t>特此声明！</w:t>
      </w:r>
    </w:p>
    <w:p w14:paraId="362E6FA3">
      <w:pPr>
        <w:adjustRightInd w:val="0"/>
        <w:snapToGrid w:val="0"/>
        <w:spacing w:line="360" w:lineRule="auto"/>
        <w:ind w:firstLine="420" w:firstLineChars="200"/>
        <w:rPr>
          <w:color w:val="auto"/>
          <w:sz w:val="21"/>
          <w:szCs w:val="21"/>
          <w:highlight w:val="none"/>
        </w:rPr>
      </w:pPr>
    </w:p>
    <w:p w14:paraId="29C7F6B5">
      <w:pPr>
        <w:adjustRightInd w:val="0"/>
        <w:snapToGrid w:val="0"/>
        <w:spacing w:line="360" w:lineRule="auto"/>
        <w:ind w:firstLine="422" w:firstLineChars="200"/>
        <w:rPr>
          <w:b/>
          <w:bCs/>
          <w:color w:val="auto"/>
          <w:sz w:val="21"/>
          <w:szCs w:val="21"/>
          <w:highlight w:val="none"/>
        </w:rPr>
      </w:pPr>
      <w:r>
        <w:rPr>
          <w:rFonts w:hint="eastAsia"/>
          <w:b/>
          <w:bCs/>
          <w:color w:val="auto"/>
          <w:sz w:val="21"/>
          <w:szCs w:val="21"/>
          <w:highlight w:val="none"/>
        </w:rPr>
        <w:t>供应商全称：（加盖单位公章）</w:t>
      </w:r>
    </w:p>
    <w:p w14:paraId="66774C32">
      <w:pPr>
        <w:pStyle w:val="69"/>
        <w:ind w:firstLine="420"/>
        <w:rPr>
          <w:rFonts w:ascii="宋体"/>
          <w:color w:val="auto"/>
          <w:sz w:val="21"/>
          <w:szCs w:val="21"/>
          <w:highlight w:val="none"/>
        </w:rPr>
      </w:pPr>
    </w:p>
    <w:p w14:paraId="5C14EA88">
      <w:pPr>
        <w:pStyle w:val="69"/>
        <w:ind w:firstLine="420"/>
        <w:rPr>
          <w:rFonts w:ascii="宋体"/>
          <w:color w:val="auto"/>
          <w:sz w:val="21"/>
          <w:szCs w:val="21"/>
          <w:highlight w:val="none"/>
        </w:rPr>
      </w:pPr>
    </w:p>
    <w:p w14:paraId="169AB8F4">
      <w:pPr>
        <w:pStyle w:val="69"/>
        <w:ind w:firstLine="422"/>
        <w:rPr>
          <w:rFonts w:ascii="宋体"/>
          <w:b/>
          <w:bCs/>
          <w:color w:val="auto"/>
          <w:sz w:val="21"/>
          <w:szCs w:val="21"/>
          <w:highlight w:val="none"/>
        </w:rPr>
      </w:pPr>
      <w:r>
        <w:rPr>
          <w:rFonts w:hint="eastAsia" w:ascii="宋体"/>
          <w:b/>
          <w:bCs/>
          <w:color w:val="auto"/>
          <w:sz w:val="21"/>
          <w:szCs w:val="21"/>
          <w:highlight w:val="none"/>
        </w:rPr>
        <w:t>项目经理：（加盖项目经理执业章）</w:t>
      </w:r>
    </w:p>
    <w:p w14:paraId="609AA70E">
      <w:pPr>
        <w:pStyle w:val="13"/>
        <w:spacing w:line="360" w:lineRule="auto"/>
        <w:ind w:firstLine="404" w:firstLineChars="200"/>
        <w:jc w:val="right"/>
        <w:rPr>
          <w:rFonts w:hAnsi="宋体" w:cs="宋体"/>
          <w:color w:val="auto"/>
          <w:sz w:val="21"/>
          <w:szCs w:val="21"/>
          <w:highlight w:val="none"/>
        </w:rPr>
      </w:pPr>
    </w:p>
    <w:p w14:paraId="7DFAA021">
      <w:pPr>
        <w:pStyle w:val="13"/>
        <w:spacing w:line="360" w:lineRule="auto"/>
        <w:ind w:firstLine="404" w:firstLineChars="200"/>
        <w:jc w:val="right"/>
        <w:rPr>
          <w:rFonts w:hAnsi="宋体" w:cs="宋体"/>
          <w:color w:val="auto"/>
          <w:sz w:val="21"/>
          <w:szCs w:val="21"/>
          <w:highlight w:val="none"/>
        </w:rPr>
      </w:pPr>
    </w:p>
    <w:p w14:paraId="0B4D2C5B">
      <w:pPr>
        <w:pStyle w:val="13"/>
        <w:spacing w:line="360" w:lineRule="auto"/>
        <w:ind w:firstLine="404" w:firstLineChars="200"/>
        <w:jc w:val="right"/>
        <w:rPr>
          <w:rFonts w:hAnsi="宋体" w:cs="宋体"/>
          <w:color w:val="auto"/>
          <w:sz w:val="21"/>
          <w:szCs w:val="21"/>
          <w:highlight w:val="none"/>
        </w:rPr>
      </w:pPr>
    </w:p>
    <w:p w14:paraId="12633613">
      <w:pPr>
        <w:adjustRightInd w:val="0"/>
        <w:snapToGrid w:val="0"/>
        <w:spacing w:line="360" w:lineRule="auto"/>
        <w:ind w:firstLine="211"/>
        <w:rPr>
          <w:color w:val="auto"/>
          <w:sz w:val="21"/>
          <w:szCs w:val="21"/>
          <w:highlight w:val="none"/>
        </w:rPr>
      </w:pPr>
      <w:r>
        <w:rPr>
          <w:rFonts w:hint="eastAsia"/>
          <w:color w:val="auto"/>
          <w:sz w:val="21"/>
          <w:szCs w:val="21"/>
          <w:highlight w:val="none"/>
        </w:rPr>
        <w:t>日期：2023年  月  日</w:t>
      </w:r>
    </w:p>
    <w:p w14:paraId="41ADB62A">
      <w:pPr>
        <w:widowControl/>
        <w:ind w:firstLine="211"/>
        <w:jc w:val="left"/>
        <w:rPr>
          <w:color w:val="auto"/>
          <w:sz w:val="21"/>
          <w:szCs w:val="21"/>
          <w:highlight w:val="none"/>
        </w:rPr>
      </w:pPr>
      <w:r>
        <w:rPr>
          <w:color w:val="auto"/>
          <w:sz w:val="21"/>
          <w:szCs w:val="21"/>
          <w:highlight w:val="none"/>
        </w:rPr>
        <w:br w:type="page"/>
      </w:r>
    </w:p>
    <w:p w14:paraId="69A7B77C">
      <w:pPr>
        <w:adjustRightInd w:val="0"/>
        <w:snapToGrid w:val="0"/>
        <w:spacing w:line="288" w:lineRule="auto"/>
        <w:ind w:firstLine="211"/>
        <w:jc w:val="center"/>
        <w:outlineLvl w:val="2"/>
        <w:rPr>
          <w:b/>
          <w:bCs/>
          <w:color w:val="auto"/>
          <w:sz w:val="21"/>
          <w:szCs w:val="21"/>
          <w:highlight w:val="none"/>
        </w:rPr>
      </w:pPr>
      <w:r>
        <w:rPr>
          <w:rFonts w:hint="eastAsia"/>
          <w:b/>
          <w:bCs/>
          <w:color w:val="auto"/>
          <w:sz w:val="21"/>
          <w:szCs w:val="21"/>
          <w:highlight w:val="none"/>
        </w:rPr>
        <w:t>（</w:t>
      </w:r>
      <w:r>
        <w:rPr>
          <w:b/>
          <w:bCs/>
          <w:color w:val="auto"/>
          <w:sz w:val="21"/>
          <w:szCs w:val="21"/>
          <w:highlight w:val="none"/>
        </w:rPr>
        <w:t>4</w:t>
      </w:r>
      <w:r>
        <w:rPr>
          <w:rFonts w:hint="eastAsia"/>
          <w:b/>
          <w:bCs/>
          <w:color w:val="auto"/>
          <w:sz w:val="21"/>
          <w:szCs w:val="21"/>
          <w:highlight w:val="none"/>
        </w:rPr>
        <w:t>）分包意向协议（如有）</w:t>
      </w:r>
    </w:p>
    <w:p w14:paraId="0EE1DD1F">
      <w:pPr>
        <w:adjustRightInd w:val="0"/>
        <w:snapToGrid w:val="0"/>
        <w:spacing w:line="288" w:lineRule="auto"/>
        <w:ind w:firstLine="211"/>
        <w:rPr>
          <w:color w:val="auto"/>
          <w:sz w:val="21"/>
          <w:szCs w:val="21"/>
          <w:highlight w:val="none"/>
        </w:rPr>
      </w:pPr>
    </w:p>
    <w:p w14:paraId="10F9F9B3">
      <w:pPr>
        <w:adjustRightInd w:val="0"/>
        <w:snapToGrid w:val="0"/>
        <w:spacing w:line="288" w:lineRule="auto"/>
        <w:ind w:firstLine="211"/>
        <w:rPr>
          <w:color w:val="auto"/>
          <w:sz w:val="21"/>
          <w:szCs w:val="21"/>
          <w:highlight w:val="none"/>
        </w:rPr>
      </w:pPr>
      <w:r>
        <w:rPr>
          <w:rFonts w:hint="eastAsia"/>
          <w:color w:val="auto"/>
          <w:sz w:val="21"/>
          <w:szCs w:val="21"/>
          <w:highlight w:val="none"/>
        </w:rPr>
        <w:br w:type="page"/>
      </w:r>
    </w:p>
    <w:p w14:paraId="7B02B86E">
      <w:pPr>
        <w:adjustRightInd w:val="0"/>
        <w:snapToGrid w:val="0"/>
        <w:spacing w:line="288" w:lineRule="auto"/>
        <w:ind w:firstLine="211"/>
        <w:jc w:val="center"/>
        <w:outlineLvl w:val="2"/>
        <w:rPr>
          <w:b/>
          <w:bCs/>
          <w:color w:val="auto"/>
          <w:sz w:val="21"/>
          <w:szCs w:val="21"/>
          <w:highlight w:val="none"/>
        </w:rPr>
      </w:pPr>
      <w:r>
        <w:rPr>
          <w:rFonts w:hint="eastAsia"/>
          <w:b/>
          <w:bCs/>
          <w:color w:val="auto"/>
          <w:sz w:val="21"/>
          <w:szCs w:val="21"/>
          <w:highlight w:val="none"/>
        </w:rPr>
        <w:t>（</w:t>
      </w:r>
      <w:r>
        <w:rPr>
          <w:b/>
          <w:bCs/>
          <w:color w:val="auto"/>
          <w:sz w:val="21"/>
          <w:szCs w:val="21"/>
          <w:highlight w:val="none"/>
        </w:rPr>
        <w:t>5</w:t>
      </w:r>
      <w:r>
        <w:rPr>
          <w:rFonts w:hint="eastAsia"/>
          <w:b/>
          <w:bCs/>
          <w:color w:val="auto"/>
          <w:sz w:val="21"/>
          <w:szCs w:val="21"/>
          <w:highlight w:val="none"/>
        </w:rPr>
        <w:t>）供应商同类合同一览表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1268"/>
        <w:gridCol w:w="1282"/>
        <w:gridCol w:w="1432"/>
        <w:gridCol w:w="1256"/>
        <w:gridCol w:w="899"/>
        <w:gridCol w:w="995"/>
        <w:gridCol w:w="1718"/>
      </w:tblGrid>
      <w:tr w14:paraId="33D0C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14:paraId="10F1E7DE">
            <w:pPr>
              <w:adjustRightInd w:val="0"/>
              <w:snapToGrid w:val="0"/>
              <w:spacing w:line="288" w:lineRule="auto"/>
              <w:ind w:firstLine="211"/>
              <w:jc w:val="center"/>
              <w:rPr>
                <w:b/>
                <w:bCs/>
                <w:color w:val="auto"/>
                <w:kern w:val="0"/>
                <w:sz w:val="21"/>
                <w:szCs w:val="21"/>
                <w:highlight w:val="none"/>
              </w:rPr>
            </w:pPr>
            <w:r>
              <w:rPr>
                <w:rFonts w:hint="eastAsia"/>
                <w:b/>
                <w:bCs/>
                <w:color w:val="auto"/>
                <w:kern w:val="0"/>
                <w:sz w:val="21"/>
                <w:szCs w:val="21"/>
                <w:highlight w:val="none"/>
              </w:rPr>
              <w:t>序号</w:t>
            </w:r>
          </w:p>
        </w:tc>
        <w:tc>
          <w:tcPr>
            <w:tcW w:w="1268" w:type="dxa"/>
            <w:vAlign w:val="center"/>
          </w:tcPr>
          <w:p w14:paraId="74BCD992">
            <w:pPr>
              <w:adjustRightInd w:val="0"/>
              <w:snapToGrid w:val="0"/>
              <w:spacing w:line="288" w:lineRule="auto"/>
              <w:ind w:firstLine="211"/>
              <w:jc w:val="center"/>
              <w:rPr>
                <w:b/>
                <w:bCs/>
                <w:color w:val="auto"/>
                <w:kern w:val="0"/>
                <w:sz w:val="21"/>
                <w:szCs w:val="21"/>
                <w:highlight w:val="none"/>
              </w:rPr>
            </w:pPr>
            <w:r>
              <w:rPr>
                <w:rFonts w:hint="eastAsia"/>
                <w:b/>
                <w:bCs/>
                <w:color w:val="auto"/>
                <w:kern w:val="0"/>
                <w:sz w:val="21"/>
                <w:szCs w:val="21"/>
                <w:highlight w:val="none"/>
              </w:rPr>
              <w:t>采购人</w:t>
            </w:r>
          </w:p>
        </w:tc>
        <w:tc>
          <w:tcPr>
            <w:tcW w:w="1282" w:type="dxa"/>
            <w:vAlign w:val="center"/>
          </w:tcPr>
          <w:p w14:paraId="0F1008F2">
            <w:pPr>
              <w:adjustRightInd w:val="0"/>
              <w:snapToGrid w:val="0"/>
              <w:spacing w:line="288" w:lineRule="auto"/>
              <w:ind w:firstLine="211"/>
              <w:jc w:val="center"/>
              <w:rPr>
                <w:b/>
                <w:bCs/>
                <w:color w:val="auto"/>
                <w:kern w:val="0"/>
                <w:sz w:val="21"/>
                <w:szCs w:val="21"/>
                <w:highlight w:val="none"/>
              </w:rPr>
            </w:pPr>
            <w:r>
              <w:rPr>
                <w:rFonts w:hint="eastAsia"/>
                <w:b/>
                <w:bCs/>
                <w:color w:val="auto"/>
                <w:kern w:val="0"/>
                <w:sz w:val="21"/>
                <w:szCs w:val="21"/>
                <w:highlight w:val="none"/>
              </w:rPr>
              <w:t>项目名称</w:t>
            </w:r>
          </w:p>
        </w:tc>
        <w:tc>
          <w:tcPr>
            <w:tcW w:w="1432" w:type="dxa"/>
            <w:vAlign w:val="center"/>
          </w:tcPr>
          <w:p w14:paraId="0BD15467">
            <w:pPr>
              <w:adjustRightInd w:val="0"/>
              <w:snapToGrid w:val="0"/>
              <w:spacing w:line="288" w:lineRule="auto"/>
              <w:ind w:firstLine="211"/>
              <w:jc w:val="center"/>
              <w:rPr>
                <w:b/>
                <w:bCs/>
                <w:color w:val="auto"/>
                <w:kern w:val="0"/>
                <w:sz w:val="21"/>
                <w:szCs w:val="21"/>
                <w:highlight w:val="none"/>
              </w:rPr>
            </w:pPr>
            <w:r>
              <w:rPr>
                <w:rFonts w:hint="eastAsia"/>
                <w:b/>
                <w:bCs/>
                <w:color w:val="auto"/>
                <w:kern w:val="0"/>
                <w:sz w:val="21"/>
                <w:szCs w:val="21"/>
                <w:highlight w:val="none"/>
              </w:rPr>
              <w:t>数量</w:t>
            </w:r>
          </w:p>
        </w:tc>
        <w:tc>
          <w:tcPr>
            <w:tcW w:w="1256" w:type="dxa"/>
            <w:vAlign w:val="center"/>
          </w:tcPr>
          <w:p w14:paraId="182F1A6C">
            <w:pPr>
              <w:adjustRightInd w:val="0"/>
              <w:snapToGrid w:val="0"/>
              <w:spacing w:line="288" w:lineRule="auto"/>
              <w:ind w:firstLine="211"/>
              <w:jc w:val="center"/>
              <w:rPr>
                <w:b/>
                <w:bCs/>
                <w:color w:val="auto"/>
                <w:kern w:val="0"/>
                <w:sz w:val="21"/>
                <w:szCs w:val="21"/>
                <w:highlight w:val="none"/>
              </w:rPr>
            </w:pPr>
            <w:r>
              <w:rPr>
                <w:rFonts w:hint="eastAsia"/>
                <w:b/>
                <w:bCs/>
                <w:color w:val="auto"/>
                <w:kern w:val="0"/>
                <w:sz w:val="21"/>
                <w:szCs w:val="21"/>
                <w:highlight w:val="none"/>
              </w:rPr>
              <w:t>合同金额</w:t>
            </w:r>
          </w:p>
          <w:p w14:paraId="719EAB34">
            <w:pPr>
              <w:adjustRightInd w:val="0"/>
              <w:snapToGrid w:val="0"/>
              <w:spacing w:line="288" w:lineRule="auto"/>
              <w:ind w:firstLine="211"/>
              <w:jc w:val="center"/>
              <w:rPr>
                <w:b/>
                <w:bCs/>
                <w:color w:val="auto"/>
                <w:kern w:val="0"/>
                <w:sz w:val="21"/>
                <w:szCs w:val="21"/>
                <w:highlight w:val="none"/>
              </w:rPr>
            </w:pPr>
            <w:r>
              <w:rPr>
                <w:rFonts w:hint="eastAsia"/>
                <w:b/>
                <w:bCs/>
                <w:color w:val="auto"/>
                <w:kern w:val="0"/>
                <w:sz w:val="21"/>
                <w:szCs w:val="21"/>
                <w:highlight w:val="none"/>
              </w:rPr>
              <w:t>（万元）</w:t>
            </w:r>
          </w:p>
        </w:tc>
        <w:tc>
          <w:tcPr>
            <w:tcW w:w="899" w:type="dxa"/>
            <w:vAlign w:val="center"/>
          </w:tcPr>
          <w:p w14:paraId="74516BF4">
            <w:pPr>
              <w:adjustRightInd w:val="0"/>
              <w:snapToGrid w:val="0"/>
              <w:spacing w:line="288" w:lineRule="auto"/>
              <w:ind w:firstLine="211"/>
              <w:jc w:val="center"/>
              <w:rPr>
                <w:b/>
                <w:bCs/>
                <w:color w:val="auto"/>
                <w:kern w:val="0"/>
                <w:sz w:val="21"/>
                <w:szCs w:val="21"/>
                <w:highlight w:val="none"/>
              </w:rPr>
            </w:pPr>
            <w:r>
              <w:rPr>
                <w:rFonts w:hint="eastAsia"/>
                <w:b/>
                <w:bCs/>
                <w:color w:val="auto"/>
                <w:kern w:val="0"/>
                <w:sz w:val="21"/>
                <w:szCs w:val="21"/>
                <w:highlight w:val="none"/>
              </w:rPr>
              <w:t>附件页码</w:t>
            </w:r>
          </w:p>
        </w:tc>
        <w:tc>
          <w:tcPr>
            <w:tcW w:w="995" w:type="dxa"/>
            <w:vAlign w:val="center"/>
          </w:tcPr>
          <w:p w14:paraId="240FA3F3">
            <w:pPr>
              <w:adjustRightInd w:val="0"/>
              <w:snapToGrid w:val="0"/>
              <w:spacing w:line="288" w:lineRule="auto"/>
              <w:ind w:firstLine="211"/>
              <w:jc w:val="center"/>
              <w:rPr>
                <w:b/>
                <w:bCs/>
                <w:color w:val="auto"/>
                <w:kern w:val="0"/>
                <w:sz w:val="21"/>
                <w:szCs w:val="21"/>
                <w:highlight w:val="none"/>
              </w:rPr>
            </w:pPr>
            <w:r>
              <w:rPr>
                <w:rFonts w:hint="eastAsia"/>
                <w:b/>
                <w:bCs/>
                <w:color w:val="auto"/>
                <w:kern w:val="0"/>
                <w:sz w:val="21"/>
                <w:szCs w:val="21"/>
                <w:highlight w:val="none"/>
              </w:rPr>
              <w:t>合同签订时间</w:t>
            </w:r>
          </w:p>
        </w:tc>
        <w:tc>
          <w:tcPr>
            <w:tcW w:w="1718" w:type="dxa"/>
            <w:vAlign w:val="center"/>
          </w:tcPr>
          <w:p w14:paraId="2F45CA7E">
            <w:pPr>
              <w:adjustRightInd w:val="0"/>
              <w:snapToGrid w:val="0"/>
              <w:spacing w:line="288" w:lineRule="auto"/>
              <w:ind w:firstLine="211"/>
              <w:jc w:val="center"/>
              <w:rPr>
                <w:b/>
                <w:bCs/>
                <w:color w:val="auto"/>
                <w:kern w:val="0"/>
                <w:sz w:val="21"/>
                <w:szCs w:val="21"/>
                <w:highlight w:val="none"/>
              </w:rPr>
            </w:pPr>
            <w:r>
              <w:rPr>
                <w:rFonts w:hint="eastAsia"/>
                <w:b/>
                <w:bCs/>
                <w:color w:val="auto"/>
                <w:kern w:val="0"/>
                <w:sz w:val="21"/>
                <w:szCs w:val="21"/>
                <w:highlight w:val="none"/>
              </w:rPr>
              <w:t>采购人联系人</w:t>
            </w:r>
          </w:p>
          <w:p w14:paraId="15CE04C6">
            <w:pPr>
              <w:adjustRightInd w:val="0"/>
              <w:snapToGrid w:val="0"/>
              <w:spacing w:line="288" w:lineRule="auto"/>
              <w:ind w:firstLine="211"/>
              <w:jc w:val="center"/>
              <w:rPr>
                <w:b/>
                <w:bCs/>
                <w:color w:val="auto"/>
                <w:kern w:val="0"/>
                <w:sz w:val="21"/>
                <w:szCs w:val="21"/>
                <w:highlight w:val="none"/>
              </w:rPr>
            </w:pPr>
            <w:r>
              <w:rPr>
                <w:rFonts w:hint="eastAsia"/>
                <w:b/>
                <w:bCs/>
                <w:color w:val="auto"/>
                <w:kern w:val="0"/>
                <w:sz w:val="21"/>
                <w:szCs w:val="21"/>
                <w:highlight w:val="none"/>
              </w:rPr>
              <w:t>联系方式</w:t>
            </w:r>
          </w:p>
        </w:tc>
      </w:tr>
      <w:tr w14:paraId="077C7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14:paraId="7CACE2BB">
            <w:pPr>
              <w:adjustRightInd w:val="0"/>
              <w:snapToGrid w:val="0"/>
              <w:spacing w:line="288" w:lineRule="auto"/>
              <w:ind w:firstLine="211"/>
              <w:jc w:val="center"/>
              <w:rPr>
                <w:color w:val="auto"/>
                <w:kern w:val="0"/>
                <w:sz w:val="21"/>
                <w:szCs w:val="21"/>
                <w:highlight w:val="none"/>
              </w:rPr>
            </w:pPr>
          </w:p>
        </w:tc>
        <w:tc>
          <w:tcPr>
            <w:tcW w:w="1268" w:type="dxa"/>
            <w:vAlign w:val="center"/>
          </w:tcPr>
          <w:p w14:paraId="680FE5A8">
            <w:pPr>
              <w:adjustRightInd w:val="0"/>
              <w:snapToGrid w:val="0"/>
              <w:spacing w:line="288" w:lineRule="auto"/>
              <w:ind w:firstLine="211"/>
              <w:jc w:val="center"/>
              <w:rPr>
                <w:color w:val="auto"/>
                <w:kern w:val="0"/>
                <w:sz w:val="21"/>
                <w:szCs w:val="21"/>
                <w:highlight w:val="none"/>
              </w:rPr>
            </w:pPr>
          </w:p>
        </w:tc>
        <w:tc>
          <w:tcPr>
            <w:tcW w:w="1282" w:type="dxa"/>
            <w:vAlign w:val="center"/>
          </w:tcPr>
          <w:p w14:paraId="74FC55EC">
            <w:pPr>
              <w:adjustRightInd w:val="0"/>
              <w:snapToGrid w:val="0"/>
              <w:spacing w:line="288" w:lineRule="auto"/>
              <w:ind w:firstLine="211"/>
              <w:jc w:val="center"/>
              <w:rPr>
                <w:color w:val="auto"/>
                <w:kern w:val="0"/>
                <w:sz w:val="21"/>
                <w:szCs w:val="21"/>
                <w:highlight w:val="none"/>
              </w:rPr>
            </w:pPr>
          </w:p>
        </w:tc>
        <w:tc>
          <w:tcPr>
            <w:tcW w:w="1432" w:type="dxa"/>
            <w:vAlign w:val="center"/>
          </w:tcPr>
          <w:p w14:paraId="0C89D735">
            <w:pPr>
              <w:adjustRightInd w:val="0"/>
              <w:snapToGrid w:val="0"/>
              <w:spacing w:line="288" w:lineRule="auto"/>
              <w:ind w:firstLine="211"/>
              <w:jc w:val="center"/>
              <w:rPr>
                <w:color w:val="auto"/>
                <w:kern w:val="0"/>
                <w:sz w:val="21"/>
                <w:szCs w:val="21"/>
                <w:highlight w:val="none"/>
              </w:rPr>
            </w:pPr>
          </w:p>
        </w:tc>
        <w:tc>
          <w:tcPr>
            <w:tcW w:w="1256" w:type="dxa"/>
            <w:vAlign w:val="center"/>
          </w:tcPr>
          <w:p w14:paraId="7B09EFA7">
            <w:pPr>
              <w:adjustRightInd w:val="0"/>
              <w:snapToGrid w:val="0"/>
              <w:spacing w:line="288" w:lineRule="auto"/>
              <w:ind w:firstLine="211"/>
              <w:jc w:val="center"/>
              <w:rPr>
                <w:color w:val="auto"/>
                <w:kern w:val="0"/>
                <w:sz w:val="21"/>
                <w:szCs w:val="21"/>
                <w:highlight w:val="none"/>
              </w:rPr>
            </w:pPr>
          </w:p>
        </w:tc>
        <w:tc>
          <w:tcPr>
            <w:tcW w:w="899" w:type="dxa"/>
            <w:vAlign w:val="center"/>
          </w:tcPr>
          <w:p w14:paraId="4B0D031B">
            <w:pPr>
              <w:adjustRightInd w:val="0"/>
              <w:snapToGrid w:val="0"/>
              <w:spacing w:line="288" w:lineRule="auto"/>
              <w:ind w:firstLine="211"/>
              <w:jc w:val="center"/>
              <w:rPr>
                <w:color w:val="auto"/>
                <w:kern w:val="0"/>
                <w:sz w:val="21"/>
                <w:szCs w:val="21"/>
                <w:highlight w:val="none"/>
              </w:rPr>
            </w:pPr>
          </w:p>
        </w:tc>
        <w:tc>
          <w:tcPr>
            <w:tcW w:w="995" w:type="dxa"/>
            <w:vAlign w:val="center"/>
          </w:tcPr>
          <w:p w14:paraId="6ABE78FE">
            <w:pPr>
              <w:adjustRightInd w:val="0"/>
              <w:snapToGrid w:val="0"/>
              <w:spacing w:line="288" w:lineRule="auto"/>
              <w:ind w:firstLine="211"/>
              <w:jc w:val="center"/>
              <w:rPr>
                <w:color w:val="auto"/>
                <w:kern w:val="0"/>
                <w:sz w:val="21"/>
                <w:szCs w:val="21"/>
                <w:highlight w:val="none"/>
              </w:rPr>
            </w:pPr>
          </w:p>
        </w:tc>
        <w:tc>
          <w:tcPr>
            <w:tcW w:w="1718" w:type="dxa"/>
            <w:vAlign w:val="center"/>
          </w:tcPr>
          <w:p w14:paraId="565BF03D">
            <w:pPr>
              <w:adjustRightInd w:val="0"/>
              <w:snapToGrid w:val="0"/>
              <w:spacing w:line="288" w:lineRule="auto"/>
              <w:ind w:firstLine="211"/>
              <w:jc w:val="center"/>
              <w:rPr>
                <w:color w:val="auto"/>
                <w:kern w:val="0"/>
                <w:sz w:val="21"/>
                <w:szCs w:val="21"/>
                <w:highlight w:val="none"/>
              </w:rPr>
            </w:pPr>
          </w:p>
        </w:tc>
      </w:tr>
      <w:tr w14:paraId="7C9A7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14:paraId="343F9E05">
            <w:pPr>
              <w:adjustRightInd w:val="0"/>
              <w:snapToGrid w:val="0"/>
              <w:spacing w:line="288" w:lineRule="auto"/>
              <w:ind w:firstLine="211"/>
              <w:jc w:val="center"/>
              <w:rPr>
                <w:color w:val="auto"/>
                <w:kern w:val="0"/>
                <w:sz w:val="21"/>
                <w:szCs w:val="21"/>
                <w:highlight w:val="none"/>
              </w:rPr>
            </w:pPr>
          </w:p>
        </w:tc>
        <w:tc>
          <w:tcPr>
            <w:tcW w:w="1268" w:type="dxa"/>
            <w:vAlign w:val="center"/>
          </w:tcPr>
          <w:p w14:paraId="0ECA7383">
            <w:pPr>
              <w:adjustRightInd w:val="0"/>
              <w:snapToGrid w:val="0"/>
              <w:spacing w:line="288" w:lineRule="auto"/>
              <w:ind w:firstLine="211"/>
              <w:jc w:val="center"/>
              <w:rPr>
                <w:color w:val="auto"/>
                <w:kern w:val="0"/>
                <w:sz w:val="21"/>
                <w:szCs w:val="21"/>
                <w:highlight w:val="none"/>
              </w:rPr>
            </w:pPr>
          </w:p>
        </w:tc>
        <w:tc>
          <w:tcPr>
            <w:tcW w:w="1282" w:type="dxa"/>
            <w:vAlign w:val="center"/>
          </w:tcPr>
          <w:p w14:paraId="7943D20A">
            <w:pPr>
              <w:adjustRightInd w:val="0"/>
              <w:snapToGrid w:val="0"/>
              <w:spacing w:line="288" w:lineRule="auto"/>
              <w:ind w:firstLine="211"/>
              <w:jc w:val="center"/>
              <w:rPr>
                <w:color w:val="auto"/>
                <w:kern w:val="0"/>
                <w:sz w:val="21"/>
                <w:szCs w:val="21"/>
                <w:highlight w:val="none"/>
              </w:rPr>
            </w:pPr>
          </w:p>
        </w:tc>
        <w:tc>
          <w:tcPr>
            <w:tcW w:w="1432" w:type="dxa"/>
            <w:vAlign w:val="center"/>
          </w:tcPr>
          <w:p w14:paraId="12B6FC21">
            <w:pPr>
              <w:adjustRightInd w:val="0"/>
              <w:snapToGrid w:val="0"/>
              <w:spacing w:line="288" w:lineRule="auto"/>
              <w:ind w:firstLine="211"/>
              <w:jc w:val="center"/>
              <w:rPr>
                <w:color w:val="auto"/>
                <w:kern w:val="0"/>
                <w:sz w:val="21"/>
                <w:szCs w:val="21"/>
                <w:highlight w:val="none"/>
              </w:rPr>
            </w:pPr>
          </w:p>
        </w:tc>
        <w:tc>
          <w:tcPr>
            <w:tcW w:w="1256" w:type="dxa"/>
            <w:vAlign w:val="center"/>
          </w:tcPr>
          <w:p w14:paraId="73A1E68B">
            <w:pPr>
              <w:adjustRightInd w:val="0"/>
              <w:snapToGrid w:val="0"/>
              <w:spacing w:line="288" w:lineRule="auto"/>
              <w:ind w:firstLine="211"/>
              <w:jc w:val="center"/>
              <w:rPr>
                <w:color w:val="auto"/>
                <w:kern w:val="0"/>
                <w:sz w:val="21"/>
                <w:szCs w:val="21"/>
                <w:highlight w:val="none"/>
              </w:rPr>
            </w:pPr>
          </w:p>
        </w:tc>
        <w:tc>
          <w:tcPr>
            <w:tcW w:w="899" w:type="dxa"/>
            <w:vAlign w:val="center"/>
          </w:tcPr>
          <w:p w14:paraId="6C2C0F84">
            <w:pPr>
              <w:adjustRightInd w:val="0"/>
              <w:snapToGrid w:val="0"/>
              <w:spacing w:line="288" w:lineRule="auto"/>
              <w:ind w:firstLine="211"/>
              <w:jc w:val="center"/>
              <w:rPr>
                <w:color w:val="auto"/>
                <w:kern w:val="0"/>
                <w:sz w:val="21"/>
                <w:szCs w:val="21"/>
                <w:highlight w:val="none"/>
              </w:rPr>
            </w:pPr>
          </w:p>
        </w:tc>
        <w:tc>
          <w:tcPr>
            <w:tcW w:w="995" w:type="dxa"/>
            <w:vAlign w:val="center"/>
          </w:tcPr>
          <w:p w14:paraId="72D46703">
            <w:pPr>
              <w:adjustRightInd w:val="0"/>
              <w:snapToGrid w:val="0"/>
              <w:spacing w:line="288" w:lineRule="auto"/>
              <w:ind w:firstLine="211"/>
              <w:jc w:val="center"/>
              <w:rPr>
                <w:color w:val="auto"/>
                <w:kern w:val="0"/>
                <w:sz w:val="21"/>
                <w:szCs w:val="21"/>
                <w:highlight w:val="none"/>
              </w:rPr>
            </w:pPr>
          </w:p>
        </w:tc>
        <w:tc>
          <w:tcPr>
            <w:tcW w:w="1718" w:type="dxa"/>
            <w:vAlign w:val="center"/>
          </w:tcPr>
          <w:p w14:paraId="4E8C8403">
            <w:pPr>
              <w:adjustRightInd w:val="0"/>
              <w:snapToGrid w:val="0"/>
              <w:spacing w:line="288" w:lineRule="auto"/>
              <w:ind w:firstLine="211"/>
              <w:jc w:val="center"/>
              <w:rPr>
                <w:color w:val="auto"/>
                <w:kern w:val="0"/>
                <w:sz w:val="21"/>
                <w:szCs w:val="21"/>
                <w:highlight w:val="none"/>
              </w:rPr>
            </w:pPr>
          </w:p>
        </w:tc>
      </w:tr>
      <w:tr w14:paraId="50B1D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14:paraId="36DF5962">
            <w:pPr>
              <w:adjustRightInd w:val="0"/>
              <w:snapToGrid w:val="0"/>
              <w:spacing w:line="288" w:lineRule="auto"/>
              <w:ind w:firstLine="211"/>
              <w:jc w:val="center"/>
              <w:rPr>
                <w:color w:val="auto"/>
                <w:kern w:val="0"/>
                <w:sz w:val="21"/>
                <w:szCs w:val="21"/>
                <w:highlight w:val="none"/>
              </w:rPr>
            </w:pPr>
          </w:p>
        </w:tc>
        <w:tc>
          <w:tcPr>
            <w:tcW w:w="1268" w:type="dxa"/>
            <w:vAlign w:val="center"/>
          </w:tcPr>
          <w:p w14:paraId="1387CD43">
            <w:pPr>
              <w:adjustRightInd w:val="0"/>
              <w:snapToGrid w:val="0"/>
              <w:spacing w:line="288" w:lineRule="auto"/>
              <w:ind w:firstLine="211"/>
              <w:jc w:val="center"/>
              <w:rPr>
                <w:color w:val="auto"/>
                <w:kern w:val="0"/>
                <w:sz w:val="21"/>
                <w:szCs w:val="21"/>
                <w:highlight w:val="none"/>
              </w:rPr>
            </w:pPr>
          </w:p>
        </w:tc>
        <w:tc>
          <w:tcPr>
            <w:tcW w:w="1282" w:type="dxa"/>
            <w:vAlign w:val="center"/>
          </w:tcPr>
          <w:p w14:paraId="05676720">
            <w:pPr>
              <w:adjustRightInd w:val="0"/>
              <w:snapToGrid w:val="0"/>
              <w:spacing w:line="288" w:lineRule="auto"/>
              <w:ind w:firstLine="211"/>
              <w:jc w:val="center"/>
              <w:rPr>
                <w:color w:val="auto"/>
                <w:kern w:val="0"/>
                <w:sz w:val="21"/>
                <w:szCs w:val="21"/>
                <w:highlight w:val="none"/>
              </w:rPr>
            </w:pPr>
          </w:p>
        </w:tc>
        <w:tc>
          <w:tcPr>
            <w:tcW w:w="1432" w:type="dxa"/>
            <w:vAlign w:val="center"/>
          </w:tcPr>
          <w:p w14:paraId="68E7753F">
            <w:pPr>
              <w:adjustRightInd w:val="0"/>
              <w:snapToGrid w:val="0"/>
              <w:spacing w:line="288" w:lineRule="auto"/>
              <w:ind w:firstLine="211"/>
              <w:jc w:val="center"/>
              <w:rPr>
                <w:color w:val="auto"/>
                <w:kern w:val="0"/>
                <w:sz w:val="21"/>
                <w:szCs w:val="21"/>
                <w:highlight w:val="none"/>
              </w:rPr>
            </w:pPr>
          </w:p>
        </w:tc>
        <w:tc>
          <w:tcPr>
            <w:tcW w:w="1256" w:type="dxa"/>
            <w:vAlign w:val="center"/>
          </w:tcPr>
          <w:p w14:paraId="1A27B0D4">
            <w:pPr>
              <w:adjustRightInd w:val="0"/>
              <w:snapToGrid w:val="0"/>
              <w:spacing w:line="288" w:lineRule="auto"/>
              <w:ind w:firstLine="211"/>
              <w:jc w:val="center"/>
              <w:rPr>
                <w:color w:val="auto"/>
                <w:kern w:val="0"/>
                <w:sz w:val="21"/>
                <w:szCs w:val="21"/>
                <w:highlight w:val="none"/>
              </w:rPr>
            </w:pPr>
          </w:p>
        </w:tc>
        <w:tc>
          <w:tcPr>
            <w:tcW w:w="899" w:type="dxa"/>
            <w:vAlign w:val="center"/>
          </w:tcPr>
          <w:p w14:paraId="63AC8688">
            <w:pPr>
              <w:adjustRightInd w:val="0"/>
              <w:snapToGrid w:val="0"/>
              <w:spacing w:line="288" w:lineRule="auto"/>
              <w:ind w:firstLine="211"/>
              <w:jc w:val="center"/>
              <w:rPr>
                <w:color w:val="auto"/>
                <w:kern w:val="0"/>
                <w:sz w:val="21"/>
                <w:szCs w:val="21"/>
                <w:highlight w:val="none"/>
              </w:rPr>
            </w:pPr>
          </w:p>
        </w:tc>
        <w:tc>
          <w:tcPr>
            <w:tcW w:w="995" w:type="dxa"/>
            <w:vAlign w:val="center"/>
          </w:tcPr>
          <w:p w14:paraId="09EE4759">
            <w:pPr>
              <w:adjustRightInd w:val="0"/>
              <w:snapToGrid w:val="0"/>
              <w:spacing w:line="288" w:lineRule="auto"/>
              <w:ind w:firstLine="211"/>
              <w:jc w:val="center"/>
              <w:rPr>
                <w:color w:val="auto"/>
                <w:kern w:val="0"/>
                <w:sz w:val="21"/>
                <w:szCs w:val="21"/>
                <w:highlight w:val="none"/>
              </w:rPr>
            </w:pPr>
          </w:p>
        </w:tc>
        <w:tc>
          <w:tcPr>
            <w:tcW w:w="1718" w:type="dxa"/>
            <w:vAlign w:val="center"/>
          </w:tcPr>
          <w:p w14:paraId="19B27374">
            <w:pPr>
              <w:adjustRightInd w:val="0"/>
              <w:snapToGrid w:val="0"/>
              <w:spacing w:line="288" w:lineRule="auto"/>
              <w:ind w:firstLine="211"/>
              <w:jc w:val="center"/>
              <w:rPr>
                <w:color w:val="auto"/>
                <w:kern w:val="0"/>
                <w:sz w:val="21"/>
                <w:szCs w:val="21"/>
                <w:highlight w:val="none"/>
              </w:rPr>
            </w:pPr>
          </w:p>
        </w:tc>
      </w:tr>
      <w:tr w14:paraId="1C5D4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8" w:type="dxa"/>
            <w:vAlign w:val="center"/>
          </w:tcPr>
          <w:p w14:paraId="205F7E64">
            <w:pPr>
              <w:adjustRightInd w:val="0"/>
              <w:snapToGrid w:val="0"/>
              <w:spacing w:line="288" w:lineRule="auto"/>
              <w:ind w:firstLine="211"/>
              <w:jc w:val="center"/>
              <w:rPr>
                <w:color w:val="auto"/>
                <w:kern w:val="0"/>
                <w:sz w:val="21"/>
                <w:szCs w:val="21"/>
                <w:highlight w:val="none"/>
              </w:rPr>
            </w:pPr>
          </w:p>
        </w:tc>
        <w:tc>
          <w:tcPr>
            <w:tcW w:w="1268" w:type="dxa"/>
            <w:vAlign w:val="center"/>
          </w:tcPr>
          <w:p w14:paraId="7720C967">
            <w:pPr>
              <w:adjustRightInd w:val="0"/>
              <w:snapToGrid w:val="0"/>
              <w:spacing w:line="288" w:lineRule="auto"/>
              <w:ind w:firstLine="211"/>
              <w:jc w:val="center"/>
              <w:rPr>
                <w:color w:val="auto"/>
                <w:kern w:val="0"/>
                <w:sz w:val="21"/>
                <w:szCs w:val="21"/>
                <w:highlight w:val="none"/>
              </w:rPr>
            </w:pPr>
          </w:p>
        </w:tc>
        <w:tc>
          <w:tcPr>
            <w:tcW w:w="1282" w:type="dxa"/>
            <w:vAlign w:val="center"/>
          </w:tcPr>
          <w:p w14:paraId="77107C13">
            <w:pPr>
              <w:adjustRightInd w:val="0"/>
              <w:snapToGrid w:val="0"/>
              <w:spacing w:line="288" w:lineRule="auto"/>
              <w:ind w:firstLine="211"/>
              <w:jc w:val="center"/>
              <w:rPr>
                <w:color w:val="auto"/>
                <w:kern w:val="0"/>
                <w:sz w:val="21"/>
                <w:szCs w:val="21"/>
                <w:highlight w:val="none"/>
              </w:rPr>
            </w:pPr>
          </w:p>
        </w:tc>
        <w:tc>
          <w:tcPr>
            <w:tcW w:w="1432" w:type="dxa"/>
            <w:vAlign w:val="center"/>
          </w:tcPr>
          <w:p w14:paraId="30823F18">
            <w:pPr>
              <w:adjustRightInd w:val="0"/>
              <w:snapToGrid w:val="0"/>
              <w:spacing w:line="288" w:lineRule="auto"/>
              <w:ind w:firstLine="211"/>
              <w:jc w:val="center"/>
              <w:rPr>
                <w:color w:val="auto"/>
                <w:kern w:val="0"/>
                <w:sz w:val="21"/>
                <w:szCs w:val="21"/>
                <w:highlight w:val="none"/>
              </w:rPr>
            </w:pPr>
          </w:p>
        </w:tc>
        <w:tc>
          <w:tcPr>
            <w:tcW w:w="1256" w:type="dxa"/>
            <w:vAlign w:val="center"/>
          </w:tcPr>
          <w:p w14:paraId="0342FCA4">
            <w:pPr>
              <w:adjustRightInd w:val="0"/>
              <w:snapToGrid w:val="0"/>
              <w:spacing w:line="288" w:lineRule="auto"/>
              <w:ind w:firstLine="211"/>
              <w:jc w:val="center"/>
              <w:rPr>
                <w:color w:val="auto"/>
                <w:kern w:val="0"/>
                <w:sz w:val="21"/>
                <w:szCs w:val="21"/>
                <w:highlight w:val="none"/>
              </w:rPr>
            </w:pPr>
          </w:p>
        </w:tc>
        <w:tc>
          <w:tcPr>
            <w:tcW w:w="899" w:type="dxa"/>
            <w:vAlign w:val="center"/>
          </w:tcPr>
          <w:p w14:paraId="68D01016">
            <w:pPr>
              <w:adjustRightInd w:val="0"/>
              <w:snapToGrid w:val="0"/>
              <w:spacing w:line="288" w:lineRule="auto"/>
              <w:ind w:firstLine="211"/>
              <w:jc w:val="center"/>
              <w:rPr>
                <w:color w:val="auto"/>
                <w:kern w:val="0"/>
                <w:sz w:val="21"/>
                <w:szCs w:val="21"/>
                <w:highlight w:val="none"/>
              </w:rPr>
            </w:pPr>
          </w:p>
        </w:tc>
        <w:tc>
          <w:tcPr>
            <w:tcW w:w="995" w:type="dxa"/>
            <w:vAlign w:val="center"/>
          </w:tcPr>
          <w:p w14:paraId="0D6CB1F6">
            <w:pPr>
              <w:adjustRightInd w:val="0"/>
              <w:snapToGrid w:val="0"/>
              <w:spacing w:line="288" w:lineRule="auto"/>
              <w:ind w:firstLine="211"/>
              <w:jc w:val="center"/>
              <w:rPr>
                <w:color w:val="auto"/>
                <w:kern w:val="0"/>
                <w:sz w:val="21"/>
                <w:szCs w:val="21"/>
                <w:highlight w:val="none"/>
              </w:rPr>
            </w:pPr>
          </w:p>
        </w:tc>
        <w:tc>
          <w:tcPr>
            <w:tcW w:w="1718" w:type="dxa"/>
            <w:vAlign w:val="center"/>
          </w:tcPr>
          <w:p w14:paraId="61FB1238">
            <w:pPr>
              <w:adjustRightInd w:val="0"/>
              <w:snapToGrid w:val="0"/>
              <w:spacing w:line="288" w:lineRule="auto"/>
              <w:ind w:firstLine="211"/>
              <w:jc w:val="center"/>
              <w:rPr>
                <w:color w:val="auto"/>
                <w:kern w:val="0"/>
                <w:sz w:val="21"/>
                <w:szCs w:val="21"/>
                <w:highlight w:val="none"/>
              </w:rPr>
            </w:pPr>
          </w:p>
        </w:tc>
      </w:tr>
    </w:tbl>
    <w:p w14:paraId="157AC360">
      <w:pPr>
        <w:adjustRightInd w:val="0"/>
        <w:snapToGrid w:val="0"/>
        <w:spacing w:line="288" w:lineRule="auto"/>
        <w:ind w:firstLine="211"/>
        <w:rPr>
          <w:color w:val="auto"/>
          <w:sz w:val="21"/>
          <w:szCs w:val="21"/>
          <w:highlight w:val="none"/>
        </w:rPr>
      </w:pPr>
    </w:p>
    <w:p w14:paraId="70C72543">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说明：</w:t>
      </w:r>
    </w:p>
    <w:p w14:paraId="631FC6D0">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1.供应商须提供上述业绩合同扫描件；</w:t>
      </w:r>
    </w:p>
    <w:p w14:paraId="18E7EC2F">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2.所有合同扫描件应清晰，应能体现合同签订时间、双方签名盖章等内容；</w:t>
      </w:r>
    </w:p>
    <w:p w14:paraId="1663839F">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3.供应商应在不涉及商业秘密的前提下尽可能提供详细的合同扫描件内容。</w:t>
      </w:r>
    </w:p>
    <w:p w14:paraId="5CFBC2A9">
      <w:pPr>
        <w:adjustRightInd w:val="0"/>
        <w:snapToGrid w:val="0"/>
        <w:spacing w:line="288" w:lineRule="auto"/>
        <w:ind w:firstLine="211"/>
        <w:rPr>
          <w:color w:val="auto"/>
          <w:sz w:val="21"/>
          <w:szCs w:val="21"/>
          <w:highlight w:val="none"/>
        </w:rPr>
      </w:pPr>
    </w:p>
    <w:p w14:paraId="5DD0F8F1">
      <w:pPr>
        <w:adjustRightInd w:val="0"/>
        <w:snapToGrid w:val="0"/>
        <w:spacing w:line="288" w:lineRule="auto"/>
        <w:ind w:firstLine="211"/>
        <w:rPr>
          <w:color w:val="auto"/>
          <w:sz w:val="21"/>
          <w:szCs w:val="21"/>
          <w:highlight w:val="none"/>
        </w:rPr>
      </w:pPr>
    </w:p>
    <w:p w14:paraId="4CD58820">
      <w:pPr>
        <w:adjustRightInd w:val="0"/>
        <w:snapToGrid w:val="0"/>
        <w:spacing w:line="288" w:lineRule="auto"/>
        <w:ind w:firstLine="211"/>
        <w:rPr>
          <w:color w:val="auto"/>
          <w:sz w:val="21"/>
          <w:szCs w:val="21"/>
          <w:highlight w:val="none"/>
        </w:rPr>
      </w:pPr>
    </w:p>
    <w:p w14:paraId="507C90F8">
      <w:pPr>
        <w:adjustRightInd w:val="0"/>
        <w:snapToGrid w:val="0"/>
        <w:spacing w:line="288" w:lineRule="auto"/>
        <w:ind w:firstLine="199"/>
        <w:rPr>
          <w:rFonts w:cs="Times New Roman"/>
          <w:b/>
          <w:bCs/>
          <w:color w:val="auto"/>
          <w:spacing w:val="-6"/>
          <w:sz w:val="21"/>
          <w:szCs w:val="21"/>
          <w:highlight w:val="none"/>
        </w:rPr>
      </w:pPr>
      <w:r>
        <w:rPr>
          <w:rFonts w:hint="eastAsia" w:cs="Times New Roman"/>
          <w:b/>
          <w:bCs/>
          <w:color w:val="auto"/>
          <w:spacing w:val="-6"/>
          <w:sz w:val="21"/>
          <w:szCs w:val="21"/>
          <w:highlight w:val="none"/>
        </w:rPr>
        <w:t>供应商名称（</w:t>
      </w:r>
      <w:r>
        <w:rPr>
          <w:rFonts w:cs="Times New Roman"/>
          <w:b/>
          <w:bCs/>
          <w:color w:val="auto"/>
          <w:spacing w:val="-6"/>
          <w:sz w:val="21"/>
          <w:szCs w:val="21"/>
          <w:highlight w:val="none"/>
        </w:rPr>
        <w:t>电子签名/公章</w:t>
      </w:r>
      <w:r>
        <w:rPr>
          <w:rFonts w:hint="eastAsia" w:cs="Times New Roman"/>
          <w:b/>
          <w:bCs/>
          <w:color w:val="auto"/>
          <w:spacing w:val="-6"/>
          <w:sz w:val="21"/>
          <w:szCs w:val="21"/>
          <w:highlight w:val="none"/>
        </w:rPr>
        <w:t>）：</w:t>
      </w:r>
    </w:p>
    <w:p w14:paraId="57820BB3">
      <w:pPr>
        <w:adjustRightInd w:val="0"/>
        <w:snapToGrid w:val="0"/>
        <w:spacing w:line="288" w:lineRule="auto"/>
        <w:ind w:firstLine="199"/>
        <w:rPr>
          <w:rFonts w:cs="Times New Roman"/>
          <w:b/>
          <w:bCs/>
          <w:color w:val="auto"/>
          <w:spacing w:val="-6"/>
          <w:sz w:val="21"/>
          <w:szCs w:val="21"/>
          <w:highlight w:val="none"/>
        </w:rPr>
      </w:pPr>
      <w:r>
        <w:rPr>
          <w:rFonts w:hint="eastAsia" w:cs="Times New Roman"/>
          <w:b/>
          <w:bCs/>
          <w:color w:val="auto"/>
          <w:spacing w:val="-6"/>
          <w:sz w:val="21"/>
          <w:szCs w:val="21"/>
          <w:highlight w:val="none"/>
        </w:rPr>
        <w:t>日期：     年   月   日</w:t>
      </w:r>
    </w:p>
    <w:p w14:paraId="746C5B23">
      <w:pPr>
        <w:widowControl/>
        <w:ind w:firstLine="199"/>
        <w:jc w:val="left"/>
        <w:rPr>
          <w:rFonts w:cs="Times New Roman"/>
          <w:b/>
          <w:bCs/>
          <w:color w:val="auto"/>
          <w:spacing w:val="-6"/>
          <w:sz w:val="21"/>
          <w:szCs w:val="21"/>
          <w:highlight w:val="none"/>
        </w:rPr>
      </w:pPr>
      <w:r>
        <w:rPr>
          <w:rFonts w:cs="Times New Roman"/>
          <w:b/>
          <w:bCs/>
          <w:color w:val="auto"/>
          <w:spacing w:val="-6"/>
          <w:sz w:val="21"/>
          <w:szCs w:val="21"/>
          <w:highlight w:val="none"/>
        </w:rPr>
        <w:br w:type="page"/>
      </w:r>
    </w:p>
    <w:p w14:paraId="6F063B9E">
      <w:pPr>
        <w:adjustRightInd w:val="0"/>
        <w:snapToGrid w:val="0"/>
        <w:spacing w:line="288" w:lineRule="auto"/>
        <w:ind w:firstLine="211"/>
        <w:jc w:val="center"/>
        <w:outlineLvl w:val="2"/>
        <w:rPr>
          <w:b/>
          <w:bCs/>
          <w:color w:val="auto"/>
          <w:sz w:val="21"/>
          <w:szCs w:val="21"/>
          <w:highlight w:val="none"/>
        </w:rPr>
      </w:pPr>
      <w:r>
        <w:rPr>
          <w:rFonts w:hint="eastAsia"/>
          <w:b/>
          <w:bCs/>
          <w:color w:val="auto"/>
          <w:sz w:val="21"/>
          <w:szCs w:val="21"/>
          <w:highlight w:val="none"/>
        </w:rPr>
        <w:t>（</w:t>
      </w:r>
      <w:r>
        <w:rPr>
          <w:b/>
          <w:bCs/>
          <w:color w:val="auto"/>
          <w:sz w:val="21"/>
          <w:szCs w:val="21"/>
          <w:highlight w:val="none"/>
        </w:rPr>
        <w:t>6</w:t>
      </w:r>
      <w:r>
        <w:rPr>
          <w:rFonts w:hint="eastAsia"/>
          <w:b/>
          <w:bCs/>
          <w:color w:val="auto"/>
          <w:sz w:val="21"/>
          <w:szCs w:val="21"/>
          <w:highlight w:val="none"/>
        </w:rPr>
        <w:t>）商务分相关证明材料（如有）</w:t>
      </w:r>
    </w:p>
    <w:p w14:paraId="1CED0F1C">
      <w:pPr>
        <w:adjustRightInd w:val="0"/>
        <w:snapToGrid w:val="0"/>
        <w:spacing w:line="288" w:lineRule="auto"/>
        <w:ind w:firstLine="198"/>
        <w:rPr>
          <w:rFonts w:cs="Times New Roman"/>
          <w:b/>
          <w:bCs/>
          <w:color w:val="auto"/>
          <w:spacing w:val="-6"/>
          <w:sz w:val="21"/>
          <w:szCs w:val="21"/>
          <w:highlight w:val="none"/>
        </w:rPr>
      </w:pPr>
    </w:p>
    <w:p w14:paraId="16D2ABCF">
      <w:pPr>
        <w:adjustRightInd w:val="0"/>
        <w:snapToGrid w:val="0"/>
        <w:spacing w:line="288" w:lineRule="auto"/>
        <w:ind w:firstLine="198"/>
        <w:rPr>
          <w:rFonts w:cs="Times New Roman"/>
          <w:b/>
          <w:bCs/>
          <w:color w:val="auto"/>
          <w:spacing w:val="-6"/>
          <w:sz w:val="21"/>
          <w:szCs w:val="21"/>
          <w:highlight w:val="none"/>
        </w:rPr>
      </w:pPr>
    </w:p>
    <w:p w14:paraId="25443997">
      <w:pPr>
        <w:adjustRightInd w:val="0"/>
        <w:snapToGrid w:val="0"/>
        <w:spacing w:line="288" w:lineRule="auto"/>
        <w:ind w:firstLine="211"/>
        <w:rPr>
          <w:color w:val="auto"/>
          <w:sz w:val="21"/>
          <w:szCs w:val="21"/>
          <w:highlight w:val="none"/>
        </w:rPr>
      </w:pPr>
      <w:r>
        <w:rPr>
          <w:rFonts w:hint="eastAsia"/>
          <w:color w:val="auto"/>
          <w:sz w:val="21"/>
          <w:szCs w:val="21"/>
          <w:highlight w:val="none"/>
        </w:rPr>
        <w:br w:type="page"/>
      </w:r>
    </w:p>
    <w:p w14:paraId="6E97F415">
      <w:pPr>
        <w:adjustRightInd w:val="0"/>
        <w:snapToGrid w:val="0"/>
        <w:spacing w:line="288" w:lineRule="auto"/>
        <w:ind w:firstLine="211"/>
        <w:jc w:val="center"/>
        <w:outlineLvl w:val="2"/>
        <w:rPr>
          <w:b/>
          <w:bCs/>
          <w:color w:val="auto"/>
          <w:sz w:val="21"/>
          <w:szCs w:val="21"/>
          <w:highlight w:val="none"/>
        </w:rPr>
      </w:pPr>
      <w:r>
        <w:rPr>
          <w:rFonts w:hint="eastAsia"/>
          <w:b/>
          <w:bCs/>
          <w:color w:val="auto"/>
          <w:sz w:val="21"/>
          <w:szCs w:val="21"/>
          <w:highlight w:val="none"/>
        </w:rPr>
        <w:t>（</w:t>
      </w:r>
      <w:r>
        <w:rPr>
          <w:b/>
          <w:bCs/>
          <w:color w:val="auto"/>
          <w:sz w:val="21"/>
          <w:szCs w:val="21"/>
          <w:highlight w:val="none"/>
        </w:rPr>
        <w:t>7</w:t>
      </w:r>
      <w:r>
        <w:rPr>
          <w:rFonts w:hint="eastAsia"/>
          <w:b/>
          <w:bCs/>
          <w:color w:val="auto"/>
          <w:sz w:val="21"/>
          <w:szCs w:val="21"/>
          <w:highlight w:val="none"/>
        </w:rPr>
        <w:t>）采购需求偏离表</w:t>
      </w:r>
    </w:p>
    <w:p w14:paraId="307DE1D9">
      <w:pPr>
        <w:adjustRightInd w:val="0"/>
        <w:snapToGrid w:val="0"/>
        <w:spacing w:line="288" w:lineRule="auto"/>
        <w:ind w:firstLine="211"/>
        <w:rPr>
          <w:color w:val="auto"/>
          <w:sz w:val="21"/>
          <w:szCs w:val="21"/>
          <w:highlight w:val="none"/>
        </w:rPr>
      </w:pPr>
      <w:r>
        <w:rPr>
          <w:rFonts w:hint="eastAsia"/>
          <w:color w:val="auto"/>
          <w:sz w:val="21"/>
          <w:szCs w:val="21"/>
          <w:highlight w:val="none"/>
        </w:rPr>
        <w:t>采 购 人：浙江交通职业技术学院</w:t>
      </w:r>
    </w:p>
    <w:p w14:paraId="2E543EBF">
      <w:pPr>
        <w:adjustRightInd w:val="0"/>
        <w:snapToGrid w:val="0"/>
        <w:spacing w:line="288" w:lineRule="auto"/>
        <w:ind w:firstLine="211"/>
        <w:rPr>
          <w:color w:val="auto"/>
          <w:sz w:val="21"/>
          <w:szCs w:val="21"/>
          <w:highlight w:val="none"/>
        </w:rPr>
      </w:pPr>
      <w:r>
        <w:rPr>
          <w:rFonts w:hint="eastAsia"/>
          <w:color w:val="auto"/>
          <w:sz w:val="21"/>
          <w:szCs w:val="21"/>
          <w:highlight w:val="none"/>
        </w:rPr>
        <w:t>项目名称：长兴校区道路装饰工程</w:t>
      </w:r>
    </w:p>
    <w:p w14:paraId="0C2209AC">
      <w:pPr>
        <w:adjustRightInd w:val="0"/>
        <w:snapToGrid w:val="0"/>
        <w:spacing w:line="288" w:lineRule="auto"/>
        <w:ind w:firstLine="211"/>
        <w:rPr>
          <w:color w:val="auto"/>
          <w:sz w:val="21"/>
          <w:szCs w:val="21"/>
          <w:highlight w:val="none"/>
        </w:rPr>
      </w:pPr>
      <w:r>
        <w:rPr>
          <w:rFonts w:hint="eastAsia"/>
          <w:color w:val="auto"/>
          <w:sz w:val="21"/>
          <w:szCs w:val="21"/>
          <w:highlight w:val="none"/>
        </w:rPr>
        <w:t xml:space="preserve">项目编号：QSZB-Z(G)-C24307(CS)  </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3200"/>
        <w:gridCol w:w="2836"/>
        <w:gridCol w:w="2354"/>
      </w:tblGrid>
      <w:tr w14:paraId="6B8D6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2" w:type="dxa"/>
            <w:vAlign w:val="center"/>
          </w:tcPr>
          <w:p w14:paraId="22F32D84">
            <w:pPr>
              <w:adjustRightInd w:val="0"/>
              <w:snapToGrid w:val="0"/>
              <w:spacing w:line="288" w:lineRule="auto"/>
              <w:ind w:firstLine="211"/>
              <w:jc w:val="center"/>
              <w:rPr>
                <w:b/>
                <w:bCs/>
                <w:color w:val="auto"/>
                <w:kern w:val="0"/>
                <w:sz w:val="21"/>
                <w:szCs w:val="21"/>
                <w:highlight w:val="none"/>
              </w:rPr>
            </w:pPr>
            <w:bookmarkStart w:id="59" w:name="_Hlk97040421"/>
            <w:r>
              <w:rPr>
                <w:rFonts w:hint="eastAsia"/>
                <w:b/>
                <w:bCs/>
                <w:color w:val="auto"/>
                <w:kern w:val="0"/>
                <w:sz w:val="21"/>
                <w:szCs w:val="21"/>
                <w:highlight w:val="none"/>
              </w:rPr>
              <w:t>序号</w:t>
            </w:r>
          </w:p>
        </w:tc>
        <w:tc>
          <w:tcPr>
            <w:tcW w:w="3200" w:type="dxa"/>
            <w:vAlign w:val="center"/>
          </w:tcPr>
          <w:p w14:paraId="3FEE3209">
            <w:pPr>
              <w:adjustRightInd w:val="0"/>
              <w:snapToGrid w:val="0"/>
              <w:spacing w:line="288" w:lineRule="auto"/>
              <w:ind w:firstLine="211"/>
              <w:jc w:val="center"/>
              <w:rPr>
                <w:b/>
                <w:bCs/>
                <w:color w:val="auto"/>
                <w:kern w:val="0"/>
                <w:sz w:val="21"/>
                <w:szCs w:val="21"/>
                <w:highlight w:val="none"/>
              </w:rPr>
            </w:pPr>
            <w:r>
              <w:rPr>
                <w:rFonts w:hint="eastAsia"/>
                <w:b/>
                <w:bCs/>
                <w:color w:val="auto"/>
                <w:kern w:val="0"/>
                <w:sz w:val="21"/>
                <w:szCs w:val="21"/>
                <w:highlight w:val="none"/>
              </w:rPr>
              <w:t>磋商文件要求</w:t>
            </w:r>
          </w:p>
        </w:tc>
        <w:tc>
          <w:tcPr>
            <w:tcW w:w="2836" w:type="dxa"/>
            <w:vAlign w:val="center"/>
          </w:tcPr>
          <w:p w14:paraId="3B6D0AEC">
            <w:pPr>
              <w:adjustRightInd w:val="0"/>
              <w:snapToGrid w:val="0"/>
              <w:spacing w:line="288" w:lineRule="auto"/>
              <w:ind w:firstLine="211"/>
              <w:jc w:val="center"/>
              <w:rPr>
                <w:b/>
                <w:bCs/>
                <w:color w:val="auto"/>
                <w:kern w:val="0"/>
                <w:sz w:val="21"/>
                <w:szCs w:val="21"/>
                <w:highlight w:val="none"/>
              </w:rPr>
            </w:pPr>
            <w:r>
              <w:rPr>
                <w:rFonts w:hint="eastAsia"/>
                <w:b/>
                <w:bCs/>
                <w:color w:val="auto"/>
                <w:kern w:val="0"/>
                <w:sz w:val="21"/>
                <w:szCs w:val="21"/>
                <w:highlight w:val="none"/>
              </w:rPr>
              <w:t>响应规格</w:t>
            </w:r>
          </w:p>
        </w:tc>
        <w:tc>
          <w:tcPr>
            <w:tcW w:w="2354" w:type="dxa"/>
            <w:vAlign w:val="center"/>
          </w:tcPr>
          <w:p w14:paraId="52D57868">
            <w:pPr>
              <w:adjustRightInd w:val="0"/>
              <w:snapToGrid w:val="0"/>
              <w:spacing w:line="288" w:lineRule="auto"/>
              <w:ind w:firstLine="211"/>
              <w:jc w:val="center"/>
              <w:rPr>
                <w:b/>
                <w:bCs/>
                <w:color w:val="auto"/>
                <w:kern w:val="0"/>
                <w:sz w:val="21"/>
                <w:szCs w:val="21"/>
                <w:highlight w:val="none"/>
              </w:rPr>
            </w:pPr>
            <w:r>
              <w:rPr>
                <w:rFonts w:hint="eastAsia"/>
                <w:b/>
                <w:bCs/>
                <w:color w:val="auto"/>
                <w:kern w:val="0"/>
                <w:sz w:val="21"/>
                <w:szCs w:val="21"/>
                <w:highlight w:val="none"/>
              </w:rPr>
              <w:t>是否偏离（提供说明）</w:t>
            </w:r>
          </w:p>
        </w:tc>
      </w:tr>
      <w:tr w14:paraId="03109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2" w:type="dxa"/>
            <w:vAlign w:val="center"/>
          </w:tcPr>
          <w:p w14:paraId="67AC20D1">
            <w:pPr>
              <w:adjustRightInd w:val="0"/>
              <w:snapToGrid w:val="0"/>
              <w:spacing w:line="288" w:lineRule="auto"/>
              <w:ind w:firstLine="211"/>
              <w:jc w:val="center"/>
              <w:rPr>
                <w:color w:val="auto"/>
                <w:kern w:val="0"/>
                <w:sz w:val="21"/>
                <w:szCs w:val="21"/>
                <w:highlight w:val="none"/>
              </w:rPr>
            </w:pPr>
            <w:r>
              <w:rPr>
                <w:rFonts w:hint="eastAsia"/>
                <w:color w:val="auto"/>
                <w:kern w:val="0"/>
                <w:sz w:val="21"/>
                <w:szCs w:val="21"/>
                <w:highlight w:val="none"/>
              </w:rPr>
              <w:t>1</w:t>
            </w:r>
          </w:p>
        </w:tc>
        <w:tc>
          <w:tcPr>
            <w:tcW w:w="3200" w:type="dxa"/>
            <w:vAlign w:val="center"/>
          </w:tcPr>
          <w:p w14:paraId="05310B65">
            <w:pPr>
              <w:adjustRightInd w:val="0"/>
              <w:snapToGrid w:val="0"/>
              <w:spacing w:line="288" w:lineRule="auto"/>
              <w:ind w:firstLine="211"/>
              <w:jc w:val="center"/>
              <w:rPr>
                <w:color w:val="auto"/>
                <w:kern w:val="0"/>
                <w:sz w:val="21"/>
                <w:szCs w:val="21"/>
                <w:highlight w:val="none"/>
              </w:rPr>
            </w:pPr>
          </w:p>
        </w:tc>
        <w:tc>
          <w:tcPr>
            <w:tcW w:w="2836" w:type="dxa"/>
            <w:vAlign w:val="center"/>
          </w:tcPr>
          <w:p w14:paraId="024E2048">
            <w:pPr>
              <w:adjustRightInd w:val="0"/>
              <w:snapToGrid w:val="0"/>
              <w:spacing w:line="288" w:lineRule="auto"/>
              <w:ind w:firstLine="211"/>
              <w:jc w:val="center"/>
              <w:rPr>
                <w:color w:val="auto"/>
                <w:kern w:val="0"/>
                <w:sz w:val="21"/>
                <w:szCs w:val="21"/>
                <w:highlight w:val="none"/>
              </w:rPr>
            </w:pPr>
          </w:p>
        </w:tc>
        <w:tc>
          <w:tcPr>
            <w:tcW w:w="2354" w:type="dxa"/>
            <w:vAlign w:val="center"/>
          </w:tcPr>
          <w:p w14:paraId="39D00E0E">
            <w:pPr>
              <w:adjustRightInd w:val="0"/>
              <w:snapToGrid w:val="0"/>
              <w:spacing w:line="288" w:lineRule="auto"/>
              <w:ind w:firstLine="211"/>
              <w:jc w:val="center"/>
              <w:rPr>
                <w:color w:val="auto"/>
                <w:kern w:val="0"/>
                <w:sz w:val="21"/>
                <w:szCs w:val="21"/>
                <w:highlight w:val="none"/>
              </w:rPr>
            </w:pPr>
          </w:p>
        </w:tc>
      </w:tr>
      <w:tr w14:paraId="39354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2" w:type="dxa"/>
            <w:vAlign w:val="center"/>
          </w:tcPr>
          <w:p w14:paraId="09D724A1">
            <w:pPr>
              <w:adjustRightInd w:val="0"/>
              <w:snapToGrid w:val="0"/>
              <w:spacing w:line="288" w:lineRule="auto"/>
              <w:ind w:firstLine="211"/>
              <w:jc w:val="center"/>
              <w:rPr>
                <w:color w:val="auto"/>
                <w:kern w:val="0"/>
                <w:sz w:val="21"/>
                <w:szCs w:val="21"/>
                <w:highlight w:val="none"/>
              </w:rPr>
            </w:pPr>
            <w:r>
              <w:rPr>
                <w:rFonts w:hint="eastAsia"/>
                <w:color w:val="auto"/>
                <w:kern w:val="0"/>
                <w:sz w:val="21"/>
                <w:szCs w:val="21"/>
                <w:highlight w:val="none"/>
              </w:rPr>
              <w:t>2</w:t>
            </w:r>
          </w:p>
        </w:tc>
        <w:tc>
          <w:tcPr>
            <w:tcW w:w="3200" w:type="dxa"/>
            <w:vAlign w:val="center"/>
          </w:tcPr>
          <w:p w14:paraId="05166F06">
            <w:pPr>
              <w:adjustRightInd w:val="0"/>
              <w:snapToGrid w:val="0"/>
              <w:spacing w:line="288" w:lineRule="auto"/>
              <w:ind w:firstLine="211"/>
              <w:jc w:val="center"/>
              <w:rPr>
                <w:color w:val="auto"/>
                <w:kern w:val="0"/>
                <w:sz w:val="21"/>
                <w:szCs w:val="21"/>
                <w:highlight w:val="none"/>
              </w:rPr>
            </w:pPr>
          </w:p>
        </w:tc>
        <w:tc>
          <w:tcPr>
            <w:tcW w:w="2836" w:type="dxa"/>
            <w:vAlign w:val="center"/>
          </w:tcPr>
          <w:p w14:paraId="6F12F920">
            <w:pPr>
              <w:adjustRightInd w:val="0"/>
              <w:snapToGrid w:val="0"/>
              <w:spacing w:line="288" w:lineRule="auto"/>
              <w:ind w:firstLine="211"/>
              <w:jc w:val="center"/>
              <w:rPr>
                <w:color w:val="auto"/>
                <w:kern w:val="0"/>
                <w:sz w:val="21"/>
                <w:szCs w:val="21"/>
                <w:highlight w:val="none"/>
              </w:rPr>
            </w:pPr>
          </w:p>
        </w:tc>
        <w:tc>
          <w:tcPr>
            <w:tcW w:w="2354" w:type="dxa"/>
            <w:vAlign w:val="center"/>
          </w:tcPr>
          <w:p w14:paraId="1D7E5D12">
            <w:pPr>
              <w:adjustRightInd w:val="0"/>
              <w:snapToGrid w:val="0"/>
              <w:spacing w:line="288" w:lineRule="auto"/>
              <w:ind w:firstLine="211"/>
              <w:jc w:val="center"/>
              <w:rPr>
                <w:color w:val="auto"/>
                <w:kern w:val="0"/>
                <w:sz w:val="21"/>
                <w:szCs w:val="21"/>
                <w:highlight w:val="none"/>
              </w:rPr>
            </w:pPr>
          </w:p>
        </w:tc>
      </w:tr>
      <w:tr w14:paraId="7501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2" w:type="dxa"/>
            <w:vAlign w:val="center"/>
          </w:tcPr>
          <w:p w14:paraId="55FD837A">
            <w:pPr>
              <w:adjustRightInd w:val="0"/>
              <w:snapToGrid w:val="0"/>
              <w:spacing w:line="288" w:lineRule="auto"/>
              <w:ind w:firstLine="211"/>
              <w:jc w:val="center"/>
              <w:rPr>
                <w:color w:val="auto"/>
                <w:kern w:val="0"/>
                <w:sz w:val="21"/>
                <w:szCs w:val="21"/>
                <w:highlight w:val="none"/>
              </w:rPr>
            </w:pPr>
            <w:r>
              <w:rPr>
                <w:rFonts w:hint="eastAsia"/>
                <w:color w:val="auto"/>
                <w:kern w:val="0"/>
                <w:sz w:val="21"/>
                <w:szCs w:val="21"/>
                <w:highlight w:val="none"/>
              </w:rPr>
              <w:t>……</w:t>
            </w:r>
          </w:p>
        </w:tc>
        <w:tc>
          <w:tcPr>
            <w:tcW w:w="3200" w:type="dxa"/>
            <w:vAlign w:val="center"/>
          </w:tcPr>
          <w:p w14:paraId="1C68C7F1">
            <w:pPr>
              <w:adjustRightInd w:val="0"/>
              <w:snapToGrid w:val="0"/>
              <w:spacing w:line="288" w:lineRule="auto"/>
              <w:ind w:firstLine="211"/>
              <w:jc w:val="center"/>
              <w:rPr>
                <w:color w:val="auto"/>
                <w:kern w:val="0"/>
                <w:sz w:val="21"/>
                <w:szCs w:val="21"/>
                <w:highlight w:val="none"/>
              </w:rPr>
            </w:pPr>
          </w:p>
        </w:tc>
        <w:tc>
          <w:tcPr>
            <w:tcW w:w="2836" w:type="dxa"/>
            <w:vAlign w:val="center"/>
          </w:tcPr>
          <w:p w14:paraId="3619DAE9">
            <w:pPr>
              <w:adjustRightInd w:val="0"/>
              <w:snapToGrid w:val="0"/>
              <w:spacing w:line="288" w:lineRule="auto"/>
              <w:ind w:firstLine="211"/>
              <w:jc w:val="center"/>
              <w:rPr>
                <w:color w:val="auto"/>
                <w:kern w:val="0"/>
                <w:sz w:val="21"/>
                <w:szCs w:val="21"/>
                <w:highlight w:val="none"/>
              </w:rPr>
            </w:pPr>
          </w:p>
        </w:tc>
        <w:tc>
          <w:tcPr>
            <w:tcW w:w="2354" w:type="dxa"/>
            <w:vAlign w:val="center"/>
          </w:tcPr>
          <w:p w14:paraId="0CBD3512">
            <w:pPr>
              <w:adjustRightInd w:val="0"/>
              <w:snapToGrid w:val="0"/>
              <w:spacing w:line="288" w:lineRule="auto"/>
              <w:ind w:firstLine="211"/>
              <w:jc w:val="center"/>
              <w:rPr>
                <w:color w:val="auto"/>
                <w:kern w:val="0"/>
                <w:sz w:val="21"/>
                <w:szCs w:val="21"/>
                <w:highlight w:val="none"/>
              </w:rPr>
            </w:pPr>
          </w:p>
        </w:tc>
      </w:tr>
      <w:tr w14:paraId="6174A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2" w:type="dxa"/>
            <w:vAlign w:val="center"/>
          </w:tcPr>
          <w:p w14:paraId="5774F82F">
            <w:pPr>
              <w:adjustRightInd w:val="0"/>
              <w:snapToGrid w:val="0"/>
              <w:spacing w:line="288" w:lineRule="auto"/>
              <w:ind w:firstLine="211"/>
              <w:jc w:val="center"/>
              <w:rPr>
                <w:color w:val="auto"/>
                <w:kern w:val="0"/>
                <w:sz w:val="21"/>
                <w:szCs w:val="21"/>
                <w:highlight w:val="none"/>
              </w:rPr>
            </w:pPr>
          </w:p>
        </w:tc>
        <w:tc>
          <w:tcPr>
            <w:tcW w:w="3200" w:type="dxa"/>
            <w:vAlign w:val="center"/>
          </w:tcPr>
          <w:p w14:paraId="5764BEAE">
            <w:pPr>
              <w:adjustRightInd w:val="0"/>
              <w:snapToGrid w:val="0"/>
              <w:spacing w:line="288" w:lineRule="auto"/>
              <w:ind w:firstLine="211"/>
              <w:jc w:val="center"/>
              <w:rPr>
                <w:color w:val="auto"/>
                <w:kern w:val="0"/>
                <w:sz w:val="21"/>
                <w:szCs w:val="21"/>
                <w:highlight w:val="none"/>
              </w:rPr>
            </w:pPr>
          </w:p>
        </w:tc>
        <w:tc>
          <w:tcPr>
            <w:tcW w:w="2836" w:type="dxa"/>
            <w:vAlign w:val="center"/>
          </w:tcPr>
          <w:p w14:paraId="7046B0CA">
            <w:pPr>
              <w:adjustRightInd w:val="0"/>
              <w:snapToGrid w:val="0"/>
              <w:spacing w:line="288" w:lineRule="auto"/>
              <w:ind w:firstLine="211"/>
              <w:jc w:val="center"/>
              <w:rPr>
                <w:color w:val="auto"/>
                <w:kern w:val="0"/>
                <w:sz w:val="21"/>
                <w:szCs w:val="21"/>
                <w:highlight w:val="none"/>
              </w:rPr>
            </w:pPr>
          </w:p>
        </w:tc>
        <w:tc>
          <w:tcPr>
            <w:tcW w:w="2354" w:type="dxa"/>
            <w:vAlign w:val="center"/>
          </w:tcPr>
          <w:p w14:paraId="03B1B308">
            <w:pPr>
              <w:adjustRightInd w:val="0"/>
              <w:snapToGrid w:val="0"/>
              <w:spacing w:line="288" w:lineRule="auto"/>
              <w:ind w:firstLine="211"/>
              <w:jc w:val="center"/>
              <w:rPr>
                <w:color w:val="auto"/>
                <w:kern w:val="0"/>
                <w:sz w:val="21"/>
                <w:szCs w:val="21"/>
                <w:highlight w:val="none"/>
              </w:rPr>
            </w:pPr>
          </w:p>
        </w:tc>
      </w:tr>
      <w:tr w14:paraId="3F7A4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2" w:type="dxa"/>
            <w:vAlign w:val="center"/>
          </w:tcPr>
          <w:p w14:paraId="21C8D0A0">
            <w:pPr>
              <w:adjustRightInd w:val="0"/>
              <w:snapToGrid w:val="0"/>
              <w:spacing w:line="288" w:lineRule="auto"/>
              <w:ind w:firstLine="211"/>
              <w:jc w:val="center"/>
              <w:rPr>
                <w:color w:val="auto"/>
                <w:kern w:val="0"/>
                <w:sz w:val="21"/>
                <w:szCs w:val="21"/>
                <w:highlight w:val="none"/>
              </w:rPr>
            </w:pPr>
          </w:p>
        </w:tc>
        <w:tc>
          <w:tcPr>
            <w:tcW w:w="3200" w:type="dxa"/>
            <w:vAlign w:val="center"/>
          </w:tcPr>
          <w:p w14:paraId="29A9BD88">
            <w:pPr>
              <w:adjustRightInd w:val="0"/>
              <w:snapToGrid w:val="0"/>
              <w:spacing w:line="288" w:lineRule="auto"/>
              <w:ind w:firstLine="211"/>
              <w:jc w:val="center"/>
              <w:rPr>
                <w:color w:val="auto"/>
                <w:kern w:val="0"/>
                <w:sz w:val="21"/>
                <w:szCs w:val="21"/>
                <w:highlight w:val="none"/>
              </w:rPr>
            </w:pPr>
          </w:p>
        </w:tc>
        <w:tc>
          <w:tcPr>
            <w:tcW w:w="2836" w:type="dxa"/>
            <w:vAlign w:val="center"/>
          </w:tcPr>
          <w:p w14:paraId="1C43A6EA">
            <w:pPr>
              <w:adjustRightInd w:val="0"/>
              <w:snapToGrid w:val="0"/>
              <w:spacing w:line="288" w:lineRule="auto"/>
              <w:ind w:firstLine="211"/>
              <w:jc w:val="center"/>
              <w:rPr>
                <w:color w:val="auto"/>
                <w:kern w:val="0"/>
                <w:sz w:val="21"/>
                <w:szCs w:val="21"/>
                <w:highlight w:val="none"/>
              </w:rPr>
            </w:pPr>
          </w:p>
        </w:tc>
        <w:tc>
          <w:tcPr>
            <w:tcW w:w="2354" w:type="dxa"/>
            <w:vAlign w:val="center"/>
          </w:tcPr>
          <w:p w14:paraId="224F97A6">
            <w:pPr>
              <w:adjustRightInd w:val="0"/>
              <w:snapToGrid w:val="0"/>
              <w:spacing w:line="288" w:lineRule="auto"/>
              <w:ind w:firstLine="211"/>
              <w:jc w:val="center"/>
              <w:rPr>
                <w:color w:val="auto"/>
                <w:kern w:val="0"/>
                <w:sz w:val="21"/>
                <w:szCs w:val="21"/>
                <w:highlight w:val="none"/>
              </w:rPr>
            </w:pPr>
          </w:p>
        </w:tc>
      </w:tr>
      <w:tr w14:paraId="77C6C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2" w:type="dxa"/>
            <w:vAlign w:val="center"/>
          </w:tcPr>
          <w:p w14:paraId="452FEF9A">
            <w:pPr>
              <w:adjustRightInd w:val="0"/>
              <w:snapToGrid w:val="0"/>
              <w:spacing w:line="288" w:lineRule="auto"/>
              <w:ind w:firstLine="211"/>
              <w:jc w:val="center"/>
              <w:rPr>
                <w:color w:val="auto"/>
                <w:kern w:val="0"/>
                <w:sz w:val="21"/>
                <w:szCs w:val="21"/>
                <w:highlight w:val="none"/>
              </w:rPr>
            </w:pPr>
          </w:p>
        </w:tc>
        <w:tc>
          <w:tcPr>
            <w:tcW w:w="3200" w:type="dxa"/>
            <w:vAlign w:val="center"/>
          </w:tcPr>
          <w:p w14:paraId="259B0043">
            <w:pPr>
              <w:adjustRightInd w:val="0"/>
              <w:snapToGrid w:val="0"/>
              <w:spacing w:line="288" w:lineRule="auto"/>
              <w:ind w:firstLine="211"/>
              <w:jc w:val="center"/>
              <w:rPr>
                <w:color w:val="auto"/>
                <w:kern w:val="0"/>
                <w:sz w:val="21"/>
                <w:szCs w:val="21"/>
                <w:highlight w:val="none"/>
              </w:rPr>
            </w:pPr>
          </w:p>
        </w:tc>
        <w:tc>
          <w:tcPr>
            <w:tcW w:w="2836" w:type="dxa"/>
            <w:vAlign w:val="center"/>
          </w:tcPr>
          <w:p w14:paraId="143A977F">
            <w:pPr>
              <w:adjustRightInd w:val="0"/>
              <w:snapToGrid w:val="0"/>
              <w:spacing w:line="288" w:lineRule="auto"/>
              <w:ind w:firstLine="211"/>
              <w:jc w:val="center"/>
              <w:rPr>
                <w:color w:val="auto"/>
                <w:kern w:val="0"/>
                <w:sz w:val="21"/>
                <w:szCs w:val="21"/>
                <w:highlight w:val="none"/>
              </w:rPr>
            </w:pPr>
          </w:p>
        </w:tc>
        <w:tc>
          <w:tcPr>
            <w:tcW w:w="2354" w:type="dxa"/>
            <w:vAlign w:val="center"/>
          </w:tcPr>
          <w:p w14:paraId="2EEDA496">
            <w:pPr>
              <w:adjustRightInd w:val="0"/>
              <w:snapToGrid w:val="0"/>
              <w:spacing w:line="288" w:lineRule="auto"/>
              <w:ind w:firstLine="211"/>
              <w:jc w:val="center"/>
              <w:rPr>
                <w:color w:val="auto"/>
                <w:kern w:val="0"/>
                <w:sz w:val="21"/>
                <w:szCs w:val="21"/>
                <w:highlight w:val="none"/>
              </w:rPr>
            </w:pPr>
          </w:p>
        </w:tc>
      </w:tr>
      <w:tr w14:paraId="6DC8B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2" w:type="dxa"/>
            <w:vAlign w:val="center"/>
          </w:tcPr>
          <w:p w14:paraId="303794DD">
            <w:pPr>
              <w:adjustRightInd w:val="0"/>
              <w:snapToGrid w:val="0"/>
              <w:spacing w:line="288" w:lineRule="auto"/>
              <w:ind w:firstLine="211"/>
              <w:jc w:val="center"/>
              <w:rPr>
                <w:color w:val="auto"/>
                <w:kern w:val="0"/>
                <w:sz w:val="21"/>
                <w:szCs w:val="21"/>
                <w:highlight w:val="none"/>
              </w:rPr>
            </w:pPr>
          </w:p>
        </w:tc>
        <w:tc>
          <w:tcPr>
            <w:tcW w:w="3200" w:type="dxa"/>
            <w:vAlign w:val="center"/>
          </w:tcPr>
          <w:p w14:paraId="4892F7B8">
            <w:pPr>
              <w:adjustRightInd w:val="0"/>
              <w:snapToGrid w:val="0"/>
              <w:spacing w:line="288" w:lineRule="auto"/>
              <w:ind w:firstLine="211"/>
              <w:jc w:val="center"/>
              <w:rPr>
                <w:color w:val="auto"/>
                <w:kern w:val="0"/>
                <w:sz w:val="21"/>
                <w:szCs w:val="21"/>
                <w:highlight w:val="none"/>
              </w:rPr>
            </w:pPr>
          </w:p>
        </w:tc>
        <w:tc>
          <w:tcPr>
            <w:tcW w:w="2836" w:type="dxa"/>
            <w:vAlign w:val="center"/>
          </w:tcPr>
          <w:p w14:paraId="29166C2C">
            <w:pPr>
              <w:adjustRightInd w:val="0"/>
              <w:snapToGrid w:val="0"/>
              <w:spacing w:line="288" w:lineRule="auto"/>
              <w:ind w:firstLine="211"/>
              <w:jc w:val="center"/>
              <w:rPr>
                <w:color w:val="auto"/>
                <w:kern w:val="0"/>
                <w:sz w:val="21"/>
                <w:szCs w:val="21"/>
                <w:highlight w:val="none"/>
              </w:rPr>
            </w:pPr>
          </w:p>
        </w:tc>
        <w:tc>
          <w:tcPr>
            <w:tcW w:w="2354" w:type="dxa"/>
            <w:vAlign w:val="center"/>
          </w:tcPr>
          <w:p w14:paraId="6A263356">
            <w:pPr>
              <w:adjustRightInd w:val="0"/>
              <w:snapToGrid w:val="0"/>
              <w:spacing w:line="288" w:lineRule="auto"/>
              <w:ind w:firstLine="211"/>
              <w:jc w:val="center"/>
              <w:rPr>
                <w:color w:val="auto"/>
                <w:kern w:val="0"/>
                <w:sz w:val="21"/>
                <w:szCs w:val="21"/>
                <w:highlight w:val="none"/>
              </w:rPr>
            </w:pPr>
          </w:p>
        </w:tc>
      </w:tr>
      <w:tr w14:paraId="1D754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2" w:type="dxa"/>
            <w:vAlign w:val="center"/>
          </w:tcPr>
          <w:p w14:paraId="5116D125">
            <w:pPr>
              <w:adjustRightInd w:val="0"/>
              <w:snapToGrid w:val="0"/>
              <w:spacing w:line="288" w:lineRule="auto"/>
              <w:ind w:firstLine="211"/>
              <w:jc w:val="center"/>
              <w:rPr>
                <w:color w:val="auto"/>
                <w:kern w:val="0"/>
                <w:sz w:val="21"/>
                <w:szCs w:val="21"/>
                <w:highlight w:val="none"/>
              </w:rPr>
            </w:pPr>
          </w:p>
        </w:tc>
        <w:tc>
          <w:tcPr>
            <w:tcW w:w="3200" w:type="dxa"/>
            <w:vAlign w:val="center"/>
          </w:tcPr>
          <w:p w14:paraId="15CBFB81">
            <w:pPr>
              <w:adjustRightInd w:val="0"/>
              <w:snapToGrid w:val="0"/>
              <w:spacing w:line="288" w:lineRule="auto"/>
              <w:ind w:firstLine="211"/>
              <w:jc w:val="center"/>
              <w:rPr>
                <w:color w:val="auto"/>
                <w:kern w:val="0"/>
                <w:sz w:val="21"/>
                <w:szCs w:val="21"/>
                <w:highlight w:val="none"/>
              </w:rPr>
            </w:pPr>
          </w:p>
        </w:tc>
        <w:tc>
          <w:tcPr>
            <w:tcW w:w="2836" w:type="dxa"/>
            <w:vAlign w:val="center"/>
          </w:tcPr>
          <w:p w14:paraId="082159B1">
            <w:pPr>
              <w:adjustRightInd w:val="0"/>
              <w:snapToGrid w:val="0"/>
              <w:spacing w:line="288" w:lineRule="auto"/>
              <w:ind w:firstLine="211"/>
              <w:jc w:val="center"/>
              <w:rPr>
                <w:color w:val="auto"/>
                <w:kern w:val="0"/>
                <w:sz w:val="21"/>
                <w:szCs w:val="21"/>
                <w:highlight w:val="none"/>
              </w:rPr>
            </w:pPr>
          </w:p>
        </w:tc>
        <w:tc>
          <w:tcPr>
            <w:tcW w:w="2354" w:type="dxa"/>
            <w:vAlign w:val="center"/>
          </w:tcPr>
          <w:p w14:paraId="55098DD3">
            <w:pPr>
              <w:adjustRightInd w:val="0"/>
              <w:snapToGrid w:val="0"/>
              <w:spacing w:line="288" w:lineRule="auto"/>
              <w:ind w:firstLine="211"/>
              <w:jc w:val="center"/>
              <w:rPr>
                <w:color w:val="auto"/>
                <w:kern w:val="0"/>
                <w:sz w:val="21"/>
                <w:szCs w:val="21"/>
                <w:highlight w:val="none"/>
              </w:rPr>
            </w:pPr>
          </w:p>
        </w:tc>
      </w:tr>
      <w:tr w14:paraId="002D8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2" w:type="dxa"/>
            <w:vAlign w:val="center"/>
          </w:tcPr>
          <w:p w14:paraId="66A4D162">
            <w:pPr>
              <w:adjustRightInd w:val="0"/>
              <w:snapToGrid w:val="0"/>
              <w:spacing w:line="288" w:lineRule="auto"/>
              <w:ind w:firstLine="211"/>
              <w:jc w:val="center"/>
              <w:rPr>
                <w:color w:val="auto"/>
                <w:kern w:val="0"/>
                <w:sz w:val="21"/>
                <w:szCs w:val="21"/>
                <w:highlight w:val="none"/>
              </w:rPr>
            </w:pPr>
          </w:p>
        </w:tc>
        <w:tc>
          <w:tcPr>
            <w:tcW w:w="3200" w:type="dxa"/>
            <w:vAlign w:val="center"/>
          </w:tcPr>
          <w:p w14:paraId="50A7E28A">
            <w:pPr>
              <w:adjustRightInd w:val="0"/>
              <w:snapToGrid w:val="0"/>
              <w:spacing w:line="288" w:lineRule="auto"/>
              <w:ind w:firstLine="211"/>
              <w:jc w:val="center"/>
              <w:rPr>
                <w:color w:val="auto"/>
                <w:kern w:val="0"/>
                <w:sz w:val="21"/>
                <w:szCs w:val="21"/>
                <w:highlight w:val="none"/>
              </w:rPr>
            </w:pPr>
          </w:p>
        </w:tc>
        <w:tc>
          <w:tcPr>
            <w:tcW w:w="2836" w:type="dxa"/>
            <w:vAlign w:val="center"/>
          </w:tcPr>
          <w:p w14:paraId="54C101B8">
            <w:pPr>
              <w:adjustRightInd w:val="0"/>
              <w:snapToGrid w:val="0"/>
              <w:spacing w:line="288" w:lineRule="auto"/>
              <w:ind w:firstLine="211"/>
              <w:jc w:val="center"/>
              <w:rPr>
                <w:color w:val="auto"/>
                <w:kern w:val="0"/>
                <w:sz w:val="21"/>
                <w:szCs w:val="21"/>
                <w:highlight w:val="none"/>
              </w:rPr>
            </w:pPr>
          </w:p>
        </w:tc>
        <w:tc>
          <w:tcPr>
            <w:tcW w:w="2354" w:type="dxa"/>
            <w:vAlign w:val="center"/>
          </w:tcPr>
          <w:p w14:paraId="61314D24">
            <w:pPr>
              <w:adjustRightInd w:val="0"/>
              <w:snapToGrid w:val="0"/>
              <w:spacing w:line="288" w:lineRule="auto"/>
              <w:ind w:firstLine="211"/>
              <w:jc w:val="center"/>
              <w:rPr>
                <w:color w:val="auto"/>
                <w:kern w:val="0"/>
                <w:sz w:val="21"/>
                <w:szCs w:val="21"/>
                <w:highlight w:val="none"/>
              </w:rPr>
            </w:pPr>
          </w:p>
        </w:tc>
      </w:tr>
      <w:bookmarkEnd w:id="59"/>
    </w:tbl>
    <w:p w14:paraId="2EABE89F">
      <w:pPr>
        <w:adjustRightInd w:val="0"/>
        <w:snapToGrid w:val="0"/>
        <w:spacing w:line="288" w:lineRule="auto"/>
        <w:ind w:firstLine="211"/>
        <w:rPr>
          <w:color w:val="auto"/>
          <w:sz w:val="21"/>
          <w:szCs w:val="21"/>
          <w:highlight w:val="none"/>
        </w:rPr>
      </w:pPr>
    </w:p>
    <w:p w14:paraId="2198118B">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说明：</w:t>
      </w:r>
    </w:p>
    <w:p w14:paraId="68F08956">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1.逐项按照磋商文件要求填写响应规格；</w:t>
      </w:r>
    </w:p>
    <w:p w14:paraId="2FAFC5F4">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2.偏离说明是指对磋商文件要求存在不同之处的解释说明。偏离系指：正偏离（高于采购需求）、负偏离（低于采购需求）、无偏离（满足采购需求）；</w:t>
      </w:r>
    </w:p>
    <w:p w14:paraId="224FA227">
      <w:pPr>
        <w:adjustRightInd w:val="0"/>
        <w:snapToGrid w:val="0"/>
        <w:spacing w:line="288" w:lineRule="auto"/>
        <w:ind w:firstLine="211"/>
        <w:rPr>
          <w:b/>
          <w:bCs/>
          <w:color w:val="auto"/>
          <w:sz w:val="21"/>
          <w:szCs w:val="21"/>
          <w:highlight w:val="none"/>
        </w:rPr>
      </w:pPr>
      <w:r>
        <w:rPr>
          <w:rFonts w:hint="eastAsia"/>
          <w:b/>
          <w:bCs/>
          <w:color w:val="auto"/>
          <w:sz w:val="21"/>
          <w:szCs w:val="21"/>
          <w:highlight w:val="none"/>
        </w:rPr>
        <w:t>3.如不填写或未如实填写，自行承担磋商响应风险。</w:t>
      </w:r>
    </w:p>
    <w:p w14:paraId="3520F4EA">
      <w:pPr>
        <w:adjustRightInd w:val="0"/>
        <w:snapToGrid w:val="0"/>
        <w:spacing w:line="288" w:lineRule="auto"/>
        <w:ind w:firstLine="211"/>
        <w:rPr>
          <w:color w:val="auto"/>
          <w:sz w:val="21"/>
          <w:szCs w:val="21"/>
          <w:highlight w:val="none"/>
        </w:rPr>
      </w:pPr>
    </w:p>
    <w:p w14:paraId="7C1B7BFA">
      <w:pPr>
        <w:adjustRightInd w:val="0"/>
        <w:snapToGrid w:val="0"/>
        <w:spacing w:line="288" w:lineRule="auto"/>
        <w:ind w:firstLine="211"/>
        <w:rPr>
          <w:color w:val="auto"/>
          <w:sz w:val="21"/>
          <w:szCs w:val="21"/>
          <w:highlight w:val="none"/>
        </w:rPr>
      </w:pPr>
    </w:p>
    <w:p w14:paraId="6653527A">
      <w:pPr>
        <w:adjustRightInd w:val="0"/>
        <w:snapToGrid w:val="0"/>
        <w:spacing w:line="288" w:lineRule="auto"/>
        <w:ind w:firstLine="211"/>
        <w:rPr>
          <w:color w:val="auto"/>
          <w:sz w:val="21"/>
          <w:szCs w:val="21"/>
          <w:highlight w:val="none"/>
        </w:rPr>
      </w:pPr>
    </w:p>
    <w:p w14:paraId="5B8A5499">
      <w:pPr>
        <w:adjustRightInd w:val="0"/>
        <w:snapToGrid w:val="0"/>
        <w:spacing w:line="288" w:lineRule="auto"/>
        <w:ind w:firstLine="199"/>
        <w:rPr>
          <w:rFonts w:cs="Times New Roman"/>
          <w:b/>
          <w:bCs/>
          <w:color w:val="auto"/>
          <w:spacing w:val="-6"/>
          <w:sz w:val="21"/>
          <w:szCs w:val="21"/>
          <w:highlight w:val="none"/>
        </w:rPr>
      </w:pPr>
      <w:r>
        <w:rPr>
          <w:rFonts w:hint="eastAsia" w:cs="Times New Roman"/>
          <w:b/>
          <w:bCs/>
          <w:color w:val="auto"/>
          <w:spacing w:val="-6"/>
          <w:sz w:val="21"/>
          <w:szCs w:val="21"/>
          <w:highlight w:val="none"/>
        </w:rPr>
        <w:t>供应商名称（</w:t>
      </w:r>
      <w:r>
        <w:rPr>
          <w:rFonts w:cs="Times New Roman"/>
          <w:b/>
          <w:bCs/>
          <w:color w:val="auto"/>
          <w:spacing w:val="-6"/>
          <w:sz w:val="21"/>
          <w:szCs w:val="21"/>
          <w:highlight w:val="none"/>
        </w:rPr>
        <w:t>电子签名/公章</w:t>
      </w:r>
      <w:r>
        <w:rPr>
          <w:rFonts w:hint="eastAsia" w:cs="Times New Roman"/>
          <w:b/>
          <w:bCs/>
          <w:color w:val="auto"/>
          <w:spacing w:val="-6"/>
          <w:sz w:val="21"/>
          <w:szCs w:val="21"/>
          <w:highlight w:val="none"/>
        </w:rPr>
        <w:t>）：</w:t>
      </w:r>
    </w:p>
    <w:p w14:paraId="6074000D">
      <w:pPr>
        <w:adjustRightInd w:val="0"/>
        <w:snapToGrid w:val="0"/>
        <w:spacing w:line="288" w:lineRule="auto"/>
        <w:ind w:firstLine="199"/>
        <w:rPr>
          <w:rFonts w:cs="Times New Roman"/>
          <w:b/>
          <w:bCs/>
          <w:color w:val="auto"/>
          <w:spacing w:val="-6"/>
          <w:sz w:val="21"/>
          <w:szCs w:val="21"/>
          <w:highlight w:val="none"/>
        </w:rPr>
      </w:pPr>
      <w:r>
        <w:rPr>
          <w:rFonts w:hint="eastAsia" w:cs="Times New Roman"/>
          <w:b/>
          <w:bCs/>
          <w:color w:val="auto"/>
          <w:spacing w:val="-6"/>
          <w:sz w:val="21"/>
          <w:szCs w:val="21"/>
          <w:highlight w:val="none"/>
        </w:rPr>
        <w:t>日期：     年   月   日</w:t>
      </w:r>
    </w:p>
    <w:p w14:paraId="565E0B5E">
      <w:pPr>
        <w:adjustRightInd w:val="0"/>
        <w:snapToGrid w:val="0"/>
        <w:spacing w:line="288" w:lineRule="auto"/>
        <w:ind w:firstLine="211"/>
        <w:rPr>
          <w:color w:val="auto"/>
          <w:sz w:val="21"/>
          <w:szCs w:val="21"/>
          <w:highlight w:val="none"/>
        </w:rPr>
      </w:pPr>
      <w:r>
        <w:rPr>
          <w:rFonts w:hint="eastAsia"/>
          <w:color w:val="auto"/>
          <w:sz w:val="21"/>
          <w:szCs w:val="21"/>
          <w:highlight w:val="none"/>
        </w:rPr>
        <w:br w:type="page"/>
      </w:r>
    </w:p>
    <w:p w14:paraId="5448522B">
      <w:pPr>
        <w:adjustRightInd w:val="0"/>
        <w:snapToGrid w:val="0"/>
        <w:spacing w:line="288" w:lineRule="auto"/>
        <w:ind w:firstLine="199"/>
        <w:outlineLvl w:val="2"/>
        <w:rPr>
          <w:b/>
          <w:color w:val="auto"/>
          <w:spacing w:val="-6"/>
          <w:sz w:val="21"/>
          <w:szCs w:val="21"/>
          <w:highlight w:val="none"/>
        </w:rPr>
      </w:pPr>
      <w:bookmarkStart w:id="60" w:name="_Hlk71885757"/>
      <w:r>
        <w:rPr>
          <w:rFonts w:hint="eastAsia"/>
          <w:b/>
          <w:color w:val="auto"/>
          <w:spacing w:val="-6"/>
          <w:sz w:val="21"/>
          <w:szCs w:val="21"/>
          <w:highlight w:val="none"/>
        </w:rPr>
        <w:t>（</w:t>
      </w:r>
      <w:r>
        <w:rPr>
          <w:b/>
          <w:color w:val="auto"/>
          <w:spacing w:val="-6"/>
          <w:sz w:val="21"/>
          <w:szCs w:val="21"/>
          <w:highlight w:val="none"/>
        </w:rPr>
        <w:t>8）技术方案【可根据评分细则结合自身情况提供】</w:t>
      </w:r>
    </w:p>
    <w:p w14:paraId="07552911">
      <w:pPr>
        <w:adjustRightInd w:val="0"/>
        <w:snapToGrid w:val="0"/>
        <w:spacing w:line="288" w:lineRule="auto"/>
        <w:ind w:firstLine="199"/>
        <w:outlineLvl w:val="2"/>
        <w:rPr>
          <w:b/>
          <w:color w:val="auto"/>
          <w:spacing w:val="-6"/>
          <w:sz w:val="21"/>
          <w:szCs w:val="21"/>
          <w:highlight w:val="none"/>
        </w:rPr>
      </w:pPr>
      <w:r>
        <w:rPr>
          <w:rFonts w:hint="eastAsia"/>
          <w:b/>
          <w:color w:val="auto"/>
          <w:spacing w:val="-6"/>
          <w:sz w:val="21"/>
          <w:szCs w:val="21"/>
          <w:highlight w:val="none"/>
        </w:rPr>
        <w:t>（</w:t>
      </w:r>
      <w:r>
        <w:rPr>
          <w:b/>
          <w:color w:val="auto"/>
          <w:spacing w:val="-6"/>
          <w:sz w:val="21"/>
          <w:szCs w:val="21"/>
          <w:highlight w:val="none"/>
        </w:rPr>
        <w:t>9）拟派人员【可根据评分细则结合自身情况提供】</w:t>
      </w:r>
    </w:p>
    <w:p w14:paraId="17093451">
      <w:pPr>
        <w:adjustRightInd w:val="0"/>
        <w:snapToGrid w:val="0"/>
        <w:spacing w:line="288" w:lineRule="auto"/>
        <w:ind w:firstLine="199"/>
        <w:outlineLvl w:val="2"/>
        <w:rPr>
          <w:b/>
          <w:color w:val="auto"/>
          <w:spacing w:val="-6"/>
          <w:sz w:val="21"/>
          <w:szCs w:val="21"/>
          <w:highlight w:val="none"/>
        </w:rPr>
      </w:pPr>
      <w:r>
        <w:rPr>
          <w:rFonts w:hint="eastAsia"/>
          <w:b/>
          <w:color w:val="auto"/>
          <w:spacing w:val="-6"/>
          <w:sz w:val="21"/>
          <w:szCs w:val="21"/>
          <w:highlight w:val="none"/>
        </w:rPr>
        <w:t>（</w:t>
      </w:r>
      <w:r>
        <w:rPr>
          <w:b/>
          <w:color w:val="auto"/>
          <w:spacing w:val="-6"/>
          <w:sz w:val="21"/>
          <w:szCs w:val="21"/>
          <w:highlight w:val="none"/>
        </w:rPr>
        <w:t>10）其它服务承诺【可根据评分细则结合自身情况提供】</w:t>
      </w:r>
    </w:p>
    <w:p w14:paraId="66E8983D">
      <w:pPr>
        <w:adjustRightInd w:val="0"/>
        <w:snapToGrid w:val="0"/>
        <w:spacing w:line="288" w:lineRule="auto"/>
        <w:ind w:firstLine="199"/>
        <w:outlineLvl w:val="2"/>
        <w:rPr>
          <w:b/>
          <w:color w:val="auto"/>
          <w:spacing w:val="-6"/>
          <w:sz w:val="21"/>
          <w:szCs w:val="21"/>
          <w:highlight w:val="none"/>
        </w:rPr>
      </w:pPr>
      <w:r>
        <w:rPr>
          <w:rFonts w:hint="eastAsia"/>
          <w:b/>
          <w:color w:val="auto"/>
          <w:spacing w:val="-6"/>
          <w:sz w:val="21"/>
          <w:szCs w:val="21"/>
          <w:highlight w:val="none"/>
        </w:rPr>
        <w:t>（</w:t>
      </w:r>
      <w:r>
        <w:rPr>
          <w:b/>
          <w:color w:val="auto"/>
          <w:spacing w:val="-6"/>
          <w:sz w:val="21"/>
          <w:szCs w:val="21"/>
          <w:highlight w:val="none"/>
        </w:rPr>
        <w:t>11</w:t>
      </w:r>
      <w:r>
        <w:rPr>
          <w:rFonts w:hint="eastAsia"/>
          <w:b/>
          <w:color w:val="auto"/>
          <w:spacing w:val="-6"/>
          <w:sz w:val="21"/>
          <w:szCs w:val="21"/>
          <w:highlight w:val="none"/>
        </w:rPr>
        <w:t>）节能环保产品证明材料</w:t>
      </w:r>
    </w:p>
    <w:p w14:paraId="4C977879">
      <w:pPr>
        <w:adjustRightInd w:val="0"/>
        <w:snapToGrid w:val="0"/>
        <w:spacing w:line="288" w:lineRule="auto"/>
        <w:ind w:firstLine="211"/>
        <w:rPr>
          <w:rFonts w:cs="Times New Roman"/>
          <w:b/>
          <w:color w:val="auto"/>
          <w:sz w:val="21"/>
          <w:szCs w:val="21"/>
          <w:highlight w:val="none"/>
        </w:rPr>
      </w:pPr>
      <w:r>
        <w:rPr>
          <w:rFonts w:hint="eastAsia" w:cs="Times New Roman"/>
          <w:b/>
          <w:color w:val="auto"/>
          <w:sz w:val="21"/>
          <w:szCs w:val="21"/>
          <w:highlight w:val="none"/>
        </w:rPr>
        <w:t>说明：产品属于品目清单范围且提供国家确定的认证机构出具的有效的节能产品、环境标志产品认证证书（扫描件）。</w:t>
      </w:r>
    </w:p>
    <w:p w14:paraId="6E7B2727">
      <w:pPr>
        <w:adjustRightInd w:val="0"/>
        <w:snapToGrid w:val="0"/>
        <w:spacing w:line="288" w:lineRule="auto"/>
        <w:ind w:firstLine="396" w:firstLineChars="200"/>
        <w:jc w:val="left"/>
        <w:rPr>
          <w:rFonts w:cs="Times New Roman"/>
          <w:color w:val="auto"/>
          <w:spacing w:val="-6"/>
          <w:sz w:val="21"/>
          <w:szCs w:val="21"/>
          <w:highlight w:val="none"/>
        </w:rPr>
      </w:pPr>
      <w:r>
        <w:rPr>
          <w:rFonts w:cs="Times New Roman"/>
          <w:color w:val="auto"/>
          <w:spacing w:val="-6"/>
          <w:sz w:val="21"/>
          <w:szCs w:val="21"/>
          <w:highlight w:val="none"/>
        </w:rPr>
        <w:t>采购人拟采购的产品属于品目清单范围的，采购人及其委托的采购代理机构将依据国家确定的认证机构出具的、有效的节能产品、环境标志产品认证证书，对获得证书的产品实施政府优先采购或强制采购。供应商须按</w:t>
      </w:r>
      <w:r>
        <w:rPr>
          <w:rFonts w:hint="eastAsia" w:cs="Times New Roman"/>
          <w:color w:val="auto"/>
          <w:spacing w:val="-6"/>
          <w:sz w:val="21"/>
          <w:szCs w:val="21"/>
          <w:highlight w:val="none"/>
        </w:rPr>
        <w:t>磋商</w:t>
      </w:r>
      <w:r>
        <w:rPr>
          <w:rFonts w:cs="Times New Roman"/>
          <w:color w:val="auto"/>
          <w:spacing w:val="-6"/>
          <w:sz w:val="21"/>
          <w:szCs w:val="21"/>
          <w:highlight w:val="none"/>
        </w:rPr>
        <w:t>文件要求提供相关产品认证证书。</w:t>
      </w:r>
    </w:p>
    <w:p w14:paraId="27B525FC">
      <w:pPr>
        <w:adjustRightInd w:val="0"/>
        <w:snapToGrid w:val="0"/>
        <w:spacing w:line="288" w:lineRule="auto"/>
        <w:ind w:firstLine="396" w:firstLineChars="200"/>
        <w:jc w:val="left"/>
        <w:rPr>
          <w:rFonts w:cs="Times New Roman"/>
          <w:color w:val="auto"/>
          <w:spacing w:val="-6"/>
          <w:sz w:val="21"/>
          <w:szCs w:val="21"/>
          <w:highlight w:val="none"/>
        </w:rPr>
      </w:pPr>
      <w:r>
        <w:rPr>
          <w:rFonts w:cs="Times New Roman"/>
          <w:color w:val="auto"/>
          <w:spacing w:val="-6"/>
          <w:sz w:val="21"/>
          <w:szCs w:val="21"/>
          <w:highlight w:val="none"/>
        </w:rPr>
        <w:t>▲采购人拟采购的产品属于政府强制采购的节能产品品目清单范围的，供应商未按</w:t>
      </w:r>
      <w:r>
        <w:rPr>
          <w:rFonts w:hint="eastAsia" w:cs="Times New Roman"/>
          <w:color w:val="auto"/>
          <w:spacing w:val="-6"/>
          <w:sz w:val="21"/>
          <w:szCs w:val="21"/>
          <w:highlight w:val="none"/>
        </w:rPr>
        <w:t>磋商</w:t>
      </w:r>
      <w:r>
        <w:rPr>
          <w:rFonts w:cs="Times New Roman"/>
          <w:color w:val="auto"/>
          <w:spacing w:val="-6"/>
          <w:sz w:val="21"/>
          <w:szCs w:val="21"/>
          <w:highlight w:val="none"/>
        </w:rPr>
        <w:t>文件要求提供国家确定的认证机构出具的、有效的节能产品认证证书的，</w:t>
      </w:r>
      <w:r>
        <w:rPr>
          <w:rFonts w:hint="eastAsia" w:cs="Times New Roman"/>
          <w:color w:val="auto"/>
          <w:spacing w:val="-6"/>
          <w:sz w:val="21"/>
          <w:szCs w:val="21"/>
          <w:highlight w:val="none"/>
        </w:rPr>
        <w:t>响应</w:t>
      </w:r>
      <w:r>
        <w:rPr>
          <w:rFonts w:cs="Times New Roman"/>
          <w:color w:val="auto"/>
          <w:spacing w:val="-6"/>
          <w:sz w:val="21"/>
          <w:szCs w:val="21"/>
          <w:highlight w:val="none"/>
        </w:rPr>
        <w:t>无效。</w:t>
      </w:r>
    </w:p>
    <w:p w14:paraId="34CA30AA">
      <w:pPr>
        <w:keepNext/>
        <w:widowControl/>
        <w:rPr>
          <w:color w:val="auto"/>
          <w:highlight w:val="none"/>
        </w:rPr>
      </w:pPr>
    </w:p>
    <w:p w14:paraId="571BDE6D">
      <w:pPr>
        <w:keepNext/>
        <w:widowControl/>
        <w:rPr>
          <w:color w:val="auto"/>
          <w:highlight w:val="none"/>
        </w:rPr>
      </w:pPr>
      <w:r>
        <w:rPr>
          <w:rFonts w:hint="eastAsia"/>
          <w:color w:val="auto"/>
          <w:highlight w:val="none"/>
        </w:rPr>
        <w:t>附件：节能产品政府采购品目清单</w:t>
      </w:r>
    </w:p>
    <w:tbl>
      <w:tblPr>
        <w:tblStyle w:val="31"/>
        <w:tblW w:w="0" w:type="auto"/>
        <w:jc w:val="center"/>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Layout w:type="fixed"/>
        <w:tblCellMar>
          <w:top w:w="0" w:type="dxa"/>
          <w:left w:w="108" w:type="dxa"/>
          <w:bottom w:w="0" w:type="dxa"/>
          <w:right w:w="108" w:type="dxa"/>
        </w:tblCellMar>
      </w:tblPr>
      <w:tblGrid>
        <w:gridCol w:w="690"/>
        <w:gridCol w:w="1933"/>
        <w:gridCol w:w="2209"/>
        <w:gridCol w:w="1807"/>
        <w:gridCol w:w="3301"/>
      </w:tblGrid>
      <w:tr w14:paraId="507C9005">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tblHeader/>
          <w:jc w:val="center"/>
        </w:trPr>
        <w:tc>
          <w:tcPr>
            <w:tcW w:w="690" w:type="dxa"/>
            <w:shd w:val="clear" w:color="auto" w:fill="DAEEF3"/>
            <w:vAlign w:val="center"/>
          </w:tcPr>
          <w:p w14:paraId="2E14244B">
            <w:pPr>
              <w:ind w:firstLine="325"/>
              <w:jc w:val="center"/>
              <w:rPr>
                <w:b/>
                <w:color w:val="auto"/>
                <w:w w:val="90"/>
                <w:szCs w:val="21"/>
                <w:highlight w:val="none"/>
              </w:rPr>
            </w:pPr>
            <w:r>
              <w:rPr>
                <w:rFonts w:hint="eastAsia"/>
                <w:b/>
                <w:color w:val="auto"/>
                <w:w w:val="90"/>
                <w:szCs w:val="21"/>
                <w:highlight w:val="none"/>
              </w:rPr>
              <w:t>品目序号</w:t>
            </w:r>
          </w:p>
        </w:tc>
        <w:tc>
          <w:tcPr>
            <w:tcW w:w="5949" w:type="dxa"/>
            <w:gridSpan w:val="3"/>
            <w:shd w:val="clear" w:color="auto" w:fill="DAEEF3"/>
            <w:vAlign w:val="center"/>
          </w:tcPr>
          <w:p w14:paraId="10CFF723">
            <w:pPr>
              <w:ind w:firstLine="325"/>
              <w:jc w:val="center"/>
              <w:rPr>
                <w:b/>
                <w:color w:val="auto"/>
                <w:w w:val="90"/>
                <w:szCs w:val="21"/>
                <w:highlight w:val="none"/>
              </w:rPr>
            </w:pPr>
            <w:r>
              <w:rPr>
                <w:rFonts w:hint="eastAsia"/>
                <w:b/>
                <w:color w:val="auto"/>
                <w:w w:val="90"/>
                <w:szCs w:val="21"/>
                <w:highlight w:val="none"/>
              </w:rPr>
              <w:t>名称</w:t>
            </w:r>
          </w:p>
        </w:tc>
        <w:tc>
          <w:tcPr>
            <w:tcW w:w="3301" w:type="dxa"/>
            <w:shd w:val="clear" w:color="auto" w:fill="DAEEF3"/>
            <w:vAlign w:val="center"/>
          </w:tcPr>
          <w:p w14:paraId="61AFCE7C">
            <w:pPr>
              <w:ind w:firstLine="325"/>
              <w:jc w:val="center"/>
              <w:rPr>
                <w:b/>
                <w:color w:val="auto"/>
                <w:w w:val="90"/>
                <w:szCs w:val="21"/>
                <w:highlight w:val="none"/>
              </w:rPr>
            </w:pPr>
            <w:r>
              <w:rPr>
                <w:rFonts w:hint="eastAsia"/>
                <w:b/>
                <w:color w:val="auto"/>
                <w:w w:val="90"/>
                <w:szCs w:val="21"/>
                <w:highlight w:val="none"/>
              </w:rPr>
              <w:t>依据的标准</w:t>
            </w:r>
          </w:p>
        </w:tc>
      </w:tr>
      <w:tr w14:paraId="6FC133B1">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restart"/>
            <w:vAlign w:val="center"/>
          </w:tcPr>
          <w:p w14:paraId="4BDFA8D7">
            <w:pPr>
              <w:ind w:firstLine="325"/>
              <w:jc w:val="center"/>
              <w:rPr>
                <w:color w:val="auto"/>
                <w:w w:val="90"/>
                <w:szCs w:val="21"/>
                <w:highlight w:val="none"/>
              </w:rPr>
            </w:pPr>
            <w:r>
              <w:rPr>
                <w:rFonts w:hint="eastAsia"/>
                <w:color w:val="auto"/>
                <w:w w:val="90"/>
                <w:szCs w:val="21"/>
                <w:highlight w:val="none"/>
              </w:rPr>
              <w:t>1</w:t>
            </w:r>
          </w:p>
        </w:tc>
        <w:tc>
          <w:tcPr>
            <w:tcW w:w="1933" w:type="dxa"/>
            <w:vMerge w:val="restart"/>
            <w:vAlign w:val="center"/>
          </w:tcPr>
          <w:p w14:paraId="2DCECEFC">
            <w:pPr>
              <w:ind w:firstLine="325"/>
              <w:jc w:val="left"/>
              <w:rPr>
                <w:color w:val="auto"/>
                <w:w w:val="90"/>
                <w:szCs w:val="21"/>
                <w:highlight w:val="none"/>
              </w:rPr>
            </w:pPr>
            <w:r>
              <w:rPr>
                <w:rFonts w:hint="eastAsia"/>
                <w:color w:val="auto"/>
                <w:w w:val="90"/>
                <w:szCs w:val="21"/>
                <w:highlight w:val="none"/>
              </w:rPr>
              <w:t>A020101计算机设备</w:t>
            </w:r>
          </w:p>
        </w:tc>
        <w:tc>
          <w:tcPr>
            <w:tcW w:w="2209" w:type="dxa"/>
            <w:vAlign w:val="center"/>
          </w:tcPr>
          <w:p w14:paraId="4F8F16D3">
            <w:pPr>
              <w:ind w:firstLine="325"/>
              <w:jc w:val="left"/>
              <w:rPr>
                <w:b/>
                <w:color w:val="auto"/>
                <w:w w:val="90"/>
                <w:szCs w:val="21"/>
                <w:highlight w:val="none"/>
              </w:rPr>
            </w:pPr>
            <w:r>
              <w:rPr>
                <w:rFonts w:hint="eastAsia"/>
                <w:color w:val="auto"/>
                <w:w w:val="90"/>
                <w:szCs w:val="21"/>
                <w:highlight w:val="none"/>
              </w:rPr>
              <w:t>★</w:t>
            </w:r>
            <w:r>
              <w:rPr>
                <w:rFonts w:hint="eastAsia"/>
                <w:b/>
                <w:color w:val="auto"/>
                <w:w w:val="90"/>
                <w:szCs w:val="21"/>
                <w:highlight w:val="none"/>
              </w:rPr>
              <w:t>A02010104台式计算机</w:t>
            </w:r>
          </w:p>
        </w:tc>
        <w:tc>
          <w:tcPr>
            <w:tcW w:w="1807" w:type="dxa"/>
            <w:vAlign w:val="center"/>
          </w:tcPr>
          <w:p w14:paraId="07F5FDD6">
            <w:pPr>
              <w:ind w:firstLine="325"/>
              <w:jc w:val="center"/>
              <w:rPr>
                <w:color w:val="auto"/>
                <w:w w:val="90"/>
                <w:szCs w:val="21"/>
                <w:highlight w:val="none"/>
              </w:rPr>
            </w:pPr>
          </w:p>
        </w:tc>
        <w:tc>
          <w:tcPr>
            <w:tcW w:w="3301" w:type="dxa"/>
            <w:vAlign w:val="center"/>
          </w:tcPr>
          <w:p w14:paraId="02DCA050">
            <w:pPr>
              <w:ind w:firstLine="325"/>
              <w:jc w:val="left"/>
              <w:rPr>
                <w:color w:val="auto"/>
                <w:w w:val="90"/>
                <w:szCs w:val="21"/>
                <w:highlight w:val="none"/>
              </w:rPr>
            </w:pPr>
            <w:r>
              <w:rPr>
                <w:rFonts w:hint="eastAsia"/>
                <w:color w:val="auto"/>
                <w:w w:val="90"/>
                <w:szCs w:val="21"/>
                <w:highlight w:val="none"/>
              </w:rPr>
              <w:t>《微型计算机能效限定值及能效等级》（GB 28380）</w:t>
            </w:r>
          </w:p>
        </w:tc>
      </w:tr>
      <w:tr w14:paraId="1A694C98">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0943A429">
            <w:pPr>
              <w:ind w:firstLine="325"/>
              <w:jc w:val="center"/>
              <w:rPr>
                <w:color w:val="auto"/>
                <w:w w:val="90"/>
                <w:szCs w:val="21"/>
                <w:highlight w:val="none"/>
              </w:rPr>
            </w:pPr>
          </w:p>
        </w:tc>
        <w:tc>
          <w:tcPr>
            <w:tcW w:w="1933" w:type="dxa"/>
            <w:vMerge w:val="continue"/>
            <w:vAlign w:val="center"/>
          </w:tcPr>
          <w:p w14:paraId="64233AE3">
            <w:pPr>
              <w:ind w:firstLine="325"/>
              <w:jc w:val="left"/>
              <w:rPr>
                <w:color w:val="auto"/>
                <w:w w:val="90"/>
                <w:szCs w:val="21"/>
                <w:highlight w:val="none"/>
              </w:rPr>
            </w:pPr>
          </w:p>
        </w:tc>
        <w:tc>
          <w:tcPr>
            <w:tcW w:w="2209" w:type="dxa"/>
            <w:vAlign w:val="center"/>
          </w:tcPr>
          <w:p w14:paraId="0B5A26A8">
            <w:pPr>
              <w:ind w:firstLine="325"/>
              <w:jc w:val="left"/>
              <w:rPr>
                <w:b/>
                <w:color w:val="auto"/>
                <w:w w:val="90"/>
                <w:szCs w:val="21"/>
                <w:highlight w:val="none"/>
              </w:rPr>
            </w:pPr>
            <w:r>
              <w:rPr>
                <w:rFonts w:hint="eastAsia"/>
                <w:color w:val="auto"/>
                <w:w w:val="90"/>
                <w:szCs w:val="21"/>
                <w:highlight w:val="none"/>
              </w:rPr>
              <w:t>★</w:t>
            </w:r>
            <w:r>
              <w:rPr>
                <w:rFonts w:hint="eastAsia"/>
                <w:b/>
                <w:color w:val="auto"/>
                <w:w w:val="90"/>
                <w:szCs w:val="21"/>
                <w:highlight w:val="none"/>
              </w:rPr>
              <w:t>A02010105便携式计算</w:t>
            </w:r>
          </w:p>
        </w:tc>
        <w:tc>
          <w:tcPr>
            <w:tcW w:w="1807" w:type="dxa"/>
            <w:vAlign w:val="center"/>
          </w:tcPr>
          <w:p w14:paraId="70915DAF">
            <w:pPr>
              <w:ind w:firstLine="325"/>
              <w:jc w:val="center"/>
              <w:rPr>
                <w:color w:val="auto"/>
                <w:w w:val="90"/>
                <w:szCs w:val="21"/>
                <w:highlight w:val="none"/>
              </w:rPr>
            </w:pPr>
          </w:p>
        </w:tc>
        <w:tc>
          <w:tcPr>
            <w:tcW w:w="3301" w:type="dxa"/>
            <w:vAlign w:val="center"/>
          </w:tcPr>
          <w:p w14:paraId="68403969">
            <w:pPr>
              <w:ind w:firstLine="325"/>
              <w:jc w:val="left"/>
              <w:rPr>
                <w:color w:val="auto"/>
                <w:w w:val="90"/>
                <w:szCs w:val="21"/>
                <w:highlight w:val="none"/>
              </w:rPr>
            </w:pPr>
            <w:r>
              <w:rPr>
                <w:rFonts w:hint="eastAsia"/>
                <w:color w:val="auto"/>
                <w:w w:val="90"/>
                <w:szCs w:val="21"/>
                <w:highlight w:val="none"/>
              </w:rPr>
              <w:t>《微型计算机能效限定值及能效等级》（GB 28380）</w:t>
            </w:r>
          </w:p>
        </w:tc>
      </w:tr>
      <w:tr w14:paraId="151FAA49">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08F70581">
            <w:pPr>
              <w:ind w:firstLine="325"/>
              <w:jc w:val="center"/>
              <w:rPr>
                <w:color w:val="auto"/>
                <w:w w:val="90"/>
                <w:szCs w:val="21"/>
                <w:highlight w:val="none"/>
              </w:rPr>
            </w:pPr>
          </w:p>
        </w:tc>
        <w:tc>
          <w:tcPr>
            <w:tcW w:w="1933" w:type="dxa"/>
            <w:vMerge w:val="continue"/>
            <w:vAlign w:val="center"/>
          </w:tcPr>
          <w:p w14:paraId="55665937">
            <w:pPr>
              <w:ind w:firstLine="325"/>
              <w:jc w:val="left"/>
              <w:rPr>
                <w:color w:val="auto"/>
                <w:w w:val="90"/>
                <w:szCs w:val="21"/>
                <w:highlight w:val="none"/>
              </w:rPr>
            </w:pPr>
          </w:p>
        </w:tc>
        <w:tc>
          <w:tcPr>
            <w:tcW w:w="2209" w:type="dxa"/>
            <w:vAlign w:val="center"/>
          </w:tcPr>
          <w:p w14:paraId="5BB1113C">
            <w:pPr>
              <w:ind w:firstLine="325"/>
              <w:jc w:val="left"/>
              <w:rPr>
                <w:b/>
                <w:color w:val="auto"/>
                <w:w w:val="90"/>
                <w:szCs w:val="21"/>
                <w:highlight w:val="none"/>
              </w:rPr>
            </w:pPr>
            <w:r>
              <w:rPr>
                <w:rFonts w:hint="eastAsia"/>
                <w:color w:val="auto"/>
                <w:w w:val="90"/>
                <w:szCs w:val="21"/>
                <w:highlight w:val="none"/>
              </w:rPr>
              <w:t>★</w:t>
            </w:r>
            <w:r>
              <w:rPr>
                <w:rFonts w:hint="eastAsia"/>
                <w:b/>
                <w:color w:val="auto"/>
                <w:w w:val="90"/>
                <w:szCs w:val="21"/>
                <w:highlight w:val="none"/>
              </w:rPr>
              <w:t>A02010107平板式微型计算机</w:t>
            </w:r>
          </w:p>
        </w:tc>
        <w:tc>
          <w:tcPr>
            <w:tcW w:w="1807" w:type="dxa"/>
            <w:vAlign w:val="center"/>
          </w:tcPr>
          <w:p w14:paraId="041A178C">
            <w:pPr>
              <w:ind w:firstLine="325"/>
              <w:jc w:val="center"/>
              <w:rPr>
                <w:color w:val="auto"/>
                <w:w w:val="90"/>
                <w:szCs w:val="21"/>
                <w:highlight w:val="none"/>
              </w:rPr>
            </w:pPr>
          </w:p>
        </w:tc>
        <w:tc>
          <w:tcPr>
            <w:tcW w:w="3301" w:type="dxa"/>
            <w:vAlign w:val="center"/>
          </w:tcPr>
          <w:p w14:paraId="34A1715A">
            <w:pPr>
              <w:ind w:firstLine="325"/>
              <w:jc w:val="left"/>
              <w:rPr>
                <w:color w:val="auto"/>
                <w:w w:val="90"/>
                <w:szCs w:val="21"/>
                <w:highlight w:val="none"/>
              </w:rPr>
            </w:pPr>
            <w:r>
              <w:rPr>
                <w:rFonts w:hint="eastAsia"/>
                <w:color w:val="auto"/>
                <w:w w:val="90"/>
                <w:szCs w:val="21"/>
                <w:highlight w:val="none"/>
              </w:rPr>
              <w:t>《微型计算机能效限定值及能效等级》（GB 28380）</w:t>
            </w:r>
          </w:p>
        </w:tc>
      </w:tr>
      <w:tr w14:paraId="4B163FF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restart"/>
            <w:vAlign w:val="center"/>
          </w:tcPr>
          <w:p w14:paraId="0A856818">
            <w:pPr>
              <w:ind w:firstLine="325"/>
              <w:jc w:val="center"/>
              <w:rPr>
                <w:color w:val="auto"/>
                <w:w w:val="90"/>
                <w:szCs w:val="21"/>
                <w:highlight w:val="none"/>
              </w:rPr>
            </w:pPr>
            <w:r>
              <w:rPr>
                <w:rFonts w:hint="eastAsia"/>
                <w:color w:val="auto"/>
                <w:w w:val="90"/>
                <w:szCs w:val="21"/>
                <w:highlight w:val="none"/>
              </w:rPr>
              <w:t>2</w:t>
            </w:r>
          </w:p>
        </w:tc>
        <w:tc>
          <w:tcPr>
            <w:tcW w:w="1933" w:type="dxa"/>
            <w:vMerge w:val="restart"/>
            <w:vAlign w:val="center"/>
          </w:tcPr>
          <w:p w14:paraId="39CDBF97">
            <w:pPr>
              <w:ind w:firstLine="325"/>
              <w:jc w:val="left"/>
              <w:rPr>
                <w:color w:val="auto"/>
                <w:w w:val="90"/>
                <w:szCs w:val="21"/>
                <w:highlight w:val="none"/>
              </w:rPr>
            </w:pPr>
            <w:r>
              <w:rPr>
                <w:rFonts w:hint="eastAsia"/>
                <w:color w:val="auto"/>
                <w:w w:val="90"/>
                <w:szCs w:val="21"/>
                <w:highlight w:val="none"/>
              </w:rPr>
              <w:t>A020106输入输出设备</w:t>
            </w:r>
          </w:p>
        </w:tc>
        <w:tc>
          <w:tcPr>
            <w:tcW w:w="2209" w:type="dxa"/>
            <w:vMerge w:val="restart"/>
            <w:vAlign w:val="center"/>
          </w:tcPr>
          <w:p w14:paraId="7F76335B">
            <w:pPr>
              <w:ind w:firstLine="325"/>
              <w:jc w:val="left"/>
              <w:rPr>
                <w:color w:val="auto"/>
                <w:w w:val="90"/>
                <w:szCs w:val="21"/>
                <w:highlight w:val="none"/>
              </w:rPr>
            </w:pPr>
            <w:r>
              <w:rPr>
                <w:rFonts w:hint="eastAsia"/>
                <w:color w:val="auto"/>
                <w:w w:val="90"/>
                <w:szCs w:val="21"/>
                <w:highlight w:val="none"/>
              </w:rPr>
              <w:t>A02010601打印设备</w:t>
            </w:r>
          </w:p>
        </w:tc>
        <w:tc>
          <w:tcPr>
            <w:tcW w:w="1807" w:type="dxa"/>
            <w:vAlign w:val="center"/>
          </w:tcPr>
          <w:p w14:paraId="1C275D64">
            <w:pPr>
              <w:ind w:firstLine="325"/>
              <w:jc w:val="left"/>
              <w:rPr>
                <w:color w:val="auto"/>
                <w:w w:val="90"/>
                <w:szCs w:val="21"/>
                <w:highlight w:val="none"/>
              </w:rPr>
            </w:pPr>
            <w:r>
              <w:rPr>
                <w:rFonts w:hint="eastAsia"/>
                <w:b/>
                <w:bCs/>
                <w:color w:val="auto"/>
                <w:w w:val="90"/>
                <w:szCs w:val="21"/>
                <w:highlight w:val="none"/>
              </w:rPr>
              <w:t>A0201060101喷墨打印机</w:t>
            </w:r>
          </w:p>
        </w:tc>
        <w:tc>
          <w:tcPr>
            <w:tcW w:w="3301" w:type="dxa"/>
            <w:vAlign w:val="center"/>
          </w:tcPr>
          <w:p w14:paraId="415F68C6">
            <w:pPr>
              <w:ind w:firstLine="325"/>
              <w:jc w:val="left"/>
              <w:rPr>
                <w:color w:val="auto"/>
                <w:w w:val="90"/>
                <w:szCs w:val="21"/>
                <w:highlight w:val="none"/>
              </w:rPr>
            </w:pPr>
            <w:r>
              <w:rPr>
                <w:rFonts w:hint="eastAsia"/>
                <w:color w:val="auto"/>
                <w:w w:val="90"/>
                <w:szCs w:val="21"/>
                <w:highlight w:val="none"/>
              </w:rPr>
              <w:t>《复印机、打印机和传真机能效限定值及能效等级》（GB 21521）</w:t>
            </w:r>
          </w:p>
        </w:tc>
      </w:tr>
      <w:tr w14:paraId="15AA7A12">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57CEA185">
            <w:pPr>
              <w:ind w:firstLine="325"/>
              <w:jc w:val="center"/>
              <w:rPr>
                <w:color w:val="auto"/>
                <w:w w:val="90"/>
                <w:szCs w:val="21"/>
                <w:highlight w:val="none"/>
              </w:rPr>
            </w:pPr>
          </w:p>
        </w:tc>
        <w:tc>
          <w:tcPr>
            <w:tcW w:w="1933" w:type="dxa"/>
            <w:vMerge w:val="continue"/>
            <w:vAlign w:val="center"/>
          </w:tcPr>
          <w:p w14:paraId="40D9FD9D">
            <w:pPr>
              <w:ind w:firstLine="325"/>
              <w:jc w:val="left"/>
              <w:rPr>
                <w:color w:val="auto"/>
                <w:w w:val="90"/>
                <w:szCs w:val="21"/>
                <w:highlight w:val="none"/>
              </w:rPr>
            </w:pPr>
          </w:p>
        </w:tc>
        <w:tc>
          <w:tcPr>
            <w:tcW w:w="2209" w:type="dxa"/>
            <w:vMerge w:val="continue"/>
            <w:vAlign w:val="center"/>
          </w:tcPr>
          <w:p w14:paraId="1444D8E6">
            <w:pPr>
              <w:ind w:firstLine="325"/>
              <w:jc w:val="left"/>
              <w:rPr>
                <w:color w:val="auto"/>
                <w:w w:val="90"/>
                <w:szCs w:val="21"/>
                <w:highlight w:val="none"/>
              </w:rPr>
            </w:pPr>
          </w:p>
        </w:tc>
        <w:tc>
          <w:tcPr>
            <w:tcW w:w="1807" w:type="dxa"/>
            <w:vAlign w:val="center"/>
          </w:tcPr>
          <w:p w14:paraId="2579D543">
            <w:pPr>
              <w:ind w:firstLine="325"/>
              <w:jc w:val="left"/>
              <w:rPr>
                <w:b/>
                <w:color w:val="auto"/>
                <w:w w:val="90"/>
                <w:szCs w:val="21"/>
                <w:highlight w:val="none"/>
              </w:rPr>
            </w:pPr>
            <w:r>
              <w:rPr>
                <w:rFonts w:hint="eastAsia"/>
                <w:color w:val="auto"/>
                <w:w w:val="90"/>
                <w:szCs w:val="21"/>
                <w:highlight w:val="none"/>
              </w:rPr>
              <w:t>★</w:t>
            </w:r>
            <w:r>
              <w:rPr>
                <w:rFonts w:hint="eastAsia"/>
                <w:b/>
                <w:color w:val="auto"/>
                <w:w w:val="90"/>
                <w:szCs w:val="21"/>
                <w:highlight w:val="none"/>
              </w:rPr>
              <w:t>A0201060102激光打印机</w:t>
            </w:r>
          </w:p>
        </w:tc>
        <w:tc>
          <w:tcPr>
            <w:tcW w:w="3301" w:type="dxa"/>
            <w:vAlign w:val="center"/>
          </w:tcPr>
          <w:p w14:paraId="7D604398">
            <w:pPr>
              <w:ind w:firstLine="325"/>
              <w:jc w:val="left"/>
              <w:rPr>
                <w:color w:val="auto"/>
                <w:w w:val="90"/>
                <w:szCs w:val="21"/>
                <w:highlight w:val="none"/>
              </w:rPr>
            </w:pPr>
            <w:r>
              <w:rPr>
                <w:rFonts w:hint="eastAsia"/>
                <w:color w:val="auto"/>
                <w:w w:val="90"/>
                <w:szCs w:val="21"/>
                <w:highlight w:val="none"/>
              </w:rPr>
              <w:t>《复印机、打印机和传真机能效限定值及能效等级》（GB 21521）</w:t>
            </w:r>
          </w:p>
        </w:tc>
      </w:tr>
      <w:tr w14:paraId="6D9B25A0">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3DCC7A08">
            <w:pPr>
              <w:ind w:firstLine="325"/>
              <w:jc w:val="center"/>
              <w:rPr>
                <w:color w:val="auto"/>
                <w:w w:val="90"/>
                <w:szCs w:val="21"/>
                <w:highlight w:val="none"/>
              </w:rPr>
            </w:pPr>
          </w:p>
        </w:tc>
        <w:tc>
          <w:tcPr>
            <w:tcW w:w="1933" w:type="dxa"/>
            <w:vMerge w:val="continue"/>
            <w:vAlign w:val="center"/>
          </w:tcPr>
          <w:p w14:paraId="04CA2DDD">
            <w:pPr>
              <w:ind w:firstLine="325"/>
              <w:jc w:val="left"/>
              <w:rPr>
                <w:color w:val="auto"/>
                <w:w w:val="90"/>
                <w:szCs w:val="21"/>
                <w:highlight w:val="none"/>
              </w:rPr>
            </w:pPr>
          </w:p>
        </w:tc>
        <w:tc>
          <w:tcPr>
            <w:tcW w:w="2209" w:type="dxa"/>
            <w:vMerge w:val="continue"/>
            <w:vAlign w:val="center"/>
          </w:tcPr>
          <w:p w14:paraId="59172826">
            <w:pPr>
              <w:ind w:firstLine="325"/>
              <w:jc w:val="left"/>
              <w:rPr>
                <w:color w:val="auto"/>
                <w:w w:val="90"/>
                <w:szCs w:val="21"/>
                <w:highlight w:val="none"/>
              </w:rPr>
            </w:pPr>
          </w:p>
        </w:tc>
        <w:tc>
          <w:tcPr>
            <w:tcW w:w="1807" w:type="dxa"/>
            <w:vAlign w:val="center"/>
          </w:tcPr>
          <w:p w14:paraId="1ABB8B6E">
            <w:pPr>
              <w:ind w:firstLine="325"/>
              <w:jc w:val="left"/>
              <w:rPr>
                <w:b/>
                <w:color w:val="auto"/>
                <w:w w:val="90"/>
                <w:szCs w:val="21"/>
                <w:highlight w:val="none"/>
              </w:rPr>
            </w:pPr>
            <w:r>
              <w:rPr>
                <w:rFonts w:hint="eastAsia"/>
                <w:color w:val="auto"/>
                <w:w w:val="90"/>
                <w:szCs w:val="21"/>
                <w:highlight w:val="none"/>
              </w:rPr>
              <w:t>★</w:t>
            </w:r>
            <w:r>
              <w:rPr>
                <w:rFonts w:hint="eastAsia"/>
                <w:b/>
                <w:color w:val="auto"/>
                <w:w w:val="90"/>
                <w:szCs w:val="21"/>
                <w:highlight w:val="none"/>
              </w:rPr>
              <w:t>A0201060104针式打印机</w:t>
            </w:r>
          </w:p>
        </w:tc>
        <w:tc>
          <w:tcPr>
            <w:tcW w:w="3301" w:type="dxa"/>
            <w:vAlign w:val="center"/>
          </w:tcPr>
          <w:p w14:paraId="4B01191E">
            <w:pPr>
              <w:ind w:firstLine="325"/>
              <w:jc w:val="left"/>
              <w:rPr>
                <w:color w:val="auto"/>
                <w:w w:val="90"/>
                <w:szCs w:val="21"/>
                <w:highlight w:val="none"/>
              </w:rPr>
            </w:pPr>
            <w:r>
              <w:rPr>
                <w:rFonts w:hint="eastAsia"/>
                <w:color w:val="auto"/>
                <w:w w:val="90"/>
                <w:szCs w:val="21"/>
                <w:highlight w:val="none"/>
              </w:rPr>
              <w:t>《复印机、打印机和传真机能效限定值及能效等级》（GB 21521）</w:t>
            </w:r>
          </w:p>
        </w:tc>
      </w:tr>
      <w:tr w14:paraId="3A33341D">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413ED86D">
            <w:pPr>
              <w:ind w:firstLine="325"/>
              <w:jc w:val="center"/>
              <w:rPr>
                <w:color w:val="auto"/>
                <w:w w:val="90"/>
                <w:szCs w:val="21"/>
                <w:highlight w:val="none"/>
              </w:rPr>
            </w:pPr>
          </w:p>
        </w:tc>
        <w:tc>
          <w:tcPr>
            <w:tcW w:w="1933" w:type="dxa"/>
            <w:vMerge w:val="continue"/>
            <w:vAlign w:val="center"/>
          </w:tcPr>
          <w:p w14:paraId="440AED31">
            <w:pPr>
              <w:ind w:firstLine="325"/>
              <w:jc w:val="left"/>
              <w:rPr>
                <w:color w:val="auto"/>
                <w:w w:val="90"/>
                <w:szCs w:val="21"/>
                <w:highlight w:val="none"/>
              </w:rPr>
            </w:pPr>
          </w:p>
        </w:tc>
        <w:tc>
          <w:tcPr>
            <w:tcW w:w="2209" w:type="dxa"/>
            <w:vAlign w:val="center"/>
          </w:tcPr>
          <w:p w14:paraId="77BEE27E">
            <w:pPr>
              <w:ind w:firstLine="325"/>
              <w:jc w:val="left"/>
              <w:rPr>
                <w:color w:val="auto"/>
                <w:w w:val="90"/>
                <w:szCs w:val="21"/>
                <w:highlight w:val="none"/>
              </w:rPr>
            </w:pPr>
            <w:r>
              <w:rPr>
                <w:rFonts w:hint="eastAsia"/>
                <w:color w:val="auto"/>
                <w:w w:val="90"/>
                <w:szCs w:val="21"/>
                <w:highlight w:val="none"/>
              </w:rPr>
              <w:t>A02010604显示设备</w:t>
            </w:r>
          </w:p>
        </w:tc>
        <w:tc>
          <w:tcPr>
            <w:tcW w:w="1807" w:type="dxa"/>
            <w:vAlign w:val="center"/>
          </w:tcPr>
          <w:p w14:paraId="5E049D4C">
            <w:pPr>
              <w:ind w:firstLine="325"/>
              <w:jc w:val="left"/>
              <w:rPr>
                <w:b/>
                <w:color w:val="auto"/>
                <w:w w:val="90"/>
                <w:szCs w:val="21"/>
                <w:highlight w:val="none"/>
              </w:rPr>
            </w:pPr>
            <w:r>
              <w:rPr>
                <w:rFonts w:hint="eastAsia"/>
                <w:color w:val="auto"/>
                <w:w w:val="90"/>
                <w:szCs w:val="21"/>
                <w:highlight w:val="none"/>
              </w:rPr>
              <w:t>★</w:t>
            </w:r>
            <w:r>
              <w:rPr>
                <w:rFonts w:hint="eastAsia"/>
                <w:b/>
                <w:color w:val="auto"/>
                <w:w w:val="90"/>
                <w:szCs w:val="21"/>
                <w:highlight w:val="none"/>
              </w:rPr>
              <w:t>A0201060401液晶显示器</w:t>
            </w:r>
          </w:p>
        </w:tc>
        <w:tc>
          <w:tcPr>
            <w:tcW w:w="3301" w:type="dxa"/>
            <w:vAlign w:val="center"/>
          </w:tcPr>
          <w:p w14:paraId="7AC1A6BD">
            <w:pPr>
              <w:ind w:firstLine="325"/>
              <w:jc w:val="left"/>
              <w:rPr>
                <w:color w:val="auto"/>
                <w:w w:val="90"/>
                <w:szCs w:val="21"/>
                <w:highlight w:val="none"/>
              </w:rPr>
            </w:pPr>
            <w:r>
              <w:rPr>
                <w:rFonts w:hint="eastAsia"/>
                <w:color w:val="auto"/>
                <w:w w:val="90"/>
                <w:szCs w:val="21"/>
                <w:highlight w:val="none"/>
              </w:rPr>
              <w:t>《计算机显示器能效限定值及能效等级》（GB 21520）</w:t>
            </w:r>
          </w:p>
        </w:tc>
      </w:tr>
      <w:tr w14:paraId="4CF41E08">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3B8B49F6">
            <w:pPr>
              <w:ind w:firstLine="325"/>
              <w:jc w:val="center"/>
              <w:rPr>
                <w:color w:val="auto"/>
                <w:w w:val="90"/>
                <w:szCs w:val="21"/>
                <w:highlight w:val="none"/>
              </w:rPr>
            </w:pPr>
          </w:p>
        </w:tc>
        <w:tc>
          <w:tcPr>
            <w:tcW w:w="1933" w:type="dxa"/>
            <w:vMerge w:val="continue"/>
            <w:vAlign w:val="center"/>
          </w:tcPr>
          <w:p w14:paraId="3A550FB4">
            <w:pPr>
              <w:ind w:firstLine="325"/>
              <w:jc w:val="left"/>
              <w:rPr>
                <w:color w:val="auto"/>
                <w:w w:val="90"/>
                <w:szCs w:val="21"/>
                <w:highlight w:val="none"/>
              </w:rPr>
            </w:pPr>
          </w:p>
        </w:tc>
        <w:tc>
          <w:tcPr>
            <w:tcW w:w="2209" w:type="dxa"/>
            <w:vAlign w:val="center"/>
          </w:tcPr>
          <w:p w14:paraId="11C4B32D">
            <w:pPr>
              <w:ind w:firstLine="325"/>
              <w:jc w:val="left"/>
              <w:rPr>
                <w:color w:val="auto"/>
                <w:w w:val="90"/>
                <w:szCs w:val="21"/>
                <w:highlight w:val="none"/>
              </w:rPr>
            </w:pPr>
            <w:r>
              <w:rPr>
                <w:rFonts w:hint="eastAsia"/>
                <w:color w:val="auto"/>
                <w:w w:val="90"/>
                <w:szCs w:val="21"/>
                <w:highlight w:val="none"/>
              </w:rPr>
              <w:t>A02010609图形图像输入设备</w:t>
            </w:r>
          </w:p>
        </w:tc>
        <w:tc>
          <w:tcPr>
            <w:tcW w:w="1807" w:type="dxa"/>
            <w:vAlign w:val="center"/>
          </w:tcPr>
          <w:p w14:paraId="2A683C1D">
            <w:pPr>
              <w:ind w:firstLine="325"/>
              <w:jc w:val="left"/>
              <w:rPr>
                <w:color w:val="auto"/>
                <w:w w:val="90"/>
                <w:szCs w:val="21"/>
                <w:highlight w:val="none"/>
              </w:rPr>
            </w:pPr>
            <w:r>
              <w:rPr>
                <w:rFonts w:hint="eastAsia"/>
                <w:color w:val="auto"/>
                <w:w w:val="90"/>
                <w:szCs w:val="21"/>
                <w:highlight w:val="none"/>
              </w:rPr>
              <w:t>A0201060901扫描仪</w:t>
            </w:r>
          </w:p>
        </w:tc>
        <w:tc>
          <w:tcPr>
            <w:tcW w:w="3301" w:type="dxa"/>
            <w:vAlign w:val="center"/>
          </w:tcPr>
          <w:p w14:paraId="46D43DE3">
            <w:pPr>
              <w:ind w:firstLine="325"/>
              <w:jc w:val="left"/>
              <w:rPr>
                <w:color w:val="auto"/>
                <w:w w:val="90"/>
                <w:szCs w:val="21"/>
                <w:highlight w:val="none"/>
              </w:rPr>
            </w:pPr>
            <w:r>
              <w:rPr>
                <w:rFonts w:hint="eastAsia"/>
                <w:color w:val="auto"/>
                <w:w w:val="90"/>
                <w:szCs w:val="21"/>
                <w:highlight w:val="none"/>
              </w:rPr>
              <w:t>参照《复印机、打印机和传真机能效限定值及能效等级》（GB 21521中打印速度为 15 页/分的针式打印机相关要求</w:t>
            </w:r>
          </w:p>
        </w:tc>
      </w:tr>
      <w:tr w14:paraId="38AAF0FF">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44C3D81E">
            <w:pPr>
              <w:ind w:firstLine="325"/>
              <w:jc w:val="center"/>
              <w:rPr>
                <w:color w:val="auto"/>
                <w:w w:val="90"/>
                <w:szCs w:val="21"/>
                <w:highlight w:val="none"/>
              </w:rPr>
            </w:pPr>
            <w:r>
              <w:rPr>
                <w:rFonts w:hint="eastAsia"/>
                <w:color w:val="auto"/>
                <w:w w:val="90"/>
                <w:szCs w:val="21"/>
                <w:highlight w:val="none"/>
              </w:rPr>
              <w:t>3</w:t>
            </w:r>
          </w:p>
        </w:tc>
        <w:tc>
          <w:tcPr>
            <w:tcW w:w="1933" w:type="dxa"/>
            <w:vAlign w:val="center"/>
          </w:tcPr>
          <w:p w14:paraId="480E308A">
            <w:pPr>
              <w:ind w:firstLine="325"/>
              <w:jc w:val="left"/>
              <w:rPr>
                <w:color w:val="auto"/>
                <w:w w:val="90"/>
                <w:szCs w:val="21"/>
                <w:highlight w:val="none"/>
              </w:rPr>
            </w:pPr>
            <w:r>
              <w:rPr>
                <w:rFonts w:hint="eastAsia"/>
                <w:color w:val="auto"/>
                <w:w w:val="90"/>
                <w:szCs w:val="21"/>
                <w:highlight w:val="none"/>
              </w:rPr>
              <w:t>A020202投影仪</w:t>
            </w:r>
          </w:p>
        </w:tc>
        <w:tc>
          <w:tcPr>
            <w:tcW w:w="2209" w:type="dxa"/>
            <w:vAlign w:val="center"/>
          </w:tcPr>
          <w:p w14:paraId="7455D9FF">
            <w:pPr>
              <w:ind w:firstLine="325"/>
              <w:jc w:val="left"/>
              <w:rPr>
                <w:color w:val="auto"/>
                <w:w w:val="90"/>
                <w:szCs w:val="21"/>
                <w:highlight w:val="none"/>
              </w:rPr>
            </w:pPr>
          </w:p>
        </w:tc>
        <w:tc>
          <w:tcPr>
            <w:tcW w:w="1807" w:type="dxa"/>
            <w:vAlign w:val="center"/>
          </w:tcPr>
          <w:p w14:paraId="096DC930">
            <w:pPr>
              <w:ind w:firstLine="325"/>
              <w:jc w:val="center"/>
              <w:rPr>
                <w:color w:val="auto"/>
                <w:w w:val="90"/>
                <w:szCs w:val="21"/>
                <w:highlight w:val="none"/>
              </w:rPr>
            </w:pPr>
          </w:p>
        </w:tc>
        <w:tc>
          <w:tcPr>
            <w:tcW w:w="3301" w:type="dxa"/>
            <w:vAlign w:val="center"/>
          </w:tcPr>
          <w:p w14:paraId="72E77031">
            <w:pPr>
              <w:ind w:firstLine="325"/>
              <w:jc w:val="left"/>
              <w:rPr>
                <w:color w:val="auto"/>
                <w:w w:val="90"/>
                <w:szCs w:val="21"/>
                <w:highlight w:val="none"/>
              </w:rPr>
            </w:pPr>
            <w:r>
              <w:rPr>
                <w:rFonts w:hint="eastAsia"/>
                <w:color w:val="auto"/>
                <w:w w:val="90"/>
                <w:szCs w:val="21"/>
                <w:highlight w:val="none"/>
              </w:rPr>
              <w:t>《投影机能效限定值及能效等级（GB 32028）</w:t>
            </w:r>
          </w:p>
        </w:tc>
      </w:tr>
      <w:tr w14:paraId="2788D1C6">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6A8E3BF2">
            <w:pPr>
              <w:ind w:firstLine="325"/>
              <w:jc w:val="center"/>
              <w:rPr>
                <w:color w:val="auto"/>
                <w:w w:val="90"/>
                <w:szCs w:val="21"/>
                <w:highlight w:val="none"/>
              </w:rPr>
            </w:pPr>
            <w:r>
              <w:rPr>
                <w:rFonts w:hint="eastAsia"/>
                <w:color w:val="auto"/>
                <w:w w:val="90"/>
                <w:szCs w:val="21"/>
                <w:highlight w:val="none"/>
              </w:rPr>
              <w:t>4</w:t>
            </w:r>
          </w:p>
        </w:tc>
        <w:tc>
          <w:tcPr>
            <w:tcW w:w="1933" w:type="dxa"/>
            <w:vAlign w:val="center"/>
          </w:tcPr>
          <w:p w14:paraId="6180863D">
            <w:pPr>
              <w:ind w:firstLine="325"/>
              <w:jc w:val="left"/>
              <w:rPr>
                <w:color w:val="auto"/>
                <w:w w:val="90"/>
                <w:szCs w:val="21"/>
                <w:highlight w:val="none"/>
              </w:rPr>
            </w:pPr>
            <w:r>
              <w:rPr>
                <w:rFonts w:hint="eastAsia"/>
                <w:color w:val="auto"/>
                <w:w w:val="90"/>
                <w:szCs w:val="21"/>
                <w:highlight w:val="none"/>
              </w:rPr>
              <w:t>A020204352多功能一体机</w:t>
            </w:r>
          </w:p>
        </w:tc>
        <w:tc>
          <w:tcPr>
            <w:tcW w:w="2209" w:type="dxa"/>
            <w:vAlign w:val="center"/>
          </w:tcPr>
          <w:p w14:paraId="63997450">
            <w:pPr>
              <w:ind w:firstLine="325"/>
              <w:jc w:val="left"/>
              <w:rPr>
                <w:color w:val="auto"/>
                <w:w w:val="90"/>
                <w:szCs w:val="21"/>
                <w:highlight w:val="none"/>
              </w:rPr>
            </w:pPr>
          </w:p>
        </w:tc>
        <w:tc>
          <w:tcPr>
            <w:tcW w:w="1807" w:type="dxa"/>
            <w:vAlign w:val="center"/>
          </w:tcPr>
          <w:p w14:paraId="37EDBAAB">
            <w:pPr>
              <w:ind w:firstLine="325"/>
              <w:jc w:val="center"/>
              <w:rPr>
                <w:color w:val="auto"/>
                <w:w w:val="90"/>
                <w:szCs w:val="21"/>
                <w:highlight w:val="none"/>
              </w:rPr>
            </w:pPr>
          </w:p>
        </w:tc>
        <w:tc>
          <w:tcPr>
            <w:tcW w:w="3301" w:type="dxa"/>
            <w:vAlign w:val="center"/>
          </w:tcPr>
          <w:p w14:paraId="37445DA2">
            <w:pPr>
              <w:ind w:firstLine="325"/>
              <w:jc w:val="left"/>
              <w:rPr>
                <w:color w:val="auto"/>
                <w:w w:val="90"/>
                <w:szCs w:val="21"/>
                <w:highlight w:val="none"/>
              </w:rPr>
            </w:pPr>
            <w:r>
              <w:rPr>
                <w:rFonts w:hint="eastAsia"/>
                <w:color w:val="auto"/>
                <w:w w:val="90"/>
                <w:szCs w:val="21"/>
                <w:highlight w:val="none"/>
              </w:rPr>
              <w:t>《复印机、打印机和传真机能效限定值及能效等级》（GB 21521）</w:t>
            </w:r>
          </w:p>
        </w:tc>
      </w:tr>
      <w:tr w14:paraId="4EE02A6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3AFD03D0">
            <w:pPr>
              <w:ind w:firstLine="325"/>
              <w:jc w:val="center"/>
              <w:rPr>
                <w:color w:val="auto"/>
                <w:w w:val="90"/>
                <w:szCs w:val="21"/>
                <w:highlight w:val="none"/>
              </w:rPr>
            </w:pPr>
            <w:r>
              <w:rPr>
                <w:rFonts w:hint="eastAsia"/>
                <w:color w:val="auto"/>
                <w:w w:val="90"/>
                <w:szCs w:val="21"/>
                <w:highlight w:val="none"/>
              </w:rPr>
              <w:t>5</w:t>
            </w:r>
          </w:p>
        </w:tc>
        <w:tc>
          <w:tcPr>
            <w:tcW w:w="1933" w:type="dxa"/>
            <w:vAlign w:val="center"/>
          </w:tcPr>
          <w:p w14:paraId="7A253AEA">
            <w:pPr>
              <w:ind w:firstLine="325"/>
              <w:jc w:val="left"/>
              <w:rPr>
                <w:color w:val="auto"/>
                <w:w w:val="90"/>
                <w:szCs w:val="21"/>
                <w:highlight w:val="none"/>
              </w:rPr>
            </w:pPr>
            <w:r>
              <w:rPr>
                <w:rFonts w:hint="eastAsia"/>
                <w:color w:val="auto"/>
                <w:w w:val="90"/>
                <w:szCs w:val="21"/>
                <w:highlight w:val="none"/>
              </w:rPr>
              <w:t>A020519泵</w:t>
            </w:r>
          </w:p>
        </w:tc>
        <w:tc>
          <w:tcPr>
            <w:tcW w:w="2209" w:type="dxa"/>
            <w:vAlign w:val="center"/>
          </w:tcPr>
          <w:p w14:paraId="50A9F9CA">
            <w:pPr>
              <w:ind w:firstLine="325"/>
              <w:jc w:val="left"/>
              <w:rPr>
                <w:color w:val="auto"/>
                <w:w w:val="90"/>
                <w:szCs w:val="21"/>
                <w:highlight w:val="none"/>
              </w:rPr>
            </w:pPr>
            <w:r>
              <w:rPr>
                <w:rFonts w:hint="eastAsia"/>
                <w:color w:val="auto"/>
                <w:w w:val="90"/>
                <w:szCs w:val="21"/>
                <w:highlight w:val="none"/>
              </w:rPr>
              <w:t>A02051901离心泵</w:t>
            </w:r>
          </w:p>
        </w:tc>
        <w:tc>
          <w:tcPr>
            <w:tcW w:w="1807" w:type="dxa"/>
            <w:vAlign w:val="center"/>
          </w:tcPr>
          <w:p w14:paraId="66BDA6E2">
            <w:pPr>
              <w:ind w:firstLine="325"/>
              <w:jc w:val="center"/>
              <w:rPr>
                <w:color w:val="auto"/>
                <w:w w:val="90"/>
                <w:szCs w:val="21"/>
                <w:highlight w:val="none"/>
              </w:rPr>
            </w:pPr>
          </w:p>
        </w:tc>
        <w:tc>
          <w:tcPr>
            <w:tcW w:w="3301" w:type="dxa"/>
            <w:vAlign w:val="center"/>
          </w:tcPr>
          <w:p w14:paraId="62C76ED1">
            <w:pPr>
              <w:ind w:firstLine="325"/>
              <w:jc w:val="left"/>
              <w:rPr>
                <w:color w:val="auto"/>
                <w:w w:val="90"/>
                <w:szCs w:val="21"/>
                <w:highlight w:val="none"/>
              </w:rPr>
            </w:pPr>
            <w:r>
              <w:rPr>
                <w:rFonts w:hint="eastAsia"/>
                <w:color w:val="auto"/>
                <w:w w:val="90"/>
                <w:szCs w:val="21"/>
                <w:highlight w:val="none"/>
              </w:rPr>
              <w:t>《清水离心泵能效限定值及节能评价值》（GB 19762）</w:t>
            </w:r>
          </w:p>
        </w:tc>
      </w:tr>
      <w:tr w14:paraId="026FCF73">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restart"/>
            <w:vAlign w:val="center"/>
          </w:tcPr>
          <w:p w14:paraId="6339EC65">
            <w:pPr>
              <w:ind w:firstLine="325"/>
              <w:jc w:val="center"/>
              <w:rPr>
                <w:color w:val="auto"/>
                <w:w w:val="90"/>
                <w:szCs w:val="21"/>
                <w:highlight w:val="none"/>
              </w:rPr>
            </w:pPr>
            <w:r>
              <w:rPr>
                <w:rFonts w:hint="eastAsia"/>
                <w:color w:val="auto"/>
                <w:w w:val="90"/>
                <w:szCs w:val="21"/>
                <w:highlight w:val="none"/>
              </w:rPr>
              <w:t>6</w:t>
            </w:r>
          </w:p>
        </w:tc>
        <w:tc>
          <w:tcPr>
            <w:tcW w:w="1933" w:type="dxa"/>
            <w:vMerge w:val="restart"/>
            <w:vAlign w:val="center"/>
          </w:tcPr>
          <w:p w14:paraId="09748E4C">
            <w:pPr>
              <w:ind w:firstLine="325"/>
              <w:jc w:val="left"/>
              <w:rPr>
                <w:color w:val="auto"/>
                <w:w w:val="90"/>
                <w:szCs w:val="21"/>
                <w:highlight w:val="none"/>
              </w:rPr>
            </w:pPr>
            <w:r>
              <w:rPr>
                <w:rFonts w:hint="eastAsia"/>
                <w:color w:val="auto"/>
                <w:w w:val="90"/>
                <w:szCs w:val="21"/>
                <w:highlight w:val="none"/>
              </w:rPr>
              <w:t>A020523制冷空调设备</w:t>
            </w:r>
          </w:p>
        </w:tc>
        <w:tc>
          <w:tcPr>
            <w:tcW w:w="2209" w:type="dxa"/>
            <w:vMerge w:val="restart"/>
            <w:vAlign w:val="center"/>
          </w:tcPr>
          <w:p w14:paraId="2ACE26DA">
            <w:pPr>
              <w:ind w:firstLine="325"/>
              <w:jc w:val="left"/>
              <w:rPr>
                <w:b/>
                <w:color w:val="auto"/>
                <w:w w:val="90"/>
                <w:szCs w:val="21"/>
                <w:highlight w:val="none"/>
              </w:rPr>
            </w:pPr>
            <w:r>
              <w:rPr>
                <w:rFonts w:hint="eastAsia"/>
                <w:color w:val="auto"/>
                <w:w w:val="90"/>
                <w:szCs w:val="21"/>
                <w:highlight w:val="none"/>
              </w:rPr>
              <w:t>★</w:t>
            </w:r>
            <w:r>
              <w:rPr>
                <w:rFonts w:hint="eastAsia"/>
                <w:b/>
                <w:color w:val="auto"/>
                <w:w w:val="90"/>
                <w:szCs w:val="21"/>
                <w:highlight w:val="none"/>
              </w:rPr>
              <w:t>A02052301制冷压缩机</w:t>
            </w:r>
          </w:p>
        </w:tc>
        <w:tc>
          <w:tcPr>
            <w:tcW w:w="1807" w:type="dxa"/>
            <w:vAlign w:val="center"/>
          </w:tcPr>
          <w:p w14:paraId="040E5007">
            <w:pPr>
              <w:ind w:firstLine="325"/>
              <w:jc w:val="left"/>
              <w:rPr>
                <w:b/>
                <w:color w:val="auto"/>
                <w:w w:val="90"/>
                <w:szCs w:val="21"/>
                <w:highlight w:val="none"/>
              </w:rPr>
            </w:pPr>
            <w:r>
              <w:rPr>
                <w:rFonts w:hint="eastAsia"/>
                <w:b/>
                <w:color w:val="auto"/>
                <w:w w:val="90"/>
                <w:szCs w:val="21"/>
                <w:highlight w:val="none"/>
              </w:rPr>
              <w:t>冷水机组</w:t>
            </w:r>
          </w:p>
        </w:tc>
        <w:tc>
          <w:tcPr>
            <w:tcW w:w="3301" w:type="dxa"/>
            <w:vAlign w:val="center"/>
          </w:tcPr>
          <w:p w14:paraId="1E291CEC">
            <w:pPr>
              <w:ind w:firstLine="325"/>
              <w:jc w:val="left"/>
              <w:rPr>
                <w:color w:val="auto"/>
                <w:w w:val="90"/>
                <w:szCs w:val="21"/>
                <w:highlight w:val="none"/>
              </w:rPr>
            </w:pPr>
            <w:r>
              <w:rPr>
                <w:rFonts w:hint="eastAsia"/>
                <w:color w:val="auto"/>
                <w:w w:val="90"/>
                <w:szCs w:val="21"/>
                <w:highlight w:val="none"/>
              </w:rPr>
              <w:t>《冷水机组能效限定值及能效等级》（GB 19577），《低环境温度空气源热泵（冷水）机组能效限定值及能效等级》（GB 37480）</w:t>
            </w:r>
          </w:p>
        </w:tc>
      </w:tr>
      <w:tr w14:paraId="183B8E36">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487E579C">
            <w:pPr>
              <w:ind w:firstLine="325"/>
              <w:jc w:val="center"/>
              <w:rPr>
                <w:color w:val="auto"/>
                <w:w w:val="90"/>
                <w:szCs w:val="21"/>
                <w:highlight w:val="none"/>
              </w:rPr>
            </w:pPr>
          </w:p>
        </w:tc>
        <w:tc>
          <w:tcPr>
            <w:tcW w:w="1933" w:type="dxa"/>
            <w:vMerge w:val="continue"/>
            <w:vAlign w:val="center"/>
          </w:tcPr>
          <w:p w14:paraId="285A2CF0">
            <w:pPr>
              <w:ind w:firstLine="325"/>
              <w:jc w:val="left"/>
              <w:rPr>
                <w:color w:val="auto"/>
                <w:w w:val="90"/>
                <w:szCs w:val="21"/>
                <w:highlight w:val="none"/>
              </w:rPr>
            </w:pPr>
          </w:p>
        </w:tc>
        <w:tc>
          <w:tcPr>
            <w:tcW w:w="2209" w:type="dxa"/>
            <w:vMerge w:val="continue"/>
            <w:vAlign w:val="center"/>
          </w:tcPr>
          <w:p w14:paraId="1C882E33">
            <w:pPr>
              <w:ind w:firstLine="323"/>
              <w:jc w:val="left"/>
              <w:rPr>
                <w:b/>
                <w:color w:val="auto"/>
                <w:w w:val="90"/>
                <w:szCs w:val="21"/>
                <w:highlight w:val="none"/>
              </w:rPr>
            </w:pPr>
          </w:p>
        </w:tc>
        <w:tc>
          <w:tcPr>
            <w:tcW w:w="1807" w:type="dxa"/>
            <w:vAlign w:val="center"/>
          </w:tcPr>
          <w:p w14:paraId="7D4C0C97">
            <w:pPr>
              <w:ind w:firstLine="325"/>
              <w:jc w:val="left"/>
              <w:rPr>
                <w:b/>
                <w:color w:val="auto"/>
                <w:w w:val="90"/>
                <w:szCs w:val="21"/>
                <w:highlight w:val="none"/>
              </w:rPr>
            </w:pPr>
            <w:r>
              <w:rPr>
                <w:rFonts w:hint="eastAsia"/>
                <w:b/>
                <w:color w:val="auto"/>
                <w:w w:val="90"/>
                <w:szCs w:val="21"/>
                <w:highlight w:val="none"/>
              </w:rPr>
              <w:t>水源热泵机组</w:t>
            </w:r>
          </w:p>
        </w:tc>
        <w:tc>
          <w:tcPr>
            <w:tcW w:w="3301" w:type="dxa"/>
            <w:vAlign w:val="center"/>
          </w:tcPr>
          <w:p w14:paraId="45D006A4">
            <w:pPr>
              <w:ind w:firstLine="325"/>
              <w:jc w:val="left"/>
              <w:rPr>
                <w:color w:val="auto"/>
                <w:w w:val="90"/>
                <w:szCs w:val="21"/>
                <w:highlight w:val="none"/>
              </w:rPr>
            </w:pPr>
            <w:r>
              <w:rPr>
                <w:rFonts w:hint="eastAsia"/>
                <w:color w:val="auto"/>
                <w:w w:val="90"/>
                <w:szCs w:val="21"/>
                <w:highlight w:val="none"/>
              </w:rPr>
              <w:t>《水（地）源热泵机组能效限定值及能效等级》（GB 30721）</w:t>
            </w:r>
          </w:p>
        </w:tc>
      </w:tr>
      <w:tr w14:paraId="49517DC1">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4F83E5FA">
            <w:pPr>
              <w:ind w:firstLine="325"/>
              <w:jc w:val="center"/>
              <w:rPr>
                <w:color w:val="auto"/>
                <w:w w:val="90"/>
                <w:szCs w:val="21"/>
                <w:highlight w:val="none"/>
              </w:rPr>
            </w:pPr>
          </w:p>
        </w:tc>
        <w:tc>
          <w:tcPr>
            <w:tcW w:w="1933" w:type="dxa"/>
            <w:vMerge w:val="continue"/>
            <w:vAlign w:val="center"/>
          </w:tcPr>
          <w:p w14:paraId="340A3CE0">
            <w:pPr>
              <w:ind w:firstLine="325"/>
              <w:jc w:val="left"/>
              <w:rPr>
                <w:color w:val="auto"/>
                <w:w w:val="90"/>
                <w:szCs w:val="21"/>
                <w:highlight w:val="none"/>
              </w:rPr>
            </w:pPr>
          </w:p>
        </w:tc>
        <w:tc>
          <w:tcPr>
            <w:tcW w:w="2209" w:type="dxa"/>
            <w:vMerge w:val="continue"/>
            <w:vAlign w:val="center"/>
          </w:tcPr>
          <w:p w14:paraId="7375ABF4">
            <w:pPr>
              <w:ind w:firstLine="323"/>
              <w:jc w:val="left"/>
              <w:rPr>
                <w:b/>
                <w:color w:val="auto"/>
                <w:w w:val="90"/>
                <w:szCs w:val="21"/>
                <w:highlight w:val="none"/>
              </w:rPr>
            </w:pPr>
          </w:p>
        </w:tc>
        <w:tc>
          <w:tcPr>
            <w:tcW w:w="1807" w:type="dxa"/>
            <w:vAlign w:val="center"/>
          </w:tcPr>
          <w:p w14:paraId="2F6EC88C">
            <w:pPr>
              <w:ind w:firstLine="325"/>
              <w:jc w:val="left"/>
              <w:rPr>
                <w:b/>
                <w:color w:val="auto"/>
                <w:w w:val="90"/>
                <w:szCs w:val="21"/>
                <w:highlight w:val="none"/>
              </w:rPr>
            </w:pPr>
            <w:r>
              <w:rPr>
                <w:rFonts w:hint="eastAsia"/>
                <w:b/>
                <w:color w:val="auto"/>
                <w:w w:val="90"/>
                <w:szCs w:val="21"/>
                <w:highlight w:val="none"/>
              </w:rPr>
              <w:t>溴化锂吸收式冷水机组</w:t>
            </w:r>
          </w:p>
        </w:tc>
        <w:tc>
          <w:tcPr>
            <w:tcW w:w="3301" w:type="dxa"/>
            <w:vAlign w:val="center"/>
          </w:tcPr>
          <w:p w14:paraId="08BB2383">
            <w:pPr>
              <w:ind w:firstLine="325"/>
              <w:jc w:val="left"/>
              <w:rPr>
                <w:color w:val="auto"/>
                <w:w w:val="90"/>
                <w:szCs w:val="21"/>
                <w:highlight w:val="none"/>
              </w:rPr>
            </w:pPr>
            <w:r>
              <w:rPr>
                <w:rFonts w:hint="eastAsia"/>
                <w:color w:val="auto"/>
                <w:w w:val="90"/>
                <w:szCs w:val="21"/>
                <w:highlight w:val="none"/>
              </w:rPr>
              <w:t>《溴化锂吸收式冷水机组能效限定值及能效等级》（GB 29540）</w:t>
            </w:r>
          </w:p>
        </w:tc>
      </w:tr>
      <w:tr w14:paraId="24C48D51">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17F67217">
            <w:pPr>
              <w:ind w:firstLine="325"/>
              <w:jc w:val="center"/>
              <w:rPr>
                <w:color w:val="auto"/>
                <w:w w:val="90"/>
                <w:szCs w:val="21"/>
                <w:highlight w:val="none"/>
              </w:rPr>
            </w:pPr>
          </w:p>
        </w:tc>
        <w:tc>
          <w:tcPr>
            <w:tcW w:w="1933" w:type="dxa"/>
            <w:vMerge w:val="continue"/>
            <w:vAlign w:val="center"/>
          </w:tcPr>
          <w:p w14:paraId="5054881F">
            <w:pPr>
              <w:ind w:firstLine="325"/>
              <w:jc w:val="left"/>
              <w:rPr>
                <w:color w:val="auto"/>
                <w:w w:val="90"/>
                <w:szCs w:val="21"/>
                <w:highlight w:val="none"/>
              </w:rPr>
            </w:pPr>
          </w:p>
        </w:tc>
        <w:tc>
          <w:tcPr>
            <w:tcW w:w="2209" w:type="dxa"/>
            <w:vMerge w:val="restart"/>
            <w:vAlign w:val="center"/>
          </w:tcPr>
          <w:p w14:paraId="4015C60A">
            <w:pPr>
              <w:ind w:firstLine="325"/>
              <w:jc w:val="left"/>
              <w:rPr>
                <w:b/>
                <w:color w:val="auto"/>
                <w:w w:val="90"/>
                <w:szCs w:val="21"/>
                <w:highlight w:val="none"/>
              </w:rPr>
            </w:pPr>
            <w:r>
              <w:rPr>
                <w:rFonts w:hint="eastAsia"/>
                <w:color w:val="auto"/>
                <w:w w:val="90"/>
                <w:szCs w:val="21"/>
                <w:highlight w:val="none"/>
              </w:rPr>
              <w:t>★</w:t>
            </w:r>
            <w:r>
              <w:rPr>
                <w:rFonts w:hint="eastAsia"/>
                <w:b/>
                <w:color w:val="auto"/>
                <w:w w:val="90"/>
                <w:szCs w:val="21"/>
                <w:highlight w:val="none"/>
              </w:rPr>
              <w:t>A02052305空调机组</w:t>
            </w:r>
          </w:p>
        </w:tc>
        <w:tc>
          <w:tcPr>
            <w:tcW w:w="1807" w:type="dxa"/>
            <w:vAlign w:val="center"/>
          </w:tcPr>
          <w:p w14:paraId="657A39E5">
            <w:pPr>
              <w:ind w:firstLine="325"/>
              <w:jc w:val="left"/>
              <w:rPr>
                <w:b/>
                <w:color w:val="auto"/>
                <w:w w:val="90"/>
                <w:szCs w:val="21"/>
                <w:highlight w:val="none"/>
              </w:rPr>
            </w:pPr>
            <w:r>
              <w:rPr>
                <w:rFonts w:hint="eastAsia"/>
                <w:b/>
                <w:color w:val="auto"/>
                <w:w w:val="90"/>
                <w:szCs w:val="21"/>
                <w:highlight w:val="none"/>
              </w:rPr>
              <w:t>多联式空调（热泵）机组(制冷量&gt;14000W)</w:t>
            </w:r>
          </w:p>
        </w:tc>
        <w:tc>
          <w:tcPr>
            <w:tcW w:w="3301" w:type="dxa"/>
            <w:vAlign w:val="center"/>
          </w:tcPr>
          <w:p w14:paraId="696028D5">
            <w:pPr>
              <w:ind w:firstLine="325"/>
              <w:jc w:val="left"/>
              <w:rPr>
                <w:color w:val="auto"/>
                <w:w w:val="90"/>
                <w:szCs w:val="21"/>
                <w:highlight w:val="none"/>
              </w:rPr>
            </w:pPr>
            <w:r>
              <w:rPr>
                <w:rFonts w:hint="eastAsia"/>
                <w:color w:val="auto"/>
                <w:w w:val="90"/>
                <w:szCs w:val="21"/>
                <w:highlight w:val="none"/>
              </w:rPr>
              <w:t>《多联式空调（热泵）机组能效限定值及能源效率等级》（GB 21454）</w:t>
            </w:r>
          </w:p>
        </w:tc>
      </w:tr>
      <w:tr w14:paraId="6E3F45DD">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3EF9AAE6">
            <w:pPr>
              <w:ind w:firstLine="325"/>
              <w:jc w:val="center"/>
              <w:rPr>
                <w:color w:val="auto"/>
                <w:w w:val="90"/>
                <w:szCs w:val="21"/>
                <w:highlight w:val="none"/>
              </w:rPr>
            </w:pPr>
          </w:p>
        </w:tc>
        <w:tc>
          <w:tcPr>
            <w:tcW w:w="1933" w:type="dxa"/>
            <w:vMerge w:val="continue"/>
            <w:vAlign w:val="center"/>
          </w:tcPr>
          <w:p w14:paraId="611930CC">
            <w:pPr>
              <w:ind w:firstLine="325"/>
              <w:jc w:val="left"/>
              <w:rPr>
                <w:color w:val="auto"/>
                <w:w w:val="90"/>
                <w:szCs w:val="21"/>
                <w:highlight w:val="none"/>
              </w:rPr>
            </w:pPr>
          </w:p>
        </w:tc>
        <w:tc>
          <w:tcPr>
            <w:tcW w:w="2209" w:type="dxa"/>
            <w:vMerge w:val="continue"/>
            <w:vAlign w:val="center"/>
          </w:tcPr>
          <w:p w14:paraId="7DF0258F">
            <w:pPr>
              <w:ind w:firstLine="323"/>
              <w:jc w:val="left"/>
              <w:rPr>
                <w:b/>
                <w:color w:val="auto"/>
                <w:w w:val="90"/>
                <w:szCs w:val="21"/>
                <w:highlight w:val="none"/>
              </w:rPr>
            </w:pPr>
          </w:p>
        </w:tc>
        <w:tc>
          <w:tcPr>
            <w:tcW w:w="1807" w:type="dxa"/>
            <w:vAlign w:val="center"/>
          </w:tcPr>
          <w:p w14:paraId="0851F8EB">
            <w:pPr>
              <w:ind w:firstLine="325"/>
              <w:jc w:val="left"/>
              <w:rPr>
                <w:b/>
                <w:color w:val="auto"/>
                <w:w w:val="90"/>
                <w:szCs w:val="21"/>
                <w:highlight w:val="none"/>
              </w:rPr>
            </w:pPr>
            <w:r>
              <w:rPr>
                <w:rFonts w:hint="eastAsia"/>
                <w:b/>
                <w:color w:val="auto"/>
                <w:w w:val="90"/>
                <w:szCs w:val="21"/>
                <w:highlight w:val="none"/>
              </w:rPr>
              <w:t>单元式空气调节机(制冷量&gt;14000W)</w:t>
            </w:r>
          </w:p>
        </w:tc>
        <w:tc>
          <w:tcPr>
            <w:tcW w:w="3301" w:type="dxa"/>
            <w:vAlign w:val="center"/>
          </w:tcPr>
          <w:p w14:paraId="1C6473CA">
            <w:pPr>
              <w:ind w:firstLine="325"/>
              <w:jc w:val="left"/>
              <w:rPr>
                <w:color w:val="auto"/>
                <w:w w:val="90"/>
                <w:szCs w:val="21"/>
                <w:highlight w:val="none"/>
              </w:rPr>
            </w:pPr>
            <w:r>
              <w:rPr>
                <w:rFonts w:hint="eastAsia"/>
                <w:color w:val="auto"/>
                <w:w w:val="90"/>
                <w:szCs w:val="21"/>
                <w:highlight w:val="none"/>
              </w:rPr>
              <w:t>《单元式空气调节机能效限定值及能效等级》（GB 19576）《风管送风式空调机组能效限定值及能效等级》（GB 37479）</w:t>
            </w:r>
          </w:p>
        </w:tc>
      </w:tr>
      <w:tr w14:paraId="49CFD11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4F1B330E">
            <w:pPr>
              <w:ind w:firstLine="325"/>
              <w:jc w:val="center"/>
              <w:rPr>
                <w:color w:val="auto"/>
                <w:w w:val="90"/>
                <w:szCs w:val="21"/>
                <w:highlight w:val="none"/>
              </w:rPr>
            </w:pPr>
          </w:p>
        </w:tc>
        <w:tc>
          <w:tcPr>
            <w:tcW w:w="1933" w:type="dxa"/>
            <w:vMerge w:val="continue"/>
            <w:vAlign w:val="center"/>
          </w:tcPr>
          <w:p w14:paraId="4DF51A5F">
            <w:pPr>
              <w:ind w:firstLine="325"/>
              <w:jc w:val="left"/>
              <w:rPr>
                <w:color w:val="auto"/>
                <w:w w:val="90"/>
                <w:szCs w:val="21"/>
                <w:highlight w:val="none"/>
              </w:rPr>
            </w:pPr>
          </w:p>
        </w:tc>
        <w:tc>
          <w:tcPr>
            <w:tcW w:w="2209" w:type="dxa"/>
            <w:vAlign w:val="center"/>
          </w:tcPr>
          <w:p w14:paraId="0ED4A8AD">
            <w:pPr>
              <w:ind w:firstLine="325"/>
              <w:jc w:val="left"/>
              <w:rPr>
                <w:b/>
                <w:color w:val="auto"/>
                <w:w w:val="90"/>
                <w:szCs w:val="21"/>
                <w:highlight w:val="none"/>
              </w:rPr>
            </w:pPr>
            <w:r>
              <w:rPr>
                <w:rFonts w:hint="eastAsia"/>
                <w:color w:val="auto"/>
                <w:w w:val="90"/>
                <w:szCs w:val="21"/>
                <w:highlight w:val="none"/>
              </w:rPr>
              <w:t>★</w:t>
            </w:r>
            <w:r>
              <w:rPr>
                <w:rFonts w:hint="eastAsia"/>
                <w:b/>
                <w:color w:val="auto"/>
                <w:w w:val="90"/>
                <w:szCs w:val="21"/>
                <w:highlight w:val="none"/>
              </w:rPr>
              <w:t>A02052309专用制冷、空调设备</w:t>
            </w:r>
          </w:p>
        </w:tc>
        <w:tc>
          <w:tcPr>
            <w:tcW w:w="1807" w:type="dxa"/>
            <w:vAlign w:val="center"/>
          </w:tcPr>
          <w:p w14:paraId="1D41C24C">
            <w:pPr>
              <w:ind w:firstLine="325"/>
              <w:jc w:val="left"/>
              <w:rPr>
                <w:b/>
                <w:color w:val="auto"/>
                <w:w w:val="90"/>
                <w:szCs w:val="21"/>
                <w:highlight w:val="none"/>
              </w:rPr>
            </w:pPr>
            <w:r>
              <w:rPr>
                <w:rFonts w:hint="eastAsia"/>
                <w:b/>
                <w:color w:val="auto"/>
                <w:w w:val="90"/>
                <w:szCs w:val="21"/>
                <w:highlight w:val="none"/>
              </w:rPr>
              <w:t>机房空调</w:t>
            </w:r>
          </w:p>
        </w:tc>
        <w:tc>
          <w:tcPr>
            <w:tcW w:w="3301" w:type="dxa"/>
            <w:vAlign w:val="center"/>
          </w:tcPr>
          <w:p w14:paraId="03D1D64F">
            <w:pPr>
              <w:ind w:firstLine="325"/>
              <w:jc w:val="left"/>
              <w:rPr>
                <w:color w:val="auto"/>
                <w:w w:val="90"/>
                <w:szCs w:val="21"/>
                <w:highlight w:val="none"/>
              </w:rPr>
            </w:pPr>
            <w:r>
              <w:rPr>
                <w:rFonts w:hint="eastAsia"/>
                <w:color w:val="auto"/>
                <w:w w:val="90"/>
                <w:szCs w:val="21"/>
                <w:highlight w:val="none"/>
              </w:rPr>
              <w:t>《单元式空气调节机能效限定值及能效等级》（GB 19576）</w:t>
            </w:r>
          </w:p>
        </w:tc>
      </w:tr>
      <w:tr w14:paraId="5D1C86D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335E7982">
            <w:pPr>
              <w:ind w:firstLine="325"/>
              <w:jc w:val="center"/>
              <w:rPr>
                <w:color w:val="auto"/>
                <w:w w:val="90"/>
                <w:szCs w:val="21"/>
                <w:highlight w:val="none"/>
              </w:rPr>
            </w:pPr>
          </w:p>
        </w:tc>
        <w:tc>
          <w:tcPr>
            <w:tcW w:w="1933" w:type="dxa"/>
            <w:vMerge w:val="continue"/>
            <w:vAlign w:val="center"/>
          </w:tcPr>
          <w:p w14:paraId="6C522178">
            <w:pPr>
              <w:ind w:firstLine="325"/>
              <w:jc w:val="left"/>
              <w:rPr>
                <w:color w:val="auto"/>
                <w:w w:val="90"/>
                <w:szCs w:val="21"/>
                <w:highlight w:val="none"/>
              </w:rPr>
            </w:pPr>
          </w:p>
        </w:tc>
        <w:tc>
          <w:tcPr>
            <w:tcW w:w="2209" w:type="dxa"/>
            <w:vAlign w:val="center"/>
          </w:tcPr>
          <w:p w14:paraId="2C446CEC">
            <w:pPr>
              <w:ind w:firstLine="325"/>
              <w:jc w:val="left"/>
              <w:rPr>
                <w:color w:val="auto"/>
                <w:w w:val="90"/>
                <w:szCs w:val="21"/>
                <w:highlight w:val="none"/>
              </w:rPr>
            </w:pPr>
            <w:r>
              <w:rPr>
                <w:rFonts w:hint="eastAsia"/>
                <w:color w:val="auto"/>
                <w:w w:val="90"/>
                <w:szCs w:val="21"/>
                <w:highlight w:val="none"/>
              </w:rPr>
              <w:t>A02052399其他制冷空调设备</w:t>
            </w:r>
          </w:p>
        </w:tc>
        <w:tc>
          <w:tcPr>
            <w:tcW w:w="1807" w:type="dxa"/>
            <w:vAlign w:val="center"/>
          </w:tcPr>
          <w:p w14:paraId="41527571">
            <w:pPr>
              <w:ind w:firstLine="325"/>
              <w:jc w:val="left"/>
              <w:rPr>
                <w:color w:val="auto"/>
                <w:w w:val="90"/>
                <w:szCs w:val="21"/>
                <w:highlight w:val="none"/>
              </w:rPr>
            </w:pPr>
            <w:r>
              <w:rPr>
                <w:rFonts w:hint="eastAsia"/>
                <w:color w:val="auto"/>
                <w:w w:val="90"/>
                <w:szCs w:val="21"/>
                <w:highlight w:val="none"/>
              </w:rPr>
              <w:t>冷却塔</w:t>
            </w:r>
          </w:p>
        </w:tc>
        <w:tc>
          <w:tcPr>
            <w:tcW w:w="3301" w:type="dxa"/>
            <w:vAlign w:val="center"/>
          </w:tcPr>
          <w:p w14:paraId="57544887">
            <w:pPr>
              <w:ind w:firstLine="325"/>
              <w:jc w:val="left"/>
              <w:rPr>
                <w:color w:val="auto"/>
                <w:w w:val="90"/>
                <w:szCs w:val="21"/>
                <w:highlight w:val="none"/>
              </w:rPr>
            </w:pPr>
            <w:r>
              <w:rPr>
                <w:rFonts w:hint="eastAsia"/>
                <w:color w:val="auto"/>
                <w:w w:val="90"/>
                <w:szCs w:val="21"/>
                <w:highlight w:val="none"/>
              </w:rPr>
              <w:t>《机械通风冷却塔 第 1 部分：中小型开式冷却塔》（GB/T 7190.1）</w:t>
            </w:r>
          </w:p>
          <w:p w14:paraId="2004E2CD">
            <w:pPr>
              <w:ind w:firstLine="325"/>
              <w:jc w:val="left"/>
              <w:rPr>
                <w:color w:val="auto"/>
                <w:w w:val="90"/>
                <w:szCs w:val="21"/>
                <w:highlight w:val="none"/>
              </w:rPr>
            </w:pPr>
            <w:r>
              <w:rPr>
                <w:rFonts w:hint="eastAsia"/>
                <w:color w:val="auto"/>
                <w:w w:val="90"/>
                <w:szCs w:val="21"/>
                <w:highlight w:val="none"/>
              </w:rPr>
              <w:t>《机械通风冷却塔 第 2 部分：大型开式冷却塔》（GB/T 7190.2）</w:t>
            </w:r>
          </w:p>
        </w:tc>
      </w:tr>
      <w:tr w14:paraId="1E90755F">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149804B6">
            <w:pPr>
              <w:ind w:firstLine="325"/>
              <w:jc w:val="center"/>
              <w:rPr>
                <w:color w:val="auto"/>
                <w:w w:val="90"/>
                <w:szCs w:val="21"/>
                <w:highlight w:val="none"/>
              </w:rPr>
            </w:pPr>
            <w:r>
              <w:rPr>
                <w:rFonts w:hint="eastAsia"/>
                <w:color w:val="auto"/>
                <w:w w:val="90"/>
                <w:szCs w:val="21"/>
                <w:highlight w:val="none"/>
              </w:rPr>
              <w:t>7</w:t>
            </w:r>
          </w:p>
        </w:tc>
        <w:tc>
          <w:tcPr>
            <w:tcW w:w="1933" w:type="dxa"/>
            <w:vAlign w:val="center"/>
          </w:tcPr>
          <w:p w14:paraId="6E14177D">
            <w:pPr>
              <w:ind w:firstLine="325"/>
              <w:jc w:val="left"/>
              <w:rPr>
                <w:color w:val="auto"/>
                <w:w w:val="90"/>
                <w:szCs w:val="21"/>
                <w:highlight w:val="none"/>
              </w:rPr>
            </w:pPr>
            <w:r>
              <w:rPr>
                <w:rFonts w:hint="eastAsia"/>
                <w:color w:val="auto"/>
                <w:w w:val="90"/>
                <w:szCs w:val="21"/>
                <w:highlight w:val="none"/>
              </w:rPr>
              <w:t>A020601电机</w:t>
            </w:r>
          </w:p>
        </w:tc>
        <w:tc>
          <w:tcPr>
            <w:tcW w:w="2209" w:type="dxa"/>
            <w:vAlign w:val="center"/>
          </w:tcPr>
          <w:p w14:paraId="56164CD0">
            <w:pPr>
              <w:ind w:firstLine="325"/>
              <w:jc w:val="left"/>
              <w:rPr>
                <w:color w:val="auto"/>
                <w:w w:val="90"/>
                <w:szCs w:val="21"/>
                <w:highlight w:val="none"/>
              </w:rPr>
            </w:pPr>
          </w:p>
        </w:tc>
        <w:tc>
          <w:tcPr>
            <w:tcW w:w="1807" w:type="dxa"/>
            <w:vAlign w:val="center"/>
          </w:tcPr>
          <w:p w14:paraId="4E8E1F67">
            <w:pPr>
              <w:ind w:firstLine="325"/>
              <w:jc w:val="center"/>
              <w:rPr>
                <w:color w:val="auto"/>
                <w:w w:val="90"/>
                <w:szCs w:val="21"/>
                <w:highlight w:val="none"/>
              </w:rPr>
            </w:pPr>
          </w:p>
        </w:tc>
        <w:tc>
          <w:tcPr>
            <w:tcW w:w="3301" w:type="dxa"/>
            <w:vAlign w:val="center"/>
          </w:tcPr>
          <w:p w14:paraId="3C763AC2">
            <w:pPr>
              <w:ind w:firstLine="325"/>
              <w:jc w:val="left"/>
              <w:rPr>
                <w:color w:val="auto"/>
                <w:w w:val="90"/>
                <w:szCs w:val="21"/>
                <w:highlight w:val="none"/>
              </w:rPr>
            </w:pPr>
            <w:r>
              <w:rPr>
                <w:rFonts w:hint="eastAsia"/>
                <w:color w:val="auto"/>
                <w:w w:val="90"/>
                <w:szCs w:val="21"/>
                <w:highlight w:val="none"/>
              </w:rPr>
              <w:t>《中小型三相异步电动机能效限定值及能效等级》（GB 18613）</w:t>
            </w:r>
          </w:p>
        </w:tc>
      </w:tr>
      <w:tr w14:paraId="06203FC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448230B6">
            <w:pPr>
              <w:ind w:firstLine="325"/>
              <w:jc w:val="center"/>
              <w:rPr>
                <w:color w:val="auto"/>
                <w:w w:val="90"/>
                <w:szCs w:val="21"/>
                <w:highlight w:val="none"/>
              </w:rPr>
            </w:pPr>
            <w:r>
              <w:rPr>
                <w:rFonts w:hint="eastAsia"/>
                <w:color w:val="auto"/>
                <w:w w:val="90"/>
                <w:szCs w:val="21"/>
                <w:highlight w:val="none"/>
              </w:rPr>
              <w:t>8</w:t>
            </w:r>
          </w:p>
        </w:tc>
        <w:tc>
          <w:tcPr>
            <w:tcW w:w="1933" w:type="dxa"/>
            <w:vAlign w:val="center"/>
          </w:tcPr>
          <w:p w14:paraId="3F930DE5">
            <w:pPr>
              <w:ind w:firstLine="325"/>
              <w:jc w:val="left"/>
              <w:rPr>
                <w:color w:val="auto"/>
                <w:w w:val="90"/>
                <w:szCs w:val="21"/>
                <w:highlight w:val="none"/>
              </w:rPr>
            </w:pPr>
            <w:r>
              <w:rPr>
                <w:rFonts w:hint="eastAsia"/>
                <w:color w:val="auto"/>
                <w:w w:val="90"/>
                <w:szCs w:val="21"/>
                <w:highlight w:val="none"/>
              </w:rPr>
              <w:t>A020602变压器</w:t>
            </w:r>
          </w:p>
        </w:tc>
        <w:tc>
          <w:tcPr>
            <w:tcW w:w="2209" w:type="dxa"/>
            <w:vAlign w:val="center"/>
          </w:tcPr>
          <w:p w14:paraId="30882C62">
            <w:pPr>
              <w:ind w:firstLine="325"/>
              <w:jc w:val="left"/>
              <w:rPr>
                <w:color w:val="auto"/>
                <w:w w:val="90"/>
                <w:szCs w:val="21"/>
                <w:highlight w:val="none"/>
              </w:rPr>
            </w:pPr>
            <w:r>
              <w:rPr>
                <w:rFonts w:hint="eastAsia"/>
                <w:color w:val="auto"/>
                <w:w w:val="90"/>
                <w:szCs w:val="21"/>
                <w:highlight w:val="none"/>
              </w:rPr>
              <w:t>配电变压器</w:t>
            </w:r>
          </w:p>
        </w:tc>
        <w:tc>
          <w:tcPr>
            <w:tcW w:w="1807" w:type="dxa"/>
            <w:vAlign w:val="center"/>
          </w:tcPr>
          <w:p w14:paraId="57EECBFA">
            <w:pPr>
              <w:ind w:firstLine="325"/>
              <w:jc w:val="center"/>
              <w:rPr>
                <w:color w:val="auto"/>
                <w:w w:val="90"/>
                <w:szCs w:val="21"/>
                <w:highlight w:val="none"/>
              </w:rPr>
            </w:pPr>
          </w:p>
        </w:tc>
        <w:tc>
          <w:tcPr>
            <w:tcW w:w="3301" w:type="dxa"/>
            <w:vAlign w:val="center"/>
          </w:tcPr>
          <w:p w14:paraId="4D4EB52F">
            <w:pPr>
              <w:ind w:firstLine="325"/>
              <w:jc w:val="left"/>
              <w:rPr>
                <w:color w:val="auto"/>
                <w:w w:val="90"/>
                <w:szCs w:val="21"/>
                <w:highlight w:val="none"/>
              </w:rPr>
            </w:pPr>
            <w:r>
              <w:rPr>
                <w:rFonts w:hint="eastAsia"/>
                <w:color w:val="auto"/>
                <w:w w:val="90"/>
                <w:szCs w:val="21"/>
                <w:highlight w:val="none"/>
              </w:rPr>
              <w:t>《三相配电变压器能效限定值及能效等级》（GB 20052）</w:t>
            </w:r>
          </w:p>
        </w:tc>
      </w:tr>
      <w:tr w14:paraId="2E129782">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69E1C320">
            <w:pPr>
              <w:ind w:firstLine="325"/>
              <w:jc w:val="center"/>
              <w:rPr>
                <w:color w:val="auto"/>
                <w:w w:val="90"/>
                <w:szCs w:val="21"/>
                <w:highlight w:val="none"/>
              </w:rPr>
            </w:pPr>
            <w:r>
              <w:rPr>
                <w:rFonts w:hint="eastAsia"/>
                <w:color w:val="auto"/>
                <w:w w:val="90"/>
                <w:szCs w:val="21"/>
                <w:highlight w:val="none"/>
              </w:rPr>
              <w:t>9</w:t>
            </w:r>
          </w:p>
        </w:tc>
        <w:tc>
          <w:tcPr>
            <w:tcW w:w="1933" w:type="dxa"/>
            <w:vAlign w:val="center"/>
          </w:tcPr>
          <w:p w14:paraId="6B510B84">
            <w:pPr>
              <w:ind w:firstLine="325"/>
              <w:jc w:val="left"/>
              <w:rPr>
                <w:b/>
                <w:color w:val="auto"/>
                <w:w w:val="90"/>
                <w:szCs w:val="21"/>
                <w:highlight w:val="none"/>
              </w:rPr>
            </w:pPr>
            <w:r>
              <w:rPr>
                <w:rFonts w:hint="eastAsia"/>
                <w:color w:val="auto"/>
                <w:w w:val="90"/>
                <w:szCs w:val="21"/>
                <w:highlight w:val="none"/>
              </w:rPr>
              <w:t>★</w:t>
            </w:r>
            <w:r>
              <w:rPr>
                <w:rFonts w:hint="eastAsia"/>
                <w:b/>
                <w:color w:val="auto"/>
                <w:w w:val="90"/>
                <w:szCs w:val="21"/>
                <w:highlight w:val="none"/>
              </w:rPr>
              <w:t>A020609镇流器</w:t>
            </w:r>
          </w:p>
        </w:tc>
        <w:tc>
          <w:tcPr>
            <w:tcW w:w="2209" w:type="dxa"/>
            <w:vAlign w:val="center"/>
          </w:tcPr>
          <w:p w14:paraId="718F72A0">
            <w:pPr>
              <w:ind w:firstLine="325"/>
              <w:jc w:val="left"/>
              <w:rPr>
                <w:b/>
                <w:color w:val="auto"/>
                <w:w w:val="90"/>
                <w:szCs w:val="21"/>
                <w:highlight w:val="none"/>
              </w:rPr>
            </w:pPr>
            <w:r>
              <w:rPr>
                <w:rFonts w:hint="eastAsia"/>
                <w:b/>
                <w:color w:val="auto"/>
                <w:w w:val="90"/>
                <w:szCs w:val="21"/>
                <w:highlight w:val="none"/>
              </w:rPr>
              <w:t>管型荧光灯镇流器</w:t>
            </w:r>
          </w:p>
        </w:tc>
        <w:tc>
          <w:tcPr>
            <w:tcW w:w="1807" w:type="dxa"/>
            <w:vAlign w:val="center"/>
          </w:tcPr>
          <w:p w14:paraId="7FCDF9B8">
            <w:pPr>
              <w:ind w:firstLine="325"/>
              <w:jc w:val="center"/>
              <w:rPr>
                <w:color w:val="auto"/>
                <w:w w:val="90"/>
                <w:szCs w:val="21"/>
                <w:highlight w:val="none"/>
              </w:rPr>
            </w:pPr>
          </w:p>
        </w:tc>
        <w:tc>
          <w:tcPr>
            <w:tcW w:w="3301" w:type="dxa"/>
            <w:vAlign w:val="center"/>
          </w:tcPr>
          <w:p w14:paraId="2A55DAD0">
            <w:pPr>
              <w:ind w:firstLine="325"/>
              <w:jc w:val="left"/>
              <w:rPr>
                <w:color w:val="auto"/>
                <w:w w:val="90"/>
                <w:szCs w:val="21"/>
                <w:highlight w:val="none"/>
              </w:rPr>
            </w:pPr>
            <w:r>
              <w:rPr>
                <w:rFonts w:hint="eastAsia"/>
                <w:color w:val="auto"/>
                <w:w w:val="90"/>
                <w:szCs w:val="21"/>
                <w:highlight w:val="none"/>
              </w:rPr>
              <w:t>《管形荧光灯镇流器能效限定值及能效等级》（GB 17896）</w:t>
            </w:r>
          </w:p>
        </w:tc>
      </w:tr>
      <w:tr w14:paraId="05847C4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restart"/>
            <w:vAlign w:val="center"/>
          </w:tcPr>
          <w:p w14:paraId="2A2072EB">
            <w:pPr>
              <w:ind w:firstLine="325"/>
              <w:jc w:val="center"/>
              <w:rPr>
                <w:color w:val="auto"/>
                <w:w w:val="90"/>
                <w:szCs w:val="21"/>
                <w:highlight w:val="none"/>
              </w:rPr>
            </w:pPr>
            <w:r>
              <w:rPr>
                <w:rFonts w:hint="eastAsia"/>
                <w:color w:val="auto"/>
                <w:w w:val="90"/>
                <w:szCs w:val="21"/>
                <w:highlight w:val="none"/>
              </w:rPr>
              <w:t>10</w:t>
            </w:r>
          </w:p>
        </w:tc>
        <w:tc>
          <w:tcPr>
            <w:tcW w:w="1933" w:type="dxa"/>
            <w:vMerge w:val="restart"/>
            <w:vAlign w:val="center"/>
          </w:tcPr>
          <w:p w14:paraId="770390C9">
            <w:pPr>
              <w:ind w:firstLine="325"/>
              <w:jc w:val="left"/>
              <w:rPr>
                <w:color w:val="auto"/>
                <w:w w:val="90"/>
                <w:szCs w:val="21"/>
                <w:highlight w:val="none"/>
              </w:rPr>
            </w:pPr>
            <w:r>
              <w:rPr>
                <w:rFonts w:hint="eastAsia"/>
                <w:color w:val="auto"/>
                <w:w w:val="90"/>
                <w:szCs w:val="21"/>
                <w:highlight w:val="none"/>
              </w:rPr>
              <w:t>A020618 生活用电器</w:t>
            </w:r>
          </w:p>
        </w:tc>
        <w:tc>
          <w:tcPr>
            <w:tcW w:w="2209" w:type="dxa"/>
            <w:vAlign w:val="center"/>
          </w:tcPr>
          <w:p w14:paraId="1D182673">
            <w:pPr>
              <w:ind w:firstLine="325"/>
              <w:jc w:val="left"/>
              <w:rPr>
                <w:color w:val="auto"/>
                <w:w w:val="90"/>
                <w:szCs w:val="21"/>
                <w:highlight w:val="none"/>
              </w:rPr>
            </w:pPr>
            <w:r>
              <w:rPr>
                <w:rFonts w:hint="eastAsia"/>
                <w:color w:val="auto"/>
                <w:w w:val="90"/>
                <w:szCs w:val="21"/>
                <w:highlight w:val="none"/>
              </w:rPr>
              <w:t>A0206180101电冰箱</w:t>
            </w:r>
          </w:p>
        </w:tc>
        <w:tc>
          <w:tcPr>
            <w:tcW w:w="1807" w:type="dxa"/>
            <w:vAlign w:val="center"/>
          </w:tcPr>
          <w:p w14:paraId="26D97BE8">
            <w:pPr>
              <w:ind w:firstLine="325"/>
              <w:jc w:val="center"/>
              <w:rPr>
                <w:color w:val="auto"/>
                <w:w w:val="90"/>
                <w:szCs w:val="21"/>
                <w:highlight w:val="none"/>
              </w:rPr>
            </w:pPr>
          </w:p>
        </w:tc>
        <w:tc>
          <w:tcPr>
            <w:tcW w:w="3301" w:type="dxa"/>
            <w:vAlign w:val="center"/>
          </w:tcPr>
          <w:p w14:paraId="0CE87378">
            <w:pPr>
              <w:ind w:firstLine="325"/>
              <w:jc w:val="left"/>
              <w:rPr>
                <w:color w:val="auto"/>
                <w:w w:val="90"/>
                <w:szCs w:val="21"/>
                <w:highlight w:val="none"/>
              </w:rPr>
            </w:pPr>
            <w:r>
              <w:rPr>
                <w:rFonts w:hint="eastAsia"/>
                <w:color w:val="auto"/>
                <w:w w:val="90"/>
                <w:szCs w:val="21"/>
                <w:highlight w:val="none"/>
              </w:rPr>
              <w:t>《家用电冰箱耗电量限定值及能效等级》（GB</w:t>
            </w:r>
            <w:r>
              <w:rPr>
                <w:rFonts w:hint="eastAsia"/>
                <w:color w:val="auto"/>
                <w:w w:val="90"/>
                <w:szCs w:val="21"/>
                <w:highlight w:val="none"/>
              </w:rPr>
              <w:tab/>
            </w:r>
            <w:r>
              <w:rPr>
                <w:rFonts w:hint="eastAsia"/>
                <w:color w:val="auto"/>
                <w:w w:val="90"/>
                <w:szCs w:val="21"/>
                <w:highlight w:val="none"/>
              </w:rPr>
              <w:t>12021.2）</w:t>
            </w:r>
          </w:p>
        </w:tc>
      </w:tr>
      <w:tr w14:paraId="4ADC4BD1">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72D331A4">
            <w:pPr>
              <w:ind w:firstLine="325"/>
              <w:jc w:val="center"/>
              <w:rPr>
                <w:color w:val="auto"/>
                <w:w w:val="90"/>
                <w:szCs w:val="21"/>
                <w:highlight w:val="none"/>
              </w:rPr>
            </w:pPr>
          </w:p>
        </w:tc>
        <w:tc>
          <w:tcPr>
            <w:tcW w:w="1933" w:type="dxa"/>
            <w:vMerge w:val="continue"/>
            <w:vAlign w:val="center"/>
          </w:tcPr>
          <w:p w14:paraId="00E676AC">
            <w:pPr>
              <w:ind w:firstLine="325"/>
              <w:jc w:val="left"/>
              <w:rPr>
                <w:color w:val="auto"/>
                <w:w w:val="90"/>
                <w:szCs w:val="21"/>
                <w:highlight w:val="none"/>
              </w:rPr>
            </w:pPr>
          </w:p>
        </w:tc>
        <w:tc>
          <w:tcPr>
            <w:tcW w:w="2209" w:type="dxa"/>
            <w:vMerge w:val="restart"/>
            <w:vAlign w:val="center"/>
          </w:tcPr>
          <w:p w14:paraId="4935F35E">
            <w:pPr>
              <w:ind w:firstLine="325"/>
              <w:jc w:val="left"/>
              <w:rPr>
                <w:b/>
                <w:color w:val="auto"/>
                <w:w w:val="90"/>
                <w:szCs w:val="21"/>
                <w:highlight w:val="none"/>
              </w:rPr>
            </w:pPr>
            <w:r>
              <w:rPr>
                <w:rFonts w:hint="eastAsia"/>
                <w:color w:val="auto"/>
                <w:w w:val="90"/>
                <w:szCs w:val="21"/>
                <w:highlight w:val="none"/>
              </w:rPr>
              <w:t>★</w:t>
            </w:r>
            <w:r>
              <w:rPr>
                <w:rFonts w:hint="eastAsia"/>
                <w:b/>
                <w:color w:val="auto"/>
                <w:w w:val="90"/>
                <w:szCs w:val="21"/>
                <w:highlight w:val="none"/>
              </w:rPr>
              <w:t>A0206180203空调机</w:t>
            </w:r>
          </w:p>
        </w:tc>
        <w:tc>
          <w:tcPr>
            <w:tcW w:w="1807" w:type="dxa"/>
            <w:vAlign w:val="center"/>
          </w:tcPr>
          <w:p w14:paraId="34BAB20E">
            <w:pPr>
              <w:ind w:firstLine="325"/>
              <w:jc w:val="left"/>
              <w:rPr>
                <w:b/>
                <w:color w:val="auto"/>
                <w:w w:val="90"/>
                <w:szCs w:val="21"/>
                <w:highlight w:val="none"/>
              </w:rPr>
            </w:pPr>
            <w:r>
              <w:rPr>
                <w:rFonts w:hint="eastAsia"/>
                <w:b/>
                <w:color w:val="auto"/>
                <w:w w:val="90"/>
                <w:szCs w:val="21"/>
                <w:highlight w:val="none"/>
              </w:rPr>
              <w:t>房间空气调节器</w:t>
            </w:r>
          </w:p>
        </w:tc>
        <w:tc>
          <w:tcPr>
            <w:tcW w:w="3301" w:type="dxa"/>
            <w:vAlign w:val="center"/>
          </w:tcPr>
          <w:p w14:paraId="4C22A42B">
            <w:pPr>
              <w:ind w:firstLine="325"/>
              <w:jc w:val="left"/>
              <w:rPr>
                <w:color w:val="auto"/>
                <w:w w:val="90"/>
                <w:szCs w:val="21"/>
                <w:highlight w:val="none"/>
              </w:rPr>
            </w:pPr>
            <w:r>
              <w:rPr>
                <w:rFonts w:hint="eastAsia"/>
                <w:color w:val="auto"/>
                <w:w w:val="90"/>
                <w:szCs w:val="21"/>
                <w:highlight w:val="none"/>
              </w:rPr>
              <w:t>《转速可控型房间空气调节器能效限定值及能效等级》（GB 21455-2013），待2019年修订发布后，按《房间空气调节器能效限定值及能效等级》（GB21455-2019）实施。</w:t>
            </w:r>
          </w:p>
        </w:tc>
      </w:tr>
      <w:tr w14:paraId="0F58C0C5">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5A05923C">
            <w:pPr>
              <w:ind w:firstLine="325"/>
              <w:jc w:val="center"/>
              <w:rPr>
                <w:color w:val="auto"/>
                <w:w w:val="90"/>
                <w:szCs w:val="21"/>
                <w:highlight w:val="none"/>
              </w:rPr>
            </w:pPr>
          </w:p>
        </w:tc>
        <w:tc>
          <w:tcPr>
            <w:tcW w:w="1933" w:type="dxa"/>
            <w:vMerge w:val="continue"/>
            <w:vAlign w:val="center"/>
          </w:tcPr>
          <w:p w14:paraId="3C41694E">
            <w:pPr>
              <w:ind w:firstLine="325"/>
              <w:jc w:val="left"/>
              <w:rPr>
                <w:color w:val="auto"/>
                <w:w w:val="90"/>
                <w:szCs w:val="21"/>
                <w:highlight w:val="none"/>
              </w:rPr>
            </w:pPr>
          </w:p>
        </w:tc>
        <w:tc>
          <w:tcPr>
            <w:tcW w:w="2209" w:type="dxa"/>
            <w:vMerge w:val="continue"/>
            <w:vAlign w:val="center"/>
          </w:tcPr>
          <w:p w14:paraId="5D653E9C">
            <w:pPr>
              <w:ind w:firstLine="323"/>
              <w:jc w:val="left"/>
              <w:rPr>
                <w:b/>
                <w:color w:val="auto"/>
                <w:w w:val="90"/>
                <w:szCs w:val="21"/>
                <w:highlight w:val="none"/>
              </w:rPr>
            </w:pPr>
          </w:p>
        </w:tc>
        <w:tc>
          <w:tcPr>
            <w:tcW w:w="1807" w:type="dxa"/>
            <w:vAlign w:val="center"/>
          </w:tcPr>
          <w:p w14:paraId="0B3659C3">
            <w:pPr>
              <w:ind w:firstLine="325"/>
              <w:jc w:val="left"/>
              <w:rPr>
                <w:b/>
                <w:color w:val="auto"/>
                <w:w w:val="90"/>
                <w:szCs w:val="21"/>
                <w:highlight w:val="none"/>
              </w:rPr>
            </w:pPr>
            <w:r>
              <w:rPr>
                <w:rFonts w:hint="eastAsia"/>
                <w:b/>
                <w:color w:val="auto"/>
                <w:w w:val="90"/>
                <w:szCs w:val="21"/>
                <w:highlight w:val="none"/>
              </w:rPr>
              <w:t>多联式空调（热泵）机组（制冷量≤ 14000W）</w:t>
            </w:r>
          </w:p>
        </w:tc>
        <w:tc>
          <w:tcPr>
            <w:tcW w:w="3301" w:type="dxa"/>
            <w:vAlign w:val="center"/>
          </w:tcPr>
          <w:p w14:paraId="1908016C">
            <w:pPr>
              <w:ind w:firstLine="325"/>
              <w:jc w:val="left"/>
              <w:rPr>
                <w:color w:val="auto"/>
                <w:w w:val="90"/>
                <w:szCs w:val="21"/>
                <w:highlight w:val="none"/>
              </w:rPr>
            </w:pPr>
            <w:r>
              <w:rPr>
                <w:rFonts w:hint="eastAsia"/>
                <w:color w:val="auto"/>
                <w:w w:val="90"/>
                <w:szCs w:val="21"/>
                <w:highlight w:val="none"/>
              </w:rPr>
              <w:t>《多联式空调（热泵）机组能效限定值及能源效率等级》（GB 21454）</w:t>
            </w:r>
          </w:p>
        </w:tc>
      </w:tr>
      <w:tr w14:paraId="2B9619DC">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442461B7">
            <w:pPr>
              <w:ind w:firstLine="325"/>
              <w:jc w:val="center"/>
              <w:rPr>
                <w:color w:val="auto"/>
                <w:w w:val="90"/>
                <w:szCs w:val="21"/>
                <w:highlight w:val="none"/>
              </w:rPr>
            </w:pPr>
          </w:p>
        </w:tc>
        <w:tc>
          <w:tcPr>
            <w:tcW w:w="1933" w:type="dxa"/>
            <w:vMerge w:val="continue"/>
            <w:vAlign w:val="center"/>
          </w:tcPr>
          <w:p w14:paraId="68E6B6A3">
            <w:pPr>
              <w:ind w:firstLine="325"/>
              <w:jc w:val="left"/>
              <w:rPr>
                <w:color w:val="auto"/>
                <w:w w:val="90"/>
                <w:szCs w:val="21"/>
                <w:highlight w:val="none"/>
              </w:rPr>
            </w:pPr>
          </w:p>
        </w:tc>
        <w:tc>
          <w:tcPr>
            <w:tcW w:w="2209" w:type="dxa"/>
            <w:vMerge w:val="continue"/>
            <w:vAlign w:val="center"/>
          </w:tcPr>
          <w:p w14:paraId="2636CCDB">
            <w:pPr>
              <w:ind w:firstLine="323"/>
              <w:jc w:val="left"/>
              <w:rPr>
                <w:b/>
                <w:color w:val="auto"/>
                <w:w w:val="90"/>
                <w:szCs w:val="21"/>
                <w:highlight w:val="none"/>
              </w:rPr>
            </w:pPr>
          </w:p>
        </w:tc>
        <w:tc>
          <w:tcPr>
            <w:tcW w:w="1807" w:type="dxa"/>
            <w:vAlign w:val="center"/>
          </w:tcPr>
          <w:p w14:paraId="72095A70">
            <w:pPr>
              <w:ind w:firstLine="325"/>
              <w:jc w:val="left"/>
              <w:rPr>
                <w:b/>
                <w:color w:val="auto"/>
                <w:w w:val="90"/>
                <w:szCs w:val="21"/>
                <w:highlight w:val="none"/>
              </w:rPr>
            </w:pPr>
            <w:r>
              <w:rPr>
                <w:rFonts w:hint="eastAsia"/>
                <w:b/>
                <w:color w:val="auto"/>
                <w:w w:val="90"/>
                <w:szCs w:val="21"/>
                <w:highlight w:val="none"/>
              </w:rPr>
              <w:t>单元式空气调节机(制冷量≤14000W)</w:t>
            </w:r>
          </w:p>
        </w:tc>
        <w:tc>
          <w:tcPr>
            <w:tcW w:w="3301" w:type="dxa"/>
            <w:vAlign w:val="center"/>
          </w:tcPr>
          <w:p w14:paraId="11098664">
            <w:pPr>
              <w:ind w:firstLine="325"/>
              <w:jc w:val="left"/>
              <w:rPr>
                <w:color w:val="auto"/>
                <w:w w:val="90"/>
                <w:szCs w:val="21"/>
                <w:highlight w:val="none"/>
              </w:rPr>
            </w:pPr>
            <w:r>
              <w:rPr>
                <w:rFonts w:hint="eastAsia"/>
                <w:color w:val="auto"/>
                <w:w w:val="90"/>
                <w:szCs w:val="21"/>
                <w:highlight w:val="none"/>
              </w:rPr>
              <w:t>《单元式空气调节机能效限定值及能源效率等级》（GB 19576）《风管送风式空调机组能效限定值及能效等级》（GB 37479）</w:t>
            </w:r>
          </w:p>
        </w:tc>
      </w:tr>
      <w:tr w14:paraId="7BC4AB1E">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74794D92">
            <w:pPr>
              <w:ind w:firstLine="325"/>
              <w:jc w:val="center"/>
              <w:rPr>
                <w:color w:val="auto"/>
                <w:w w:val="90"/>
                <w:szCs w:val="21"/>
                <w:highlight w:val="none"/>
              </w:rPr>
            </w:pPr>
          </w:p>
        </w:tc>
        <w:tc>
          <w:tcPr>
            <w:tcW w:w="1933" w:type="dxa"/>
            <w:vMerge w:val="continue"/>
            <w:vAlign w:val="center"/>
          </w:tcPr>
          <w:p w14:paraId="132A18F3">
            <w:pPr>
              <w:ind w:firstLine="325"/>
              <w:jc w:val="left"/>
              <w:rPr>
                <w:color w:val="auto"/>
                <w:w w:val="90"/>
                <w:szCs w:val="21"/>
                <w:highlight w:val="none"/>
              </w:rPr>
            </w:pPr>
          </w:p>
        </w:tc>
        <w:tc>
          <w:tcPr>
            <w:tcW w:w="2209" w:type="dxa"/>
            <w:vAlign w:val="center"/>
          </w:tcPr>
          <w:p w14:paraId="23A22837">
            <w:pPr>
              <w:ind w:firstLine="325"/>
              <w:jc w:val="left"/>
              <w:rPr>
                <w:color w:val="auto"/>
                <w:w w:val="90"/>
                <w:szCs w:val="21"/>
                <w:highlight w:val="none"/>
              </w:rPr>
            </w:pPr>
            <w:r>
              <w:rPr>
                <w:rFonts w:hint="eastAsia"/>
                <w:color w:val="auto"/>
                <w:w w:val="90"/>
                <w:szCs w:val="21"/>
                <w:highlight w:val="none"/>
              </w:rPr>
              <w:t>A0206180301洗衣机</w:t>
            </w:r>
          </w:p>
        </w:tc>
        <w:tc>
          <w:tcPr>
            <w:tcW w:w="1807" w:type="dxa"/>
            <w:vAlign w:val="center"/>
          </w:tcPr>
          <w:p w14:paraId="213BA5D2">
            <w:pPr>
              <w:ind w:firstLine="325"/>
              <w:jc w:val="left"/>
              <w:rPr>
                <w:color w:val="auto"/>
                <w:w w:val="90"/>
                <w:szCs w:val="21"/>
                <w:highlight w:val="none"/>
              </w:rPr>
            </w:pPr>
          </w:p>
        </w:tc>
        <w:tc>
          <w:tcPr>
            <w:tcW w:w="3301" w:type="dxa"/>
            <w:vAlign w:val="center"/>
          </w:tcPr>
          <w:p w14:paraId="1E6F0CE5">
            <w:pPr>
              <w:ind w:firstLine="325"/>
              <w:jc w:val="left"/>
              <w:rPr>
                <w:color w:val="auto"/>
                <w:w w:val="90"/>
                <w:szCs w:val="21"/>
                <w:highlight w:val="none"/>
              </w:rPr>
            </w:pPr>
            <w:r>
              <w:rPr>
                <w:rFonts w:hint="eastAsia"/>
                <w:color w:val="auto"/>
                <w:w w:val="90"/>
                <w:szCs w:val="21"/>
                <w:highlight w:val="none"/>
              </w:rPr>
              <w:t>《电动洗衣机能效水效限定值及等级》（GB 12021.4）</w:t>
            </w:r>
          </w:p>
        </w:tc>
      </w:tr>
      <w:tr w14:paraId="709BC75D">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21E58CAE">
            <w:pPr>
              <w:ind w:firstLine="325"/>
              <w:jc w:val="center"/>
              <w:rPr>
                <w:color w:val="auto"/>
                <w:w w:val="90"/>
                <w:szCs w:val="21"/>
                <w:highlight w:val="none"/>
              </w:rPr>
            </w:pPr>
          </w:p>
        </w:tc>
        <w:tc>
          <w:tcPr>
            <w:tcW w:w="1933" w:type="dxa"/>
            <w:vMerge w:val="continue"/>
            <w:vAlign w:val="center"/>
          </w:tcPr>
          <w:p w14:paraId="49153A26">
            <w:pPr>
              <w:ind w:firstLine="325"/>
              <w:jc w:val="left"/>
              <w:rPr>
                <w:color w:val="auto"/>
                <w:w w:val="90"/>
                <w:szCs w:val="21"/>
                <w:highlight w:val="none"/>
              </w:rPr>
            </w:pPr>
          </w:p>
        </w:tc>
        <w:tc>
          <w:tcPr>
            <w:tcW w:w="2209" w:type="dxa"/>
            <w:vMerge w:val="restart"/>
            <w:vAlign w:val="center"/>
          </w:tcPr>
          <w:p w14:paraId="09565C9A">
            <w:pPr>
              <w:ind w:firstLine="325"/>
              <w:jc w:val="left"/>
              <w:rPr>
                <w:color w:val="auto"/>
                <w:w w:val="90"/>
                <w:szCs w:val="21"/>
                <w:highlight w:val="none"/>
              </w:rPr>
            </w:pPr>
            <w:r>
              <w:rPr>
                <w:rFonts w:hint="eastAsia"/>
                <w:color w:val="auto"/>
                <w:w w:val="90"/>
                <w:szCs w:val="21"/>
                <w:highlight w:val="none"/>
              </w:rPr>
              <w:t>A02061808热水器</w:t>
            </w:r>
          </w:p>
        </w:tc>
        <w:tc>
          <w:tcPr>
            <w:tcW w:w="1807" w:type="dxa"/>
            <w:vAlign w:val="center"/>
          </w:tcPr>
          <w:p w14:paraId="754370E7">
            <w:pPr>
              <w:ind w:firstLine="325"/>
              <w:jc w:val="left"/>
              <w:rPr>
                <w:color w:val="auto"/>
                <w:w w:val="90"/>
                <w:szCs w:val="21"/>
                <w:highlight w:val="none"/>
              </w:rPr>
            </w:pPr>
            <w:r>
              <w:rPr>
                <w:rFonts w:hint="eastAsia"/>
                <w:color w:val="auto"/>
                <w:w w:val="90"/>
                <w:szCs w:val="21"/>
                <w:highlight w:val="none"/>
              </w:rPr>
              <w:t>★</w:t>
            </w:r>
            <w:r>
              <w:rPr>
                <w:rFonts w:hint="eastAsia"/>
                <w:b/>
                <w:color w:val="auto"/>
                <w:w w:val="90"/>
                <w:szCs w:val="21"/>
                <w:highlight w:val="none"/>
              </w:rPr>
              <w:t>电热水器</w:t>
            </w:r>
          </w:p>
        </w:tc>
        <w:tc>
          <w:tcPr>
            <w:tcW w:w="3301" w:type="dxa"/>
            <w:vAlign w:val="center"/>
          </w:tcPr>
          <w:p w14:paraId="690E9234">
            <w:pPr>
              <w:ind w:firstLine="325"/>
              <w:jc w:val="left"/>
              <w:rPr>
                <w:color w:val="auto"/>
                <w:w w:val="90"/>
                <w:szCs w:val="21"/>
                <w:highlight w:val="none"/>
              </w:rPr>
            </w:pPr>
            <w:r>
              <w:rPr>
                <w:rFonts w:hint="eastAsia"/>
                <w:color w:val="auto"/>
                <w:w w:val="90"/>
                <w:szCs w:val="21"/>
                <w:highlight w:val="none"/>
              </w:rPr>
              <w:t>《储水式电热水器能效限定值及能效等级》（GB 21519）</w:t>
            </w:r>
          </w:p>
        </w:tc>
      </w:tr>
      <w:tr w14:paraId="41ECB7D6">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629CD3DA">
            <w:pPr>
              <w:ind w:firstLine="325"/>
              <w:jc w:val="center"/>
              <w:rPr>
                <w:color w:val="auto"/>
                <w:w w:val="90"/>
                <w:szCs w:val="21"/>
                <w:highlight w:val="none"/>
              </w:rPr>
            </w:pPr>
          </w:p>
        </w:tc>
        <w:tc>
          <w:tcPr>
            <w:tcW w:w="1933" w:type="dxa"/>
            <w:vMerge w:val="continue"/>
            <w:vAlign w:val="center"/>
          </w:tcPr>
          <w:p w14:paraId="34B7CE53">
            <w:pPr>
              <w:ind w:firstLine="325"/>
              <w:jc w:val="left"/>
              <w:rPr>
                <w:color w:val="auto"/>
                <w:w w:val="90"/>
                <w:szCs w:val="21"/>
                <w:highlight w:val="none"/>
              </w:rPr>
            </w:pPr>
          </w:p>
        </w:tc>
        <w:tc>
          <w:tcPr>
            <w:tcW w:w="2209" w:type="dxa"/>
            <w:vMerge w:val="continue"/>
            <w:vAlign w:val="center"/>
          </w:tcPr>
          <w:p w14:paraId="62B46429">
            <w:pPr>
              <w:ind w:firstLine="325"/>
              <w:jc w:val="left"/>
              <w:rPr>
                <w:color w:val="auto"/>
                <w:w w:val="90"/>
                <w:szCs w:val="21"/>
                <w:highlight w:val="none"/>
              </w:rPr>
            </w:pPr>
          </w:p>
        </w:tc>
        <w:tc>
          <w:tcPr>
            <w:tcW w:w="1807" w:type="dxa"/>
            <w:vAlign w:val="center"/>
          </w:tcPr>
          <w:p w14:paraId="11874DA1">
            <w:pPr>
              <w:ind w:firstLine="325"/>
              <w:jc w:val="left"/>
              <w:rPr>
                <w:color w:val="auto"/>
                <w:w w:val="90"/>
                <w:szCs w:val="21"/>
                <w:highlight w:val="none"/>
              </w:rPr>
            </w:pPr>
            <w:r>
              <w:rPr>
                <w:rFonts w:hint="eastAsia"/>
                <w:color w:val="auto"/>
                <w:w w:val="90"/>
                <w:szCs w:val="21"/>
                <w:highlight w:val="none"/>
              </w:rPr>
              <w:t>燃气热水器</w:t>
            </w:r>
          </w:p>
        </w:tc>
        <w:tc>
          <w:tcPr>
            <w:tcW w:w="3301" w:type="dxa"/>
            <w:vAlign w:val="center"/>
          </w:tcPr>
          <w:p w14:paraId="6F2C2007">
            <w:pPr>
              <w:ind w:firstLine="325"/>
              <w:jc w:val="left"/>
              <w:rPr>
                <w:color w:val="auto"/>
                <w:w w:val="90"/>
                <w:szCs w:val="21"/>
                <w:highlight w:val="none"/>
              </w:rPr>
            </w:pPr>
            <w:r>
              <w:rPr>
                <w:rFonts w:hint="eastAsia"/>
                <w:color w:val="auto"/>
                <w:w w:val="90"/>
                <w:szCs w:val="21"/>
                <w:highlight w:val="none"/>
              </w:rPr>
              <w:t>《家用燃气快速热水器和燃气采暖热水炉能效限定值及能效等级（GB 20665）</w:t>
            </w:r>
          </w:p>
        </w:tc>
      </w:tr>
      <w:tr w14:paraId="237E031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7826A94D">
            <w:pPr>
              <w:ind w:firstLine="325"/>
              <w:jc w:val="center"/>
              <w:rPr>
                <w:color w:val="auto"/>
                <w:w w:val="90"/>
                <w:szCs w:val="21"/>
                <w:highlight w:val="none"/>
              </w:rPr>
            </w:pPr>
          </w:p>
        </w:tc>
        <w:tc>
          <w:tcPr>
            <w:tcW w:w="1933" w:type="dxa"/>
            <w:vMerge w:val="continue"/>
            <w:vAlign w:val="center"/>
          </w:tcPr>
          <w:p w14:paraId="6ACB3210">
            <w:pPr>
              <w:ind w:firstLine="325"/>
              <w:jc w:val="left"/>
              <w:rPr>
                <w:color w:val="auto"/>
                <w:w w:val="90"/>
                <w:szCs w:val="21"/>
                <w:highlight w:val="none"/>
              </w:rPr>
            </w:pPr>
          </w:p>
        </w:tc>
        <w:tc>
          <w:tcPr>
            <w:tcW w:w="2209" w:type="dxa"/>
            <w:vMerge w:val="continue"/>
            <w:vAlign w:val="center"/>
          </w:tcPr>
          <w:p w14:paraId="2E1EE9AC">
            <w:pPr>
              <w:ind w:firstLine="325"/>
              <w:jc w:val="left"/>
              <w:rPr>
                <w:color w:val="auto"/>
                <w:w w:val="90"/>
                <w:szCs w:val="21"/>
                <w:highlight w:val="none"/>
              </w:rPr>
            </w:pPr>
          </w:p>
        </w:tc>
        <w:tc>
          <w:tcPr>
            <w:tcW w:w="1807" w:type="dxa"/>
            <w:vAlign w:val="center"/>
          </w:tcPr>
          <w:p w14:paraId="669C7369">
            <w:pPr>
              <w:ind w:firstLine="325"/>
              <w:jc w:val="left"/>
              <w:rPr>
                <w:color w:val="auto"/>
                <w:w w:val="90"/>
                <w:szCs w:val="21"/>
                <w:highlight w:val="none"/>
              </w:rPr>
            </w:pPr>
            <w:r>
              <w:rPr>
                <w:rFonts w:hint="eastAsia"/>
                <w:color w:val="auto"/>
                <w:w w:val="90"/>
                <w:szCs w:val="21"/>
                <w:highlight w:val="none"/>
              </w:rPr>
              <w:t>热泵热水器</w:t>
            </w:r>
          </w:p>
        </w:tc>
        <w:tc>
          <w:tcPr>
            <w:tcW w:w="3301" w:type="dxa"/>
            <w:vAlign w:val="center"/>
          </w:tcPr>
          <w:p w14:paraId="5BD7EB09">
            <w:pPr>
              <w:ind w:firstLine="325"/>
              <w:jc w:val="left"/>
              <w:rPr>
                <w:color w:val="auto"/>
                <w:w w:val="90"/>
                <w:szCs w:val="21"/>
                <w:highlight w:val="none"/>
              </w:rPr>
            </w:pPr>
            <w:r>
              <w:rPr>
                <w:rFonts w:hint="eastAsia"/>
                <w:color w:val="auto"/>
                <w:w w:val="90"/>
                <w:szCs w:val="21"/>
                <w:highlight w:val="none"/>
              </w:rPr>
              <w:t>《热泵热水机（器）能效限定值及能效等级》（GB 29541）</w:t>
            </w:r>
          </w:p>
        </w:tc>
      </w:tr>
      <w:tr w14:paraId="3462A781">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3FAA94EC">
            <w:pPr>
              <w:ind w:firstLine="325"/>
              <w:jc w:val="center"/>
              <w:rPr>
                <w:color w:val="auto"/>
                <w:w w:val="90"/>
                <w:szCs w:val="21"/>
                <w:highlight w:val="none"/>
              </w:rPr>
            </w:pPr>
          </w:p>
        </w:tc>
        <w:tc>
          <w:tcPr>
            <w:tcW w:w="1933" w:type="dxa"/>
            <w:vMerge w:val="continue"/>
            <w:vAlign w:val="center"/>
          </w:tcPr>
          <w:p w14:paraId="7E7C0E98">
            <w:pPr>
              <w:ind w:firstLine="325"/>
              <w:jc w:val="left"/>
              <w:rPr>
                <w:color w:val="auto"/>
                <w:w w:val="90"/>
                <w:szCs w:val="21"/>
                <w:highlight w:val="none"/>
              </w:rPr>
            </w:pPr>
          </w:p>
        </w:tc>
        <w:tc>
          <w:tcPr>
            <w:tcW w:w="2209" w:type="dxa"/>
            <w:vMerge w:val="continue"/>
            <w:vAlign w:val="center"/>
          </w:tcPr>
          <w:p w14:paraId="350DE8EE">
            <w:pPr>
              <w:ind w:firstLine="325"/>
              <w:jc w:val="left"/>
              <w:rPr>
                <w:color w:val="auto"/>
                <w:w w:val="90"/>
                <w:szCs w:val="21"/>
                <w:highlight w:val="none"/>
              </w:rPr>
            </w:pPr>
          </w:p>
        </w:tc>
        <w:tc>
          <w:tcPr>
            <w:tcW w:w="1807" w:type="dxa"/>
            <w:vAlign w:val="center"/>
          </w:tcPr>
          <w:p w14:paraId="31949FFC">
            <w:pPr>
              <w:ind w:firstLine="325"/>
              <w:jc w:val="left"/>
              <w:rPr>
                <w:color w:val="auto"/>
                <w:w w:val="90"/>
                <w:szCs w:val="21"/>
                <w:highlight w:val="none"/>
              </w:rPr>
            </w:pPr>
            <w:r>
              <w:rPr>
                <w:rFonts w:hint="eastAsia"/>
                <w:color w:val="auto"/>
                <w:w w:val="90"/>
                <w:szCs w:val="21"/>
                <w:highlight w:val="none"/>
              </w:rPr>
              <w:t>太阳能热水系统</w:t>
            </w:r>
          </w:p>
        </w:tc>
        <w:tc>
          <w:tcPr>
            <w:tcW w:w="3301" w:type="dxa"/>
            <w:vAlign w:val="center"/>
          </w:tcPr>
          <w:p w14:paraId="59FC4C59">
            <w:pPr>
              <w:ind w:firstLine="325"/>
              <w:jc w:val="left"/>
              <w:rPr>
                <w:color w:val="auto"/>
                <w:w w:val="90"/>
                <w:szCs w:val="21"/>
                <w:highlight w:val="none"/>
              </w:rPr>
            </w:pPr>
            <w:r>
              <w:rPr>
                <w:rFonts w:hint="eastAsia"/>
                <w:color w:val="auto"/>
                <w:w w:val="90"/>
                <w:szCs w:val="21"/>
                <w:highlight w:val="none"/>
              </w:rPr>
              <w:t>《家用太阳能热水系统能效限定值及能效等级》（GB 26969）</w:t>
            </w:r>
          </w:p>
        </w:tc>
      </w:tr>
      <w:tr w14:paraId="19522C98">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restart"/>
            <w:vAlign w:val="center"/>
          </w:tcPr>
          <w:p w14:paraId="5FBF158C">
            <w:pPr>
              <w:ind w:firstLine="325"/>
              <w:jc w:val="center"/>
              <w:rPr>
                <w:color w:val="auto"/>
                <w:w w:val="90"/>
                <w:szCs w:val="21"/>
                <w:highlight w:val="none"/>
              </w:rPr>
            </w:pPr>
            <w:r>
              <w:rPr>
                <w:rFonts w:hint="eastAsia"/>
                <w:color w:val="auto"/>
                <w:w w:val="90"/>
                <w:szCs w:val="21"/>
                <w:highlight w:val="none"/>
              </w:rPr>
              <w:t>11</w:t>
            </w:r>
          </w:p>
        </w:tc>
        <w:tc>
          <w:tcPr>
            <w:tcW w:w="1933" w:type="dxa"/>
            <w:vMerge w:val="restart"/>
            <w:vAlign w:val="center"/>
          </w:tcPr>
          <w:p w14:paraId="6CD39829">
            <w:pPr>
              <w:ind w:firstLine="325"/>
              <w:jc w:val="left"/>
              <w:rPr>
                <w:color w:val="auto"/>
                <w:w w:val="90"/>
                <w:szCs w:val="21"/>
                <w:highlight w:val="none"/>
              </w:rPr>
            </w:pPr>
            <w:r>
              <w:rPr>
                <w:rFonts w:hint="eastAsia"/>
                <w:color w:val="auto"/>
                <w:w w:val="90"/>
                <w:szCs w:val="21"/>
                <w:highlight w:val="none"/>
              </w:rPr>
              <w:t>A020619 照明设备</w:t>
            </w:r>
          </w:p>
        </w:tc>
        <w:tc>
          <w:tcPr>
            <w:tcW w:w="2209" w:type="dxa"/>
            <w:vAlign w:val="center"/>
          </w:tcPr>
          <w:p w14:paraId="41109651">
            <w:pPr>
              <w:ind w:firstLine="325"/>
              <w:jc w:val="left"/>
              <w:rPr>
                <w:b/>
                <w:color w:val="auto"/>
                <w:w w:val="90"/>
                <w:szCs w:val="21"/>
                <w:highlight w:val="none"/>
              </w:rPr>
            </w:pPr>
            <w:r>
              <w:rPr>
                <w:rFonts w:hint="eastAsia"/>
                <w:color w:val="auto"/>
                <w:w w:val="90"/>
                <w:szCs w:val="21"/>
                <w:highlight w:val="none"/>
              </w:rPr>
              <w:t>★</w:t>
            </w:r>
            <w:r>
              <w:rPr>
                <w:rFonts w:hint="eastAsia"/>
                <w:b/>
                <w:color w:val="auto"/>
                <w:w w:val="90"/>
                <w:szCs w:val="21"/>
                <w:highlight w:val="none"/>
              </w:rPr>
              <w:t>普通照明用双端荧光灯</w:t>
            </w:r>
          </w:p>
        </w:tc>
        <w:tc>
          <w:tcPr>
            <w:tcW w:w="1807" w:type="dxa"/>
            <w:vAlign w:val="center"/>
          </w:tcPr>
          <w:p w14:paraId="6002A923">
            <w:pPr>
              <w:ind w:firstLine="325"/>
              <w:jc w:val="center"/>
              <w:rPr>
                <w:color w:val="auto"/>
                <w:w w:val="90"/>
                <w:szCs w:val="21"/>
                <w:highlight w:val="none"/>
              </w:rPr>
            </w:pPr>
          </w:p>
        </w:tc>
        <w:tc>
          <w:tcPr>
            <w:tcW w:w="3301" w:type="dxa"/>
            <w:vAlign w:val="center"/>
          </w:tcPr>
          <w:p w14:paraId="7C2E285B">
            <w:pPr>
              <w:ind w:firstLine="325"/>
              <w:jc w:val="left"/>
              <w:rPr>
                <w:color w:val="auto"/>
                <w:w w:val="90"/>
                <w:szCs w:val="21"/>
                <w:highlight w:val="none"/>
              </w:rPr>
            </w:pPr>
            <w:r>
              <w:rPr>
                <w:rFonts w:hint="eastAsia"/>
                <w:color w:val="auto"/>
                <w:w w:val="90"/>
                <w:szCs w:val="21"/>
                <w:highlight w:val="none"/>
              </w:rPr>
              <w:t>《普通照明用双端荧光灯能效限定值及能效等级》（GB 19043）</w:t>
            </w:r>
          </w:p>
        </w:tc>
      </w:tr>
      <w:tr w14:paraId="1BDA375E">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2F6B38AD">
            <w:pPr>
              <w:ind w:firstLine="325"/>
              <w:jc w:val="center"/>
              <w:rPr>
                <w:color w:val="auto"/>
                <w:w w:val="90"/>
                <w:szCs w:val="21"/>
                <w:highlight w:val="none"/>
              </w:rPr>
            </w:pPr>
          </w:p>
        </w:tc>
        <w:tc>
          <w:tcPr>
            <w:tcW w:w="1933" w:type="dxa"/>
            <w:vMerge w:val="continue"/>
            <w:vAlign w:val="center"/>
          </w:tcPr>
          <w:p w14:paraId="027F2D61">
            <w:pPr>
              <w:ind w:firstLine="325"/>
              <w:jc w:val="left"/>
              <w:rPr>
                <w:color w:val="auto"/>
                <w:w w:val="90"/>
                <w:szCs w:val="21"/>
                <w:highlight w:val="none"/>
              </w:rPr>
            </w:pPr>
          </w:p>
        </w:tc>
        <w:tc>
          <w:tcPr>
            <w:tcW w:w="2209" w:type="dxa"/>
            <w:vAlign w:val="center"/>
          </w:tcPr>
          <w:p w14:paraId="511F2C3E">
            <w:pPr>
              <w:ind w:firstLine="325"/>
              <w:jc w:val="left"/>
              <w:rPr>
                <w:color w:val="auto"/>
                <w:w w:val="90"/>
                <w:szCs w:val="21"/>
                <w:highlight w:val="none"/>
              </w:rPr>
            </w:pPr>
            <w:r>
              <w:rPr>
                <w:rFonts w:hint="eastAsia"/>
                <w:color w:val="auto"/>
                <w:w w:val="90"/>
                <w:szCs w:val="21"/>
                <w:highlight w:val="none"/>
              </w:rPr>
              <w:t>LED道路/隧道照明产品</w:t>
            </w:r>
          </w:p>
        </w:tc>
        <w:tc>
          <w:tcPr>
            <w:tcW w:w="1807" w:type="dxa"/>
            <w:vAlign w:val="center"/>
          </w:tcPr>
          <w:p w14:paraId="04C225D0">
            <w:pPr>
              <w:ind w:firstLine="325"/>
              <w:jc w:val="center"/>
              <w:rPr>
                <w:color w:val="auto"/>
                <w:w w:val="90"/>
                <w:szCs w:val="21"/>
                <w:highlight w:val="none"/>
              </w:rPr>
            </w:pPr>
          </w:p>
        </w:tc>
        <w:tc>
          <w:tcPr>
            <w:tcW w:w="3301" w:type="dxa"/>
            <w:vAlign w:val="center"/>
          </w:tcPr>
          <w:p w14:paraId="42A40D66">
            <w:pPr>
              <w:ind w:firstLine="325"/>
              <w:jc w:val="left"/>
              <w:rPr>
                <w:color w:val="auto"/>
                <w:w w:val="90"/>
                <w:szCs w:val="21"/>
                <w:highlight w:val="none"/>
              </w:rPr>
            </w:pPr>
            <w:r>
              <w:rPr>
                <w:rFonts w:hint="eastAsia"/>
                <w:color w:val="auto"/>
                <w:w w:val="90"/>
                <w:szCs w:val="21"/>
                <w:highlight w:val="none"/>
              </w:rPr>
              <w:t>《道路和隧道照明用LED灯具能效限定值及能效等级》（GB 37478）</w:t>
            </w:r>
          </w:p>
        </w:tc>
      </w:tr>
      <w:tr w14:paraId="4B09D80C">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5667521E">
            <w:pPr>
              <w:ind w:firstLine="325"/>
              <w:jc w:val="center"/>
              <w:rPr>
                <w:color w:val="auto"/>
                <w:w w:val="90"/>
                <w:szCs w:val="21"/>
                <w:highlight w:val="none"/>
              </w:rPr>
            </w:pPr>
          </w:p>
        </w:tc>
        <w:tc>
          <w:tcPr>
            <w:tcW w:w="1933" w:type="dxa"/>
            <w:vMerge w:val="continue"/>
            <w:vAlign w:val="center"/>
          </w:tcPr>
          <w:p w14:paraId="2266491A">
            <w:pPr>
              <w:ind w:firstLine="325"/>
              <w:jc w:val="left"/>
              <w:rPr>
                <w:color w:val="auto"/>
                <w:w w:val="90"/>
                <w:szCs w:val="21"/>
                <w:highlight w:val="none"/>
              </w:rPr>
            </w:pPr>
          </w:p>
        </w:tc>
        <w:tc>
          <w:tcPr>
            <w:tcW w:w="2209" w:type="dxa"/>
            <w:vAlign w:val="center"/>
          </w:tcPr>
          <w:p w14:paraId="30F50B6A">
            <w:pPr>
              <w:ind w:firstLine="325"/>
              <w:jc w:val="left"/>
              <w:rPr>
                <w:color w:val="auto"/>
                <w:w w:val="90"/>
                <w:szCs w:val="21"/>
                <w:highlight w:val="none"/>
              </w:rPr>
            </w:pPr>
            <w:r>
              <w:rPr>
                <w:rFonts w:hint="eastAsia"/>
                <w:color w:val="auto"/>
                <w:w w:val="90"/>
                <w:szCs w:val="21"/>
                <w:highlight w:val="none"/>
              </w:rPr>
              <w:t>LED筒灯</w:t>
            </w:r>
          </w:p>
        </w:tc>
        <w:tc>
          <w:tcPr>
            <w:tcW w:w="1807" w:type="dxa"/>
            <w:vAlign w:val="center"/>
          </w:tcPr>
          <w:p w14:paraId="2FB772BE">
            <w:pPr>
              <w:ind w:firstLine="325"/>
              <w:jc w:val="center"/>
              <w:rPr>
                <w:color w:val="auto"/>
                <w:w w:val="90"/>
                <w:szCs w:val="21"/>
                <w:highlight w:val="none"/>
              </w:rPr>
            </w:pPr>
          </w:p>
        </w:tc>
        <w:tc>
          <w:tcPr>
            <w:tcW w:w="3301" w:type="dxa"/>
            <w:vAlign w:val="center"/>
          </w:tcPr>
          <w:p w14:paraId="1342ED87">
            <w:pPr>
              <w:ind w:firstLine="325"/>
              <w:jc w:val="left"/>
              <w:rPr>
                <w:color w:val="auto"/>
                <w:w w:val="90"/>
                <w:szCs w:val="21"/>
                <w:highlight w:val="none"/>
              </w:rPr>
            </w:pPr>
            <w:r>
              <w:rPr>
                <w:rFonts w:hint="eastAsia"/>
                <w:color w:val="auto"/>
                <w:w w:val="90"/>
                <w:szCs w:val="21"/>
                <w:highlight w:val="none"/>
              </w:rPr>
              <w:t>《室内照明用LED产品能效限定值及能效等级》（GB 30255）</w:t>
            </w:r>
          </w:p>
        </w:tc>
      </w:tr>
      <w:tr w14:paraId="6F0E626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5DB6217A">
            <w:pPr>
              <w:ind w:firstLine="325"/>
              <w:jc w:val="center"/>
              <w:rPr>
                <w:color w:val="auto"/>
                <w:w w:val="90"/>
                <w:szCs w:val="21"/>
                <w:highlight w:val="none"/>
              </w:rPr>
            </w:pPr>
          </w:p>
        </w:tc>
        <w:tc>
          <w:tcPr>
            <w:tcW w:w="1933" w:type="dxa"/>
            <w:vMerge w:val="continue"/>
            <w:vAlign w:val="center"/>
          </w:tcPr>
          <w:p w14:paraId="66FDC2CB">
            <w:pPr>
              <w:ind w:firstLine="325"/>
              <w:jc w:val="left"/>
              <w:rPr>
                <w:color w:val="auto"/>
                <w:w w:val="90"/>
                <w:szCs w:val="21"/>
                <w:highlight w:val="none"/>
              </w:rPr>
            </w:pPr>
          </w:p>
        </w:tc>
        <w:tc>
          <w:tcPr>
            <w:tcW w:w="2209" w:type="dxa"/>
            <w:vAlign w:val="center"/>
          </w:tcPr>
          <w:p w14:paraId="2089C37F">
            <w:pPr>
              <w:ind w:firstLine="325"/>
              <w:jc w:val="left"/>
              <w:rPr>
                <w:color w:val="auto"/>
                <w:w w:val="90"/>
                <w:szCs w:val="21"/>
                <w:highlight w:val="none"/>
              </w:rPr>
            </w:pPr>
            <w:r>
              <w:rPr>
                <w:rFonts w:hint="eastAsia"/>
                <w:color w:val="auto"/>
                <w:w w:val="90"/>
                <w:szCs w:val="21"/>
                <w:highlight w:val="none"/>
              </w:rPr>
              <w:t>普通照明用非定向自镇流LED灯</w:t>
            </w:r>
          </w:p>
        </w:tc>
        <w:tc>
          <w:tcPr>
            <w:tcW w:w="1807" w:type="dxa"/>
            <w:vAlign w:val="center"/>
          </w:tcPr>
          <w:p w14:paraId="6047F139">
            <w:pPr>
              <w:ind w:firstLine="325"/>
              <w:jc w:val="center"/>
              <w:rPr>
                <w:color w:val="auto"/>
                <w:w w:val="90"/>
                <w:szCs w:val="21"/>
                <w:highlight w:val="none"/>
              </w:rPr>
            </w:pPr>
          </w:p>
        </w:tc>
        <w:tc>
          <w:tcPr>
            <w:tcW w:w="3301" w:type="dxa"/>
            <w:vAlign w:val="center"/>
          </w:tcPr>
          <w:p w14:paraId="03C0780A">
            <w:pPr>
              <w:ind w:firstLine="325"/>
              <w:jc w:val="left"/>
              <w:rPr>
                <w:color w:val="auto"/>
                <w:w w:val="90"/>
                <w:szCs w:val="21"/>
                <w:highlight w:val="none"/>
              </w:rPr>
            </w:pPr>
            <w:r>
              <w:rPr>
                <w:rFonts w:hint="eastAsia"/>
                <w:color w:val="auto"/>
                <w:w w:val="90"/>
                <w:szCs w:val="21"/>
                <w:highlight w:val="none"/>
              </w:rPr>
              <w:t>《室内照明用LED产品能效限定值及能效等级》（GB 30255）</w:t>
            </w:r>
          </w:p>
        </w:tc>
      </w:tr>
      <w:tr w14:paraId="5033D54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17E49861">
            <w:pPr>
              <w:ind w:firstLine="325"/>
              <w:jc w:val="center"/>
              <w:rPr>
                <w:color w:val="auto"/>
                <w:w w:val="90"/>
                <w:szCs w:val="21"/>
                <w:highlight w:val="none"/>
              </w:rPr>
            </w:pPr>
            <w:r>
              <w:rPr>
                <w:rFonts w:hint="eastAsia"/>
                <w:color w:val="auto"/>
                <w:w w:val="90"/>
                <w:szCs w:val="21"/>
                <w:highlight w:val="none"/>
              </w:rPr>
              <w:t>12</w:t>
            </w:r>
          </w:p>
        </w:tc>
        <w:tc>
          <w:tcPr>
            <w:tcW w:w="1933" w:type="dxa"/>
            <w:vAlign w:val="center"/>
          </w:tcPr>
          <w:p w14:paraId="4C275E84">
            <w:pPr>
              <w:ind w:firstLine="325"/>
              <w:jc w:val="left"/>
              <w:rPr>
                <w:b/>
                <w:color w:val="auto"/>
                <w:w w:val="90"/>
                <w:szCs w:val="21"/>
                <w:highlight w:val="none"/>
              </w:rPr>
            </w:pPr>
            <w:r>
              <w:rPr>
                <w:rFonts w:hint="eastAsia"/>
                <w:color w:val="auto"/>
                <w:w w:val="90"/>
                <w:szCs w:val="21"/>
                <w:highlight w:val="none"/>
              </w:rPr>
              <w:t>★</w:t>
            </w:r>
            <w:r>
              <w:rPr>
                <w:rFonts w:hint="eastAsia"/>
                <w:b/>
                <w:color w:val="auto"/>
                <w:w w:val="90"/>
                <w:szCs w:val="21"/>
                <w:highlight w:val="none"/>
              </w:rPr>
              <w:t>A020910电视设备</w:t>
            </w:r>
          </w:p>
        </w:tc>
        <w:tc>
          <w:tcPr>
            <w:tcW w:w="2209" w:type="dxa"/>
            <w:vAlign w:val="center"/>
          </w:tcPr>
          <w:p w14:paraId="5C918C38">
            <w:pPr>
              <w:ind w:firstLine="325"/>
              <w:jc w:val="left"/>
              <w:rPr>
                <w:b/>
                <w:color w:val="auto"/>
                <w:w w:val="90"/>
                <w:szCs w:val="21"/>
                <w:highlight w:val="none"/>
              </w:rPr>
            </w:pPr>
            <w:r>
              <w:rPr>
                <w:rFonts w:hint="eastAsia"/>
                <w:b/>
                <w:color w:val="auto"/>
                <w:w w:val="90"/>
                <w:szCs w:val="21"/>
                <w:highlight w:val="none"/>
              </w:rPr>
              <w:t>A02091001普通电视设备（电视机）</w:t>
            </w:r>
          </w:p>
        </w:tc>
        <w:tc>
          <w:tcPr>
            <w:tcW w:w="1807" w:type="dxa"/>
            <w:vAlign w:val="center"/>
          </w:tcPr>
          <w:p w14:paraId="3347F0A7">
            <w:pPr>
              <w:ind w:firstLine="325"/>
              <w:jc w:val="center"/>
              <w:rPr>
                <w:color w:val="auto"/>
                <w:w w:val="90"/>
                <w:szCs w:val="21"/>
                <w:highlight w:val="none"/>
              </w:rPr>
            </w:pPr>
          </w:p>
        </w:tc>
        <w:tc>
          <w:tcPr>
            <w:tcW w:w="3301" w:type="dxa"/>
            <w:vAlign w:val="center"/>
          </w:tcPr>
          <w:p w14:paraId="57074919">
            <w:pPr>
              <w:ind w:firstLine="325"/>
              <w:jc w:val="left"/>
              <w:rPr>
                <w:color w:val="auto"/>
                <w:w w:val="90"/>
                <w:szCs w:val="21"/>
                <w:highlight w:val="none"/>
              </w:rPr>
            </w:pPr>
            <w:r>
              <w:rPr>
                <w:rFonts w:hint="eastAsia"/>
                <w:color w:val="auto"/>
                <w:w w:val="90"/>
                <w:szCs w:val="21"/>
                <w:highlight w:val="none"/>
              </w:rPr>
              <w:t>《平板电视能效限定值及能效等级》（GB 24850）</w:t>
            </w:r>
          </w:p>
        </w:tc>
      </w:tr>
      <w:tr w14:paraId="3AFF2DC1">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5A79D39E">
            <w:pPr>
              <w:ind w:firstLine="325"/>
              <w:jc w:val="center"/>
              <w:rPr>
                <w:color w:val="auto"/>
                <w:w w:val="90"/>
                <w:szCs w:val="21"/>
                <w:highlight w:val="none"/>
              </w:rPr>
            </w:pPr>
            <w:r>
              <w:rPr>
                <w:rFonts w:hint="eastAsia"/>
                <w:color w:val="auto"/>
                <w:w w:val="90"/>
                <w:szCs w:val="21"/>
                <w:highlight w:val="none"/>
              </w:rPr>
              <w:t>13</w:t>
            </w:r>
          </w:p>
        </w:tc>
        <w:tc>
          <w:tcPr>
            <w:tcW w:w="1933" w:type="dxa"/>
            <w:vAlign w:val="center"/>
          </w:tcPr>
          <w:p w14:paraId="0F0B17EA">
            <w:pPr>
              <w:ind w:firstLine="325"/>
              <w:jc w:val="left"/>
              <w:rPr>
                <w:b/>
                <w:color w:val="auto"/>
                <w:w w:val="90"/>
                <w:szCs w:val="21"/>
                <w:highlight w:val="none"/>
              </w:rPr>
            </w:pPr>
            <w:r>
              <w:rPr>
                <w:rFonts w:hint="eastAsia"/>
                <w:color w:val="auto"/>
                <w:w w:val="90"/>
                <w:szCs w:val="21"/>
                <w:highlight w:val="none"/>
              </w:rPr>
              <w:t>★</w:t>
            </w:r>
            <w:r>
              <w:rPr>
                <w:rFonts w:hint="eastAsia"/>
                <w:b/>
                <w:color w:val="auto"/>
                <w:w w:val="90"/>
                <w:szCs w:val="21"/>
                <w:highlight w:val="none"/>
              </w:rPr>
              <w:t>A020911视频设备</w:t>
            </w:r>
          </w:p>
        </w:tc>
        <w:tc>
          <w:tcPr>
            <w:tcW w:w="2209" w:type="dxa"/>
            <w:vAlign w:val="center"/>
          </w:tcPr>
          <w:p w14:paraId="404C3255">
            <w:pPr>
              <w:ind w:firstLine="325"/>
              <w:jc w:val="left"/>
              <w:rPr>
                <w:b/>
                <w:color w:val="auto"/>
                <w:w w:val="90"/>
                <w:szCs w:val="21"/>
                <w:highlight w:val="none"/>
              </w:rPr>
            </w:pPr>
            <w:r>
              <w:rPr>
                <w:rFonts w:hint="eastAsia"/>
                <w:b/>
                <w:color w:val="auto"/>
                <w:w w:val="90"/>
                <w:szCs w:val="21"/>
                <w:highlight w:val="none"/>
              </w:rPr>
              <w:t>A02091107视频监控设备</w:t>
            </w:r>
          </w:p>
        </w:tc>
        <w:tc>
          <w:tcPr>
            <w:tcW w:w="1807" w:type="dxa"/>
            <w:vAlign w:val="center"/>
          </w:tcPr>
          <w:p w14:paraId="2D4A6192">
            <w:pPr>
              <w:ind w:firstLine="325"/>
              <w:jc w:val="center"/>
              <w:rPr>
                <w:b/>
                <w:color w:val="auto"/>
                <w:w w:val="90"/>
                <w:szCs w:val="21"/>
                <w:highlight w:val="none"/>
              </w:rPr>
            </w:pPr>
            <w:r>
              <w:rPr>
                <w:rFonts w:hint="eastAsia"/>
                <w:b/>
                <w:color w:val="auto"/>
                <w:w w:val="90"/>
                <w:szCs w:val="21"/>
                <w:highlight w:val="none"/>
              </w:rPr>
              <w:t>监视器</w:t>
            </w:r>
          </w:p>
        </w:tc>
        <w:tc>
          <w:tcPr>
            <w:tcW w:w="3301" w:type="dxa"/>
            <w:vAlign w:val="center"/>
          </w:tcPr>
          <w:p w14:paraId="4CCFBEDA">
            <w:pPr>
              <w:ind w:firstLine="325"/>
              <w:jc w:val="left"/>
              <w:rPr>
                <w:color w:val="auto"/>
                <w:w w:val="90"/>
                <w:szCs w:val="21"/>
                <w:highlight w:val="none"/>
              </w:rPr>
            </w:pPr>
            <w:r>
              <w:rPr>
                <w:rFonts w:hint="eastAsia"/>
                <w:color w:val="auto"/>
                <w:w w:val="90"/>
                <w:szCs w:val="21"/>
                <w:highlight w:val="none"/>
              </w:rPr>
              <w:t>以射频信号为主要信号输入的监视器应符合《平板电视能效限定值及能效等级》（GB 24850），以数字信号为主要信号输入的监视器应符合《计算机显示器能效限定值及能效等级》（GB 21520）</w:t>
            </w:r>
          </w:p>
        </w:tc>
      </w:tr>
      <w:tr w14:paraId="47246DA2">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78E4C31E">
            <w:pPr>
              <w:ind w:firstLine="325"/>
              <w:jc w:val="center"/>
              <w:rPr>
                <w:color w:val="auto"/>
                <w:w w:val="90"/>
                <w:szCs w:val="21"/>
                <w:highlight w:val="none"/>
              </w:rPr>
            </w:pPr>
            <w:r>
              <w:rPr>
                <w:rFonts w:hint="eastAsia"/>
                <w:color w:val="auto"/>
                <w:w w:val="90"/>
                <w:szCs w:val="21"/>
                <w:highlight w:val="none"/>
              </w:rPr>
              <w:t>14</w:t>
            </w:r>
          </w:p>
        </w:tc>
        <w:tc>
          <w:tcPr>
            <w:tcW w:w="1933" w:type="dxa"/>
            <w:vAlign w:val="center"/>
          </w:tcPr>
          <w:p w14:paraId="2D64EAD9">
            <w:pPr>
              <w:ind w:firstLine="325"/>
              <w:jc w:val="left"/>
              <w:rPr>
                <w:color w:val="auto"/>
                <w:w w:val="90"/>
                <w:szCs w:val="21"/>
                <w:highlight w:val="none"/>
              </w:rPr>
            </w:pPr>
            <w:r>
              <w:rPr>
                <w:rFonts w:hint="eastAsia"/>
                <w:color w:val="auto"/>
                <w:w w:val="90"/>
                <w:szCs w:val="21"/>
                <w:highlight w:val="none"/>
              </w:rPr>
              <w:t>A031210饮食炊事机械</w:t>
            </w:r>
          </w:p>
        </w:tc>
        <w:tc>
          <w:tcPr>
            <w:tcW w:w="2209" w:type="dxa"/>
            <w:vAlign w:val="center"/>
          </w:tcPr>
          <w:p w14:paraId="3BA95E13">
            <w:pPr>
              <w:ind w:firstLine="325"/>
              <w:jc w:val="left"/>
              <w:rPr>
                <w:color w:val="auto"/>
                <w:w w:val="90"/>
                <w:szCs w:val="21"/>
                <w:highlight w:val="none"/>
              </w:rPr>
            </w:pPr>
            <w:r>
              <w:rPr>
                <w:rFonts w:hint="eastAsia"/>
                <w:color w:val="auto"/>
                <w:w w:val="90"/>
                <w:szCs w:val="21"/>
                <w:highlight w:val="none"/>
              </w:rPr>
              <w:t>商用燃气灶具</w:t>
            </w:r>
          </w:p>
        </w:tc>
        <w:tc>
          <w:tcPr>
            <w:tcW w:w="1807" w:type="dxa"/>
            <w:vAlign w:val="center"/>
          </w:tcPr>
          <w:p w14:paraId="6608DA63">
            <w:pPr>
              <w:ind w:firstLine="325"/>
              <w:jc w:val="center"/>
              <w:rPr>
                <w:color w:val="auto"/>
                <w:w w:val="90"/>
                <w:szCs w:val="21"/>
                <w:highlight w:val="none"/>
              </w:rPr>
            </w:pPr>
          </w:p>
        </w:tc>
        <w:tc>
          <w:tcPr>
            <w:tcW w:w="3301" w:type="dxa"/>
            <w:vAlign w:val="center"/>
          </w:tcPr>
          <w:p w14:paraId="0DB4EB77">
            <w:pPr>
              <w:ind w:firstLine="325"/>
              <w:jc w:val="left"/>
              <w:rPr>
                <w:color w:val="auto"/>
                <w:w w:val="90"/>
                <w:szCs w:val="21"/>
                <w:highlight w:val="none"/>
              </w:rPr>
            </w:pPr>
          </w:p>
        </w:tc>
      </w:tr>
      <w:tr w14:paraId="2012A86F">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restart"/>
            <w:vAlign w:val="center"/>
          </w:tcPr>
          <w:p w14:paraId="0CAF653B">
            <w:pPr>
              <w:ind w:firstLine="325"/>
              <w:jc w:val="center"/>
              <w:rPr>
                <w:color w:val="auto"/>
                <w:w w:val="90"/>
                <w:szCs w:val="21"/>
                <w:highlight w:val="none"/>
              </w:rPr>
            </w:pPr>
            <w:r>
              <w:rPr>
                <w:rFonts w:hint="eastAsia"/>
                <w:color w:val="auto"/>
                <w:w w:val="90"/>
                <w:szCs w:val="21"/>
                <w:highlight w:val="none"/>
              </w:rPr>
              <w:t>15</w:t>
            </w:r>
          </w:p>
        </w:tc>
        <w:tc>
          <w:tcPr>
            <w:tcW w:w="1933" w:type="dxa"/>
            <w:vMerge w:val="restart"/>
            <w:vAlign w:val="center"/>
          </w:tcPr>
          <w:p w14:paraId="254C14F8">
            <w:pPr>
              <w:ind w:firstLine="325"/>
              <w:jc w:val="left"/>
              <w:rPr>
                <w:b/>
                <w:color w:val="auto"/>
                <w:w w:val="90"/>
                <w:szCs w:val="21"/>
                <w:highlight w:val="none"/>
              </w:rPr>
            </w:pPr>
            <w:r>
              <w:rPr>
                <w:rFonts w:hint="eastAsia"/>
                <w:color w:val="auto"/>
                <w:w w:val="90"/>
                <w:szCs w:val="21"/>
                <w:highlight w:val="none"/>
              </w:rPr>
              <w:t>★</w:t>
            </w:r>
            <w:r>
              <w:rPr>
                <w:rFonts w:hint="eastAsia"/>
                <w:b/>
                <w:color w:val="auto"/>
                <w:w w:val="90"/>
                <w:szCs w:val="21"/>
                <w:highlight w:val="none"/>
              </w:rPr>
              <w:t>A060805便器</w:t>
            </w:r>
          </w:p>
        </w:tc>
        <w:tc>
          <w:tcPr>
            <w:tcW w:w="2209" w:type="dxa"/>
            <w:vAlign w:val="center"/>
          </w:tcPr>
          <w:p w14:paraId="0849202E">
            <w:pPr>
              <w:ind w:firstLine="325"/>
              <w:jc w:val="left"/>
              <w:rPr>
                <w:b/>
                <w:color w:val="auto"/>
                <w:w w:val="90"/>
                <w:szCs w:val="21"/>
                <w:highlight w:val="none"/>
              </w:rPr>
            </w:pPr>
            <w:r>
              <w:rPr>
                <w:rFonts w:hint="eastAsia"/>
                <w:b/>
                <w:color w:val="auto"/>
                <w:w w:val="90"/>
                <w:szCs w:val="21"/>
                <w:highlight w:val="none"/>
              </w:rPr>
              <w:t>坐便器</w:t>
            </w:r>
          </w:p>
        </w:tc>
        <w:tc>
          <w:tcPr>
            <w:tcW w:w="1807" w:type="dxa"/>
            <w:vAlign w:val="center"/>
          </w:tcPr>
          <w:p w14:paraId="4451ADAB">
            <w:pPr>
              <w:ind w:firstLine="325"/>
              <w:jc w:val="center"/>
              <w:rPr>
                <w:color w:val="auto"/>
                <w:w w:val="90"/>
                <w:szCs w:val="21"/>
                <w:highlight w:val="none"/>
              </w:rPr>
            </w:pPr>
          </w:p>
        </w:tc>
        <w:tc>
          <w:tcPr>
            <w:tcW w:w="3301" w:type="dxa"/>
            <w:vAlign w:val="center"/>
          </w:tcPr>
          <w:p w14:paraId="3B31A142">
            <w:pPr>
              <w:ind w:firstLine="325"/>
              <w:jc w:val="left"/>
              <w:rPr>
                <w:color w:val="auto"/>
                <w:w w:val="90"/>
                <w:szCs w:val="21"/>
                <w:highlight w:val="none"/>
              </w:rPr>
            </w:pPr>
            <w:r>
              <w:rPr>
                <w:rFonts w:hint="eastAsia"/>
                <w:color w:val="auto"/>
                <w:w w:val="90"/>
                <w:szCs w:val="21"/>
                <w:highlight w:val="none"/>
              </w:rPr>
              <w:t>《坐便器水效限定值及水效等级</w:t>
            </w:r>
          </w:p>
          <w:p w14:paraId="734DA0DA">
            <w:pPr>
              <w:ind w:firstLine="325"/>
              <w:jc w:val="left"/>
              <w:rPr>
                <w:color w:val="auto"/>
                <w:w w:val="90"/>
                <w:szCs w:val="21"/>
                <w:highlight w:val="none"/>
              </w:rPr>
            </w:pPr>
            <w:r>
              <w:rPr>
                <w:rFonts w:hint="eastAsia"/>
                <w:color w:val="auto"/>
                <w:w w:val="90"/>
                <w:szCs w:val="21"/>
                <w:highlight w:val="none"/>
              </w:rPr>
              <w:t>（GB 25502）</w:t>
            </w:r>
          </w:p>
        </w:tc>
      </w:tr>
      <w:tr w14:paraId="2543AA80">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18673081">
            <w:pPr>
              <w:ind w:firstLine="325"/>
              <w:jc w:val="center"/>
              <w:rPr>
                <w:color w:val="auto"/>
                <w:w w:val="90"/>
                <w:szCs w:val="21"/>
                <w:highlight w:val="none"/>
              </w:rPr>
            </w:pPr>
          </w:p>
        </w:tc>
        <w:tc>
          <w:tcPr>
            <w:tcW w:w="1933" w:type="dxa"/>
            <w:vMerge w:val="continue"/>
            <w:vAlign w:val="center"/>
          </w:tcPr>
          <w:p w14:paraId="13F85E35">
            <w:pPr>
              <w:ind w:firstLine="323"/>
              <w:jc w:val="left"/>
              <w:rPr>
                <w:b/>
                <w:color w:val="auto"/>
                <w:w w:val="90"/>
                <w:szCs w:val="21"/>
                <w:highlight w:val="none"/>
              </w:rPr>
            </w:pPr>
          </w:p>
        </w:tc>
        <w:tc>
          <w:tcPr>
            <w:tcW w:w="2209" w:type="dxa"/>
            <w:vAlign w:val="center"/>
          </w:tcPr>
          <w:p w14:paraId="3BEB9AAA">
            <w:pPr>
              <w:ind w:firstLine="325"/>
              <w:jc w:val="left"/>
              <w:rPr>
                <w:b/>
                <w:color w:val="auto"/>
                <w:w w:val="90"/>
                <w:szCs w:val="21"/>
                <w:highlight w:val="none"/>
              </w:rPr>
            </w:pPr>
            <w:r>
              <w:rPr>
                <w:rFonts w:hint="eastAsia"/>
                <w:b/>
                <w:color w:val="auto"/>
                <w:w w:val="90"/>
                <w:szCs w:val="21"/>
                <w:highlight w:val="none"/>
              </w:rPr>
              <w:t>蹲便器</w:t>
            </w:r>
          </w:p>
        </w:tc>
        <w:tc>
          <w:tcPr>
            <w:tcW w:w="1807" w:type="dxa"/>
            <w:vAlign w:val="center"/>
          </w:tcPr>
          <w:p w14:paraId="590C5235">
            <w:pPr>
              <w:ind w:firstLine="325"/>
              <w:jc w:val="center"/>
              <w:rPr>
                <w:color w:val="auto"/>
                <w:w w:val="90"/>
                <w:szCs w:val="21"/>
                <w:highlight w:val="none"/>
              </w:rPr>
            </w:pPr>
          </w:p>
        </w:tc>
        <w:tc>
          <w:tcPr>
            <w:tcW w:w="3301" w:type="dxa"/>
            <w:vAlign w:val="center"/>
          </w:tcPr>
          <w:p w14:paraId="7481F3CA">
            <w:pPr>
              <w:ind w:firstLine="325"/>
              <w:jc w:val="left"/>
              <w:rPr>
                <w:color w:val="auto"/>
                <w:w w:val="90"/>
                <w:szCs w:val="21"/>
                <w:highlight w:val="none"/>
              </w:rPr>
            </w:pPr>
            <w:r>
              <w:rPr>
                <w:rFonts w:hint="eastAsia"/>
                <w:color w:val="auto"/>
                <w:w w:val="90"/>
                <w:szCs w:val="21"/>
                <w:highlight w:val="none"/>
              </w:rPr>
              <w:t>《蹲便器用水效率限定值及用水效率等级》（GB 30717）</w:t>
            </w:r>
          </w:p>
        </w:tc>
      </w:tr>
      <w:tr w14:paraId="4109238E">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01145C49">
            <w:pPr>
              <w:ind w:firstLine="325"/>
              <w:jc w:val="center"/>
              <w:rPr>
                <w:color w:val="auto"/>
                <w:w w:val="90"/>
                <w:szCs w:val="21"/>
                <w:highlight w:val="none"/>
              </w:rPr>
            </w:pPr>
          </w:p>
        </w:tc>
        <w:tc>
          <w:tcPr>
            <w:tcW w:w="1933" w:type="dxa"/>
            <w:vMerge w:val="continue"/>
            <w:vAlign w:val="center"/>
          </w:tcPr>
          <w:p w14:paraId="443A909E">
            <w:pPr>
              <w:ind w:firstLine="323"/>
              <w:jc w:val="left"/>
              <w:rPr>
                <w:b/>
                <w:color w:val="auto"/>
                <w:w w:val="90"/>
                <w:szCs w:val="21"/>
                <w:highlight w:val="none"/>
              </w:rPr>
            </w:pPr>
          </w:p>
        </w:tc>
        <w:tc>
          <w:tcPr>
            <w:tcW w:w="2209" w:type="dxa"/>
            <w:vAlign w:val="center"/>
          </w:tcPr>
          <w:p w14:paraId="4F607C73">
            <w:pPr>
              <w:ind w:firstLine="325"/>
              <w:jc w:val="left"/>
              <w:rPr>
                <w:b/>
                <w:color w:val="auto"/>
                <w:w w:val="90"/>
                <w:szCs w:val="21"/>
                <w:highlight w:val="none"/>
              </w:rPr>
            </w:pPr>
            <w:r>
              <w:rPr>
                <w:rFonts w:hint="eastAsia"/>
                <w:b/>
                <w:color w:val="auto"/>
                <w:w w:val="90"/>
                <w:szCs w:val="21"/>
                <w:highlight w:val="none"/>
              </w:rPr>
              <w:t>小便器</w:t>
            </w:r>
          </w:p>
        </w:tc>
        <w:tc>
          <w:tcPr>
            <w:tcW w:w="1807" w:type="dxa"/>
            <w:vAlign w:val="center"/>
          </w:tcPr>
          <w:p w14:paraId="7211660A">
            <w:pPr>
              <w:ind w:firstLine="325"/>
              <w:jc w:val="center"/>
              <w:rPr>
                <w:color w:val="auto"/>
                <w:w w:val="90"/>
                <w:szCs w:val="21"/>
                <w:highlight w:val="none"/>
              </w:rPr>
            </w:pPr>
          </w:p>
        </w:tc>
        <w:tc>
          <w:tcPr>
            <w:tcW w:w="3301" w:type="dxa"/>
            <w:vAlign w:val="center"/>
          </w:tcPr>
          <w:p w14:paraId="22A6795A">
            <w:pPr>
              <w:ind w:firstLine="325"/>
              <w:jc w:val="left"/>
              <w:rPr>
                <w:color w:val="auto"/>
                <w:w w:val="90"/>
                <w:szCs w:val="21"/>
                <w:highlight w:val="none"/>
              </w:rPr>
            </w:pPr>
            <w:r>
              <w:rPr>
                <w:rFonts w:hint="eastAsia"/>
                <w:color w:val="auto"/>
                <w:w w:val="90"/>
                <w:szCs w:val="21"/>
                <w:highlight w:val="none"/>
              </w:rPr>
              <w:t>《小便器用水效率限定值及用水效率等级》（GB 28377）</w:t>
            </w:r>
          </w:p>
        </w:tc>
      </w:tr>
      <w:tr w14:paraId="5BE8A351">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460DF633">
            <w:pPr>
              <w:ind w:firstLine="325"/>
              <w:jc w:val="center"/>
              <w:rPr>
                <w:color w:val="auto"/>
                <w:w w:val="90"/>
                <w:szCs w:val="21"/>
                <w:highlight w:val="none"/>
              </w:rPr>
            </w:pPr>
            <w:r>
              <w:rPr>
                <w:rFonts w:hint="eastAsia"/>
                <w:color w:val="auto"/>
                <w:w w:val="90"/>
                <w:szCs w:val="21"/>
                <w:highlight w:val="none"/>
              </w:rPr>
              <w:t>16</w:t>
            </w:r>
          </w:p>
        </w:tc>
        <w:tc>
          <w:tcPr>
            <w:tcW w:w="1933" w:type="dxa"/>
            <w:vAlign w:val="center"/>
          </w:tcPr>
          <w:p w14:paraId="3402CBA6">
            <w:pPr>
              <w:ind w:firstLine="325"/>
              <w:jc w:val="left"/>
              <w:rPr>
                <w:b/>
                <w:color w:val="auto"/>
                <w:w w:val="90"/>
                <w:szCs w:val="21"/>
                <w:highlight w:val="none"/>
              </w:rPr>
            </w:pPr>
            <w:r>
              <w:rPr>
                <w:rFonts w:hint="eastAsia"/>
                <w:color w:val="auto"/>
                <w:w w:val="90"/>
                <w:szCs w:val="21"/>
                <w:highlight w:val="none"/>
              </w:rPr>
              <w:t>★</w:t>
            </w:r>
            <w:r>
              <w:rPr>
                <w:rFonts w:hint="eastAsia"/>
                <w:b/>
                <w:color w:val="auto"/>
                <w:w w:val="90"/>
                <w:szCs w:val="21"/>
                <w:highlight w:val="none"/>
              </w:rPr>
              <w:t>A060806水嘴</w:t>
            </w:r>
          </w:p>
        </w:tc>
        <w:tc>
          <w:tcPr>
            <w:tcW w:w="2209" w:type="dxa"/>
            <w:vAlign w:val="center"/>
          </w:tcPr>
          <w:p w14:paraId="68001A28">
            <w:pPr>
              <w:ind w:firstLine="325"/>
              <w:jc w:val="left"/>
              <w:rPr>
                <w:color w:val="auto"/>
                <w:w w:val="90"/>
                <w:szCs w:val="21"/>
                <w:highlight w:val="none"/>
              </w:rPr>
            </w:pPr>
          </w:p>
        </w:tc>
        <w:tc>
          <w:tcPr>
            <w:tcW w:w="1807" w:type="dxa"/>
            <w:vAlign w:val="center"/>
          </w:tcPr>
          <w:p w14:paraId="56957353">
            <w:pPr>
              <w:ind w:firstLine="325"/>
              <w:jc w:val="center"/>
              <w:rPr>
                <w:color w:val="auto"/>
                <w:w w:val="90"/>
                <w:szCs w:val="21"/>
                <w:highlight w:val="none"/>
              </w:rPr>
            </w:pPr>
          </w:p>
        </w:tc>
        <w:tc>
          <w:tcPr>
            <w:tcW w:w="3301" w:type="dxa"/>
            <w:vAlign w:val="center"/>
          </w:tcPr>
          <w:p w14:paraId="5341085A">
            <w:pPr>
              <w:ind w:firstLine="325"/>
              <w:jc w:val="left"/>
              <w:rPr>
                <w:color w:val="auto"/>
                <w:w w:val="90"/>
                <w:szCs w:val="21"/>
                <w:highlight w:val="none"/>
              </w:rPr>
            </w:pPr>
            <w:r>
              <w:rPr>
                <w:rFonts w:hint="eastAsia"/>
                <w:color w:val="auto"/>
                <w:w w:val="90"/>
                <w:szCs w:val="21"/>
                <w:highlight w:val="none"/>
              </w:rPr>
              <w:t>《水嘴用水效率限定值及用水效率等级》（GB 25501）</w:t>
            </w:r>
          </w:p>
        </w:tc>
      </w:tr>
      <w:tr w14:paraId="3DA8A82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36676706">
            <w:pPr>
              <w:ind w:firstLine="325"/>
              <w:jc w:val="center"/>
              <w:rPr>
                <w:color w:val="auto"/>
                <w:w w:val="90"/>
                <w:szCs w:val="21"/>
                <w:highlight w:val="none"/>
              </w:rPr>
            </w:pPr>
            <w:r>
              <w:rPr>
                <w:rFonts w:hint="eastAsia"/>
                <w:color w:val="auto"/>
                <w:w w:val="90"/>
                <w:szCs w:val="21"/>
                <w:highlight w:val="none"/>
              </w:rPr>
              <w:t>17</w:t>
            </w:r>
          </w:p>
        </w:tc>
        <w:tc>
          <w:tcPr>
            <w:tcW w:w="1933" w:type="dxa"/>
            <w:vAlign w:val="center"/>
          </w:tcPr>
          <w:p w14:paraId="11CA7E96">
            <w:pPr>
              <w:ind w:firstLine="325"/>
              <w:jc w:val="left"/>
              <w:rPr>
                <w:color w:val="auto"/>
                <w:w w:val="90"/>
                <w:szCs w:val="21"/>
                <w:highlight w:val="none"/>
              </w:rPr>
            </w:pPr>
            <w:r>
              <w:rPr>
                <w:rFonts w:hint="eastAsia"/>
                <w:color w:val="auto"/>
                <w:w w:val="90"/>
                <w:szCs w:val="21"/>
                <w:highlight w:val="none"/>
              </w:rPr>
              <w:t>A060807便器冲洗阀</w:t>
            </w:r>
          </w:p>
        </w:tc>
        <w:tc>
          <w:tcPr>
            <w:tcW w:w="2209" w:type="dxa"/>
            <w:vAlign w:val="center"/>
          </w:tcPr>
          <w:p w14:paraId="1807F7A5">
            <w:pPr>
              <w:ind w:firstLine="325"/>
              <w:jc w:val="left"/>
              <w:rPr>
                <w:color w:val="auto"/>
                <w:w w:val="90"/>
                <w:szCs w:val="21"/>
                <w:highlight w:val="none"/>
              </w:rPr>
            </w:pPr>
          </w:p>
        </w:tc>
        <w:tc>
          <w:tcPr>
            <w:tcW w:w="1807" w:type="dxa"/>
            <w:vAlign w:val="center"/>
          </w:tcPr>
          <w:p w14:paraId="1E133D53">
            <w:pPr>
              <w:ind w:firstLine="325"/>
              <w:jc w:val="center"/>
              <w:rPr>
                <w:color w:val="auto"/>
                <w:w w:val="90"/>
                <w:szCs w:val="21"/>
                <w:highlight w:val="none"/>
              </w:rPr>
            </w:pPr>
          </w:p>
        </w:tc>
        <w:tc>
          <w:tcPr>
            <w:tcW w:w="3301" w:type="dxa"/>
            <w:vAlign w:val="center"/>
          </w:tcPr>
          <w:p w14:paraId="3E06CC7A">
            <w:pPr>
              <w:ind w:firstLine="325"/>
              <w:jc w:val="left"/>
              <w:rPr>
                <w:color w:val="auto"/>
                <w:w w:val="90"/>
                <w:szCs w:val="21"/>
                <w:highlight w:val="none"/>
              </w:rPr>
            </w:pPr>
            <w:r>
              <w:rPr>
                <w:rFonts w:hint="eastAsia"/>
                <w:color w:val="auto"/>
                <w:w w:val="90"/>
                <w:szCs w:val="21"/>
                <w:highlight w:val="none"/>
              </w:rPr>
              <w:t>《便器冲洗阀用水效率限定值及用水效率等级》（GB 28379）</w:t>
            </w:r>
          </w:p>
        </w:tc>
      </w:tr>
      <w:tr w14:paraId="06493A63">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6F48FEE0">
            <w:pPr>
              <w:ind w:firstLine="325"/>
              <w:jc w:val="center"/>
              <w:rPr>
                <w:color w:val="auto"/>
                <w:w w:val="90"/>
                <w:szCs w:val="21"/>
                <w:highlight w:val="none"/>
              </w:rPr>
            </w:pPr>
            <w:r>
              <w:rPr>
                <w:rFonts w:hint="eastAsia"/>
                <w:color w:val="auto"/>
                <w:w w:val="90"/>
                <w:szCs w:val="21"/>
                <w:highlight w:val="none"/>
              </w:rPr>
              <w:t>18</w:t>
            </w:r>
          </w:p>
        </w:tc>
        <w:tc>
          <w:tcPr>
            <w:tcW w:w="1933" w:type="dxa"/>
            <w:vAlign w:val="center"/>
          </w:tcPr>
          <w:p w14:paraId="5FF2291E">
            <w:pPr>
              <w:ind w:firstLine="325"/>
              <w:jc w:val="left"/>
              <w:rPr>
                <w:color w:val="auto"/>
                <w:w w:val="90"/>
                <w:szCs w:val="21"/>
                <w:highlight w:val="none"/>
              </w:rPr>
            </w:pPr>
            <w:r>
              <w:rPr>
                <w:rFonts w:hint="eastAsia"/>
                <w:color w:val="auto"/>
                <w:w w:val="90"/>
                <w:szCs w:val="21"/>
                <w:highlight w:val="none"/>
              </w:rPr>
              <w:t>A060810淋浴器</w:t>
            </w:r>
          </w:p>
        </w:tc>
        <w:tc>
          <w:tcPr>
            <w:tcW w:w="2209" w:type="dxa"/>
            <w:vAlign w:val="center"/>
          </w:tcPr>
          <w:p w14:paraId="0F73A242">
            <w:pPr>
              <w:ind w:firstLine="325"/>
              <w:jc w:val="left"/>
              <w:rPr>
                <w:color w:val="auto"/>
                <w:w w:val="90"/>
                <w:szCs w:val="21"/>
                <w:highlight w:val="none"/>
              </w:rPr>
            </w:pPr>
          </w:p>
        </w:tc>
        <w:tc>
          <w:tcPr>
            <w:tcW w:w="1807" w:type="dxa"/>
            <w:vAlign w:val="center"/>
          </w:tcPr>
          <w:p w14:paraId="7EA7B8B6">
            <w:pPr>
              <w:ind w:firstLine="325"/>
              <w:jc w:val="center"/>
              <w:rPr>
                <w:color w:val="auto"/>
                <w:w w:val="90"/>
                <w:szCs w:val="21"/>
                <w:highlight w:val="none"/>
              </w:rPr>
            </w:pPr>
          </w:p>
        </w:tc>
        <w:tc>
          <w:tcPr>
            <w:tcW w:w="3301" w:type="dxa"/>
            <w:vAlign w:val="center"/>
          </w:tcPr>
          <w:p w14:paraId="6F5A6D11">
            <w:pPr>
              <w:ind w:firstLine="325"/>
              <w:jc w:val="left"/>
              <w:rPr>
                <w:color w:val="auto"/>
                <w:w w:val="90"/>
                <w:szCs w:val="21"/>
                <w:highlight w:val="none"/>
              </w:rPr>
            </w:pPr>
            <w:r>
              <w:rPr>
                <w:rFonts w:hint="eastAsia"/>
                <w:color w:val="auto"/>
                <w:w w:val="90"/>
                <w:szCs w:val="21"/>
                <w:highlight w:val="none"/>
              </w:rPr>
              <w:t>《淋浴器用水效率限定值及用水效率等级》（GB 28378）</w:t>
            </w:r>
          </w:p>
        </w:tc>
      </w:tr>
    </w:tbl>
    <w:p w14:paraId="21A305C7">
      <w:pPr>
        <w:spacing w:line="360" w:lineRule="auto"/>
        <w:ind w:left="-972" w:leftChars="-405" w:right="-1200" w:rightChars="-500" w:firstLine="436" w:firstLineChars="201"/>
        <w:rPr>
          <w:b/>
          <w:color w:val="auto"/>
          <w:w w:val="90"/>
          <w:highlight w:val="none"/>
        </w:rPr>
      </w:pPr>
      <w:r>
        <w:rPr>
          <w:rFonts w:hint="eastAsia"/>
          <w:b/>
          <w:color w:val="auto"/>
          <w:w w:val="90"/>
          <w:highlight w:val="none"/>
        </w:rPr>
        <w:t>注：1、节能产品认证应依据相关国家标准的最新版本，依据国家标准中二级能效（水效）指标。</w:t>
      </w:r>
    </w:p>
    <w:p w14:paraId="5AB3AAC4">
      <w:pPr>
        <w:spacing w:line="360" w:lineRule="auto"/>
        <w:ind w:left="-972" w:leftChars="-405" w:right="-1200" w:rightChars="-500" w:firstLine="436" w:firstLineChars="201"/>
        <w:rPr>
          <w:b/>
          <w:color w:val="auto"/>
          <w:w w:val="90"/>
          <w:highlight w:val="none"/>
        </w:rPr>
      </w:pPr>
      <w:r>
        <w:rPr>
          <w:rFonts w:hint="eastAsia"/>
          <w:b/>
          <w:color w:val="auto"/>
          <w:w w:val="90"/>
          <w:highlight w:val="none"/>
        </w:rPr>
        <w:t>2、上述产品中认证标准发生变更的，依据原认证标准获得的、仍在有效期内的认证证书可使用至2019年6月1日。</w:t>
      </w:r>
    </w:p>
    <w:p w14:paraId="3BD84909">
      <w:pPr>
        <w:adjustRightInd w:val="0"/>
        <w:snapToGrid w:val="0"/>
        <w:spacing w:line="288" w:lineRule="auto"/>
        <w:ind w:firstLine="325"/>
        <w:jc w:val="left"/>
        <w:rPr>
          <w:rFonts w:cs="Times New Roman"/>
          <w:color w:val="auto"/>
          <w:spacing w:val="-6"/>
          <w:sz w:val="21"/>
          <w:szCs w:val="21"/>
          <w:highlight w:val="none"/>
        </w:rPr>
      </w:pPr>
      <w:r>
        <w:rPr>
          <w:rFonts w:hint="eastAsia"/>
          <w:b/>
          <w:color w:val="auto"/>
          <w:w w:val="90"/>
          <w:highlight w:val="none"/>
        </w:rPr>
        <w:t>3、以“★”标注的为政府强制采购产品。</w:t>
      </w:r>
    </w:p>
    <w:p w14:paraId="0ADAAD3F">
      <w:pPr>
        <w:adjustRightInd w:val="0"/>
        <w:snapToGrid w:val="0"/>
        <w:spacing w:line="288" w:lineRule="auto"/>
        <w:ind w:firstLine="198"/>
        <w:rPr>
          <w:b/>
          <w:color w:val="auto"/>
          <w:spacing w:val="-6"/>
          <w:sz w:val="21"/>
          <w:szCs w:val="21"/>
          <w:highlight w:val="none"/>
        </w:rPr>
      </w:pPr>
    </w:p>
    <w:p w14:paraId="51B398D4">
      <w:pPr>
        <w:adjustRightInd w:val="0"/>
        <w:snapToGrid w:val="0"/>
        <w:spacing w:line="288" w:lineRule="auto"/>
        <w:ind w:firstLine="199"/>
        <w:outlineLvl w:val="2"/>
        <w:rPr>
          <w:b/>
          <w:color w:val="auto"/>
          <w:spacing w:val="-6"/>
          <w:sz w:val="21"/>
          <w:szCs w:val="21"/>
          <w:highlight w:val="none"/>
        </w:rPr>
      </w:pPr>
      <w:r>
        <w:rPr>
          <w:rFonts w:hint="eastAsia"/>
          <w:b/>
          <w:color w:val="auto"/>
          <w:spacing w:val="-6"/>
          <w:sz w:val="21"/>
          <w:szCs w:val="21"/>
          <w:highlight w:val="none"/>
        </w:rPr>
        <w:t>（1</w:t>
      </w:r>
      <w:r>
        <w:rPr>
          <w:b/>
          <w:color w:val="auto"/>
          <w:spacing w:val="-6"/>
          <w:sz w:val="21"/>
          <w:szCs w:val="21"/>
          <w:highlight w:val="none"/>
        </w:rPr>
        <w:t>2</w:t>
      </w:r>
      <w:r>
        <w:rPr>
          <w:rFonts w:hint="eastAsia"/>
          <w:b/>
          <w:color w:val="auto"/>
          <w:spacing w:val="-6"/>
          <w:sz w:val="21"/>
          <w:szCs w:val="21"/>
          <w:highlight w:val="none"/>
        </w:rPr>
        <w:t>）供应商需要说明的其他文件和材料。</w:t>
      </w:r>
      <w:bookmarkEnd w:id="60"/>
    </w:p>
    <w:p w14:paraId="65C30CC8">
      <w:pPr>
        <w:widowControl/>
        <w:ind w:firstLine="199"/>
        <w:jc w:val="left"/>
        <w:rPr>
          <w:b/>
          <w:color w:val="auto"/>
          <w:spacing w:val="-6"/>
          <w:sz w:val="21"/>
          <w:szCs w:val="21"/>
          <w:highlight w:val="none"/>
        </w:rPr>
      </w:pPr>
      <w:r>
        <w:rPr>
          <w:b/>
          <w:color w:val="auto"/>
          <w:spacing w:val="-6"/>
          <w:sz w:val="21"/>
          <w:szCs w:val="21"/>
          <w:highlight w:val="none"/>
        </w:rPr>
        <w:br w:type="page"/>
      </w:r>
    </w:p>
    <w:p w14:paraId="411E9A81">
      <w:pPr>
        <w:adjustRightInd w:val="0"/>
        <w:snapToGrid w:val="0"/>
        <w:spacing w:line="288" w:lineRule="auto"/>
        <w:ind w:firstLine="199"/>
        <w:outlineLvl w:val="2"/>
        <w:rPr>
          <w:rFonts w:cs="Times New Roman"/>
          <w:b/>
          <w:bCs/>
          <w:color w:val="auto"/>
          <w:sz w:val="21"/>
          <w:szCs w:val="21"/>
          <w:highlight w:val="none"/>
        </w:rPr>
      </w:pPr>
      <w:r>
        <w:rPr>
          <w:rFonts w:cs="Times New Roman"/>
          <w:b/>
          <w:color w:val="auto"/>
          <w:spacing w:val="-6"/>
          <w:sz w:val="21"/>
          <w:szCs w:val="21"/>
          <w:highlight w:val="none"/>
        </w:rPr>
        <w:t>附件</w:t>
      </w:r>
      <w:r>
        <w:rPr>
          <w:rFonts w:hint="eastAsia" w:cs="Times New Roman"/>
          <w:b/>
          <w:color w:val="auto"/>
          <w:spacing w:val="-6"/>
          <w:sz w:val="21"/>
          <w:szCs w:val="21"/>
          <w:highlight w:val="none"/>
        </w:rPr>
        <w:t>1：</w:t>
      </w:r>
      <w:r>
        <w:rPr>
          <w:rFonts w:hint="eastAsia" w:cs="Times New Roman"/>
          <w:b/>
          <w:bCs/>
          <w:color w:val="auto"/>
          <w:sz w:val="21"/>
          <w:szCs w:val="21"/>
          <w:highlight w:val="none"/>
        </w:rPr>
        <w:t>业务专用章使用说明函</w:t>
      </w:r>
    </w:p>
    <w:p w14:paraId="476DC893">
      <w:pPr>
        <w:snapToGrid w:val="0"/>
        <w:spacing w:line="288" w:lineRule="auto"/>
        <w:ind w:firstLine="211"/>
        <w:rPr>
          <w:rFonts w:cs="仿宋_GB2312"/>
          <w:color w:val="auto"/>
          <w:sz w:val="21"/>
          <w:szCs w:val="21"/>
          <w:highlight w:val="none"/>
          <w:u w:val="single"/>
        </w:rPr>
      </w:pPr>
    </w:p>
    <w:p w14:paraId="0C8C781C">
      <w:pPr>
        <w:snapToGrid w:val="0"/>
        <w:spacing w:line="288" w:lineRule="auto"/>
        <w:ind w:firstLine="211"/>
        <w:rPr>
          <w:rFonts w:cs="Times New Roman"/>
          <w:color w:val="auto"/>
          <w:sz w:val="21"/>
          <w:szCs w:val="21"/>
          <w:highlight w:val="none"/>
        </w:rPr>
      </w:pPr>
      <w:r>
        <w:rPr>
          <w:rFonts w:hint="eastAsia" w:cs="仿宋_GB2312"/>
          <w:color w:val="auto"/>
          <w:sz w:val="21"/>
          <w:szCs w:val="21"/>
          <w:highlight w:val="none"/>
          <w:u w:val="single"/>
        </w:rPr>
        <w:t>（采购人）、（采购代理机构）</w:t>
      </w:r>
    </w:p>
    <w:p w14:paraId="7BA68886">
      <w:pPr>
        <w:snapToGrid w:val="0"/>
        <w:spacing w:line="288" w:lineRule="auto"/>
        <w:ind w:firstLine="424" w:firstLineChars="202"/>
        <w:rPr>
          <w:color w:val="auto"/>
          <w:sz w:val="21"/>
          <w:szCs w:val="21"/>
          <w:highlight w:val="none"/>
        </w:rPr>
      </w:pPr>
      <w:r>
        <w:rPr>
          <w:rFonts w:hint="eastAsia" w:cs="仿宋_GB2312"/>
          <w:color w:val="auto"/>
          <w:kern w:val="0"/>
          <w:sz w:val="21"/>
          <w:szCs w:val="21"/>
          <w:highlight w:val="none"/>
          <w:lang w:val="zh-CN"/>
        </w:rPr>
        <w:t>我方</w:t>
      </w:r>
      <w:r>
        <w:rPr>
          <w:rFonts w:cs="仿宋_GB2312"/>
          <w:color w:val="auto"/>
          <w:kern w:val="0"/>
          <w:sz w:val="21"/>
          <w:szCs w:val="21"/>
          <w:highlight w:val="none"/>
          <w:u w:val="single"/>
          <w:lang w:val="zh-CN"/>
        </w:rPr>
        <w:t xml:space="preserve">                         </w:t>
      </w:r>
      <w:r>
        <w:rPr>
          <w:rFonts w:cs="仿宋_GB2312"/>
          <w:color w:val="auto"/>
          <w:sz w:val="21"/>
          <w:szCs w:val="21"/>
          <w:highlight w:val="none"/>
        </w:rPr>
        <w:t>(供应商全称)</w:t>
      </w:r>
      <w:r>
        <w:rPr>
          <w:rFonts w:hint="eastAsia" w:cs="Times New Roman"/>
          <w:color w:val="auto"/>
          <w:sz w:val="21"/>
          <w:szCs w:val="21"/>
          <w:highlight w:val="none"/>
        </w:rPr>
        <w:t>是中华人民共和国依法登记注册的合法企业，</w:t>
      </w:r>
      <w:r>
        <w:rPr>
          <w:rFonts w:hint="eastAsia"/>
          <w:bCs/>
          <w:color w:val="auto"/>
          <w:sz w:val="21"/>
          <w:szCs w:val="21"/>
          <w:highlight w:val="none"/>
        </w:rPr>
        <w:t>在参加</w:t>
      </w:r>
      <w:r>
        <w:rPr>
          <w:rFonts w:hint="eastAsia" w:cs="仿宋_GB2312"/>
          <w:color w:val="auto"/>
          <w:sz w:val="21"/>
          <w:szCs w:val="21"/>
          <w:highlight w:val="none"/>
        </w:rPr>
        <w:t>你方组织的</w:t>
      </w:r>
      <w:r>
        <w:rPr>
          <w:rFonts w:hint="eastAsia" w:cs="仿宋_GB2312"/>
          <w:color w:val="auto"/>
          <w:sz w:val="21"/>
          <w:szCs w:val="21"/>
          <w:highlight w:val="none"/>
          <w:u w:val="single"/>
        </w:rPr>
        <w:t>（项目名称）</w:t>
      </w:r>
      <w:r>
        <w:rPr>
          <w:rFonts w:hint="eastAsia" w:cs="仿宋_GB2312"/>
          <w:color w:val="auto"/>
          <w:sz w:val="21"/>
          <w:szCs w:val="21"/>
          <w:highlight w:val="none"/>
        </w:rPr>
        <w:t>项目</w:t>
      </w:r>
      <w:r>
        <w:rPr>
          <w:rFonts w:hint="eastAsia" w:cs="仿宋_GB2312"/>
          <w:color w:val="auto"/>
          <w:sz w:val="21"/>
          <w:szCs w:val="21"/>
          <w:highlight w:val="none"/>
          <w:u w:val="single"/>
        </w:rPr>
        <w:t>（项目编号）</w:t>
      </w:r>
      <w:r>
        <w:rPr>
          <w:rFonts w:hint="eastAsia"/>
          <w:bCs/>
          <w:color w:val="auto"/>
          <w:sz w:val="21"/>
          <w:szCs w:val="21"/>
          <w:highlight w:val="none"/>
        </w:rPr>
        <w:t>响应（响应）活动中作如下说明：</w:t>
      </w:r>
      <w:r>
        <w:rPr>
          <w:rFonts w:hint="eastAsia"/>
          <w:color w:val="auto"/>
          <w:sz w:val="21"/>
          <w:szCs w:val="21"/>
          <w:highlight w:val="none"/>
        </w:rPr>
        <w:t>我方所使用的</w:t>
      </w:r>
      <w:r>
        <w:rPr>
          <w:rFonts w:hint="eastAsia"/>
          <w:color w:val="auto"/>
          <w:sz w:val="21"/>
          <w:szCs w:val="21"/>
          <w:highlight w:val="none"/>
          <w:u w:val="single"/>
        </w:rPr>
        <w:t>“</w:t>
      </w:r>
      <w:r>
        <w:rPr>
          <w:rFonts w:cs="仿宋_GB2312"/>
          <w:color w:val="auto"/>
          <w:sz w:val="21"/>
          <w:szCs w:val="21"/>
          <w:highlight w:val="none"/>
          <w:u w:val="single"/>
        </w:rPr>
        <w:t>XX</w:t>
      </w:r>
      <w:r>
        <w:rPr>
          <w:rFonts w:hint="eastAsia"/>
          <w:color w:val="auto"/>
          <w:sz w:val="21"/>
          <w:szCs w:val="21"/>
          <w:highlight w:val="none"/>
          <w:u w:val="single"/>
        </w:rPr>
        <w:t>专用章”</w:t>
      </w:r>
      <w:r>
        <w:rPr>
          <w:rFonts w:hint="eastAsia"/>
          <w:color w:val="auto"/>
          <w:sz w:val="21"/>
          <w:szCs w:val="21"/>
          <w:highlight w:val="none"/>
        </w:rPr>
        <w:t>与法定名称章具有同等的法律效力，对使用</w:t>
      </w:r>
      <w:r>
        <w:rPr>
          <w:rFonts w:hint="eastAsia"/>
          <w:color w:val="auto"/>
          <w:sz w:val="21"/>
          <w:szCs w:val="21"/>
          <w:highlight w:val="none"/>
          <w:u w:val="single"/>
        </w:rPr>
        <w:t>“</w:t>
      </w:r>
      <w:r>
        <w:rPr>
          <w:rFonts w:cs="仿宋_GB2312"/>
          <w:color w:val="auto"/>
          <w:sz w:val="21"/>
          <w:szCs w:val="21"/>
          <w:highlight w:val="none"/>
          <w:u w:val="single"/>
        </w:rPr>
        <w:t>XX</w:t>
      </w:r>
      <w:r>
        <w:rPr>
          <w:rFonts w:hint="eastAsia"/>
          <w:color w:val="auto"/>
          <w:sz w:val="21"/>
          <w:szCs w:val="21"/>
          <w:highlight w:val="none"/>
          <w:u w:val="single"/>
        </w:rPr>
        <w:t>专用章”</w:t>
      </w:r>
      <w:r>
        <w:rPr>
          <w:rFonts w:hint="eastAsia"/>
          <w:color w:val="auto"/>
          <w:sz w:val="21"/>
          <w:szCs w:val="21"/>
          <w:highlight w:val="none"/>
        </w:rPr>
        <w:t>的行为予以完全承认，并愿意承担相应责任。</w:t>
      </w:r>
    </w:p>
    <w:p w14:paraId="0C2BC8AE">
      <w:pPr>
        <w:snapToGrid w:val="0"/>
        <w:spacing w:line="288" w:lineRule="auto"/>
        <w:ind w:firstLine="424" w:firstLineChars="202"/>
        <w:rPr>
          <w:color w:val="auto"/>
          <w:sz w:val="21"/>
          <w:szCs w:val="21"/>
          <w:highlight w:val="none"/>
        </w:rPr>
      </w:pPr>
      <w:r>
        <w:rPr>
          <w:rFonts w:hint="eastAsia"/>
          <w:color w:val="auto"/>
          <w:sz w:val="21"/>
          <w:szCs w:val="21"/>
          <w:highlight w:val="none"/>
        </w:rPr>
        <w:t>特此说明。</w:t>
      </w:r>
    </w:p>
    <w:p w14:paraId="66D8A611">
      <w:pPr>
        <w:snapToGrid w:val="0"/>
        <w:spacing w:line="288" w:lineRule="auto"/>
        <w:ind w:right="480" w:firstLine="424" w:firstLineChars="202"/>
        <w:rPr>
          <w:color w:val="auto"/>
          <w:sz w:val="21"/>
          <w:szCs w:val="21"/>
          <w:highlight w:val="none"/>
        </w:rPr>
      </w:pPr>
      <w:r>
        <w:rPr>
          <w:rFonts w:hint="eastAsia"/>
          <w:color w:val="auto"/>
          <w:sz w:val="21"/>
          <w:szCs w:val="21"/>
          <w:highlight w:val="none"/>
        </w:rPr>
        <w:t>供应商（法定名称章）：</w:t>
      </w:r>
    </w:p>
    <w:p w14:paraId="73437F37">
      <w:pPr>
        <w:snapToGrid w:val="0"/>
        <w:spacing w:line="288" w:lineRule="auto"/>
        <w:ind w:right="1440" w:firstLine="424" w:firstLineChars="202"/>
        <w:rPr>
          <w:color w:val="auto"/>
          <w:sz w:val="21"/>
          <w:szCs w:val="21"/>
          <w:highlight w:val="none"/>
        </w:rPr>
      </w:pPr>
      <w:r>
        <w:rPr>
          <w:color w:val="auto"/>
          <w:sz w:val="21"/>
          <w:szCs w:val="21"/>
          <w:highlight w:val="none"/>
        </w:rPr>
        <w:t>日期：       年     月     日</w:t>
      </w:r>
    </w:p>
    <w:p w14:paraId="1C757F05">
      <w:pPr>
        <w:snapToGrid w:val="0"/>
        <w:spacing w:line="288" w:lineRule="auto"/>
        <w:ind w:firstLine="210"/>
        <w:rPr>
          <w:b/>
          <w:bCs/>
          <w:color w:val="auto"/>
          <w:sz w:val="21"/>
          <w:szCs w:val="21"/>
          <w:highlight w:val="none"/>
        </w:rPr>
      </w:pPr>
    </w:p>
    <w:p w14:paraId="10AEC6EC">
      <w:pPr>
        <w:snapToGrid w:val="0"/>
        <w:spacing w:line="288" w:lineRule="auto"/>
        <w:ind w:firstLine="211"/>
        <w:rPr>
          <w:color w:val="auto"/>
          <w:sz w:val="21"/>
          <w:szCs w:val="21"/>
          <w:highlight w:val="none"/>
        </w:rPr>
      </w:pPr>
      <w:r>
        <w:rPr>
          <w:rFonts w:hint="eastAsia"/>
          <w:b/>
          <w:bCs/>
          <w:color w:val="auto"/>
          <w:sz w:val="21"/>
          <w:szCs w:val="21"/>
          <w:highlight w:val="none"/>
        </w:rPr>
        <w:t>附：</w:t>
      </w:r>
      <w:r>
        <w:rPr>
          <w:rFonts w:hint="eastAsia"/>
          <w:color w:val="auto"/>
          <w:sz w:val="21"/>
          <w:szCs w:val="21"/>
          <w:highlight w:val="none"/>
        </w:rPr>
        <w:t>供应商法定名称章（印模）</w:t>
      </w:r>
      <w:r>
        <w:rPr>
          <w:color w:val="auto"/>
          <w:sz w:val="21"/>
          <w:szCs w:val="21"/>
          <w:highlight w:val="none"/>
        </w:rPr>
        <w:t xml:space="preserve">                </w:t>
      </w:r>
      <w:r>
        <w:rPr>
          <w:rFonts w:hint="eastAsia"/>
          <w:color w:val="auto"/>
          <w:sz w:val="21"/>
          <w:szCs w:val="21"/>
          <w:highlight w:val="none"/>
        </w:rPr>
        <w:t>供应商“</w:t>
      </w:r>
      <w:r>
        <w:rPr>
          <w:rFonts w:cs="仿宋_GB2312"/>
          <w:color w:val="auto"/>
          <w:sz w:val="21"/>
          <w:szCs w:val="21"/>
          <w:highlight w:val="none"/>
        </w:rPr>
        <w:t>XX</w:t>
      </w:r>
      <w:r>
        <w:rPr>
          <w:rFonts w:hint="eastAsia"/>
          <w:color w:val="auto"/>
          <w:sz w:val="21"/>
          <w:szCs w:val="21"/>
          <w:highlight w:val="none"/>
        </w:rPr>
        <w:t>专用章”（印模）</w:t>
      </w:r>
    </w:p>
    <w:p w14:paraId="46D2360D">
      <w:pPr>
        <w:snapToGrid w:val="0"/>
        <w:spacing w:line="288" w:lineRule="auto"/>
        <w:ind w:firstLine="210"/>
        <w:rPr>
          <w:color w:val="auto"/>
          <w:sz w:val="21"/>
          <w:szCs w:val="21"/>
          <w:highlight w:val="none"/>
        </w:rPr>
      </w:pPr>
      <w:r>
        <w:rPr>
          <w:rFonts w:cs="Times New Roman"/>
          <w:b/>
          <w:bCs/>
          <w:color w:val="auto"/>
          <w:sz w:val="21"/>
          <w:szCs w:val="21"/>
          <w:highlight w:val="none"/>
        </w:rPr>
        <mc:AlternateContent>
          <mc:Choice Requires="wps">
            <w:drawing>
              <wp:inline distT="0" distB="0" distL="0" distR="0">
                <wp:extent cx="2704465" cy="2253615"/>
                <wp:effectExtent l="0" t="0" r="19685" b="13335"/>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inline>
            </w:drawing>
          </mc:Choice>
          <mc:Fallback>
            <w:pict>
              <v:rect id="Rectangle 17" o:spid="_x0000_s1026" o:spt="1" style="height:177.45pt;width:212.95pt;" fillcolor="#FFFFFF" filled="t" stroked="t" coordsize="21600,21600" o:gfxdata="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NeRvNYAAAAFAQAADwAAAAAAAAABACAAAAAiAAAAZHJzL2Rvd25yZXYueG1sUEsBAhQAFAAA&#10;AAgAh07iQOLXmAkqAgAAdAQAAA4AAAAAAAAAAQAgAAAAJQEAAGRycy9lMm9Eb2MueG1sUEsFBgAA&#10;AAAGAAYAWQEAAMEFAAAAAA==&#10;">
                <v:fill on="t" focussize="0,0"/>
                <v:stroke color="#000000" miterlimit="2" joinstyle="miter"/>
                <v:imagedata o:title=""/>
                <o:lock v:ext="edit" aspectratio="f"/>
                <w10:wrap type="none"/>
                <w10:anchorlock/>
              </v:rect>
            </w:pict>
          </mc:Fallback>
        </mc:AlternateContent>
      </w:r>
      <w:r>
        <w:rPr>
          <w:rFonts w:hint="eastAsia"/>
          <w:color w:val="auto"/>
          <w:sz w:val="21"/>
          <w:szCs w:val="21"/>
          <w:highlight w:val="none"/>
        </w:rPr>
        <w:t xml:space="preserve"> </w:t>
      </w:r>
      <w:r>
        <w:rPr>
          <w:rFonts w:cs="Times New Roman"/>
          <w:b/>
          <w:bCs/>
          <w:color w:val="auto"/>
          <w:sz w:val="21"/>
          <w:szCs w:val="21"/>
          <w:highlight w:val="none"/>
        </w:rPr>
        <mc:AlternateContent>
          <mc:Choice Requires="wps">
            <w:drawing>
              <wp:inline distT="0" distB="0" distL="0" distR="0">
                <wp:extent cx="2647950" cy="2253615"/>
                <wp:effectExtent l="0" t="0" r="19050" b="13335"/>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inline>
            </w:drawing>
          </mc:Choice>
          <mc:Fallback>
            <w:pict>
              <v:rect id="Rectangle 16" o:spid="_x0000_s1026" o:spt="1" style="height:177.45pt;width:208.5pt;" fillcolor="#FFFFFF" filled="t" stroked="t" coordsize="21600,21600" o:gfxdata="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FVJTLUAAAABQEAAA8AAAAAAAAAAQAgAAAAIgAAAGRycy9kb3ducmV2LnhtbFBLAQIUABQAAAAI&#10;AIdO4kB3gn1EKgIAAHQEAAAOAAAAAAAAAAEAIAAAACMBAABkcnMvZTJvRG9jLnhtbFBLBQYAAAAA&#10;BgAGAFkBAAC/BQAAAAA=&#10;">
                <v:fill on="t" focussize="0,0"/>
                <v:stroke color="#000000" miterlimit="2" joinstyle="miter"/>
                <v:imagedata o:title=""/>
                <o:lock v:ext="edit" aspectratio="f"/>
                <w10:wrap type="none"/>
                <w10:anchorlock/>
              </v:rect>
            </w:pict>
          </mc:Fallback>
        </mc:AlternateContent>
      </w:r>
    </w:p>
    <w:p w14:paraId="60636DCE">
      <w:pPr>
        <w:widowControl/>
        <w:ind w:firstLine="199"/>
        <w:jc w:val="left"/>
        <w:rPr>
          <w:b/>
          <w:color w:val="auto"/>
          <w:spacing w:val="-6"/>
          <w:sz w:val="21"/>
          <w:szCs w:val="21"/>
          <w:highlight w:val="none"/>
        </w:rPr>
      </w:pPr>
      <w:r>
        <w:rPr>
          <w:b/>
          <w:color w:val="auto"/>
          <w:spacing w:val="-6"/>
          <w:sz w:val="21"/>
          <w:szCs w:val="21"/>
          <w:highlight w:val="none"/>
        </w:rPr>
        <w:br w:type="page"/>
      </w:r>
    </w:p>
    <w:p w14:paraId="7A374CDA">
      <w:pPr>
        <w:snapToGrid w:val="0"/>
        <w:spacing w:line="288" w:lineRule="auto"/>
        <w:ind w:firstLine="211"/>
        <w:jc w:val="center"/>
        <w:outlineLvl w:val="2"/>
        <w:rPr>
          <w:rFonts w:cs="仿宋_GB2312"/>
          <w:b/>
          <w:color w:val="auto"/>
          <w:kern w:val="0"/>
          <w:sz w:val="21"/>
          <w:szCs w:val="21"/>
          <w:highlight w:val="none"/>
          <w:lang w:val="zh-CN"/>
        </w:rPr>
      </w:pPr>
      <w:r>
        <w:rPr>
          <w:rFonts w:hint="eastAsia" w:cs="仿宋_GB2312"/>
          <w:b/>
          <w:color w:val="auto"/>
          <w:kern w:val="0"/>
          <w:sz w:val="21"/>
          <w:szCs w:val="21"/>
          <w:highlight w:val="none"/>
          <w:lang w:val="zh-CN"/>
        </w:rPr>
        <w:t>附件2</w:t>
      </w:r>
      <w:r>
        <w:rPr>
          <w:rFonts w:cs="仿宋_GB2312"/>
          <w:b/>
          <w:color w:val="auto"/>
          <w:kern w:val="0"/>
          <w:sz w:val="21"/>
          <w:szCs w:val="21"/>
          <w:highlight w:val="none"/>
          <w:lang w:val="zh-CN"/>
        </w:rPr>
        <w:t>：</w:t>
      </w:r>
      <w:r>
        <w:rPr>
          <w:rFonts w:hint="eastAsia" w:cs="仿宋_GB2312"/>
          <w:b/>
          <w:color w:val="auto"/>
          <w:kern w:val="0"/>
          <w:sz w:val="21"/>
          <w:szCs w:val="21"/>
          <w:highlight w:val="none"/>
          <w:lang w:val="zh-CN"/>
        </w:rPr>
        <w:t>联合协议</w:t>
      </w:r>
    </w:p>
    <w:p w14:paraId="55DE453C">
      <w:pPr>
        <w:widowControl/>
        <w:snapToGrid w:val="0"/>
        <w:spacing w:line="288" w:lineRule="auto"/>
        <w:ind w:firstLine="424" w:firstLineChars="201"/>
        <w:jc w:val="left"/>
        <w:rPr>
          <w:rFonts w:cs="仿宋_GB2312"/>
          <w:b/>
          <w:color w:val="auto"/>
          <w:sz w:val="21"/>
          <w:szCs w:val="21"/>
          <w:highlight w:val="none"/>
        </w:rPr>
      </w:pPr>
      <w:r>
        <w:rPr>
          <w:rFonts w:hint="eastAsia" w:cs="仿宋_GB2312"/>
          <w:b/>
          <w:color w:val="auto"/>
          <w:sz w:val="21"/>
          <w:szCs w:val="21"/>
          <w:highlight w:val="none"/>
        </w:rPr>
        <w:t>（以联合体形式响应的，提供联合协议；本项目不接受联合体响应或者供应商不以联合体形式响应的，则不需要提供）</w:t>
      </w:r>
    </w:p>
    <w:p w14:paraId="24ACBB5A">
      <w:pPr>
        <w:snapToGrid w:val="0"/>
        <w:spacing w:line="288" w:lineRule="auto"/>
        <w:ind w:firstLine="422" w:firstLineChars="201"/>
        <w:rPr>
          <w:rFonts w:cs="仿宋_GB2312"/>
          <w:color w:val="auto"/>
          <w:kern w:val="0"/>
          <w:sz w:val="21"/>
          <w:szCs w:val="21"/>
          <w:highlight w:val="none"/>
          <w:lang w:val="zh-CN"/>
        </w:rPr>
      </w:pPr>
      <w:r>
        <w:rPr>
          <w:rFonts w:hint="eastAsia" w:cs="仿宋_GB2312"/>
          <w:color w:val="auto"/>
          <w:kern w:val="0"/>
          <w:sz w:val="21"/>
          <w:szCs w:val="21"/>
          <w:highlight w:val="none"/>
          <w:u w:val="single"/>
        </w:rPr>
        <w:t>（联合体所有成员名称）</w:t>
      </w:r>
      <w:r>
        <w:rPr>
          <w:rFonts w:hint="eastAsia" w:cs="仿宋_GB2312"/>
          <w:color w:val="auto"/>
          <w:kern w:val="0"/>
          <w:sz w:val="21"/>
          <w:szCs w:val="21"/>
          <w:highlight w:val="none"/>
        </w:rPr>
        <w:t>自愿</w:t>
      </w:r>
      <w:r>
        <w:rPr>
          <w:rFonts w:hint="eastAsia" w:cs="仿宋_GB2312"/>
          <w:color w:val="auto"/>
          <w:kern w:val="0"/>
          <w:sz w:val="21"/>
          <w:szCs w:val="21"/>
          <w:highlight w:val="none"/>
          <w:lang w:val="zh-CN"/>
        </w:rPr>
        <w:t>组成一个联合体，以一个供应商的身份</w:t>
      </w:r>
      <w:r>
        <w:rPr>
          <w:rFonts w:hint="eastAsia" w:cs="仿宋_GB2312"/>
          <w:color w:val="auto"/>
          <w:kern w:val="0"/>
          <w:sz w:val="21"/>
          <w:szCs w:val="21"/>
          <w:highlight w:val="none"/>
        </w:rPr>
        <w:t>参加</w:t>
      </w:r>
      <w:r>
        <w:rPr>
          <w:rFonts w:hint="eastAsia" w:cs="仿宋_GB2312"/>
          <w:color w:val="auto"/>
          <w:sz w:val="21"/>
          <w:szCs w:val="21"/>
          <w:highlight w:val="none"/>
        </w:rPr>
        <w:t>（项目名称）【招标编号：</w:t>
      </w:r>
      <w:r>
        <w:rPr>
          <w:rFonts w:hint="eastAsia" w:cs="Times New Roman"/>
          <w:color w:val="auto"/>
          <w:sz w:val="21"/>
          <w:szCs w:val="21"/>
          <w:highlight w:val="none"/>
        </w:rPr>
        <w:t>（采购编号）</w:t>
      </w:r>
      <w:r>
        <w:rPr>
          <w:rFonts w:hint="eastAsia" w:cs="仿宋_GB2312"/>
          <w:color w:val="auto"/>
          <w:sz w:val="21"/>
          <w:szCs w:val="21"/>
          <w:highlight w:val="none"/>
        </w:rPr>
        <w:t>】</w:t>
      </w:r>
      <w:r>
        <w:rPr>
          <w:rFonts w:hint="eastAsia" w:cs="仿宋_GB2312"/>
          <w:color w:val="auto"/>
          <w:kern w:val="0"/>
          <w:sz w:val="21"/>
          <w:szCs w:val="21"/>
          <w:highlight w:val="none"/>
          <w:lang w:val="zh-CN"/>
        </w:rPr>
        <w:t>响应。</w:t>
      </w:r>
    </w:p>
    <w:p w14:paraId="32044D8F">
      <w:pPr>
        <w:snapToGrid w:val="0"/>
        <w:spacing w:line="288" w:lineRule="auto"/>
        <w:ind w:firstLine="422" w:firstLineChars="201"/>
        <w:rPr>
          <w:rFonts w:cs="仿宋_GB2312"/>
          <w:color w:val="auto"/>
          <w:kern w:val="0"/>
          <w:sz w:val="21"/>
          <w:szCs w:val="21"/>
          <w:highlight w:val="none"/>
          <w:lang w:val="zh-CN"/>
        </w:rPr>
      </w:pPr>
      <w:r>
        <w:rPr>
          <w:rFonts w:hint="eastAsia" w:cs="仿宋_GB2312"/>
          <w:color w:val="auto"/>
          <w:kern w:val="0"/>
          <w:sz w:val="21"/>
          <w:szCs w:val="21"/>
          <w:highlight w:val="none"/>
          <w:lang w:val="zh-CN"/>
        </w:rPr>
        <w:t>一、各方一致决定，</w:t>
      </w:r>
      <w:r>
        <w:rPr>
          <w:rFonts w:hint="eastAsia" w:cs="仿宋_GB2312"/>
          <w:color w:val="auto"/>
          <w:kern w:val="0"/>
          <w:sz w:val="21"/>
          <w:szCs w:val="21"/>
          <w:highlight w:val="none"/>
          <w:u w:val="single"/>
        </w:rPr>
        <w:t>（某联合体成员名称）</w:t>
      </w:r>
      <w:r>
        <w:rPr>
          <w:rFonts w:hint="eastAsia" w:cs="仿宋_GB2312"/>
          <w:color w:val="auto"/>
          <w:kern w:val="0"/>
          <w:sz w:val="21"/>
          <w:szCs w:val="21"/>
          <w:highlight w:val="none"/>
        </w:rPr>
        <w:t>为联合体</w:t>
      </w:r>
      <w:r>
        <w:rPr>
          <w:rFonts w:hint="eastAsia" w:cs="仿宋_GB2312"/>
          <w:color w:val="auto"/>
          <w:kern w:val="0"/>
          <w:sz w:val="21"/>
          <w:szCs w:val="21"/>
          <w:highlight w:val="none"/>
          <w:lang w:val="zh-CN"/>
        </w:rPr>
        <w:t>牵头人</w:t>
      </w:r>
      <w:r>
        <w:rPr>
          <w:rFonts w:hint="eastAsia" w:cs="Arial"/>
          <w:color w:val="auto"/>
          <w:sz w:val="21"/>
          <w:szCs w:val="21"/>
          <w:highlight w:val="none"/>
        </w:rPr>
        <w:t>，代表所有联合体成员负责响应和合同实施阶段的主办、协调工作</w:t>
      </w:r>
      <w:r>
        <w:rPr>
          <w:rFonts w:hint="eastAsia" w:cs="仿宋_GB2312"/>
          <w:color w:val="auto"/>
          <w:kern w:val="0"/>
          <w:sz w:val="21"/>
          <w:szCs w:val="21"/>
          <w:highlight w:val="none"/>
          <w:lang w:val="zh-CN"/>
        </w:rPr>
        <w:t>。</w:t>
      </w:r>
    </w:p>
    <w:p w14:paraId="47848B20">
      <w:pPr>
        <w:snapToGrid w:val="0"/>
        <w:spacing w:line="288" w:lineRule="auto"/>
        <w:ind w:firstLine="422" w:firstLineChars="201"/>
        <w:rPr>
          <w:rFonts w:cs="仿宋_GB2312"/>
          <w:color w:val="auto"/>
          <w:kern w:val="0"/>
          <w:sz w:val="21"/>
          <w:szCs w:val="21"/>
          <w:highlight w:val="none"/>
          <w:lang w:val="zh-CN"/>
        </w:rPr>
      </w:pPr>
      <w:r>
        <w:rPr>
          <w:rFonts w:hint="eastAsia" w:cs="仿宋_GB2312"/>
          <w:color w:val="auto"/>
          <w:kern w:val="0"/>
          <w:sz w:val="21"/>
          <w:szCs w:val="21"/>
          <w:highlight w:val="none"/>
          <w:lang w:val="zh-CN"/>
        </w:rPr>
        <w:t>二、</w:t>
      </w:r>
      <w:r>
        <w:rPr>
          <w:rFonts w:hint="eastAsia" w:cs="Arial"/>
          <w:color w:val="auto"/>
          <w:sz w:val="21"/>
          <w:szCs w:val="21"/>
          <w:highlight w:val="none"/>
        </w:rPr>
        <w:t>所有联合体成员各方签署授权书，授权书载明的</w:t>
      </w:r>
      <w:r>
        <w:rPr>
          <w:rFonts w:hint="eastAsia" w:cs="仿宋_GB2312"/>
          <w:color w:val="auto"/>
          <w:kern w:val="0"/>
          <w:sz w:val="21"/>
          <w:szCs w:val="21"/>
          <w:highlight w:val="none"/>
          <w:lang w:val="zh-CN"/>
        </w:rPr>
        <w:t>授权代表根据磋商文件规定及响应内容而对采购人、采购机构所作的任何合法承诺，包括书面澄清及相应等均对联合响应各方产生约束力。</w:t>
      </w:r>
    </w:p>
    <w:p w14:paraId="70C4F2CF">
      <w:pPr>
        <w:snapToGrid w:val="0"/>
        <w:spacing w:line="288" w:lineRule="auto"/>
        <w:ind w:firstLine="422" w:firstLineChars="201"/>
        <w:rPr>
          <w:rFonts w:cs="仿宋_GB2312"/>
          <w:color w:val="auto"/>
          <w:kern w:val="0"/>
          <w:sz w:val="21"/>
          <w:szCs w:val="21"/>
          <w:highlight w:val="none"/>
          <w:lang w:val="zh-CN"/>
        </w:rPr>
      </w:pPr>
      <w:r>
        <w:rPr>
          <w:rFonts w:hint="eastAsia" w:cs="仿宋_GB2312"/>
          <w:color w:val="auto"/>
          <w:kern w:val="0"/>
          <w:sz w:val="21"/>
          <w:szCs w:val="21"/>
          <w:highlight w:val="none"/>
          <w:lang w:val="zh-CN"/>
        </w:rPr>
        <w:t>三、本次联合响应中，分工如下：</w:t>
      </w:r>
      <w:r>
        <w:rPr>
          <w:rFonts w:hint="eastAsia" w:cs="仿宋_GB2312"/>
          <w:color w:val="auto"/>
          <w:kern w:val="0"/>
          <w:sz w:val="21"/>
          <w:szCs w:val="21"/>
          <w:highlight w:val="none"/>
          <w:u w:val="single"/>
        </w:rPr>
        <w:t>（联合体其中一方成员名称）</w:t>
      </w:r>
      <w:r>
        <w:rPr>
          <w:rFonts w:hint="eastAsia" w:cs="仿宋_GB2312"/>
          <w:color w:val="auto"/>
          <w:kern w:val="0"/>
          <w:sz w:val="21"/>
          <w:szCs w:val="21"/>
          <w:highlight w:val="none"/>
          <w:lang w:val="zh-CN"/>
        </w:rPr>
        <w:t>承担的工作和义务为：</w:t>
      </w:r>
      <w:r>
        <w:rPr>
          <w:rFonts w:cs="Times New Roman"/>
          <w:color w:val="auto"/>
          <w:sz w:val="21"/>
          <w:szCs w:val="21"/>
          <w:highlight w:val="none"/>
          <w:u w:val="single"/>
        </w:rPr>
        <w:t xml:space="preserve">             </w:t>
      </w:r>
      <w:r>
        <w:rPr>
          <w:rFonts w:hint="eastAsia" w:cs="仿宋_GB2312"/>
          <w:color w:val="auto"/>
          <w:kern w:val="0"/>
          <w:sz w:val="21"/>
          <w:szCs w:val="21"/>
          <w:highlight w:val="none"/>
          <w:lang w:val="zh-CN"/>
        </w:rPr>
        <w:t>；</w:t>
      </w:r>
      <w:r>
        <w:rPr>
          <w:rFonts w:cs="仿宋_GB2312"/>
          <w:color w:val="auto"/>
          <w:kern w:val="0"/>
          <w:sz w:val="21"/>
          <w:szCs w:val="21"/>
          <w:highlight w:val="none"/>
          <w:lang w:val="zh-CN"/>
        </w:rPr>
        <w:t>……。</w:t>
      </w:r>
    </w:p>
    <w:p w14:paraId="1D1A7724">
      <w:pPr>
        <w:snapToGrid w:val="0"/>
        <w:spacing w:line="288" w:lineRule="auto"/>
        <w:ind w:firstLine="422" w:firstLineChars="201"/>
        <w:rPr>
          <w:rFonts w:cs="仿宋_GB2312"/>
          <w:b/>
          <w:color w:val="auto"/>
          <w:kern w:val="0"/>
          <w:sz w:val="21"/>
          <w:szCs w:val="21"/>
          <w:highlight w:val="none"/>
          <w:lang w:val="zh-CN"/>
        </w:rPr>
      </w:pPr>
      <w:r>
        <w:rPr>
          <w:rFonts w:hint="eastAsia" w:cs="仿宋_GB2312"/>
          <w:color w:val="auto"/>
          <w:kern w:val="0"/>
          <w:sz w:val="21"/>
          <w:szCs w:val="21"/>
          <w:highlight w:val="none"/>
          <w:lang w:val="zh-CN"/>
        </w:rPr>
        <w:t>四、</w:t>
      </w:r>
      <w:r>
        <w:rPr>
          <w:rFonts w:hint="eastAsia" w:cs="仿宋_GB2312"/>
          <w:color w:val="auto"/>
          <w:kern w:val="0"/>
          <w:sz w:val="21"/>
          <w:szCs w:val="21"/>
          <w:highlight w:val="none"/>
          <w:u w:val="single"/>
        </w:rPr>
        <w:t>（联合体其中一方成员名称）</w:t>
      </w:r>
      <w:r>
        <w:rPr>
          <w:rFonts w:hint="eastAsia" w:cs="仿宋_GB2312"/>
          <w:color w:val="auto"/>
          <w:kern w:val="0"/>
          <w:sz w:val="21"/>
          <w:szCs w:val="21"/>
          <w:highlight w:val="none"/>
        </w:rPr>
        <w:t>提供的全部货物由小微企业制造，其合同份额占到合同总金额</w:t>
      </w:r>
      <w:r>
        <w:rPr>
          <w:rFonts w:cs="仿宋_GB2312"/>
          <w:color w:val="auto"/>
          <w:kern w:val="0"/>
          <w:sz w:val="21"/>
          <w:szCs w:val="21"/>
          <w:highlight w:val="none"/>
          <w:u w:val="single"/>
        </w:rPr>
        <w:t xml:space="preserve">     </w:t>
      </w:r>
      <w:r>
        <w:rPr>
          <w:rFonts w:cs="仿宋_GB2312"/>
          <w:color w:val="auto"/>
          <w:kern w:val="0"/>
          <w:sz w:val="21"/>
          <w:szCs w:val="21"/>
          <w:highlight w:val="none"/>
        </w:rPr>
        <w:t>%以上；</w:t>
      </w:r>
      <w:r>
        <w:rPr>
          <w:rFonts w:hint="eastAsia" w:cs="仿宋_GB2312"/>
          <w:color w:val="auto"/>
          <w:kern w:val="0"/>
          <w:sz w:val="21"/>
          <w:szCs w:val="21"/>
          <w:highlight w:val="none"/>
          <w:lang w:val="zh-CN"/>
        </w:rPr>
        <w:t>……。</w:t>
      </w:r>
      <w:r>
        <w:rPr>
          <w:rFonts w:hint="eastAsia" w:cs="仿宋_GB2312"/>
          <w:b/>
          <w:color w:val="auto"/>
          <w:kern w:val="0"/>
          <w:sz w:val="21"/>
          <w:szCs w:val="21"/>
          <w:highlight w:val="none"/>
          <w:lang w:val="zh-CN"/>
        </w:rPr>
        <w:t>（未预留份额专门面向中小企业采购的的采购项目，以及预留份额中的非预留部分采购包，接受联合体响应的，联合体其中一方提供的货物全部由小微企业制造，且其合同份额占到合同总金额</w:t>
      </w:r>
      <w:r>
        <w:rPr>
          <w:rFonts w:cs="仿宋_GB2312"/>
          <w:b/>
          <w:color w:val="auto"/>
          <w:kern w:val="0"/>
          <w:sz w:val="21"/>
          <w:szCs w:val="21"/>
          <w:highlight w:val="none"/>
          <w:lang w:val="zh-CN"/>
        </w:rPr>
        <w:t xml:space="preserve"> 30%以上</w:t>
      </w:r>
      <w:r>
        <w:rPr>
          <w:rFonts w:hint="eastAsia" w:cs="仿宋_GB2312"/>
          <w:b/>
          <w:color w:val="auto"/>
          <w:kern w:val="0"/>
          <w:sz w:val="21"/>
          <w:szCs w:val="21"/>
          <w:highlight w:val="none"/>
          <w:lang w:val="zh-CN"/>
        </w:rPr>
        <w:t>，对联合体报价给予</w:t>
      </w:r>
      <w:r>
        <w:rPr>
          <w:rFonts w:cs="仿宋_GB2312"/>
          <w:b/>
          <w:color w:val="auto"/>
          <w:kern w:val="0"/>
          <w:sz w:val="21"/>
          <w:szCs w:val="21"/>
          <w:highlight w:val="none"/>
          <w:lang w:val="zh-CN"/>
        </w:rPr>
        <w:t>6%的扣除</w:t>
      </w:r>
      <w:r>
        <w:rPr>
          <w:rFonts w:hint="eastAsia" w:cs="仿宋_GB2312"/>
          <w:b/>
          <w:color w:val="auto"/>
          <w:kern w:val="0"/>
          <w:sz w:val="21"/>
          <w:szCs w:val="21"/>
          <w:highlight w:val="none"/>
          <w:lang w:val="zh-CN"/>
        </w:rPr>
        <w:t>）</w:t>
      </w:r>
    </w:p>
    <w:p w14:paraId="49D4A9A4">
      <w:pPr>
        <w:snapToGrid w:val="0"/>
        <w:spacing w:line="288" w:lineRule="auto"/>
        <w:ind w:firstLine="422" w:firstLineChars="201"/>
        <w:rPr>
          <w:rFonts w:cs="仿宋_GB2312"/>
          <w:color w:val="auto"/>
          <w:kern w:val="0"/>
          <w:sz w:val="21"/>
          <w:szCs w:val="21"/>
          <w:highlight w:val="none"/>
          <w:lang w:val="zh-CN"/>
        </w:rPr>
      </w:pPr>
      <w:r>
        <w:rPr>
          <w:rFonts w:hint="eastAsia" w:cs="仿宋_GB2312"/>
          <w:color w:val="auto"/>
          <w:kern w:val="0"/>
          <w:sz w:val="21"/>
          <w:szCs w:val="21"/>
          <w:highlight w:val="none"/>
          <w:lang w:val="zh-CN"/>
        </w:rPr>
        <w:t>五、如果成交，</w:t>
      </w:r>
      <w:r>
        <w:rPr>
          <w:rFonts w:hint="eastAsia" w:cs="Times New Roman"/>
          <w:color w:val="auto"/>
          <w:sz w:val="21"/>
          <w:szCs w:val="21"/>
          <w:highlight w:val="none"/>
        </w:rPr>
        <w:t>联合体各成员方共同与采购人签订合同，并就采购合同约定的事项对采购人承担连带责任。</w:t>
      </w:r>
    </w:p>
    <w:p w14:paraId="16981FCE">
      <w:pPr>
        <w:snapToGrid w:val="0"/>
        <w:spacing w:line="288" w:lineRule="auto"/>
        <w:ind w:firstLine="422" w:firstLineChars="201"/>
        <w:rPr>
          <w:rFonts w:cs="仿宋_GB2312"/>
          <w:color w:val="auto"/>
          <w:kern w:val="0"/>
          <w:sz w:val="21"/>
          <w:szCs w:val="21"/>
          <w:highlight w:val="none"/>
          <w:lang w:val="zh-CN"/>
        </w:rPr>
      </w:pPr>
      <w:r>
        <w:rPr>
          <w:rFonts w:hint="eastAsia" w:cs="仿宋_GB2312"/>
          <w:color w:val="auto"/>
          <w:kern w:val="0"/>
          <w:sz w:val="21"/>
          <w:szCs w:val="21"/>
          <w:highlight w:val="none"/>
          <w:lang w:val="zh-CN"/>
        </w:rPr>
        <w:t>六、有关本次联合响应的其他事宜：</w:t>
      </w:r>
    </w:p>
    <w:p w14:paraId="6490AFB9">
      <w:pPr>
        <w:snapToGrid w:val="0"/>
        <w:spacing w:line="288" w:lineRule="auto"/>
        <w:ind w:firstLine="422" w:firstLineChars="201"/>
        <w:rPr>
          <w:rFonts w:cs="仿宋_GB2312"/>
          <w:color w:val="auto"/>
          <w:kern w:val="0"/>
          <w:sz w:val="21"/>
          <w:szCs w:val="21"/>
          <w:highlight w:val="none"/>
          <w:lang w:val="zh-CN"/>
        </w:rPr>
      </w:pPr>
      <w:r>
        <w:rPr>
          <w:rFonts w:cs="仿宋_GB2312"/>
          <w:color w:val="auto"/>
          <w:kern w:val="0"/>
          <w:sz w:val="21"/>
          <w:szCs w:val="21"/>
          <w:highlight w:val="none"/>
          <w:lang w:val="zh-CN"/>
        </w:rPr>
        <w:t>1、联合体各方不再单独参加或者与其</w:t>
      </w:r>
      <w:r>
        <w:rPr>
          <w:rFonts w:hint="eastAsia" w:cs="仿宋_GB2312"/>
          <w:color w:val="auto"/>
          <w:kern w:val="0"/>
          <w:sz w:val="21"/>
          <w:szCs w:val="21"/>
          <w:highlight w:val="none"/>
          <w:lang w:val="zh-CN"/>
        </w:rPr>
        <w:t>他供应商另外组成联合体参加同一合同项下的政府采购活动。</w:t>
      </w:r>
    </w:p>
    <w:p w14:paraId="30F7169F">
      <w:pPr>
        <w:snapToGrid w:val="0"/>
        <w:spacing w:line="288" w:lineRule="auto"/>
        <w:ind w:firstLine="422" w:firstLineChars="201"/>
        <w:rPr>
          <w:rFonts w:cs="仿宋_GB2312"/>
          <w:color w:val="auto"/>
          <w:kern w:val="0"/>
          <w:sz w:val="21"/>
          <w:szCs w:val="21"/>
          <w:highlight w:val="none"/>
          <w:lang w:val="zh-CN"/>
        </w:rPr>
      </w:pPr>
      <w:r>
        <w:rPr>
          <w:rFonts w:cs="仿宋_GB2312"/>
          <w:color w:val="auto"/>
          <w:kern w:val="0"/>
          <w:sz w:val="21"/>
          <w:szCs w:val="21"/>
          <w:highlight w:val="none"/>
          <w:lang w:val="zh-CN"/>
        </w:rPr>
        <w:t>2、联合体中有同类资质的各方按照联合体分工承担相同工作的，按照资质等级较低的供应商确定资质等级。</w:t>
      </w:r>
    </w:p>
    <w:p w14:paraId="6AF8A8D7">
      <w:pPr>
        <w:snapToGrid w:val="0"/>
        <w:spacing w:line="288" w:lineRule="auto"/>
        <w:ind w:firstLine="422" w:firstLineChars="201"/>
        <w:rPr>
          <w:rFonts w:cs="仿宋_GB2312"/>
          <w:color w:val="auto"/>
          <w:kern w:val="0"/>
          <w:sz w:val="21"/>
          <w:szCs w:val="21"/>
          <w:highlight w:val="none"/>
          <w:lang w:val="zh-CN"/>
        </w:rPr>
      </w:pPr>
      <w:r>
        <w:rPr>
          <w:rFonts w:cs="仿宋_GB2312"/>
          <w:color w:val="auto"/>
          <w:kern w:val="0"/>
          <w:sz w:val="21"/>
          <w:szCs w:val="21"/>
          <w:highlight w:val="none"/>
          <w:lang w:val="zh-CN"/>
        </w:rPr>
        <w:t>3、本协议提交采购人、采购机构后，联合体各方不得以任何形式对上述内容进行修改或撤销。</w:t>
      </w:r>
    </w:p>
    <w:p w14:paraId="503D9D92">
      <w:pPr>
        <w:snapToGrid w:val="0"/>
        <w:spacing w:line="288" w:lineRule="auto"/>
        <w:ind w:firstLine="422" w:firstLineChars="201"/>
        <w:rPr>
          <w:rFonts w:cs="仿宋_GB2312"/>
          <w:color w:val="auto"/>
          <w:kern w:val="0"/>
          <w:sz w:val="21"/>
          <w:szCs w:val="21"/>
          <w:highlight w:val="none"/>
          <w:lang w:val="zh-CN"/>
        </w:rPr>
      </w:pPr>
    </w:p>
    <w:p w14:paraId="681330BD">
      <w:pPr>
        <w:snapToGrid w:val="0"/>
        <w:spacing w:line="288" w:lineRule="auto"/>
        <w:ind w:firstLine="422" w:firstLineChars="201"/>
        <w:rPr>
          <w:rFonts w:cs="仿宋_GB2312"/>
          <w:color w:val="auto"/>
          <w:kern w:val="0"/>
          <w:sz w:val="21"/>
          <w:szCs w:val="21"/>
          <w:highlight w:val="none"/>
          <w:lang w:val="zh-CN"/>
        </w:rPr>
      </w:pPr>
    </w:p>
    <w:p w14:paraId="554B6FC8">
      <w:pPr>
        <w:snapToGrid w:val="0"/>
        <w:spacing w:line="288" w:lineRule="auto"/>
        <w:ind w:firstLine="424" w:firstLineChars="201"/>
        <w:rPr>
          <w:rFonts w:cs="仿宋_GB2312"/>
          <w:b/>
          <w:bCs/>
          <w:color w:val="auto"/>
          <w:kern w:val="0"/>
          <w:sz w:val="21"/>
          <w:szCs w:val="21"/>
          <w:highlight w:val="none"/>
          <w:lang w:val="zh-CN"/>
        </w:rPr>
      </w:pPr>
      <w:r>
        <w:rPr>
          <w:rFonts w:hint="eastAsia" w:cs="仿宋_GB2312"/>
          <w:b/>
          <w:bCs/>
          <w:color w:val="auto"/>
          <w:kern w:val="0"/>
          <w:sz w:val="21"/>
          <w:szCs w:val="21"/>
          <w:highlight w:val="none"/>
          <w:lang w:val="zh-CN"/>
        </w:rPr>
        <w:t>联合体成员名称</w:t>
      </w:r>
      <w:r>
        <w:rPr>
          <w:rFonts w:cs="仿宋_GB2312"/>
          <w:b/>
          <w:bCs/>
          <w:color w:val="auto"/>
          <w:kern w:val="0"/>
          <w:sz w:val="21"/>
          <w:szCs w:val="21"/>
          <w:highlight w:val="none"/>
          <w:lang w:val="zh-CN"/>
        </w:rPr>
        <w:t>(电子签名/公章)：</w:t>
      </w:r>
    </w:p>
    <w:p w14:paraId="05D726ED">
      <w:pPr>
        <w:snapToGrid w:val="0"/>
        <w:spacing w:line="288" w:lineRule="auto"/>
        <w:ind w:firstLine="424" w:firstLineChars="201"/>
        <w:rPr>
          <w:rFonts w:cs="仿宋_GB2312"/>
          <w:b/>
          <w:bCs/>
          <w:color w:val="auto"/>
          <w:kern w:val="0"/>
          <w:sz w:val="21"/>
          <w:szCs w:val="21"/>
          <w:highlight w:val="none"/>
          <w:lang w:val="zh-CN"/>
        </w:rPr>
      </w:pPr>
    </w:p>
    <w:p w14:paraId="7A608436">
      <w:pPr>
        <w:snapToGrid w:val="0"/>
        <w:spacing w:line="288" w:lineRule="auto"/>
        <w:ind w:firstLine="424" w:firstLineChars="201"/>
        <w:rPr>
          <w:rFonts w:cs="Times New Roman"/>
          <w:b/>
          <w:bCs/>
          <w:color w:val="auto"/>
          <w:sz w:val="21"/>
          <w:szCs w:val="21"/>
          <w:highlight w:val="none"/>
        </w:rPr>
      </w:pPr>
    </w:p>
    <w:p w14:paraId="2EA0B169">
      <w:pPr>
        <w:snapToGrid w:val="0"/>
        <w:spacing w:line="288" w:lineRule="auto"/>
        <w:ind w:firstLine="424" w:firstLineChars="201"/>
        <w:rPr>
          <w:rFonts w:cs="仿宋_GB2312"/>
          <w:b/>
          <w:bCs/>
          <w:color w:val="auto"/>
          <w:kern w:val="0"/>
          <w:sz w:val="21"/>
          <w:szCs w:val="21"/>
          <w:highlight w:val="none"/>
          <w:lang w:val="zh-CN"/>
        </w:rPr>
      </w:pPr>
      <w:r>
        <w:rPr>
          <w:rFonts w:cs="仿宋_GB2312"/>
          <w:b/>
          <w:bCs/>
          <w:color w:val="auto"/>
          <w:kern w:val="0"/>
          <w:sz w:val="21"/>
          <w:szCs w:val="21"/>
          <w:highlight w:val="none"/>
          <w:lang w:val="zh-CN"/>
        </w:rPr>
        <w:t>日期：  年  月   日</w:t>
      </w:r>
    </w:p>
    <w:p w14:paraId="2AD0CDA2">
      <w:pPr>
        <w:widowControl/>
        <w:ind w:firstLine="211"/>
        <w:jc w:val="left"/>
        <w:rPr>
          <w:rFonts w:cs="仿宋_GB2312"/>
          <w:b/>
          <w:color w:val="auto"/>
          <w:kern w:val="0"/>
          <w:sz w:val="21"/>
          <w:szCs w:val="21"/>
          <w:highlight w:val="none"/>
        </w:rPr>
      </w:pPr>
      <w:r>
        <w:rPr>
          <w:rFonts w:cs="仿宋_GB2312"/>
          <w:b/>
          <w:color w:val="auto"/>
          <w:kern w:val="0"/>
          <w:sz w:val="21"/>
          <w:szCs w:val="21"/>
          <w:highlight w:val="none"/>
        </w:rPr>
        <w:br w:type="page"/>
      </w:r>
    </w:p>
    <w:p w14:paraId="05A06621">
      <w:pPr>
        <w:snapToGrid w:val="0"/>
        <w:spacing w:line="288" w:lineRule="auto"/>
        <w:ind w:firstLine="211"/>
        <w:jc w:val="center"/>
        <w:outlineLvl w:val="2"/>
        <w:rPr>
          <w:rFonts w:cs="仿宋_GB2312"/>
          <w:b/>
          <w:color w:val="auto"/>
          <w:kern w:val="0"/>
          <w:sz w:val="21"/>
          <w:szCs w:val="21"/>
          <w:highlight w:val="none"/>
        </w:rPr>
      </w:pPr>
      <w:r>
        <w:rPr>
          <w:rFonts w:hint="eastAsia" w:cs="仿宋_GB2312"/>
          <w:b/>
          <w:color w:val="auto"/>
          <w:kern w:val="0"/>
          <w:sz w:val="21"/>
          <w:szCs w:val="21"/>
          <w:highlight w:val="none"/>
        </w:rPr>
        <w:t>附件3</w:t>
      </w:r>
      <w:r>
        <w:rPr>
          <w:rFonts w:cs="仿宋_GB2312"/>
          <w:b/>
          <w:color w:val="auto"/>
          <w:kern w:val="0"/>
          <w:sz w:val="21"/>
          <w:szCs w:val="21"/>
          <w:highlight w:val="none"/>
        </w:rPr>
        <w:t>：</w:t>
      </w:r>
      <w:r>
        <w:rPr>
          <w:rFonts w:hint="eastAsia" w:cs="仿宋_GB2312"/>
          <w:b/>
          <w:color w:val="auto"/>
          <w:kern w:val="0"/>
          <w:sz w:val="21"/>
          <w:szCs w:val="21"/>
          <w:highlight w:val="none"/>
        </w:rPr>
        <w:t>分包意向协议</w:t>
      </w:r>
    </w:p>
    <w:p w14:paraId="219C63B7">
      <w:pPr>
        <w:widowControl/>
        <w:snapToGrid w:val="0"/>
        <w:spacing w:line="288" w:lineRule="auto"/>
        <w:ind w:firstLine="422" w:firstLineChars="201"/>
        <w:jc w:val="left"/>
        <w:rPr>
          <w:rFonts w:cs="仿宋_GB2312"/>
          <w:color w:val="auto"/>
          <w:sz w:val="21"/>
          <w:szCs w:val="21"/>
          <w:highlight w:val="none"/>
        </w:rPr>
      </w:pPr>
      <w:r>
        <w:rPr>
          <w:rFonts w:hint="eastAsia" w:cs="仿宋_GB2312"/>
          <w:color w:val="auto"/>
          <w:sz w:val="21"/>
          <w:szCs w:val="21"/>
          <w:highlight w:val="none"/>
        </w:rPr>
        <w:t>（</w:t>
      </w:r>
      <w:r>
        <w:rPr>
          <w:rFonts w:hint="eastAsia" w:cs="仿宋_GB2312"/>
          <w:b/>
          <w:color w:val="auto"/>
          <w:sz w:val="21"/>
          <w:szCs w:val="21"/>
          <w:highlight w:val="none"/>
        </w:rPr>
        <w:t>成交后以分包方式履行合同的，提供分包意向协议；采购人不同意分包或者供应商成交后不以分包方式履行合同的，则不需要提供。</w:t>
      </w:r>
      <w:r>
        <w:rPr>
          <w:rFonts w:hint="eastAsia" w:cs="仿宋_GB2312"/>
          <w:color w:val="auto"/>
          <w:sz w:val="21"/>
          <w:szCs w:val="21"/>
          <w:highlight w:val="none"/>
        </w:rPr>
        <w:t>）</w:t>
      </w:r>
    </w:p>
    <w:p w14:paraId="1CFDF20B">
      <w:pPr>
        <w:snapToGrid w:val="0"/>
        <w:spacing w:line="288" w:lineRule="auto"/>
        <w:ind w:firstLine="422" w:firstLineChars="201"/>
        <w:rPr>
          <w:rFonts w:cs="仿宋_GB2312"/>
          <w:color w:val="auto"/>
          <w:kern w:val="0"/>
          <w:sz w:val="21"/>
          <w:szCs w:val="21"/>
          <w:highlight w:val="none"/>
          <w:lang w:val="zh-CN"/>
        </w:rPr>
      </w:pPr>
      <w:r>
        <w:rPr>
          <w:rFonts w:hint="eastAsia" w:cs="仿宋_GB2312"/>
          <w:color w:val="auto"/>
          <w:kern w:val="0"/>
          <w:sz w:val="21"/>
          <w:szCs w:val="21"/>
          <w:highlight w:val="none"/>
          <w:u w:val="single"/>
        </w:rPr>
        <w:t>（供应商名称）</w:t>
      </w:r>
      <w:r>
        <w:rPr>
          <w:rFonts w:hint="eastAsia" w:cs="仿宋_GB2312"/>
          <w:color w:val="auto"/>
          <w:kern w:val="0"/>
          <w:sz w:val="21"/>
          <w:szCs w:val="21"/>
          <w:highlight w:val="none"/>
          <w:lang w:val="zh-CN"/>
        </w:rPr>
        <w:t>若成为</w:t>
      </w:r>
      <w:r>
        <w:rPr>
          <w:rFonts w:hint="eastAsia" w:cs="仿宋_GB2312"/>
          <w:color w:val="auto"/>
          <w:sz w:val="21"/>
          <w:szCs w:val="21"/>
          <w:highlight w:val="none"/>
        </w:rPr>
        <w:t>（项目名称）【招标编号：</w:t>
      </w:r>
      <w:r>
        <w:rPr>
          <w:rFonts w:hint="eastAsia" w:cs="Times New Roman"/>
          <w:color w:val="auto"/>
          <w:sz w:val="21"/>
          <w:szCs w:val="21"/>
          <w:highlight w:val="none"/>
        </w:rPr>
        <w:t>（采购编号）</w:t>
      </w:r>
      <w:r>
        <w:rPr>
          <w:rFonts w:hint="eastAsia" w:cs="仿宋_GB2312"/>
          <w:color w:val="auto"/>
          <w:sz w:val="21"/>
          <w:szCs w:val="21"/>
          <w:highlight w:val="none"/>
        </w:rPr>
        <w:t>】</w:t>
      </w:r>
      <w:r>
        <w:rPr>
          <w:rFonts w:hint="eastAsia" w:cs="仿宋_GB2312"/>
          <w:color w:val="auto"/>
          <w:kern w:val="0"/>
          <w:sz w:val="21"/>
          <w:szCs w:val="21"/>
          <w:highlight w:val="none"/>
          <w:lang w:val="zh-CN"/>
        </w:rPr>
        <w:t>的成交供应商，将依法采取分包方式履行合同。</w:t>
      </w:r>
      <w:r>
        <w:rPr>
          <w:rFonts w:hint="eastAsia" w:cs="仿宋_GB2312"/>
          <w:color w:val="auto"/>
          <w:kern w:val="0"/>
          <w:sz w:val="21"/>
          <w:szCs w:val="21"/>
          <w:highlight w:val="none"/>
          <w:u w:val="single"/>
        </w:rPr>
        <w:t>（供应商名称）</w:t>
      </w:r>
      <w:r>
        <w:rPr>
          <w:rFonts w:hint="eastAsia" w:cs="仿宋_GB2312"/>
          <w:color w:val="auto"/>
          <w:kern w:val="0"/>
          <w:sz w:val="21"/>
          <w:szCs w:val="21"/>
          <w:highlight w:val="none"/>
        </w:rPr>
        <w:t>与</w:t>
      </w:r>
      <w:r>
        <w:rPr>
          <w:rFonts w:hint="eastAsia" w:cs="仿宋_GB2312"/>
          <w:color w:val="auto"/>
          <w:kern w:val="0"/>
          <w:sz w:val="21"/>
          <w:szCs w:val="21"/>
          <w:highlight w:val="none"/>
          <w:u w:val="single"/>
        </w:rPr>
        <w:t>（所有分包供应商名称）</w:t>
      </w:r>
      <w:r>
        <w:rPr>
          <w:rFonts w:hint="eastAsia" w:cs="仿宋_GB2312"/>
          <w:color w:val="auto"/>
          <w:kern w:val="0"/>
          <w:sz w:val="21"/>
          <w:szCs w:val="21"/>
          <w:highlight w:val="none"/>
        </w:rPr>
        <w:t>达成分包意向协议</w:t>
      </w:r>
      <w:r>
        <w:rPr>
          <w:rFonts w:hint="eastAsia" w:cs="仿宋_GB2312"/>
          <w:color w:val="auto"/>
          <w:kern w:val="0"/>
          <w:sz w:val="21"/>
          <w:szCs w:val="21"/>
          <w:highlight w:val="none"/>
          <w:lang w:val="zh-CN"/>
        </w:rPr>
        <w:t>。</w:t>
      </w:r>
      <w:r>
        <w:rPr>
          <w:rFonts w:cs="仿宋_GB2312"/>
          <w:color w:val="auto"/>
          <w:kern w:val="0"/>
          <w:sz w:val="21"/>
          <w:szCs w:val="21"/>
          <w:highlight w:val="none"/>
          <w:lang w:val="zh-CN"/>
        </w:rPr>
        <w:t xml:space="preserve"> </w:t>
      </w:r>
    </w:p>
    <w:p w14:paraId="00777F5B">
      <w:pPr>
        <w:snapToGrid w:val="0"/>
        <w:spacing w:line="288" w:lineRule="auto"/>
        <w:ind w:firstLine="422" w:firstLineChars="201"/>
        <w:rPr>
          <w:rFonts w:cs="仿宋_GB2312"/>
          <w:color w:val="auto"/>
          <w:kern w:val="0"/>
          <w:sz w:val="21"/>
          <w:szCs w:val="21"/>
          <w:highlight w:val="none"/>
          <w:lang w:val="zh-CN"/>
        </w:rPr>
      </w:pPr>
      <w:r>
        <w:rPr>
          <w:rFonts w:hint="eastAsia" w:cs="仿宋_GB2312"/>
          <w:color w:val="auto"/>
          <w:kern w:val="0"/>
          <w:sz w:val="21"/>
          <w:szCs w:val="21"/>
          <w:highlight w:val="none"/>
          <w:lang w:val="zh-CN"/>
        </w:rPr>
        <w:t>一、分包标的及数量</w:t>
      </w:r>
    </w:p>
    <w:p w14:paraId="1EA17BD5">
      <w:pPr>
        <w:snapToGrid w:val="0"/>
        <w:spacing w:line="288" w:lineRule="auto"/>
        <w:ind w:firstLine="422" w:firstLineChars="201"/>
        <w:rPr>
          <w:rFonts w:cs="仿宋_GB2312"/>
          <w:color w:val="auto"/>
          <w:kern w:val="0"/>
          <w:sz w:val="21"/>
          <w:szCs w:val="21"/>
          <w:highlight w:val="none"/>
          <w:lang w:val="zh-CN"/>
        </w:rPr>
      </w:pPr>
      <w:r>
        <w:rPr>
          <w:rFonts w:hint="eastAsia" w:cs="仿宋_GB2312"/>
          <w:color w:val="auto"/>
          <w:kern w:val="0"/>
          <w:sz w:val="21"/>
          <w:szCs w:val="21"/>
          <w:highlight w:val="none"/>
          <w:u w:val="single"/>
        </w:rPr>
        <w:t>（供应商名称）</w:t>
      </w:r>
      <w:r>
        <w:rPr>
          <w:rFonts w:hint="eastAsia" w:cs="仿宋_GB2312"/>
          <w:color w:val="auto"/>
          <w:kern w:val="0"/>
          <w:sz w:val="21"/>
          <w:szCs w:val="21"/>
          <w:highlight w:val="none"/>
          <w:lang w:val="zh-CN"/>
        </w:rPr>
        <w:t>将</w:t>
      </w:r>
      <w:r>
        <w:rPr>
          <w:rFonts w:cs="Times New Roman"/>
          <w:color w:val="auto"/>
          <w:sz w:val="21"/>
          <w:szCs w:val="21"/>
          <w:highlight w:val="none"/>
          <w:u w:val="single"/>
        </w:rPr>
        <w:t xml:space="preserve">   XX工作内容   </w:t>
      </w:r>
      <w:r>
        <w:rPr>
          <w:rFonts w:hint="eastAsia" w:cs="Arial"/>
          <w:color w:val="auto"/>
          <w:sz w:val="21"/>
          <w:szCs w:val="21"/>
          <w:highlight w:val="none"/>
        </w:rPr>
        <w:t>分包给</w:t>
      </w:r>
      <w:r>
        <w:rPr>
          <w:rFonts w:hint="eastAsia" w:cs="仿宋_GB2312"/>
          <w:color w:val="auto"/>
          <w:kern w:val="0"/>
          <w:sz w:val="21"/>
          <w:szCs w:val="21"/>
          <w:highlight w:val="none"/>
          <w:u w:val="single"/>
        </w:rPr>
        <w:t>（某分包供应商名称）</w:t>
      </w:r>
      <w:r>
        <w:rPr>
          <w:rFonts w:hint="eastAsia" w:cs="仿宋_GB2312"/>
          <w:color w:val="auto"/>
          <w:kern w:val="0"/>
          <w:sz w:val="21"/>
          <w:szCs w:val="21"/>
          <w:highlight w:val="none"/>
          <w:lang w:val="zh-CN"/>
        </w:rPr>
        <w:t>，</w:t>
      </w:r>
      <w:r>
        <w:rPr>
          <w:rFonts w:hint="eastAsia" w:cs="仿宋_GB2312"/>
          <w:color w:val="auto"/>
          <w:kern w:val="0"/>
          <w:sz w:val="21"/>
          <w:szCs w:val="21"/>
          <w:highlight w:val="none"/>
          <w:u w:val="single"/>
        </w:rPr>
        <w:t>（某分包供应商名称），</w:t>
      </w:r>
      <w:r>
        <w:rPr>
          <w:rFonts w:hint="eastAsia" w:cs="仿宋_GB2312"/>
          <w:color w:val="auto"/>
          <w:kern w:val="0"/>
          <w:sz w:val="21"/>
          <w:szCs w:val="21"/>
          <w:highlight w:val="none"/>
          <w:lang w:val="zh-CN"/>
        </w:rPr>
        <w:t>具备承</w:t>
      </w:r>
      <w:r>
        <w:rPr>
          <w:rFonts w:hint="eastAsia" w:cs="仿宋_GB2312"/>
          <w:color w:val="auto"/>
          <w:kern w:val="0"/>
          <w:sz w:val="21"/>
          <w:szCs w:val="21"/>
          <w:highlight w:val="none"/>
        </w:rPr>
        <w:t>担</w:t>
      </w:r>
      <w:r>
        <w:rPr>
          <w:rFonts w:cs="仿宋_GB2312"/>
          <w:color w:val="auto"/>
          <w:kern w:val="0"/>
          <w:sz w:val="21"/>
          <w:szCs w:val="21"/>
          <w:highlight w:val="none"/>
          <w:u w:val="single"/>
          <w:lang w:val="zh-CN"/>
        </w:rPr>
        <w:t>XX工作内容</w:t>
      </w:r>
      <w:r>
        <w:rPr>
          <w:rFonts w:hint="eastAsia" w:cs="仿宋_GB2312"/>
          <w:color w:val="auto"/>
          <w:kern w:val="0"/>
          <w:sz w:val="21"/>
          <w:szCs w:val="21"/>
          <w:highlight w:val="none"/>
          <w:lang w:val="zh-CN"/>
        </w:rPr>
        <w:t>相应资质条件且不得再次分包；</w:t>
      </w:r>
    </w:p>
    <w:p w14:paraId="4445280D">
      <w:pPr>
        <w:snapToGrid w:val="0"/>
        <w:spacing w:line="288" w:lineRule="auto"/>
        <w:ind w:firstLine="422" w:firstLineChars="201"/>
        <w:rPr>
          <w:rFonts w:cs="仿宋_GB2312"/>
          <w:color w:val="auto"/>
          <w:kern w:val="0"/>
          <w:sz w:val="21"/>
          <w:szCs w:val="21"/>
          <w:highlight w:val="none"/>
          <w:lang w:val="zh-CN"/>
        </w:rPr>
      </w:pPr>
      <w:r>
        <w:rPr>
          <w:rFonts w:hint="eastAsia" w:cs="仿宋_GB2312"/>
          <w:color w:val="auto"/>
          <w:kern w:val="0"/>
          <w:sz w:val="21"/>
          <w:szCs w:val="21"/>
          <w:highlight w:val="none"/>
          <w:lang w:val="zh-CN"/>
        </w:rPr>
        <w:t>……</w:t>
      </w:r>
    </w:p>
    <w:p w14:paraId="5EC473CF">
      <w:pPr>
        <w:snapToGrid w:val="0"/>
        <w:spacing w:line="288" w:lineRule="auto"/>
        <w:ind w:firstLine="422" w:firstLineChars="201"/>
        <w:rPr>
          <w:rFonts w:cs="仿宋_GB2312"/>
          <w:color w:val="auto"/>
          <w:kern w:val="0"/>
          <w:sz w:val="21"/>
          <w:szCs w:val="21"/>
          <w:highlight w:val="none"/>
          <w:lang w:val="zh-CN"/>
        </w:rPr>
      </w:pPr>
      <w:r>
        <w:rPr>
          <w:rFonts w:hint="eastAsia" w:cs="仿宋_GB2312"/>
          <w:color w:val="auto"/>
          <w:kern w:val="0"/>
          <w:sz w:val="21"/>
          <w:szCs w:val="21"/>
          <w:highlight w:val="none"/>
          <w:lang w:val="zh-CN"/>
        </w:rPr>
        <w:t>二、分包工作履行期限、地点、方式</w:t>
      </w:r>
    </w:p>
    <w:p w14:paraId="287B0E02">
      <w:pPr>
        <w:snapToGrid w:val="0"/>
        <w:spacing w:line="288" w:lineRule="auto"/>
        <w:ind w:firstLine="422" w:firstLineChars="201"/>
        <w:rPr>
          <w:rFonts w:cs="Times New Roman"/>
          <w:color w:val="auto"/>
          <w:sz w:val="21"/>
          <w:szCs w:val="21"/>
          <w:highlight w:val="none"/>
          <w:u w:val="single"/>
        </w:rPr>
      </w:pPr>
      <w:r>
        <w:rPr>
          <w:rFonts w:cs="Times New Roman"/>
          <w:color w:val="auto"/>
          <w:sz w:val="21"/>
          <w:szCs w:val="21"/>
          <w:highlight w:val="none"/>
          <w:u w:val="single"/>
        </w:rPr>
        <w:t xml:space="preserve">                                                                                  </w:t>
      </w:r>
    </w:p>
    <w:p w14:paraId="0EB6ACAE">
      <w:pPr>
        <w:snapToGrid w:val="0"/>
        <w:spacing w:line="288" w:lineRule="auto"/>
        <w:ind w:firstLine="422" w:firstLineChars="201"/>
        <w:rPr>
          <w:rFonts w:cs="仿宋_GB2312"/>
          <w:color w:val="auto"/>
          <w:kern w:val="0"/>
          <w:sz w:val="21"/>
          <w:szCs w:val="21"/>
          <w:highlight w:val="none"/>
          <w:lang w:val="zh-CN"/>
        </w:rPr>
      </w:pPr>
      <w:r>
        <w:rPr>
          <w:rFonts w:hint="eastAsia" w:cs="仿宋_GB2312"/>
          <w:color w:val="auto"/>
          <w:kern w:val="0"/>
          <w:sz w:val="21"/>
          <w:szCs w:val="21"/>
          <w:highlight w:val="none"/>
          <w:lang w:val="zh-CN"/>
        </w:rPr>
        <w:t>三、质量</w:t>
      </w:r>
    </w:p>
    <w:p w14:paraId="086F3DE7">
      <w:pPr>
        <w:snapToGrid w:val="0"/>
        <w:spacing w:line="288" w:lineRule="auto"/>
        <w:ind w:firstLine="422" w:firstLineChars="201"/>
        <w:rPr>
          <w:rFonts w:cs="仿宋_GB2312"/>
          <w:color w:val="auto"/>
          <w:kern w:val="0"/>
          <w:sz w:val="21"/>
          <w:szCs w:val="21"/>
          <w:highlight w:val="none"/>
          <w:lang w:val="zh-CN"/>
        </w:rPr>
      </w:pPr>
      <w:r>
        <w:rPr>
          <w:rFonts w:cs="Times New Roman"/>
          <w:color w:val="auto"/>
          <w:sz w:val="21"/>
          <w:szCs w:val="21"/>
          <w:highlight w:val="none"/>
          <w:u w:val="single"/>
        </w:rPr>
        <w:t xml:space="preserve">                                                                                       </w:t>
      </w:r>
    </w:p>
    <w:p w14:paraId="44B85D6E">
      <w:pPr>
        <w:snapToGrid w:val="0"/>
        <w:spacing w:line="288" w:lineRule="auto"/>
        <w:ind w:firstLine="422" w:firstLineChars="201"/>
        <w:rPr>
          <w:rFonts w:cs="仿宋_GB2312"/>
          <w:color w:val="auto"/>
          <w:kern w:val="0"/>
          <w:sz w:val="21"/>
          <w:szCs w:val="21"/>
          <w:highlight w:val="none"/>
          <w:lang w:val="zh-CN"/>
        </w:rPr>
      </w:pPr>
      <w:r>
        <w:rPr>
          <w:rFonts w:hint="eastAsia" w:cs="仿宋_GB2312"/>
          <w:color w:val="auto"/>
          <w:kern w:val="0"/>
          <w:sz w:val="21"/>
          <w:szCs w:val="21"/>
          <w:highlight w:val="none"/>
          <w:lang w:val="zh-CN"/>
        </w:rPr>
        <w:t>四、价款或者报酬</w:t>
      </w:r>
    </w:p>
    <w:p w14:paraId="752254C6">
      <w:pPr>
        <w:snapToGrid w:val="0"/>
        <w:spacing w:line="288" w:lineRule="auto"/>
        <w:ind w:firstLine="422" w:firstLineChars="201"/>
        <w:rPr>
          <w:rFonts w:cs="仿宋_GB2312"/>
          <w:color w:val="auto"/>
          <w:kern w:val="0"/>
          <w:sz w:val="21"/>
          <w:szCs w:val="21"/>
          <w:highlight w:val="none"/>
          <w:lang w:val="zh-CN"/>
        </w:rPr>
      </w:pPr>
      <w:r>
        <w:rPr>
          <w:rFonts w:cs="Times New Roman"/>
          <w:color w:val="auto"/>
          <w:sz w:val="21"/>
          <w:szCs w:val="21"/>
          <w:highlight w:val="none"/>
          <w:u w:val="single"/>
        </w:rPr>
        <w:t xml:space="preserve">                                                                                     </w:t>
      </w:r>
    </w:p>
    <w:p w14:paraId="37F4F05C">
      <w:pPr>
        <w:snapToGrid w:val="0"/>
        <w:spacing w:line="288" w:lineRule="auto"/>
        <w:ind w:firstLine="422" w:firstLineChars="201"/>
        <w:rPr>
          <w:rFonts w:cs="仿宋_GB2312"/>
          <w:color w:val="auto"/>
          <w:kern w:val="0"/>
          <w:sz w:val="21"/>
          <w:szCs w:val="21"/>
          <w:highlight w:val="none"/>
          <w:lang w:val="zh-CN"/>
        </w:rPr>
      </w:pPr>
      <w:r>
        <w:rPr>
          <w:rFonts w:hint="eastAsia" w:cs="仿宋_GB2312"/>
          <w:color w:val="auto"/>
          <w:kern w:val="0"/>
          <w:sz w:val="21"/>
          <w:szCs w:val="21"/>
          <w:highlight w:val="none"/>
          <w:lang w:val="zh-CN"/>
        </w:rPr>
        <w:t>五、违约责任</w:t>
      </w:r>
    </w:p>
    <w:p w14:paraId="63D383F1">
      <w:pPr>
        <w:snapToGrid w:val="0"/>
        <w:spacing w:line="288" w:lineRule="auto"/>
        <w:ind w:firstLine="422" w:firstLineChars="201"/>
        <w:rPr>
          <w:rFonts w:cs="仿宋_GB2312"/>
          <w:color w:val="auto"/>
          <w:kern w:val="0"/>
          <w:sz w:val="21"/>
          <w:szCs w:val="21"/>
          <w:highlight w:val="none"/>
          <w:lang w:val="zh-CN"/>
        </w:rPr>
      </w:pPr>
      <w:r>
        <w:rPr>
          <w:rFonts w:cs="Times New Roman"/>
          <w:color w:val="auto"/>
          <w:sz w:val="21"/>
          <w:szCs w:val="21"/>
          <w:highlight w:val="none"/>
          <w:u w:val="single"/>
        </w:rPr>
        <w:t xml:space="preserve">                                                                                     </w:t>
      </w:r>
    </w:p>
    <w:p w14:paraId="2261280D">
      <w:pPr>
        <w:snapToGrid w:val="0"/>
        <w:spacing w:line="288" w:lineRule="auto"/>
        <w:ind w:firstLine="422" w:firstLineChars="201"/>
        <w:rPr>
          <w:rFonts w:cs="仿宋_GB2312"/>
          <w:color w:val="auto"/>
          <w:kern w:val="0"/>
          <w:sz w:val="21"/>
          <w:szCs w:val="21"/>
          <w:highlight w:val="none"/>
          <w:lang w:val="zh-CN"/>
        </w:rPr>
      </w:pPr>
      <w:r>
        <w:rPr>
          <w:rFonts w:hint="eastAsia" w:cs="仿宋_GB2312"/>
          <w:color w:val="auto"/>
          <w:kern w:val="0"/>
          <w:sz w:val="21"/>
          <w:szCs w:val="21"/>
          <w:highlight w:val="none"/>
          <w:lang w:val="zh-CN"/>
        </w:rPr>
        <w:t>六、争议解决的办法</w:t>
      </w:r>
    </w:p>
    <w:p w14:paraId="745302EA">
      <w:pPr>
        <w:snapToGrid w:val="0"/>
        <w:spacing w:line="288" w:lineRule="auto"/>
        <w:ind w:firstLine="422" w:firstLineChars="201"/>
        <w:rPr>
          <w:rFonts w:cs="仿宋_GB2312"/>
          <w:color w:val="auto"/>
          <w:kern w:val="0"/>
          <w:sz w:val="21"/>
          <w:szCs w:val="21"/>
          <w:highlight w:val="none"/>
          <w:lang w:val="zh-CN"/>
        </w:rPr>
      </w:pPr>
      <w:r>
        <w:rPr>
          <w:rFonts w:cs="Times New Roman"/>
          <w:color w:val="auto"/>
          <w:sz w:val="21"/>
          <w:szCs w:val="21"/>
          <w:highlight w:val="none"/>
          <w:u w:val="single"/>
        </w:rPr>
        <w:t xml:space="preserve">                                                                                  </w:t>
      </w:r>
    </w:p>
    <w:p w14:paraId="055EB58A">
      <w:pPr>
        <w:snapToGrid w:val="0"/>
        <w:spacing w:line="288" w:lineRule="auto"/>
        <w:ind w:firstLine="422" w:firstLineChars="201"/>
        <w:rPr>
          <w:rFonts w:cs="仿宋_GB2312"/>
          <w:color w:val="auto"/>
          <w:kern w:val="0"/>
          <w:sz w:val="21"/>
          <w:szCs w:val="21"/>
          <w:highlight w:val="none"/>
          <w:lang w:val="zh-CN"/>
        </w:rPr>
      </w:pPr>
      <w:r>
        <w:rPr>
          <w:rFonts w:hint="eastAsia" w:cs="仿宋_GB2312"/>
          <w:color w:val="auto"/>
          <w:kern w:val="0"/>
          <w:sz w:val="21"/>
          <w:szCs w:val="21"/>
          <w:highlight w:val="none"/>
          <w:lang w:val="zh-CN"/>
        </w:rPr>
        <w:t>七、其他</w:t>
      </w:r>
    </w:p>
    <w:p w14:paraId="49C5464E">
      <w:pPr>
        <w:snapToGrid w:val="0"/>
        <w:spacing w:line="288" w:lineRule="auto"/>
        <w:ind w:firstLine="422" w:firstLineChars="201"/>
        <w:rPr>
          <w:rFonts w:cs="仿宋_GB2312"/>
          <w:b/>
          <w:color w:val="auto"/>
          <w:kern w:val="0"/>
          <w:sz w:val="21"/>
          <w:szCs w:val="21"/>
          <w:highlight w:val="none"/>
          <w:lang w:val="zh-CN"/>
        </w:rPr>
      </w:pPr>
      <w:r>
        <w:rPr>
          <w:rFonts w:hint="eastAsia" w:cs="仿宋_GB2312"/>
          <w:color w:val="auto"/>
          <w:kern w:val="0"/>
          <w:sz w:val="21"/>
          <w:szCs w:val="21"/>
          <w:highlight w:val="none"/>
          <w:u w:val="single"/>
        </w:rPr>
        <w:t>（分包供应商名称）提供的货物全部由小微企业制造，</w:t>
      </w:r>
      <w:r>
        <w:rPr>
          <w:rFonts w:hint="eastAsia" w:cs="仿宋_GB2312"/>
          <w:color w:val="auto"/>
          <w:kern w:val="0"/>
          <w:sz w:val="21"/>
          <w:szCs w:val="21"/>
          <w:highlight w:val="none"/>
        </w:rPr>
        <w:t>其合同份额占到合同总金额</w:t>
      </w:r>
      <w:r>
        <w:rPr>
          <w:rFonts w:cs="仿宋_GB2312"/>
          <w:color w:val="auto"/>
          <w:kern w:val="0"/>
          <w:sz w:val="21"/>
          <w:szCs w:val="21"/>
          <w:highlight w:val="none"/>
          <w:u w:val="single"/>
        </w:rPr>
        <w:t xml:space="preserve">     </w:t>
      </w:r>
      <w:r>
        <w:rPr>
          <w:rFonts w:cs="仿宋_GB2312"/>
          <w:color w:val="auto"/>
          <w:kern w:val="0"/>
          <w:sz w:val="21"/>
          <w:szCs w:val="21"/>
          <w:highlight w:val="none"/>
        </w:rPr>
        <w:t>%以上</w:t>
      </w:r>
      <w:r>
        <w:rPr>
          <w:rFonts w:hint="eastAsia" w:cs="Times New Roman"/>
          <w:color w:val="auto"/>
          <w:sz w:val="21"/>
          <w:szCs w:val="21"/>
          <w:highlight w:val="none"/>
        </w:rPr>
        <w:t>。</w:t>
      </w:r>
      <w:r>
        <w:rPr>
          <w:rFonts w:hint="eastAsia" w:cs="仿宋_GB2312"/>
          <w:b/>
          <w:color w:val="auto"/>
          <w:kern w:val="0"/>
          <w:sz w:val="21"/>
          <w:szCs w:val="21"/>
          <w:highlight w:val="none"/>
          <w:lang w:val="zh-CN"/>
        </w:rPr>
        <w:t>（未预留份额专门面向中小企业采购的的采购项目，以及预留份额中的非预留部分采购包，允许分包的，分包供应商提供的货物全部由小微企业制造，且其合同份额占到合同总金额</w:t>
      </w:r>
      <w:r>
        <w:rPr>
          <w:rFonts w:cs="仿宋_GB2312"/>
          <w:b/>
          <w:color w:val="auto"/>
          <w:kern w:val="0"/>
          <w:sz w:val="21"/>
          <w:szCs w:val="21"/>
          <w:highlight w:val="none"/>
          <w:lang w:val="zh-CN"/>
        </w:rPr>
        <w:t xml:space="preserve"> 30%以上</w:t>
      </w:r>
      <w:r>
        <w:rPr>
          <w:rFonts w:hint="eastAsia" w:cs="仿宋_GB2312"/>
          <w:b/>
          <w:color w:val="auto"/>
          <w:kern w:val="0"/>
          <w:sz w:val="21"/>
          <w:szCs w:val="21"/>
          <w:highlight w:val="none"/>
          <w:lang w:val="zh-CN"/>
        </w:rPr>
        <w:t>的，对大中型企业的报价给予</w:t>
      </w:r>
      <w:r>
        <w:rPr>
          <w:rFonts w:cs="仿宋_GB2312"/>
          <w:b/>
          <w:color w:val="auto"/>
          <w:kern w:val="0"/>
          <w:sz w:val="21"/>
          <w:szCs w:val="21"/>
          <w:highlight w:val="none"/>
          <w:lang w:val="zh-CN"/>
        </w:rPr>
        <w:t>6%的扣除</w:t>
      </w:r>
      <w:r>
        <w:rPr>
          <w:rFonts w:hint="eastAsia" w:cs="仿宋_GB2312"/>
          <w:b/>
          <w:color w:val="auto"/>
          <w:kern w:val="0"/>
          <w:sz w:val="21"/>
          <w:szCs w:val="21"/>
          <w:highlight w:val="none"/>
          <w:lang w:val="zh-CN"/>
        </w:rPr>
        <w:t>）</w:t>
      </w:r>
    </w:p>
    <w:p w14:paraId="7E79EE62">
      <w:pPr>
        <w:snapToGrid w:val="0"/>
        <w:spacing w:line="288" w:lineRule="auto"/>
        <w:ind w:firstLine="211"/>
        <w:rPr>
          <w:rFonts w:cs="仿宋_GB2312"/>
          <w:color w:val="auto"/>
          <w:kern w:val="0"/>
          <w:sz w:val="21"/>
          <w:szCs w:val="21"/>
          <w:highlight w:val="none"/>
          <w:lang w:val="zh-CN"/>
        </w:rPr>
      </w:pPr>
    </w:p>
    <w:p w14:paraId="64A2FCBC">
      <w:pPr>
        <w:snapToGrid w:val="0"/>
        <w:spacing w:line="288" w:lineRule="auto"/>
        <w:ind w:firstLine="422" w:firstLineChars="200"/>
        <w:rPr>
          <w:rFonts w:cs="仿宋_GB2312"/>
          <w:b/>
          <w:bCs/>
          <w:color w:val="auto"/>
          <w:kern w:val="0"/>
          <w:sz w:val="21"/>
          <w:szCs w:val="21"/>
          <w:highlight w:val="none"/>
          <w:lang w:val="zh-CN"/>
        </w:rPr>
      </w:pPr>
      <w:r>
        <w:rPr>
          <w:rFonts w:hint="eastAsia" w:cs="仿宋_GB2312"/>
          <w:b/>
          <w:bCs/>
          <w:color w:val="auto"/>
          <w:kern w:val="0"/>
          <w:sz w:val="21"/>
          <w:szCs w:val="21"/>
          <w:highlight w:val="none"/>
          <w:lang w:val="zh-CN"/>
        </w:rPr>
        <w:t>供应商名称（电子签名</w:t>
      </w:r>
      <w:r>
        <w:rPr>
          <w:rFonts w:cs="仿宋_GB2312"/>
          <w:b/>
          <w:bCs/>
          <w:color w:val="auto"/>
          <w:kern w:val="0"/>
          <w:sz w:val="21"/>
          <w:szCs w:val="21"/>
          <w:highlight w:val="none"/>
          <w:lang w:val="zh-CN"/>
        </w:rPr>
        <w:t>/公章）：</w:t>
      </w:r>
    </w:p>
    <w:p w14:paraId="49A1A1A5">
      <w:pPr>
        <w:snapToGrid w:val="0"/>
        <w:spacing w:line="288" w:lineRule="auto"/>
        <w:ind w:firstLine="424" w:firstLineChars="201"/>
        <w:rPr>
          <w:rFonts w:cs="仿宋_GB2312"/>
          <w:b/>
          <w:bCs/>
          <w:color w:val="auto"/>
          <w:kern w:val="0"/>
          <w:sz w:val="21"/>
          <w:szCs w:val="21"/>
          <w:highlight w:val="none"/>
          <w:lang w:val="zh-CN"/>
        </w:rPr>
      </w:pPr>
    </w:p>
    <w:p w14:paraId="5D273395">
      <w:pPr>
        <w:snapToGrid w:val="0"/>
        <w:spacing w:line="288" w:lineRule="auto"/>
        <w:ind w:firstLine="424" w:firstLineChars="201"/>
        <w:rPr>
          <w:rFonts w:cs="仿宋_GB2312"/>
          <w:b/>
          <w:bCs/>
          <w:color w:val="auto"/>
          <w:kern w:val="0"/>
          <w:sz w:val="21"/>
          <w:szCs w:val="21"/>
          <w:highlight w:val="none"/>
          <w:lang w:val="zh-CN"/>
        </w:rPr>
      </w:pPr>
      <w:r>
        <w:rPr>
          <w:rFonts w:hint="eastAsia" w:cs="仿宋_GB2312"/>
          <w:b/>
          <w:bCs/>
          <w:color w:val="auto"/>
          <w:kern w:val="0"/>
          <w:sz w:val="21"/>
          <w:szCs w:val="21"/>
          <w:highlight w:val="none"/>
          <w:lang w:val="zh-CN"/>
        </w:rPr>
        <w:t>分包供应商名称：</w:t>
      </w:r>
    </w:p>
    <w:p w14:paraId="1CF62F20">
      <w:pPr>
        <w:snapToGrid w:val="0"/>
        <w:spacing w:line="288" w:lineRule="auto"/>
        <w:ind w:firstLine="210"/>
        <w:rPr>
          <w:rFonts w:cs="仿宋_GB2312"/>
          <w:b/>
          <w:bCs/>
          <w:color w:val="auto"/>
          <w:kern w:val="0"/>
          <w:sz w:val="21"/>
          <w:szCs w:val="21"/>
          <w:highlight w:val="none"/>
          <w:lang w:val="zh-CN"/>
        </w:rPr>
      </w:pPr>
    </w:p>
    <w:p w14:paraId="3EF138B3">
      <w:pPr>
        <w:snapToGrid w:val="0"/>
        <w:spacing w:line="288" w:lineRule="auto"/>
        <w:ind w:firstLine="424" w:firstLineChars="201"/>
        <w:rPr>
          <w:rFonts w:cs="仿宋_GB2312"/>
          <w:b/>
          <w:bCs/>
          <w:color w:val="auto"/>
          <w:kern w:val="0"/>
          <w:sz w:val="21"/>
          <w:szCs w:val="21"/>
          <w:highlight w:val="none"/>
          <w:lang w:val="zh-CN"/>
        </w:rPr>
      </w:pPr>
      <w:r>
        <w:rPr>
          <w:rFonts w:cs="仿宋_GB2312"/>
          <w:b/>
          <w:bCs/>
          <w:color w:val="auto"/>
          <w:kern w:val="0"/>
          <w:sz w:val="21"/>
          <w:szCs w:val="21"/>
          <w:highlight w:val="none"/>
          <w:lang w:val="zh-CN"/>
        </w:rPr>
        <w:t>日期：  年  月   日</w:t>
      </w:r>
    </w:p>
    <w:p w14:paraId="0F917702">
      <w:pPr>
        <w:rPr>
          <w:color w:val="auto"/>
          <w:highlight w:val="none"/>
        </w:rPr>
      </w:pPr>
    </w:p>
    <w:sectPr>
      <w:footerReference r:id="rId7" w:type="default"/>
      <w:pgSz w:w="11906" w:h="16838"/>
      <w:pgMar w:top="1247" w:right="1247" w:bottom="1247" w:left="1247" w:header="142" w:footer="725" w:gutter="0"/>
      <w:pgNumType w:start="73"/>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Helvetica Neue Light">
    <w:altName w:val="Courier New"/>
    <w:panose1 w:val="00000000000000000000"/>
    <w:charset w:val="00"/>
    <w:family w:val="auto"/>
    <w:pitch w:val="default"/>
    <w:sig w:usb0="00000000" w:usb1="00000000" w:usb2="00000002" w:usb3="00000000" w:csb0="00000007" w:csb1="00000000"/>
  </w:font>
  <w:font w:name="ヒラギノ角ゴ Pro W3">
    <w:altName w:val="MS Gothic"/>
    <w:panose1 w:val="00000000000000000000"/>
    <w:charset w:val="80"/>
    <w:family w:val="auto"/>
    <w:pitch w:val="default"/>
    <w:sig w:usb0="00000000" w:usb1="00000000" w:usb2="00000012" w:usb3="00000000" w:csb0="0002000D" w:csb1="00000000"/>
  </w:font>
  <w:font w:name="Cambria Bold">
    <w:altName w:val="Cambria"/>
    <w:panose1 w:val="02040803050406030204"/>
    <w:charset w:val="00"/>
    <w:family w:val="roman"/>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ˎ̥">
    <w:altName w:val="宋体"/>
    <w:panose1 w:val="00000000000000000000"/>
    <w:charset w:val="00"/>
    <w:family w:val="roman"/>
    <w:pitch w:val="default"/>
    <w:sig w:usb0="00000000" w:usb1="00000000" w:usb2="00000000" w:usb3="00000000" w:csb0="00040001"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E5DF8">
    <w:pPr>
      <w:pStyle w:val="19"/>
      <w:jc w:val="center"/>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8AE1E">
    <w:pPr>
      <w:snapToGrid w:val="0"/>
      <w:jc w:val="left"/>
      <w:rPr>
        <w:rFonts w:ascii="Times New Roman" w:hAnsi="Times New Roman" w:cs="Times New Roman"/>
        <w:sz w:val="18"/>
        <w:szCs w:val="18"/>
      </w:rPr>
    </w:pPr>
    <w:r>
      <w:rPr>
        <w:rFonts w:ascii="Times New Roman" w:hAnsi="Times New Roman" w:cs="Times New Roman"/>
        <w:sz w:val="18"/>
        <w:szCs w:val="18"/>
      </w:rPr>
      <mc:AlternateContent>
        <mc:Choice Requires="wps">
          <w:drawing>
            <wp:anchor distT="0" distB="0" distL="114300" distR="114300" simplePos="0" relativeHeight="251660288" behindDoc="0" locked="0" layoutInCell="1" allowOverlap="1">
              <wp:simplePos x="0" y="0"/>
              <wp:positionH relativeFrom="margin">
                <wp:posOffset>2501265</wp:posOffset>
              </wp:positionH>
              <wp:positionV relativeFrom="paragraph">
                <wp:posOffset>-495300</wp:posOffset>
              </wp:positionV>
              <wp:extent cx="974090" cy="643255"/>
              <wp:effectExtent l="0" t="0" r="0" b="0"/>
              <wp:wrapNone/>
              <wp:docPr id="1" name="文本框 1"/>
              <wp:cNvGraphicFramePr/>
              <a:graphic xmlns:a="http://schemas.openxmlformats.org/drawingml/2006/main">
                <a:graphicData uri="http://schemas.microsoft.com/office/word/2010/wordprocessingShape">
                  <wps:wsp>
                    <wps:cNvSpPr txBox="1"/>
                    <wps:spPr>
                      <a:xfrm>
                        <a:off x="0" y="0"/>
                        <a:ext cx="974090" cy="643255"/>
                      </a:xfrm>
                      <a:prstGeom prst="rect">
                        <a:avLst/>
                      </a:prstGeom>
                      <a:noFill/>
                      <a:ln w="15875">
                        <a:noFill/>
                      </a:ln>
                    </wps:spPr>
                    <wps:txbx>
                      <w:txbxContent>
                        <w:p w14:paraId="0473AAAA">
                          <w:pPr>
                            <w:snapToGrid w:val="0"/>
                            <w:rPr>
                              <w:rFonts w:ascii="Times New Roman" w:hAnsi="Times New Roman" w:cs="Times New Roman"/>
                              <w:sz w:val="18"/>
                              <w:szCs w:val="18"/>
                            </w:rPr>
                          </w:pPr>
                          <w:r>
                            <w:rPr>
                              <w:rFonts w:hint="eastAsia" w:ascii="Times New Roman" w:hAnsi="Times New Roman" w:cs="Times New Roman"/>
                              <w:sz w:val="18"/>
                              <w:szCs w:val="18"/>
                            </w:rPr>
                            <w:fldChar w:fldCharType="begin"/>
                          </w:r>
                          <w:r>
                            <w:rPr>
                              <w:rFonts w:hint="eastAsia" w:ascii="Times New Roman" w:hAnsi="Times New Roman" w:cs="Times New Roman"/>
                              <w:sz w:val="18"/>
                              <w:szCs w:val="18"/>
                            </w:rPr>
                            <w:instrText xml:space="preserve"> PAGE  \* MERGEFORMAT </w:instrText>
                          </w:r>
                          <w:r>
                            <w:rPr>
                              <w:rFonts w:hint="eastAsia" w:ascii="Times New Roman" w:hAnsi="Times New Roman" w:cs="Times New Roman"/>
                              <w:sz w:val="18"/>
                              <w:szCs w:val="18"/>
                            </w:rPr>
                            <w:fldChar w:fldCharType="separate"/>
                          </w:r>
                          <w:r>
                            <w:rPr>
                              <w:rFonts w:ascii="Times New Roman" w:hAnsi="Times New Roman" w:cs="Times New Roman"/>
                              <w:sz w:val="18"/>
                              <w:szCs w:val="18"/>
                            </w:rPr>
                            <w:t>45</w:t>
                          </w:r>
                          <w:r>
                            <w:rPr>
                              <w:rFonts w:hint="eastAsia" w:ascii="Times New Roman" w:hAnsi="Times New Roman" w:cs="Times New Roman"/>
                              <w:sz w:val="18"/>
                              <w:szCs w:val="18"/>
                            </w:rPr>
                            <w:fldChar w:fldCharType="end"/>
                          </w:r>
                        </w:p>
                      </w:txbxContent>
                    </wps:txbx>
                    <wps:bodyPr lIns="0" tIns="0" rIns="0" bIns="0"/>
                  </wps:wsp>
                </a:graphicData>
              </a:graphic>
            </wp:anchor>
          </w:drawing>
        </mc:Choice>
        <mc:Fallback>
          <w:pict>
            <v:shape id="_x0000_s1026" o:spid="_x0000_s1026" o:spt="202" type="#_x0000_t202" style="position:absolute;left:0pt;margin-left:196.95pt;margin-top:-39pt;height:50.65pt;width:76.7pt;mso-position-horizontal-relative:margin;z-index:251660288;mso-width-relative:page;mso-height-relative:page;" filled="f" stroked="f" coordsize="21600,21600" o:gfxdata="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Hef7G2QAAAAoBAAAPAAAAAAAAAAEAIAAAACIAAABkcnMvZG93bnJldi54bWxQ&#10;SwECFAAUAAAACACHTuJAHrBCBL0BAABvAwAADgAAAAAAAAABACAAAAAoAQAAZHJzL2Uyb0RvYy54&#10;bWxQSwUGAAAAAAYABgBZAQAAVwUAAAAA&#10;">
              <v:fill on="f" focussize="0,0"/>
              <v:stroke on="f" weight="1.25pt"/>
              <v:imagedata o:title=""/>
              <o:lock v:ext="edit" aspectratio="f"/>
              <v:textbox inset="0mm,0mm,0mm,0mm">
                <w:txbxContent>
                  <w:p w14:paraId="0473AAAA">
                    <w:pPr>
                      <w:snapToGrid w:val="0"/>
                      <w:rPr>
                        <w:rFonts w:ascii="Times New Roman" w:hAnsi="Times New Roman" w:cs="Times New Roman"/>
                        <w:sz w:val="18"/>
                        <w:szCs w:val="18"/>
                      </w:rPr>
                    </w:pPr>
                    <w:r>
                      <w:rPr>
                        <w:rFonts w:hint="eastAsia" w:ascii="Times New Roman" w:hAnsi="Times New Roman" w:cs="Times New Roman"/>
                        <w:sz w:val="18"/>
                        <w:szCs w:val="18"/>
                      </w:rPr>
                      <w:fldChar w:fldCharType="begin"/>
                    </w:r>
                    <w:r>
                      <w:rPr>
                        <w:rFonts w:hint="eastAsia" w:ascii="Times New Roman" w:hAnsi="Times New Roman" w:cs="Times New Roman"/>
                        <w:sz w:val="18"/>
                        <w:szCs w:val="18"/>
                      </w:rPr>
                      <w:instrText xml:space="preserve"> PAGE  \* MERGEFORMAT </w:instrText>
                    </w:r>
                    <w:r>
                      <w:rPr>
                        <w:rFonts w:hint="eastAsia" w:ascii="Times New Roman" w:hAnsi="Times New Roman" w:cs="Times New Roman"/>
                        <w:sz w:val="18"/>
                        <w:szCs w:val="18"/>
                      </w:rPr>
                      <w:fldChar w:fldCharType="separate"/>
                    </w:r>
                    <w:r>
                      <w:rPr>
                        <w:rFonts w:ascii="Times New Roman" w:hAnsi="Times New Roman" w:cs="Times New Roman"/>
                        <w:sz w:val="18"/>
                        <w:szCs w:val="18"/>
                      </w:rPr>
                      <w:t>45</w:t>
                    </w:r>
                    <w:r>
                      <w:rPr>
                        <w:rFonts w:hint="eastAsia" w:ascii="Times New Roman" w:hAnsi="Times New Roman" w:cs="Times New Roman"/>
                        <w:sz w:val="18"/>
                        <w:szCs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87F4D">
    <w:pPr>
      <w:pStyle w:val="19"/>
      <w:ind w:firstLine="211"/>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98</w:t>
    </w:r>
    <w:r>
      <w:rPr>
        <w:sz w:val="21"/>
        <w:szCs w:val="21"/>
      </w:rPr>
      <w:fldChar w:fldCharType="end"/>
    </w:r>
  </w:p>
  <w:p w14:paraId="49C7F312"/>
  <w:p w14:paraId="645C75E7"/>
  <w:p w14:paraId="5FF97EA0"/>
  <w:p w14:paraId="43BBE31F"/>
  <w:p w14:paraId="5F5920E4"/>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CEF8D">
    <w:pPr>
      <w:jc w:val="center"/>
    </w:pPr>
    <w:r>
      <w:rPr>
        <w:rFonts w:hint="eastAsia"/>
      </w:rPr>
      <w:drawing>
        <wp:inline distT="0" distB="0" distL="114300" distR="114300">
          <wp:extent cx="5905500" cy="676275"/>
          <wp:effectExtent l="0" t="0" r="0" b="9525"/>
          <wp:docPr id="59186792" name="图片 5918679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6792" name="图片 59186792" descr="图片1"/>
                  <pic:cNvPicPr>
                    <a:picLocks noChangeAspect="1"/>
                  </pic:cNvPicPr>
                </pic:nvPicPr>
                <pic:blipFill>
                  <a:blip r:embed="rId1"/>
                  <a:stretch>
                    <a:fillRect/>
                  </a:stretch>
                </pic:blipFill>
                <pic:spPr>
                  <a:xfrm>
                    <a:off x="0" y="0"/>
                    <a:ext cx="5905500" cy="67627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53F84">
    <w:pPr>
      <w:jc w:val="center"/>
    </w:pPr>
    <w:r>
      <w:rPr>
        <w:rFonts w:hint="eastAsia"/>
      </w:rPr>
      <w:drawing>
        <wp:inline distT="0" distB="0" distL="114300" distR="114300">
          <wp:extent cx="5905500" cy="676275"/>
          <wp:effectExtent l="0" t="0" r="0" b="9525"/>
          <wp:docPr id="429794384" name="图片 42979438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94384" name="图片 429794384" descr="图片1"/>
                  <pic:cNvPicPr>
                    <a:picLocks noChangeAspect="1"/>
                  </pic:cNvPicPr>
                </pic:nvPicPr>
                <pic:blipFill>
                  <a:blip r:embed="rId1"/>
                  <a:stretch>
                    <a:fillRect/>
                  </a:stretch>
                </pic:blipFill>
                <pic:spPr>
                  <a:xfrm>
                    <a:off x="0" y="0"/>
                    <a:ext cx="5905500" cy="67627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B887B6"/>
    <w:multiLevelType w:val="singleLevel"/>
    <w:tmpl w:val="ACB887B6"/>
    <w:lvl w:ilvl="0" w:tentative="0">
      <w:start w:val="1"/>
      <w:numFmt w:val="decimal"/>
      <w:lvlText w:val="(%1)"/>
      <w:lvlJc w:val="left"/>
      <w:pPr>
        <w:tabs>
          <w:tab w:val="left" w:pos="312"/>
        </w:tabs>
      </w:pPr>
    </w:lvl>
  </w:abstractNum>
  <w:abstractNum w:abstractNumId="1">
    <w:nsid w:val="FFFFFF7E"/>
    <w:multiLevelType w:val="singleLevel"/>
    <w:tmpl w:val="FFFFFF7E"/>
    <w:lvl w:ilvl="0" w:tentative="0">
      <w:start w:val="1"/>
      <w:numFmt w:val="decimal"/>
      <w:pStyle w:val="8"/>
      <w:lvlText w:val="%1."/>
      <w:lvlJc w:val="left"/>
      <w:pPr>
        <w:tabs>
          <w:tab w:val="left" w:pos="1200"/>
        </w:tabs>
        <w:ind w:left="1200" w:leftChars="400" w:hanging="360" w:hangingChars="200"/>
      </w:pPr>
    </w:lvl>
  </w:abstractNum>
  <w:abstractNum w:abstractNumId="2">
    <w:nsid w:val="FFFFFF7F"/>
    <w:multiLevelType w:val="singleLevel"/>
    <w:tmpl w:val="FFFFFF7F"/>
    <w:lvl w:ilvl="0" w:tentative="0">
      <w:start w:val="1"/>
      <w:numFmt w:val="decimal"/>
      <w:lvlText w:val="%1."/>
      <w:lvlJc w:val="left"/>
      <w:pPr>
        <w:tabs>
          <w:tab w:val="left" w:pos="780"/>
        </w:tabs>
        <w:ind w:left="780" w:leftChars="200" w:hanging="360" w:hangingChars="200"/>
      </w:pPr>
    </w:lvl>
  </w:abstractNum>
  <w:abstractNum w:abstractNumId="3">
    <w:nsid w:val="FFFFFF88"/>
    <w:multiLevelType w:val="singleLevel"/>
    <w:tmpl w:val="FFFFFF88"/>
    <w:lvl w:ilvl="0" w:tentative="0">
      <w:start w:val="1"/>
      <w:numFmt w:val="decimal"/>
      <w:lvlText w:val="%1."/>
      <w:lvlJc w:val="left"/>
      <w:pPr>
        <w:tabs>
          <w:tab w:val="left" w:pos="360"/>
        </w:tabs>
        <w:ind w:left="360" w:hanging="360" w:hangingChars="200"/>
      </w:pPr>
    </w:lvl>
  </w:abstractNum>
  <w:abstractNum w:abstractNumId="4">
    <w:nsid w:val="1C214DD7"/>
    <w:multiLevelType w:val="multilevel"/>
    <w:tmpl w:val="1C214DD7"/>
    <w:lvl w:ilvl="0" w:tentative="0">
      <w:start w:val="1"/>
      <w:numFmt w:val="chineseCountingThousand"/>
      <w:lvlText w:val="(%1)"/>
      <w:lvlJc w:val="left"/>
      <w:pPr>
        <w:ind w:left="935" w:hanging="440"/>
      </w:pPr>
    </w:lvl>
    <w:lvl w:ilvl="1" w:tentative="0">
      <w:start w:val="1"/>
      <w:numFmt w:val="lowerLetter"/>
      <w:lvlText w:val="%2)"/>
      <w:lvlJc w:val="left"/>
      <w:pPr>
        <w:ind w:left="1375" w:hanging="440"/>
      </w:pPr>
    </w:lvl>
    <w:lvl w:ilvl="2" w:tentative="0">
      <w:start w:val="1"/>
      <w:numFmt w:val="lowerRoman"/>
      <w:lvlText w:val="%3."/>
      <w:lvlJc w:val="right"/>
      <w:pPr>
        <w:ind w:left="1815" w:hanging="440"/>
      </w:pPr>
    </w:lvl>
    <w:lvl w:ilvl="3" w:tentative="0">
      <w:start w:val="1"/>
      <w:numFmt w:val="decimal"/>
      <w:lvlText w:val="%4."/>
      <w:lvlJc w:val="left"/>
      <w:pPr>
        <w:ind w:left="2255" w:hanging="440"/>
      </w:pPr>
    </w:lvl>
    <w:lvl w:ilvl="4" w:tentative="0">
      <w:start w:val="1"/>
      <w:numFmt w:val="lowerLetter"/>
      <w:lvlText w:val="%5)"/>
      <w:lvlJc w:val="left"/>
      <w:pPr>
        <w:ind w:left="2695" w:hanging="440"/>
      </w:pPr>
    </w:lvl>
    <w:lvl w:ilvl="5" w:tentative="0">
      <w:start w:val="1"/>
      <w:numFmt w:val="lowerRoman"/>
      <w:lvlText w:val="%6."/>
      <w:lvlJc w:val="right"/>
      <w:pPr>
        <w:ind w:left="3135" w:hanging="440"/>
      </w:pPr>
    </w:lvl>
    <w:lvl w:ilvl="6" w:tentative="0">
      <w:start w:val="1"/>
      <w:numFmt w:val="decimal"/>
      <w:lvlText w:val="%7."/>
      <w:lvlJc w:val="left"/>
      <w:pPr>
        <w:ind w:left="3575" w:hanging="440"/>
      </w:pPr>
    </w:lvl>
    <w:lvl w:ilvl="7" w:tentative="0">
      <w:start w:val="1"/>
      <w:numFmt w:val="lowerLetter"/>
      <w:lvlText w:val="%8)"/>
      <w:lvlJc w:val="left"/>
      <w:pPr>
        <w:ind w:left="4015" w:hanging="440"/>
      </w:pPr>
    </w:lvl>
    <w:lvl w:ilvl="8" w:tentative="0">
      <w:start w:val="1"/>
      <w:numFmt w:val="lowerRoman"/>
      <w:lvlText w:val="%9."/>
      <w:lvlJc w:val="right"/>
      <w:pPr>
        <w:ind w:left="4455" w:hanging="44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yMzY5NWQ1ODliZTBkZGU1M2NmOTVhMGFiMjFkOWQifQ=="/>
  </w:docVars>
  <w:rsids>
    <w:rsidRoot w:val="0035197B"/>
    <w:rsid w:val="0001104B"/>
    <w:rsid w:val="000275B5"/>
    <w:rsid w:val="000336BE"/>
    <w:rsid w:val="00035237"/>
    <w:rsid w:val="00040EC8"/>
    <w:rsid w:val="00047F16"/>
    <w:rsid w:val="000509DE"/>
    <w:rsid w:val="000523D8"/>
    <w:rsid w:val="0005798E"/>
    <w:rsid w:val="00060EF1"/>
    <w:rsid w:val="00063BA5"/>
    <w:rsid w:val="00076A27"/>
    <w:rsid w:val="000838BE"/>
    <w:rsid w:val="0008442A"/>
    <w:rsid w:val="00084B40"/>
    <w:rsid w:val="000856B1"/>
    <w:rsid w:val="000865C0"/>
    <w:rsid w:val="00087A12"/>
    <w:rsid w:val="00087A69"/>
    <w:rsid w:val="000B1AB1"/>
    <w:rsid w:val="000B47DF"/>
    <w:rsid w:val="000B5E28"/>
    <w:rsid w:val="000C0227"/>
    <w:rsid w:val="000D4E16"/>
    <w:rsid w:val="000D5EED"/>
    <w:rsid w:val="000E1817"/>
    <w:rsid w:val="000E48E4"/>
    <w:rsid w:val="00100FF8"/>
    <w:rsid w:val="00101FB6"/>
    <w:rsid w:val="00105FE8"/>
    <w:rsid w:val="001101B8"/>
    <w:rsid w:val="00111624"/>
    <w:rsid w:val="0011554B"/>
    <w:rsid w:val="00135905"/>
    <w:rsid w:val="0013771E"/>
    <w:rsid w:val="00140262"/>
    <w:rsid w:val="0014319F"/>
    <w:rsid w:val="00152F7D"/>
    <w:rsid w:val="00155438"/>
    <w:rsid w:val="00165BE9"/>
    <w:rsid w:val="00175059"/>
    <w:rsid w:val="0017776E"/>
    <w:rsid w:val="0018113A"/>
    <w:rsid w:val="00181F0E"/>
    <w:rsid w:val="00185494"/>
    <w:rsid w:val="00185DAE"/>
    <w:rsid w:val="0019618D"/>
    <w:rsid w:val="001A02BC"/>
    <w:rsid w:val="001A20CA"/>
    <w:rsid w:val="001A71F4"/>
    <w:rsid w:val="001B6A2B"/>
    <w:rsid w:val="001C1E63"/>
    <w:rsid w:val="001D5DA2"/>
    <w:rsid w:val="001E3835"/>
    <w:rsid w:val="001E4154"/>
    <w:rsid w:val="001F7695"/>
    <w:rsid w:val="00214668"/>
    <w:rsid w:val="00215143"/>
    <w:rsid w:val="0021524B"/>
    <w:rsid w:val="00215824"/>
    <w:rsid w:val="00216C31"/>
    <w:rsid w:val="0023200E"/>
    <w:rsid w:val="00232E27"/>
    <w:rsid w:val="0024062D"/>
    <w:rsid w:val="00252BBD"/>
    <w:rsid w:val="00256B2D"/>
    <w:rsid w:val="00263735"/>
    <w:rsid w:val="0026429E"/>
    <w:rsid w:val="00266409"/>
    <w:rsid w:val="00283588"/>
    <w:rsid w:val="002871C9"/>
    <w:rsid w:val="002877B8"/>
    <w:rsid w:val="002B4786"/>
    <w:rsid w:val="002C38A0"/>
    <w:rsid w:val="002C3F92"/>
    <w:rsid w:val="002C67D3"/>
    <w:rsid w:val="002D795F"/>
    <w:rsid w:val="002E3481"/>
    <w:rsid w:val="002F0514"/>
    <w:rsid w:val="002F0873"/>
    <w:rsid w:val="002F5175"/>
    <w:rsid w:val="002F7386"/>
    <w:rsid w:val="00302F39"/>
    <w:rsid w:val="003072B1"/>
    <w:rsid w:val="00312253"/>
    <w:rsid w:val="00321DDC"/>
    <w:rsid w:val="00323042"/>
    <w:rsid w:val="00325E65"/>
    <w:rsid w:val="00330AEB"/>
    <w:rsid w:val="0033543C"/>
    <w:rsid w:val="0035197B"/>
    <w:rsid w:val="00356C2D"/>
    <w:rsid w:val="00370738"/>
    <w:rsid w:val="00370ADF"/>
    <w:rsid w:val="00382063"/>
    <w:rsid w:val="003870B2"/>
    <w:rsid w:val="00391951"/>
    <w:rsid w:val="00397638"/>
    <w:rsid w:val="003B2B77"/>
    <w:rsid w:val="003C2C3B"/>
    <w:rsid w:val="003D08C7"/>
    <w:rsid w:val="003D3B73"/>
    <w:rsid w:val="003E0C6C"/>
    <w:rsid w:val="003E2642"/>
    <w:rsid w:val="00404E1B"/>
    <w:rsid w:val="00450C4A"/>
    <w:rsid w:val="00454FC4"/>
    <w:rsid w:val="00460820"/>
    <w:rsid w:val="00477EBD"/>
    <w:rsid w:val="0049315D"/>
    <w:rsid w:val="00494ECD"/>
    <w:rsid w:val="004A1C0E"/>
    <w:rsid w:val="004B1E8E"/>
    <w:rsid w:val="004B7FB3"/>
    <w:rsid w:val="004C0BDE"/>
    <w:rsid w:val="004C1947"/>
    <w:rsid w:val="004D0D9F"/>
    <w:rsid w:val="004D4B5A"/>
    <w:rsid w:val="004D59ED"/>
    <w:rsid w:val="004D7A7B"/>
    <w:rsid w:val="004F0CB1"/>
    <w:rsid w:val="004F7F33"/>
    <w:rsid w:val="005057BE"/>
    <w:rsid w:val="00530F87"/>
    <w:rsid w:val="00543D6A"/>
    <w:rsid w:val="0055045F"/>
    <w:rsid w:val="00581AEA"/>
    <w:rsid w:val="00592AF5"/>
    <w:rsid w:val="00594BBA"/>
    <w:rsid w:val="00594F9C"/>
    <w:rsid w:val="00596CE2"/>
    <w:rsid w:val="00597CE4"/>
    <w:rsid w:val="005A7F23"/>
    <w:rsid w:val="005B142B"/>
    <w:rsid w:val="005D5CBB"/>
    <w:rsid w:val="005E0425"/>
    <w:rsid w:val="005E27D0"/>
    <w:rsid w:val="005E44F1"/>
    <w:rsid w:val="005E680C"/>
    <w:rsid w:val="005F236B"/>
    <w:rsid w:val="005F5B44"/>
    <w:rsid w:val="005F5DEF"/>
    <w:rsid w:val="00605C23"/>
    <w:rsid w:val="006240A4"/>
    <w:rsid w:val="00626610"/>
    <w:rsid w:val="00626C54"/>
    <w:rsid w:val="006500FA"/>
    <w:rsid w:val="006543E8"/>
    <w:rsid w:val="00655FF5"/>
    <w:rsid w:val="006565F0"/>
    <w:rsid w:val="006607AD"/>
    <w:rsid w:val="006639E9"/>
    <w:rsid w:val="006733B3"/>
    <w:rsid w:val="00674DB6"/>
    <w:rsid w:val="00681924"/>
    <w:rsid w:val="00694420"/>
    <w:rsid w:val="006A206A"/>
    <w:rsid w:val="006B0046"/>
    <w:rsid w:val="006B0EB5"/>
    <w:rsid w:val="006C5779"/>
    <w:rsid w:val="006E6002"/>
    <w:rsid w:val="00713433"/>
    <w:rsid w:val="007205D8"/>
    <w:rsid w:val="00723439"/>
    <w:rsid w:val="00742B14"/>
    <w:rsid w:val="00746E6D"/>
    <w:rsid w:val="00752A45"/>
    <w:rsid w:val="00764E56"/>
    <w:rsid w:val="0077000C"/>
    <w:rsid w:val="00772D0E"/>
    <w:rsid w:val="007817C8"/>
    <w:rsid w:val="00787A91"/>
    <w:rsid w:val="00787F1B"/>
    <w:rsid w:val="00792093"/>
    <w:rsid w:val="007A67A8"/>
    <w:rsid w:val="007A6B2F"/>
    <w:rsid w:val="007B71AC"/>
    <w:rsid w:val="007D4FE5"/>
    <w:rsid w:val="007E24D2"/>
    <w:rsid w:val="007E6DC4"/>
    <w:rsid w:val="007F20BD"/>
    <w:rsid w:val="007F4ADC"/>
    <w:rsid w:val="00810815"/>
    <w:rsid w:val="00811C21"/>
    <w:rsid w:val="00813E3D"/>
    <w:rsid w:val="00825F3D"/>
    <w:rsid w:val="00832F3A"/>
    <w:rsid w:val="00845A89"/>
    <w:rsid w:val="0085109B"/>
    <w:rsid w:val="00855401"/>
    <w:rsid w:val="0087016D"/>
    <w:rsid w:val="008747E2"/>
    <w:rsid w:val="008772E5"/>
    <w:rsid w:val="00881DBE"/>
    <w:rsid w:val="008905B2"/>
    <w:rsid w:val="008956C4"/>
    <w:rsid w:val="008A1CC3"/>
    <w:rsid w:val="008A5726"/>
    <w:rsid w:val="008B29CD"/>
    <w:rsid w:val="008B3B2C"/>
    <w:rsid w:val="008B6ECA"/>
    <w:rsid w:val="008C0F5C"/>
    <w:rsid w:val="008D6327"/>
    <w:rsid w:val="008E1288"/>
    <w:rsid w:val="00905E8E"/>
    <w:rsid w:val="00913E41"/>
    <w:rsid w:val="00930D8B"/>
    <w:rsid w:val="00931FCE"/>
    <w:rsid w:val="009429A3"/>
    <w:rsid w:val="00942A1F"/>
    <w:rsid w:val="009510F5"/>
    <w:rsid w:val="00961336"/>
    <w:rsid w:val="009639D1"/>
    <w:rsid w:val="0096732E"/>
    <w:rsid w:val="009675F7"/>
    <w:rsid w:val="00974472"/>
    <w:rsid w:val="009864BB"/>
    <w:rsid w:val="0099113E"/>
    <w:rsid w:val="009A06C1"/>
    <w:rsid w:val="009A2935"/>
    <w:rsid w:val="009A29CC"/>
    <w:rsid w:val="009A7D7C"/>
    <w:rsid w:val="009C02E6"/>
    <w:rsid w:val="009C7E78"/>
    <w:rsid w:val="009E2016"/>
    <w:rsid w:val="009E2DD0"/>
    <w:rsid w:val="009E30C1"/>
    <w:rsid w:val="009E6894"/>
    <w:rsid w:val="00A03752"/>
    <w:rsid w:val="00A11CD5"/>
    <w:rsid w:val="00A2083E"/>
    <w:rsid w:val="00A2354A"/>
    <w:rsid w:val="00A33F4A"/>
    <w:rsid w:val="00A449B7"/>
    <w:rsid w:val="00A44F25"/>
    <w:rsid w:val="00A454C1"/>
    <w:rsid w:val="00A545E9"/>
    <w:rsid w:val="00A570E3"/>
    <w:rsid w:val="00A81554"/>
    <w:rsid w:val="00A86BED"/>
    <w:rsid w:val="00A91679"/>
    <w:rsid w:val="00A91AC5"/>
    <w:rsid w:val="00A92132"/>
    <w:rsid w:val="00A94DDE"/>
    <w:rsid w:val="00AB3577"/>
    <w:rsid w:val="00AB51AE"/>
    <w:rsid w:val="00AC1A95"/>
    <w:rsid w:val="00AC7948"/>
    <w:rsid w:val="00AE2412"/>
    <w:rsid w:val="00AE592F"/>
    <w:rsid w:val="00AE5F71"/>
    <w:rsid w:val="00AE7589"/>
    <w:rsid w:val="00AF591C"/>
    <w:rsid w:val="00B004AC"/>
    <w:rsid w:val="00B31D3D"/>
    <w:rsid w:val="00B46DB3"/>
    <w:rsid w:val="00B52488"/>
    <w:rsid w:val="00B67293"/>
    <w:rsid w:val="00B71C8D"/>
    <w:rsid w:val="00B763CA"/>
    <w:rsid w:val="00B86123"/>
    <w:rsid w:val="00B91FF7"/>
    <w:rsid w:val="00B92FC6"/>
    <w:rsid w:val="00B95BBD"/>
    <w:rsid w:val="00B95C18"/>
    <w:rsid w:val="00B967B2"/>
    <w:rsid w:val="00B9740B"/>
    <w:rsid w:val="00BA0249"/>
    <w:rsid w:val="00BA02D4"/>
    <w:rsid w:val="00BB2B24"/>
    <w:rsid w:val="00BB31A4"/>
    <w:rsid w:val="00BC2E33"/>
    <w:rsid w:val="00BC7D6B"/>
    <w:rsid w:val="00BD007E"/>
    <w:rsid w:val="00BD0AA5"/>
    <w:rsid w:val="00BD5E66"/>
    <w:rsid w:val="00BD7D80"/>
    <w:rsid w:val="00BE3516"/>
    <w:rsid w:val="00C001EA"/>
    <w:rsid w:val="00C03192"/>
    <w:rsid w:val="00C064D9"/>
    <w:rsid w:val="00C2442D"/>
    <w:rsid w:val="00C245DB"/>
    <w:rsid w:val="00C44792"/>
    <w:rsid w:val="00C51003"/>
    <w:rsid w:val="00C51431"/>
    <w:rsid w:val="00C66AF9"/>
    <w:rsid w:val="00C73367"/>
    <w:rsid w:val="00C766F5"/>
    <w:rsid w:val="00C81FED"/>
    <w:rsid w:val="00C84597"/>
    <w:rsid w:val="00C916A4"/>
    <w:rsid w:val="00C91EC2"/>
    <w:rsid w:val="00C94DA7"/>
    <w:rsid w:val="00C96D8A"/>
    <w:rsid w:val="00C97794"/>
    <w:rsid w:val="00CB6735"/>
    <w:rsid w:val="00CC0E27"/>
    <w:rsid w:val="00CC229E"/>
    <w:rsid w:val="00CE7806"/>
    <w:rsid w:val="00CE7C67"/>
    <w:rsid w:val="00D00DFD"/>
    <w:rsid w:val="00D10A65"/>
    <w:rsid w:val="00D15E96"/>
    <w:rsid w:val="00D16917"/>
    <w:rsid w:val="00D24582"/>
    <w:rsid w:val="00D322DA"/>
    <w:rsid w:val="00D47141"/>
    <w:rsid w:val="00D648FF"/>
    <w:rsid w:val="00D7208F"/>
    <w:rsid w:val="00D73B59"/>
    <w:rsid w:val="00D82F60"/>
    <w:rsid w:val="00D84757"/>
    <w:rsid w:val="00D96544"/>
    <w:rsid w:val="00D9733D"/>
    <w:rsid w:val="00D97ECD"/>
    <w:rsid w:val="00DA31CC"/>
    <w:rsid w:val="00DB5768"/>
    <w:rsid w:val="00DB66DE"/>
    <w:rsid w:val="00DB6FCF"/>
    <w:rsid w:val="00DC2571"/>
    <w:rsid w:val="00DD6833"/>
    <w:rsid w:val="00DE0C5F"/>
    <w:rsid w:val="00DE2629"/>
    <w:rsid w:val="00DF38C7"/>
    <w:rsid w:val="00E0373F"/>
    <w:rsid w:val="00E10009"/>
    <w:rsid w:val="00E11154"/>
    <w:rsid w:val="00E24E35"/>
    <w:rsid w:val="00E25509"/>
    <w:rsid w:val="00E27F2F"/>
    <w:rsid w:val="00E27F5D"/>
    <w:rsid w:val="00E35518"/>
    <w:rsid w:val="00E36355"/>
    <w:rsid w:val="00E46EC2"/>
    <w:rsid w:val="00E52B31"/>
    <w:rsid w:val="00E65248"/>
    <w:rsid w:val="00E73F4C"/>
    <w:rsid w:val="00E7586A"/>
    <w:rsid w:val="00E8510B"/>
    <w:rsid w:val="00E976E1"/>
    <w:rsid w:val="00EA66E8"/>
    <w:rsid w:val="00EC091A"/>
    <w:rsid w:val="00EC4ED9"/>
    <w:rsid w:val="00ED1230"/>
    <w:rsid w:val="00ED577F"/>
    <w:rsid w:val="00ED5C6E"/>
    <w:rsid w:val="00EE2DCF"/>
    <w:rsid w:val="00EE6DC2"/>
    <w:rsid w:val="00EF1D5C"/>
    <w:rsid w:val="00F112EE"/>
    <w:rsid w:val="00F156DB"/>
    <w:rsid w:val="00F3383F"/>
    <w:rsid w:val="00F37D63"/>
    <w:rsid w:val="00F43A4F"/>
    <w:rsid w:val="00F52652"/>
    <w:rsid w:val="00F866F9"/>
    <w:rsid w:val="00F927C0"/>
    <w:rsid w:val="00F95A74"/>
    <w:rsid w:val="00F9769F"/>
    <w:rsid w:val="00FA3106"/>
    <w:rsid w:val="00FA4778"/>
    <w:rsid w:val="00FA4978"/>
    <w:rsid w:val="00FB73FE"/>
    <w:rsid w:val="00FC2099"/>
    <w:rsid w:val="00FC6242"/>
    <w:rsid w:val="00FC669A"/>
    <w:rsid w:val="00FD14BC"/>
    <w:rsid w:val="00FD175D"/>
    <w:rsid w:val="00FD2264"/>
    <w:rsid w:val="00FD2C1D"/>
    <w:rsid w:val="00FF1D93"/>
    <w:rsid w:val="00FF3347"/>
    <w:rsid w:val="00FF5C84"/>
    <w:rsid w:val="02912A07"/>
    <w:rsid w:val="02F36971"/>
    <w:rsid w:val="04977E91"/>
    <w:rsid w:val="05114EE3"/>
    <w:rsid w:val="05A446DE"/>
    <w:rsid w:val="070D46CE"/>
    <w:rsid w:val="073E1402"/>
    <w:rsid w:val="087419B2"/>
    <w:rsid w:val="0AA2297C"/>
    <w:rsid w:val="0C1E2A75"/>
    <w:rsid w:val="0C802CE0"/>
    <w:rsid w:val="0D39125D"/>
    <w:rsid w:val="117A4CA7"/>
    <w:rsid w:val="11E673C6"/>
    <w:rsid w:val="14385785"/>
    <w:rsid w:val="1942304B"/>
    <w:rsid w:val="19A16159"/>
    <w:rsid w:val="1E521269"/>
    <w:rsid w:val="1EC40E90"/>
    <w:rsid w:val="1FB738B4"/>
    <w:rsid w:val="28DF3BE7"/>
    <w:rsid w:val="29114058"/>
    <w:rsid w:val="2A4F678A"/>
    <w:rsid w:val="2D04177A"/>
    <w:rsid w:val="2E087E33"/>
    <w:rsid w:val="31181BA1"/>
    <w:rsid w:val="321512AC"/>
    <w:rsid w:val="332E1F71"/>
    <w:rsid w:val="35C60E4A"/>
    <w:rsid w:val="36001DA7"/>
    <w:rsid w:val="3737254A"/>
    <w:rsid w:val="3C7F448B"/>
    <w:rsid w:val="3C834E15"/>
    <w:rsid w:val="3DC71AB6"/>
    <w:rsid w:val="3EF318AB"/>
    <w:rsid w:val="3F6C3481"/>
    <w:rsid w:val="40646634"/>
    <w:rsid w:val="434703D0"/>
    <w:rsid w:val="473A2575"/>
    <w:rsid w:val="4A604D1E"/>
    <w:rsid w:val="4AD41724"/>
    <w:rsid w:val="4BA31C4F"/>
    <w:rsid w:val="4C5632AF"/>
    <w:rsid w:val="4F732AC8"/>
    <w:rsid w:val="55DC34C5"/>
    <w:rsid w:val="57B65B66"/>
    <w:rsid w:val="57DF2E42"/>
    <w:rsid w:val="5A6A7E2E"/>
    <w:rsid w:val="5CCF2FB3"/>
    <w:rsid w:val="5D2863C7"/>
    <w:rsid w:val="5E4B4B1A"/>
    <w:rsid w:val="606D40ED"/>
    <w:rsid w:val="60A45A55"/>
    <w:rsid w:val="64677CEB"/>
    <w:rsid w:val="651D367F"/>
    <w:rsid w:val="66DE43EE"/>
    <w:rsid w:val="66FE2995"/>
    <w:rsid w:val="68354055"/>
    <w:rsid w:val="69DD3507"/>
    <w:rsid w:val="6B4F0258"/>
    <w:rsid w:val="6B564308"/>
    <w:rsid w:val="6CF66663"/>
    <w:rsid w:val="6FE52410"/>
    <w:rsid w:val="70333CAF"/>
    <w:rsid w:val="75462D3B"/>
    <w:rsid w:val="77070218"/>
    <w:rsid w:val="7A977FEB"/>
    <w:rsid w:val="7B147763"/>
    <w:rsid w:val="7DB825BA"/>
    <w:rsid w:val="7F2A63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nhideWhenUsed="0" w:uiPriority="0" w:semiHidden="0" w:name="heading 4"/>
    <w:lsdException w:qFormat="1" w:unhideWhenUsed="0" w:uiPriority="0"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qFormat="1" w:unhideWhenUsed="0" w:uiPriority="0" w:semiHidden="0"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宋体" w:hAnsi="宋体" w:eastAsia="宋体" w:cs="宋体"/>
      <w:kern w:val="2"/>
      <w:sz w:val="24"/>
      <w:szCs w:val="24"/>
      <w:lang w:val="en-US" w:eastAsia="zh-CN" w:bidi="ar-SA"/>
    </w:rPr>
  </w:style>
  <w:style w:type="paragraph" w:styleId="2">
    <w:name w:val="heading 1"/>
    <w:basedOn w:val="1"/>
    <w:next w:val="1"/>
    <w:link w:val="55"/>
    <w:autoRedefine/>
    <w:qFormat/>
    <w:uiPriority w:val="0"/>
    <w:pPr>
      <w:keepNext/>
      <w:keepLines/>
      <w:spacing w:before="340" w:after="330" w:line="578" w:lineRule="auto"/>
      <w:outlineLvl w:val="0"/>
    </w:pPr>
    <w:rPr>
      <w:rFonts w:ascii="Times New Roman" w:hAnsi="Times New Roman" w:cs="Times New Roman"/>
      <w:kern w:val="44"/>
      <w:sz w:val="44"/>
      <w:szCs w:val="44"/>
    </w:rPr>
  </w:style>
  <w:style w:type="paragraph" w:styleId="3">
    <w:name w:val="heading 2"/>
    <w:basedOn w:val="1"/>
    <w:next w:val="1"/>
    <w:link w:val="56"/>
    <w:autoRedefine/>
    <w:qFormat/>
    <w:uiPriority w:val="0"/>
    <w:pPr>
      <w:keepNext/>
      <w:keepLines/>
      <w:spacing w:before="260" w:after="260" w:line="416" w:lineRule="auto"/>
      <w:outlineLvl w:val="1"/>
    </w:pPr>
    <w:rPr>
      <w:rFonts w:ascii="Cambria" w:hAnsi="Cambria" w:cs="Times New Roman"/>
      <w:b/>
      <w:bCs/>
      <w:sz w:val="32"/>
      <w:szCs w:val="32"/>
    </w:rPr>
  </w:style>
  <w:style w:type="paragraph" w:styleId="4">
    <w:name w:val="heading 3"/>
    <w:basedOn w:val="1"/>
    <w:next w:val="1"/>
    <w:autoRedefine/>
    <w:unhideWhenUsed/>
    <w:qFormat/>
    <w:uiPriority w:val="9"/>
    <w:pPr>
      <w:keepNext/>
      <w:keepLines/>
      <w:spacing w:before="260" w:after="260" w:line="413" w:lineRule="auto"/>
      <w:outlineLvl w:val="2"/>
    </w:pPr>
    <w:rPr>
      <w:b/>
      <w:sz w:val="32"/>
    </w:rPr>
  </w:style>
  <w:style w:type="paragraph" w:styleId="5">
    <w:name w:val="heading 4"/>
    <w:basedOn w:val="1"/>
    <w:next w:val="1"/>
    <w:link w:val="57"/>
    <w:autoRedefine/>
    <w:qFormat/>
    <w:uiPriority w:val="0"/>
    <w:pPr>
      <w:keepNext/>
      <w:keepLines/>
      <w:numPr>
        <w:ilvl w:val="3"/>
        <w:numId w:val="1"/>
      </w:numPr>
      <w:tabs>
        <w:tab w:val="left" w:pos="360"/>
        <w:tab w:val="left" w:pos="864"/>
      </w:tabs>
      <w:spacing w:before="280" w:after="290" w:line="376" w:lineRule="auto"/>
      <w:outlineLvl w:val="3"/>
    </w:pPr>
    <w:rPr>
      <w:rFonts w:ascii="Arial" w:hAnsi="Arial" w:eastAsia="黑体" w:cs="Times New Roman"/>
      <w:b/>
      <w:bCs/>
      <w:sz w:val="28"/>
      <w:szCs w:val="28"/>
    </w:rPr>
  </w:style>
  <w:style w:type="paragraph" w:styleId="6">
    <w:name w:val="heading 5"/>
    <w:basedOn w:val="1"/>
    <w:next w:val="1"/>
    <w:link w:val="58"/>
    <w:autoRedefine/>
    <w:qFormat/>
    <w:uiPriority w:val="0"/>
    <w:pPr>
      <w:keepNext/>
      <w:keepLines/>
      <w:numPr>
        <w:ilvl w:val="4"/>
        <w:numId w:val="2"/>
      </w:numPr>
      <w:tabs>
        <w:tab w:val="left" w:pos="780"/>
      </w:tabs>
      <w:spacing w:before="280" w:after="290" w:line="376" w:lineRule="auto"/>
      <w:outlineLvl w:val="4"/>
    </w:pPr>
    <w:rPr>
      <w:rFonts w:ascii="Times New Roman" w:hAnsi="Times New Roman" w:cs="Times New Roman"/>
      <w:b/>
      <w:bCs/>
      <w:sz w:val="28"/>
      <w:szCs w:val="28"/>
    </w:rPr>
  </w:style>
  <w:style w:type="paragraph" w:styleId="7">
    <w:name w:val="heading 6"/>
    <w:basedOn w:val="1"/>
    <w:next w:val="1"/>
    <w:autoRedefine/>
    <w:unhideWhenUsed/>
    <w:qFormat/>
    <w:uiPriority w:val="9"/>
    <w:pPr>
      <w:keepNext/>
      <w:keepLines/>
      <w:spacing w:before="240" w:after="64" w:line="317" w:lineRule="auto"/>
      <w:outlineLvl w:val="5"/>
    </w:pPr>
    <w:rPr>
      <w:rFonts w:ascii="Arial" w:hAnsi="Arial" w:eastAsia="黑体"/>
      <w:b/>
    </w:rPr>
  </w:style>
  <w:style w:type="character" w:default="1" w:styleId="33">
    <w:name w:val="Default Paragraph Font"/>
    <w:semiHidden/>
    <w:unhideWhenUsed/>
    <w:qFormat/>
    <w:uiPriority w:val="1"/>
  </w:style>
  <w:style w:type="table" w:default="1" w:styleId="31">
    <w:name w:val="Normal Table"/>
    <w:semiHidden/>
    <w:unhideWhenUsed/>
    <w:uiPriority w:val="99"/>
    <w:tblPr>
      <w:tblCellMar>
        <w:top w:w="0" w:type="dxa"/>
        <w:left w:w="108" w:type="dxa"/>
        <w:bottom w:w="0" w:type="dxa"/>
        <w:right w:w="108" w:type="dxa"/>
      </w:tblCellMar>
    </w:tblPr>
  </w:style>
  <w:style w:type="paragraph" w:styleId="8">
    <w:name w:val="List Number"/>
    <w:basedOn w:val="1"/>
    <w:autoRedefine/>
    <w:qFormat/>
    <w:uiPriority w:val="0"/>
    <w:pPr>
      <w:widowControl/>
      <w:numPr>
        <w:ilvl w:val="0"/>
        <w:numId w:val="3"/>
      </w:numPr>
      <w:tabs>
        <w:tab w:val="left" w:pos="454"/>
      </w:tabs>
      <w:spacing w:after="156" w:afterLines="50"/>
      <w:ind w:left="454" w:hanging="284"/>
      <w:jc w:val="left"/>
    </w:pPr>
    <w:rPr>
      <w:rFonts w:ascii="Times New Roman" w:hAnsi="Times New Roman" w:cs="Times New Roman"/>
      <w:kern w:val="0"/>
      <w:szCs w:val="20"/>
    </w:rPr>
  </w:style>
  <w:style w:type="paragraph" w:styleId="9">
    <w:name w:val="Normal Indent"/>
    <w:basedOn w:val="1"/>
    <w:next w:val="1"/>
    <w:link w:val="59"/>
    <w:autoRedefine/>
    <w:qFormat/>
    <w:uiPriority w:val="0"/>
    <w:pPr>
      <w:ind w:firstLine="420"/>
    </w:pPr>
    <w:rPr>
      <w:rFonts w:ascii="Times New Roman" w:hAnsi="Times New Roman" w:cs="Times New Roman"/>
      <w:sz w:val="21"/>
      <w:szCs w:val="20"/>
    </w:rPr>
  </w:style>
  <w:style w:type="paragraph" w:styleId="10">
    <w:name w:val="caption"/>
    <w:basedOn w:val="1"/>
    <w:next w:val="1"/>
    <w:autoRedefine/>
    <w:qFormat/>
    <w:uiPriority w:val="0"/>
    <w:pPr>
      <w:spacing w:before="152" w:after="160"/>
    </w:pPr>
    <w:rPr>
      <w:rFonts w:ascii="Arial" w:hAnsi="Arial" w:eastAsia="黑体" w:cs="Arial"/>
      <w:sz w:val="20"/>
      <w:szCs w:val="20"/>
    </w:rPr>
  </w:style>
  <w:style w:type="paragraph" w:styleId="11">
    <w:name w:val="annotation text"/>
    <w:basedOn w:val="1"/>
    <w:link w:val="41"/>
    <w:autoRedefine/>
    <w:unhideWhenUsed/>
    <w:qFormat/>
    <w:uiPriority w:val="0"/>
    <w:pPr>
      <w:jc w:val="left"/>
    </w:pPr>
    <w:rPr>
      <w:rFonts w:ascii="Times New Roman" w:hAnsi="Times New Roman" w:cs="Times New Roman"/>
      <w:sz w:val="28"/>
    </w:rPr>
  </w:style>
  <w:style w:type="paragraph" w:styleId="12">
    <w:name w:val="Body Text"/>
    <w:basedOn w:val="1"/>
    <w:link w:val="53"/>
    <w:autoRedefine/>
    <w:qFormat/>
    <w:uiPriority w:val="0"/>
    <w:pPr>
      <w:spacing w:after="120"/>
    </w:pPr>
  </w:style>
  <w:style w:type="paragraph" w:styleId="13">
    <w:name w:val="Body Text Indent"/>
    <w:basedOn w:val="1"/>
    <w:link w:val="44"/>
    <w:autoRedefine/>
    <w:qFormat/>
    <w:uiPriority w:val="0"/>
    <w:pPr>
      <w:spacing w:line="200" w:lineRule="atLeast"/>
      <w:ind w:firstLine="301"/>
    </w:pPr>
    <w:rPr>
      <w:rFonts w:hAnsi="Courier New" w:cs="Times New Roman"/>
      <w:spacing w:val="-4"/>
      <w:sz w:val="18"/>
      <w:szCs w:val="20"/>
    </w:rPr>
  </w:style>
  <w:style w:type="paragraph" w:styleId="14">
    <w:name w:val="List 2"/>
    <w:basedOn w:val="1"/>
    <w:autoRedefine/>
    <w:qFormat/>
    <w:uiPriority w:val="0"/>
    <w:pPr>
      <w:ind w:left="100" w:leftChars="200" w:hanging="200" w:hangingChars="200"/>
      <w:contextualSpacing/>
    </w:pPr>
    <w:rPr>
      <w:rFonts w:ascii="Times New Roman" w:hAnsi="Times New Roman" w:cs="Times New Roman"/>
      <w:sz w:val="28"/>
    </w:rPr>
  </w:style>
  <w:style w:type="paragraph" w:styleId="15">
    <w:name w:val="Block Text"/>
    <w:basedOn w:val="1"/>
    <w:autoRedefine/>
    <w:qFormat/>
    <w:uiPriority w:val="0"/>
    <w:pPr>
      <w:spacing w:after="120"/>
      <w:ind w:left="1440" w:leftChars="700" w:right="1440" w:rightChars="700"/>
    </w:pPr>
    <w:rPr>
      <w:rFonts w:ascii="Times New Roman" w:hAnsi="Times New Roman" w:cs="Times New Roman"/>
      <w:sz w:val="28"/>
    </w:rPr>
  </w:style>
  <w:style w:type="paragraph" w:styleId="16">
    <w:name w:val="Plain Text"/>
    <w:basedOn w:val="1"/>
    <w:link w:val="54"/>
    <w:autoRedefine/>
    <w:unhideWhenUsed/>
    <w:qFormat/>
    <w:uiPriority w:val="0"/>
    <w:rPr>
      <w:rFonts w:hAnsi="Courier New" w:cs="Courier New" w:asciiTheme="minorEastAsia" w:eastAsiaTheme="minorEastAsia"/>
    </w:rPr>
  </w:style>
  <w:style w:type="paragraph" w:styleId="17">
    <w:name w:val="Date"/>
    <w:basedOn w:val="1"/>
    <w:next w:val="1"/>
    <w:link w:val="62"/>
    <w:autoRedefine/>
    <w:qFormat/>
    <w:uiPriority w:val="0"/>
    <w:pPr>
      <w:ind w:left="2500" w:leftChars="2500"/>
    </w:pPr>
    <w:rPr>
      <w:rFonts w:ascii="Times New Roman" w:hAnsi="Times New Roman" w:eastAsia="楷体_GB2312" w:cs="Times New Roman"/>
      <w:sz w:val="32"/>
      <w:szCs w:val="20"/>
    </w:rPr>
  </w:style>
  <w:style w:type="paragraph" w:styleId="18">
    <w:name w:val="Balloon Text"/>
    <w:basedOn w:val="1"/>
    <w:link w:val="43"/>
    <w:autoRedefine/>
    <w:qFormat/>
    <w:uiPriority w:val="0"/>
    <w:rPr>
      <w:sz w:val="18"/>
      <w:szCs w:val="18"/>
    </w:rPr>
  </w:style>
  <w:style w:type="paragraph" w:styleId="19">
    <w:name w:val="footer"/>
    <w:basedOn w:val="1"/>
    <w:link w:val="40"/>
    <w:autoRedefine/>
    <w:unhideWhenUsed/>
    <w:qFormat/>
    <w:uiPriority w:val="0"/>
    <w:pPr>
      <w:tabs>
        <w:tab w:val="center" w:pos="4153"/>
        <w:tab w:val="right" w:pos="8306"/>
      </w:tabs>
      <w:snapToGrid w:val="0"/>
      <w:jc w:val="left"/>
    </w:pPr>
    <w:rPr>
      <w:sz w:val="18"/>
      <w:szCs w:val="18"/>
    </w:rPr>
  </w:style>
  <w:style w:type="paragraph" w:styleId="20">
    <w:name w:val="envelope return"/>
    <w:basedOn w:val="1"/>
    <w:autoRedefine/>
    <w:qFormat/>
    <w:uiPriority w:val="0"/>
    <w:pPr>
      <w:snapToGrid w:val="0"/>
    </w:pPr>
    <w:rPr>
      <w:rFonts w:ascii="Arial" w:hAnsi="Arial" w:cs="Times New Roman"/>
      <w:sz w:val="28"/>
    </w:rPr>
  </w:style>
  <w:style w:type="paragraph" w:styleId="21">
    <w:name w:val="header"/>
    <w:basedOn w:val="1"/>
    <w:link w:val="39"/>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List"/>
    <w:basedOn w:val="1"/>
    <w:autoRedefine/>
    <w:qFormat/>
    <w:uiPriority w:val="0"/>
    <w:pPr>
      <w:ind w:left="200" w:hanging="200" w:hangingChars="200"/>
    </w:pPr>
    <w:rPr>
      <w:rFonts w:ascii="Times New Roman" w:hAnsi="Times New Roman" w:cs="Times New Roman"/>
      <w:sz w:val="28"/>
    </w:rPr>
  </w:style>
  <w:style w:type="paragraph" w:styleId="23">
    <w:name w:val="index 7"/>
    <w:basedOn w:val="1"/>
    <w:next w:val="1"/>
    <w:qFormat/>
    <w:uiPriority w:val="0"/>
    <w:pPr>
      <w:ind w:left="1200" w:leftChars="1200"/>
    </w:pPr>
  </w:style>
  <w:style w:type="paragraph" w:styleId="24">
    <w:name w:val="Body Text 2"/>
    <w:basedOn w:val="1"/>
    <w:link w:val="60"/>
    <w:autoRedefine/>
    <w:qFormat/>
    <w:uiPriority w:val="0"/>
    <w:pPr>
      <w:widowControl/>
      <w:snapToGrid w:val="0"/>
      <w:spacing w:before="50" w:after="156" w:afterLines="50" w:line="400" w:lineRule="atLeast"/>
      <w:jc w:val="left"/>
    </w:pPr>
    <w:rPr>
      <w:rFonts w:hint="eastAsia" w:cs="Times New Roman"/>
      <w:color w:val="000000"/>
    </w:rPr>
  </w:style>
  <w:style w:type="paragraph" w:styleId="25">
    <w:name w:val="HTML Preformatted"/>
    <w:basedOn w:val="1"/>
    <w:link w:val="65"/>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kern w:val="0"/>
    </w:rPr>
  </w:style>
  <w:style w:type="paragraph" w:styleId="26">
    <w:name w:val="Normal (Web)"/>
    <w:basedOn w:val="1"/>
    <w:autoRedefine/>
    <w:unhideWhenUsed/>
    <w:qFormat/>
    <w:uiPriority w:val="0"/>
    <w:pPr>
      <w:widowControl/>
      <w:spacing w:before="100" w:beforeAutospacing="1" w:after="100" w:afterAutospacing="1"/>
      <w:jc w:val="left"/>
    </w:pPr>
    <w:rPr>
      <w:kern w:val="0"/>
    </w:rPr>
  </w:style>
  <w:style w:type="paragraph" w:styleId="27">
    <w:name w:val="Title"/>
    <w:basedOn w:val="1"/>
    <w:link w:val="66"/>
    <w:autoRedefine/>
    <w:qFormat/>
    <w:uiPriority w:val="0"/>
    <w:pPr>
      <w:spacing w:before="240" w:after="60"/>
      <w:jc w:val="center"/>
      <w:outlineLvl w:val="0"/>
    </w:pPr>
    <w:rPr>
      <w:rFonts w:ascii="Calibri Light" w:hAnsi="Calibri Light" w:eastAsia="Calibri Light" w:cs="Times New Roman"/>
      <w:b/>
      <w:bCs/>
      <w:kern w:val="0"/>
      <w:sz w:val="32"/>
      <w:szCs w:val="32"/>
    </w:rPr>
  </w:style>
  <w:style w:type="paragraph" w:styleId="28">
    <w:name w:val="annotation subject"/>
    <w:basedOn w:val="11"/>
    <w:next w:val="11"/>
    <w:link w:val="51"/>
    <w:autoRedefine/>
    <w:unhideWhenUsed/>
    <w:qFormat/>
    <w:uiPriority w:val="0"/>
    <w:rPr>
      <w:rFonts w:ascii="宋体" w:hAnsi="宋体" w:cs="宋体"/>
      <w:b/>
      <w:bCs/>
      <w:sz w:val="24"/>
    </w:rPr>
  </w:style>
  <w:style w:type="paragraph" w:styleId="29">
    <w:name w:val="Body Text First Indent"/>
    <w:basedOn w:val="12"/>
    <w:link w:val="67"/>
    <w:autoRedefine/>
    <w:qFormat/>
    <w:uiPriority w:val="0"/>
    <w:pPr>
      <w:ind w:firstLine="420" w:firstLineChars="100"/>
    </w:pPr>
    <w:rPr>
      <w:rFonts w:ascii="Calibri" w:hAnsi="Calibri" w:cs="Times New Roman"/>
      <w:sz w:val="21"/>
    </w:rPr>
  </w:style>
  <w:style w:type="paragraph" w:styleId="30">
    <w:name w:val="Body Text First Indent 2"/>
    <w:basedOn w:val="13"/>
    <w:link w:val="61"/>
    <w:autoRedefine/>
    <w:qFormat/>
    <w:uiPriority w:val="0"/>
    <w:pPr>
      <w:ind w:firstLine="420"/>
    </w:pPr>
    <w:rPr>
      <w:rFonts w:ascii="Times New Roman" w:hAnsi="Times New Roman"/>
    </w:rPr>
  </w:style>
  <w:style w:type="table" w:styleId="32">
    <w:name w:val="Table Grid"/>
    <w:basedOn w:val="3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autoRedefine/>
    <w:qFormat/>
    <w:uiPriority w:val="0"/>
    <w:rPr>
      <w:rFonts w:ascii="Times New Roman" w:hAnsi="Times New Roman" w:eastAsia="宋体" w:cs="Times New Roman"/>
      <w:b/>
      <w:bCs/>
    </w:rPr>
  </w:style>
  <w:style w:type="character" w:styleId="35">
    <w:name w:val="page number"/>
    <w:autoRedefine/>
    <w:qFormat/>
    <w:uiPriority w:val="0"/>
    <w:rPr>
      <w:rFonts w:ascii="Times New Roman" w:hAnsi="Times New Roman" w:eastAsia="宋体" w:cs="Times New Roman"/>
    </w:rPr>
  </w:style>
  <w:style w:type="character" w:styleId="36">
    <w:name w:val="FollowedHyperlink"/>
    <w:autoRedefine/>
    <w:qFormat/>
    <w:uiPriority w:val="0"/>
    <w:rPr>
      <w:rFonts w:ascii="Times New Roman" w:hAnsi="Times New Roman" w:eastAsia="宋体" w:cs="Times New Roman"/>
      <w:color w:val="5579A7"/>
      <w:u w:val="none"/>
    </w:rPr>
  </w:style>
  <w:style w:type="character" w:styleId="37">
    <w:name w:val="Hyperlink"/>
    <w:basedOn w:val="33"/>
    <w:autoRedefine/>
    <w:unhideWhenUsed/>
    <w:qFormat/>
    <w:uiPriority w:val="0"/>
    <w:rPr>
      <w:color w:val="0000FF"/>
      <w:u w:val="single"/>
    </w:rPr>
  </w:style>
  <w:style w:type="character" w:styleId="38">
    <w:name w:val="annotation reference"/>
    <w:autoRedefine/>
    <w:unhideWhenUsed/>
    <w:qFormat/>
    <w:uiPriority w:val="0"/>
    <w:rPr>
      <w:sz w:val="21"/>
      <w:szCs w:val="21"/>
    </w:rPr>
  </w:style>
  <w:style w:type="character" w:customStyle="1" w:styleId="39">
    <w:name w:val="页眉 Char"/>
    <w:basedOn w:val="33"/>
    <w:link w:val="21"/>
    <w:autoRedefine/>
    <w:qFormat/>
    <w:uiPriority w:val="0"/>
    <w:rPr>
      <w:sz w:val="18"/>
      <w:szCs w:val="18"/>
    </w:rPr>
  </w:style>
  <w:style w:type="character" w:customStyle="1" w:styleId="40">
    <w:name w:val="页脚 Char"/>
    <w:basedOn w:val="33"/>
    <w:link w:val="19"/>
    <w:autoRedefine/>
    <w:qFormat/>
    <w:uiPriority w:val="0"/>
    <w:rPr>
      <w:sz w:val="18"/>
      <w:szCs w:val="18"/>
    </w:rPr>
  </w:style>
  <w:style w:type="character" w:customStyle="1" w:styleId="41">
    <w:name w:val="批注文字 Char1"/>
    <w:basedOn w:val="33"/>
    <w:link w:val="11"/>
    <w:autoRedefine/>
    <w:qFormat/>
    <w:uiPriority w:val="0"/>
    <w:rPr>
      <w:rFonts w:ascii="Times New Roman" w:hAnsi="Times New Roman" w:eastAsia="宋体" w:cs="Times New Roman"/>
      <w:sz w:val="28"/>
      <w:szCs w:val="24"/>
    </w:rPr>
  </w:style>
  <w:style w:type="character" w:customStyle="1" w:styleId="42">
    <w:name w:val="正文文本缩进 字符"/>
    <w:basedOn w:val="33"/>
    <w:autoRedefine/>
    <w:qFormat/>
    <w:uiPriority w:val="0"/>
    <w:rPr>
      <w:rFonts w:ascii="宋体" w:hAnsi="宋体" w:eastAsia="宋体" w:cs="宋体"/>
      <w:sz w:val="24"/>
      <w:szCs w:val="24"/>
    </w:rPr>
  </w:style>
  <w:style w:type="character" w:customStyle="1" w:styleId="43">
    <w:name w:val="批注框文本 Char"/>
    <w:basedOn w:val="33"/>
    <w:link w:val="18"/>
    <w:autoRedefine/>
    <w:qFormat/>
    <w:uiPriority w:val="0"/>
    <w:rPr>
      <w:rFonts w:ascii="宋体" w:hAnsi="宋体" w:eastAsia="宋体" w:cs="宋体"/>
      <w:sz w:val="18"/>
      <w:szCs w:val="18"/>
    </w:rPr>
  </w:style>
  <w:style w:type="character" w:customStyle="1" w:styleId="44">
    <w:name w:val="正文文本缩进 Char1"/>
    <w:link w:val="13"/>
    <w:autoRedefine/>
    <w:qFormat/>
    <w:uiPriority w:val="0"/>
    <w:rPr>
      <w:rFonts w:ascii="宋体" w:hAnsi="Courier New" w:eastAsia="宋体" w:cs="Times New Roman"/>
      <w:spacing w:val="-4"/>
      <w:sz w:val="18"/>
      <w:szCs w:val="20"/>
    </w:rPr>
  </w:style>
  <w:style w:type="character" w:customStyle="1" w:styleId="45">
    <w:name w:val="正文文本缩进 字符2"/>
    <w:autoRedefine/>
    <w:qFormat/>
    <w:uiPriority w:val="0"/>
    <w:rPr>
      <w:rFonts w:ascii="宋体" w:hAnsi="Courier New"/>
      <w:spacing w:val="-4"/>
      <w:kern w:val="2"/>
      <w:sz w:val="18"/>
    </w:rPr>
  </w:style>
  <w:style w:type="character" w:customStyle="1" w:styleId="46">
    <w:name w:val="未处理的提及1"/>
    <w:basedOn w:val="33"/>
    <w:autoRedefine/>
    <w:semiHidden/>
    <w:unhideWhenUsed/>
    <w:qFormat/>
    <w:uiPriority w:val="99"/>
    <w:rPr>
      <w:color w:val="605E5C"/>
      <w:shd w:val="clear" w:color="auto" w:fill="E1DFDD"/>
    </w:rPr>
  </w:style>
  <w:style w:type="paragraph" w:styleId="47">
    <w:name w:val="List Paragraph"/>
    <w:basedOn w:val="1"/>
    <w:autoRedefine/>
    <w:qFormat/>
    <w:uiPriority w:val="0"/>
    <w:pPr>
      <w:ind w:firstLine="420" w:firstLineChars="200"/>
    </w:pPr>
  </w:style>
  <w:style w:type="paragraph" w:customStyle="1" w:styleId="48">
    <w:name w:val="纯文本1"/>
    <w:basedOn w:val="1"/>
    <w:next w:val="16"/>
    <w:link w:val="50"/>
    <w:autoRedefine/>
    <w:qFormat/>
    <w:uiPriority w:val="0"/>
    <w:pPr>
      <w:spacing w:before="156" w:beforeLines="50" w:after="156" w:afterLines="50" w:line="400" w:lineRule="atLeast"/>
    </w:pPr>
    <w:rPr>
      <w:rFonts w:hAnsi="Courier New" w:cs="Times New Roman"/>
    </w:rPr>
  </w:style>
  <w:style w:type="character" w:customStyle="1" w:styleId="49">
    <w:name w:val="纯文本 字符"/>
    <w:basedOn w:val="33"/>
    <w:autoRedefine/>
    <w:qFormat/>
    <w:uiPriority w:val="0"/>
    <w:rPr>
      <w:rFonts w:ascii="宋体" w:hAnsi="Courier New" w:eastAsia="宋体" w:cs="Courier New"/>
      <w:kern w:val="2"/>
      <w:sz w:val="24"/>
      <w:szCs w:val="24"/>
    </w:rPr>
  </w:style>
  <w:style w:type="character" w:customStyle="1" w:styleId="50">
    <w:name w:val="纯文本 字符1"/>
    <w:link w:val="48"/>
    <w:autoRedefine/>
    <w:qFormat/>
    <w:uiPriority w:val="0"/>
    <w:rPr>
      <w:rFonts w:ascii="宋体" w:hAnsi="Courier New" w:eastAsia="宋体" w:cs="Times New Roman"/>
      <w:kern w:val="2"/>
      <w:sz w:val="24"/>
      <w:szCs w:val="24"/>
    </w:rPr>
  </w:style>
  <w:style w:type="character" w:customStyle="1" w:styleId="51">
    <w:name w:val="批注主题 Char"/>
    <w:basedOn w:val="41"/>
    <w:link w:val="28"/>
    <w:autoRedefine/>
    <w:qFormat/>
    <w:uiPriority w:val="0"/>
    <w:rPr>
      <w:rFonts w:ascii="宋体" w:hAnsi="宋体" w:eastAsia="宋体" w:cs="宋体"/>
      <w:b/>
      <w:bCs/>
      <w:sz w:val="24"/>
      <w:szCs w:val="24"/>
    </w:rPr>
  </w:style>
  <w:style w:type="character" w:customStyle="1" w:styleId="52">
    <w:name w:val="未处理的提及2"/>
    <w:basedOn w:val="33"/>
    <w:autoRedefine/>
    <w:semiHidden/>
    <w:unhideWhenUsed/>
    <w:qFormat/>
    <w:uiPriority w:val="99"/>
    <w:rPr>
      <w:color w:val="605E5C"/>
      <w:shd w:val="clear" w:color="auto" w:fill="E1DFDD"/>
    </w:rPr>
  </w:style>
  <w:style w:type="character" w:customStyle="1" w:styleId="53">
    <w:name w:val="正文文本 Char"/>
    <w:basedOn w:val="33"/>
    <w:link w:val="12"/>
    <w:autoRedefine/>
    <w:qFormat/>
    <w:uiPriority w:val="0"/>
    <w:rPr>
      <w:rFonts w:ascii="宋体" w:hAnsi="宋体" w:eastAsia="宋体" w:cs="宋体"/>
      <w:sz w:val="24"/>
      <w:szCs w:val="24"/>
    </w:rPr>
  </w:style>
  <w:style w:type="character" w:customStyle="1" w:styleId="54">
    <w:name w:val="纯文本 Char"/>
    <w:basedOn w:val="33"/>
    <w:link w:val="16"/>
    <w:autoRedefine/>
    <w:semiHidden/>
    <w:qFormat/>
    <w:uiPriority w:val="99"/>
    <w:rPr>
      <w:rFonts w:hAnsi="Courier New" w:cs="Courier New" w:asciiTheme="minorEastAsia"/>
      <w:sz w:val="24"/>
      <w:szCs w:val="24"/>
    </w:rPr>
  </w:style>
  <w:style w:type="character" w:customStyle="1" w:styleId="55">
    <w:name w:val="标题 1 Char"/>
    <w:basedOn w:val="33"/>
    <w:link w:val="2"/>
    <w:autoRedefine/>
    <w:qFormat/>
    <w:uiPriority w:val="0"/>
    <w:rPr>
      <w:rFonts w:ascii="Times New Roman" w:hAnsi="Times New Roman" w:eastAsia="宋体" w:cs="Times New Roman"/>
      <w:kern w:val="44"/>
      <w:sz w:val="44"/>
      <w:szCs w:val="44"/>
    </w:rPr>
  </w:style>
  <w:style w:type="character" w:customStyle="1" w:styleId="56">
    <w:name w:val="标题 2 Char"/>
    <w:basedOn w:val="33"/>
    <w:link w:val="3"/>
    <w:autoRedefine/>
    <w:qFormat/>
    <w:uiPriority w:val="0"/>
    <w:rPr>
      <w:rFonts w:ascii="Cambria" w:hAnsi="Cambria" w:eastAsia="宋体" w:cs="Times New Roman"/>
      <w:b/>
      <w:bCs/>
      <w:sz w:val="32"/>
      <w:szCs w:val="32"/>
    </w:rPr>
  </w:style>
  <w:style w:type="character" w:customStyle="1" w:styleId="57">
    <w:name w:val="标题 4 Char"/>
    <w:basedOn w:val="33"/>
    <w:link w:val="5"/>
    <w:autoRedefine/>
    <w:qFormat/>
    <w:uiPriority w:val="0"/>
    <w:rPr>
      <w:rFonts w:ascii="Arial" w:hAnsi="Arial" w:eastAsia="黑体" w:cs="Times New Roman"/>
      <w:b/>
      <w:bCs/>
      <w:sz w:val="28"/>
      <w:szCs w:val="28"/>
    </w:rPr>
  </w:style>
  <w:style w:type="character" w:customStyle="1" w:styleId="58">
    <w:name w:val="标题 5 Char"/>
    <w:basedOn w:val="33"/>
    <w:link w:val="6"/>
    <w:autoRedefine/>
    <w:qFormat/>
    <w:uiPriority w:val="0"/>
    <w:rPr>
      <w:rFonts w:ascii="Times New Roman" w:hAnsi="Times New Roman" w:eastAsia="宋体" w:cs="Times New Roman"/>
      <w:b/>
      <w:bCs/>
      <w:sz w:val="28"/>
      <w:szCs w:val="28"/>
    </w:rPr>
  </w:style>
  <w:style w:type="character" w:customStyle="1" w:styleId="59">
    <w:name w:val="正文缩进 Char"/>
    <w:link w:val="9"/>
    <w:autoRedefine/>
    <w:qFormat/>
    <w:uiPriority w:val="0"/>
    <w:rPr>
      <w:rFonts w:ascii="Times New Roman" w:hAnsi="Times New Roman" w:eastAsia="宋体" w:cs="Times New Roman"/>
      <w:szCs w:val="20"/>
    </w:rPr>
  </w:style>
  <w:style w:type="character" w:customStyle="1" w:styleId="60">
    <w:name w:val="正文文本 2 Char"/>
    <w:basedOn w:val="33"/>
    <w:link w:val="24"/>
    <w:autoRedefine/>
    <w:qFormat/>
    <w:uiPriority w:val="0"/>
    <w:rPr>
      <w:rFonts w:ascii="宋体" w:hAnsi="宋体" w:eastAsia="宋体" w:cs="Times New Roman"/>
      <w:color w:val="000000"/>
      <w:sz w:val="24"/>
      <w:szCs w:val="24"/>
    </w:rPr>
  </w:style>
  <w:style w:type="character" w:customStyle="1" w:styleId="61">
    <w:name w:val="正文首行缩进 2 Char"/>
    <w:basedOn w:val="44"/>
    <w:link w:val="30"/>
    <w:autoRedefine/>
    <w:qFormat/>
    <w:uiPriority w:val="0"/>
    <w:rPr>
      <w:rFonts w:ascii="Times New Roman" w:hAnsi="Times New Roman" w:eastAsia="宋体" w:cs="Times New Roman"/>
      <w:spacing w:val="-4"/>
      <w:sz w:val="18"/>
      <w:szCs w:val="20"/>
    </w:rPr>
  </w:style>
  <w:style w:type="character" w:customStyle="1" w:styleId="62">
    <w:name w:val="日期 Char"/>
    <w:basedOn w:val="33"/>
    <w:link w:val="17"/>
    <w:autoRedefine/>
    <w:qFormat/>
    <w:uiPriority w:val="0"/>
    <w:rPr>
      <w:rFonts w:ascii="Times New Roman" w:hAnsi="Times New Roman" w:eastAsia="楷体_GB2312" w:cs="Times New Roman"/>
      <w:sz w:val="32"/>
      <w:szCs w:val="20"/>
    </w:rPr>
  </w:style>
  <w:style w:type="character" w:customStyle="1" w:styleId="63">
    <w:name w:val="页脚 字符1"/>
    <w:autoRedefine/>
    <w:qFormat/>
    <w:uiPriority w:val="0"/>
    <w:rPr>
      <w:rFonts w:ascii="Times New Roman" w:hAnsi="Times New Roman" w:eastAsia="宋体" w:cs="Times New Roman"/>
      <w:kern w:val="2"/>
      <w:sz w:val="18"/>
      <w:szCs w:val="18"/>
    </w:rPr>
  </w:style>
  <w:style w:type="character" w:customStyle="1" w:styleId="64">
    <w:name w:val="页眉 字符1"/>
    <w:autoRedefine/>
    <w:qFormat/>
    <w:uiPriority w:val="0"/>
    <w:rPr>
      <w:rFonts w:ascii="Times New Roman" w:hAnsi="Times New Roman" w:eastAsia="宋体" w:cs="Times New Roman"/>
      <w:kern w:val="2"/>
      <w:sz w:val="18"/>
      <w:szCs w:val="18"/>
    </w:rPr>
  </w:style>
  <w:style w:type="character" w:customStyle="1" w:styleId="65">
    <w:name w:val="HTML 预设格式 Char"/>
    <w:basedOn w:val="33"/>
    <w:link w:val="25"/>
    <w:autoRedefine/>
    <w:qFormat/>
    <w:uiPriority w:val="0"/>
    <w:rPr>
      <w:rFonts w:ascii="宋体" w:hAnsi="宋体" w:eastAsia="宋体" w:cs="宋体"/>
      <w:kern w:val="0"/>
      <w:sz w:val="24"/>
      <w:szCs w:val="24"/>
    </w:rPr>
  </w:style>
  <w:style w:type="character" w:customStyle="1" w:styleId="66">
    <w:name w:val="标题 Char"/>
    <w:basedOn w:val="33"/>
    <w:link w:val="27"/>
    <w:autoRedefine/>
    <w:qFormat/>
    <w:uiPriority w:val="0"/>
    <w:rPr>
      <w:rFonts w:ascii="Calibri Light" w:hAnsi="Calibri Light" w:eastAsia="Calibri Light" w:cs="Times New Roman"/>
      <w:b/>
      <w:bCs/>
      <w:kern w:val="0"/>
      <w:sz w:val="32"/>
      <w:szCs w:val="32"/>
    </w:rPr>
  </w:style>
  <w:style w:type="character" w:customStyle="1" w:styleId="67">
    <w:name w:val="正文首行缩进 Char"/>
    <w:basedOn w:val="53"/>
    <w:link w:val="29"/>
    <w:autoRedefine/>
    <w:qFormat/>
    <w:uiPriority w:val="99"/>
    <w:rPr>
      <w:rFonts w:ascii="Calibri" w:hAnsi="Calibri" w:eastAsia="宋体" w:cs="Times New Roman"/>
      <w:sz w:val="24"/>
      <w:szCs w:val="24"/>
    </w:rPr>
  </w:style>
  <w:style w:type="paragraph" w:customStyle="1" w:styleId="68">
    <w:name w:val="Normal Indent1"/>
    <w:autoRedefine/>
    <w:qFormat/>
    <w:uiPriority w:val="0"/>
    <w:pPr>
      <w:ind w:firstLine="420"/>
    </w:pPr>
    <w:rPr>
      <w:rFonts w:ascii="Times New Roman" w:hAnsi="Times New Roman" w:eastAsia="仿宋_GB2312" w:cs="宋体"/>
      <w:b/>
      <w:bCs/>
      <w:color w:val="000000"/>
      <w:sz w:val="21"/>
      <w:lang w:val="en-US" w:eastAsia="zh-CN" w:bidi="ar-SA"/>
    </w:rPr>
  </w:style>
  <w:style w:type="paragraph" w:customStyle="1" w:styleId="69">
    <w:name w:val="首行缩进"/>
    <w:basedOn w:val="1"/>
    <w:autoRedefine/>
    <w:qFormat/>
    <w:uiPriority w:val="0"/>
    <w:pPr>
      <w:spacing w:line="360" w:lineRule="auto"/>
      <w:ind w:firstLine="480" w:firstLineChars="200"/>
    </w:pPr>
    <w:rPr>
      <w:rFonts w:ascii="Times New Roman"/>
    </w:rPr>
  </w:style>
  <w:style w:type="character" w:customStyle="1" w:styleId="70">
    <w:name w:val="jbox-icon-loading"/>
    <w:autoRedefine/>
    <w:qFormat/>
    <w:uiPriority w:val="0"/>
    <w:rPr>
      <w:rFonts w:ascii="Times New Roman" w:hAnsi="Times New Roman" w:eastAsia="宋体" w:cs="Times New Roman"/>
    </w:rPr>
  </w:style>
  <w:style w:type="character" w:customStyle="1" w:styleId="71">
    <w:name w:val="正文文本缩进 Char"/>
    <w:autoRedefine/>
    <w:qFormat/>
    <w:uiPriority w:val="0"/>
    <w:rPr>
      <w:rFonts w:ascii="宋体" w:hAnsi="Courier New" w:eastAsia="宋体" w:cs="Times New Roman"/>
      <w:spacing w:val="-4"/>
      <w:kern w:val="2"/>
      <w:sz w:val="18"/>
    </w:rPr>
  </w:style>
  <w:style w:type="character" w:customStyle="1" w:styleId="72">
    <w:name w:val="maywed421"/>
    <w:autoRedefine/>
    <w:qFormat/>
    <w:uiPriority w:val="0"/>
    <w:rPr>
      <w:rFonts w:ascii="Times New Roman" w:hAnsi="Times New Roman" w:eastAsia="宋体" w:cs="Times New Roman"/>
      <w:color w:val="366FB6"/>
      <w:u w:val="none"/>
    </w:rPr>
  </w:style>
  <w:style w:type="character" w:customStyle="1" w:styleId="73">
    <w:name w:val="jbox-icon-success"/>
    <w:autoRedefine/>
    <w:qFormat/>
    <w:uiPriority w:val="0"/>
    <w:rPr>
      <w:rFonts w:ascii="Times New Roman" w:hAnsi="Times New Roman" w:eastAsia="宋体" w:cs="Times New Roman"/>
    </w:rPr>
  </w:style>
  <w:style w:type="character" w:customStyle="1" w:styleId="74">
    <w:name w:val="jbox-icon-error"/>
    <w:autoRedefine/>
    <w:qFormat/>
    <w:uiPriority w:val="0"/>
    <w:rPr>
      <w:rFonts w:ascii="Times New Roman" w:hAnsi="Times New Roman" w:eastAsia="宋体" w:cs="Times New Roman"/>
    </w:rPr>
  </w:style>
  <w:style w:type="character" w:customStyle="1" w:styleId="75">
    <w:name w:val="z-窗体底端 字符"/>
    <w:link w:val="76"/>
    <w:autoRedefine/>
    <w:qFormat/>
    <w:uiPriority w:val="0"/>
    <w:rPr>
      <w:rFonts w:ascii="Arial" w:hAnsi="Arial" w:eastAsia="宋体" w:cs="Times New Roman"/>
      <w:vanish/>
      <w:sz w:val="16"/>
      <w:szCs w:val="16"/>
    </w:rPr>
  </w:style>
  <w:style w:type="paragraph" w:customStyle="1" w:styleId="76">
    <w:name w:val="z-窗体底端1"/>
    <w:basedOn w:val="1"/>
    <w:next w:val="1"/>
    <w:link w:val="75"/>
    <w:autoRedefine/>
    <w:qFormat/>
    <w:uiPriority w:val="0"/>
    <w:pPr>
      <w:widowControl/>
      <w:pBdr>
        <w:top w:val="single" w:color="auto" w:sz="6" w:space="1"/>
      </w:pBdr>
      <w:jc w:val="center"/>
    </w:pPr>
    <w:rPr>
      <w:rFonts w:ascii="Arial" w:hAnsi="Arial" w:cs="Times New Roman"/>
      <w:vanish/>
      <w:sz w:val="16"/>
      <w:szCs w:val="16"/>
    </w:rPr>
  </w:style>
  <w:style w:type="character" w:customStyle="1" w:styleId="77">
    <w:name w:val="z-窗体底端 字符1"/>
    <w:basedOn w:val="33"/>
    <w:autoRedefine/>
    <w:semiHidden/>
    <w:qFormat/>
    <w:uiPriority w:val="99"/>
    <w:rPr>
      <w:rFonts w:ascii="Arial" w:hAnsi="Arial" w:eastAsia="宋体" w:cs="Arial"/>
      <w:vanish/>
      <w:sz w:val="16"/>
      <w:szCs w:val="16"/>
    </w:rPr>
  </w:style>
  <w:style w:type="character" w:customStyle="1" w:styleId="78">
    <w:name w:val="Plain Text Char Char"/>
    <w:autoRedefine/>
    <w:qFormat/>
    <w:uiPriority w:val="0"/>
    <w:rPr>
      <w:rFonts w:ascii="宋体" w:hAnsi="Courier New" w:eastAsia="宋体" w:cs="宋体"/>
    </w:rPr>
  </w:style>
  <w:style w:type="character" w:customStyle="1" w:styleId="79">
    <w:name w:val="jbox-icon-question"/>
    <w:autoRedefine/>
    <w:qFormat/>
    <w:uiPriority w:val="0"/>
    <w:rPr>
      <w:rFonts w:ascii="Times New Roman" w:hAnsi="Times New Roman" w:eastAsia="宋体" w:cs="Times New Roman"/>
    </w:rPr>
  </w:style>
  <w:style w:type="character" w:customStyle="1" w:styleId="80">
    <w:name w:val="jbox-icon-none"/>
    <w:autoRedefine/>
    <w:qFormat/>
    <w:uiPriority w:val="0"/>
    <w:rPr>
      <w:rFonts w:ascii="Times New Roman" w:hAnsi="Times New Roman" w:eastAsia="宋体" w:cs="Times New Roman"/>
      <w:vanish/>
    </w:rPr>
  </w:style>
  <w:style w:type="character" w:customStyle="1" w:styleId="81">
    <w:name w:val="纯文本 Char1"/>
    <w:autoRedefine/>
    <w:qFormat/>
    <w:uiPriority w:val="0"/>
    <w:rPr>
      <w:rFonts w:ascii="宋体" w:hAnsi="Courier New" w:eastAsia="宋体" w:cs="Times New Roman"/>
      <w:kern w:val="2"/>
      <w:sz w:val="21"/>
    </w:rPr>
  </w:style>
  <w:style w:type="character" w:customStyle="1" w:styleId="82">
    <w:name w:val="font51"/>
    <w:autoRedefine/>
    <w:qFormat/>
    <w:uiPriority w:val="0"/>
    <w:rPr>
      <w:rFonts w:hint="eastAsia" w:ascii="宋体" w:hAnsi="宋体" w:eastAsia="宋体" w:cs="宋体"/>
      <w:color w:val="000000"/>
      <w:sz w:val="21"/>
      <w:szCs w:val="21"/>
      <w:u w:val="none"/>
    </w:rPr>
  </w:style>
  <w:style w:type="character" w:customStyle="1" w:styleId="83">
    <w:name w:val="正方框图 Char Char Char"/>
    <w:link w:val="84"/>
    <w:autoRedefine/>
    <w:qFormat/>
    <w:uiPriority w:val="0"/>
    <w:rPr>
      <w:rFonts w:ascii="Times New Roman" w:hAnsi="Times New Roman" w:eastAsia="宋体" w:cs="Times New Roman"/>
      <w:szCs w:val="21"/>
    </w:rPr>
  </w:style>
  <w:style w:type="paragraph" w:customStyle="1" w:styleId="84">
    <w:name w:val="正方框图 Char Char"/>
    <w:basedOn w:val="1"/>
    <w:link w:val="83"/>
    <w:autoRedefine/>
    <w:qFormat/>
    <w:uiPriority w:val="0"/>
    <w:pPr>
      <w:snapToGrid w:val="0"/>
      <w:jc w:val="center"/>
    </w:pPr>
    <w:rPr>
      <w:rFonts w:ascii="Times New Roman" w:hAnsi="Times New Roman" w:cs="Times New Roman"/>
      <w:sz w:val="21"/>
      <w:szCs w:val="21"/>
    </w:rPr>
  </w:style>
  <w:style w:type="character" w:customStyle="1" w:styleId="85">
    <w:name w:val="black601"/>
    <w:autoRedefine/>
    <w:qFormat/>
    <w:uiPriority w:val="0"/>
    <w:rPr>
      <w:rFonts w:ascii="Times New Roman" w:hAnsi="Times New Roman" w:eastAsia="宋体" w:cs="Times New Roman"/>
      <w:color w:val="666666"/>
    </w:rPr>
  </w:style>
  <w:style w:type="character" w:customStyle="1" w:styleId="86">
    <w:name w:val="标题 1 Char Char"/>
    <w:autoRedefine/>
    <w:qFormat/>
    <w:uiPriority w:val="0"/>
    <w:rPr>
      <w:rFonts w:ascii="Times New Roman" w:hAnsi="Times New Roman" w:eastAsia="宋体" w:cs="Times New Roman"/>
      <w:b/>
      <w:spacing w:val="-2"/>
      <w:sz w:val="24"/>
      <w:lang w:val="en-US" w:eastAsia="zh-CN" w:bidi="ar-SA"/>
    </w:rPr>
  </w:style>
  <w:style w:type="character" w:customStyle="1" w:styleId="87">
    <w:name w:val="jbox-icon-warning"/>
    <w:autoRedefine/>
    <w:qFormat/>
    <w:uiPriority w:val="0"/>
    <w:rPr>
      <w:rFonts w:ascii="Times New Roman" w:hAnsi="Times New Roman" w:eastAsia="宋体" w:cs="Times New Roman"/>
    </w:rPr>
  </w:style>
  <w:style w:type="character" w:customStyle="1" w:styleId="88">
    <w:name w:val="纯文本 Char2"/>
    <w:autoRedefine/>
    <w:qFormat/>
    <w:uiPriority w:val="0"/>
    <w:rPr>
      <w:rFonts w:ascii="宋体" w:hAnsi="Courier New" w:eastAsia="宋体" w:cs="Times New Roman"/>
      <w:kern w:val="2"/>
      <w:sz w:val="24"/>
      <w:szCs w:val="24"/>
    </w:rPr>
  </w:style>
  <w:style w:type="character" w:customStyle="1" w:styleId="89">
    <w:name w:val="jbox-icon-info"/>
    <w:autoRedefine/>
    <w:qFormat/>
    <w:uiPriority w:val="0"/>
    <w:rPr>
      <w:rFonts w:ascii="Times New Roman" w:hAnsi="Times New Roman" w:eastAsia="宋体" w:cs="Times New Roman"/>
    </w:rPr>
  </w:style>
  <w:style w:type="character" w:customStyle="1" w:styleId="90">
    <w:name w:val="z-窗体顶端 字符"/>
    <w:link w:val="91"/>
    <w:autoRedefine/>
    <w:qFormat/>
    <w:uiPriority w:val="0"/>
    <w:rPr>
      <w:rFonts w:ascii="Arial" w:hAnsi="Arial" w:eastAsia="宋体" w:cs="Times New Roman"/>
      <w:vanish/>
      <w:sz w:val="16"/>
      <w:szCs w:val="16"/>
    </w:rPr>
  </w:style>
  <w:style w:type="paragraph" w:customStyle="1" w:styleId="91">
    <w:name w:val="z-窗体顶端1"/>
    <w:basedOn w:val="1"/>
    <w:next w:val="1"/>
    <w:link w:val="90"/>
    <w:autoRedefine/>
    <w:qFormat/>
    <w:uiPriority w:val="0"/>
    <w:pPr>
      <w:widowControl/>
      <w:pBdr>
        <w:bottom w:val="single" w:color="auto" w:sz="6" w:space="1"/>
      </w:pBdr>
      <w:jc w:val="center"/>
    </w:pPr>
    <w:rPr>
      <w:rFonts w:ascii="Arial" w:hAnsi="Arial" w:cs="Times New Roman"/>
      <w:vanish/>
      <w:sz w:val="16"/>
      <w:szCs w:val="16"/>
    </w:rPr>
  </w:style>
  <w:style w:type="character" w:customStyle="1" w:styleId="92">
    <w:name w:val="z-窗体顶端 字符1"/>
    <w:basedOn w:val="33"/>
    <w:autoRedefine/>
    <w:semiHidden/>
    <w:qFormat/>
    <w:uiPriority w:val="99"/>
    <w:rPr>
      <w:rFonts w:ascii="Arial" w:hAnsi="Arial" w:eastAsia="宋体" w:cs="Arial"/>
      <w:vanish/>
      <w:sz w:val="16"/>
      <w:szCs w:val="16"/>
    </w:rPr>
  </w:style>
  <w:style w:type="character" w:customStyle="1" w:styleId="93">
    <w:name w:val="批注文字 Char"/>
    <w:autoRedefine/>
    <w:qFormat/>
    <w:uiPriority w:val="0"/>
    <w:rPr>
      <w:rFonts w:ascii="Times New Roman" w:hAnsi="Times New Roman" w:eastAsia="宋体" w:cs="Times New Roman"/>
      <w:kern w:val="2"/>
      <w:sz w:val="28"/>
      <w:szCs w:val="24"/>
    </w:rPr>
  </w:style>
  <w:style w:type="character" w:customStyle="1" w:styleId="94">
    <w:name w:val="jbox-icon"/>
    <w:autoRedefine/>
    <w:qFormat/>
    <w:uiPriority w:val="0"/>
    <w:rPr>
      <w:rFonts w:ascii="Times New Roman" w:hAnsi="Times New Roman" w:eastAsia="宋体" w:cs="Times New Roman"/>
    </w:rPr>
  </w:style>
  <w:style w:type="paragraph" w:customStyle="1" w:styleId="95">
    <w:name w:val="列出段落1"/>
    <w:basedOn w:val="1"/>
    <w:autoRedefine/>
    <w:qFormat/>
    <w:uiPriority w:val="0"/>
    <w:pPr>
      <w:ind w:firstLine="420" w:firstLineChars="200"/>
    </w:pPr>
    <w:rPr>
      <w:rFonts w:ascii="Calibri" w:hAnsi="Calibri" w:cs="Times New Roman"/>
      <w:sz w:val="28"/>
    </w:rPr>
  </w:style>
  <w:style w:type="paragraph" w:customStyle="1" w:styleId="96">
    <w:name w:val="Default"/>
    <w:next w:val="97"/>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97">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98">
    <w:name w:val="列表段落1"/>
    <w:basedOn w:val="1"/>
    <w:autoRedefine/>
    <w:qFormat/>
    <w:uiPriority w:val="0"/>
    <w:pPr>
      <w:ind w:firstLine="200" w:firstLineChars="200"/>
    </w:pPr>
    <w:rPr>
      <w:rFonts w:ascii="Calibri" w:hAnsi="Calibri" w:cs="Arial"/>
      <w:sz w:val="28"/>
    </w:rPr>
  </w:style>
  <w:style w:type="paragraph" w:customStyle="1" w:styleId="99">
    <w:name w:val="p16"/>
    <w:basedOn w:val="1"/>
    <w:autoRedefine/>
    <w:qFormat/>
    <w:uiPriority w:val="0"/>
    <w:pPr>
      <w:widowControl/>
      <w:spacing w:before="100" w:after="100"/>
      <w:jc w:val="left"/>
    </w:pPr>
    <w:rPr>
      <w:color w:val="000000"/>
      <w:kern w:val="0"/>
    </w:rPr>
  </w:style>
  <w:style w:type="paragraph" w:styleId="100">
    <w:name w:val="No Spacing"/>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1">
    <w:name w:val="样式 标题 2 + Times New Roman 四号 非加粗 段前: 5 磅 段后: 0 磅 行距: 固定值 20..."/>
    <w:autoRedefine/>
    <w:qFormat/>
    <w:uiPriority w:val="0"/>
    <w:pPr>
      <w:keepNext/>
      <w:keepLines/>
      <w:widowControl w:val="0"/>
      <w:spacing w:before="100" w:line="400" w:lineRule="exact"/>
      <w:jc w:val="both"/>
      <w:outlineLvl w:val="1"/>
    </w:pPr>
    <w:rPr>
      <w:rFonts w:ascii="Times New Roman" w:hAnsi="Times New Roman" w:eastAsia="宋体" w:cs="Times New Roman"/>
      <w:kern w:val="2"/>
      <w:sz w:val="28"/>
      <w:szCs w:val="28"/>
      <w:lang w:val="en-US" w:eastAsia="zh-CN" w:bidi="ar-SA"/>
    </w:rPr>
  </w:style>
  <w:style w:type="paragraph" w:customStyle="1" w:styleId="102">
    <w:name w:val="样式 标题 3 + (中文) 黑体 小四 非加粗 段前: 7.8 磅 段后: 0 磅 行距: 固定值 20 磅"/>
    <w:autoRedefine/>
    <w:qFormat/>
    <w:uiPriority w:val="0"/>
    <w:pPr>
      <w:widowControl w:val="0"/>
      <w:spacing w:line="400" w:lineRule="exact"/>
      <w:ind w:left="2220" w:hanging="420"/>
      <w:jc w:val="both"/>
      <w:outlineLvl w:val="2"/>
    </w:pPr>
    <w:rPr>
      <w:rFonts w:ascii="Times New Roman" w:hAnsi="Times New Roman" w:eastAsia="黑体" w:cs="Times New Roman"/>
      <w:b/>
      <w:kern w:val="2"/>
      <w:sz w:val="24"/>
      <w:szCs w:val="24"/>
      <w:lang w:val="en-US" w:eastAsia="zh-CN" w:bidi="ar-SA"/>
    </w:rPr>
  </w:style>
  <w:style w:type="paragraph" w:customStyle="1" w:styleId="103">
    <w:name w:val="正文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4">
    <w:name w:val="List Paragraph1"/>
    <w:basedOn w:val="1"/>
    <w:autoRedefine/>
    <w:qFormat/>
    <w:uiPriority w:val="0"/>
    <w:pPr>
      <w:ind w:firstLine="420" w:firstLineChars="200"/>
    </w:pPr>
    <w:rPr>
      <w:rFonts w:ascii="Times New Roman" w:hAnsi="Times New Roman" w:cs="Times New Roman"/>
      <w:sz w:val="21"/>
    </w:rPr>
  </w:style>
  <w:style w:type="paragraph" w:customStyle="1" w:styleId="105">
    <w:name w:val="目录 71"/>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106">
    <w:name w:val="修订1"/>
    <w:autoRedefine/>
    <w:semiHidden/>
    <w:qFormat/>
    <w:uiPriority w:val="99"/>
    <w:rPr>
      <w:rFonts w:ascii="Times New Roman" w:hAnsi="Times New Roman" w:eastAsia="宋体" w:cs="Times New Roman"/>
      <w:kern w:val="2"/>
      <w:sz w:val="28"/>
      <w:szCs w:val="24"/>
      <w:lang w:val="en-US" w:eastAsia="zh-CN" w:bidi="ar-SA"/>
    </w:rPr>
  </w:style>
  <w:style w:type="paragraph" w:customStyle="1" w:styleId="107">
    <w:name w:val="正文 A"/>
    <w:autoRedefine/>
    <w:qFormat/>
    <w:uiPriority w:val="0"/>
    <w:pPr>
      <w:widowControl w:val="0"/>
      <w:jc w:val="both"/>
    </w:pPr>
    <w:rPr>
      <w:rFonts w:hint="eastAsia" w:ascii="Arial Unicode MS" w:hAnsi="Arial Unicode MS" w:eastAsia="Arial Unicode MS" w:cs="Arial Unicode MS"/>
      <w:color w:val="000000"/>
      <w:kern w:val="2"/>
      <w:sz w:val="21"/>
      <w:szCs w:val="21"/>
      <w:u w:color="000000"/>
      <w:lang w:val="zh-TW" w:eastAsia="zh-TW" w:bidi="ar-SA"/>
    </w:rPr>
  </w:style>
  <w:style w:type="paragraph" w:customStyle="1" w:styleId="108">
    <w:name w:val="Blockquote"/>
    <w:basedOn w:val="1"/>
    <w:autoRedefine/>
    <w:qFormat/>
    <w:uiPriority w:val="0"/>
    <w:pPr>
      <w:autoSpaceDE w:val="0"/>
      <w:autoSpaceDN w:val="0"/>
      <w:adjustRightInd w:val="0"/>
      <w:spacing w:before="100" w:after="100"/>
      <w:ind w:left="360" w:right="360"/>
      <w:jc w:val="left"/>
    </w:pPr>
    <w:rPr>
      <w:rFonts w:ascii="Times New Roman" w:hAnsi="Times New Roman" w:cs="Times New Roman"/>
      <w:kern w:val="0"/>
    </w:rPr>
  </w:style>
  <w:style w:type="paragraph" w:customStyle="1" w:styleId="109">
    <w:name w:val="正文段"/>
    <w:basedOn w:val="1"/>
    <w:autoRedefine/>
    <w:qFormat/>
    <w:uiPriority w:val="0"/>
    <w:pPr>
      <w:widowControl/>
      <w:snapToGrid w:val="0"/>
      <w:spacing w:after="156" w:afterLines="50"/>
      <w:ind w:firstLine="200" w:firstLineChars="200"/>
    </w:pPr>
    <w:rPr>
      <w:rFonts w:ascii="Times New Roman" w:hAnsi="Times New Roman" w:cs="Times New Roman"/>
      <w:kern w:val="0"/>
      <w:szCs w:val="20"/>
    </w:rPr>
  </w:style>
  <w:style w:type="paragraph" w:customStyle="1" w:styleId="110">
    <w:name w:val="Char Char Char Char"/>
    <w:basedOn w:val="1"/>
    <w:autoRedefine/>
    <w:qFormat/>
    <w:uiPriority w:val="0"/>
    <w:pPr>
      <w:widowControl/>
      <w:spacing w:after="160" w:line="240" w:lineRule="exact"/>
      <w:jc w:val="left"/>
    </w:pPr>
    <w:rPr>
      <w:rFonts w:ascii="Verdana" w:hAnsi="Verdana" w:cs="Times New Roman"/>
      <w:kern w:val="0"/>
      <w:sz w:val="20"/>
      <w:szCs w:val="20"/>
      <w:lang w:eastAsia="en-US"/>
    </w:rPr>
  </w:style>
  <w:style w:type="paragraph" w:customStyle="1" w:styleId="111">
    <w:name w:val="xl25"/>
    <w:basedOn w:val="1"/>
    <w:autoRedefine/>
    <w:qFormat/>
    <w:uiPriority w:val="0"/>
    <w:pPr>
      <w:widowControl/>
      <w:spacing w:before="100" w:beforeAutospacing="1" w:after="100" w:afterAutospacing="1"/>
      <w:jc w:val="center"/>
      <w:textAlignment w:val="center"/>
    </w:pPr>
    <w:rPr>
      <w:rFonts w:hint="eastAsia" w:ascii="楷体_GB2312" w:eastAsia="楷体_GB2312" w:cs="Times New Roman"/>
      <w:kern w:val="0"/>
    </w:rPr>
  </w:style>
  <w:style w:type="paragraph" w:customStyle="1" w:styleId="112">
    <w:name w:val="标题 10"/>
    <w:basedOn w:val="3"/>
    <w:autoRedefine/>
    <w:qFormat/>
    <w:uiPriority w:val="0"/>
    <w:pPr>
      <w:jc w:val="center"/>
    </w:pPr>
    <w:rPr>
      <w:rFonts w:ascii="Times New Roman" w:hAnsi="Times New Roman"/>
      <w:kern w:val="0"/>
    </w:rPr>
  </w:style>
  <w:style w:type="paragraph" w:customStyle="1" w:styleId="113">
    <w:name w:val="默认段落字体 Para Char Char Char Char Char Char Char Char Char1 Char Char Char Char"/>
    <w:basedOn w:val="1"/>
    <w:autoRedefine/>
    <w:qFormat/>
    <w:uiPriority w:val="0"/>
    <w:rPr>
      <w:rFonts w:ascii="Tahoma" w:hAnsi="Tahoma" w:cs="Times New Roman"/>
      <w:szCs w:val="20"/>
    </w:rPr>
  </w:style>
  <w:style w:type="paragraph" w:customStyle="1" w:styleId="114">
    <w:name w:val="列表段落2"/>
    <w:basedOn w:val="1"/>
    <w:autoRedefine/>
    <w:qFormat/>
    <w:uiPriority w:val="0"/>
    <w:pPr>
      <w:ind w:firstLine="420" w:firstLineChars="200"/>
    </w:pPr>
    <w:rPr>
      <w:rFonts w:ascii="Calibri" w:hAnsi="Calibri" w:cs="Times New Roman"/>
      <w:sz w:val="21"/>
    </w:rPr>
  </w:style>
  <w:style w:type="paragraph" w:customStyle="1" w:styleId="115">
    <w:name w:val="表内文字"/>
    <w:basedOn w:val="1"/>
    <w:autoRedefine/>
    <w:qFormat/>
    <w:uiPriority w:val="0"/>
    <w:pPr>
      <w:tabs>
        <w:tab w:val="left" w:pos="1418"/>
      </w:tabs>
      <w:spacing w:line="360" w:lineRule="auto"/>
      <w:jc w:val="center"/>
    </w:pPr>
    <w:rPr>
      <w:rFonts w:hint="eastAsia" w:ascii="仿宋_GB2312" w:hAnsi="Times New Roman" w:eastAsia="仿宋_GB2312" w:cs="Times New Roman"/>
      <w:spacing w:val="-20"/>
      <w:kern w:val="0"/>
    </w:rPr>
  </w:style>
  <w:style w:type="paragraph" w:customStyle="1" w:styleId="116">
    <w:name w:val="正文1"/>
    <w:autoRedefine/>
    <w:qFormat/>
    <w:uiPriority w:val="0"/>
    <w:pPr>
      <w:suppressAutoHyphens/>
      <w:spacing w:after="180" w:line="312" w:lineRule="auto"/>
    </w:pPr>
    <w:rPr>
      <w:rFonts w:ascii="Helvetica Neue Light" w:hAnsi="Helvetica Neue Light" w:eastAsia="ヒラギノ角ゴ Pro W3" w:cs="Times New Roman"/>
      <w:color w:val="000000"/>
      <w:sz w:val="18"/>
      <w:lang w:val="en-US" w:eastAsia="zh-CN" w:bidi="ar-SA"/>
    </w:rPr>
  </w:style>
  <w:style w:type="paragraph" w:customStyle="1" w:styleId="117">
    <w:name w:val="标准正文"/>
    <w:basedOn w:val="1"/>
    <w:autoRedefine/>
    <w:qFormat/>
    <w:uiPriority w:val="0"/>
    <w:pPr>
      <w:widowControl/>
      <w:spacing w:before="156" w:after="156" w:line="360" w:lineRule="auto"/>
      <w:ind w:firstLine="480" w:firstLineChars="200"/>
      <w:jc w:val="left"/>
    </w:pPr>
    <w:rPr>
      <w:rFonts w:ascii="Times New Roman" w:hAnsi="Times New Roman" w:cs="Times New Roman"/>
      <w:kern w:val="0"/>
    </w:rPr>
  </w:style>
  <w:style w:type="paragraph" w:customStyle="1" w:styleId="118">
    <w:name w:val="Table Paragraph"/>
    <w:basedOn w:val="1"/>
    <w:autoRedefine/>
    <w:qFormat/>
    <w:uiPriority w:val="1"/>
    <w:rPr>
      <w:sz w:val="28"/>
      <w:lang w:val="zh-CN" w:bidi="zh-CN"/>
    </w:rPr>
  </w:style>
  <w:style w:type="paragraph" w:customStyle="1" w:styleId="119">
    <w:name w:val="表格文字"/>
    <w:basedOn w:val="16"/>
    <w:next w:val="12"/>
    <w:autoRedefine/>
    <w:qFormat/>
    <w:uiPriority w:val="0"/>
    <w:pPr>
      <w:adjustRightInd w:val="0"/>
      <w:spacing w:before="156" w:beforeLines="50" w:after="156" w:afterLines="50" w:line="420" w:lineRule="atLeast"/>
      <w:textAlignment w:val="baseline"/>
    </w:pPr>
    <w:rPr>
      <w:rFonts w:ascii="宋体" w:eastAsia="宋体" w:cs="Times New Roman"/>
    </w:rPr>
  </w:style>
  <w:style w:type="character" w:customStyle="1" w:styleId="120">
    <w:name w:val="font41"/>
    <w:autoRedefine/>
    <w:qFormat/>
    <w:uiPriority w:val="0"/>
    <w:rPr>
      <w:rFonts w:hint="default" w:ascii="Times New Roman" w:hAnsi="Times New Roman" w:cs="Times New Roman"/>
      <w:color w:val="000000"/>
      <w:sz w:val="24"/>
      <w:szCs w:val="24"/>
      <w:u w:val="none"/>
    </w:rPr>
  </w:style>
  <w:style w:type="character" w:customStyle="1" w:styleId="121">
    <w:name w:val="font31"/>
    <w:autoRedefine/>
    <w:qFormat/>
    <w:uiPriority w:val="0"/>
    <w:rPr>
      <w:rFonts w:hint="eastAsia" w:ascii="宋体" w:hAnsi="宋体" w:eastAsia="宋体" w:cs="宋体"/>
      <w:color w:val="000000"/>
      <w:sz w:val="24"/>
      <w:szCs w:val="24"/>
      <w:u w:val="none"/>
    </w:rPr>
  </w:style>
  <w:style w:type="paragraph" w:customStyle="1" w:styleId="122">
    <w:name w:val="修订2"/>
    <w:autoRedefine/>
    <w:hidden/>
    <w:semiHidden/>
    <w:qFormat/>
    <w:uiPriority w:val="99"/>
    <w:rPr>
      <w:rFonts w:ascii="宋体" w:hAnsi="宋体" w:eastAsia="宋体" w:cs="宋体"/>
      <w:kern w:val="2"/>
      <w:sz w:val="24"/>
      <w:szCs w:val="24"/>
      <w:lang w:val="en-US" w:eastAsia="zh-CN" w:bidi="ar-SA"/>
    </w:rPr>
  </w:style>
  <w:style w:type="paragraph" w:customStyle="1" w:styleId="123">
    <w:name w:val="修订3"/>
    <w:autoRedefine/>
    <w:hidden/>
    <w:semiHidden/>
    <w:qFormat/>
    <w:uiPriority w:val="99"/>
    <w:rPr>
      <w:rFonts w:ascii="宋体" w:hAnsi="宋体" w:eastAsia="宋体" w:cs="宋体"/>
      <w:kern w:val="2"/>
      <w:sz w:val="24"/>
      <w:szCs w:val="24"/>
      <w:lang w:val="en-US" w:eastAsia="zh-CN" w:bidi="ar-SA"/>
    </w:rPr>
  </w:style>
  <w:style w:type="paragraph" w:customStyle="1" w:styleId="124">
    <w:name w:val="修订4"/>
    <w:autoRedefine/>
    <w:hidden/>
    <w:semiHidden/>
    <w:qFormat/>
    <w:uiPriority w:val="99"/>
    <w:rPr>
      <w:rFonts w:ascii="宋体" w:hAnsi="宋体" w:eastAsia="宋体" w:cs="宋体"/>
      <w:kern w:val="2"/>
      <w:sz w:val="24"/>
      <w:szCs w:val="24"/>
      <w:lang w:val="en-US" w:eastAsia="zh-CN" w:bidi="ar-SA"/>
    </w:rPr>
  </w:style>
  <w:style w:type="table" w:customStyle="1" w:styleId="125">
    <w:name w:val="网格型1"/>
    <w:basedOn w:val="31"/>
    <w:autoRedefine/>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6">
    <w:name w:val="标题 4_0"/>
    <w:basedOn w:val="103"/>
    <w:next w:val="103"/>
    <w:autoRedefine/>
    <w:qFormat/>
    <w:uiPriority w:val="99"/>
    <w:pPr>
      <w:keepNext/>
      <w:keepLines/>
      <w:spacing w:before="280" w:after="290" w:line="374" w:lineRule="auto"/>
      <w:outlineLvl w:val="3"/>
    </w:pPr>
    <w:rPr>
      <w:rFonts w:ascii="Cambria Bold" w:hAnsi="Cambria Bold" w:eastAsia="ヒラギノ角ゴ Pro W3"/>
      <w:color w:val="000000"/>
      <w:sz w:val="28"/>
    </w:rPr>
  </w:style>
  <w:style w:type="paragraph" w:customStyle="1" w:styleId="127">
    <w:name w:val="纯文本_0"/>
    <w:autoRedefine/>
    <w:qFormat/>
    <w:uiPriority w:val="0"/>
    <w:pPr>
      <w:widowControl w:val="0"/>
      <w:jc w:val="both"/>
    </w:pPr>
    <w:rPr>
      <w:rFonts w:ascii="Arial Unicode MS" w:hAnsi="Arial Unicode MS" w:eastAsia="ヒラギノ角ゴ Pro W3" w:cstheme="minorBidi"/>
      <w:color w:val="000000"/>
      <w:kern w:val="2"/>
      <w:sz w:val="21"/>
      <w:szCs w:val="22"/>
      <w:lang w:val="en-US" w:eastAsia="zh-CN" w:bidi="ar-SA"/>
    </w:rPr>
  </w:style>
  <w:style w:type="paragraph" w:customStyle="1" w:styleId="128">
    <w:name w:val="样式 正文文本"/>
    <w:basedOn w:val="1"/>
    <w:autoRedefine/>
    <w:qFormat/>
    <w:uiPriority w:val="0"/>
    <w:pPr>
      <w:adjustRightInd w:val="0"/>
      <w:snapToGrid w:val="0"/>
      <w:spacing w:line="400" w:lineRule="exact"/>
      <w:ind w:firstLine="200" w:firstLineChars="200"/>
    </w:pPr>
    <w:rPr>
      <w:rFonts w:ascii="Arial" w:hAnsi="Arial" w:cs="Arial"/>
      <w:color w:val="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81C65F-3B0C-4B02-AF13-BD0BD0C07D54}">
  <ds:schemaRefs/>
</ds:datastoreItem>
</file>

<file path=docProps/app.xml><?xml version="1.0" encoding="utf-8"?>
<Properties xmlns="http://schemas.openxmlformats.org/officeDocument/2006/extended-properties" xmlns:vt="http://schemas.openxmlformats.org/officeDocument/2006/docPropsVTypes">
  <Template>Normal</Template>
  <Pages>86</Pages>
  <Words>49294</Words>
  <Characters>52240</Characters>
  <Lines>424</Lines>
  <Paragraphs>119</Paragraphs>
  <TotalTime>3</TotalTime>
  <ScaleCrop>false</ScaleCrop>
  <LinksUpToDate>false</LinksUpToDate>
  <CharactersWithSpaces>56953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2024-09-09T08:35:00Z</dcterms:created>
  <dc:creator>j hj</dc:creator>
  <cp:lastModifiedBy>陈培特</cp:lastModifiedBy>
  <cp:lastPrinted>2024-10-09T00:27:00Z</cp:lastPrinted>
  <dcterms:modified xsi:type="dcterms:W3CDTF">2024-10-17T01:01:32Z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B747C5F4E4BB4B78819752525780EA5C_12</vt:lpwstr>
  </property>
</Properties>
</file>