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仿宋" w:hAnsi="仿宋" w:eastAsia="仿宋" w:cs="仿宋"/>
          <w:b/>
          <w:color w:val="auto"/>
          <w:spacing w:val="-6"/>
          <w:sz w:val="84"/>
          <w:szCs w:val="84"/>
          <w:highlight w:val="none"/>
        </w:rPr>
      </w:pPr>
    </w:p>
    <w:p>
      <w:pPr>
        <w:adjustRightInd w:val="0"/>
        <w:snapToGrid w:val="0"/>
        <w:jc w:val="center"/>
        <w:rPr>
          <w:rFonts w:ascii="仿宋" w:hAnsi="仿宋" w:eastAsia="仿宋" w:cs="仿宋"/>
          <w:b/>
          <w:color w:val="auto"/>
          <w:spacing w:val="-6"/>
          <w:sz w:val="84"/>
          <w:szCs w:val="84"/>
          <w:highlight w:val="none"/>
        </w:rPr>
      </w:pPr>
    </w:p>
    <w:p>
      <w:pPr>
        <w:adjustRightInd w:val="0"/>
        <w:snapToGrid w:val="0"/>
        <w:spacing w:line="360" w:lineRule="auto"/>
        <w:jc w:val="center"/>
        <w:rPr>
          <w:rFonts w:ascii="仿宋" w:hAnsi="仿宋" w:eastAsia="仿宋" w:cs="仿宋"/>
          <w:b/>
          <w:color w:val="auto"/>
          <w:spacing w:val="-6"/>
          <w:sz w:val="84"/>
          <w:szCs w:val="84"/>
          <w:highlight w:val="none"/>
        </w:rPr>
      </w:pPr>
      <w:r>
        <w:rPr>
          <w:rFonts w:hint="eastAsia" w:ascii="仿宋" w:hAnsi="仿宋" w:eastAsia="仿宋" w:cs="仿宋"/>
          <w:b/>
          <w:color w:val="auto"/>
          <w:spacing w:val="-6"/>
          <w:sz w:val="84"/>
          <w:szCs w:val="84"/>
          <w:highlight w:val="none"/>
        </w:rPr>
        <w:t>之江实验室</w:t>
      </w:r>
    </w:p>
    <w:p>
      <w:pPr>
        <w:adjustRightInd w:val="0"/>
        <w:snapToGrid w:val="0"/>
        <w:spacing w:line="360" w:lineRule="auto"/>
        <w:jc w:val="center"/>
        <w:rPr>
          <w:rFonts w:hint="eastAsia" w:ascii="仿宋" w:hAnsi="仿宋" w:eastAsia="仿宋" w:cs="仿宋"/>
          <w:b/>
          <w:color w:val="auto"/>
          <w:spacing w:val="-6"/>
          <w:sz w:val="72"/>
          <w:szCs w:val="72"/>
          <w:highlight w:val="none"/>
          <w:lang w:eastAsia="zh-CN"/>
        </w:rPr>
      </w:pPr>
      <w:r>
        <w:rPr>
          <w:rFonts w:hint="eastAsia" w:ascii="仿宋" w:hAnsi="仿宋" w:eastAsia="仿宋" w:cs="仿宋"/>
          <w:b/>
          <w:color w:val="auto"/>
          <w:spacing w:val="-6"/>
          <w:sz w:val="72"/>
          <w:szCs w:val="72"/>
          <w:highlight w:val="none"/>
          <w:lang w:eastAsia="zh-CN"/>
        </w:rPr>
        <w:t>算力中心展厅展陈</w:t>
      </w:r>
    </w:p>
    <w:p>
      <w:pPr>
        <w:adjustRightInd w:val="0"/>
        <w:snapToGrid w:val="0"/>
        <w:spacing w:line="360" w:lineRule="auto"/>
        <w:jc w:val="center"/>
        <w:rPr>
          <w:rFonts w:ascii="仿宋" w:hAnsi="仿宋" w:eastAsia="仿宋" w:cs="仿宋"/>
          <w:b/>
          <w:color w:val="auto"/>
          <w:spacing w:val="-6"/>
          <w:sz w:val="72"/>
          <w:szCs w:val="72"/>
          <w:highlight w:val="none"/>
        </w:rPr>
      </w:pPr>
    </w:p>
    <w:p>
      <w:pPr>
        <w:adjustRightInd w:val="0"/>
        <w:snapToGrid w:val="0"/>
        <w:spacing w:line="288" w:lineRule="auto"/>
        <w:jc w:val="center"/>
        <w:rPr>
          <w:rFonts w:ascii="仿宋" w:hAnsi="仿宋" w:eastAsia="仿宋" w:cs="仿宋"/>
          <w:b/>
          <w:color w:val="auto"/>
          <w:spacing w:val="-6"/>
          <w:sz w:val="72"/>
          <w:szCs w:val="72"/>
          <w:highlight w:val="none"/>
        </w:rPr>
      </w:pPr>
      <w:r>
        <w:rPr>
          <w:rFonts w:hint="eastAsia" w:ascii="仿宋" w:hAnsi="仿宋" w:eastAsia="仿宋" w:cs="仿宋"/>
          <w:b/>
          <w:color w:val="auto"/>
          <w:spacing w:val="-6"/>
          <w:sz w:val="72"/>
          <w:szCs w:val="72"/>
          <w:highlight w:val="none"/>
        </w:rPr>
        <w:t>竞争性磋商文件</w:t>
      </w:r>
    </w:p>
    <w:p>
      <w:pPr>
        <w:adjustRightInd w:val="0"/>
        <w:snapToGrid w:val="0"/>
        <w:spacing w:line="360" w:lineRule="auto"/>
        <w:jc w:val="center"/>
        <w:rPr>
          <w:rFonts w:ascii="仿宋" w:hAnsi="仿宋" w:eastAsia="仿宋" w:cs="仿宋"/>
          <w:b/>
          <w:color w:val="auto"/>
          <w:spacing w:val="-6"/>
          <w:sz w:val="72"/>
          <w:szCs w:val="72"/>
          <w:highlight w:val="none"/>
        </w:rPr>
      </w:pPr>
    </w:p>
    <w:p>
      <w:pPr>
        <w:adjustRightInd w:val="0"/>
        <w:snapToGrid w:val="0"/>
        <w:spacing w:line="360" w:lineRule="auto"/>
        <w:jc w:val="center"/>
        <w:rPr>
          <w:rFonts w:ascii="仿宋" w:hAnsi="仿宋" w:eastAsia="仿宋" w:cs="仿宋"/>
          <w:b/>
          <w:color w:val="auto"/>
          <w:spacing w:val="-6"/>
          <w:sz w:val="72"/>
          <w:szCs w:val="72"/>
          <w:highlight w:val="none"/>
        </w:rPr>
      </w:pPr>
    </w:p>
    <w:p>
      <w:pPr>
        <w:adjustRightInd w:val="0"/>
        <w:snapToGrid w:val="0"/>
        <w:spacing w:line="360" w:lineRule="auto"/>
        <w:ind w:firstLine="1735" w:firstLineChars="600"/>
        <w:rPr>
          <w:rFonts w:hint="eastAsia" w:ascii="仿宋" w:hAnsi="仿宋" w:eastAsia="仿宋" w:cs="仿宋"/>
          <w:b/>
          <w:color w:val="auto"/>
          <w:spacing w:val="-6"/>
          <w:sz w:val="30"/>
          <w:szCs w:val="30"/>
          <w:highlight w:val="none"/>
          <w:lang w:eastAsia="zh-CN"/>
        </w:rPr>
      </w:pPr>
      <w:r>
        <w:rPr>
          <w:rFonts w:hint="eastAsia" w:ascii="仿宋" w:hAnsi="仿宋" w:eastAsia="仿宋" w:cs="仿宋"/>
          <w:b/>
          <w:color w:val="auto"/>
          <w:spacing w:val="-6"/>
          <w:sz w:val="30"/>
          <w:szCs w:val="30"/>
          <w:highlight w:val="none"/>
        </w:rPr>
        <w:t>项目名称：</w:t>
      </w:r>
      <w:r>
        <w:rPr>
          <w:rFonts w:hint="eastAsia" w:ascii="仿宋" w:hAnsi="仿宋" w:eastAsia="仿宋" w:cs="仿宋"/>
          <w:b/>
          <w:color w:val="auto"/>
          <w:spacing w:val="-6"/>
          <w:sz w:val="30"/>
          <w:szCs w:val="30"/>
          <w:highlight w:val="none"/>
          <w:lang w:eastAsia="zh-CN"/>
        </w:rPr>
        <w:t>算力中心展厅展陈</w:t>
      </w:r>
    </w:p>
    <w:p>
      <w:pPr>
        <w:adjustRightInd w:val="0"/>
        <w:snapToGrid w:val="0"/>
        <w:spacing w:line="360" w:lineRule="auto"/>
        <w:ind w:firstLine="1735" w:firstLineChars="600"/>
        <w:rPr>
          <w:rFonts w:hint="eastAsia" w:ascii="仿宋" w:hAnsi="仿宋" w:eastAsia="仿宋" w:cs="仿宋"/>
          <w:b/>
          <w:color w:val="auto"/>
          <w:spacing w:val="-6"/>
          <w:sz w:val="30"/>
          <w:szCs w:val="30"/>
          <w:highlight w:val="none"/>
          <w:lang w:eastAsia="zh-CN"/>
        </w:rPr>
      </w:pPr>
      <w:r>
        <w:rPr>
          <w:rFonts w:hint="eastAsia" w:ascii="仿宋" w:hAnsi="仿宋" w:eastAsia="仿宋" w:cs="仿宋"/>
          <w:b/>
          <w:color w:val="auto"/>
          <w:spacing w:val="-6"/>
          <w:sz w:val="30"/>
          <w:szCs w:val="30"/>
          <w:highlight w:val="none"/>
        </w:rPr>
        <w:t>项目编号：</w:t>
      </w:r>
      <w:r>
        <w:rPr>
          <w:rFonts w:hint="eastAsia" w:ascii="仿宋" w:hAnsi="仿宋" w:eastAsia="仿宋" w:cs="仿宋"/>
          <w:b/>
          <w:color w:val="auto"/>
          <w:spacing w:val="-6"/>
          <w:sz w:val="30"/>
          <w:szCs w:val="30"/>
          <w:highlight w:val="none"/>
          <w:lang w:eastAsia="zh-CN"/>
        </w:rPr>
        <w:t>ZJLAB-JZ-CS2024011</w:t>
      </w:r>
    </w:p>
    <w:p>
      <w:pPr>
        <w:adjustRightInd w:val="0"/>
        <w:snapToGrid w:val="0"/>
        <w:spacing w:line="360" w:lineRule="auto"/>
        <w:ind w:firstLine="1735" w:firstLineChars="600"/>
        <w:rPr>
          <w:rFonts w:ascii="仿宋" w:hAnsi="仿宋" w:eastAsia="仿宋" w:cs="仿宋"/>
          <w:b/>
          <w:color w:val="auto"/>
          <w:spacing w:val="-6"/>
          <w:sz w:val="30"/>
          <w:szCs w:val="30"/>
          <w:highlight w:val="none"/>
        </w:rPr>
      </w:pPr>
      <w:r>
        <w:rPr>
          <w:rFonts w:hint="eastAsia" w:ascii="仿宋" w:hAnsi="仿宋" w:eastAsia="仿宋" w:cs="仿宋"/>
          <w:b/>
          <w:color w:val="auto"/>
          <w:spacing w:val="-6"/>
          <w:sz w:val="30"/>
          <w:szCs w:val="30"/>
          <w:highlight w:val="none"/>
        </w:rPr>
        <w:t>采 购 人：之江实验室</w:t>
      </w:r>
    </w:p>
    <w:p>
      <w:pPr>
        <w:adjustRightInd w:val="0"/>
        <w:snapToGrid w:val="0"/>
        <w:spacing w:line="360" w:lineRule="auto"/>
        <w:ind w:firstLine="1735" w:firstLineChars="600"/>
        <w:rPr>
          <w:rFonts w:ascii="仿宋" w:hAnsi="仿宋" w:eastAsia="仿宋" w:cs="仿宋"/>
          <w:b/>
          <w:color w:val="auto"/>
          <w:spacing w:val="-6"/>
          <w:sz w:val="30"/>
          <w:szCs w:val="30"/>
          <w:highlight w:val="none"/>
        </w:rPr>
        <w:sectPr>
          <w:headerReference r:id="rId3" w:type="default"/>
          <w:type w:val="continuous"/>
          <w:pgSz w:w="11906" w:h="16838"/>
          <w:pgMar w:top="1440" w:right="1247" w:bottom="1440" w:left="1247" w:header="283" w:footer="850" w:gutter="0"/>
          <w:cols w:space="0" w:num="1"/>
          <w:docGrid w:linePitch="381" w:charSpace="0"/>
        </w:sectPr>
      </w:pPr>
      <w:r>
        <w:rPr>
          <w:rFonts w:hint="eastAsia" w:ascii="仿宋" w:hAnsi="仿宋" w:eastAsia="仿宋" w:cs="仿宋"/>
          <w:b/>
          <w:color w:val="auto"/>
          <w:spacing w:val="-6"/>
          <w:sz w:val="30"/>
          <w:szCs w:val="30"/>
          <w:highlight w:val="none"/>
        </w:rPr>
        <w:t>采购代理机构：浙江求是招标代理有限公司</w:t>
      </w:r>
    </w:p>
    <w:p>
      <w:pPr>
        <w:adjustRightInd w:val="0"/>
        <w:snapToGrid w:val="0"/>
        <w:jc w:val="center"/>
        <w:outlineLvl w:val="0"/>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目  录</w:t>
      </w:r>
    </w:p>
    <w:p>
      <w:pPr>
        <w:adjustRightInd w:val="0"/>
        <w:snapToGrid w:val="0"/>
        <w:ind w:firstLine="578" w:firstLineChars="200"/>
        <w:rPr>
          <w:rFonts w:ascii="仿宋" w:hAnsi="仿宋" w:eastAsia="仿宋" w:cs="仿宋"/>
          <w:b/>
          <w:color w:val="auto"/>
          <w:spacing w:val="-6"/>
          <w:sz w:val="30"/>
          <w:szCs w:val="30"/>
          <w:highlight w:val="none"/>
        </w:rPr>
      </w:pPr>
    </w:p>
    <w:p>
      <w:pPr>
        <w:adjustRightInd w:val="0"/>
        <w:snapToGrid w:val="0"/>
        <w:spacing w:line="360" w:lineRule="auto"/>
        <w:ind w:firstLine="578" w:firstLineChars="200"/>
        <w:rPr>
          <w:rFonts w:ascii="仿宋" w:hAnsi="仿宋" w:eastAsia="仿宋" w:cs="仿宋"/>
          <w:b/>
          <w:color w:val="auto"/>
          <w:spacing w:val="-6"/>
          <w:sz w:val="30"/>
          <w:szCs w:val="30"/>
          <w:highlight w:val="none"/>
        </w:rPr>
      </w:pPr>
      <w:r>
        <w:rPr>
          <w:rFonts w:hint="eastAsia" w:ascii="仿宋" w:hAnsi="仿宋" w:eastAsia="仿宋" w:cs="仿宋"/>
          <w:b/>
          <w:color w:val="auto"/>
          <w:spacing w:val="-6"/>
          <w:sz w:val="30"/>
          <w:szCs w:val="30"/>
          <w:highlight w:val="none"/>
        </w:rPr>
        <w:t>第一章  采购邀请</w:t>
      </w:r>
    </w:p>
    <w:p>
      <w:pPr>
        <w:adjustRightInd w:val="0"/>
        <w:snapToGrid w:val="0"/>
        <w:spacing w:line="360" w:lineRule="auto"/>
        <w:ind w:firstLine="578" w:firstLineChars="200"/>
        <w:rPr>
          <w:rFonts w:ascii="仿宋" w:hAnsi="仿宋" w:eastAsia="仿宋" w:cs="仿宋"/>
          <w:b/>
          <w:color w:val="auto"/>
          <w:spacing w:val="-6"/>
          <w:sz w:val="30"/>
          <w:szCs w:val="30"/>
          <w:highlight w:val="none"/>
        </w:rPr>
      </w:pPr>
      <w:r>
        <w:rPr>
          <w:rFonts w:hint="eastAsia" w:ascii="仿宋" w:hAnsi="仿宋" w:eastAsia="仿宋" w:cs="仿宋"/>
          <w:b/>
          <w:color w:val="auto"/>
          <w:spacing w:val="-6"/>
          <w:sz w:val="30"/>
          <w:szCs w:val="30"/>
          <w:highlight w:val="none"/>
        </w:rPr>
        <w:t>第二章  采购需求</w:t>
      </w:r>
    </w:p>
    <w:p>
      <w:pPr>
        <w:adjustRightInd w:val="0"/>
        <w:snapToGrid w:val="0"/>
        <w:spacing w:line="360" w:lineRule="auto"/>
        <w:ind w:firstLine="578" w:firstLineChars="200"/>
        <w:rPr>
          <w:rFonts w:ascii="仿宋" w:hAnsi="仿宋" w:eastAsia="仿宋" w:cs="仿宋"/>
          <w:b/>
          <w:color w:val="auto"/>
          <w:spacing w:val="-6"/>
          <w:sz w:val="30"/>
          <w:szCs w:val="30"/>
          <w:highlight w:val="none"/>
        </w:rPr>
      </w:pPr>
      <w:r>
        <w:rPr>
          <w:rFonts w:hint="eastAsia" w:ascii="仿宋" w:hAnsi="仿宋" w:eastAsia="仿宋" w:cs="仿宋"/>
          <w:b/>
          <w:color w:val="auto"/>
          <w:spacing w:val="-6"/>
          <w:sz w:val="30"/>
          <w:szCs w:val="30"/>
          <w:highlight w:val="none"/>
        </w:rPr>
        <w:t>第三章  供应商须知</w:t>
      </w:r>
    </w:p>
    <w:p>
      <w:pPr>
        <w:adjustRightInd w:val="0"/>
        <w:snapToGrid w:val="0"/>
        <w:spacing w:line="360" w:lineRule="auto"/>
        <w:ind w:firstLine="578" w:firstLineChars="200"/>
        <w:rPr>
          <w:rFonts w:ascii="仿宋" w:hAnsi="仿宋" w:eastAsia="仿宋" w:cs="仿宋"/>
          <w:b/>
          <w:color w:val="auto"/>
          <w:spacing w:val="-6"/>
          <w:sz w:val="30"/>
          <w:szCs w:val="30"/>
          <w:highlight w:val="none"/>
        </w:rPr>
      </w:pPr>
      <w:r>
        <w:rPr>
          <w:rFonts w:hint="eastAsia" w:ascii="仿宋" w:hAnsi="仿宋" w:eastAsia="仿宋" w:cs="仿宋"/>
          <w:b/>
          <w:color w:val="auto"/>
          <w:spacing w:val="-6"/>
          <w:sz w:val="30"/>
          <w:szCs w:val="30"/>
          <w:highlight w:val="none"/>
        </w:rPr>
        <w:t>第四章  评审方法和评审标准</w:t>
      </w:r>
    </w:p>
    <w:p>
      <w:pPr>
        <w:adjustRightInd w:val="0"/>
        <w:snapToGrid w:val="0"/>
        <w:spacing w:line="360" w:lineRule="auto"/>
        <w:ind w:firstLine="578" w:firstLineChars="200"/>
        <w:rPr>
          <w:rFonts w:ascii="仿宋" w:hAnsi="仿宋" w:eastAsia="仿宋" w:cs="仿宋"/>
          <w:b/>
          <w:color w:val="auto"/>
          <w:spacing w:val="-6"/>
          <w:sz w:val="30"/>
          <w:szCs w:val="30"/>
          <w:highlight w:val="none"/>
        </w:rPr>
      </w:pPr>
      <w:r>
        <w:rPr>
          <w:rFonts w:hint="eastAsia" w:ascii="仿宋" w:hAnsi="仿宋" w:eastAsia="仿宋" w:cs="仿宋"/>
          <w:b/>
          <w:color w:val="auto"/>
          <w:spacing w:val="-6"/>
          <w:sz w:val="30"/>
          <w:szCs w:val="30"/>
          <w:highlight w:val="none"/>
        </w:rPr>
        <w:t>第五章  拟签订的合同文本</w:t>
      </w:r>
    </w:p>
    <w:p>
      <w:pPr>
        <w:adjustRightInd w:val="0"/>
        <w:snapToGrid w:val="0"/>
        <w:spacing w:line="360" w:lineRule="auto"/>
        <w:ind w:firstLine="578" w:firstLineChars="200"/>
        <w:rPr>
          <w:rFonts w:ascii="仿宋" w:hAnsi="仿宋" w:eastAsia="仿宋" w:cs="仿宋"/>
          <w:b/>
          <w:color w:val="auto"/>
          <w:spacing w:val="-6"/>
          <w:sz w:val="30"/>
          <w:szCs w:val="30"/>
          <w:highlight w:val="none"/>
        </w:rPr>
      </w:pPr>
      <w:r>
        <w:rPr>
          <w:rFonts w:hint="eastAsia" w:ascii="仿宋" w:hAnsi="仿宋" w:eastAsia="仿宋" w:cs="仿宋"/>
          <w:b/>
          <w:color w:val="auto"/>
          <w:spacing w:val="-6"/>
          <w:sz w:val="30"/>
          <w:szCs w:val="30"/>
          <w:highlight w:val="none"/>
        </w:rPr>
        <w:t>第六章  响应文件格式</w:t>
      </w:r>
    </w:p>
    <w:p>
      <w:pPr>
        <w:adjustRightInd w:val="0"/>
        <w:snapToGrid w:val="0"/>
        <w:spacing w:line="288" w:lineRule="auto"/>
        <w:ind w:firstLine="578" w:firstLineChars="200"/>
        <w:rPr>
          <w:rFonts w:ascii="仿宋" w:hAnsi="仿宋" w:eastAsia="仿宋" w:cs="仿宋"/>
          <w:b/>
          <w:color w:val="auto"/>
          <w:spacing w:val="-6"/>
          <w:sz w:val="30"/>
          <w:szCs w:val="30"/>
          <w:highlight w:val="none"/>
        </w:rPr>
      </w:pPr>
      <w:r>
        <w:rPr>
          <w:rFonts w:hint="eastAsia" w:ascii="仿宋" w:hAnsi="仿宋" w:eastAsia="仿宋" w:cs="仿宋"/>
          <w:b/>
          <w:color w:val="auto"/>
          <w:spacing w:val="-6"/>
          <w:sz w:val="30"/>
          <w:szCs w:val="30"/>
          <w:highlight w:val="none"/>
        </w:rPr>
        <w:br w:type="page"/>
      </w:r>
    </w:p>
    <w:p>
      <w:pPr>
        <w:adjustRightInd w:val="0"/>
        <w:snapToGrid w:val="0"/>
        <w:spacing w:line="288" w:lineRule="auto"/>
        <w:jc w:val="center"/>
        <w:outlineLvl w:val="0"/>
        <w:rPr>
          <w:rFonts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第一章  采购邀请</w:t>
      </w:r>
    </w:p>
    <w:tbl>
      <w:tblPr>
        <w:tblStyle w:val="2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28" w:type="dxa"/>
          </w:tcPr>
          <w:p>
            <w:pPr>
              <w:adjustRightInd w:val="0"/>
              <w:snapToGrid w:val="0"/>
              <w:ind w:firstLine="422" w:firstLineChars="200"/>
              <w:rPr>
                <w:rFonts w:ascii="仿宋" w:hAnsi="仿宋" w:eastAsia="仿宋" w:cs="仿宋"/>
                <w:b/>
                <w:color w:val="auto"/>
                <w:szCs w:val="21"/>
                <w:highlight w:val="none"/>
              </w:rPr>
            </w:pPr>
            <w:bookmarkStart w:id="0" w:name="_Toc35393790"/>
            <w:bookmarkStart w:id="1" w:name="_Toc28359002"/>
            <w:bookmarkStart w:id="2" w:name="_Toc35393621"/>
            <w:bookmarkStart w:id="3" w:name="_Toc28359079"/>
            <w:bookmarkStart w:id="4" w:name="_Hlk24379207"/>
            <w:r>
              <w:rPr>
                <w:rFonts w:hint="eastAsia" w:ascii="仿宋" w:hAnsi="仿宋" w:eastAsia="仿宋" w:cs="仿宋"/>
                <w:b/>
                <w:color w:val="auto"/>
                <w:szCs w:val="21"/>
                <w:highlight w:val="none"/>
              </w:rPr>
              <w:t>项目概况</w:t>
            </w:r>
          </w:p>
          <w:p>
            <w:pPr>
              <w:adjustRightInd w:val="0"/>
              <w:snapToGrid w:val="0"/>
              <w:ind w:firstLine="422" w:firstLineChars="200"/>
              <w:rPr>
                <w:rFonts w:ascii="仿宋" w:hAnsi="仿宋" w:eastAsia="仿宋" w:cs="仿宋"/>
                <w:b/>
                <w:color w:val="auto"/>
                <w:szCs w:val="21"/>
                <w:highlight w:val="none"/>
              </w:rPr>
            </w:pPr>
            <w:r>
              <w:rPr>
                <w:rFonts w:hint="eastAsia" w:ascii="仿宋" w:hAnsi="仿宋" w:eastAsia="仿宋" w:cs="仿宋"/>
                <w:b/>
                <w:color w:val="auto"/>
                <w:szCs w:val="21"/>
                <w:highlight w:val="none"/>
                <w:lang w:eastAsia="zh-CN"/>
              </w:rPr>
              <w:t>算力中心展厅展陈</w:t>
            </w:r>
            <w:r>
              <w:rPr>
                <w:rFonts w:hint="eastAsia" w:ascii="仿宋" w:hAnsi="仿宋" w:eastAsia="仿宋" w:cs="仿宋"/>
                <w:b/>
                <w:color w:val="auto"/>
                <w:szCs w:val="21"/>
                <w:highlight w:val="none"/>
              </w:rPr>
              <w:t>采购项目的潜在供应商应在微信（关注“浙江求是招标代理有限公司”企业公众号）获取采购文件，并于</w:t>
            </w:r>
            <w:r>
              <w:rPr>
                <w:rFonts w:hint="eastAsia" w:ascii="仿宋" w:hAnsi="仿宋" w:eastAsia="仿宋" w:cs="仿宋"/>
                <w:b/>
                <w:color w:val="auto"/>
                <w:szCs w:val="21"/>
                <w:highlight w:val="none"/>
                <w:lang w:eastAsia="zh-CN"/>
              </w:rPr>
              <w:t>2024年05月11日</w:t>
            </w:r>
            <w:r>
              <w:rPr>
                <w:rFonts w:hint="eastAsia" w:ascii="仿宋" w:hAnsi="仿宋" w:eastAsia="仿宋" w:cs="仿宋"/>
                <w:b/>
                <w:color w:val="auto"/>
                <w:szCs w:val="21"/>
                <w:highlight w:val="none"/>
              </w:rPr>
              <w:t>下午14:00:00（北京时间）前提交响应文件。</w:t>
            </w:r>
          </w:p>
        </w:tc>
      </w:tr>
    </w:tbl>
    <w:p>
      <w:pPr>
        <w:adjustRightInd w:val="0"/>
        <w:snapToGrid w:val="0"/>
        <w:spacing w:line="288" w:lineRule="auto"/>
        <w:rPr>
          <w:rFonts w:ascii="仿宋" w:hAnsi="仿宋" w:eastAsia="仿宋" w:cs="仿宋"/>
          <w:b/>
          <w:color w:val="auto"/>
          <w:szCs w:val="21"/>
          <w:highlight w:val="none"/>
        </w:rPr>
      </w:pPr>
    </w:p>
    <w:p>
      <w:pPr>
        <w:adjustRightInd w:val="0"/>
        <w:snapToGrid w:val="0"/>
        <w:spacing w:line="288" w:lineRule="auto"/>
        <w:rPr>
          <w:rFonts w:ascii="仿宋" w:hAnsi="仿宋" w:eastAsia="仿宋" w:cs="仿宋"/>
          <w:b/>
          <w:color w:val="auto"/>
          <w:szCs w:val="21"/>
          <w:highlight w:val="none"/>
        </w:rPr>
      </w:pPr>
      <w:r>
        <w:rPr>
          <w:rFonts w:hint="eastAsia" w:ascii="仿宋" w:hAnsi="仿宋" w:eastAsia="仿宋" w:cs="仿宋"/>
          <w:b/>
          <w:color w:val="auto"/>
          <w:szCs w:val="21"/>
          <w:highlight w:val="none"/>
        </w:rPr>
        <w:t>一、项目基本情况</w:t>
      </w:r>
      <w:bookmarkEnd w:id="0"/>
      <w:bookmarkEnd w:id="1"/>
      <w:bookmarkEnd w:id="2"/>
      <w:bookmarkEnd w:id="3"/>
    </w:p>
    <w:p>
      <w:pPr>
        <w:adjustRightInd w:val="0"/>
        <w:snapToGrid w:val="0"/>
        <w:spacing w:line="288" w:lineRule="auto"/>
        <w:ind w:firstLine="420" w:firstLineChars="200"/>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rPr>
        <w:t>项目编号：</w:t>
      </w:r>
      <w:r>
        <w:rPr>
          <w:rFonts w:hint="eastAsia" w:ascii="仿宋" w:hAnsi="仿宋" w:eastAsia="仿宋" w:cs="仿宋"/>
          <w:color w:val="auto"/>
          <w:szCs w:val="21"/>
          <w:highlight w:val="none"/>
          <w:lang w:eastAsia="zh-CN"/>
        </w:rPr>
        <w:t>ZJLAB-JZ-CS2024011</w:t>
      </w:r>
    </w:p>
    <w:p>
      <w:pPr>
        <w:adjustRightInd w:val="0"/>
        <w:snapToGrid w:val="0"/>
        <w:spacing w:line="288" w:lineRule="auto"/>
        <w:ind w:firstLine="420" w:firstLineChars="200"/>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rPr>
        <w:t>项目名称：</w:t>
      </w:r>
      <w:r>
        <w:rPr>
          <w:rFonts w:hint="eastAsia" w:ascii="仿宋" w:hAnsi="仿宋" w:eastAsia="仿宋" w:cs="仿宋"/>
          <w:color w:val="auto"/>
          <w:szCs w:val="21"/>
          <w:highlight w:val="none"/>
          <w:lang w:eastAsia="zh-CN"/>
        </w:rPr>
        <w:t>算力中心展厅展陈</w:t>
      </w:r>
    </w:p>
    <w:bookmarkEnd w:id="4"/>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采购方式：竞争性磋商</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采购需求：</w:t>
      </w:r>
    </w:p>
    <w:tbl>
      <w:tblPr>
        <w:tblStyle w:val="27"/>
        <w:tblW w:w="961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71"/>
        <w:gridCol w:w="766"/>
        <w:gridCol w:w="3165"/>
        <w:gridCol w:w="1547"/>
        <w:gridCol w:w="12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871" w:type="dxa"/>
            <w:tcBorders>
              <w:left w:val="single" w:color="auto" w:sz="4" w:space="0"/>
              <w:right w:val="single" w:color="auto" w:sz="4" w:space="0"/>
            </w:tcBorders>
            <w:vAlign w:val="center"/>
          </w:tcPr>
          <w:p>
            <w:pPr>
              <w:jc w:val="center"/>
              <w:rPr>
                <w:rFonts w:ascii="仿宋" w:hAnsi="仿宋" w:eastAsia="仿宋" w:cs="仿宋"/>
                <w:b/>
                <w:bCs/>
                <w:color w:val="auto"/>
                <w:szCs w:val="21"/>
                <w:highlight w:val="none"/>
              </w:rPr>
            </w:pPr>
            <w:bookmarkStart w:id="5" w:name="_Toc28359080"/>
            <w:bookmarkStart w:id="6" w:name="_Toc35393791"/>
            <w:bookmarkStart w:id="7" w:name="_Toc28359003"/>
            <w:bookmarkStart w:id="8" w:name="_Toc35393622"/>
            <w:r>
              <w:rPr>
                <w:rFonts w:hint="eastAsia" w:ascii="仿宋" w:hAnsi="仿宋" w:eastAsia="仿宋" w:cs="仿宋"/>
                <w:b/>
                <w:bCs/>
                <w:color w:val="auto"/>
                <w:szCs w:val="21"/>
                <w:highlight w:val="none"/>
              </w:rPr>
              <w:t>名称</w:t>
            </w:r>
          </w:p>
        </w:tc>
        <w:tc>
          <w:tcPr>
            <w:tcW w:w="766"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数量</w:t>
            </w:r>
          </w:p>
        </w:tc>
        <w:tc>
          <w:tcPr>
            <w:tcW w:w="3165" w:type="dxa"/>
            <w:tcBorders>
              <w:right w:val="single" w:color="auto" w:sz="4" w:space="0"/>
            </w:tcBorders>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简要技术需求</w:t>
            </w:r>
          </w:p>
        </w:tc>
        <w:tc>
          <w:tcPr>
            <w:tcW w:w="1547"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是否允许采购进口产品</w:t>
            </w:r>
          </w:p>
        </w:tc>
        <w:tc>
          <w:tcPr>
            <w:tcW w:w="1266"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预算金额（万元）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871" w:type="dxa"/>
            <w:tcBorders>
              <w:left w:val="single" w:color="auto" w:sz="4" w:space="0"/>
              <w:right w:val="single" w:color="auto" w:sz="4" w:space="0"/>
            </w:tcBorders>
            <w:vAlign w:val="center"/>
          </w:tcPr>
          <w:p>
            <w:pPr>
              <w:jc w:val="center"/>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lang w:eastAsia="zh-CN"/>
              </w:rPr>
              <w:t>算力中心展厅展陈</w:t>
            </w:r>
          </w:p>
        </w:tc>
        <w:tc>
          <w:tcPr>
            <w:tcW w:w="766"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1项</w:t>
            </w:r>
          </w:p>
        </w:tc>
        <w:tc>
          <w:tcPr>
            <w:tcW w:w="3165" w:type="dxa"/>
            <w:tcBorders>
              <w:right w:val="single" w:color="auto" w:sz="4" w:space="0"/>
            </w:tcBorders>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“交钥匙”项目</w:t>
            </w:r>
          </w:p>
        </w:tc>
        <w:tc>
          <w:tcPr>
            <w:tcW w:w="154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否</w:t>
            </w:r>
          </w:p>
        </w:tc>
        <w:tc>
          <w:tcPr>
            <w:tcW w:w="1266" w:type="dxa"/>
            <w:vAlign w:val="center"/>
          </w:tcPr>
          <w:p>
            <w:pPr>
              <w:jc w:val="center"/>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244</w:t>
            </w:r>
          </w:p>
        </w:tc>
      </w:tr>
    </w:tbl>
    <w:p>
      <w:pPr>
        <w:adjustRightInd w:val="0"/>
        <w:snapToGrid w:val="0"/>
        <w:spacing w:line="288" w:lineRule="auto"/>
        <w:ind w:firstLine="420" w:firstLineChars="200"/>
        <w:rPr>
          <w:rFonts w:ascii="仿宋" w:hAnsi="仿宋" w:eastAsia="仿宋" w:cs="仿宋"/>
          <w:color w:val="auto"/>
          <w:szCs w:val="21"/>
          <w:highlight w:val="none"/>
        </w:rPr>
      </w:pPr>
    </w:p>
    <w:p>
      <w:pPr>
        <w:adjustRightInd w:val="0"/>
        <w:snapToGrid w:val="0"/>
        <w:spacing w:line="288" w:lineRule="auto"/>
        <w:ind w:firstLine="420" w:firstLineChars="200"/>
        <w:rPr>
          <w:rFonts w:ascii="仿宋" w:hAnsi="仿宋" w:eastAsia="仿宋" w:cs="仿宋"/>
          <w:color w:val="auto"/>
          <w:szCs w:val="21"/>
          <w:highlight w:val="none"/>
          <w:u w:val="single"/>
        </w:rPr>
      </w:pPr>
      <w:r>
        <w:rPr>
          <w:rFonts w:hint="eastAsia" w:ascii="仿宋" w:hAnsi="仿宋" w:eastAsia="仿宋" w:cs="仿宋"/>
          <w:color w:val="auto"/>
          <w:szCs w:val="21"/>
          <w:highlight w:val="none"/>
        </w:rPr>
        <w:t>合同履约期限：合同签订后30个自然日内</w:t>
      </w:r>
    </w:p>
    <w:p>
      <w:pPr>
        <w:adjustRightInd w:val="0"/>
        <w:snapToGrid w:val="0"/>
        <w:spacing w:line="288" w:lineRule="auto"/>
        <w:ind w:firstLine="420" w:firstLineChars="200"/>
        <w:rPr>
          <w:rFonts w:ascii="仿宋" w:hAnsi="仿宋" w:eastAsia="仿宋" w:cs="仿宋"/>
          <w:b/>
          <w:color w:val="auto"/>
          <w:szCs w:val="21"/>
          <w:highlight w:val="none"/>
        </w:rPr>
      </w:pPr>
      <w:r>
        <w:rPr>
          <w:rFonts w:hint="eastAsia" w:ascii="仿宋" w:hAnsi="仿宋" w:eastAsia="仿宋" w:cs="仿宋"/>
          <w:bCs/>
          <w:color w:val="auto"/>
          <w:szCs w:val="21"/>
          <w:highlight w:val="none"/>
        </w:rPr>
        <w:t>本项目（否）接受联合体响应。</w:t>
      </w:r>
    </w:p>
    <w:p>
      <w:pPr>
        <w:adjustRightInd w:val="0"/>
        <w:snapToGrid w:val="0"/>
        <w:spacing w:line="288" w:lineRule="auto"/>
        <w:rPr>
          <w:rFonts w:ascii="仿宋" w:hAnsi="仿宋" w:eastAsia="仿宋" w:cs="仿宋"/>
          <w:b/>
          <w:color w:val="auto"/>
          <w:szCs w:val="21"/>
          <w:highlight w:val="none"/>
        </w:rPr>
      </w:pPr>
      <w:r>
        <w:rPr>
          <w:rFonts w:hint="eastAsia" w:ascii="仿宋" w:hAnsi="仿宋" w:eastAsia="仿宋" w:cs="仿宋"/>
          <w:b/>
          <w:color w:val="auto"/>
          <w:szCs w:val="21"/>
          <w:highlight w:val="none"/>
        </w:rPr>
        <w:t>二、申请人的资格要求：</w:t>
      </w:r>
      <w:bookmarkEnd w:id="5"/>
      <w:bookmarkEnd w:id="6"/>
      <w:bookmarkEnd w:id="7"/>
      <w:bookmarkEnd w:id="8"/>
    </w:p>
    <w:p>
      <w:pPr>
        <w:adjustRightInd w:val="0"/>
        <w:snapToGrid w:val="0"/>
        <w:spacing w:line="288" w:lineRule="auto"/>
        <w:ind w:firstLine="420" w:firstLineChars="200"/>
        <w:rPr>
          <w:rFonts w:ascii="仿宋" w:hAnsi="仿宋" w:eastAsia="仿宋" w:cs="仿宋"/>
          <w:color w:val="auto"/>
          <w:szCs w:val="21"/>
          <w:highlight w:val="none"/>
        </w:rPr>
      </w:pPr>
      <w:bookmarkStart w:id="9" w:name="_Toc28359081"/>
      <w:bookmarkStart w:id="10" w:name="_Toc28359004"/>
      <w:r>
        <w:rPr>
          <w:rFonts w:hint="eastAsia" w:ascii="仿宋" w:hAnsi="仿宋" w:eastAsia="仿宋" w:cs="仿宋"/>
          <w:color w:val="auto"/>
          <w:szCs w:val="21"/>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2.落实政府采购政策需满足的资格要求：无</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3.本项目的特定资格要求：无</w:t>
      </w:r>
    </w:p>
    <w:p>
      <w:pPr>
        <w:adjustRightInd w:val="0"/>
        <w:snapToGrid w:val="0"/>
        <w:spacing w:line="288" w:lineRule="auto"/>
        <w:rPr>
          <w:rFonts w:ascii="仿宋" w:hAnsi="仿宋" w:eastAsia="仿宋" w:cs="仿宋"/>
          <w:b/>
          <w:color w:val="auto"/>
          <w:szCs w:val="21"/>
          <w:highlight w:val="none"/>
        </w:rPr>
      </w:pPr>
      <w:bookmarkStart w:id="11" w:name="_Toc35393623"/>
      <w:bookmarkStart w:id="12" w:name="_Toc35393792"/>
      <w:r>
        <w:rPr>
          <w:rFonts w:hint="eastAsia" w:ascii="仿宋" w:hAnsi="仿宋" w:eastAsia="仿宋" w:cs="仿宋"/>
          <w:b/>
          <w:color w:val="auto"/>
          <w:szCs w:val="21"/>
          <w:highlight w:val="none"/>
        </w:rPr>
        <w:t>三、</w:t>
      </w:r>
      <w:bookmarkEnd w:id="9"/>
      <w:bookmarkEnd w:id="10"/>
      <w:bookmarkEnd w:id="11"/>
      <w:bookmarkEnd w:id="12"/>
      <w:r>
        <w:rPr>
          <w:rFonts w:hint="eastAsia" w:ascii="仿宋" w:hAnsi="仿宋" w:eastAsia="仿宋" w:cs="仿宋"/>
          <w:b/>
          <w:color w:val="auto"/>
          <w:szCs w:val="21"/>
          <w:highlight w:val="none"/>
        </w:rPr>
        <w:t>获取采购文件</w:t>
      </w:r>
    </w:p>
    <w:p>
      <w:pPr>
        <w:adjustRightInd w:val="0"/>
        <w:snapToGrid w:val="0"/>
        <w:spacing w:line="288" w:lineRule="auto"/>
        <w:ind w:firstLine="420" w:firstLineChars="200"/>
        <w:rPr>
          <w:rFonts w:ascii="仿宋" w:hAnsi="仿宋" w:eastAsia="仿宋" w:cs="仿宋"/>
          <w:color w:val="auto"/>
          <w:szCs w:val="21"/>
          <w:highlight w:val="none"/>
        </w:rPr>
      </w:pPr>
      <w:bookmarkStart w:id="13" w:name="_Toc35393793"/>
      <w:bookmarkStart w:id="14" w:name="_Toc28359005"/>
      <w:bookmarkStart w:id="15" w:name="_Toc35393624"/>
      <w:bookmarkStart w:id="16" w:name="_Toc28359082"/>
      <w:r>
        <w:rPr>
          <w:rFonts w:hint="eastAsia" w:ascii="仿宋" w:hAnsi="仿宋" w:eastAsia="仿宋" w:cs="仿宋"/>
          <w:color w:val="auto"/>
          <w:szCs w:val="21"/>
          <w:highlight w:val="none"/>
        </w:rPr>
        <w:t>时间：2024年</w:t>
      </w:r>
      <w:r>
        <w:rPr>
          <w:rFonts w:hint="eastAsia" w:ascii="仿宋" w:hAnsi="仿宋" w:eastAsia="仿宋" w:cs="仿宋"/>
          <w:color w:val="auto"/>
          <w:szCs w:val="21"/>
          <w:highlight w:val="none"/>
          <w:lang w:val="en-US" w:eastAsia="zh-CN"/>
        </w:rPr>
        <w:t>04</w:t>
      </w:r>
      <w:r>
        <w:rPr>
          <w:rFonts w:hint="eastAsia" w:ascii="仿宋" w:hAnsi="仿宋" w:eastAsia="仿宋" w:cs="仿宋"/>
          <w:color w:val="auto"/>
          <w:szCs w:val="21"/>
          <w:highlight w:val="none"/>
        </w:rPr>
        <w:t>月</w:t>
      </w:r>
      <w:r>
        <w:rPr>
          <w:rFonts w:hint="eastAsia" w:ascii="仿宋" w:hAnsi="仿宋" w:eastAsia="仿宋" w:cs="仿宋"/>
          <w:color w:val="auto"/>
          <w:szCs w:val="21"/>
          <w:highlight w:val="none"/>
          <w:lang w:val="en-US" w:eastAsia="zh-CN"/>
        </w:rPr>
        <w:t>30</w:t>
      </w:r>
      <w:r>
        <w:rPr>
          <w:rFonts w:hint="eastAsia" w:ascii="仿宋" w:hAnsi="仿宋" w:eastAsia="仿宋" w:cs="仿宋"/>
          <w:color w:val="auto"/>
          <w:szCs w:val="21"/>
          <w:highlight w:val="none"/>
        </w:rPr>
        <w:t>日至2024年</w:t>
      </w:r>
      <w:r>
        <w:rPr>
          <w:rFonts w:hint="eastAsia" w:ascii="仿宋" w:hAnsi="仿宋" w:eastAsia="仿宋" w:cs="仿宋"/>
          <w:color w:val="auto"/>
          <w:szCs w:val="21"/>
          <w:highlight w:val="none"/>
          <w:lang w:val="en-US" w:eastAsia="zh-CN"/>
        </w:rPr>
        <w:t>05</w:t>
      </w:r>
      <w:r>
        <w:rPr>
          <w:rFonts w:hint="eastAsia" w:ascii="仿宋" w:hAnsi="仿宋" w:eastAsia="仿宋" w:cs="仿宋"/>
          <w:color w:val="auto"/>
          <w:szCs w:val="21"/>
          <w:highlight w:val="none"/>
        </w:rPr>
        <w:t>月</w:t>
      </w:r>
      <w:r>
        <w:rPr>
          <w:rFonts w:hint="eastAsia" w:ascii="仿宋" w:hAnsi="仿宋" w:eastAsia="仿宋" w:cs="仿宋"/>
          <w:color w:val="auto"/>
          <w:szCs w:val="21"/>
          <w:highlight w:val="none"/>
          <w:lang w:val="en-US" w:eastAsia="zh-CN"/>
        </w:rPr>
        <w:t>10</w:t>
      </w:r>
      <w:r>
        <w:rPr>
          <w:rFonts w:hint="eastAsia" w:ascii="仿宋" w:hAnsi="仿宋" w:eastAsia="仿宋" w:cs="仿宋"/>
          <w:color w:val="auto"/>
          <w:szCs w:val="21"/>
          <w:highlight w:val="none"/>
        </w:rPr>
        <w:t>日（北京时间，双休日及法定节假日除外），上午：8:30-11:30、下午：13:00-17:00。</w:t>
      </w:r>
    </w:p>
    <w:p>
      <w:pPr>
        <w:adjustRightInd w:val="0"/>
        <w:snapToGrid w:val="0"/>
        <w:spacing w:line="288" w:lineRule="auto"/>
        <w:ind w:firstLine="422" w:firstLineChars="200"/>
        <w:rPr>
          <w:rFonts w:ascii="仿宋" w:hAnsi="仿宋" w:eastAsia="仿宋" w:cs="仿宋"/>
          <w:b/>
          <w:bCs/>
          <w:color w:val="auto"/>
          <w:szCs w:val="21"/>
          <w:highlight w:val="none"/>
        </w:rPr>
      </w:pPr>
      <w:r>
        <w:rPr>
          <w:rFonts w:hint="eastAsia" w:ascii="仿宋" w:hAnsi="仿宋" w:eastAsia="仿宋" w:cs="仿宋"/>
          <w:b/>
          <w:bCs/>
          <w:color w:val="auto"/>
          <w:szCs w:val="21"/>
          <w:highlight w:val="none"/>
        </w:rPr>
        <w:t>备注：获取磋商文件截止时间之后潜在供应商依然可以获取磋商文件，对磋商文件有质疑的应在规定的质疑期限内提出。</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地点：微信</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方式：关注“浙江求是招标代理有限公司”企业公众号，文件获取申请函详见采购公告附件，获取文件联系人：於路莹 联系方式：0571-87666112 电子邮箱：bm@qszb.net。</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售价：¥500.0元（人民币）</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收款单位（户名）：浙江求是招标代理有限公司</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开户银行：工行浙大支行</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银行账号：1202024609900033043</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财务联系方式：0571-87666113</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开票信息请发送邮件至caiwu@qszb.net（提供项目名称或编号、开票资料、收件信息并注明专普票）</w:t>
      </w:r>
    </w:p>
    <w:p>
      <w:pPr>
        <w:adjustRightInd w:val="0"/>
        <w:snapToGrid w:val="0"/>
        <w:spacing w:line="288" w:lineRule="auto"/>
        <w:rPr>
          <w:rFonts w:ascii="仿宋" w:hAnsi="仿宋" w:eastAsia="仿宋" w:cs="仿宋"/>
          <w:b/>
          <w:color w:val="auto"/>
          <w:szCs w:val="21"/>
          <w:highlight w:val="none"/>
        </w:rPr>
      </w:pPr>
      <w:r>
        <w:rPr>
          <w:rFonts w:hint="eastAsia" w:ascii="仿宋" w:hAnsi="仿宋" w:eastAsia="仿宋" w:cs="仿宋"/>
          <w:b/>
          <w:color w:val="auto"/>
          <w:szCs w:val="21"/>
          <w:highlight w:val="none"/>
        </w:rPr>
        <w:t>四、</w:t>
      </w:r>
      <w:bookmarkEnd w:id="13"/>
      <w:bookmarkEnd w:id="14"/>
      <w:bookmarkEnd w:id="15"/>
      <w:bookmarkEnd w:id="16"/>
      <w:r>
        <w:rPr>
          <w:rFonts w:hint="eastAsia" w:ascii="仿宋" w:hAnsi="仿宋" w:eastAsia="仿宋" w:cs="仿宋"/>
          <w:b/>
          <w:color w:val="auto"/>
          <w:szCs w:val="21"/>
          <w:highlight w:val="none"/>
        </w:rPr>
        <w:t>响应文件提交</w:t>
      </w:r>
    </w:p>
    <w:p>
      <w:pPr>
        <w:adjustRightInd w:val="0"/>
        <w:snapToGrid w:val="0"/>
        <w:spacing w:line="288" w:lineRule="auto"/>
        <w:ind w:firstLine="420" w:firstLineChars="200"/>
        <w:rPr>
          <w:rFonts w:ascii="仿宋" w:hAnsi="仿宋" w:eastAsia="仿宋" w:cs="仿宋"/>
          <w:bCs/>
          <w:color w:val="auto"/>
          <w:szCs w:val="21"/>
          <w:highlight w:val="none"/>
        </w:rPr>
      </w:pPr>
      <w:bookmarkStart w:id="17" w:name="_Hlk81212057"/>
      <w:r>
        <w:rPr>
          <w:rFonts w:hint="eastAsia" w:ascii="仿宋" w:hAnsi="仿宋" w:eastAsia="仿宋" w:cs="仿宋"/>
          <w:bCs/>
          <w:color w:val="auto"/>
          <w:szCs w:val="21"/>
          <w:highlight w:val="none"/>
        </w:rPr>
        <w:t>截止时间：</w:t>
      </w:r>
      <w:r>
        <w:rPr>
          <w:rFonts w:hint="eastAsia" w:ascii="仿宋" w:hAnsi="仿宋" w:eastAsia="仿宋" w:cs="仿宋"/>
          <w:bCs/>
          <w:color w:val="auto"/>
          <w:szCs w:val="21"/>
          <w:highlight w:val="none"/>
          <w:lang w:eastAsia="zh-CN"/>
        </w:rPr>
        <w:t>2024年05月11日</w:t>
      </w:r>
      <w:r>
        <w:rPr>
          <w:rFonts w:hint="eastAsia" w:ascii="仿宋" w:hAnsi="仿宋" w:eastAsia="仿宋" w:cs="仿宋"/>
          <w:bCs/>
          <w:color w:val="auto"/>
          <w:szCs w:val="21"/>
          <w:highlight w:val="none"/>
        </w:rPr>
        <w:t>下午14:00:00（北京时间）</w:t>
      </w:r>
    </w:p>
    <w:p>
      <w:pPr>
        <w:adjustRightInd w:val="0"/>
        <w:snapToGrid w:val="0"/>
        <w:spacing w:line="288" w:lineRule="auto"/>
        <w:ind w:firstLine="420" w:firstLineChars="200"/>
        <w:rPr>
          <w:rFonts w:hint="eastAsia" w:ascii="仿宋" w:hAnsi="仿宋" w:eastAsia="仿宋" w:cs="仿宋"/>
          <w:bCs/>
          <w:color w:val="auto"/>
          <w:szCs w:val="21"/>
          <w:highlight w:val="none"/>
          <w:lang w:eastAsia="zh-CN"/>
        </w:rPr>
      </w:pPr>
      <w:r>
        <w:rPr>
          <w:rFonts w:hint="eastAsia" w:ascii="仿宋" w:hAnsi="仿宋" w:eastAsia="仿宋" w:cs="仿宋"/>
          <w:bCs/>
          <w:color w:val="auto"/>
          <w:szCs w:val="21"/>
          <w:highlight w:val="none"/>
        </w:rPr>
        <w:t>地点：</w:t>
      </w:r>
      <w:r>
        <w:rPr>
          <w:rFonts w:hint="eastAsia" w:ascii="仿宋" w:hAnsi="仿宋" w:eastAsia="仿宋" w:cs="仿宋"/>
          <w:bCs/>
          <w:color w:val="auto"/>
          <w:szCs w:val="21"/>
          <w:highlight w:val="none"/>
          <w:lang w:eastAsia="zh-CN"/>
        </w:rPr>
        <w:t>杭州市西湖区玉古路173号中田大厦21楼求是招标会议室4</w:t>
      </w:r>
    </w:p>
    <w:p>
      <w:pPr>
        <w:adjustRightInd w:val="0"/>
        <w:snapToGrid w:val="0"/>
        <w:spacing w:line="288" w:lineRule="auto"/>
        <w:ind w:firstLine="422" w:firstLineChars="200"/>
        <w:rPr>
          <w:rFonts w:ascii="仿宋" w:hAnsi="仿宋" w:eastAsia="仿宋" w:cs="仿宋"/>
          <w:bCs/>
          <w:color w:val="auto"/>
          <w:szCs w:val="21"/>
          <w:highlight w:val="none"/>
        </w:rPr>
      </w:pPr>
      <w:r>
        <w:rPr>
          <w:rFonts w:hint="eastAsia" w:ascii="仿宋" w:hAnsi="仿宋" w:eastAsia="仿宋" w:cs="仿宋"/>
          <w:b/>
          <w:color w:val="auto"/>
          <w:szCs w:val="21"/>
          <w:highlight w:val="none"/>
        </w:rPr>
        <w:t>备注：逾期送达或未按照磋商文件要求密封的响应文件采购代理机构将予以拒收</w:t>
      </w:r>
    </w:p>
    <w:bookmarkEnd w:id="17"/>
    <w:p>
      <w:pPr>
        <w:adjustRightInd w:val="0"/>
        <w:snapToGrid w:val="0"/>
        <w:spacing w:line="288" w:lineRule="auto"/>
        <w:rPr>
          <w:rFonts w:ascii="仿宋" w:hAnsi="仿宋" w:eastAsia="仿宋" w:cs="仿宋"/>
          <w:b/>
          <w:color w:val="auto"/>
          <w:szCs w:val="21"/>
          <w:highlight w:val="none"/>
        </w:rPr>
      </w:pPr>
      <w:r>
        <w:rPr>
          <w:rFonts w:hint="eastAsia" w:ascii="仿宋" w:hAnsi="仿宋" w:eastAsia="仿宋" w:cs="仿宋"/>
          <w:b/>
          <w:color w:val="auto"/>
          <w:szCs w:val="21"/>
          <w:highlight w:val="none"/>
        </w:rPr>
        <w:t>五、响应文件开启</w:t>
      </w:r>
    </w:p>
    <w:p>
      <w:pPr>
        <w:adjustRightInd w:val="0"/>
        <w:snapToGrid w:val="0"/>
        <w:spacing w:line="288" w:lineRule="auto"/>
        <w:ind w:firstLine="420" w:firstLineChars="200"/>
        <w:rPr>
          <w:rFonts w:ascii="仿宋" w:hAnsi="仿宋" w:eastAsia="仿宋" w:cs="仿宋"/>
          <w:bCs/>
          <w:color w:val="auto"/>
          <w:szCs w:val="21"/>
          <w:highlight w:val="none"/>
        </w:rPr>
      </w:pPr>
      <w:r>
        <w:rPr>
          <w:rFonts w:hint="eastAsia" w:ascii="仿宋" w:hAnsi="仿宋" w:eastAsia="仿宋" w:cs="仿宋"/>
          <w:bCs/>
          <w:color w:val="auto"/>
          <w:szCs w:val="21"/>
          <w:highlight w:val="none"/>
        </w:rPr>
        <w:t>开启时间：</w:t>
      </w:r>
      <w:r>
        <w:rPr>
          <w:rFonts w:hint="eastAsia" w:ascii="仿宋" w:hAnsi="仿宋" w:eastAsia="仿宋" w:cs="仿宋"/>
          <w:bCs/>
          <w:color w:val="auto"/>
          <w:szCs w:val="21"/>
          <w:highlight w:val="none"/>
          <w:lang w:eastAsia="zh-CN"/>
        </w:rPr>
        <w:t>2024年05月11日</w:t>
      </w:r>
      <w:r>
        <w:rPr>
          <w:rFonts w:hint="eastAsia" w:ascii="仿宋" w:hAnsi="仿宋" w:eastAsia="仿宋" w:cs="仿宋"/>
          <w:bCs/>
          <w:color w:val="auto"/>
          <w:szCs w:val="21"/>
          <w:highlight w:val="none"/>
        </w:rPr>
        <w:t>下午14:00:00（北京时间）</w:t>
      </w:r>
    </w:p>
    <w:p>
      <w:pPr>
        <w:adjustRightInd w:val="0"/>
        <w:snapToGrid w:val="0"/>
        <w:spacing w:line="288" w:lineRule="auto"/>
        <w:ind w:firstLine="420" w:firstLineChars="200"/>
        <w:rPr>
          <w:rFonts w:hint="eastAsia" w:ascii="仿宋" w:hAnsi="仿宋" w:eastAsia="仿宋" w:cs="仿宋"/>
          <w:bCs/>
          <w:color w:val="auto"/>
          <w:szCs w:val="21"/>
          <w:highlight w:val="none"/>
          <w:lang w:eastAsia="zh-CN"/>
        </w:rPr>
      </w:pPr>
      <w:r>
        <w:rPr>
          <w:rFonts w:hint="eastAsia" w:ascii="仿宋" w:hAnsi="仿宋" w:eastAsia="仿宋" w:cs="仿宋"/>
          <w:bCs/>
          <w:color w:val="auto"/>
          <w:szCs w:val="21"/>
          <w:highlight w:val="none"/>
        </w:rPr>
        <w:t>地点：</w:t>
      </w:r>
      <w:r>
        <w:rPr>
          <w:rFonts w:hint="eastAsia" w:ascii="仿宋" w:hAnsi="仿宋" w:eastAsia="仿宋" w:cs="仿宋"/>
          <w:bCs/>
          <w:color w:val="auto"/>
          <w:szCs w:val="21"/>
          <w:highlight w:val="none"/>
          <w:lang w:eastAsia="zh-CN"/>
        </w:rPr>
        <w:t>杭州市西湖区玉古路173号中田大厦21楼求是招标会议室4</w:t>
      </w:r>
    </w:p>
    <w:p>
      <w:pPr>
        <w:adjustRightInd w:val="0"/>
        <w:snapToGrid w:val="0"/>
        <w:spacing w:line="288" w:lineRule="auto"/>
        <w:rPr>
          <w:rFonts w:ascii="仿宋" w:hAnsi="仿宋" w:eastAsia="仿宋" w:cs="仿宋"/>
          <w:b/>
          <w:color w:val="auto"/>
          <w:szCs w:val="21"/>
          <w:highlight w:val="none"/>
        </w:rPr>
      </w:pPr>
      <w:bookmarkStart w:id="18" w:name="_Toc35393795"/>
      <w:bookmarkStart w:id="19" w:name="_Toc35393626"/>
      <w:r>
        <w:rPr>
          <w:rFonts w:hint="eastAsia" w:ascii="仿宋" w:hAnsi="仿宋" w:eastAsia="仿宋" w:cs="仿宋"/>
          <w:b/>
          <w:color w:val="auto"/>
          <w:szCs w:val="21"/>
          <w:highlight w:val="none"/>
        </w:rPr>
        <w:t>六、公告期限</w:t>
      </w:r>
    </w:p>
    <w:p>
      <w:pPr>
        <w:adjustRightInd w:val="0"/>
        <w:snapToGrid w:val="0"/>
        <w:spacing w:line="288" w:lineRule="auto"/>
        <w:ind w:firstLine="420" w:firstLineChars="200"/>
        <w:rPr>
          <w:rFonts w:ascii="仿宋" w:hAnsi="仿宋" w:eastAsia="仿宋" w:cs="仿宋"/>
          <w:bCs/>
          <w:color w:val="auto"/>
          <w:szCs w:val="21"/>
          <w:highlight w:val="none"/>
        </w:rPr>
      </w:pPr>
      <w:r>
        <w:rPr>
          <w:rFonts w:hint="eastAsia" w:ascii="仿宋" w:hAnsi="仿宋" w:eastAsia="仿宋" w:cs="仿宋"/>
          <w:bCs/>
          <w:color w:val="auto"/>
          <w:szCs w:val="21"/>
          <w:highlight w:val="none"/>
        </w:rPr>
        <w:t>自本公告发布之日起3个工作日。</w:t>
      </w:r>
    </w:p>
    <w:p>
      <w:pPr>
        <w:adjustRightInd w:val="0"/>
        <w:snapToGrid w:val="0"/>
        <w:spacing w:line="288" w:lineRule="auto"/>
        <w:rPr>
          <w:rFonts w:ascii="仿宋" w:hAnsi="仿宋" w:eastAsia="仿宋" w:cs="仿宋"/>
          <w:b/>
          <w:color w:val="auto"/>
          <w:szCs w:val="21"/>
          <w:highlight w:val="none"/>
        </w:rPr>
      </w:pPr>
      <w:r>
        <w:rPr>
          <w:rFonts w:hint="eastAsia" w:ascii="仿宋" w:hAnsi="仿宋" w:eastAsia="仿宋" w:cs="仿宋"/>
          <w:b/>
          <w:color w:val="auto"/>
          <w:szCs w:val="21"/>
          <w:highlight w:val="none"/>
        </w:rPr>
        <w:t>七、其他补充事宜</w:t>
      </w:r>
      <w:bookmarkEnd w:id="18"/>
      <w:bookmarkEnd w:id="19"/>
    </w:p>
    <w:p>
      <w:pPr>
        <w:adjustRightInd w:val="0"/>
        <w:snapToGrid w:val="0"/>
        <w:spacing w:line="288" w:lineRule="auto"/>
        <w:ind w:firstLine="420" w:firstLineChars="200"/>
        <w:rPr>
          <w:rFonts w:ascii="仿宋" w:hAnsi="仿宋" w:eastAsia="仿宋" w:cs="仿宋"/>
          <w:color w:val="auto"/>
          <w:szCs w:val="21"/>
          <w:highlight w:val="none"/>
        </w:rPr>
      </w:pPr>
      <w:bookmarkStart w:id="20" w:name="_Hlk92271331"/>
      <w:bookmarkStart w:id="21" w:name="_Hlk92271231"/>
      <w:r>
        <w:rPr>
          <w:rFonts w:hint="eastAsia" w:ascii="仿宋" w:hAnsi="仿宋" w:eastAsia="仿宋" w:cs="仿宋"/>
          <w:color w:val="auto"/>
          <w:szCs w:val="21"/>
          <w:highlight w:val="none"/>
        </w:rPr>
        <w:t>1.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函范本请到浙江政府采购网下载专区下载。</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2.其他事项：（1）需要落实的政府采购政策：包括节约资源、保护环境、促进中小企业发展等，具体详见磋商文件第三章“9.采购项目需要落实的政府采购政策”；▲</w:t>
      </w:r>
      <w:bookmarkStart w:id="22" w:name="_Hlk92271072"/>
      <w:r>
        <w:rPr>
          <w:rFonts w:hint="eastAsia" w:ascii="仿宋" w:hAnsi="仿宋" w:eastAsia="仿宋" w:cs="仿宋"/>
          <w:color w:val="auto"/>
          <w:szCs w:val="21"/>
          <w:highlight w:val="none"/>
        </w:rPr>
        <w:t>（2）单位负责人为同一人或者存在直接控股、管理关系的不同供应商，不得参加同一合同项下的采购活动；为采购项目提供整体设计、规范编制或者项目管理、监理、检测等服务后不得再参加该采购项目的其他采购活动。</w:t>
      </w:r>
      <w:bookmarkEnd w:id="22"/>
    </w:p>
    <w:bookmarkEnd w:id="20"/>
    <w:bookmarkEnd w:id="21"/>
    <w:p>
      <w:pPr>
        <w:adjustRightInd w:val="0"/>
        <w:snapToGrid w:val="0"/>
        <w:spacing w:line="288" w:lineRule="auto"/>
        <w:rPr>
          <w:rFonts w:ascii="仿宋" w:hAnsi="仿宋" w:eastAsia="仿宋" w:cs="仿宋"/>
          <w:b/>
          <w:color w:val="auto"/>
          <w:szCs w:val="21"/>
          <w:highlight w:val="none"/>
        </w:rPr>
      </w:pPr>
      <w:bookmarkStart w:id="23" w:name="_Toc35393627"/>
      <w:bookmarkStart w:id="24" w:name="_Toc35393796"/>
      <w:bookmarkStart w:id="25" w:name="_Toc28359085"/>
      <w:bookmarkStart w:id="26" w:name="_Toc28359008"/>
      <w:r>
        <w:rPr>
          <w:rFonts w:hint="eastAsia" w:ascii="仿宋" w:hAnsi="仿宋" w:eastAsia="仿宋" w:cs="仿宋"/>
          <w:b/>
          <w:color w:val="auto"/>
          <w:szCs w:val="21"/>
          <w:highlight w:val="none"/>
        </w:rPr>
        <w:t>八、</w:t>
      </w:r>
      <w:bookmarkEnd w:id="23"/>
      <w:bookmarkEnd w:id="24"/>
      <w:bookmarkEnd w:id="25"/>
      <w:bookmarkEnd w:id="26"/>
      <w:r>
        <w:rPr>
          <w:rFonts w:hint="eastAsia" w:ascii="仿宋" w:hAnsi="仿宋" w:eastAsia="仿宋" w:cs="仿宋"/>
          <w:b/>
          <w:color w:val="auto"/>
          <w:szCs w:val="21"/>
          <w:highlight w:val="none"/>
        </w:rPr>
        <w:t>凡对本次采购提出询问、质疑，请按以下方式联系。</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1.采购人信息</w:t>
      </w:r>
    </w:p>
    <w:p>
      <w:pPr>
        <w:adjustRightInd w:val="0"/>
        <w:snapToGrid w:val="0"/>
        <w:spacing w:line="288" w:lineRule="auto"/>
        <w:ind w:firstLine="630" w:firstLineChars="300"/>
        <w:rPr>
          <w:rFonts w:ascii="仿宋" w:hAnsi="仿宋" w:eastAsia="仿宋" w:cs="仿宋"/>
          <w:color w:val="auto"/>
          <w:szCs w:val="21"/>
          <w:highlight w:val="none"/>
        </w:rPr>
      </w:pPr>
      <w:r>
        <w:rPr>
          <w:rFonts w:hint="eastAsia" w:ascii="仿宋" w:hAnsi="仿宋" w:eastAsia="仿宋" w:cs="仿宋"/>
          <w:color w:val="auto"/>
          <w:szCs w:val="21"/>
          <w:highlight w:val="none"/>
        </w:rPr>
        <w:t>名称：之江实验室</w:t>
      </w:r>
    </w:p>
    <w:p>
      <w:pPr>
        <w:adjustRightInd w:val="0"/>
        <w:snapToGrid w:val="0"/>
        <w:spacing w:line="288" w:lineRule="auto"/>
        <w:ind w:firstLine="630" w:firstLineChars="300"/>
        <w:rPr>
          <w:rFonts w:ascii="仿宋" w:hAnsi="仿宋" w:eastAsia="仿宋" w:cs="仿宋"/>
          <w:color w:val="auto"/>
          <w:szCs w:val="21"/>
          <w:highlight w:val="none"/>
        </w:rPr>
      </w:pPr>
      <w:r>
        <w:rPr>
          <w:rFonts w:hint="eastAsia" w:ascii="仿宋" w:hAnsi="仿宋" w:eastAsia="仿宋" w:cs="仿宋"/>
          <w:color w:val="auto"/>
          <w:szCs w:val="21"/>
          <w:highlight w:val="none"/>
        </w:rPr>
        <w:t>地址：杭州市余杭区中泰街道之江实验室新园区一期西区1号楼13楼</w:t>
      </w:r>
    </w:p>
    <w:p>
      <w:pPr>
        <w:adjustRightInd w:val="0"/>
        <w:snapToGrid w:val="0"/>
        <w:spacing w:line="288" w:lineRule="auto"/>
        <w:ind w:firstLine="630" w:firstLineChars="300"/>
        <w:rPr>
          <w:rFonts w:ascii="仿宋" w:hAnsi="仿宋" w:eastAsia="仿宋" w:cs="仿宋"/>
          <w:color w:val="auto"/>
          <w:szCs w:val="21"/>
          <w:highlight w:val="none"/>
        </w:rPr>
      </w:pPr>
      <w:r>
        <w:rPr>
          <w:rFonts w:hint="eastAsia" w:ascii="仿宋" w:hAnsi="仿宋" w:eastAsia="仿宋" w:cs="仿宋"/>
          <w:color w:val="auto"/>
          <w:szCs w:val="21"/>
          <w:highlight w:val="none"/>
        </w:rPr>
        <w:t>传真：/</w:t>
      </w:r>
    </w:p>
    <w:p>
      <w:pPr>
        <w:adjustRightInd w:val="0"/>
        <w:snapToGrid w:val="0"/>
        <w:spacing w:line="288" w:lineRule="auto"/>
        <w:ind w:firstLine="630" w:firstLineChars="300"/>
        <w:rPr>
          <w:rFonts w:ascii="仿宋" w:hAnsi="仿宋" w:eastAsia="仿宋" w:cs="仿宋"/>
          <w:color w:val="auto"/>
          <w:szCs w:val="21"/>
          <w:highlight w:val="none"/>
        </w:rPr>
      </w:pPr>
      <w:r>
        <w:rPr>
          <w:rFonts w:hint="eastAsia" w:ascii="仿宋" w:hAnsi="仿宋" w:eastAsia="仿宋" w:cs="仿宋"/>
          <w:color w:val="auto"/>
          <w:szCs w:val="21"/>
          <w:highlight w:val="none"/>
        </w:rPr>
        <w:t>项目联系人（询问）：周立超</w:t>
      </w:r>
    </w:p>
    <w:p>
      <w:pPr>
        <w:adjustRightInd w:val="0"/>
        <w:snapToGrid w:val="0"/>
        <w:spacing w:line="288" w:lineRule="auto"/>
        <w:ind w:firstLine="630" w:firstLineChars="300"/>
        <w:rPr>
          <w:rFonts w:ascii="仿宋" w:hAnsi="仿宋" w:eastAsia="仿宋" w:cs="仿宋"/>
          <w:color w:val="auto"/>
          <w:szCs w:val="21"/>
          <w:highlight w:val="none"/>
        </w:rPr>
      </w:pPr>
      <w:r>
        <w:rPr>
          <w:rFonts w:hint="eastAsia" w:ascii="仿宋" w:hAnsi="仿宋" w:eastAsia="仿宋" w:cs="仿宋"/>
          <w:color w:val="auto"/>
          <w:szCs w:val="21"/>
          <w:highlight w:val="none"/>
        </w:rPr>
        <w:t>项目联系方式（询问）：1</w:t>
      </w:r>
      <w:r>
        <w:rPr>
          <w:rFonts w:ascii="仿宋" w:hAnsi="仿宋" w:eastAsia="仿宋" w:cs="仿宋"/>
          <w:color w:val="auto"/>
          <w:szCs w:val="21"/>
          <w:highlight w:val="none"/>
        </w:rPr>
        <w:t>8368841670</w:t>
      </w:r>
    </w:p>
    <w:p>
      <w:pPr>
        <w:adjustRightInd w:val="0"/>
        <w:snapToGrid w:val="0"/>
        <w:spacing w:line="288" w:lineRule="auto"/>
        <w:ind w:firstLine="630" w:firstLineChars="300"/>
        <w:rPr>
          <w:rFonts w:ascii="仿宋" w:hAnsi="仿宋" w:eastAsia="仿宋" w:cs="仿宋"/>
          <w:color w:val="auto"/>
          <w:szCs w:val="21"/>
          <w:highlight w:val="none"/>
        </w:rPr>
      </w:pPr>
      <w:r>
        <w:rPr>
          <w:rFonts w:hint="eastAsia" w:ascii="仿宋" w:hAnsi="仿宋" w:eastAsia="仿宋" w:cs="仿宋"/>
          <w:color w:val="auto"/>
          <w:szCs w:val="21"/>
          <w:highlight w:val="none"/>
        </w:rPr>
        <w:t>联系人（询问）：俞老师</w:t>
      </w:r>
    </w:p>
    <w:p>
      <w:pPr>
        <w:adjustRightInd w:val="0"/>
        <w:snapToGrid w:val="0"/>
        <w:spacing w:line="288" w:lineRule="auto"/>
        <w:ind w:firstLine="630" w:firstLineChars="300"/>
        <w:rPr>
          <w:rFonts w:hint="eastAsia" w:ascii="仿宋" w:hAnsi="仿宋" w:eastAsia="仿宋" w:cs="仿宋"/>
          <w:color w:val="auto"/>
          <w:szCs w:val="21"/>
          <w:highlight w:val="none"/>
        </w:rPr>
      </w:pPr>
      <w:r>
        <w:rPr>
          <w:rFonts w:hint="eastAsia" w:ascii="仿宋" w:hAnsi="仿宋" w:eastAsia="仿宋" w:cs="仿宋"/>
          <w:color w:val="auto"/>
          <w:szCs w:val="21"/>
          <w:highlight w:val="none"/>
        </w:rPr>
        <w:t>联系方式（询问）：0571-56393505</w:t>
      </w:r>
    </w:p>
    <w:p>
      <w:pPr>
        <w:adjustRightInd w:val="0"/>
        <w:snapToGrid w:val="0"/>
        <w:spacing w:line="288" w:lineRule="auto"/>
        <w:ind w:firstLine="630" w:firstLineChars="300"/>
        <w:rPr>
          <w:rFonts w:ascii="仿宋" w:hAnsi="仿宋" w:eastAsia="仿宋" w:cs="仿宋"/>
          <w:color w:val="auto"/>
          <w:szCs w:val="21"/>
          <w:highlight w:val="none"/>
        </w:rPr>
      </w:pPr>
      <w:r>
        <w:rPr>
          <w:rFonts w:hint="eastAsia" w:ascii="仿宋" w:hAnsi="仿宋" w:eastAsia="仿宋" w:cs="仿宋"/>
          <w:color w:val="auto"/>
          <w:szCs w:val="21"/>
          <w:highlight w:val="none"/>
        </w:rPr>
        <w:t>质疑、投诉联系人：钟老师</w:t>
      </w:r>
    </w:p>
    <w:p>
      <w:pPr>
        <w:adjustRightInd w:val="0"/>
        <w:snapToGrid w:val="0"/>
        <w:spacing w:line="288" w:lineRule="auto"/>
        <w:ind w:firstLine="630" w:firstLineChars="300"/>
        <w:rPr>
          <w:rFonts w:ascii="仿宋" w:hAnsi="仿宋" w:eastAsia="仿宋" w:cs="仿宋"/>
          <w:color w:val="auto"/>
          <w:szCs w:val="21"/>
          <w:highlight w:val="none"/>
        </w:rPr>
      </w:pPr>
      <w:r>
        <w:rPr>
          <w:rFonts w:hint="eastAsia" w:ascii="仿宋" w:hAnsi="仿宋" w:eastAsia="仿宋" w:cs="仿宋"/>
          <w:color w:val="auto"/>
          <w:szCs w:val="21"/>
          <w:highlight w:val="none"/>
        </w:rPr>
        <w:t>联系方法：0571-56390603</w:t>
      </w:r>
    </w:p>
    <w:p>
      <w:pPr>
        <w:adjustRightInd w:val="0"/>
        <w:snapToGrid w:val="0"/>
        <w:spacing w:line="288" w:lineRule="auto"/>
        <w:ind w:firstLine="630" w:firstLineChars="300"/>
        <w:rPr>
          <w:rFonts w:ascii="仿宋" w:hAnsi="仿宋" w:eastAsia="仿宋" w:cs="仿宋"/>
          <w:color w:val="auto"/>
          <w:szCs w:val="21"/>
          <w:highlight w:val="none"/>
        </w:rPr>
      </w:pPr>
      <w:r>
        <w:rPr>
          <w:rFonts w:hint="eastAsia" w:ascii="仿宋" w:hAnsi="仿宋" w:eastAsia="仿宋" w:cs="仿宋"/>
          <w:color w:val="auto"/>
          <w:szCs w:val="21"/>
          <w:highlight w:val="none"/>
        </w:rPr>
        <w:t>纪检监督联系人：饶老师</w:t>
      </w:r>
    </w:p>
    <w:p>
      <w:pPr>
        <w:adjustRightInd w:val="0"/>
        <w:snapToGrid w:val="0"/>
        <w:spacing w:line="288" w:lineRule="auto"/>
        <w:ind w:firstLine="630" w:firstLineChars="300"/>
        <w:rPr>
          <w:color w:val="auto"/>
          <w:highlight w:val="none"/>
        </w:rPr>
      </w:pPr>
      <w:r>
        <w:rPr>
          <w:rFonts w:hint="eastAsia" w:ascii="仿宋" w:hAnsi="仿宋" w:eastAsia="仿宋" w:cs="仿宋"/>
          <w:color w:val="auto"/>
          <w:szCs w:val="21"/>
          <w:highlight w:val="none"/>
        </w:rPr>
        <w:t>联系方法：0571-58005087</w:t>
      </w:r>
    </w:p>
    <w:p>
      <w:pPr>
        <w:adjustRightInd w:val="0"/>
        <w:snapToGrid w:val="0"/>
        <w:spacing w:line="288" w:lineRule="auto"/>
        <w:ind w:firstLine="420" w:firstLineChars="200"/>
        <w:rPr>
          <w:rFonts w:ascii="仿宋" w:hAnsi="仿宋" w:eastAsia="仿宋" w:cs="仿宋"/>
          <w:color w:val="auto"/>
          <w:szCs w:val="21"/>
          <w:highlight w:val="none"/>
        </w:rPr>
      </w:pP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2.采购代理机构信息</w:t>
      </w:r>
    </w:p>
    <w:p>
      <w:pPr>
        <w:adjustRightInd w:val="0"/>
        <w:snapToGrid w:val="0"/>
        <w:spacing w:line="288" w:lineRule="auto"/>
        <w:ind w:firstLine="630" w:firstLineChars="300"/>
        <w:rPr>
          <w:rFonts w:ascii="仿宋" w:hAnsi="仿宋" w:eastAsia="仿宋" w:cs="仿宋"/>
          <w:color w:val="auto"/>
          <w:szCs w:val="21"/>
          <w:highlight w:val="none"/>
        </w:rPr>
      </w:pPr>
      <w:r>
        <w:rPr>
          <w:rFonts w:hint="eastAsia" w:ascii="仿宋" w:hAnsi="仿宋" w:eastAsia="仿宋" w:cs="仿宋"/>
          <w:color w:val="auto"/>
          <w:szCs w:val="21"/>
          <w:highlight w:val="none"/>
        </w:rPr>
        <w:t>名称：浙江求是招标代理有限公司</w:t>
      </w:r>
    </w:p>
    <w:p>
      <w:pPr>
        <w:adjustRightInd w:val="0"/>
        <w:snapToGrid w:val="0"/>
        <w:spacing w:line="288" w:lineRule="auto"/>
        <w:ind w:firstLine="630" w:firstLineChars="300"/>
        <w:rPr>
          <w:rFonts w:ascii="仿宋" w:hAnsi="仿宋" w:eastAsia="仿宋" w:cs="仿宋"/>
          <w:color w:val="auto"/>
          <w:szCs w:val="21"/>
          <w:highlight w:val="none"/>
        </w:rPr>
      </w:pPr>
      <w:r>
        <w:rPr>
          <w:rFonts w:hint="eastAsia" w:ascii="仿宋" w:hAnsi="仿宋" w:eastAsia="仿宋" w:cs="仿宋"/>
          <w:color w:val="auto"/>
          <w:szCs w:val="21"/>
          <w:highlight w:val="none"/>
        </w:rPr>
        <w:t>地址：杭州市西湖区玉古路173号中田大厦21楼</w:t>
      </w:r>
    </w:p>
    <w:p>
      <w:pPr>
        <w:adjustRightInd w:val="0"/>
        <w:snapToGrid w:val="0"/>
        <w:spacing w:line="288" w:lineRule="auto"/>
        <w:ind w:firstLine="630" w:firstLineChars="300"/>
        <w:rPr>
          <w:rFonts w:ascii="仿宋" w:hAnsi="仿宋" w:eastAsia="仿宋" w:cs="仿宋"/>
          <w:color w:val="auto"/>
          <w:szCs w:val="21"/>
          <w:highlight w:val="none"/>
        </w:rPr>
      </w:pPr>
      <w:r>
        <w:rPr>
          <w:rFonts w:hint="eastAsia" w:ascii="仿宋" w:hAnsi="仿宋" w:eastAsia="仿宋" w:cs="仿宋"/>
          <w:color w:val="auto"/>
          <w:szCs w:val="21"/>
          <w:highlight w:val="none"/>
        </w:rPr>
        <w:t>传真：/</w:t>
      </w:r>
    </w:p>
    <w:p>
      <w:pPr>
        <w:adjustRightInd w:val="0"/>
        <w:snapToGrid w:val="0"/>
        <w:spacing w:line="288" w:lineRule="auto"/>
        <w:ind w:firstLine="630" w:firstLineChars="300"/>
        <w:rPr>
          <w:rFonts w:ascii="仿宋" w:hAnsi="仿宋" w:eastAsia="仿宋" w:cs="仿宋"/>
          <w:color w:val="auto"/>
          <w:szCs w:val="21"/>
          <w:highlight w:val="none"/>
        </w:rPr>
      </w:pPr>
      <w:r>
        <w:rPr>
          <w:rFonts w:hint="eastAsia" w:ascii="仿宋" w:hAnsi="仿宋" w:eastAsia="仿宋" w:cs="仿宋"/>
          <w:color w:val="auto"/>
          <w:szCs w:val="21"/>
          <w:highlight w:val="none"/>
        </w:rPr>
        <w:t>项目联系人（询问）：杨立凯、元俊仁、符佳慧</w:t>
      </w:r>
    </w:p>
    <w:p>
      <w:pPr>
        <w:adjustRightInd w:val="0"/>
        <w:snapToGrid w:val="0"/>
        <w:spacing w:line="288" w:lineRule="auto"/>
        <w:ind w:firstLine="630" w:firstLineChars="300"/>
        <w:rPr>
          <w:rFonts w:ascii="仿宋" w:hAnsi="仿宋" w:eastAsia="仿宋" w:cs="仿宋"/>
          <w:color w:val="auto"/>
          <w:szCs w:val="21"/>
          <w:highlight w:val="none"/>
        </w:rPr>
      </w:pPr>
      <w:r>
        <w:rPr>
          <w:rFonts w:hint="eastAsia" w:ascii="仿宋" w:hAnsi="仿宋" w:eastAsia="仿宋" w:cs="仿宋"/>
          <w:color w:val="auto"/>
          <w:szCs w:val="21"/>
          <w:highlight w:val="none"/>
        </w:rPr>
        <w:t>项目联系方式（询问）：0571-87679349</w:t>
      </w:r>
    </w:p>
    <w:p>
      <w:pPr>
        <w:adjustRightInd w:val="0"/>
        <w:snapToGrid w:val="0"/>
        <w:spacing w:line="288" w:lineRule="auto"/>
        <w:ind w:firstLine="630" w:firstLineChars="300"/>
        <w:rPr>
          <w:rFonts w:ascii="仿宋" w:hAnsi="仿宋" w:eastAsia="仿宋" w:cs="仿宋"/>
          <w:color w:val="auto"/>
          <w:szCs w:val="21"/>
          <w:highlight w:val="none"/>
        </w:rPr>
      </w:pPr>
      <w:r>
        <w:rPr>
          <w:rFonts w:hint="eastAsia" w:ascii="仿宋" w:hAnsi="仿宋" w:eastAsia="仿宋" w:cs="仿宋"/>
          <w:color w:val="auto"/>
          <w:szCs w:val="21"/>
          <w:highlight w:val="none"/>
        </w:rPr>
        <w:t>质疑联系人：刘璐</w:t>
      </w:r>
    </w:p>
    <w:p>
      <w:pPr>
        <w:adjustRightInd w:val="0"/>
        <w:snapToGrid w:val="0"/>
        <w:spacing w:line="288" w:lineRule="auto"/>
        <w:ind w:firstLine="630" w:firstLineChars="300"/>
        <w:rPr>
          <w:rFonts w:ascii="仿宋" w:hAnsi="仿宋" w:eastAsia="仿宋" w:cs="仿宋"/>
          <w:color w:val="auto"/>
          <w:szCs w:val="21"/>
          <w:highlight w:val="none"/>
        </w:rPr>
      </w:pPr>
      <w:r>
        <w:rPr>
          <w:rFonts w:hint="eastAsia" w:ascii="仿宋" w:hAnsi="仿宋" w:eastAsia="仿宋" w:cs="仿宋"/>
          <w:color w:val="auto"/>
          <w:szCs w:val="21"/>
          <w:highlight w:val="none"/>
        </w:rPr>
        <w:t>质疑联系方式：0571-81110356</w:t>
      </w:r>
    </w:p>
    <w:p>
      <w:pPr>
        <w:adjustRightInd w:val="0"/>
        <w:snapToGrid w:val="0"/>
        <w:spacing w:line="288" w:lineRule="auto"/>
        <w:ind w:firstLine="630" w:firstLineChars="300"/>
        <w:rPr>
          <w:rFonts w:ascii="仿宋" w:hAnsi="仿宋" w:eastAsia="仿宋" w:cs="仿宋"/>
          <w:color w:val="auto"/>
          <w:szCs w:val="21"/>
          <w:highlight w:val="none"/>
        </w:rPr>
      </w:pPr>
      <w:r>
        <w:rPr>
          <w:rFonts w:hint="eastAsia" w:ascii="仿宋" w:hAnsi="仿宋" w:eastAsia="仿宋" w:cs="仿宋"/>
          <w:color w:val="auto"/>
          <w:szCs w:val="21"/>
          <w:highlight w:val="none"/>
        </w:rPr>
        <w:t>质疑邮箱：jdkh@qszb.net</w:t>
      </w:r>
    </w:p>
    <w:p>
      <w:pPr>
        <w:adjustRightInd w:val="0"/>
        <w:snapToGrid w:val="0"/>
        <w:spacing w:line="288" w:lineRule="auto"/>
        <w:jc w:val="center"/>
        <w:outlineLvl w:val="0"/>
        <w:rPr>
          <w:rFonts w:ascii="仿宋" w:hAnsi="仿宋" w:eastAsia="仿宋" w:cs="仿宋"/>
          <w:b/>
          <w:bCs/>
          <w:color w:val="auto"/>
          <w:sz w:val="32"/>
          <w:szCs w:val="32"/>
          <w:highlight w:val="none"/>
        </w:rPr>
      </w:pPr>
      <w:r>
        <w:rPr>
          <w:rFonts w:hint="eastAsia" w:ascii="仿宋" w:hAnsi="仿宋" w:eastAsia="仿宋" w:cs="仿宋"/>
          <w:color w:val="auto"/>
          <w:szCs w:val="21"/>
          <w:highlight w:val="none"/>
        </w:rPr>
        <w:br w:type="page"/>
      </w:r>
      <w:r>
        <w:rPr>
          <w:rFonts w:hint="eastAsia" w:ascii="仿宋" w:hAnsi="仿宋" w:eastAsia="仿宋" w:cs="仿宋"/>
          <w:b/>
          <w:color w:val="auto"/>
          <w:sz w:val="32"/>
          <w:szCs w:val="32"/>
          <w:highlight w:val="none"/>
        </w:rPr>
        <w:t xml:space="preserve">第二章  </w:t>
      </w:r>
      <w:r>
        <w:rPr>
          <w:rFonts w:hint="eastAsia" w:ascii="仿宋" w:hAnsi="仿宋" w:eastAsia="仿宋" w:cs="仿宋"/>
          <w:b/>
          <w:bCs/>
          <w:color w:val="auto"/>
          <w:sz w:val="32"/>
          <w:szCs w:val="32"/>
          <w:highlight w:val="none"/>
        </w:rPr>
        <w:t>采购需求</w:t>
      </w:r>
    </w:p>
    <w:p>
      <w:pPr>
        <w:adjustRightInd w:val="0"/>
        <w:snapToGrid w:val="0"/>
        <w:spacing w:line="288" w:lineRule="auto"/>
        <w:outlineLvl w:val="1"/>
        <w:rPr>
          <w:rFonts w:ascii="仿宋" w:hAnsi="仿宋" w:eastAsia="仿宋" w:cs="仿宋"/>
          <w:b/>
          <w:color w:val="auto"/>
          <w:szCs w:val="21"/>
          <w:highlight w:val="none"/>
        </w:rPr>
      </w:pPr>
      <w:r>
        <w:rPr>
          <w:rFonts w:hint="eastAsia" w:ascii="仿宋" w:hAnsi="仿宋" w:eastAsia="仿宋" w:cs="仿宋"/>
          <w:b/>
          <w:color w:val="auto"/>
          <w:szCs w:val="21"/>
          <w:highlight w:val="none"/>
        </w:rPr>
        <w:t>一、为落实政府采购政策需满足的要求</w:t>
      </w:r>
    </w:p>
    <w:tbl>
      <w:tblPr>
        <w:tblStyle w:val="27"/>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150"/>
        <w:gridCol w:w="5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8" w:type="dxa"/>
            <w:vAlign w:val="center"/>
          </w:tcPr>
          <w:p>
            <w:pPr>
              <w:jc w:val="center"/>
              <w:rPr>
                <w:rFonts w:ascii="仿宋" w:hAnsi="仿宋" w:eastAsia="仿宋" w:cs="仿宋"/>
                <w:b/>
                <w:bCs/>
                <w:color w:val="auto"/>
                <w:szCs w:val="21"/>
                <w:highlight w:val="none"/>
              </w:rPr>
            </w:pPr>
            <w:bookmarkStart w:id="27" w:name="_Hlk45005599"/>
            <w:r>
              <w:rPr>
                <w:rFonts w:hint="eastAsia" w:ascii="仿宋" w:hAnsi="仿宋" w:eastAsia="仿宋" w:cs="仿宋"/>
                <w:b/>
                <w:bCs/>
                <w:color w:val="auto"/>
                <w:szCs w:val="21"/>
                <w:highlight w:val="none"/>
              </w:rPr>
              <w:t>序号</w:t>
            </w:r>
          </w:p>
        </w:tc>
        <w:tc>
          <w:tcPr>
            <w:tcW w:w="3150"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政策名称</w:t>
            </w:r>
          </w:p>
        </w:tc>
        <w:tc>
          <w:tcPr>
            <w:tcW w:w="5635"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8"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1</w:t>
            </w:r>
          </w:p>
        </w:tc>
        <w:tc>
          <w:tcPr>
            <w:tcW w:w="3150"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政府采购进口产品</w:t>
            </w:r>
          </w:p>
        </w:tc>
        <w:tc>
          <w:tcPr>
            <w:tcW w:w="5635" w:type="dxa"/>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不允许采购进口产品（部件除外）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8"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2</w:t>
            </w:r>
          </w:p>
        </w:tc>
        <w:tc>
          <w:tcPr>
            <w:tcW w:w="3150"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政府强制采购节能产品</w:t>
            </w:r>
          </w:p>
        </w:tc>
        <w:tc>
          <w:tcPr>
            <w:tcW w:w="5635" w:type="dxa"/>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8"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3</w:t>
            </w:r>
          </w:p>
        </w:tc>
        <w:tc>
          <w:tcPr>
            <w:tcW w:w="3150"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政府优先采购节能、环保产品</w:t>
            </w:r>
          </w:p>
        </w:tc>
        <w:tc>
          <w:tcPr>
            <w:tcW w:w="5635" w:type="dxa"/>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提供材料详见磋商文件第六章“商务和技术文件”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8"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4</w:t>
            </w:r>
          </w:p>
        </w:tc>
        <w:tc>
          <w:tcPr>
            <w:tcW w:w="3150"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政府采购支持创新发展</w:t>
            </w:r>
          </w:p>
        </w:tc>
        <w:tc>
          <w:tcPr>
            <w:tcW w:w="5635" w:type="dxa"/>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8"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5</w:t>
            </w:r>
          </w:p>
        </w:tc>
        <w:tc>
          <w:tcPr>
            <w:tcW w:w="3150"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政府采购促进中小企业发展</w:t>
            </w:r>
          </w:p>
        </w:tc>
        <w:tc>
          <w:tcPr>
            <w:tcW w:w="5635" w:type="dxa"/>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提供材料详见磋商文件第六章“报价文件”</w:t>
            </w:r>
          </w:p>
          <w:p>
            <w:pPr>
              <w:rPr>
                <w:rFonts w:ascii="仿宋" w:hAnsi="仿宋" w:eastAsia="仿宋" w:cs="仿宋"/>
                <w:color w:val="auto"/>
                <w:szCs w:val="21"/>
                <w:highlight w:val="none"/>
              </w:rPr>
            </w:pPr>
            <w:r>
              <w:rPr>
                <w:rFonts w:hint="eastAsia" w:ascii="仿宋" w:hAnsi="仿宋" w:eastAsia="仿宋" w:cs="仿宋"/>
                <w:color w:val="auto"/>
                <w:szCs w:val="21"/>
                <w:highlight w:val="none"/>
              </w:rPr>
              <w:t>本项目属性为货物，采购标的对应的中小企业划分标准所属行业为</w:t>
            </w:r>
            <w:r>
              <w:rPr>
                <w:rFonts w:hint="eastAsia" w:ascii="仿宋" w:hAnsi="仿宋" w:eastAsia="仿宋" w:cs="仿宋"/>
                <w:b/>
                <w:bCs/>
                <w:color w:val="auto"/>
                <w:szCs w:val="21"/>
                <w:highlight w:val="none"/>
              </w:rPr>
              <w:t>工业，中小企业划型标准：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8"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6</w:t>
            </w:r>
          </w:p>
        </w:tc>
        <w:tc>
          <w:tcPr>
            <w:tcW w:w="3150"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政府采购支持监狱企业发展</w:t>
            </w:r>
          </w:p>
        </w:tc>
        <w:tc>
          <w:tcPr>
            <w:tcW w:w="5635" w:type="dxa"/>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视同小微企业，提供材料详见磋商文件第六章“报价文件”。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8"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7</w:t>
            </w:r>
          </w:p>
        </w:tc>
        <w:tc>
          <w:tcPr>
            <w:tcW w:w="3150"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政府采购促进残疾人就业</w:t>
            </w:r>
          </w:p>
        </w:tc>
        <w:tc>
          <w:tcPr>
            <w:tcW w:w="5635" w:type="dxa"/>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视同小微企业，提供材料详见磋商文件第六章“报价文件”。</w:t>
            </w:r>
          </w:p>
        </w:tc>
      </w:tr>
      <w:bookmarkEnd w:id="27"/>
    </w:tbl>
    <w:p>
      <w:pPr>
        <w:adjustRightInd w:val="0"/>
        <w:snapToGrid w:val="0"/>
        <w:spacing w:line="288" w:lineRule="auto"/>
        <w:rPr>
          <w:rFonts w:ascii="仿宋" w:hAnsi="仿宋" w:eastAsia="仿宋" w:cs="仿宋"/>
          <w:b/>
          <w:color w:val="auto"/>
          <w:spacing w:val="-4"/>
          <w:szCs w:val="21"/>
          <w:highlight w:val="none"/>
        </w:rPr>
      </w:pPr>
    </w:p>
    <w:p>
      <w:pPr>
        <w:adjustRightInd w:val="0"/>
        <w:snapToGrid w:val="0"/>
        <w:spacing w:line="288" w:lineRule="auto"/>
        <w:outlineLvl w:val="1"/>
        <w:rPr>
          <w:rFonts w:ascii="仿宋" w:hAnsi="仿宋" w:eastAsia="仿宋" w:cs="仿宋"/>
          <w:b/>
          <w:color w:val="auto"/>
          <w:szCs w:val="21"/>
          <w:highlight w:val="none"/>
        </w:rPr>
      </w:pPr>
      <w:r>
        <w:rPr>
          <w:rFonts w:hint="eastAsia" w:ascii="仿宋" w:hAnsi="仿宋" w:eastAsia="仿宋" w:cs="仿宋"/>
          <w:b/>
          <w:color w:val="auto"/>
          <w:szCs w:val="21"/>
          <w:highlight w:val="none"/>
        </w:rPr>
        <w:t>二、采购资金的支付方式、时间、条件</w:t>
      </w:r>
    </w:p>
    <w:tbl>
      <w:tblPr>
        <w:tblStyle w:val="27"/>
        <w:tblW w:w="962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68"/>
        <w:gridCol w:w="78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176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支付方式</w:t>
            </w:r>
          </w:p>
        </w:tc>
        <w:tc>
          <w:tcPr>
            <w:tcW w:w="786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银行转账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176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支付时间及条件</w:t>
            </w:r>
          </w:p>
        </w:tc>
        <w:tc>
          <w:tcPr>
            <w:tcW w:w="786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auto"/>
                <w:highlight w:val="none"/>
              </w:rPr>
            </w:pPr>
            <w:r>
              <w:rPr>
                <w:rFonts w:hint="eastAsia" w:ascii="仿宋" w:hAnsi="仿宋" w:eastAsia="仿宋" w:cs="仿宋"/>
                <w:color w:val="auto"/>
                <w:szCs w:val="21"/>
                <w:highlight w:val="none"/>
              </w:rPr>
              <w:t>在成交供应商无任何违约行为的前提下，采购人向成交供应商分阶段支付价款：</w:t>
            </w:r>
          </w:p>
          <w:p>
            <w:pPr>
              <w:rPr>
                <w:rFonts w:ascii="仿宋" w:hAnsi="仿宋" w:eastAsia="仿宋" w:cs="仿宋"/>
                <w:color w:val="auto"/>
                <w:highlight w:val="none"/>
              </w:rPr>
            </w:pPr>
            <w:r>
              <w:rPr>
                <w:rFonts w:hint="eastAsia" w:ascii="仿宋" w:hAnsi="仿宋" w:eastAsia="仿宋" w:cs="仿宋"/>
                <w:color w:val="auto"/>
                <w:highlight w:val="none"/>
              </w:rPr>
              <w:t>1.自合同签订生效后15个工作日内，向成交供应商支付合同总金额</w:t>
            </w:r>
            <w:r>
              <w:rPr>
                <w:rFonts w:ascii="仿宋" w:hAnsi="仿宋" w:eastAsia="仿宋" w:cs="仿宋"/>
                <w:color w:val="auto"/>
                <w:highlight w:val="none"/>
              </w:rPr>
              <w:t>40</w:t>
            </w:r>
            <w:r>
              <w:rPr>
                <w:rFonts w:hint="eastAsia" w:ascii="仿宋" w:hAnsi="仿宋" w:eastAsia="仿宋" w:cs="仿宋"/>
                <w:color w:val="auto"/>
                <w:highlight w:val="none"/>
              </w:rPr>
              <w:t>%；</w:t>
            </w:r>
          </w:p>
          <w:p>
            <w:pPr>
              <w:rPr>
                <w:rFonts w:ascii="仿宋" w:hAnsi="仿宋" w:eastAsia="仿宋" w:cs="仿宋"/>
                <w:color w:val="auto"/>
                <w:highlight w:val="none"/>
              </w:rPr>
            </w:pPr>
            <w:r>
              <w:rPr>
                <w:rFonts w:hint="eastAsia" w:ascii="仿宋" w:hAnsi="仿宋" w:eastAsia="仿宋" w:cs="仿宋"/>
                <w:color w:val="auto"/>
                <w:highlight w:val="none"/>
              </w:rPr>
              <w:t>2.自货物验收合格后15个工作日内，向成交供应商支付合同总金额</w:t>
            </w:r>
            <w:r>
              <w:rPr>
                <w:rFonts w:ascii="仿宋" w:hAnsi="仿宋" w:eastAsia="仿宋" w:cs="仿宋"/>
                <w:color w:val="auto"/>
                <w:highlight w:val="none"/>
              </w:rPr>
              <w:t>60</w:t>
            </w:r>
            <w:r>
              <w:rPr>
                <w:rFonts w:hint="eastAsia" w:ascii="仿宋" w:hAnsi="仿宋" w:eastAsia="仿宋" w:cs="仿宋"/>
                <w:color w:val="auto"/>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176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履约保证金</w:t>
            </w:r>
          </w:p>
        </w:tc>
        <w:tc>
          <w:tcPr>
            <w:tcW w:w="786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合同签订后5个工作日内，成交供应商向采购人缴纳合同总金额1%作为履约保证金，履约保证金自验收合格后，由采购人确认成交供应商合同主要义务履行完毕后无息退还。</w:t>
            </w:r>
          </w:p>
        </w:tc>
      </w:tr>
    </w:tbl>
    <w:p>
      <w:pPr>
        <w:adjustRightInd w:val="0"/>
        <w:snapToGrid w:val="0"/>
        <w:spacing w:line="288" w:lineRule="auto"/>
        <w:rPr>
          <w:rFonts w:ascii="仿宋" w:hAnsi="仿宋" w:eastAsia="仿宋" w:cs="仿宋"/>
          <w:color w:val="auto"/>
          <w:spacing w:val="-4"/>
          <w:szCs w:val="21"/>
          <w:highlight w:val="none"/>
        </w:rPr>
      </w:pPr>
    </w:p>
    <w:p>
      <w:pPr>
        <w:adjustRightInd w:val="0"/>
        <w:snapToGrid w:val="0"/>
        <w:spacing w:line="288" w:lineRule="auto"/>
        <w:outlineLvl w:val="1"/>
        <w:rPr>
          <w:rFonts w:ascii="仿宋" w:hAnsi="仿宋" w:eastAsia="仿宋" w:cs="仿宋"/>
          <w:b/>
          <w:color w:val="auto"/>
          <w:szCs w:val="21"/>
          <w:highlight w:val="none"/>
        </w:rPr>
      </w:pPr>
      <w:r>
        <w:rPr>
          <w:rFonts w:hint="eastAsia" w:ascii="仿宋" w:hAnsi="仿宋" w:eastAsia="仿宋" w:cs="仿宋"/>
          <w:b/>
          <w:color w:val="auto"/>
          <w:szCs w:val="21"/>
          <w:highlight w:val="none"/>
        </w:rPr>
        <w:t>三、服务要求（技术要求里另有注明的以技术要求为准）</w:t>
      </w:r>
    </w:p>
    <w:tbl>
      <w:tblPr>
        <w:tblStyle w:val="27"/>
        <w:tblW w:w="962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61"/>
        <w:gridCol w:w="696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26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交付时间</w:t>
            </w:r>
          </w:p>
        </w:tc>
        <w:tc>
          <w:tcPr>
            <w:tcW w:w="696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合同签订后</w:t>
            </w:r>
            <w:r>
              <w:rPr>
                <w:rFonts w:ascii="仿宋" w:hAnsi="仿宋" w:eastAsia="仿宋" w:cs="仿宋"/>
                <w:color w:val="auto"/>
                <w:szCs w:val="21"/>
                <w:highlight w:val="none"/>
              </w:rPr>
              <w:t>30</w:t>
            </w:r>
            <w:r>
              <w:rPr>
                <w:rFonts w:hint="eastAsia" w:ascii="仿宋" w:hAnsi="仿宋" w:eastAsia="仿宋" w:cs="仿宋"/>
                <w:color w:val="auto"/>
                <w:szCs w:val="21"/>
                <w:highlight w:val="none"/>
              </w:rPr>
              <w:t>个自然日内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26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交付地点</w:t>
            </w:r>
          </w:p>
        </w:tc>
        <w:tc>
          <w:tcPr>
            <w:tcW w:w="696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26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免费保修期</w:t>
            </w:r>
          </w:p>
        </w:tc>
        <w:tc>
          <w:tcPr>
            <w:tcW w:w="696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自最终验收合格之日起三年，如质保期届满仍有质量和服务问题未解决，质保期延续至经采购人确认无任何质量和服务问题止。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26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服务标准、期限、效率</w:t>
            </w:r>
          </w:p>
        </w:tc>
        <w:tc>
          <w:tcPr>
            <w:tcW w:w="696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auto"/>
                <w:highlight w:val="none"/>
              </w:rPr>
            </w:pPr>
            <w:r>
              <w:rPr>
                <w:rFonts w:hint="eastAsia" w:ascii="仿宋" w:hAnsi="仿宋" w:eastAsia="仿宋" w:cs="仿宋"/>
                <w:color w:val="auto"/>
                <w:highlight w:val="none"/>
              </w:rPr>
              <w:t>1.质量保证</w:t>
            </w:r>
          </w:p>
          <w:p>
            <w:pPr>
              <w:rPr>
                <w:rFonts w:ascii="仿宋" w:hAnsi="仿宋" w:eastAsia="仿宋" w:cs="仿宋"/>
                <w:color w:val="auto"/>
                <w:highlight w:val="none"/>
              </w:rPr>
            </w:pPr>
            <w:r>
              <w:rPr>
                <w:rFonts w:hint="eastAsia" w:ascii="仿宋" w:hAnsi="仿宋" w:eastAsia="仿宋" w:cs="仿宋"/>
                <w:color w:val="auto"/>
                <w:highlight w:val="none"/>
              </w:rPr>
              <w:t>▲1.1 响应产品为原厂商生产的、完整、全新、未使用过的（不接受二手和翻新），且不得低于国家相关技术标准和质量要求的出厂原装合格产品；</w:t>
            </w:r>
          </w:p>
          <w:p>
            <w:pPr>
              <w:rPr>
                <w:rFonts w:ascii="仿宋" w:hAnsi="仿宋" w:eastAsia="仿宋" w:cs="仿宋"/>
                <w:color w:val="auto"/>
                <w:highlight w:val="none"/>
              </w:rPr>
            </w:pPr>
            <w:r>
              <w:rPr>
                <w:rFonts w:hint="eastAsia" w:ascii="仿宋" w:hAnsi="仿宋" w:eastAsia="仿宋" w:cs="仿宋"/>
                <w:color w:val="auto"/>
                <w:highlight w:val="none"/>
              </w:rPr>
              <w:t>1.2 供应商在响应文件中附上列有技术参数且完整的产品制造商产品彩页或产品说明书；</w:t>
            </w:r>
          </w:p>
          <w:p>
            <w:pPr>
              <w:rPr>
                <w:rFonts w:ascii="仿宋" w:hAnsi="仿宋" w:eastAsia="仿宋" w:cs="仿宋"/>
                <w:color w:val="auto"/>
                <w:highlight w:val="none"/>
              </w:rPr>
            </w:pPr>
            <w:r>
              <w:rPr>
                <w:rFonts w:hint="eastAsia" w:ascii="仿宋" w:hAnsi="仿宋" w:eastAsia="仿宋" w:cs="仿宋"/>
                <w:color w:val="auto"/>
                <w:highlight w:val="none"/>
              </w:rPr>
              <w:t>1.3 如磋商文件中遗漏必备的设备、配件或服务，供应商须在响应文件中指出并提出解决方案供采购人参考；</w:t>
            </w:r>
          </w:p>
          <w:p>
            <w:pPr>
              <w:rPr>
                <w:rFonts w:ascii="仿宋" w:hAnsi="仿宋" w:eastAsia="仿宋" w:cs="仿宋"/>
                <w:color w:val="auto"/>
                <w:highlight w:val="none"/>
              </w:rPr>
            </w:pPr>
            <w:r>
              <w:rPr>
                <w:rFonts w:hint="eastAsia" w:ascii="仿宋" w:hAnsi="仿宋" w:eastAsia="仿宋" w:cs="仿宋"/>
                <w:color w:val="auto"/>
                <w:highlight w:val="none"/>
              </w:rPr>
              <w:t>1.4 成交供应商须保证采购人产品需求的完整性，如项目实施过程中因缺少必备的设备、配件或服务导致采购人产品无法正常运行的，成交供应商须补足，费用包含在响应报价中。</w:t>
            </w:r>
          </w:p>
          <w:p>
            <w:pPr>
              <w:rPr>
                <w:rFonts w:ascii="仿宋" w:hAnsi="仿宋" w:eastAsia="仿宋" w:cs="仿宋"/>
                <w:color w:val="auto"/>
                <w:highlight w:val="none"/>
              </w:rPr>
            </w:pPr>
            <w:r>
              <w:rPr>
                <w:rFonts w:hint="eastAsia" w:ascii="仿宋" w:hAnsi="仿宋" w:eastAsia="仿宋" w:cs="仿宋"/>
                <w:color w:val="auto"/>
                <w:highlight w:val="none"/>
              </w:rPr>
              <w:t>2.售后服务</w:t>
            </w:r>
          </w:p>
          <w:p>
            <w:pPr>
              <w:rPr>
                <w:rFonts w:ascii="仿宋" w:hAnsi="仿宋" w:eastAsia="仿宋" w:cs="仿宋"/>
                <w:color w:val="auto"/>
                <w:highlight w:val="none"/>
              </w:rPr>
            </w:pPr>
            <w:r>
              <w:rPr>
                <w:rFonts w:hint="eastAsia" w:ascii="仿宋" w:hAnsi="仿宋" w:eastAsia="仿宋" w:cs="仿宋"/>
                <w:color w:val="auto"/>
                <w:highlight w:val="none"/>
              </w:rPr>
              <w:t>2.1 质保期内：为采购人的设备提供免费维护、保养及免费更换损坏的和有缺陷的零部件，因故障而影响工作的情况每发生一次，其质保期相应延长</w:t>
            </w:r>
            <w:r>
              <w:rPr>
                <w:rFonts w:ascii="仿宋" w:hAnsi="仿宋" w:eastAsia="仿宋" w:cs="仿宋"/>
                <w:color w:val="auto"/>
                <w:highlight w:val="none"/>
              </w:rPr>
              <w:t>30</w:t>
            </w:r>
            <w:r>
              <w:rPr>
                <w:rFonts w:hint="eastAsia" w:ascii="仿宋" w:hAnsi="仿宋" w:eastAsia="仿宋" w:cs="仿宋"/>
                <w:color w:val="auto"/>
                <w:highlight w:val="none"/>
              </w:rPr>
              <w:t>天，质保期满前1个月内免费全面检查一次并形成正式报告，如发现潜在问题负责排除；</w:t>
            </w:r>
          </w:p>
          <w:p>
            <w:pPr>
              <w:rPr>
                <w:rFonts w:ascii="仿宋" w:hAnsi="仿宋" w:eastAsia="仿宋" w:cs="仿宋"/>
                <w:color w:val="auto"/>
                <w:highlight w:val="none"/>
              </w:rPr>
            </w:pPr>
            <w:r>
              <w:rPr>
                <w:rFonts w:hint="eastAsia" w:ascii="仿宋" w:hAnsi="仿宋" w:eastAsia="仿宋" w:cs="仿宋"/>
                <w:color w:val="auto"/>
                <w:highlight w:val="none"/>
              </w:rPr>
              <w:t>2.2 质保期外：对设备提供终身优惠的技术支持及技术跟踪服务，仅按优惠收取相应的成本费，免</w:t>
            </w:r>
            <w:r>
              <w:rPr>
                <w:rFonts w:ascii="仿宋" w:hAnsi="仿宋" w:eastAsia="仿宋" w:cs="仿宋"/>
                <w:color w:val="auto"/>
                <w:highlight w:val="none"/>
              </w:rPr>
              <w:t>2</w:t>
            </w:r>
            <w:r>
              <w:rPr>
                <w:rFonts w:hint="eastAsia" w:ascii="仿宋" w:hAnsi="仿宋" w:eastAsia="仿宋" w:cs="仿宋"/>
                <w:color w:val="auto"/>
                <w:highlight w:val="none"/>
              </w:rPr>
              <w:t>年人工费、差旅费等其他一切费用；</w:t>
            </w:r>
          </w:p>
          <w:p>
            <w:pPr>
              <w:rPr>
                <w:rFonts w:ascii="仿宋" w:hAnsi="仿宋" w:eastAsia="仿宋" w:cs="仿宋"/>
                <w:color w:val="auto"/>
                <w:highlight w:val="none"/>
              </w:rPr>
            </w:pPr>
            <w:r>
              <w:rPr>
                <w:rFonts w:hint="eastAsia" w:ascii="仿宋" w:hAnsi="仿宋" w:eastAsia="仿宋" w:cs="仿宋"/>
                <w:color w:val="auto"/>
                <w:highlight w:val="none"/>
              </w:rPr>
              <w:t>2.3 成交供应商保证完成涉及设备操作软件、功能或相关程序的终身免费升级，且在接到采购人通知后在规定时间内完成；</w:t>
            </w:r>
          </w:p>
          <w:p>
            <w:pPr>
              <w:rPr>
                <w:rFonts w:ascii="仿宋" w:hAnsi="仿宋" w:eastAsia="仿宋" w:cs="仿宋"/>
                <w:color w:val="auto"/>
                <w:highlight w:val="none"/>
              </w:rPr>
            </w:pPr>
            <w:r>
              <w:rPr>
                <w:rFonts w:hint="eastAsia" w:ascii="仿宋" w:hAnsi="仿宋" w:eastAsia="仿宋" w:cs="仿宋"/>
                <w:color w:val="auto"/>
                <w:highlight w:val="none"/>
              </w:rPr>
              <w:t>3.书面验收合格后（含质保期外）发生相应问题的响应时间</w:t>
            </w:r>
          </w:p>
          <w:p>
            <w:pPr>
              <w:rPr>
                <w:rFonts w:ascii="仿宋" w:hAnsi="仿宋" w:eastAsia="仿宋" w:cs="仿宋"/>
                <w:color w:val="auto"/>
                <w:highlight w:val="none"/>
              </w:rPr>
            </w:pPr>
            <w:r>
              <w:rPr>
                <w:rFonts w:hint="eastAsia" w:ascii="仿宋" w:hAnsi="仿宋" w:eastAsia="仿宋" w:cs="仿宋"/>
                <w:color w:val="auto"/>
                <w:highlight w:val="none"/>
              </w:rPr>
              <w:t>3.1 维修响应时间：提供每周7*24h电话维修服务，电话响应时间为</w:t>
            </w:r>
            <w:r>
              <w:rPr>
                <w:rFonts w:ascii="仿宋" w:hAnsi="仿宋" w:eastAsia="仿宋" w:cs="仿宋"/>
                <w:color w:val="auto"/>
                <w:highlight w:val="none"/>
              </w:rPr>
              <w:t>1</w:t>
            </w:r>
            <w:r>
              <w:rPr>
                <w:rFonts w:hint="eastAsia" w:ascii="仿宋" w:hAnsi="仿宋" w:eastAsia="仿宋" w:cs="仿宋"/>
                <w:color w:val="auto"/>
                <w:highlight w:val="none"/>
              </w:rPr>
              <w:t>小时内；</w:t>
            </w:r>
          </w:p>
          <w:p>
            <w:pPr>
              <w:rPr>
                <w:rFonts w:ascii="仿宋" w:hAnsi="仿宋" w:eastAsia="仿宋" w:cs="仿宋"/>
                <w:color w:val="auto"/>
                <w:highlight w:val="none"/>
              </w:rPr>
            </w:pPr>
            <w:r>
              <w:rPr>
                <w:rFonts w:hint="eastAsia" w:ascii="仿宋" w:hAnsi="仿宋" w:eastAsia="仿宋" w:cs="仿宋"/>
                <w:color w:val="auto"/>
                <w:highlight w:val="none"/>
              </w:rPr>
              <w:t>3.2 上门维修响应时间：</w:t>
            </w:r>
            <w:r>
              <w:rPr>
                <w:rFonts w:ascii="仿宋" w:hAnsi="仿宋" w:eastAsia="仿宋" w:cs="仿宋"/>
                <w:color w:val="auto"/>
                <w:highlight w:val="none"/>
              </w:rPr>
              <w:t>1</w:t>
            </w:r>
            <w:r>
              <w:rPr>
                <w:rFonts w:hint="eastAsia" w:ascii="仿宋" w:hAnsi="仿宋" w:eastAsia="仿宋" w:cs="仿宋"/>
                <w:color w:val="auto"/>
                <w:highlight w:val="none"/>
              </w:rPr>
              <w:t>小时内无法依靠电话服务解决故障的在</w:t>
            </w:r>
            <w:r>
              <w:rPr>
                <w:rFonts w:ascii="仿宋" w:hAnsi="仿宋" w:eastAsia="仿宋" w:cs="仿宋"/>
                <w:color w:val="auto"/>
                <w:highlight w:val="none"/>
              </w:rPr>
              <w:t>6</w:t>
            </w:r>
            <w:r>
              <w:rPr>
                <w:rFonts w:hint="eastAsia" w:ascii="仿宋" w:hAnsi="仿宋" w:eastAsia="仿宋" w:cs="仿宋"/>
                <w:color w:val="auto"/>
                <w:highlight w:val="none"/>
              </w:rPr>
              <w:t>小时内到达采购人现场；</w:t>
            </w:r>
          </w:p>
          <w:p>
            <w:pPr>
              <w:rPr>
                <w:rFonts w:ascii="仿宋" w:hAnsi="仿宋" w:eastAsia="仿宋" w:cs="仿宋"/>
                <w:color w:val="auto"/>
                <w:highlight w:val="none"/>
              </w:rPr>
            </w:pPr>
            <w:r>
              <w:rPr>
                <w:rFonts w:hint="eastAsia" w:ascii="仿宋" w:hAnsi="仿宋" w:eastAsia="仿宋" w:cs="仿宋"/>
                <w:color w:val="auto"/>
                <w:highlight w:val="none"/>
              </w:rPr>
              <w:t>3.3 解决问题时间：不超过</w:t>
            </w:r>
            <w:r>
              <w:rPr>
                <w:rFonts w:ascii="仿宋" w:hAnsi="仿宋" w:eastAsia="仿宋" w:cs="仿宋"/>
                <w:color w:val="auto"/>
                <w:highlight w:val="none"/>
              </w:rPr>
              <w:t>3</w:t>
            </w:r>
            <w:r>
              <w:rPr>
                <w:rFonts w:hint="eastAsia" w:ascii="仿宋" w:hAnsi="仿宋" w:eastAsia="仿宋" w:cs="仿宋"/>
                <w:color w:val="auto"/>
                <w:highlight w:val="none"/>
              </w:rPr>
              <w:t>个工作日（特殊情况另行协商）；</w:t>
            </w:r>
          </w:p>
          <w:p>
            <w:pPr>
              <w:rPr>
                <w:rFonts w:hint="eastAsia" w:ascii="仿宋" w:hAnsi="仿宋" w:eastAsia="仿宋" w:cs="仿宋"/>
                <w:color w:val="auto"/>
                <w:highlight w:val="none"/>
                <w:lang w:eastAsia="zh-CN"/>
              </w:rPr>
            </w:pPr>
            <w:r>
              <w:rPr>
                <w:rFonts w:hint="eastAsia" w:ascii="仿宋" w:hAnsi="仿宋" w:eastAsia="仿宋" w:cs="仿宋"/>
                <w:color w:val="auto"/>
                <w:highlight w:val="none"/>
              </w:rPr>
              <w:t>3.4 重大问题或其它无法立刻解决的问题应在采购人要求时间内解决或提出明确的解决方案直至采购人满意（如设备返厂维修期间提供满足使用要求的备用机、退货等处理）</w:t>
            </w:r>
            <w:r>
              <w:rPr>
                <w:rFonts w:hint="eastAsia" w:ascii="仿宋" w:hAnsi="仿宋" w:eastAsia="仿宋" w:cs="仿宋"/>
                <w:color w:val="auto"/>
                <w:highlight w:val="none"/>
                <w:lang w:eastAsia="zh-CN"/>
              </w:rPr>
              <w:t>；</w:t>
            </w:r>
          </w:p>
          <w:p>
            <w:pPr>
              <w:rPr>
                <w:rFonts w:hint="eastAsia" w:ascii="仿宋" w:hAnsi="仿宋" w:eastAsia="仿宋" w:cs="仿宋"/>
                <w:color w:val="auto"/>
                <w:szCs w:val="21"/>
                <w:highlight w:val="none"/>
                <w:lang w:val="en-US" w:eastAsia="zh-CN"/>
              </w:rPr>
            </w:pPr>
            <w:r>
              <w:rPr>
                <w:rFonts w:hint="eastAsia" w:ascii="仿宋" w:hAnsi="仿宋" w:eastAsia="仿宋" w:cs="仿宋"/>
                <w:color w:val="auto"/>
                <w:highlight w:val="none"/>
                <w:lang w:val="en-US" w:eastAsia="zh-CN"/>
              </w:rPr>
              <w:t xml:space="preserve">4.质保期内重大活动期间提供现场保障服务每年≥5场次，重大活动前根据采购人要求安排相对固定技术人员在规定时间内进行设备检测和调试，重大活动当天安排与检测和调试相同技术人员在规定时间内到现场提供技术保障服务，所需费用包含在响应总价中。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26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其他技术、服务要求</w:t>
            </w:r>
          </w:p>
        </w:tc>
        <w:tc>
          <w:tcPr>
            <w:tcW w:w="696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auto"/>
                <w:highlight w:val="none"/>
              </w:rPr>
            </w:pPr>
            <w:r>
              <w:rPr>
                <w:rFonts w:hint="eastAsia" w:ascii="仿宋" w:hAnsi="仿宋" w:eastAsia="仿宋" w:cs="仿宋"/>
                <w:color w:val="auto"/>
                <w:highlight w:val="none"/>
              </w:rPr>
              <w:t>1.技术支持：成交供应商应及时免费提供合同货物软件的升级，免费提供合同货物新功能和应用的资料；</w:t>
            </w:r>
          </w:p>
          <w:p>
            <w:pPr>
              <w:rPr>
                <w:rFonts w:ascii="仿宋" w:hAnsi="仿宋" w:eastAsia="仿宋" w:cs="仿宋"/>
                <w:color w:val="auto"/>
                <w:highlight w:val="none"/>
              </w:rPr>
            </w:pPr>
            <w:r>
              <w:rPr>
                <w:rFonts w:hint="eastAsia" w:ascii="仿宋" w:hAnsi="仿宋" w:eastAsia="仿宋" w:cs="仿宋"/>
                <w:color w:val="auto"/>
                <w:highlight w:val="none"/>
              </w:rPr>
              <w:t>2.培训</w:t>
            </w:r>
          </w:p>
          <w:p>
            <w:pPr>
              <w:rPr>
                <w:rFonts w:ascii="仿宋" w:hAnsi="仿宋" w:eastAsia="仿宋" w:cs="仿宋"/>
                <w:color w:val="auto"/>
                <w:highlight w:val="none"/>
              </w:rPr>
            </w:pPr>
            <w:r>
              <w:rPr>
                <w:rFonts w:hint="eastAsia" w:ascii="仿宋" w:hAnsi="仿宋" w:eastAsia="仿宋" w:cs="仿宋"/>
                <w:color w:val="auto"/>
                <w:highlight w:val="none"/>
              </w:rPr>
              <w:t>2.1 成交供应商应免费对采购人人员进行设备操作、保养、维修等培训，并作为验收合格的前提条件；</w:t>
            </w:r>
          </w:p>
          <w:p>
            <w:pPr>
              <w:rPr>
                <w:rFonts w:ascii="仿宋" w:hAnsi="仿宋" w:eastAsia="仿宋" w:cs="仿宋"/>
                <w:color w:val="auto"/>
                <w:highlight w:val="none"/>
              </w:rPr>
            </w:pPr>
            <w:r>
              <w:rPr>
                <w:rFonts w:hint="eastAsia" w:ascii="仿宋" w:hAnsi="仿宋" w:eastAsia="仿宋" w:cs="仿宋"/>
                <w:color w:val="auto"/>
                <w:highlight w:val="none"/>
              </w:rPr>
              <w:t>2.2 成交供应商应提供相应的培训计划。</w:t>
            </w:r>
          </w:p>
          <w:p>
            <w:pPr>
              <w:rPr>
                <w:rFonts w:ascii="仿宋" w:hAnsi="仿宋" w:eastAsia="仿宋" w:cs="仿宋"/>
                <w:color w:val="auto"/>
                <w:highlight w:val="none"/>
              </w:rPr>
            </w:pPr>
            <w:r>
              <w:rPr>
                <w:rFonts w:hint="eastAsia" w:ascii="仿宋" w:hAnsi="仿宋" w:eastAsia="仿宋" w:cs="仿宋"/>
                <w:color w:val="auto"/>
                <w:highlight w:val="none"/>
              </w:rPr>
              <w:t>3.安装调试（若需要安装调试）</w:t>
            </w:r>
          </w:p>
          <w:p>
            <w:pPr>
              <w:rPr>
                <w:rFonts w:ascii="仿宋" w:hAnsi="仿宋" w:eastAsia="仿宋" w:cs="仿宋"/>
                <w:color w:val="auto"/>
                <w:highlight w:val="none"/>
              </w:rPr>
            </w:pPr>
            <w:r>
              <w:rPr>
                <w:rFonts w:hint="eastAsia" w:ascii="仿宋" w:hAnsi="仿宋" w:eastAsia="仿宋" w:cs="仿宋"/>
                <w:color w:val="auto"/>
                <w:highlight w:val="none"/>
              </w:rPr>
              <w:t>3.1 安装地点：采购人指定地点；</w:t>
            </w:r>
          </w:p>
          <w:p>
            <w:pPr>
              <w:rPr>
                <w:rFonts w:ascii="仿宋" w:hAnsi="仿宋" w:eastAsia="仿宋" w:cs="仿宋"/>
                <w:color w:val="auto"/>
                <w:highlight w:val="none"/>
              </w:rPr>
            </w:pPr>
            <w:r>
              <w:rPr>
                <w:rFonts w:hint="eastAsia" w:ascii="仿宋" w:hAnsi="仿宋" w:eastAsia="仿宋" w:cs="仿宋"/>
                <w:color w:val="auto"/>
                <w:highlight w:val="none"/>
              </w:rPr>
              <w:t>3.2 安装完成时间：由成交供应商自行把控在规定的时间内完成安装和调试；</w:t>
            </w:r>
          </w:p>
          <w:p>
            <w:pPr>
              <w:rPr>
                <w:rFonts w:ascii="仿宋" w:hAnsi="仿宋" w:eastAsia="仿宋" w:cs="仿宋"/>
                <w:color w:val="auto"/>
                <w:highlight w:val="none"/>
              </w:rPr>
            </w:pPr>
            <w:r>
              <w:rPr>
                <w:rFonts w:hint="eastAsia" w:ascii="仿宋" w:hAnsi="仿宋" w:eastAsia="仿宋" w:cs="仿宋"/>
                <w:color w:val="auto"/>
                <w:highlight w:val="none"/>
              </w:rPr>
              <w:t>3.3 如成交供应商委托国内代理（或其他机构）负责安装或配合安装应在签约时指明，相应的合同责任由成交供应商承担；</w:t>
            </w:r>
          </w:p>
          <w:p>
            <w:pPr>
              <w:rPr>
                <w:rFonts w:ascii="仿宋" w:hAnsi="仿宋" w:eastAsia="仿宋" w:cs="仿宋"/>
                <w:color w:val="auto"/>
                <w:highlight w:val="none"/>
              </w:rPr>
            </w:pPr>
            <w:r>
              <w:rPr>
                <w:rFonts w:hint="eastAsia" w:ascii="仿宋" w:hAnsi="仿宋" w:eastAsia="仿宋" w:cs="仿宋"/>
                <w:color w:val="auto"/>
                <w:highlight w:val="none"/>
              </w:rPr>
              <w:t>3.4 安装标准：符合合同约定及我国国家有关技术规范要求和技术标准，所有的软件和硬件必须保证同时安装到位；</w:t>
            </w:r>
          </w:p>
          <w:p>
            <w:pPr>
              <w:rPr>
                <w:rFonts w:ascii="仿宋" w:hAnsi="仿宋" w:eastAsia="仿宋" w:cs="仿宋"/>
                <w:color w:val="auto"/>
                <w:highlight w:val="none"/>
              </w:rPr>
            </w:pPr>
            <w:r>
              <w:rPr>
                <w:rFonts w:hint="eastAsia" w:ascii="仿宋" w:hAnsi="仿宋" w:eastAsia="仿宋" w:cs="仿宋"/>
                <w:color w:val="auto"/>
                <w:highlight w:val="none"/>
              </w:rPr>
              <w:t>4.供货时提供有关的全套技术文件（如产品说明书、参数标准、质量保证书、保修证明、操作维修保养说明、相关配套使用手册等）；</w:t>
            </w:r>
          </w:p>
          <w:p>
            <w:pPr>
              <w:rPr>
                <w:rFonts w:ascii="仿宋" w:hAnsi="仿宋" w:eastAsia="仿宋" w:cs="仿宋"/>
                <w:color w:val="auto"/>
                <w:szCs w:val="21"/>
                <w:highlight w:val="none"/>
              </w:rPr>
            </w:pPr>
            <w:r>
              <w:rPr>
                <w:rFonts w:hint="eastAsia" w:ascii="仿宋" w:hAnsi="仿宋" w:eastAsia="仿宋" w:cs="仿宋"/>
                <w:color w:val="auto"/>
                <w:highlight w:val="none"/>
              </w:rPr>
              <w:t>5.保证所提供的货物或与该货物有关的一切权利均不会侵犯任何第三方的知识产权。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26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验收标准</w:t>
            </w:r>
          </w:p>
        </w:tc>
        <w:tc>
          <w:tcPr>
            <w:tcW w:w="696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auto"/>
                <w:highlight w:val="none"/>
              </w:rPr>
            </w:pPr>
            <w:r>
              <w:rPr>
                <w:rFonts w:hint="eastAsia" w:ascii="仿宋" w:hAnsi="仿宋" w:eastAsia="仿宋" w:cs="仿宋"/>
                <w:color w:val="auto"/>
                <w:highlight w:val="none"/>
              </w:rPr>
              <w:t>1.验收由成交供应商安装调试并提示后由采购人组织实施；</w:t>
            </w:r>
          </w:p>
          <w:p>
            <w:pPr>
              <w:rPr>
                <w:rFonts w:ascii="仿宋" w:hAnsi="仿宋" w:eastAsia="仿宋" w:cs="仿宋"/>
                <w:color w:val="auto"/>
                <w:highlight w:val="none"/>
              </w:rPr>
            </w:pPr>
            <w:r>
              <w:rPr>
                <w:rFonts w:hint="eastAsia" w:ascii="仿宋" w:hAnsi="仿宋" w:eastAsia="仿宋" w:cs="仿宋"/>
                <w:color w:val="auto"/>
                <w:highlight w:val="none"/>
              </w:rPr>
              <w:t>2.验收依据</w:t>
            </w:r>
          </w:p>
          <w:p>
            <w:pPr>
              <w:rPr>
                <w:rFonts w:ascii="仿宋" w:hAnsi="仿宋" w:eastAsia="仿宋" w:cs="仿宋"/>
                <w:color w:val="auto"/>
                <w:highlight w:val="none"/>
              </w:rPr>
            </w:pPr>
            <w:r>
              <w:rPr>
                <w:rFonts w:hint="eastAsia" w:ascii="仿宋" w:hAnsi="仿宋" w:eastAsia="仿宋" w:cs="仿宋"/>
                <w:color w:val="auto"/>
                <w:highlight w:val="none"/>
              </w:rPr>
              <w:t>2.1 合同、磋商文件、响应文件；</w:t>
            </w:r>
          </w:p>
          <w:p>
            <w:pPr>
              <w:rPr>
                <w:rFonts w:ascii="仿宋" w:hAnsi="仿宋" w:eastAsia="仿宋" w:cs="仿宋"/>
                <w:color w:val="auto"/>
                <w:highlight w:val="none"/>
              </w:rPr>
            </w:pPr>
            <w:r>
              <w:rPr>
                <w:rFonts w:hint="eastAsia" w:ascii="仿宋" w:hAnsi="仿宋" w:eastAsia="仿宋" w:cs="仿宋"/>
                <w:color w:val="auto"/>
                <w:highlight w:val="none"/>
              </w:rPr>
              <w:t>2.2 成交供应商提供的技术规格、参数标准、经采购人认可的合同货物的有效检验文件；</w:t>
            </w:r>
          </w:p>
          <w:p>
            <w:pPr>
              <w:rPr>
                <w:rFonts w:ascii="仿宋" w:hAnsi="仿宋" w:eastAsia="仿宋" w:cs="仿宋"/>
                <w:color w:val="auto"/>
                <w:highlight w:val="none"/>
              </w:rPr>
            </w:pPr>
            <w:r>
              <w:rPr>
                <w:rFonts w:hint="eastAsia" w:ascii="仿宋" w:hAnsi="仿宋" w:eastAsia="仿宋" w:cs="仿宋"/>
                <w:color w:val="auto"/>
                <w:highlight w:val="none"/>
              </w:rPr>
              <w:t>2.3 成交供应商响应文件中提供的经采购人认可的合同货物的验收标准（符合中国有关的国家、地方、行业标准）和检测办法及相应检测手段。</w:t>
            </w:r>
          </w:p>
          <w:p>
            <w:pPr>
              <w:rPr>
                <w:rFonts w:ascii="仿宋" w:hAnsi="仿宋" w:eastAsia="仿宋" w:cs="仿宋"/>
                <w:color w:val="auto"/>
                <w:highlight w:val="none"/>
              </w:rPr>
            </w:pPr>
            <w:r>
              <w:rPr>
                <w:rFonts w:hint="eastAsia" w:ascii="仿宋" w:hAnsi="仿宋" w:eastAsia="仿宋" w:cs="仿宋"/>
                <w:color w:val="auto"/>
                <w:highlight w:val="none"/>
              </w:rPr>
              <w:t>3.成交供应商应派员在所供货物到采购人指定地点时进行到货初步验收，有需要时能联系产品制造商到场共同验收，若发现任何损坏及质量问题，成交供应商负责妥善处理直至采购人满意，由此产生的费用由成交供应商承担；</w:t>
            </w:r>
          </w:p>
          <w:p>
            <w:pPr>
              <w:rPr>
                <w:rFonts w:ascii="仿宋" w:hAnsi="仿宋" w:eastAsia="仿宋" w:cs="仿宋"/>
                <w:color w:val="auto"/>
                <w:highlight w:val="none"/>
              </w:rPr>
            </w:pPr>
            <w:r>
              <w:rPr>
                <w:rFonts w:hint="eastAsia" w:ascii="仿宋" w:hAnsi="仿宋" w:eastAsia="仿宋" w:cs="仿宋"/>
                <w:color w:val="auto"/>
                <w:highlight w:val="none"/>
              </w:rPr>
              <w:t>4.书面验收合格的条件</w:t>
            </w:r>
          </w:p>
          <w:p>
            <w:pPr>
              <w:rPr>
                <w:rFonts w:ascii="仿宋" w:hAnsi="仿宋" w:eastAsia="仿宋" w:cs="仿宋"/>
                <w:color w:val="auto"/>
                <w:highlight w:val="none"/>
              </w:rPr>
            </w:pPr>
            <w:r>
              <w:rPr>
                <w:rFonts w:hint="eastAsia" w:ascii="仿宋" w:hAnsi="仿宋" w:eastAsia="仿宋" w:cs="仿宋"/>
                <w:color w:val="auto"/>
                <w:highlight w:val="none"/>
              </w:rPr>
              <w:t>4.1 所供货物符合产品标准和磋商文件及合同的要求；</w:t>
            </w:r>
          </w:p>
          <w:p>
            <w:pPr>
              <w:rPr>
                <w:rFonts w:ascii="仿宋" w:hAnsi="仿宋" w:eastAsia="仿宋" w:cs="仿宋"/>
                <w:color w:val="auto"/>
                <w:highlight w:val="none"/>
              </w:rPr>
            </w:pPr>
            <w:r>
              <w:rPr>
                <w:rFonts w:hint="eastAsia" w:ascii="仿宋" w:hAnsi="仿宋" w:eastAsia="仿宋" w:cs="仿宋"/>
                <w:color w:val="auto"/>
                <w:highlight w:val="none"/>
              </w:rPr>
              <w:t>4.2 在进行测试和验收过程中发现的问题已被解决并得到采购人的认可；</w:t>
            </w:r>
          </w:p>
          <w:p>
            <w:pPr>
              <w:rPr>
                <w:rFonts w:ascii="仿宋" w:hAnsi="仿宋" w:eastAsia="仿宋" w:cs="仿宋"/>
                <w:color w:val="auto"/>
                <w:highlight w:val="none"/>
              </w:rPr>
            </w:pPr>
            <w:r>
              <w:rPr>
                <w:rFonts w:hint="eastAsia" w:ascii="仿宋" w:hAnsi="仿宋" w:eastAsia="仿宋" w:cs="仿宋"/>
                <w:color w:val="auto"/>
                <w:highlight w:val="none"/>
              </w:rPr>
              <w:t>4.3 合同中规定的所有货物和材料均已交付；</w:t>
            </w:r>
          </w:p>
          <w:p>
            <w:pPr>
              <w:rPr>
                <w:rFonts w:ascii="仿宋" w:hAnsi="仿宋" w:eastAsia="仿宋" w:cs="仿宋"/>
                <w:color w:val="auto"/>
                <w:highlight w:val="none"/>
              </w:rPr>
            </w:pPr>
            <w:r>
              <w:rPr>
                <w:rFonts w:hint="eastAsia" w:ascii="仿宋" w:hAnsi="仿宋" w:eastAsia="仿宋" w:cs="仿宋"/>
                <w:color w:val="auto"/>
                <w:highlight w:val="none"/>
              </w:rPr>
              <w:t>4.4 所供货物已通过使用单位组织的验收；</w:t>
            </w:r>
          </w:p>
          <w:p>
            <w:pPr>
              <w:rPr>
                <w:rFonts w:ascii="仿宋" w:hAnsi="仿宋" w:eastAsia="仿宋" w:cs="仿宋"/>
                <w:color w:val="auto"/>
                <w:highlight w:val="none"/>
              </w:rPr>
            </w:pPr>
            <w:r>
              <w:rPr>
                <w:rFonts w:hint="eastAsia" w:ascii="仿宋" w:hAnsi="仿宋" w:eastAsia="仿宋" w:cs="仿宋"/>
                <w:color w:val="auto"/>
                <w:highlight w:val="none"/>
              </w:rPr>
              <w:t>4.5 所有相关的技术文件及资料均已提交并得到接受；</w:t>
            </w:r>
          </w:p>
          <w:p>
            <w:pPr>
              <w:rPr>
                <w:rFonts w:ascii="仿宋" w:hAnsi="仿宋" w:eastAsia="仿宋" w:cs="仿宋"/>
                <w:color w:val="auto"/>
                <w:highlight w:val="none"/>
              </w:rPr>
            </w:pPr>
            <w:r>
              <w:rPr>
                <w:rFonts w:hint="eastAsia" w:ascii="仿宋" w:hAnsi="仿宋" w:eastAsia="仿宋" w:cs="仿宋"/>
                <w:color w:val="auto"/>
                <w:highlight w:val="none"/>
              </w:rPr>
              <w:t>4.6 成交供应商已完成对采购人人员的设备操作、保养、维修等培训。</w:t>
            </w:r>
          </w:p>
          <w:p>
            <w:pPr>
              <w:rPr>
                <w:rFonts w:ascii="仿宋" w:hAnsi="仿宋" w:eastAsia="仿宋" w:cs="仿宋"/>
                <w:color w:val="auto"/>
                <w:highlight w:val="none"/>
              </w:rPr>
            </w:pPr>
            <w:r>
              <w:rPr>
                <w:rFonts w:hint="eastAsia" w:ascii="仿宋" w:hAnsi="仿宋" w:eastAsia="仿宋" w:cs="仿宋"/>
                <w:color w:val="auto"/>
                <w:highlight w:val="none"/>
              </w:rPr>
              <w:t>5.验收结论</w:t>
            </w:r>
          </w:p>
          <w:p>
            <w:pPr>
              <w:rPr>
                <w:rFonts w:ascii="仿宋" w:hAnsi="仿宋" w:eastAsia="仿宋" w:cs="仿宋"/>
                <w:color w:val="auto"/>
                <w:szCs w:val="21"/>
                <w:highlight w:val="none"/>
              </w:rPr>
            </w:pPr>
            <w:r>
              <w:rPr>
                <w:rFonts w:hint="eastAsia" w:ascii="仿宋" w:hAnsi="仿宋" w:eastAsia="仿宋" w:cs="仿宋"/>
                <w:color w:val="auto"/>
                <w:highlight w:val="none"/>
              </w:rPr>
              <w:t>采购人的验收结论，仅（排他任何形式）以采购人书面盖章确定的验收证明为准。</w:t>
            </w:r>
          </w:p>
        </w:tc>
      </w:tr>
    </w:tbl>
    <w:p>
      <w:pPr>
        <w:adjustRightInd w:val="0"/>
        <w:snapToGrid w:val="0"/>
        <w:spacing w:line="288" w:lineRule="auto"/>
        <w:rPr>
          <w:rFonts w:ascii="仿宋" w:hAnsi="仿宋" w:eastAsia="仿宋" w:cs="仿宋"/>
          <w:b/>
          <w:color w:val="auto"/>
          <w:szCs w:val="21"/>
          <w:highlight w:val="none"/>
        </w:rPr>
      </w:pPr>
    </w:p>
    <w:p>
      <w:pPr>
        <w:adjustRightInd w:val="0"/>
        <w:snapToGrid w:val="0"/>
        <w:spacing w:line="288" w:lineRule="auto"/>
        <w:outlineLvl w:val="1"/>
        <w:rPr>
          <w:rFonts w:ascii="仿宋" w:hAnsi="仿宋" w:eastAsia="仿宋" w:cs="仿宋"/>
          <w:color w:val="auto"/>
          <w:szCs w:val="21"/>
          <w:highlight w:val="none"/>
        </w:rPr>
      </w:pPr>
      <w:r>
        <w:rPr>
          <w:rFonts w:hint="eastAsia" w:ascii="仿宋" w:hAnsi="仿宋" w:eastAsia="仿宋" w:cs="仿宋"/>
          <w:b/>
          <w:color w:val="auto"/>
          <w:szCs w:val="21"/>
          <w:highlight w:val="none"/>
        </w:rPr>
        <w:t>四、技术要求</w:t>
      </w:r>
      <w:bookmarkStart w:id="28" w:name="_Hlk45005556"/>
    </w:p>
    <w:bookmarkEnd w:id="28"/>
    <w:p>
      <w:pPr>
        <w:adjustRightInd w:val="0"/>
        <w:snapToGrid w:val="0"/>
        <w:spacing w:line="288" w:lineRule="auto"/>
        <w:ind w:firstLine="422" w:firstLineChars="200"/>
        <w:rPr>
          <w:rFonts w:ascii="仿宋" w:hAnsi="仿宋" w:eastAsia="仿宋" w:cs="仿宋"/>
          <w:color w:val="auto"/>
          <w:szCs w:val="21"/>
          <w:highlight w:val="none"/>
        </w:rPr>
      </w:pPr>
      <w:bookmarkStart w:id="29" w:name="_Hlk92271413"/>
      <w:r>
        <w:rPr>
          <w:rFonts w:hint="eastAsia" w:ascii="仿宋" w:hAnsi="仿宋" w:eastAsia="仿宋" w:cs="仿宋"/>
          <w:b/>
          <w:bCs/>
          <w:color w:val="auto"/>
          <w:szCs w:val="21"/>
          <w:highlight w:val="none"/>
        </w:rPr>
        <w:t>1.需执行的国家相关标准、行业标准、地方标准或者其他标准、规范：</w:t>
      </w:r>
      <w:r>
        <w:rPr>
          <w:rFonts w:hint="eastAsia" w:ascii="仿宋" w:hAnsi="仿宋" w:eastAsia="仿宋" w:cs="仿宋"/>
          <w:color w:val="auto"/>
          <w:szCs w:val="21"/>
          <w:highlight w:val="none"/>
        </w:rPr>
        <w:t>有强制性标准的执行国家强制性标准，无的统一执行最新相关标准、规范；</w:t>
      </w:r>
    </w:p>
    <w:bookmarkEnd w:id="29"/>
    <w:p>
      <w:pPr>
        <w:adjustRightInd w:val="0"/>
        <w:snapToGrid w:val="0"/>
        <w:spacing w:line="288" w:lineRule="auto"/>
        <w:ind w:firstLine="422" w:firstLineChars="200"/>
        <w:rPr>
          <w:rFonts w:ascii="仿宋" w:hAnsi="仿宋" w:eastAsia="仿宋" w:cs="仿宋"/>
          <w:b/>
          <w:bCs/>
          <w:color w:val="auto"/>
          <w:szCs w:val="21"/>
          <w:highlight w:val="none"/>
        </w:rPr>
      </w:pPr>
      <w:r>
        <w:rPr>
          <w:rFonts w:hint="eastAsia" w:ascii="仿宋" w:hAnsi="仿宋" w:eastAsia="仿宋" w:cs="仿宋"/>
          <w:b/>
          <w:bCs/>
          <w:color w:val="auto"/>
          <w:szCs w:val="21"/>
          <w:highlight w:val="none"/>
        </w:rPr>
        <w:t>2.需实现的功能或者目标：</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highlight w:val="none"/>
        </w:rPr>
        <w:t>▲</w:t>
      </w:r>
      <w:r>
        <w:rPr>
          <w:rFonts w:hint="eastAsia" w:ascii="仿宋" w:hAnsi="仿宋" w:eastAsia="仿宋" w:cs="仿宋"/>
          <w:color w:val="auto"/>
          <w:szCs w:val="21"/>
          <w:highlight w:val="none"/>
        </w:rPr>
        <w:t>2.1 “交钥匙”项目，采购人在磋商文件中未列明的项目所需辅材后续将不再单独支付费用，磋商文件未提及但完备项目建设所需的其它产品和改造内容均由成交供应商免费提供并提供同等质保服务；</w:t>
      </w:r>
    </w:p>
    <w:p>
      <w:pPr>
        <w:adjustRightInd w:val="0"/>
        <w:snapToGrid w:val="0"/>
        <w:spacing w:line="288" w:lineRule="auto"/>
        <w:ind w:firstLine="420" w:firstLineChars="200"/>
        <w:rPr>
          <w:rFonts w:ascii="仿宋" w:hAnsi="仿宋" w:eastAsia="仿宋" w:cs="仿宋"/>
          <w:b/>
          <w:bCs/>
          <w:color w:val="auto"/>
          <w:szCs w:val="21"/>
          <w:highlight w:val="none"/>
        </w:rPr>
      </w:pPr>
      <w:r>
        <w:rPr>
          <w:rFonts w:hint="eastAsia" w:ascii="仿宋" w:hAnsi="仿宋" w:eastAsia="仿宋" w:cs="仿宋"/>
          <w:color w:val="auto"/>
          <w:highlight w:val="none"/>
        </w:rPr>
        <w:t>▲</w:t>
      </w:r>
      <w:r>
        <w:rPr>
          <w:rFonts w:hint="eastAsia" w:ascii="仿宋" w:hAnsi="仿宋" w:eastAsia="仿宋" w:cs="仿宋"/>
          <w:color w:val="auto"/>
          <w:szCs w:val="21"/>
          <w:highlight w:val="none"/>
        </w:rPr>
        <w:t>2.2 设计（展柜、视频、互动多媒体影片、氛围、标识标语等）方案经采购人确认通过后方可实施</w:t>
      </w:r>
      <w:r>
        <w:rPr>
          <w:rFonts w:hint="eastAsia" w:ascii="仿宋" w:hAnsi="仿宋" w:eastAsia="仿宋" w:cs="仿宋"/>
          <w:color w:val="auto"/>
          <w:szCs w:val="21"/>
          <w:highlight w:val="none"/>
          <w:lang w:eastAsia="zh-CN"/>
        </w:rPr>
        <w:t>，</w:t>
      </w:r>
      <w:r>
        <w:rPr>
          <w:rFonts w:hint="eastAsia" w:ascii="仿宋" w:hAnsi="仿宋" w:eastAsia="仿宋" w:cs="仿宋"/>
          <w:color w:val="auto"/>
          <w:highlight w:val="none"/>
          <w:lang w:val="en-US" w:eastAsia="zh-CN"/>
        </w:rPr>
        <w:t>所需费用包含在响应总价中</w:t>
      </w:r>
      <w:r>
        <w:rPr>
          <w:rFonts w:hint="eastAsia" w:ascii="仿宋" w:hAnsi="仿宋" w:eastAsia="仿宋" w:cs="仿宋"/>
          <w:color w:val="auto"/>
          <w:szCs w:val="21"/>
          <w:highlight w:val="none"/>
        </w:rPr>
        <w:t>。</w:t>
      </w:r>
    </w:p>
    <w:p>
      <w:pPr>
        <w:adjustRightInd w:val="0"/>
        <w:snapToGrid w:val="0"/>
        <w:spacing w:line="288" w:lineRule="auto"/>
        <w:ind w:firstLine="422" w:firstLineChars="200"/>
        <w:rPr>
          <w:rFonts w:ascii="仿宋" w:hAnsi="仿宋" w:eastAsia="仿宋" w:cs="仿宋"/>
          <w:b/>
          <w:bCs/>
          <w:color w:val="auto"/>
          <w:szCs w:val="21"/>
          <w:highlight w:val="none"/>
        </w:rPr>
      </w:pPr>
      <w:r>
        <w:rPr>
          <w:rFonts w:hint="eastAsia" w:ascii="仿宋" w:hAnsi="仿宋" w:eastAsia="仿宋" w:cs="仿宋"/>
          <w:b/>
          <w:bCs/>
          <w:color w:val="auto"/>
          <w:szCs w:val="21"/>
          <w:highlight w:val="none"/>
        </w:rPr>
        <w:t>3.需满足的质量、安全、技术规格、物理特性等要求：</w:t>
      </w:r>
    </w:p>
    <w:tbl>
      <w:tblPr>
        <w:tblStyle w:val="27"/>
        <w:tblW w:w="96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7"/>
        <w:gridCol w:w="2477"/>
        <w:gridCol w:w="684"/>
        <w:gridCol w:w="717"/>
        <w:gridCol w:w="5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7"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序号</w:t>
            </w:r>
          </w:p>
        </w:tc>
        <w:tc>
          <w:tcPr>
            <w:tcW w:w="2477"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名称</w:t>
            </w:r>
          </w:p>
        </w:tc>
        <w:tc>
          <w:tcPr>
            <w:tcW w:w="684"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数量</w:t>
            </w:r>
          </w:p>
        </w:tc>
        <w:tc>
          <w:tcPr>
            <w:tcW w:w="717"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单位</w:t>
            </w:r>
          </w:p>
        </w:tc>
        <w:tc>
          <w:tcPr>
            <w:tcW w:w="5080"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1</w:t>
            </w:r>
          </w:p>
        </w:tc>
        <w:tc>
          <w:tcPr>
            <w:tcW w:w="247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LED大屏形象墙</w:t>
            </w:r>
          </w:p>
        </w:tc>
        <w:tc>
          <w:tcPr>
            <w:tcW w:w="684" w:type="dxa"/>
            <w:vAlign w:val="center"/>
          </w:tcPr>
          <w:p>
            <w:pPr>
              <w:jc w:val="center"/>
              <w:rPr>
                <w:rFonts w:ascii="仿宋" w:hAnsi="仿宋" w:eastAsia="仿宋" w:cs="仿宋"/>
                <w:color w:val="auto"/>
                <w:szCs w:val="21"/>
                <w:highlight w:val="none"/>
              </w:rPr>
            </w:pPr>
            <w:r>
              <w:rPr>
                <w:rFonts w:hint="eastAsia" w:ascii="仿宋" w:hAnsi="仿宋" w:eastAsia="仿宋" w:cs="仿宋"/>
                <w:b w:val="0"/>
                <w:bCs w:val="0"/>
                <w:color w:val="auto"/>
                <w:szCs w:val="21"/>
                <w:highlight w:val="none"/>
                <w:lang w:val="en-US" w:eastAsia="zh-CN"/>
              </w:rPr>
              <w:t>16</w:t>
            </w:r>
          </w:p>
        </w:tc>
        <w:tc>
          <w:tcPr>
            <w:tcW w:w="717" w:type="dxa"/>
            <w:vAlign w:val="center"/>
          </w:tcPr>
          <w:p>
            <w:pPr>
              <w:jc w:val="center"/>
              <w:rPr>
                <w:rFonts w:hint="eastAsia" w:ascii="仿宋" w:hAnsi="仿宋" w:eastAsia="仿宋" w:cs="仿宋"/>
                <w:color w:val="auto"/>
                <w:szCs w:val="21"/>
                <w:highlight w:val="none"/>
                <w:lang w:eastAsia="zh-CN"/>
              </w:rPr>
            </w:pPr>
            <w:r>
              <w:rPr>
                <w:rFonts w:hint="eastAsia" w:ascii="仿宋" w:hAnsi="仿宋" w:eastAsia="仿宋" w:cs="仿宋"/>
                <w:b w:val="0"/>
                <w:bCs w:val="0"/>
                <w:color w:val="auto"/>
                <w:szCs w:val="21"/>
                <w:highlight w:val="none"/>
                <w:lang w:val="en-US" w:eastAsia="zh-CN"/>
              </w:rPr>
              <w:t>平米</w:t>
            </w:r>
          </w:p>
        </w:tc>
        <w:tc>
          <w:tcPr>
            <w:tcW w:w="5080" w:type="dxa"/>
            <w:vAlign w:val="center"/>
          </w:tcPr>
          <w:p>
            <w:pPr>
              <w:jc w:val="both"/>
              <w:rPr>
                <w:rFonts w:hint="eastAsia" w:ascii="仿宋" w:hAnsi="仿宋" w:eastAsia="仿宋" w:cs="仿宋"/>
                <w:b w:val="0"/>
                <w:bCs w:val="0"/>
                <w:color w:val="auto"/>
                <w:szCs w:val="21"/>
                <w:highlight w:val="none"/>
                <w:lang w:eastAsia="zh-CN"/>
              </w:rPr>
            </w:pPr>
            <w:r>
              <w:rPr>
                <w:rFonts w:hint="eastAsia" w:ascii="仿宋" w:hAnsi="仿宋" w:eastAsia="仿宋" w:cs="仿宋"/>
                <w:b w:val="0"/>
                <w:bCs w:val="0"/>
                <w:color w:val="auto"/>
                <w:szCs w:val="21"/>
                <w:highlight w:val="none"/>
                <w:lang w:val="en-US" w:eastAsia="zh-CN"/>
              </w:rPr>
              <w:t>1.包括</w:t>
            </w:r>
            <w:r>
              <w:rPr>
                <w:rFonts w:hint="eastAsia" w:ascii="仿宋" w:hAnsi="仿宋" w:eastAsia="仿宋" w:cs="仿宋"/>
                <w:b w:val="0"/>
                <w:bCs w:val="0"/>
                <w:color w:val="auto"/>
                <w:szCs w:val="21"/>
                <w:highlight w:val="none"/>
              </w:rPr>
              <w:t>整体框架及装饰烤漆铝板的制作及安装，含与顶地墙面的收口</w:t>
            </w:r>
            <w:r>
              <w:rPr>
                <w:rFonts w:hint="eastAsia" w:ascii="仿宋" w:hAnsi="仿宋" w:eastAsia="仿宋" w:cs="仿宋"/>
                <w:b w:val="0"/>
                <w:bCs w:val="0"/>
                <w:color w:val="auto"/>
                <w:szCs w:val="21"/>
                <w:highlight w:val="none"/>
                <w:lang w:eastAsia="zh-CN"/>
              </w:rPr>
              <w:t>；</w:t>
            </w:r>
          </w:p>
          <w:p>
            <w:pPr>
              <w:jc w:val="both"/>
              <w:rPr>
                <w:rFonts w:hint="eastAsia" w:ascii="仿宋" w:hAnsi="仿宋" w:eastAsia="仿宋" w:cs="仿宋"/>
                <w:color w:val="auto"/>
                <w:szCs w:val="21"/>
                <w:highlight w:val="none"/>
                <w:lang w:val="en-US" w:eastAsia="zh-CN"/>
              </w:rPr>
            </w:pPr>
            <w:r>
              <w:rPr>
                <w:rFonts w:hint="eastAsia" w:ascii="仿宋" w:hAnsi="仿宋" w:eastAsia="仿宋" w:cs="仿宋"/>
                <w:b w:val="0"/>
                <w:bCs w:val="0"/>
                <w:color w:val="auto"/>
                <w:szCs w:val="21"/>
                <w:highlight w:val="none"/>
                <w:lang w:val="en-US" w:eastAsia="zh-CN"/>
              </w:rPr>
              <w:t>2.</w:t>
            </w:r>
            <w:r>
              <w:rPr>
                <w:rFonts w:hint="eastAsia" w:ascii="仿宋" w:hAnsi="仿宋" w:eastAsia="仿宋" w:cs="仿宋"/>
                <w:b w:val="0"/>
                <w:bCs w:val="0"/>
                <w:color w:val="auto"/>
                <w:szCs w:val="21"/>
                <w:highlight w:val="none"/>
              </w:rPr>
              <w:t>铝板</w:t>
            </w:r>
            <w:r>
              <w:rPr>
                <w:rFonts w:hint="eastAsia" w:ascii="仿宋" w:hAnsi="仿宋" w:eastAsia="仿宋" w:cs="仿宋"/>
                <w:b w:val="0"/>
                <w:bCs w:val="0"/>
                <w:color w:val="auto"/>
                <w:szCs w:val="21"/>
                <w:highlight w:val="none"/>
                <w:lang w:val="en-US" w:eastAsia="zh-CN"/>
              </w:rPr>
              <w:t>≥</w:t>
            </w:r>
            <w:r>
              <w:rPr>
                <w:rFonts w:hint="eastAsia" w:ascii="仿宋" w:hAnsi="仿宋" w:eastAsia="仿宋" w:cs="仿宋"/>
                <w:b w:val="0"/>
                <w:bCs w:val="0"/>
                <w:color w:val="auto"/>
                <w:szCs w:val="21"/>
                <w:highlight w:val="none"/>
              </w:rPr>
              <w:t>2.5mm</w:t>
            </w:r>
            <w:r>
              <w:rPr>
                <w:rFonts w:hint="eastAsia" w:ascii="仿宋" w:hAnsi="仿宋" w:eastAsia="仿宋" w:cs="仿宋"/>
                <w:b w:val="0"/>
                <w:bCs w:val="0"/>
                <w:color w:val="auto"/>
                <w:szCs w:val="21"/>
                <w:highlight w:val="none"/>
                <w:lang w:val="en-US" w:eastAsia="zh-CN"/>
              </w:rPr>
              <w:t>厚</w:t>
            </w:r>
            <w:r>
              <w:rPr>
                <w:rFonts w:hint="eastAsia" w:ascii="仿宋" w:hAnsi="仿宋" w:eastAsia="仿宋" w:cs="仿宋"/>
                <w:b w:val="0"/>
                <w:bCs w:val="0"/>
                <w:color w:val="auto"/>
                <w:szCs w:val="21"/>
                <w:highlight w:val="none"/>
              </w:rPr>
              <w:t>，金属烤漆工艺</w:t>
            </w:r>
            <w:r>
              <w:rPr>
                <w:rFonts w:hint="eastAsia" w:ascii="仿宋" w:hAnsi="仿宋" w:eastAsia="仿宋" w:cs="仿宋"/>
                <w:b w:val="0"/>
                <w:bCs w:val="0"/>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2</w:t>
            </w:r>
          </w:p>
        </w:tc>
        <w:tc>
          <w:tcPr>
            <w:tcW w:w="247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前台</w:t>
            </w:r>
          </w:p>
        </w:tc>
        <w:tc>
          <w:tcPr>
            <w:tcW w:w="684"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1</w:t>
            </w:r>
          </w:p>
        </w:tc>
        <w:tc>
          <w:tcPr>
            <w:tcW w:w="71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个</w:t>
            </w:r>
          </w:p>
        </w:tc>
        <w:tc>
          <w:tcPr>
            <w:tcW w:w="5080" w:type="dxa"/>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规格：180*70*90cm</w:t>
            </w:r>
          </w:p>
          <w:p>
            <w:pPr>
              <w:rPr>
                <w:rFonts w:ascii="仿宋" w:hAnsi="仿宋" w:eastAsia="仿宋" w:cs="仿宋"/>
                <w:color w:val="auto"/>
                <w:szCs w:val="21"/>
                <w:highlight w:val="none"/>
              </w:rPr>
            </w:pPr>
            <w:r>
              <w:rPr>
                <w:rFonts w:hint="eastAsia" w:ascii="仿宋" w:hAnsi="仿宋" w:eastAsia="仿宋" w:cs="仿宋"/>
                <w:color w:val="auto"/>
                <w:szCs w:val="21"/>
                <w:highlight w:val="none"/>
              </w:rPr>
              <w:t>1.木质烤漆工艺；</w:t>
            </w:r>
          </w:p>
          <w:p>
            <w:pPr>
              <w:rPr>
                <w:rFonts w:ascii="仿宋" w:hAnsi="仿宋" w:eastAsia="仿宋" w:cs="仿宋"/>
                <w:color w:val="auto"/>
                <w:szCs w:val="21"/>
                <w:highlight w:val="none"/>
              </w:rPr>
            </w:pPr>
            <w:r>
              <w:rPr>
                <w:rFonts w:hint="eastAsia" w:ascii="仿宋" w:hAnsi="仿宋" w:eastAsia="仿宋" w:cs="仿宋"/>
                <w:color w:val="auto"/>
                <w:szCs w:val="21"/>
                <w:highlight w:val="none"/>
              </w:rPr>
              <w:t>2.与大厅两侧展墙统一造型和风格进行设计深化造型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3</w:t>
            </w:r>
          </w:p>
        </w:tc>
        <w:tc>
          <w:tcPr>
            <w:tcW w:w="247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算力技术发展史定制</w:t>
            </w:r>
          </w:p>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展柜</w:t>
            </w:r>
          </w:p>
        </w:tc>
        <w:tc>
          <w:tcPr>
            <w:tcW w:w="684"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59</w:t>
            </w:r>
          </w:p>
        </w:tc>
        <w:tc>
          <w:tcPr>
            <w:tcW w:w="71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平米</w:t>
            </w:r>
          </w:p>
        </w:tc>
        <w:tc>
          <w:tcPr>
            <w:tcW w:w="5080" w:type="dxa"/>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1.一体式展柜形式，整体造型设计，一级标题为发光字、二级标题为立体字，展示内容为综合材料制作，有造型基础设计及灯光设计重点资料装裱上墙；</w:t>
            </w:r>
          </w:p>
          <w:p>
            <w:pPr>
              <w:rPr>
                <w:rFonts w:ascii="仿宋" w:hAnsi="仿宋" w:eastAsia="仿宋" w:cs="仿宋"/>
                <w:color w:val="auto"/>
                <w:szCs w:val="21"/>
                <w:highlight w:val="none"/>
              </w:rPr>
            </w:pPr>
            <w:r>
              <w:rPr>
                <w:rFonts w:hint="eastAsia" w:ascii="仿宋" w:hAnsi="仿宋" w:eastAsia="仿宋" w:cs="仿宋"/>
                <w:color w:val="auto"/>
                <w:szCs w:val="21"/>
                <w:highlight w:val="none"/>
              </w:rPr>
              <w:t>2.展示内容见附件1；</w:t>
            </w:r>
          </w:p>
          <w:p>
            <w:pPr>
              <w:rPr>
                <w:rFonts w:ascii="仿宋" w:hAnsi="仿宋" w:eastAsia="仿宋" w:cs="仿宋"/>
                <w:color w:val="auto"/>
                <w:szCs w:val="21"/>
                <w:highlight w:val="none"/>
              </w:rPr>
            </w:pPr>
            <w:r>
              <w:rPr>
                <w:rFonts w:hint="eastAsia" w:ascii="仿宋" w:hAnsi="仿宋" w:eastAsia="仿宋" w:cs="仿宋"/>
                <w:color w:val="auto"/>
                <w:szCs w:val="21"/>
                <w:highlight w:val="none"/>
              </w:rPr>
              <w:t>3.在图纸所示展墙尺寸范围内深化展柜造型及具体展项，基于提供的资料深化提升展项内容，陈列展具设计、照明设计等内容并进行落地制作；</w:t>
            </w:r>
          </w:p>
          <w:p>
            <w:pPr>
              <w:rPr>
                <w:rFonts w:ascii="仿宋" w:hAnsi="仿宋" w:eastAsia="仿宋" w:cs="仿宋"/>
                <w:color w:val="auto"/>
                <w:szCs w:val="21"/>
                <w:highlight w:val="none"/>
              </w:rPr>
            </w:pPr>
            <w:r>
              <w:rPr>
                <w:rFonts w:hint="eastAsia" w:ascii="仿宋" w:hAnsi="仿宋" w:eastAsia="仿宋" w:cs="仿宋"/>
                <w:color w:val="auto"/>
                <w:szCs w:val="21"/>
                <w:highlight w:val="none"/>
              </w:rPr>
              <w:t>4.各展项空间排布比例均衡，可脉络清晰的展示算力计算发展的历史；</w:t>
            </w:r>
          </w:p>
          <w:p>
            <w:pPr>
              <w:rPr>
                <w:rFonts w:ascii="仿宋" w:hAnsi="仿宋" w:eastAsia="仿宋" w:cs="仿宋"/>
                <w:color w:val="auto"/>
                <w:szCs w:val="21"/>
                <w:highlight w:val="none"/>
              </w:rPr>
            </w:pPr>
            <w:r>
              <w:rPr>
                <w:rFonts w:hint="eastAsia" w:ascii="仿宋" w:hAnsi="仿宋" w:eastAsia="仿宋" w:cs="仿宋"/>
                <w:color w:val="auto"/>
                <w:szCs w:val="21"/>
                <w:highlight w:val="none"/>
              </w:rPr>
              <w:t>5.展柜可采用3D打印，金属、亚克力、灯带、木板、磁吸材料等综合材料，整体厚度≥80cm，自带灯光效果，灯光明亮并突出重点内容，风格现代、大气、明亮；</w:t>
            </w:r>
          </w:p>
          <w:p>
            <w:pPr>
              <w:rPr>
                <w:rFonts w:ascii="仿宋" w:hAnsi="仿宋" w:eastAsia="仿宋" w:cs="仿宋"/>
                <w:color w:val="auto"/>
                <w:szCs w:val="21"/>
                <w:highlight w:val="none"/>
              </w:rPr>
            </w:pPr>
            <w:r>
              <w:rPr>
                <w:rFonts w:hint="eastAsia" w:ascii="仿宋" w:hAnsi="仿宋" w:eastAsia="仿宋" w:cs="仿宋"/>
                <w:color w:val="auto"/>
                <w:szCs w:val="21"/>
                <w:highlight w:val="none"/>
              </w:rPr>
              <w:t>6.展项内容有重点、亮点、美感与科技感；</w:t>
            </w:r>
          </w:p>
          <w:p>
            <w:pPr>
              <w:rPr>
                <w:rFonts w:ascii="仿宋" w:hAnsi="仿宋" w:eastAsia="仿宋" w:cs="仿宋"/>
                <w:color w:val="auto"/>
                <w:szCs w:val="21"/>
                <w:highlight w:val="none"/>
              </w:rPr>
            </w:pPr>
            <w:r>
              <w:rPr>
                <w:rFonts w:hint="eastAsia" w:ascii="仿宋" w:hAnsi="仿宋" w:eastAsia="仿宋" w:cs="仿宋"/>
                <w:color w:val="auto"/>
                <w:szCs w:val="21"/>
                <w:highlight w:val="none"/>
              </w:rPr>
              <w:t>7.在布局和材料使用上充分考虑今后展陈局部调整、内容更换或更新改造的相关需求。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4</w:t>
            </w:r>
          </w:p>
        </w:tc>
        <w:tc>
          <w:tcPr>
            <w:tcW w:w="247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新型算力中心总体情况</w:t>
            </w:r>
          </w:p>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定制展柜</w:t>
            </w:r>
          </w:p>
        </w:tc>
        <w:tc>
          <w:tcPr>
            <w:tcW w:w="684"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88</w:t>
            </w:r>
          </w:p>
        </w:tc>
        <w:tc>
          <w:tcPr>
            <w:tcW w:w="71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平米</w:t>
            </w:r>
          </w:p>
        </w:tc>
        <w:tc>
          <w:tcPr>
            <w:tcW w:w="5080" w:type="dxa"/>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1.一体式展柜形式，整体造型设计，一级标题为发光字、二级标题为立体字，展示内容为综合材料制作，有造型基础设计及灯光设计重点资料装裱上墙；</w:t>
            </w:r>
          </w:p>
          <w:p>
            <w:pPr>
              <w:rPr>
                <w:rFonts w:ascii="仿宋" w:hAnsi="仿宋" w:eastAsia="仿宋" w:cs="仿宋"/>
                <w:color w:val="auto"/>
                <w:szCs w:val="21"/>
                <w:highlight w:val="none"/>
              </w:rPr>
            </w:pPr>
            <w:r>
              <w:rPr>
                <w:rFonts w:hint="eastAsia" w:ascii="仿宋" w:hAnsi="仿宋" w:eastAsia="仿宋" w:cs="仿宋"/>
                <w:color w:val="auto"/>
                <w:szCs w:val="21"/>
                <w:highlight w:val="none"/>
              </w:rPr>
              <w:t>2.展示内容见附件2；</w:t>
            </w:r>
          </w:p>
          <w:p>
            <w:pPr>
              <w:rPr>
                <w:rFonts w:ascii="仿宋" w:hAnsi="仿宋" w:eastAsia="仿宋" w:cs="仿宋"/>
                <w:color w:val="auto"/>
                <w:szCs w:val="21"/>
                <w:highlight w:val="none"/>
              </w:rPr>
            </w:pPr>
            <w:r>
              <w:rPr>
                <w:rFonts w:hint="eastAsia" w:ascii="仿宋" w:hAnsi="仿宋" w:eastAsia="仿宋" w:cs="仿宋"/>
                <w:color w:val="auto"/>
                <w:szCs w:val="21"/>
                <w:highlight w:val="none"/>
              </w:rPr>
              <w:t>3.在图纸所示展墙尺寸范围内深化展柜造型及具体展项，基于提供的资料深化提升展项内容，陈列展具设计、照明设计等内容并进行落地制作；</w:t>
            </w:r>
          </w:p>
          <w:p>
            <w:pPr>
              <w:rPr>
                <w:rFonts w:ascii="仿宋" w:hAnsi="仿宋" w:eastAsia="仿宋" w:cs="仿宋"/>
                <w:color w:val="auto"/>
                <w:szCs w:val="21"/>
                <w:highlight w:val="none"/>
              </w:rPr>
            </w:pPr>
            <w:r>
              <w:rPr>
                <w:rFonts w:hint="eastAsia" w:ascii="仿宋" w:hAnsi="仿宋" w:eastAsia="仿宋" w:cs="仿宋"/>
                <w:color w:val="auto"/>
                <w:szCs w:val="21"/>
                <w:highlight w:val="none"/>
              </w:rPr>
              <w:t>4.各展项空间排布比例均衡，可脉络清晰的展示算力计算发展的历史；</w:t>
            </w:r>
          </w:p>
          <w:p>
            <w:pPr>
              <w:rPr>
                <w:rFonts w:ascii="仿宋" w:hAnsi="仿宋" w:eastAsia="仿宋" w:cs="仿宋"/>
                <w:color w:val="auto"/>
                <w:szCs w:val="21"/>
                <w:highlight w:val="none"/>
              </w:rPr>
            </w:pPr>
            <w:r>
              <w:rPr>
                <w:rFonts w:hint="eastAsia" w:ascii="仿宋" w:hAnsi="仿宋" w:eastAsia="仿宋" w:cs="仿宋"/>
                <w:color w:val="auto"/>
                <w:szCs w:val="21"/>
                <w:highlight w:val="none"/>
              </w:rPr>
              <w:t>5.展柜可采用3D打印，金属、亚克力、灯带、木板、磁吸材料等综合材料，整体厚度≥80cm，具有环境装饰效果，自带灯光照明，灯光明亮并突出重点内容，风格现代、大气、明亮；</w:t>
            </w:r>
          </w:p>
          <w:p>
            <w:pPr>
              <w:rPr>
                <w:rFonts w:ascii="仿宋" w:hAnsi="仿宋" w:eastAsia="仿宋" w:cs="仿宋"/>
                <w:color w:val="auto"/>
                <w:szCs w:val="21"/>
                <w:highlight w:val="none"/>
              </w:rPr>
            </w:pPr>
            <w:r>
              <w:rPr>
                <w:rFonts w:hint="eastAsia" w:ascii="仿宋" w:hAnsi="仿宋" w:eastAsia="仿宋" w:cs="仿宋"/>
                <w:color w:val="auto"/>
                <w:szCs w:val="21"/>
                <w:highlight w:val="none"/>
              </w:rPr>
              <w:t>6.展项内容有重点、亮点、美感与科技感；</w:t>
            </w:r>
          </w:p>
          <w:p>
            <w:pPr>
              <w:rPr>
                <w:rFonts w:ascii="仿宋" w:hAnsi="仿宋" w:eastAsia="仿宋" w:cs="仿宋"/>
                <w:color w:val="auto"/>
                <w:szCs w:val="21"/>
                <w:highlight w:val="none"/>
              </w:rPr>
            </w:pPr>
            <w:r>
              <w:rPr>
                <w:rFonts w:hint="eastAsia" w:ascii="仿宋" w:hAnsi="仿宋" w:eastAsia="仿宋" w:cs="仿宋"/>
                <w:color w:val="auto"/>
                <w:szCs w:val="21"/>
                <w:highlight w:val="none"/>
              </w:rPr>
              <w:t>7.在布局和材料使用上充分考虑今后展陈局部调整、内容更换或更新改造的相关需求；</w:t>
            </w:r>
          </w:p>
          <w:p>
            <w:pPr>
              <w:rPr>
                <w:rFonts w:ascii="仿宋" w:hAnsi="仿宋" w:eastAsia="仿宋" w:cs="仿宋"/>
                <w:color w:val="auto"/>
                <w:szCs w:val="21"/>
                <w:highlight w:val="none"/>
              </w:rPr>
            </w:pPr>
            <w:r>
              <w:rPr>
                <w:rFonts w:hint="eastAsia" w:ascii="仿宋" w:hAnsi="仿宋" w:eastAsia="仿宋" w:cs="仿宋"/>
                <w:color w:val="auto"/>
                <w:szCs w:val="21"/>
                <w:highlight w:val="none"/>
              </w:rPr>
              <w:t>8.展柜内展陈内容更换达到低成本、便捷性的要求。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5</w:t>
            </w:r>
          </w:p>
        </w:tc>
        <w:tc>
          <w:tcPr>
            <w:tcW w:w="247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万卡智算集群定制展柜</w:t>
            </w:r>
          </w:p>
        </w:tc>
        <w:tc>
          <w:tcPr>
            <w:tcW w:w="684"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1</w:t>
            </w:r>
          </w:p>
        </w:tc>
        <w:tc>
          <w:tcPr>
            <w:tcW w:w="71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项</w:t>
            </w:r>
          </w:p>
        </w:tc>
        <w:tc>
          <w:tcPr>
            <w:tcW w:w="5080" w:type="dxa"/>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1.规格900*15*275cm展柜*4；</w:t>
            </w:r>
          </w:p>
          <w:p>
            <w:pPr>
              <w:rPr>
                <w:rFonts w:ascii="仿宋" w:hAnsi="仿宋" w:eastAsia="仿宋" w:cs="仿宋"/>
                <w:color w:val="auto"/>
                <w:szCs w:val="21"/>
                <w:highlight w:val="none"/>
              </w:rPr>
            </w:pPr>
            <w:r>
              <w:rPr>
                <w:rFonts w:hint="eastAsia" w:ascii="仿宋" w:hAnsi="仿宋" w:eastAsia="仿宋" w:cs="仿宋"/>
                <w:color w:val="auto"/>
                <w:szCs w:val="21"/>
                <w:highlight w:val="none"/>
              </w:rPr>
              <w:t>2.一体式展柜形式，整体造型设计，一级标题为发光字、二级标题为立体字，展示内容为综合材料制作，有造型基础设计及灯光设计重点资料装裱上墙；</w:t>
            </w:r>
          </w:p>
          <w:p>
            <w:pPr>
              <w:rPr>
                <w:rFonts w:ascii="仿宋" w:hAnsi="仿宋" w:eastAsia="仿宋" w:cs="仿宋"/>
                <w:color w:val="auto"/>
                <w:szCs w:val="21"/>
                <w:highlight w:val="none"/>
              </w:rPr>
            </w:pPr>
            <w:r>
              <w:rPr>
                <w:rFonts w:hint="eastAsia" w:ascii="仿宋" w:hAnsi="仿宋" w:eastAsia="仿宋" w:cs="仿宋"/>
                <w:color w:val="auto"/>
                <w:szCs w:val="21"/>
                <w:highlight w:val="none"/>
              </w:rPr>
              <w:t>3.展示内容见附件3；</w:t>
            </w:r>
          </w:p>
          <w:p>
            <w:pPr>
              <w:rPr>
                <w:rFonts w:ascii="仿宋" w:hAnsi="仿宋" w:eastAsia="仿宋" w:cs="仿宋"/>
                <w:color w:val="auto"/>
                <w:szCs w:val="21"/>
                <w:highlight w:val="none"/>
              </w:rPr>
            </w:pPr>
            <w:r>
              <w:rPr>
                <w:rFonts w:hint="eastAsia" w:ascii="仿宋" w:hAnsi="仿宋" w:eastAsia="仿宋" w:cs="仿宋"/>
                <w:color w:val="auto"/>
                <w:szCs w:val="21"/>
                <w:highlight w:val="none"/>
              </w:rPr>
              <w:t>4.</w:t>
            </w:r>
            <w:r>
              <w:rPr>
                <w:rFonts w:ascii="仿宋" w:hAnsi="仿宋" w:eastAsia="仿宋" w:cs="仿宋"/>
                <w:color w:val="auto"/>
                <w:szCs w:val="21"/>
                <w:highlight w:val="none"/>
              </w:rPr>
              <w:t>在图纸所示展墙尺寸范围内深化</w:t>
            </w:r>
            <w:r>
              <w:rPr>
                <w:rFonts w:hint="eastAsia" w:ascii="仿宋" w:hAnsi="仿宋" w:eastAsia="仿宋" w:cs="仿宋"/>
                <w:color w:val="auto"/>
                <w:szCs w:val="21"/>
                <w:highlight w:val="none"/>
              </w:rPr>
              <w:t>展柜</w:t>
            </w:r>
            <w:r>
              <w:rPr>
                <w:rFonts w:ascii="仿宋" w:hAnsi="仿宋" w:eastAsia="仿宋" w:cs="仿宋"/>
                <w:color w:val="auto"/>
                <w:szCs w:val="21"/>
                <w:highlight w:val="none"/>
              </w:rPr>
              <w:t>造型及具体展项，基于提供的资料深化提升展项内容并进行落地制作</w:t>
            </w:r>
            <w:r>
              <w:rPr>
                <w:rFonts w:hint="eastAsia" w:ascii="仿宋" w:hAnsi="仿宋" w:eastAsia="仿宋" w:cs="仿宋"/>
                <w:color w:val="auto"/>
                <w:szCs w:val="21"/>
                <w:highlight w:val="none"/>
              </w:rPr>
              <w:t>；</w:t>
            </w:r>
          </w:p>
          <w:p>
            <w:pPr>
              <w:rPr>
                <w:rFonts w:ascii="仿宋" w:hAnsi="仿宋" w:eastAsia="仿宋" w:cs="仿宋"/>
                <w:color w:val="auto"/>
                <w:szCs w:val="21"/>
                <w:highlight w:val="none"/>
              </w:rPr>
            </w:pPr>
            <w:r>
              <w:rPr>
                <w:rFonts w:hint="eastAsia" w:ascii="仿宋" w:hAnsi="仿宋" w:eastAsia="仿宋" w:cs="仿宋"/>
                <w:color w:val="auto"/>
                <w:szCs w:val="21"/>
                <w:highlight w:val="none"/>
              </w:rPr>
              <w:t>5.</w:t>
            </w:r>
            <w:r>
              <w:rPr>
                <w:rFonts w:ascii="仿宋" w:hAnsi="仿宋" w:eastAsia="仿宋" w:cs="仿宋"/>
                <w:color w:val="auto"/>
                <w:szCs w:val="21"/>
                <w:highlight w:val="none"/>
              </w:rPr>
              <w:t>展陈可用面为四组玻璃窗，展柜遮挡玻璃面积不可超过50%，不可使用多媒体设备</w:t>
            </w:r>
            <w:r>
              <w:rPr>
                <w:rFonts w:hint="eastAsia" w:ascii="仿宋" w:hAnsi="仿宋" w:eastAsia="仿宋" w:cs="仿宋"/>
                <w:color w:val="auto"/>
                <w:szCs w:val="21"/>
                <w:highlight w:val="none"/>
              </w:rPr>
              <w:t>、</w:t>
            </w:r>
            <w:r>
              <w:rPr>
                <w:rFonts w:ascii="仿宋" w:hAnsi="仿宋" w:eastAsia="仿宋" w:cs="仿宋"/>
                <w:color w:val="auto"/>
                <w:szCs w:val="21"/>
                <w:highlight w:val="none"/>
              </w:rPr>
              <w:t>不可破坏和影响原有玻璃窗结构牢度和封闭性</w:t>
            </w:r>
            <w:r>
              <w:rPr>
                <w:rFonts w:hint="eastAsia" w:ascii="仿宋" w:hAnsi="仿宋" w:eastAsia="仿宋" w:cs="仿宋"/>
                <w:color w:val="auto"/>
                <w:szCs w:val="21"/>
                <w:highlight w:val="none"/>
              </w:rPr>
              <w:t>；</w:t>
            </w:r>
          </w:p>
          <w:p>
            <w:pPr>
              <w:rPr>
                <w:rFonts w:ascii="仿宋" w:hAnsi="仿宋" w:eastAsia="仿宋" w:cs="仿宋"/>
                <w:color w:val="auto"/>
                <w:szCs w:val="21"/>
                <w:highlight w:val="none"/>
              </w:rPr>
            </w:pPr>
            <w:r>
              <w:rPr>
                <w:rFonts w:hint="eastAsia" w:ascii="仿宋" w:hAnsi="仿宋" w:eastAsia="仿宋" w:cs="仿宋"/>
                <w:color w:val="auto"/>
                <w:szCs w:val="21"/>
                <w:highlight w:val="none"/>
              </w:rPr>
              <w:t>6.</w:t>
            </w:r>
            <w:r>
              <w:rPr>
                <w:rFonts w:ascii="仿宋" w:hAnsi="仿宋" w:eastAsia="仿宋" w:cs="仿宋"/>
                <w:color w:val="auto"/>
                <w:szCs w:val="21"/>
                <w:highlight w:val="none"/>
              </w:rPr>
              <w:t>展柜可采用3D打印，金属、亚克力、灯带、木板、磁吸材料等综合材料，具有环境装饰效果，造型设计具有创意并突出重点内容</w:t>
            </w:r>
            <w:r>
              <w:rPr>
                <w:rFonts w:hint="eastAsia" w:ascii="仿宋" w:hAnsi="仿宋" w:eastAsia="仿宋" w:cs="仿宋"/>
                <w:color w:val="auto"/>
                <w:szCs w:val="21"/>
                <w:highlight w:val="none"/>
              </w:rPr>
              <w:t>，</w:t>
            </w:r>
            <w:r>
              <w:rPr>
                <w:rFonts w:ascii="仿宋" w:hAnsi="仿宋" w:eastAsia="仿宋" w:cs="仿宋"/>
                <w:color w:val="auto"/>
                <w:szCs w:val="21"/>
                <w:highlight w:val="none"/>
              </w:rPr>
              <w:t>风格现代、大气、明亮</w:t>
            </w:r>
            <w:r>
              <w:rPr>
                <w:rFonts w:hint="eastAsia" w:ascii="仿宋" w:hAnsi="仿宋" w:eastAsia="仿宋" w:cs="仿宋"/>
                <w:color w:val="auto"/>
                <w:szCs w:val="21"/>
                <w:highlight w:val="none"/>
              </w:rPr>
              <w:t>；</w:t>
            </w:r>
          </w:p>
          <w:p>
            <w:pPr>
              <w:rPr>
                <w:rFonts w:ascii="仿宋" w:hAnsi="仿宋" w:eastAsia="仿宋" w:cs="仿宋"/>
                <w:color w:val="auto"/>
                <w:szCs w:val="21"/>
                <w:highlight w:val="none"/>
              </w:rPr>
            </w:pPr>
            <w:r>
              <w:rPr>
                <w:rFonts w:hint="eastAsia" w:ascii="仿宋" w:hAnsi="仿宋" w:eastAsia="仿宋" w:cs="仿宋"/>
                <w:color w:val="auto"/>
                <w:szCs w:val="21"/>
                <w:highlight w:val="none"/>
              </w:rPr>
              <w:t>7.</w:t>
            </w:r>
            <w:r>
              <w:rPr>
                <w:rFonts w:ascii="仿宋" w:hAnsi="仿宋" w:eastAsia="仿宋" w:cs="仿宋"/>
                <w:color w:val="auto"/>
                <w:szCs w:val="21"/>
                <w:highlight w:val="none"/>
              </w:rPr>
              <w:t>展项内容有重点、亮点、美感与科技感</w:t>
            </w:r>
            <w:r>
              <w:rPr>
                <w:rFonts w:hint="eastAsia" w:ascii="仿宋" w:hAnsi="仿宋" w:eastAsia="仿宋" w:cs="仿宋"/>
                <w:color w:val="auto"/>
                <w:szCs w:val="21"/>
                <w:highlight w:val="none"/>
              </w:rPr>
              <w:t>；</w:t>
            </w:r>
          </w:p>
          <w:p>
            <w:pPr>
              <w:rPr>
                <w:rFonts w:ascii="仿宋" w:hAnsi="仿宋" w:eastAsia="仿宋" w:cs="仿宋"/>
                <w:color w:val="auto"/>
                <w:szCs w:val="21"/>
                <w:highlight w:val="none"/>
              </w:rPr>
            </w:pPr>
            <w:r>
              <w:rPr>
                <w:rFonts w:hint="eastAsia" w:ascii="仿宋" w:hAnsi="仿宋" w:eastAsia="仿宋" w:cs="仿宋"/>
                <w:color w:val="auto"/>
                <w:szCs w:val="21"/>
                <w:highlight w:val="none"/>
              </w:rPr>
              <w:t>8.</w:t>
            </w:r>
            <w:r>
              <w:rPr>
                <w:rFonts w:ascii="仿宋" w:hAnsi="仿宋" w:eastAsia="仿宋" w:cs="仿宋"/>
                <w:color w:val="auto"/>
                <w:szCs w:val="21"/>
                <w:highlight w:val="none"/>
              </w:rPr>
              <w:t>展陈内容深化清晰明了、逻辑性强的介绍各万卡集群的特性和技术</w:t>
            </w:r>
            <w:r>
              <w:rPr>
                <w:rFonts w:hint="eastAsia" w:ascii="仿宋" w:hAnsi="仿宋" w:eastAsia="仿宋" w:cs="仿宋"/>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6</w:t>
            </w:r>
          </w:p>
        </w:tc>
        <w:tc>
          <w:tcPr>
            <w:tcW w:w="247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走廊科学家介绍</w:t>
            </w:r>
          </w:p>
        </w:tc>
        <w:tc>
          <w:tcPr>
            <w:tcW w:w="684"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10</w:t>
            </w:r>
          </w:p>
        </w:tc>
        <w:tc>
          <w:tcPr>
            <w:tcW w:w="71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个</w:t>
            </w:r>
          </w:p>
        </w:tc>
        <w:tc>
          <w:tcPr>
            <w:tcW w:w="5080" w:type="dxa"/>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1.画框或文化墙制作，金属、实木、亚克力等综合材料；</w:t>
            </w:r>
          </w:p>
          <w:p>
            <w:pPr>
              <w:rPr>
                <w:rFonts w:ascii="仿宋" w:hAnsi="仿宋" w:eastAsia="仿宋" w:cs="仿宋"/>
                <w:color w:val="auto"/>
                <w:szCs w:val="21"/>
                <w:highlight w:val="none"/>
              </w:rPr>
            </w:pPr>
            <w:r>
              <w:rPr>
                <w:rFonts w:hint="eastAsia" w:ascii="仿宋" w:hAnsi="仿宋" w:eastAsia="仿宋" w:cs="仿宋"/>
                <w:color w:val="auto"/>
                <w:szCs w:val="21"/>
                <w:highlight w:val="none"/>
              </w:rPr>
              <w:t>2.在万卡智算集群对面墙面展示和介绍世界上对算力发展贡献巨大的十位科学家。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7</w:t>
            </w:r>
          </w:p>
        </w:tc>
        <w:tc>
          <w:tcPr>
            <w:tcW w:w="247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高效能计算系统定制</w:t>
            </w:r>
          </w:p>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展柜</w:t>
            </w:r>
            <w:r>
              <w:rPr>
                <w:rFonts w:hint="eastAsia" w:ascii="仿宋" w:hAnsi="仿宋" w:eastAsia="仿宋" w:cs="仿宋"/>
                <w:b/>
                <w:bCs/>
                <w:color w:val="auto"/>
                <w:szCs w:val="21"/>
                <w:highlight w:val="none"/>
              </w:rPr>
              <w:t>（核心产品）</w:t>
            </w:r>
          </w:p>
        </w:tc>
        <w:tc>
          <w:tcPr>
            <w:tcW w:w="684"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1</w:t>
            </w:r>
          </w:p>
        </w:tc>
        <w:tc>
          <w:tcPr>
            <w:tcW w:w="71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项</w:t>
            </w:r>
          </w:p>
        </w:tc>
        <w:tc>
          <w:tcPr>
            <w:tcW w:w="5080" w:type="dxa"/>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1.规格2420*15*259cm展柜*1；</w:t>
            </w:r>
          </w:p>
          <w:p>
            <w:pPr>
              <w:rPr>
                <w:rFonts w:ascii="仿宋" w:hAnsi="仿宋" w:eastAsia="仿宋" w:cs="仿宋"/>
                <w:color w:val="auto"/>
                <w:szCs w:val="21"/>
                <w:highlight w:val="none"/>
              </w:rPr>
            </w:pPr>
            <w:r>
              <w:rPr>
                <w:rFonts w:hint="eastAsia" w:ascii="仿宋" w:hAnsi="仿宋" w:eastAsia="仿宋" w:cs="仿宋"/>
                <w:color w:val="auto"/>
                <w:szCs w:val="21"/>
                <w:highlight w:val="none"/>
              </w:rPr>
              <w:t>2.一体式展柜形式，整体造型设计，一级标题为发光字、二级标题为立体字，展示内容为综合材料制作，有造型基础设计及灯光设计重点资料装裱上墙；</w:t>
            </w:r>
          </w:p>
          <w:p>
            <w:pPr>
              <w:rPr>
                <w:rFonts w:ascii="仿宋" w:hAnsi="仿宋" w:eastAsia="仿宋" w:cs="仿宋"/>
                <w:color w:val="auto"/>
                <w:szCs w:val="21"/>
                <w:highlight w:val="none"/>
              </w:rPr>
            </w:pPr>
            <w:r>
              <w:rPr>
                <w:rFonts w:hint="eastAsia" w:ascii="仿宋" w:hAnsi="仿宋" w:eastAsia="仿宋" w:cs="仿宋"/>
                <w:color w:val="auto"/>
                <w:szCs w:val="21"/>
                <w:highlight w:val="none"/>
              </w:rPr>
              <w:t>3.展示内容见附件4；</w:t>
            </w:r>
          </w:p>
          <w:p>
            <w:pPr>
              <w:rPr>
                <w:rFonts w:ascii="仿宋" w:hAnsi="仿宋" w:eastAsia="仿宋" w:cs="仿宋"/>
                <w:color w:val="auto"/>
                <w:szCs w:val="21"/>
                <w:highlight w:val="none"/>
              </w:rPr>
            </w:pPr>
            <w:r>
              <w:rPr>
                <w:rFonts w:hint="eastAsia" w:ascii="仿宋" w:hAnsi="仿宋" w:eastAsia="仿宋" w:cs="仿宋"/>
                <w:color w:val="auto"/>
                <w:szCs w:val="21"/>
                <w:highlight w:val="none"/>
              </w:rPr>
              <w:t>4.在图纸所示展墙尺寸范围内深化展柜造型及具体展项，基于提供的资料深化提升展项内容并进行落地制作；</w:t>
            </w:r>
          </w:p>
          <w:p>
            <w:pPr>
              <w:rPr>
                <w:rFonts w:ascii="仿宋" w:hAnsi="仿宋" w:eastAsia="仿宋" w:cs="仿宋"/>
                <w:color w:val="auto"/>
                <w:szCs w:val="21"/>
                <w:highlight w:val="none"/>
              </w:rPr>
            </w:pPr>
            <w:r>
              <w:rPr>
                <w:rFonts w:hint="eastAsia" w:ascii="仿宋" w:hAnsi="仿宋" w:eastAsia="仿宋" w:cs="仿宋"/>
                <w:color w:val="auto"/>
                <w:szCs w:val="21"/>
                <w:highlight w:val="none"/>
              </w:rPr>
              <w:t>5.展柜可采用金属、亚克力、灯带、木板、磁吸材料等综合材料，具有环境装饰效果，造型设计具有创意并突出重点内容，风格现代、大气、明亮；</w:t>
            </w:r>
          </w:p>
          <w:p>
            <w:pPr>
              <w:rPr>
                <w:rFonts w:ascii="仿宋" w:hAnsi="仿宋" w:eastAsia="仿宋" w:cs="仿宋"/>
                <w:color w:val="auto"/>
                <w:szCs w:val="21"/>
                <w:highlight w:val="none"/>
              </w:rPr>
            </w:pPr>
            <w:r>
              <w:rPr>
                <w:rFonts w:hint="eastAsia" w:ascii="仿宋" w:hAnsi="仿宋" w:eastAsia="仿宋" w:cs="仿宋"/>
                <w:color w:val="auto"/>
                <w:szCs w:val="21"/>
                <w:highlight w:val="none"/>
              </w:rPr>
              <w:t>6.展项内容有重点、亮点、美感与科技感；</w:t>
            </w:r>
          </w:p>
          <w:p>
            <w:pPr>
              <w:rPr>
                <w:rFonts w:ascii="仿宋" w:hAnsi="仿宋" w:eastAsia="仿宋" w:cs="仿宋"/>
                <w:color w:val="auto"/>
                <w:szCs w:val="21"/>
                <w:highlight w:val="none"/>
              </w:rPr>
            </w:pPr>
            <w:r>
              <w:rPr>
                <w:rFonts w:hint="eastAsia" w:ascii="仿宋" w:hAnsi="仿宋" w:eastAsia="仿宋" w:cs="仿宋"/>
                <w:color w:val="auto"/>
                <w:szCs w:val="21"/>
                <w:highlight w:val="none"/>
              </w:rPr>
              <w:t>7.展陈内容深化清晰明了、逻辑性强的介绍高效能计算系统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8</w:t>
            </w:r>
          </w:p>
        </w:tc>
        <w:tc>
          <w:tcPr>
            <w:tcW w:w="247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智能计算赋能创新变革</w:t>
            </w:r>
          </w:p>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定制展柜</w:t>
            </w:r>
          </w:p>
        </w:tc>
        <w:tc>
          <w:tcPr>
            <w:tcW w:w="684"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1</w:t>
            </w:r>
          </w:p>
        </w:tc>
        <w:tc>
          <w:tcPr>
            <w:tcW w:w="71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项</w:t>
            </w:r>
          </w:p>
        </w:tc>
        <w:tc>
          <w:tcPr>
            <w:tcW w:w="5080" w:type="dxa"/>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1.规格320*15*259cm展柜*6；</w:t>
            </w:r>
          </w:p>
          <w:p>
            <w:pPr>
              <w:rPr>
                <w:rFonts w:ascii="仿宋" w:hAnsi="仿宋" w:eastAsia="仿宋" w:cs="仿宋"/>
                <w:color w:val="auto"/>
                <w:szCs w:val="21"/>
                <w:highlight w:val="none"/>
              </w:rPr>
            </w:pPr>
            <w:r>
              <w:rPr>
                <w:rFonts w:hint="eastAsia" w:ascii="仿宋" w:hAnsi="仿宋" w:eastAsia="仿宋" w:cs="仿宋"/>
                <w:color w:val="auto"/>
                <w:szCs w:val="21"/>
                <w:highlight w:val="none"/>
              </w:rPr>
              <w:t>2.一体式展柜形式，整体造型设计，一级标题为发光字、二级标题为立体字，展示内容为综合材料制作，有造型基础设计及灯光设计重点资料装裱上墙；</w:t>
            </w:r>
          </w:p>
          <w:p>
            <w:pPr>
              <w:rPr>
                <w:rFonts w:ascii="仿宋" w:hAnsi="仿宋" w:eastAsia="仿宋" w:cs="仿宋"/>
                <w:color w:val="auto"/>
                <w:szCs w:val="21"/>
                <w:highlight w:val="none"/>
              </w:rPr>
            </w:pPr>
            <w:r>
              <w:rPr>
                <w:rFonts w:hint="eastAsia" w:ascii="仿宋" w:hAnsi="仿宋" w:eastAsia="仿宋" w:cs="仿宋"/>
                <w:color w:val="auto"/>
                <w:szCs w:val="21"/>
                <w:highlight w:val="none"/>
              </w:rPr>
              <w:t>3.展示内容见附件5，六部分内容均独立制作展柜并均匀分布在整面展墙；</w:t>
            </w:r>
          </w:p>
          <w:p>
            <w:pPr>
              <w:rPr>
                <w:rFonts w:ascii="仿宋" w:hAnsi="仿宋" w:eastAsia="仿宋" w:cs="仿宋"/>
                <w:color w:val="auto"/>
                <w:szCs w:val="21"/>
                <w:highlight w:val="none"/>
              </w:rPr>
            </w:pPr>
            <w:r>
              <w:rPr>
                <w:rFonts w:hint="eastAsia" w:ascii="仿宋" w:hAnsi="仿宋" w:eastAsia="仿宋" w:cs="仿宋"/>
                <w:color w:val="auto"/>
                <w:szCs w:val="21"/>
                <w:highlight w:val="none"/>
              </w:rPr>
              <w:t>4.在图纸所示展墙尺寸范围内深化展柜造型及具体展项，基于提供的资料深化提升展项内容并进行落地制作；</w:t>
            </w:r>
          </w:p>
          <w:p>
            <w:pPr>
              <w:rPr>
                <w:rFonts w:ascii="仿宋" w:hAnsi="仿宋" w:eastAsia="仿宋" w:cs="仿宋"/>
                <w:color w:val="auto"/>
                <w:szCs w:val="21"/>
                <w:highlight w:val="none"/>
              </w:rPr>
            </w:pPr>
            <w:r>
              <w:rPr>
                <w:rFonts w:hint="eastAsia" w:ascii="仿宋" w:hAnsi="仿宋" w:eastAsia="仿宋" w:cs="仿宋"/>
                <w:color w:val="auto"/>
                <w:szCs w:val="21"/>
                <w:highlight w:val="none"/>
              </w:rPr>
              <w:t>5.展柜可采用金属、亚克力、灯带、木板、磁吸材料等综合材料，厚度≤15cm，具有环境装饰效果，造型设计具有创意并突出重点内容，风格现代、大气、明亮；</w:t>
            </w:r>
          </w:p>
          <w:p>
            <w:pPr>
              <w:rPr>
                <w:rFonts w:ascii="仿宋" w:hAnsi="仿宋" w:eastAsia="仿宋" w:cs="仿宋"/>
                <w:color w:val="auto"/>
                <w:szCs w:val="21"/>
                <w:highlight w:val="none"/>
              </w:rPr>
            </w:pPr>
            <w:r>
              <w:rPr>
                <w:rFonts w:hint="eastAsia" w:ascii="仿宋" w:hAnsi="仿宋" w:eastAsia="仿宋" w:cs="仿宋"/>
                <w:color w:val="auto"/>
                <w:szCs w:val="21"/>
                <w:highlight w:val="none"/>
              </w:rPr>
              <w:t>6.展项内容有重点、亮点、美感与科技感；</w:t>
            </w:r>
          </w:p>
          <w:p>
            <w:pPr>
              <w:rPr>
                <w:rFonts w:ascii="仿宋" w:hAnsi="仿宋" w:eastAsia="仿宋" w:cs="仿宋"/>
                <w:color w:val="auto"/>
                <w:szCs w:val="21"/>
                <w:highlight w:val="none"/>
              </w:rPr>
            </w:pPr>
            <w:r>
              <w:rPr>
                <w:rFonts w:hint="eastAsia" w:ascii="仿宋" w:hAnsi="仿宋" w:eastAsia="仿宋" w:cs="仿宋"/>
                <w:color w:val="auto"/>
                <w:szCs w:val="21"/>
                <w:highlight w:val="none"/>
              </w:rPr>
              <w:t>7.展陈内容深化清晰明了、逻辑性强的介绍智能计算赋能创新变革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9</w:t>
            </w:r>
          </w:p>
        </w:tc>
        <w:tc>
          <w:tcPr>
            <w:tcW w:w="247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新型算力中心核心能力及应用全景图定制展柜</w:t>
            </w:r>
          </w:p>
        </w:tc>
        <w:tc>
          <w:tcPr>
            <w:tcW w:w="684"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1</w:t>
            </w:r>
          </w:p>
        </w:tc>
        <w:tc>
          <w:tcPr>
            <w:tcW w:w="71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项</w:t>
            </w:r>
          </w:p>
        </w:tc>
        <w:tc>
          <w:tcPr>
            <w:tcW w:w="5080" w:type="dxa"/>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1.一体式展柜形式，整体造型设计，一级标题为发光字、二级标题为立体字，展示内容为综合材料制作，有造型基础设计及灯光设计重点资料装裱上墙；</w:t>
            </w:r>
          </w:p>
          <w:p>
            <w:pPr>
              <w:rPr>
                <w:rFonts w:ascii="仿宋" w:hAnsi="仿宋" w:eastAsia="仿宋" w:cs="仿宋"/>
                <w:color w:val="auto"/>
                <w:szCs w:val="21"/>
                <w:highlight w:val="none"/>
              </w:rPr>
            </w:pPr>
            <w:r>
              <w:rPr>
                <w:rFonts w:hint="eastAsia" w:ascii="仿宋" w:hAnsi="仿宋" w:eastAsia="仿宋" w:cs="仿宋"/>
                <w:color w:val="auto"/>
                <w:szCs w:val="21"/>
                <w:highlight w:val="none"/>
              </w:rPr>
              <w:t>2.展示内容：新型算力中心核心能力及应用全景图；</w:t>
            </w:r>
          </w:p>
          <w:p>
            <w:pPr>
              <w:rPr>
                <w:rFonts w:ascii="仿宋" w:hAnsi="仿宋" w:eastAsia="仿宋" w:cs="仿宋"/>
                <w:color w:val="auto"/>
                <w:szCs w:val="21"/>
                <w:highlight w:val="none"/>
              </w:rPr>
            </w:pPr>
            <w:r>
              <w:rPr>
                <w:rFonts w:hint="eastAsia" w:ascii="仿宋" w:hAnsi="仿宋" w:eastAsia="仿宋" w:cs="仿宋"/>
                <w:color w:val="auto"/>
                <w:szCs w:val="21"/>
                <w:highlight w:val="none"/>
              </w:rPr>
              <w:t>3.在图纸所示展墙尺寸范围内深化展柜造型及具体展项，基于提供的资料深化提升展项内容并进行落地制作；</w:t>
            </w:r>
          </w:p>
          <w:p>
            <w:pPr>
              <w:rPr>
                <w:rFonts w:ascii="仿宋" w:hAnsi="仿宋" w:eastAsia="仿宋" w:cs="仿宋"/>
                <w:color w:val="auto"/>
                <w:szCs w:val="21"/>
                <w:highlight w:val="none"/>
              </w:rPr>
            </w:pPr>
            <w:r>
              <w:rPr>
                <w:rFonts w:hint="eastAsia" w:ascii="仿宋" w:hAnsi="仿宋" w:eastAsia="仿宋" w:cs="仿宋"/>
                <w:color w:val="auto"/>
                <w:szCs w:val="21"/>
                <w:highlight w:val="none"/>
              </w:rPr>
              <w:t>4.展柜可采用金属、亚克力、灯带、木板、磁吸材料等综合材料，厚度≤15cm，具有环境装饰效果，造型设计具有创意并突出重点内容，风格现代、大气、明亮；</w:t>
            </w:r>
          </w:p>
          <w:p>
            <w:pPr>
              <w:rPr>
                <w:rFonts w:ascii="仿宋" w:hAnsi="仿宋" w:eastAsia="仿宋" w:cs="仿宋"/>
                <w:color w:val="auto"/>
                <w:szCs w:val="21"/>
                <w:highlight w:val="none"/>
              </w:rPr>
            </w:pPr>
            <w:r>
              <w:rPr>
                <w:rFonts w:hint="eastAsia" w:ascii="仿宋" w:hAnsi="仿宋" w:eastAsia="仿宋" w:cs="仿宋"/>
                <w:color w:val="auto"/>
                <w:szCs w:val="21"/>
                <w:highlight w:val="none"/>
              </w:rPr>
              <w:t>5.展项内容有重点、亮点、美感与科技感；</w:t>
            </w:r>
          </w:p>
          <w:p>
            <w:pPr>
              <w:rPr>
                <w:rFonts w:ascii="仿宋" w:hAnsi="仿宋" w:eastAsia="仿宋" w:cs="仿宋"/>
                <w:color w:val="auto"/>
                <w:szCs w:val="21"/>
                <w:highlight w:val="none"/>
              </w:rPr>
            </w:pPr>
            <w:r>
              <w:rPr>
                <w:rFonts w:hint="eastAsia" w:ascii="仿宋" w:hAnsi="仿宋" w:eastAsia="仿宋" w:cs="仿宋"/>
                <w:color w:val="auto"/>
                <w:szCs w:val="21"/>
                <w:highlight w:val="none"/>
              </w:rPr>
              <w:t>6.展陈内容深化清晰明了、逻辑性强的介绍新型算力中心核心能力及应用全景。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10</w:t>
            </w:r>
          </w:p>
        </w:tc>
        <w:tc>
          <w:tcPr>
            <w:tcW w:w="247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走廊氛围</w:t>
            </w:r>
          </w:p>
        </w:tc>
        <w:tc>
          <w:tcPr>
            <w:tcW w:w="684"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1</w:t>
            </w:r>
          </w:p>
        </w:tc>
        <w:tc>
          <w:tcPr>
            <w:tcW w:w="71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项</w:t>
            </w:r>
          </w:p>
        </w:tc>
        <w:tc>
          <w:tcPr>
            <w:tcW w:w="5080" w:type="dxa"/>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1.全部走廊范围内非展陈内容墙面基础之江实验室VI系统进行氛围装饰的设计及落地制作；</w:t>
            </w:r>
          </w:p>
          <w:p>
            <w:pPr>
              <w:rPr>
                <w:rFonts w:ascii="仿宋" w:hAnsi="仿宋" w:eastAsia="仿宋" w:cs="仿宋"/>
                <w:color w:val="auto"/>
                <w:szCs w:val="21"/>
                <w:highlight w:val="none"/>
              </w:rPr>
            </w:pPr>
            <w:r>
              <w:rPr>
                <w:rFonts w:hint="eastAsia" w:ascii="仿宋" w:hAnsi="仿宋" w:eastAsia="仿宋" w:cs="仿宋"/>
                <w:color w:val="auto"/>
                <w:szCs w:val="21"/>
                <w:highlight w:val="none"/>
              </w:rPr>
              <w:t>2.可采用墙布、广告贴、亚克力等材料。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11</w:t>
            </w:r>
          </w:p>
        </w:tc>
        <w:tc>
          <w:tcPr>
            <w:tcW w:w="247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走廊标识标语</w:t>
            </w:r>
          </w:p>
        </w:tc>
        <w:tc>
          <w:tcPr>
            <w:tcW w:w="684"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1</w:t>
            </w:r>
          </w:p>
        </w:tc>
        <w:tc>
          <w:tcPr>
            <w:tcW w:w="71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项</w:t>
            </w:r>
          </w:p>
        </w:tc>
        <w:tc>
          <w:tcPr>
            <w:tcW w:w="5080" w:type="dxa"/>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1.全部走廊范围内非展陈内容墙面上进行标识标语的策划及设计，内容及位置方案自定；</w:t>
            </w:r>
          </w:p>
          <w:p>
            <w:pPr>
              <w:rPr>
                <w:rFonts w:ascii="仿宋" w:hAnsi="仿宋" w:eastAsia="仿宋" w:cs="仿宋"/>
                <w:color w:val="auto"/>
                <w:szCs w:val="21"/>
                <w:highlight w:val="none"/>
              </w:rPr>
            </w:pPr>
            <w:r>
              <w:rPr>
                <w:rFonts w:hint="eastAsia" w:ascii="仿宋" w:hAnsi="仿宋" w:eastAsia="仿宋" w:cs="仿宋"/>
                <w:color w:val="auto"/>
                <w:szCs w:val="21"/>
                <w:highlight w:val="none"/>
              </w:rPr>
              <w:t>2.可采用亚克力、水晶字、金属字等；</w:t>
            </w:r>
          </w:p>
          <w:p>
            <w:pPr>
              <w:rPr>
                <w:rFonts w:ascii="仿宋" w:hAnsi="仿宋" w:eastAsia="仿宋" w:cs="仿宋"/>
                <w:color w:val="auto"/>
                <w:szCs w:val="21"/>
                <w:highlight w:val="none"/>
              </w:rPr>
            </w:pPr>
            <w:r>
              <w:rPr>
                <w:rFonts w:hint="eastAsia" w:ascii="仿宋" w:hAnsi="仿宋" w:eastAsia="仿宋" w:cs="仿宋"/>
                <w:color w:val="auto"/>
                <w:szCs w:val="21"/>
                <w:highlight w:val="none"/>
              </w:rPr>
              <w:t>3.布局合理、设计美观，内容体现之江实验室算力中心的特点和优势。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12</w:t>
            </w:r>
          </w:p>
        </w:tc>
        <w:tc>
          <w:tcPr>
            <w:tcW w:w="247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新型算力中心展陈内容</w:t>
            </w:r>
          </w:p>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介绍视频</w:t>
            </w:r>
          </w:p>
        </w:tc>
        <w:tc>
          <w:tcPr>
            <w:tcW w:w="684" w:type="dxa"/>
            <w:vAlign w:val="center"/>
          </w:tcPr>
          <w:p>
            <w:pPr>
              <w:jc w:val="center"/>
              <w:rPr>
                <w:rFonts w:ascii="仿宋" w:hAnsi="仿宋" w:eastAsia="仿宋" w:cs="仿宋"/>
                <w:color w:val="auto"/>
                <w:szCs w:val="21"/>
                <w:highlight w:val="none"/>
              </w:rPr>
            </w:pPr>
            <w:r>
              <w:rPr>
                <w:rFonts w:ascii="仿宋" w:hAnsi="仿宋" w:eastAsia="仿宋" w:cs="仿宋"/>
                <w:color w:val="auto"/>
                <w:szCs w:val="21"/>
                <w:highlight w:val="none"/>
              </w:rPr>
              <w:t>2</w:t>
            </w:r>
          </w:p>
        </w:tc>
        <w:tc>
          <w:tcPr>
            <w:tcW w:w="71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部</w:t>
            </w:r>
          </w:p>
        </w:tc>
        <w:tc>
          <w:tcPr>
            <w:tcW w:w="5080" w:type="dxa"/>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1.展项介绍二维动画、三维建模视频制作，不少于</w:t>
            </w:r>
            <w:r>
              <w:rPr>
                <w:rFonts w:ascii="仿宋" w:hAnsi="仿宋" w:eastAsia="仿宋" w:cs="仿宋"/>
                <w:color w:val="auto"/>
                <w:szCs w:val="21"/>
                <w:highlight w:val="none"/>
              </w:rPr>
              <w:t>120</w:t>
            </w:r>
            <w:r>
              <w:rPr>
                <w:rFonts w:hint="eastAsia" w:ascii="仿宋" w:hAnsi="仿宋" w:eastAsia="仿宋" w:cs="仿宋"/>
                <w:color w:val="auto"/>
                <w:szCs w:val="21"/>
                <w:highlight w:val="none"/>
              </w:rPr>
              <w:t>秒/部；</w:t>
            </w:r>
          </w:p>
          <w:p>
            <w:pPr>
              <w:rPr>
                <w:rFonts w:ascii="仿宋" w:hAnsi="仿宋" w:eastAsia="仿宋" w:cs="仿宋"/>
                <w:color w:val="auto"/>
                <w:szCs w:val="21"/>
                <w:highlight w:val="none"/>
              </w:rPr>
            </w:pPr>
            <w:r>
              <w:rPr>
                <w:rFonts w:hint="eastAsia" w:ascii="仿宋" w:hAnsi="仿宋" w:eastAsia="仿宋" w:cs="仿宋"/>
                <w:color w:val="auto"/>
                <w:szCs w:val="21"/>
                <w:highlight w:val="none"/>
              </w:rPr>
              <w:t>2.清晰传达内容；</w:t>
            </w:r>
          </w:p>
          <w:p>
            <w:pPr>
              <w:rPr>
                <w:rFonts w:ascii="仿宋" w:hAnsi="仿宋" w:eastAsia="仿宋" w:cs="仿宋"/>
                <w:color w:val="auto"/>
                <w:szCs w:val="21"/>
                <w:highlight w:val="none"/>
              </w:rPr>
            </w:pPr>
            <w:r>
              <w:rPr>
                <w:rFonts w:hint="eastAsia" w:ascii="仿宋" w:hAnsi="仿宋" w:eastAsia="仿宋" w:cs="仿宋"/>
                <w:color w:val="auto"/>
                <w:szCs w:val="21"/>
                <w:highlight w:val="none"/>
              </w:rPr>
              <w:t>3.可选择两部分内容使用43寸多媒体显示屏。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13</w:t>
            </w:r>
          </w:p>
        </w:tc>
        <w:tc>
          <w:tcPr>
            <w:tcW w:w="247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国家新一代人工智能公共算力开放创新平台</w:t>
            </w:r>
          </w:p>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展陈内容介绍视频</w:t>
            </w:r>
          </w:p>
        </w:tc>
        <w:tc>
          <w:tcPr>
            <w:tcW w:w="684"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1</w:t>
            </w:r>
          </w:p>
        </w:tc>
        <w:tc>
          <w:tcPr>
            <w:tcW w:w="71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部</w:t>
            </w:r>
          </w:p>
        </w:tc>
        <w:tc>
          <w:tcPr>
            <w:tcW w:w="5080" w:type="dxa"/>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1.展项介绍二维动画视频制作，不少于</w:t>
            </w:r>
            <w:r>
              <w:rPr>
                <w:rFonts w:ascii="仿宋" w:hAnsi="仿宋" w:eastAsia="仿宋" w:cs="仿宋"/>
                <w:color w:val="auto"/>
                <w:szCs w:val="21"/>
                <w:highlight w:val="none"/>
              </w:rPr>
              <w:t>120</w:t>
            </w:r>
            <w:r>
              <w:rPr>
                <w:rFonts w:hint="eastAsia" w:ascii="仿宋" w:hAnsi="仿宋" w:eastAsia="仿宋" w:cs="仿宋"/>
                <w:color w:val="auto"/>
                <w:szCs w:val="21"/>
                <w:highlight w:val="none"/>
              </w:rPr>
              <w:t>秒；</w:t>
            </w:r>
          </w:p>
          <w:p>
            <w:pPr>
              <w:rPr>
                <w:rFonts w:ascii="仿宋" w:hAnsi="仿宋" w:eastAsia="仿宋" w:cs="仿宋"/>
                <w:color w:val="auto"/>
                <w:szCs w:val="21"/>
                <w:highlight w:val="none"/>
              </w:rPr>
            </w:pPr>
            <w:r>
              <w:rPr>
                <w:rFonts w:hint="eastAsia" w:ascii="仿宋" w:hAnsi="仿宋" w:eastAsia="仿宋" w:cs="仿宋"/>
                <w:color w:val="auto"/>
                <w:szCs w:val="21"/>
                <w:highlight w:val="none"/>
              </w:rPr>
              <w:t>2.清晰传达内容；</w:t>
            </w:r>
          </w:p>
          <w:p>
            <w:pPr>
              <w:rPr>
                <w:rFonts w:ascii="仿宋" w:hAnsi="仿宋" w:eastAsia="仿宋" w:cs="仿宋"/>
                <w:color w:val="auto"/>
                <w:szCs w:val="21"/>
                <w:highlight w:val="none"/>
              </w:rPr>
            </w:pPr>
            <w:r>
              <w:rPr>
                <w:rFonts w:hint="eastAsia" w:ascii="仿宋" w:hAnsi="仿宋" w:eastAsia="仿宋" w:cs="仿宋"/>
                <w:color w:val="auto"/>
                <w:szCs w:val="21"/>
                <w:highlight w:val="none"/>
              </w:rPr>
              <w:t>3.可选择两部分内容使用43寸多媒体显示屏。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7" w:type="dxa"/>
            <w:vAlign w:val="center"/>
          </w:tcPr>
          <w:p>
            <w:pPr>
              <w:jc w:val="center"/>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rPr>
              <w:t>1</w:t>
            </w:r>
            <w:r>
              <w:rPr>
                <w:rFonts w:hint="eastAsia" w:ascii="仿宋" w:hAnsi="仿宋" w:eastAsia="仿宋" w:cs="仿宋"/>
                <w:color w:val="auto"/>
                <w:szCs w:val="21"/>
                <w:highlight w:val="none"/>
                <w:lang w:val="en-US" w:eastAsia="zh-CN"/>
              </w:rPr>
              <w:t>4</w:t>
            </w:r>
          </w:p>
        </w:tc>
        <w:tc>
          <w:tcPr>
            <w:tcW w:w="247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智能计算赋能创新变革</w:t>
            </w:r>
          </w:p>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互动多媒体影片</w:t>
            </w:r>
          </w:p>
        </w:tc>
        <w:tc>
          <w:tcPr>
            <w:tcW w:w="684"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6</w:t>
            </w:r>
          </w:p>
        </w:tc>
        <w:tc>
          <w:tcPr>
            <w:tcW w:w="71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部</w:t>
            </w:r>
          </w:p>
        </w:tc>
        <w:tc>
          <w:tcPr>
            <w:tcW w:w="5080" w:type="dxa"/>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综述及五大领域均使用43寸触控屏用于内容展示并制作对应二维动画触控内容，不少于60秒/部。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15</w:t>
            </w:r>
          </w:p>
        </w:tc>
        <w:tc>
          <w:tcPr>
            <w:tcW w:w="247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LED屏移机等</w:t>
            </w:r>
          </w:p>
        </w:tc>
        <w:tc>
          <w:tcPr>
            <w:tcW w:w="684"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1</w:t>
            </w:r>
          </w:p>
        </w:tc>
        <w:tc>
          <w:tcPr>
            <w:tcW w:w="71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项</w:t>
            </w:r>
          </w:p>
        </w:tc>
        <w:tc>
          <w:tcPr>
            <w:tcW w:w="5080" w:type="dxa"/>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1.原机器人中心利亚德P1.8 LED屏（4800*2700mm）移机到项目指定位置并安装至正常使用且不影响LED屏原厂质保；</w:t>
            </w:r>
          </w:p>
          <w:p>
            <w:pPr>
              <w:rPr>
                <w:rFonts w:ascii="仿宋" w:hAnsi="仿宋" w:eastAsia="仿宋" w:cs="仿宋"/>
                <w:color w:val="auto"/>
                <w:szCs w:val="21"/>
                <w:highlight w:val="none"/>
              </w:rPr>
            </w:pPr>
            <w:r>
              <w:rPr>
                <w:rFonts w:hint="eastAsia" w:ascii="仿宋" w:hAnsi="仿宋" w:eastAsia="仿宋" w:cs="仿宋"/>
                <w:color w:val="auto"/>
                <w:szCs w:val="21"/>
                <w:highlight w:val="none"/>
              </w:rPr>
              <w:t>2.包括原址屏幕拆除（不含钢架、线材料拆除）、新址安装、钢架构及包边。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16</w:t>
            </w:r>
          </w:p>
        </w:tc>
        <w:tc>
          <w:tcPr>
            <w:tcW w:w="247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43寸显示屏</w:t>
            </w:r>
          </w:p>
        </w:tc>
        <w:tc>
          <w:tcPr>
            <w:tcW w:w="684"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4</w:t>
            </w:r>
          </w:p>
        </w:tc>
        <w:tc>
          <w:tcPr>
            <w:tcW w:w="71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个</w:t>
            </w:r>
          </w:p>
        </w:tc>
        <w:tc>
          <w:tcPr>
            <w:tcW w:w="5080" w:type="dxa"/>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1.屏幕分辨率：≥1920*1080；</w:t>
            </w:r>
          </w:p>
          <w:p>
            <w:pPr>
              <w:rPr>
                <w:rFonts w:ascii="仿宋" w:hAnsi="仿宋" w:eastAsia="仿宋" w:cs="仿宋"/>
                <w:color w:val="auto"/>
                <w:szCs w:val="21"/>
                <w:highlight w:val="none"/>
              </w:rPr>
            </w:pPr>
            <w:r>
              <w:rPr>
                <w:rFonts w:hint="eastAsia" w:ascii="仿宋" w:hAnsi="仿宋" w:eastAsia="仿宋" w:cs="仿宋"/>
                <w:color w:val="auto"/>
                <w:szCs w:val="21"/>
                <w:highlight w:val="none"/>
              </w:rPr>
              <w:t>2.显示比例：16:9或优于；</w:t>
            </w:r>
          </w:p>
          <w:p>
            <w:pPr>
              <w:rPr>
                <w:rFonts w:ascii="仿宋" w:hAnsi="仿宋" w:eastAsia="仿宋" w:cs="仿宋"/>
                <w:color w:val="auto"/>
                <w:szCs w:val="21"/>
                <w:highlight w:val="none"/>
              </w:rPr>
            </w:pPr>
            <w:r>
              <w:rPr>
                <w:rFonts w:hint="eastAsia" w:ascii="仿宋" w:hAnsi="仿宋" w:eastAsia="仿宋" w:cs="仿宋"/>
                <w:color w:val="auto"/>
                <w:szCs w:val="21"/>
                <w:highlight w:val="none"/>
              </w:rPr>
              <w:t>3.刷新频率：60Hz或优于；</w:t>
            </w:r>
          </w:p>
          <w:p>
            <w:pPr>
              <w:rPr>
                <w:rFonts w:ascii="仿宋" w:hAnsi="仿宋" w:eastAsia="仿宋" w:cs="仿宋"/>
                <w:color w:val="auto"/>
                <w:szCs w:val="21"/>
                <w:highlight w:val="none"/>
              </w:rPr>
            </w:pPr>
            <w:r>
              <w:rPr>
                <w:rFonts w:hint="eastAsia" w:ascii="仿宋" w:hAnsi="仿宋" w:eastAsia="仿宋" w:cs="仿宋"/>
                <w:color w:val="auto"/>
                <w:szCs w:val="21"/>
                <w:highlight w:val="none"/>
              </w:rPr>
              <w:t>4.屏幕技术：LCD；</w:t>
            </w:r>
          </w:p>
          <w:p>
            <w:pPr>
              <w:rPr>
                <w:rFonts w:ascii="仿宋" w:hAnsi="仿宋" w:eastAsia="仿宋" w:cs="仿宋"/>
                <w:color w:val="auto"/>
                <w:szCs w:val="21"/>
                <w:highlight w:val="none"/>
              </w:rPr>
            </w:pPr>
            <w:r>
              <w:rPr>
                <w:rFonts w:hint="eastAsia" w:ascii="仿宋" w:hAnsi="仿宋" w:eastAsia="仿宋" w:cs="仿宋"/>
                <w:color w:val="auto"/>
                <w:szCs w:val="21"/>
                <w:highlight w:val="none"/>
              </w:rPr>
              <w:t>5.背光方式：侧入式；</w:t>
            </w:r>
          </w:p>
          <w:p>
            <w:pPr>
              <w:rPr>
                <w:rFonts w:ascii="仿宋" w:hAnsi="仿宋" w:eastAsia="仿宋" w:cs="仿宋"/>
                <w:color w:val="auto"/>
                <w:szCs w:val="21"/>
                <w:highlight w:val="none"/>
              </w:rPr>
            </w:pPr>
            <w:r>
              <w:rPr>
                <w:rFonts w:hint="eastAsia" w:ascii="仿宋" w:hAnsi="仿宋" w:eastAsia="仿宋" w:cs="仿宋"/>
                <w:color w:val="auto"/>
                <w:szCs w:val="21"/>
                <w:highlight w:val="none"/>
              </w:rPr>
              <w:t>6.亮度：≥450cd/m²；</w:t>
            </w:r>
          </w:p>
          <w:p>
            <w:pPr>
              <w:rPr>
                <w:rFonts w:ascii="仿宋" w:hAnsi="仿宋" w:eastAsia="仿宋" w:cs="仿宋"/>
                <w:color w:val="auto"/>
                <w:szCs w:val="21"/>
                <w:highlight w:val="none"/>
              </w:rPr>
            </w:pPr>
            <w:r>
              <w:rPr>
                <w:rFonts w:hint="eastAsia" w:ascii="仿宋" w:hAnsi="仿宋" w:eastAsia="仿宋" w:cs="仿宋"/>
                <w:color w:val="auto"/>
                <w:szCs w:val="21"/>
                <w:highlight w:val="none"/>
              </w:rPr>
              <w:t>7.对比度：1200:1或优于；</w:t>
            </w:r>
          </w:p>
          <w:p>
            <w:pPr>
              <w:rPr>
                <w:rFonts w:ascii="仿宋" w:hAnsi="仿宋" w:eastAsia="仿宋" w:cs="仿宋"/>
                <w:color w:val="auto"/>
                <w:szCs w:val="21"/>
                <w:highlight w:val="none"/>
              </w:rPr>
            </w:pPr>
            <w:r>
              <w:rPr>
                <w:rFonts w:hint="eastAsia" w:ascii="仿宋" w:hAnsi="仿宋" w:eastAsia="仿宋" w:cs="仿宋"/>
                <w:color w:val="auto"/>
                <w:szCs w:val="21"/>
                <w:highlight w:val="none"/>
              </w:rPr>
              <w:t>8.色域（NTSC）：72%或优于；</w:t>
            </w:r>
          </w:p>
          <w:p>
            <w:pPr>
              <w:rPr>
                <w:rFonts w:ascii="仿宋" w:hAnsi="仿宋" w:eastAsia="仿宋" w:cs="仿宋"/>
                <w:color w:val="auto"/>
                <w:szCs w:val="21"/>
                <w:highlight w:val="none"/>
              </w:rPr>
            </w:pPr>
            <w:r>
              <w:rPr>
                <w:rFonts w:hint="eastAsia" w:ascii="仿宋" w:hAnsi="仿宋" w:eastAsia="仿宋" w:cs="仿宋"/>
                <w:color w:val="auto"/>
                <w:szCs w:val="21"/>
                <w:highlight w:val="none"/>
              </w:rPr>
              <w:t>9.可视角度：178°或优于；</w:t>
            </w:r>
          </w:p>
          <w:p>
            <w:pPr>
              <w:rPr>
                <w:rFonts w:ascii="仿宋" w:hAnsi="仿宋" w:eastAsia="仿宋" w:cs="仿宋"/>
                <w:color w:val="auto"/>
                <w:szCs w:val="21"/>
                <w:highlight w:val="none"/>
              </w:rPr>
            </w:pPr>
            <w:r>
              <w:rPr>
                <w:rFonts w:hint="eastAsia" w:ascii="仿宋" w:hAnsi="仿宋" w:eastAsia="仿宋" w:cs="仿宋"/>
                <w:color w:val="auto"/>
                <w:szCs w:val="21"/>
                <w:highlight w:val="none"/>
              </w:rPr>
              <w:t>10.主机</w:t>
            </w:r>
          </w:p>
          <w:p>
            <w:pPr>
              <w:rPr>
                <w:rFonts w:ascii="仿宋" w:hAnsi="仿宋" w:eastAsia="仿宋" w:cs="仿宋"/>
                <w:color w:val="auto"/>
                <w:szCs w:val="21"/>
                <w:highlight w:val="none"/>
              </w:rPr>
            </w:pPr>
            <w:r>
              <w:rPr>
                <w:rFonts w:hint="eastAsia" w:ascii="仿宋" w:hAnsi="仿宋" w:eastAsia="仿宋" w:cs="仿宋"/>
                <w:color w:val="auto"/>
                <w:szCs w:val="21"/>
                <w:highlight w:val="none"/>
              </w:rPr>
              <w:t>10.1 操作系统：安卓11.0；</w:t>
            </w:r>
          </w:p>
          <w:p>
            <w:pPr>
              <w:rPr>
                <w:rFonts w:ascii="仿宋" w:hAnsi="仿宋" w:eastAsia="仿宋" w:cs="仿宋"/>
                <w:color w:val="auto"/>
                <w:szCs w:val="21"/>
                <w:highlight w:val="none"/>
              </w:rPr>
            </w:pPr>
            <w:r>
              <w:rPr>
                <w:rFonts w:hint="eastAsia" w:ascii="仿宋" w:hAnsi="仿宋" w:eastAsia="仿宋" w:cs="仿宋"/>
                <w:color w:val="auto"/>
                <w:szCs w:val="21"/>
                <w:highlight w:val="none"/>
              </w:rPr>
              <w:t>10.2 中央处理器（SOC）：RK3568或优于；</w:t>
            </w:r>
          </w:p>
          <w:p>
            <w:pPr>
              <w:rPr>
                <w:rFonts w:ascii="仿宋" w:hAnsi="仿宋" w:eastAsia="仿宋" w:cs="仿宋"/>
                <w:color w:val="auto"/>
                <w:szCs w:val="21"/>
                <w:highlight w:val="none"/>
              </w:rPr>
            </w:pPr>
            <w:r>
              <w:rPr>
                <w:rFonts w:hint="eastAsia" w:ascii="仿宋" w:hAnsi="仿宋" w:eastAsia="仿宋" w:cs="仿宋"/>
                <w:color w:val="auto"/>
                <w:szCs w:val="21"/>
                <w:highlight w:val="none"/>
              </w:rPr>
              <w:t>10.3 CPU架构：4*Cortex A55或优于；</w:t>
            </w:r>
          </w:p>
          <w:p>
            <w:pPr>
              <w:rPr>
                <w:rFonts w:ascii="仿宋" w:hAnsi="仿宋" w:eastAsia="仿宋" w:cs="仿宋"/>
                <w:color w:val="auto"/>
                <w:szCs w:val="21"/>
                <w:highlight w:val="none"/>
              </w:rPr>
            </w:pPr>
            <w:r>
              <w:rPr>
                <w:rFonts w:hint="eastAsia" w:ascii="仿宋" w:hAnsi="仿宋" w:eastAsia="仿宋" w:cs="仿宋"/>
                <w:color w:val="auto"/>
                <w:szCs w:val="21"/>
                <w:highlight w:val="none"/>
              </w:rPr>
              <w:t>10.4 CPU主频：≥2.0GHz；</w:t>
            </w:r>
          </w:p>
          <w:p>
            <w:pPr>
              <w:rPr>
                <w:rFonts w:ascii="仿宋" w:hAnsi="仿宋" w:eastAsia="仿宋" w:cs="仿宋"/>
                <w:color w:val="auto"/>
                <w:szCs w:val="21"/>
                <w:highlight w:val="none"/>
              </w:rPr>
            </w:pPr>
            <w:r>
              <w:rPr>
                <w:rFonts w:hint="eastAsia" w:ascii="仿宋" w:hAnsi="仿宋" w:eastAsia="仿宋" w:cs="仿宋"/>
                <w:color w:val="auto"/>
                <w:szCs w:val="21"/>
                <w:highlight w:val="none"/>
              </w:rPr>
              <w:t>10.5 图形处理器（GPU）：ARM G52 2EE或优于；</w:t>
            </w:r>
          </w:p>
          <w:p>
            <w:pPr>
              <w:rPr>
                <w:rFonts w:ascii="仿宋" w:hAnsi="仿宋" w:eastAsia="仿宋" w:cs="仿宋"/>
                <w:color w:val="auto"/>
                <w:szCs w:val="21"/>
                <w:highlight w:val="none"/>
              </w:rPr>
            </w:pPr>
            <w:r>
              <w:rPr>
                <w:rFonts w:hint="eastAsia" w:ascii="仿宋" w:hAnsi="仿宋" w:eastAsia="仿宋" w:cs="仿宋"/>
                <w:color w:val="auto"/>
                <w:szCs w:val="21"/>
                <w:highlight w:val="none"/>
              </w:rPr>
              <w:t>10.6 运行内存：≥2G；</w:t>
            </w:r>
          </w:p>
          <w:p>
            <w:pPr>
              <w:rPr>
                <w:rFonts w:ascii="仿宋" w:hAnsi="仿宋" w:eastAsia="仿宋" w:cs="仿宋"/>
                <w:color w:val="auto"/>
                <w:szCs w:val="21"/>
                <w:highlight w:val="none"/>
              </w:rPr>
            </w:pPr>
            <w:r>
              <w:rPr>
                <w:rFonts w:hint="eastAsia" w:ascii="仿宋" w:hAnsi="仿宋" w:eastAsia="仿宋" w:cs="仿宋"/>
                <w:color w:val="auto"/>
                <w:szCs w:val="21"/>
                <w:highlight w:val="none"/>
              </w:rPr>
              <w:t>10.7 存储内存：≥16G。</w:t>
            </w:r>
          </w:p>
          <w:p>
            <w:pPr>
              <w:rPr>
                <w:rFonts w:ascii="仿宋" w:hAnsi="仿宋" w:eastAsia="仿宋" w:cs="仿宋"/>
                <w:color w:val="auto"/>
                <w:szCs w:val="21"/>
                <w:highlight w:val="none"/>
              </w:rPr>
            </w:pPr>
            <w:r>
              <w:rPr>
                <w:rFonts w:hint="eastAsia" w:ascii="仿宋" w:hAnsi="仿宋" w:eastAsia="仿宋" w:cs="仿宋"/>
                <w:color w:val="auto"/>
                <w:szCs w:val="21"/>
                <w:highlight w:val="none"/>
              </w:rPr>
              <w:t>11.接口</w:t>
            </w:r>
          </w:p>
          <w:p>
            <w:pPr>
              <w:rPr>
                <w:rFonts w:ascii="仿宋" w:hAnsi="仿宋" w:eastAsia="仿宋" w:cs="仿宋"/>
                <w:color w:val="auto"/>
                <w:szCs w:val="21"/>
                <w:highlight w:val="none"/>
              </w:rPr>
            </w:pPr>
            <w:r>
              <w:rPr>
                <w:rFonts w:hint="eastAsia" w:ascii="仿宋" w:hAnsi="仿宋" w:eastAsia="仿宋" w:cs="仿宋"/>
                <w:color w:val="auto"/>
                <w:szCs w:val="21"/>
                <w:highlight w:val="none"/>
              </w:rPr>
              <w:t>11.1 USB接口：USB3.0*1、USB2.0*1；</w:t>
            </w:r>
          </w:p>
          <w:p>
            <w:pPr>
              <w:rPr>
                <w:rFonts w:ascii="仿宋" w:hAnsi="仿宋" w:eastAsia="仿宋" w:cs="仿宋"/>
                <w:color w:val="auto"/>
                <w:szCs w:val="21"/>
                <w:highlight w:val="none"/>
              </w:rPr>
            </w:pPr>
            <w:r>
              <w:rPr>
                <w:rFonts w:hint="eastAsia" w:ascii="仿宋" w:hAnsi="仿宋" w:eastAsia="仿宋" w:cs="仿宋"/>
                <w:color w:val="auto"/>
                <w:szCs w:val="21"/>
                <w:highlight w:val="none"/>
              </w:rPr>
              <w:t>11.2 RJ45以太网接口*1；</w:t>
            </w:r>
          </w:p>
          <w:p>
            <w:pPr>
              <w:rPr>
                <w:rFonts w:ascii="仿宋" w:hAnsi="仿宋" w:eastAsia="仿宋" w:cs="仿宋"/>
                <w:color w:val="auto"/>
                <w:szCs w:val="21"/>
                <w:highlight w:val="none"/>
              </w:rPr>
            </w:pPr>
            <w:r>
              <w:rPr>
                <w:rFonts w:hint="eastAsia" w:ascii="仿宋" w:hAnsi="仿宋" w:eastAsia="仿宋" w:cs="仿宋"/>
                <w:color w:val="auto"/>
                <w:szCs w:val="21"/>
                <w:highlight w:val="none"/>
              </w:rPr>
              <w:t>11.3 有SD卡槽。</w:t>
            </w:r>
          </w:p>
          <w:p>
            <w:pPr>
              <w:rPr>
                <w:rFonts w:ascii="仿宋" w:hAnsi="仿宋" w:eastAsia="仿宋" w:cs="仿宋"/>
                <w:color w:val="auto"/>
                <w:szCs w:val="21"/>
                <w:highlight w:val="none"/>
              </w:rPr>
            </w:pPr>
            <w:r>
              <w:rPr>
                <w:rFonts w:hint="eastAsia" w:ascii="仿宋" w:hAnsi="仿宋" w:eastAsia="仿宋" w:cs="仿宋"/>
                <w:color w:val="auto"/>
                <w:szCs w:val="21"/>
                <w:highlight w:val="none"/>
              </w:rPr>
              <w:t>12.音频</w:t>
            </w:r>
          </w:p>
          <w:p>
            <w:pPr>
              <w:rPr>
                <w:rFonts w:ascii="仿宋" w:hAnsi="仿宋" w:eastAsia="仿宋" w:cs="仿宋"/>
                <w:color w:val="auto"/>
                <w:szCs w:val="21"/>
                <w:highlight w:val="none"/>
              </w:rPr>
            </w:pPr>
            <w:r>
              <w:rPr>
                <w:rFonts w:hint="eastAsia" w:ascii="仿宋" w:hAnsi="仿宋" w:eastAsia="仿宋" w:cs="仿宋"/>
                <w:color w:val="auto"/>
                <w:szCs w:val="21"/>
                <w:highlight w:val="none"/>
              </w:rPr>
              <w:t>12.1 扬声器单元*2；</w:t>
            </w:r>
          </w:p>
          <w:p>
            <w:pPr>
              <w:rPr>
                <w:rFonts w:ascii="仿宋" w:hAnsi="仿宋" w:eastAsia="仿宋" w:cs="仿宋"/>
                <w:color w:val="auto"/>
                <w:szCs w:val="21"/>
                <w:highlight w:val="none"/>
              </w:rPr>
            </w:pPr>
            <w:r>
              <w:rPr>
                <w:rFonts w:hint="eastAsia" w:ascii="仿宋" w:hAnsi="仿宋" w:eastAsia="仿宋" w:cs="仿宋"/>
                <w:color w:val="auto"/>
                <w:szCs w:val="21"/>
                <w:highlight w:val="none"/>
              </w:rPr>
              <w:t>12.2 输出功率8W。</w:t>
            </w:r>
          </w:p>
          <w:p>
            <w:pPr>
              <w:rPr>
                <w:rFonts w:ascii="仿宋" w:hAnsi="仿宋" w:eastAsia="仿宋" w:cs="仿宋"/>
                <w:color w:val="auto"/>
                <w:szCs w:val="21"/>
                <w:highlight w:val="none"/>
              </w:rPr>
            </w:pPr>
            <w:r>
              <w:rPr>
                <w:rFonts w:hint="eastAsia" w:ascii="仿宋" w:hAnsi="仿宋" w:eastAsia="仿宋" w:cs="仿宋"/>
                <w:color w:val="auto"/>
                <w:szCs w:val="21"/>
                <w:highlight w:val="none"/>
              </w:rPr>
              <w:t>13.无线连接：无线2.4GHz。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17</w:t>
            </w:r>
          </w:p>
        </w:tc>
        <w:tc>
          <w:tcPr>
            <w:tcW w:w="247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43寸触控屏</w:t>
            </w:r>
          </w:p>
        </w:tc>
        <w:tc>
          <w:tcPr>
            <w:tcW w:w="684"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6</w:t>
            </w:r>
          </w:p>
        </w:tc>
        <w:tc>
          <w:tcPr>
            <w:tcW w:w="71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个</w:t>
            </w:r>
          </w:p>
        </w:tc>
        <w:tc>
          <w:tcPr>
            <w:tcW w:w="5080" w:type="dxa"/>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1.显示</w:t>
            </w:r>
          </w:p>
          <w:p>
            <w:pPr>
              <w:rPr>
                <w:rFonts w:ascii="仿宋" w:hAnsi="仿宋" w:eastAsia="仿宋" w:cs="仿宋"/>
                <w:color w:val="auto"/>
                <w:szCs w:val="21"/>
                <w:highlight w:val="none"/>
              </w:rPr>
            </w:pPr>
            <w:r>
              <w:rPr>
                <w:rFonts w:hint="eastAsia" w:ascii="仿宋" w:hAnsi="仿宋" w:eastAsia="仿宋" w:cs="仿宋"/>
                <w:color w:val="auto"/>
                <w:szCs w:val="21"/>
                <w:highlight w:val="none"/>
              </w:rPr>
              <w:t>1.1 全新A+品牌液晶面板；</w:t>
            </w:r>
          </w:p>
          <w:p>
            <w:pPr>
              <w:rPr>
                <w:rFonts w:ascii="仿宋" w:hAnsi="仿宋" w:eastAsia="仿宋" w:cs="仿宋"/>
                <w:color w:val="auto"/>
                <w:szCs w:val="21"/>
                <w:highlight w:val="none"/>
              </w:rPr>
            </w:pPr>
            <w:r>
              <w:rPr>
                <w:rFonts w:hint="eastAsia" w:ascii="仿宋" w:hAnsi="仿宋" w:eastAsia="仿宋" w:cs="仿宋"/>
                <w:color w:val="auto"/>
                <w:szCs w:val="21"/>
                <w:highlight w:val="none"/>
              </w:rPr>
              <w:t>1.2 显示面积（H*V）：≥960.5*549.3mm；</w:t>
            </w:r>
          </w:p>
          <w:p>
            <w:pPr>
              <w:rPr>
                <w:rFonts w:ascii="仿宋" w:hAnsi="仿宋" w:eastAsia="仿宋" w:cs="仿宋"/>
                <w:color w:val="auto"/>
                <w:szCs w:val="21"/>
                <w:highlight w:val="none"/>
              </w:rPr>
            </w:pPr>
            <w:r>
              <w:rPr>
                <w:rFonts w:hint="eastAsia" w:ascii="仿宋" w:hAnsi="仿宋" w:eastAsia="仿宋" w:cs="仿宋"/>
                <w:color w:val="auto"/>
                <w:szCs w:val="21"/>
                <w:highlight w:val="none"/>
              </w:rPr>
              <w:t>1.3 分辨率：≥1920*1080；</w:t>
            </w:r>
          </w:p>
          <w:p>
            <w:pPr>
              <w:rPr>
                <w:rFonts w:ascii="仿宋" w:hAnsi="仿宋" w:eastAsia="仿宋" w:cs="仿宋"/>
                <w:color w:val="auto"/>
                <w:szCs w:val="21"/>
                <w:highlight w:val="none"/>
              </w:rPr>
            </w:pPr>
            <w:r>
              <w:rPr>
                <w:rFonts w:hint="eastAsia" w:ascii="仿宋" w:hAnsi="仿宋" w:eastAsia="仿宋" w:cs="仿宋"/>
                <w:color w:val="auto"/>
                <w:szCs w:val="21"/>
                <w:highlight w:val="none"/>
              </w:rPr>
              <w:t>1.4 可视角度：89/89/89/89或优于；</w:t>
            </w:r>
          </w:p>
          <w:p>
            <w:pPr>
              <w:rPr>
                <w:rFonts w:ascii="仿宋" w:hAnsi="仿宋" w:eastAsia="仿宋" w:cs="仿宋"/>
                <w:color w:val="auto"/>
                <w:szCs w:val="21"/>
                <w:highlight w:val="none"/>
              </w:rPr>
            </w:pPr>
            <w:r>
              <w:rPr>
                <w:rFonts w:hint="eastAsia" w:ascii="仿宋" w:hAnsi="仿宋" w:eastAsia="仿宋" w:cs="仿宋"/>
                <w:color w:val="auto"/>
                <w:szCs w:val="21"/>
                <w:highlight w:val="none"/>
              </w:rPr>
              <w:t>1.5 屏幕亮度：≥350cd/m²；</w:t>
            </w:r>
          </w:p>
          <w:p>
            <w:pPr>
              <w:rPr>
                <w:rFonts w:ascii="仿宋" w:hAnsi="仿宋" w:eastAsia="仿宋" w:cs="仿宋"/>
                <w:color w:val="auto"/>
                <w:szCs w:val="21"/>
                <w:highlight w:val="none"/>
              </w:rPr>
            </w:pPr>
            <w:r>
              <w:rPr>
                <w:rFonts w:hint="eastAsia" w:ascii="仿宋" w:hAnsi="仿宋" w:eastAsia="仿宋" w:cs="仿宋"/>
                <w:color w:val="auto"/>
                <w:szCs w:val="21"/>
                <w:highlight w:val="none"/>
              </w:rPr>
              <w:t>1.6 背光类型：E-LED；</w:t>
            </w:r>
          </w:p>
          <w:p>
            <w:pPr>
              <w:rPr>
                <w:rFonts w:ascii="仿宋" w:hAnsi="仿宋" w:eastAsia="仿宋" w:cs="仿宋"/>
                <w:color w:val="auto"/>
                <w:szCs w:val="21"/>
                <w:highlight w:val="none"/>
              </w:rPr>
            </w:pPr>
            <w:r>
              <w:rPr>
                <w:rFonts w:hint="eastAsia" w:ascii="仿宋" w:hAnsi="仿宋" w:eastAsia="仿宋" w:cs="仿宋"/>
                <w:color w:val="auto"/>
                <w:szCs w:val="21"/>
                <w:highlight w:val="none"/>
              </w:rPr>
              <w:t>1.7 像素布局：RGB垂直条状；</w:t>
            </w:r>
          </w:p>
          <w:p>
            <w:pPr>
              <w:rPr>
                <w:rFonts w:ascii="仿宋" w:hAnsi="仿宋" w:eastAsia="仿宋" w:cs="仿宋"/>
                <w:color w:val="auto"/>
                <w:szCs w:val="21"/>
                <w:highlight w:val="none"/>
              </w:rPr>
            </w:pPr>
            <w:r>
              <w:rPr>
                <w:rFonts w:hint="eastAsia" w:ascii="仿宋" w:hAnsi="仿宋" w:eastAsia="仿宋" w:cs="仿宋"/>
                <w:color w:val="auto"/>
                <w:szCs w:val="21"/>
                <w:highlight w:val="none"/>
              </w:rPr>
              <w:t>1.8 对比度：3000:1或优于；</w:t>
            </w:r>
          </w:p>
          <w:p>
            <w:pPr>
              <w:rPr>
                <w:rFonts w:ascii="仿宋" w:hAnsi="仿宋" w:eastAsia="仿宋" w:cs="仿宋"/>
                <w:color w:val="auto"/>
                <w:szCs w:val="21"/>
                <w:highlight w:val="none"/>
              </w:rPr>
            </w:pPr>
            <w:r>
              <w:rPr>
                <w:rFonts w:hint="eastAsia" w:ascii="仿宋" w:hAnsi="仿宋" w:eastAsia="仿宋" w:cs="仿宋"/>
                <w:color w:val="auto"/>
                <w:szCs w:val="21"/>
                <w:highlight w:val="none"/>
              </w:rPr>
              <w:t>1.9 响应时间：8.5 (Typ.)(G to G)ms或优于；</w:t>
            </w:r>
          </w:p>
          <w:p>
            <w:pPr>
              <w:rPr>
                <w:rFonts w:ascii="仿宋" w:hAnsi="仿宋" w:eastAsia="仿宋" w:cs="仿宋"/>
                <w:color w:val="auto"/>
                <w:szCs w:val="21"/>
                <w:highlight w:val="none"/>
              </w:rPr>
            </w:pPr>
            <w:r>
              <w:rPr>
                <w:rFonts w:hint="eastAsia" w:ascii="仿宋" w:hAnsi="仿宋" w:eastAsia="仿宋" w:cs="仿宋"/>
                <w:color w:val="auto"/>
                <w:szCs w:val="21"/>
                <w:highlight w:val="none"/>
              </w:rPr>
              <w:t>1.10 刷新率：60Hz或优于；</w:t>
            </w:r>
          </w:p>
          <w:p>
            <w:pPr>
              <w:rPr>
                <w:rFonts w:ascii="仿宋" w:hAnsi="仿宋" w:eastAsia="仿宋" w:cs="仿宋"/>
                <w:color w:val="auto"/>
                <w:szCs w:val="21"/>
                <w:highlight w:val="none"/>
              </w:rPr>
            </w:pPr>
            <w:r>
              <w:rPr>
                <w:rFonts w:hint="eastAsia" w:ascii="仿宋" w:hAnsi="仿宋" w:eastAsia="仿宋" w:cs="仿宋"/>
                <w:color w:val="auto"/>
                <w:szCs w:val="21"/>
                <w:highlight w:val="none"/>
              </w:rPr>
              <w:t>1.11 显示颜色：1.07B(8-bit+Hi-FRC）。</w:t>
            </w:r>
          </w:p>
          <w:p>
            <w:pPr>
              <w:rPr>
                <w:rFonts w:ascii="仿宋" w:hAnsi="仿宋" w:eastAsia="仿宋" w:cs="仿宋"/>
                <w:color w:val="auto"/>
                <w:szCs w:val="21"/>
                <w:highlight w:val="none"/>
              </w:rPr>
            </w:pPr>
            <w:r>
              <w:rPr>
                <w:rFonts w:hint="eastAsia" w:ascii="仿宋" w:hAnsi="仿宋" w:eastAsia="仿宋" w:cs="仿宋"/>
                <w:color w:val="auto"/>
                <w:szCs w:val="21"/>
                <w:highlight w:val="none"/>
              </w:rPr>
              <w:t>2.触摸</w:t>
            </w:r>
          </w:p>
          <w:p>
            <w:pPr>
              <w:rPr>
                <w:rFonts w:ascii="仿宋" w:hAnsi="仿宋" w:eastAsia="仿宋" w:cs="仿宋"/>
                <w:color w:val="auto"/>
                <w:szCs w:val="21"/>
                <w:highlight w:val="none"/>
              </w:rPr>
            </w:pPr>
            <w:r>
              <w:rPr>
                <w:rFonts w:hint="eastAsia" w:ascii="仿宋" w:hAnsi="仿宋" w:eastAsia="仿宋" w:cs="仿宋"/>
                <w:color w:val="auto"/>
                <w:szCs w:val="21"/>
                <w:highlight w:val="none"/>
              </w:rPr>
              <w:t>2.1 红外触摸；</w:t>
            </w:r>
          </w:p>
          <w:p>
            <w:pPr>
              <w:rPr>
                <w:rFonts w:ascii="仿宋" w:hAnsi="仿宋" w:eastAsia="仿宋" w:cs="仿宋"/>
                <w:color w:val="auto"/>
                <w:szCs w:val="21"/>
                <w:highlight w:val="none"/>
              </w:rPr>
            </w:pPr>
            <w:r>
              <w:rPr>
                <w:rFonts w:hint="eastAsia" w:ascii="仿宋" w:hAnsi="仿宋" w:eastAsia="仿宋" w:cs="仿宋"/>
                <w:color w:val="auto"/>
                <w:szCs w:val="21"/>
                <w:highlight w:val="none"/>
              </w:rPr>
              <w:t>2.2 触摸表面：钢化玻璃；</w:t>
            </w:r>
          </w:p>
          <w:p>
            <w:pPr>
              <w:rPr>
                <w:rFonts w:ascii="仿宋" w:hAnsi="仿宋" w:eastAsia="仿宋" w:cs="仿宋"/>
                <w:color w:val="auto"/>
                <w:szCs w:val="21"/>
                <w:highlight w:val="none"/>
              </w:rPr>
            </w:pPr>
            <w:r>
              <w:rPr>
                <w:rFonts w:hint="eastAsia" w:ascii="仿宋" w:hAnsi="仿宋" w:eastAsia="仿宋" w:cs="仿宋"/>
                <w:color w:val="auto"/>
                <w:szCs w:val="21"/>
                <w:highlight w:val="none"/>
              </w:rPr>
              <w:t>2.3 触摸分辨率：≥32768*32768；</w:t>
            </w:r>
          </w:p>
          <w:p>
            <w:pPr>
              <w:rPr>
                <w:rFonts w:ascii="仿宋" w:hAnsi="仿宋" w:eastAsia="仿宋" w:cs="仿宋"/>
                <w:color w:val="auto"/>
                <w:szCs w:val="21"/>
                <w:highlight w:val="none"/>
              </w:rPr>
            </w:pPr>
            <w:r>
              <w:rPr>
                <w:rFonts w:hint="eastAsia" w:ascii="仿宋" w:hAnsi="仿宋" w:eastAsia="仿宋" w:cs="仿宋"/>
                <w:color w:val="auto"/>
                <w:szCs w:val="21"/>
                <w:highlight w:val="none"/>
              </w:rPr>
              <w:t>2.4 最大支持10点触摸；</w:t>
            </w:r>
          </w:p>
          <w:p>
            <w:pPr>
              <w:rPr>
                <w:rFonts w:ascii="仿宋" w:hAnsi="仿宋" w:eastAsia="仿宋" w:cs="仿宋"/>
                <w:color w:val="auto"/>
                <w:szCs w:val="21"/>
                <w:highlight w:val="none"/>
              </w:rPr>
            </w:pPr>
            <w:r>
              <w:rPr>
                <w:rFonts w:hint="eastAsia" w:ascii="仿宋" w:hAnsi="仿宋" w:eastAsia="仿宋" w:cs="仿宋"/>
                <w:color w:val="auto"/>
                <w:szCs w:val="21"/>
                <w:highlight w:val="none"/>
              </w:rPr>
              <w:t>2.5 触摸精度：≤2mm；</w:t>
            </w:r>
          </w:p>
          <w:p>
            <w:pPr>
              <w:rPr>
                <w:rFonts w:ascii="仿宋" w:hAnsi="仿宋" w:eastAsia="仿宋" w:cs="仿宋"/>
                <w:color w:val="auto"/>
                <w:szCs w:val="21"/>
                <w:highlight w:val="none"/>
              </w:rPr>
            </w:pPr>
            <w:r>
              <w:rPr>
                <w:rFonts w:hint="eastAsia" w:ascii="仿宋" w:hAnsi="仿宋" w:eastAsia="仿宋" w:cs="仿宋"/>
                <w:color w:val="auto"/>
                <w:szCs w:val="21"/>
                <w:highlight w:val="none"/>
              </w:rPr>
              <w:t>2.6 触摸介质：手指或触摸笔；</w:t>
            </w:r>
          </w:p>
          <w:p>
            <w:pPr>
              <w:rPr>
                <w:rFonts w:ascii="仿宋" w:hAnsi="仿宋" w:eastAsia="仿宋" w:cs="仿宋"/>
                <w:color w:val="auto"/>
                <w:szCs w:val="21"/>
                <w:highlight w:val="none"/>
              </w:rPr>
            </w:pPr>
            <w:r>
              <w:rPr>
                <w:rFonts w:hint="eastAsia" w:ascii="仿宋" w:hAnsi="仿宋" w:eastAsia="仿宋" w:cs="仿宋"/>
                <w:color w:val="auto"/>
                <w:szCs w:val="21"/>
                <w:highlight w:val="none"/>
              </w:rPr>
              <w:t>2.7 USB免驱；</w:t>
            </w:r>
          </w:p>
          <w:p>
            <w:pPr>
              <w:rPr>
                <w:rFonts w:ascii="仿宋" w:hAnsi="仿宋" w:eastAsia="仿宋" w:cs="仿宋"/>
                <w:color w:val="auto"/>
                <w:szCs w:val="21"/>
                <w:highlight w:val="none"/>
              </w:rPr>
            </w:pPr>
            <w:r>
              <w:rPr>
                <w:rFonts w:hint="eastAsia" w:ascii="仿宋" w:hAnsi="仿宋" w:eastAsia="仿宋" w:cs="仿宋"/>
                <w:color w:val="auto"/>
                <w:szCs w:val="21"/>
                <w:highlight w:val="none"/>
              </w:rPr>
              <w:t>2.8 输出方式：坐标；</w:t>
            </w:r>
          </w:p>
          <w:p>
            <w:pPr>
              <w:rPr>
                <w:rFonts w:ascii="仿宋" w:hAnsi="仿宋" w:eastAsia="仿宋" w:cs="仿宋"/>
                <w:color w:val="auto"/>
                <w:szCs w:val="21"/>
                <w:highlight w:val="none"/>
              </w:rPr>
            </w:pPr>
            <w:r>
              <w:rPr>
                <w:rFonts w:hint="eastAsia" w:ascii="仿宋" w:hAnsi="仿宋" w:eastAsia="仿宋" w:cs="仿宋"/>
                <w:color w:val="auto"/>
                <w:szCs w:val="21"/>
                <w:highlight w:val="none"/>
              </w:rPr>
              <w:t>2.9 响应速度：单点4ms、连续2ms；</w:t>
            </w:r>
          </w:p>
          <w:p>
            <w:pPr>
              <w:rPr>
                <w:rFonts w:ascii="仿宋" w:hAnsi="仿宋" w:eastAsia="仿宋" w:cs="仿宋"/>
                <w:color w:val="auto"/>
                <w:szCs w:val="21"/>
                <w:highlight w:val="none"/>
              </w:rPr>
            </w:pPr>
            <w:r>
              <w:rPr>
                <w:rFonts w:hint="eastAsia" w:ascii="仿宋" w:hAnsi="仿宋" w:eastAsia="仿宋" w:cs="仿宋"/>
                <w:color w:val="auto"/>
                <w:szCs w:val="21"/>
                <w:highlight w:val="none"/>
              </w:rPr>
              <w:t>3.端口拓展：可拓展232/485/USB/TTL；</w:t>
            </w:r>
          </w:p>
          <w:p>
            <w:pPr>
              <w:rPr>
                <w:rFonts w:ascii="仿宋" w:hAnsi="仿宋" w:eastAsia="仿宋" w:cs="仿宋"/>
                <w:color w:val="auto"/>
                <w:szCs w:val="21"/>
                <w:highlight w:val="none"/>
              </w:rPr>
            </w:pPr>
            <w:r>
              <w:rPr>
                <w:rFonts w:hint="eastAsia" w:ascii="仿宋" w:hAnsi="仿宋" w:eastAsia="仿宋" w:cs="仿宋"/>
                <w:color w:val="auto"/>
                <w:szCs w:val="21"/>
                <w:highlight w:val="none"/>
              </w:rPr>
              <w:t>4.网络通信：以太网+WiFi+蓝牙；</w:t>
            </w:r>
          </w:p>
          <w:p>
            <w:pPr>
              <w:rPr>
                <w:rFonts w:ascii="仿宋" w:hAnsi="仿宋" w:eastAsia="仿宋" w:cs="仿宋"/>
                <w:color w:val="auto"/>
                <w:szCs w:val="21"/>
                <w:highlight w:val="none"/>
              </w:rPr>
            </w:pPr>
            <w:r>
              <w:rPr>
                <w:rFonts w:hint="eastAsia" w:ascii="仿宋" w:hAnsi="仿宋" w:eastAsia="仿宋" w:cs="仿宋"/>
                <w:color w:val="auto"/>
                <w:szCs w:val="21"/>
                <w:highlight w:val="none"/>
              </w:rPr>
              <w:t>5.系统</w:t>
            </w:r>
          </w:p>
          <w:p>
            <w:pPr>
              <w:rPr>
                <w:rFonts w:ascii="仿宋" w:hAnsi="仿宋" w:eastAsia="仿宋" w:cs="仿宋"/>
                <w:color w:val="auto"/>
                <w:szCs w:val="21"/>
                <w:highlight w:val="none"/>
              </w:rPr>
            </w:pPr>
            <w:r>
              <w:rPr>
                <w:rFonts w:hint="eastAsia" w:ascii="仿宋" w:hAnsi="仿宋" w:eastAsia="仿宋" w:cs="仿宋"/>
                <w:color w:val="auto"/>
                <w:szCs w:val="21"/>
                <w:highlight w:val="none"/>
              </w:rPr>
              <w:t>5.1 支持第三方应用安装；</w:t>
            </w:r>
          </w:p>
          <w:p>
            <w:pPr>
              <w:rPr>
                <w:rFonts w:ascii="仿宋" w:hAnsi="仿宋" w:eastAsia="仿宋" w:cs="仿宋"/>
                <w:color w:val="auto"/>
                <w:szCs w:val="21"/>
                <w:highlight w:val="none"/>
              </w:rPr>
            </w:pPr>
            <w:r>
              <w:rPr>
                <w:rFonts w:hint="eastAsia" w:ascii="仿宋" w:hAnsi="仿宋" w:eastAsia="仿宋" w:cs="仿宋"/>
                <w:color w:val="auto"/>
                <w:szCs w:val="21"/>
                <w:highlight w:val="none"/>
              </w:rPr>
              <w:t>5.2 最高支持1080P音频视解码播放；</w:t>
            </w:r>
          </w:p>
          <w:p>
            <w:pPr>
              <w:rPr>
                <w:rFonts w:ascii="仿宋" w:hAnsi="仿宋" w:eastAsia="仿宋" w:cs="仿宋"/>
                <w:color w:val="auto"/>
                <w:szCs w:val="21"/>
                <w:highlight w:val="none"/>
              </w:rPr>
            </w:pPr>
            <w:r>
              <w:rPr>
                <w:rFonts w:hint="eastAsia" w:ascii="仿宋" w:hAnsi="仿宋" w:eastAsia="仿宋" w:cs="仿宋"/>
                <w:color w:val="auto"/>
                <w:szCs w:val="21"/>
                <w:highlight w:val="none"/>
              </w:rPr>
              <w:t>5.3 默认开放root权限；</w:t>
            </w:r>
          </w:p>
          <w:p>
            <w:pPr>
              <w:rPr>
                <w:rFonts w:ascii="仿宋" w:hAnsi="仿宋" w:eastAsia="仿宋" w:cs="仿宋"/>
                <w:color w:val="auto"/>
                <w:szCs w:val="21"/>
                <w:highlight w:val="none"/>
              </w:rPr>
            </w:pPr>
            <w:r>
              <w:rPr>
                <w:rFonts w:hint="eastAsia" w:ascii="仿宋" w:hAnsi="仿宋" w:eastAsia="仿宋" w:cs="仿宋"/>
                <w:color w:val="auto"/>
                <w:szCs w:val="21"/>
                <w:highlight w:val="none"/>
              </w:rPr>
              <w:t>5.4 支持通过TF卡拓展存储内存；</w:t>
            </w:r>
          </w:p>
          <w:p>
            <w:pPr>
              <w:rPr>
                <w:rFonts w:ascii="仿宋" w:hAnsi="仿宋" w:eastAsia="仿宋" w:cs="仿宋"/>
                <w:color w:val="auto"/>
                <w:szCs w:val="21"/>
                <w:highlight w:val="none"/>
              </w:rPr>
            </w:pPr>
            <w:r>
              <w:rPr>
                <w:rFonts w:hint="eastAsia" w:ascii="仿宋" w:hAnsi="仿宋" w:eastAsia="仿宋" w:cs="仿宋"/>
                <w:color w:val="auto"/>
                <w:szCs w:val="21"/>
                <w:highlight w:val="none"/>
              </w:rPr>
              <w:t>5.5 USB播放媒体文件或系统升级；</w:t>
            </w:r>
          </w:p>
          <w:p>
            <w:pPr>
              <w:rPr>
                <w:rFonts w:ascii="仿宋" w:hAnsi="仿宋" w:eastAsia="仿宋" w:cs="仿宋"/>
                <w:color w:val="auto"/>
                <w:szCs w:val="21"/>
                <w:highlight w:val="none"/>
              </w:rPr>
            </w:pPr>
            <w:r>
              <w:rPr>
                <w:rFonts w:hint="eastAsia" w:ascii="仿宋" w:hAnsi="仿宋" w:eastAsia="仿宋" w:cs="仿宋"/>
                <w:color w:val="auto"/>
                <w:szCs w:val="21"/>
                <w:highlight w:val="none"/>
              </w:rPr>
              <w:t>5.6 内置2路8欧5W优质喇叭；</w:t>
            </w:r>
          </w:p>
          <w:p>
            <w:pPr>
              <w:rPr>
                <w:rFonts w:ascii="仿宋" w:hAnsi="仿宋" w:eastAsia="仿宋" w:cs="仿宋"/>
                <w:color w:val="auto"/>
                <w:szCs w:val="21"/>
                <w:highlight w:val="none"/>
              </w:rPr>
            </w:pPr>
            <w:r>
              <w:rPr>
                <w:rFonts w:hint="eastAsia" w:ascii="仿宋" w:hAnsi="仿宋" w:eastAsia="仿宋" w:cs="仿宋"/>
                <w:color w:val="auto"/>
                <w:szCs w:val="21"/>
                <w:highlight w:val="none"/>
              </w:rPr>
              <w:t>5.7 支持遥控器操作；</w:t>
            </w:r>
          </w:p>
          <w:p>
            <w:pPr>
              <w:rPr>
                <w:rFonts w:ascii="仿宋" w:hAnsi="仿宋" w:eastAsia="仿宋" w:cs="仿宋"/>
                <w:color w:val="auto"/>
                <w:szCs w:val="21"/>
                <w:highlight w:val="none"/>
              </w:rPr>
            </w:pPr>
            <w:r>
              <w:rPr>
                <w:rFonts w:hint="eastAsia" w:ascii="仿宋" w:hAnsi="仿宋" w:eastAsia="仿宋" w:cs="仿宋"/>
                <w:color w:val="auto"/>
                <w:szCs w:val="21"/>
                <w:highlight w:val="none"/>
              </w:rPr>
              <w:t>5.8 支持0°、90°、180°、270°手动旋转；</w:t>
            </w:r>
          </w:p>
          <w:p>
            <w:pPr>
              <w:rPr>
                <w:rFonts w:ascii="仿宋" w:hAnsi="仿宋" w:eastAsia="仿宋" w:cs="仿宋"/>
                <w:color w:val="auto"/>
                <w:szCs w:val="21"/>
                <w:highlight w:val="none"/>
              </w:rPr>
            </w:pPr>
            <w:r>
              <w:rPr>
                <w:rFonts w:hint="eastAsia" w:ascii="仿宋" w:hAnsi="仿宋" w:eastAsia="仿宋" w:cs="仿宋"/>
                <w:color w:val="auto"/>
                <w:szCs w:val="21"/>
                <w:highlight w:val="none"/>
              </w:rPr>
              <w:t>5.9 支持中文、英文等多国语言；</w:t>
            </w:r>
          </w:p>
          <w:p>
            <w:pPr>
              <w:rPr>
                <w:rFonts w:ascii="仿宋" w:hAnsi="仿宋" w:eastAsia="仿宋" w:cs="仿宋"/>
                <w:color w:val="auto"/>
                <w:szCs w:val="21"/>
                <w:highlight w:val="none"/>
              </w:rPr>
            </w:pPr>
            <w:r>
              <w:rPr>
                <w:rFonts w:hint="eastAsia" w:ascii="仿宋" w:hAnsi="仿宋" w:eastAsia="仿宋" w:cs="仿宋"/>
                <w:color w:val="auto"/>
                <w:szCs w:val="21"/>
                <w:highlight w:val="none"/>
              </w:rPr>
              <w:t>5.10 输入法：标准Android。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18</w:t>
            </w:r>
          </w:p>
        </w:tc>
        <w:tc>
          <w:tcPr>
            <w:tcW w:w="247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智能中控系统</w:t>
            </w:r>
          </w:p>
        </w:tc>
        <w:tc>
          <w:tcPr>
            <w:tcW w:w="684"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1</w:t>
            </w:r>
          </w:p>
        </w:tc>
        <w:tc>
          <w:tcPr>
            <w:tcW w:w="71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套</w:t>
            </w:r>
          </w:p>
        </w:tc>
        <w:tc>
          <w:tcPr>
            <w:tcW w:w="5080" w:type="dxa"/>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1.支持udp及串口命令发送，实现对于展项硬件设备的开关控制，包括电脑主机、投影机设备、电动幕布升降等的软开关及带电设备的动力柜强电开关；</w:t>
            </w:r>
          </w:p>
          <w:p>
            <w:pPr>
              <w:rPr>
                <w:rFonts w:ascii="仿宋" w:hAnsi="仿宋" w:eastAsia="仿宋" w:cs="仿宋"/>
                <w:color w:val="auto"/>
                <w:szCs w:val="21"/>
                <w:highlight w:val="none"/>
              </w:rPr>
            </w:pPr>
            <w:r>
              <w:rPr>
                <w:rFonts w:hint="eastAsia" w:ascii="仿宋" w:hAnsi="仿宋" w:eastAsia="仿宋" w:cs="仿宋"/>
                <w:color w:val="auto"/>
                <w:szCs w:val="21"/>
                <w:highlight w:val="none"/>
              </w:rPr>
              <w:t>2.485控制命令控制，根据实际需求确定数量，使用Pad对屏幕视频内容播放、暂停、切换、音量控制等；</w:t>
            </w:r>
          </w:p>
          <w:p>
            <w:pPr>
              <w:rPr>
                <w:rFonts w:ascii="仿宋" w:hAnsi="仿宋" w:eastAsia="仿宋" w:cs="仿宋"/>
                <w:color w:val="auto"/>
                <w:szCs w:val="21"/>
                <w:highlight w:val="none"/>
              </w:rPr>
            </w:pPr>
            <w:r>
              <w:rPr>
                <w:rFonts w:hint="eastAsia" w:ascii="仿宋" w:hAnsi="仿宋" w:eastAsia="仿宋" w:cs="仿宋"/>
                <w:color w:val="auto"/>
                <w:szCs w:val="21"/>
                <w:highlight w:val="none"/>
              </w:rPr>
              <w:t>3.检测电压、电流、功率、电量统计、电能质量分析、过载保护、过压保护、欠压保护、过温保护、超温保护、漏电保护和漏电重合闸；</w:t>
            </w:r>
          </w:p>
          <w:p>
            <w:pPr>
              <w:rPr>
                <w:rFonts w:ascii="仿宋" w:hAnsi="仿宋" w:eastAsia="仿宋" w:cs="仿宋"/>
                <w:color w:val="auto"/>
                <w:szCs w:val="21"/>
                <w:highlight w:val="none"/>
              </w:rPr>
            </w:pPr>
            <w:r>
              <w:rPr>
                <w:rFonts w:hint="eastAsia" w:ascii="仿宋" w:hAnsi="仿宋" w:eastAsia="仿宋" w:cs="仿宋"/>
                <w:color w:val="auto"/>
                <w:szCs w:val="21"/>
                <w:highlight w:val="none"/>
              </w:rPr>
              <w:t>4.4G、ETH（以太网）、WiFi、RS485与云平台进行数据交互。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19</w:t>
            </w:r>
          </w:p>
        </w:tc>
        <w:tc>
          <w:tcPr>
            <w:tcW w:w="247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配电柜</w:t>
            </w:r>
          </w:p>
        </w:tc>
        <w:tc>
          <w:tcPr>
            <w:tcW w:w="684"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1</w:t>
            </w:r>
          </w:p>
        </w:tc>
        <w:tc>
          <w:tcPr>
            <w:tcW w:w="71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个</w:t>
            </w:r>
          </w:p>
        </w:tc>
        <w:tc>
          <w:tcPr>
            <w:tcW w:w="5080"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与现场条件匹配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20</w:t>
            </w:r>
          </w:p>
        </w:tc>
        <w:tc>
          <w:tcPr>
            <w:tcW w:w="247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交换机</w:t>
            </w:r>
          </w:p>
        </w:tc>
        <w:tc>
          <w:tcPr>
            <w:tcW w:w="684"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1</w:t>
            </w:r>
          </w:p>
        </w:tc>
        <w:tc>
          <w:tcPr>
            <w:tcW w:w="71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台</w:t>
            </w:r>
          </w:p>
        </w:tc>
        <w:tc>
          <w:tcPr>
            <w:tcW w:w="5080" w:type="dxa"/>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1.品牌参照或相当于：TP-LINK、新华三、华为；</w:t>
            </w:r>
          </w:p>
          <w:p>
            <w:pPr>
              <w:rPr>
                <w:rFonts w:ascii="仿宋" w:hAnsi="仿宋" w:eastAsia="仿宋" w:cs="仿宋"/>
                <w:color w:val="auto"/>
                <w:szCs w:val="21"/>
                <w:highlight w:val="none"/>
              </w:rPr>
            </w:pPr>
            <w:r>
              <w:rPr>
                <w:rFonts w:hint="eastAsia" w:ascii="仿宋" w:hAnsi="仿宋" w:eastAsia="仿宋" w:cs="仿宋"/>
                <w:color w:val="auto"/>
                <w:szCs w:val="21"/>
                <w:highlight w:val="none"/>
              </w:rPr>
              <w:t>2.24口千兆交换机。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21</w:t>
            </w:r>
          </w:p>
        </w:tc>
        <w:tc>
          <w:tcPr>
            <w:tcW w:w="247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路由器</w:t>
            </w:r>
          </w:p>
        </w:tc>
        <w:tc>
          <w:tcPr>
            <w:tcW w:w="684"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1</w:t>
            </w:r>
          </w:p>
        </w:tc>
        <w:tc>
          <w:tcPr>
            <w:tcW w:w="71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台</w:t>
            </w:r>
          </w:p>
        </w:tc>
        <w:tc>
          <w:tcPr>
            <w:tcW w:w="5080" w:type="dxa"/>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1.品牌参照或相当于：TP-LINK、新华三、华为；</w:t>
            </w:r>
          </w:p>
          <w:p>
            <w:pPr>
              <w:rPr>
                <w:rFonts w:ascii="仿宋" w:hAnsi="仿宋" w:eastAsia="仿宋" w:cs="仿宋"/>
                <w:color w:val="auto"/>
                <w:szCs w:val="21"/>
                <w:highlight w:val="none"/>
              </w:rPr>
            </w:pPr>
            <w:r>
              <w:rPr>
                <w:rFonts w:hint="eastAsia" w:ascii="仿宋" w:hAnsi="仿宋" w:eastAsia="仿宋" w:cs="仿宋"/>
                <w:color w:val="auto"/>
                <w:szCs w:val="21"/>
                <w:highlight w:val="none"/>
              </w:rPr>
              <w:t>2.AP管理一体化企业级VPN路由器；</w:t>
            </w:r>
          </w:p>
          <w:p>
            <w:pPr>
              <w:rPr>
                <w:rFonts w:ascii="仿宋" w:hAnsi="仿宋" w:eastAsia="仿宋" w:cs="仿宋"/>
                <w:color w:val="auto"/>
                <w:szCs w:val="21"/>
                <w:highlight w:val="none"/>
              </w:rPr>
            </w:pPr>
            <w:r>
              <w:rPr>
                <w:rFonts w:hint="eastAsia" w:ascii="仿宋" w:hAnsi="仿宋" w:eastAsia="仿宋" w:cs="仿宋"/>
                <w:color w:val="auto"/>
                <w:szCs w:val="21"/>
                <w:highlight w:val="none"/>
              </w:rPr>
              <w:t>3.千兆端口，PoE供电，总带机量50台，管理无线AP20台，整机功率123W，千兆端口9个。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22</w:t>
            </w:r>
          </w:p>
        </w:tc>
        <w:tc>
          <w:tcPr>
            <w:tcW w:w="247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无线AP</w:t>
            </w:r>
          </w:p>
        </w:tc>
        <w:tc>
          <w:tcPr>
            <w:tcW w:w="684"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1</w:t>
            </w:r>
          </w:p>
        </w:tc>
        <w:tc>
          <w:tcPr>
            <w:tcW w:w="71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台</w:t>
            </w:r>
          </w:p>
        </w:tc>
        <w:tc>
          <w:tcPr>
            <w:tcW w:w="5080" w:type="dxa"/>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1.品牌参照或相当于：TP-LINK、新华三、华为；</w:t>
            </w:r>
          </w:p>
          <w:p>
            <w:pPr>
              <w:rPr>
                <w:rFonts w:ascii="仿宋" w:hAnsi="仿宋" w:eastAsia="仿宋" w:cs="仿宋"/>
                <w:color w:val="auto"/>
                <w:szCs w:val="21"/>
                <w:highlight w:val="none"/>
              </w:rPr>
            </w:pPr>
            <w:r>
              <w:rPr>
                <w:rFonts w:hint="eastAsia" w:ascii="仿宋" w:hAnsi="仿宋" w:eastAsia="仿宋" w:cs="仿宋"/>
                <w:color w:val="auto"/>
                <w:szCs w:val="21"/>
                <w:highlight w:val="none"/>
              </w:rPr>
              <w:t>2.双频1900M，3T3R架构，MU-MIMO技术，全向360°天线，千兆端口，千兆SFP光口，IP65防水防尘，自动射频优调，智能漫游，标准POE/Passive POE/DC供电。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23</w:t>
            </w:r>
          </w:p>
        </w:tc>
        <w:tc>
          <w:tcPr>
            <w:tcW w:w="247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辅材1</w:t>
            </w:r>
          </w:p>
        </w:tc>
        <w:tc>
          <w:tcPr>
            <w:tcW w:w="684"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1</w:t>
            </w:r>
          </w:p>
        </w:tc>
        <w:tc>
          <w:tcPr>
            <w:tcW w:w="71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批</w:t>
            </w:r>
          </w:p>
        </w:tc>
        <w:tc>
          <w:tcPr>
            <w:tcW w:w="5080"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光纤跳线、高清跳线、管线桥架、插座等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24</w:t>
            </w:r>
          </w:p>
        </w:tc>
        <w:tc>
          <w:tcPr>
            <w:tcW w:w="247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全频壁装扬声器</w:t>
            </w:r>
          </w:p>
        </w:tc>
        <w:tc>
          <w:tcPr>
            <w:tcW w:w="684"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2</w:t>
            </w:r>
          </w:p>
        </w:tc>
        <w:tc>
          <w:tcPr>
            <w:tcW w:w="71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个</w:t>
            </w:r>
          </w:p>
        </w:tc>
        <w:tc>
          <w:tcPr>
            <w:tcW w:w="5080" w:type="dxa"/>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1.品牌参照或相当于：金立翔、惠威、FFR；</w:t>
            </w:r>
          </w:p>
          <w:p>
            <w:pPr>
              <w:rPr>
                <w:rFonts w:ascii="仿宋" w:hAnsi="仿宋" w:eastAsia="仿宋" w:cs="仿宋"/>
                <w:color w:val="auto"/>
                <w:szCs w:val="21"/>
                <w:highlight w:val="none"/>
              </w:rPr>
            </w:pPr>
            <w:r>
              <w:rPr>
                <w:rFonts w:hint="eastAsia" w:ascii="仿宋" w:hAnsi="仿宋" w:eastAsia="仿宋" w:cs="仿宋"/>
                <w:color w:val="auto"/>
                <w:szCs w:val="21"/>
                <w:highlight w:val="none"/>
              </w:rPr>
              <w:t>2.喇叭单元：4.5寸全频*12+1寸高音*2，喇叭材质为塑胶；</w:t>
            </w:r>
          </w:p>
          <w:p>
            <w:pPr>
              <w:rPr>
                <w:rFonts w:ascii="仿宋" w:hAnsi="仿宋" w:eastAsia="仿宋" w:cs="仿宋"/>
                <w:color w:val="auto"/>
                <w:szCs w:val="21"/>
                <w:highlight w:val="none"/>
              </w:rPr>
            </w:pPr>
            <w:r>
              <w:rPr>
                <w:rFonts w:hint="eastAsia" w:ascii="仿宋" w:hAnsi="仿宋" w:eastAsia="仿宋" w:cs="仿宋"/>
                <w:color w:val="auto"/>
                <w:szCs w:val="21"/>
                <w:highlight w:val="none"/>
              </w:rPr>
              <w:t>3.铝合金外壳+铁网+铝盖；</w:t>
            </w:r>
          </w:p>
          <w:p>
            <w:pPr>
              <w:rPr>
                <w:rFonts w:ascii="仿宋" w:hAnsi="仿宋" w:eastAsia="仿宋" w:cs="仿宋"/>
                <w:color w:val="auto"/>
                <w:szCs w:val="21"/>
                <w:highlight w:val="none"/>
              </w:rPr>
            </w:pPr>
            <w:r>
              <w:rPr>
                <w:rFonts w:hint="eastAsia" w:ascii="仿宋" w:hAnsi="仿宋" w:eastAsia="仿宋" w:cs="仿宋"/>
                <w:color w:val="auto"/>
                <w:szCs w:val="21"/>
                <w:highlight w:val="none"/>
              </w:rPr>
              <w:t>4.输入接口：红黑接线端+欧姆头；</w:t>
            </w:r>
          </w:p>
          <w:p>
            <w:pPr>
              <w:rPr>
                <w:rFonts w:ascii="仿宋" w:hAnsi="仿宋" w:eastAsia="仿宋" w:cs="仿宋"/>
                <w:color w:val="auto"/>
                <w:szCs w:val="21"/>
                <w:highlight w:val="none"/>
              </w:rPr>
            </w:pPr>
            <w:r>
              <w:rPr>
                <w:rFonts w:hint="eastAsia" w:ascii="仿宋" w:hAnsi="仿宋" w:eastAsia="仿宋" w:cs="仿宋"/>
                <w:color w:val="auto"/>
                <w:szCs w:val="21"/>
                <w:highlight w:val="none"/>
              </w:rPr>
              <w:t>5.频率范围(-10dB)：120~20kHz；</w:t>
            </w:r>
          </w:p>
          <w:p>
            <w:pPr>
              <w:rPr>
                <w:rFonts w:ascii="仿宋" w:hAnsi="仿宋" w:eastAsia="仿宋" w:cs="仿宋"/>
                <w:color w:val="auto"/>
                <w:szCs w:val="21"/>
                <w:highlight w:val="none"/>
              </w:rPr>
            </w:pPr>
            <w:r>
              <w:rPr>
                <w:rFonts w:hint="eastAsia" w:ascii="仿宋" w:hAnsi="仿宋" w:eastAsia="仿宋" w:cs="仿宋"/>
                <w:color w:val="auto"/>
                <w:szCs w:val="21"/>
                <w:highlight w:val="none"/>
              </w:rPr>
              <w:t>6.灵敏度（1m/1W)：87dB；</w:t>
            </w:r>
          </w:p>
          <w:p>
            <w:pPr>
              <w:rPr>
                <w:rFonts w:ascii="仿宋" w:hAnsi="仿宋" w:eastAsia="仿宋" w:cs="仿宋"/>
                <w:color w:val="auto"/>
                <w:szCs w:val="21"/>
                <w:highlight w:val="none"/>
              </w:rPr>
            </w:pPr>
            <w:r>
              <w:rPr>
                <w:rFonts w:hint="eastAsia" w:ascii="仿宋" w:hAnsi="仿宋" w:eastAsia="仿宋" w:cs="仿宋"/>
                <w:color w:val="auto"/>
                <w:szCs w:val="21"/>
                <w:highlight w:val="none"/>
              </w:rPr>
              <w:t>7.最大声压级（1m/1W）：90dB；</w:t>
            </w:r>
          </w:p>
          <w:p>
            <w:pPr>
              <w:rPr>
                <w:rFonts w:ascii="仿宋" w:hAnsi="仿宋" w:eastAsia="仿宋" w:cs="仿宋"/>
                <w:color w:val="auto"/>
                <w:szCs w:val="21"/>
                <w:highlight w:val="none"/>
              </w:rPr>
            </w:pPr>
            <w:r>
              <w:rPr>
                <w:rFonts w:hint="eastAsia" w:ascii="仿宋" w:hAnsi="仿宋" w:eastAsia="仿宋" w:cs="仿宋"/>
                <w:color w:val="auto"/>
                <w:szCs w:val="21"/>
                <w:highlight w:val="none"/>
              </w:rPr>
              <w:t>8.额定功率：600W；</w:t>
            </w:r>
          </w:p>
          <w:p>
            <w:pPr>
              <w:rPr>
                <w:rFonts w:ascii="仿宋" w:hAnsi="仿宋" w:eastAsia="仿宋" w:cs="仿宋"/>
                <w:color w:val="auto"/>
                <w:szCs w:val="21"/>
                <w:highlight w:val="none"/>
              </w:rPr>
            </w:pPr>
            <w:r>
              <w:rPr>
                <w:rFonts w:hint="eastAsia" w:ascii="仿宋" w:hAnsi="仿宋" w:eastAsia="仿宋" w:cs="仿宋"/>
                <w:color w:val="auto"/>
                <w:szCs w:val="21"/>
                <w:highlight w:val="none"/>
              </w:rPr>
              <w:t>9.峰值功率：3000W；</w:t>
            </w:r>
          </w:p>
          <w:p>
            <w:pPr>
              <w:rPr>
                <w:rFonts w:ascii="仿宋" w:hAnsi="仿宋" w:eastAsia="仿宋" w:cs="仿宋"/>
                <w:color w:val="auto"/>
                <w:szCs w:val="21"/>
                <w:highlight w:val="none"/>
              </w:rPr>
            </w:pPr>
            <w:r>
              <w:rPr>
                <w:rFonts w:hint="eastAsia" w:ascii="仿宋" w:hAnsi="仿宋" w:eastAsia="仿宋" w:cs="仿宋"/>
                <w:color w:val="auto"/>
                <w:szCs w:val="21"/>
                <w:highlight w:val="none"/>
              </w:rPr>
              <w:t>10.阻抗：8Ω；</w:t>
            </w:r>
          </w:p>
          <w:p>
            <w:pPr>
              <w:rPr>
                <w:rFonts w:ascii="仿宋" w:hAnsi="仿宋" w:eastAsia="仿宋" w:cs="仿宋"/>
                <w:color w:val="auto"/>
                <w:szCs w:val="21"/>
                <w:highlight w:val="none"/>
              </w:rPr>
            </w:pPr>
            <w:r>
              <w:rPr>
                <w:rFonts w:hint="eastAsia" w:ascii="仿宋" w:hAnsi="仿宋" w:eastAsia="仿宋" w:cs="仿宋"/>
                <w:color w:val="auto"/>
                <w:szCs w:val="21"/>
                <w:highlight w:val="none"/>
              </w:rPr>
              <w:t>11.覆盖角度（H*V）：120°*100°。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25</w:t>
            </w:r>
          </w:p>
        </w:tc>
        <w:tc>
          <w:tcPr>
            <w:tcW w:w="247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多通道数字自适应功率</w:t>
            </w:r>
          </w:p>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放大器</w:t>
            </w:r>
          </w:p>
        </w:tc>
        <w:tc>
          <w:tcPr>
            <w:tcW w:w="684"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1</w:t>
            </w:r>
          </w:p>
        </w:tc>
        <w:tc>
          <w:tcPr>
            <w:tcW w:w="71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个</w:t>
            </w:r>
          </w:p>
        </w:tc>
        <w:tc>
          <w:tcPr>
            <w:tcW w:w="5080" w:type="dxa"/>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1.品牌参照或相当于：金立翔、惠威、FFR；</w:t>
            </w:r>
          </w:p>
          <w:p>
            <w:pPr>
              <w:rPr>
                <w:rFonts w:ascii="仿宋" w:hAnsi="仿宋" w:eastAsia="仿宋" w:cs="仿宋"/>
                <w:color w:val="auto"/>
                <w:szCs w:val="21"/>
                <w:highlight w:val="none"/>
              </w:rPr>
            </w:pPr>
            <w:r>
              <w:rPr>
                <w:rFonts w:hint="eastAsia" w:ascii="仿宋" w:hAnsi="仿宋" w:eastAsia="仿宋" w:cs="仿宋"/>
                <w:color w:val="auto"/>
                <w:szCs w:val="21"/>
                <w:highlight w:val="none"/>
              </w:rPr>
              <w:t>2.额定功率（20~20kHz/THD≤0.5% 立体声4Ω）：2*1400W；</w:t>
            </w:r>
          </w:p>
          <w:p>
            <w:pPr>
              <w:rPr>
                <w:rFonts w:ascii="仿宋" w:hAnsi="仿宋" w:eastAsia="仿宋" w:cs="仿宋"/>
                <w:color w:val="auto"/>
                <w:szCs w:val="21"/>
                <w:highlight w:val="none"/>
              </w:rPr>
            </w:pPr>
            <w:r>
              <w:rPr>
                <w:rFonts w:hint="eastAsia" w:ascii="仿宋" w:hAnsi="仿宋" w:eastAsia="仿宋" w:cs="仿宋"/>
                <w:color w:val="auto"/>
                <w:szCs w:val="21"/>
                <w:highlight w:val="none"/>
              </w:rPr>
              <w:t>3.额定功率（20~20kHz/THD≤0.5% 立体声8Ω）：2*800W；</w:t>
            </w:r>
          </w:p>
          <w:p>
            <w:pPr>
              <w:rPr>
                <w:rFonts w:ascii="仿宋" w:hAnsi="仿宋" w:eastAsia="仿宋" w:cs="仿宋"/>
                <w:color w:val="auto"/>
                <w:szCs w:val="21"/>
                <w:highlight w:val="none"/>
              </w:rPr>
            </w:pPr>
            <w:r>
              <w:rPr>
                <w:rFonts w:hint="eastAsia" w:ascii="仿宋" w:hAnsi="仿宋" w:eastAsia="仿宋" w:cs="仿宋"/>
                <w:color w:val="auto"/>
                <w:szCs w:val="21"/>
                <w:highlight w:val="none"/>
              </w:rPr>
              <w:t>4.额定功率（20~20kHz/THD≤0.5% 桥接8Ω）：1*1400W；</w:t>
            </w:r>
          </w:p>
          <w:p>
            <w:pPr>
              <w:rPr>
                <w:rFonts w:ascii="仿宋" w:hAnsi="仿宋" w:eastAsia="仿宋" w:cs="仿宋"/>
                <w:color w:val="auto"/>
                <w:szCs w:val="21"/>
                <w:highlight w:val="none"/>
              </w:rPr>
            </w:pPr>
            <w:r>
              <w:rPr>
                <w:rFonts w:hint="eastAsia" w:ascii="仿宋" w:hAnsi="仿宋" w:eastAsia="仿宋" w:cs="仿宋"/>
                <w:color w:val="auto"/>
                <w:szCs w:val="21"/>
                <w:highlight w:val="none"/>
              </w:rPr>
              <w:t>5.输入连接器：平衡卡侬公母座；</w:t>
            </w:r>
          </w:p>
          <w:p>
            <w:pPr>
              <w:rPr>
                <w:rFonts w:ascii="仿宋" w:hAnsi="仿宋" w:eastAsia="仿宋" w:cs="仿宋"/>
                <w:color w:val="auto"/>
                <w:szCs w:val="21"/>
                <w:highlight w:val="none"/>
              </w:rPr>
            </w:pPr>
            <w:r>
              <w:rPr>
                <w:rFonts w:hint="eastAsia" w:ascii="仿宋" w:hAnsi="仿宋" w:eastAsia="仿宋" w:cs="仿宋"/>
                <w:color w:val="auto"/>
                <w:szCs w:val="21"/>
                <w:highlight w:val="none"/>
              </w:rPr>
              <w:t>6.输出连接器：SPEAKON、接线柱；</w:t>
            </w:r>
          </w:p>
          <w:p>
            <w:pPr>
              <w:rPr>
                <w:rFonts w:ascii="仿宋" w:hAnsi="仿宋" w:eastAsia="仿宋" w:cs="仿宋"/>
                <w:color w:val="auto"/>
                <w:szCs w:val="21"/>
                <w:highlight w:val="none"/>
              </w:rPr>
            </w:pPr>
            <w:r>
              <w:rPr>
                <w:rFonts w:hint="eastAsia" w:ascii="仿宋" w:hAnsi="仿宋" w:eastAsia="仿宋" w:cs="仿宋"/>
                <w:color w:val="auto"/>
                <w:szCs w:val="21"/>
                <w:highlight w:val="none"/>
              </w:rPr>
              <w:t>7.控制</w:t>
            </w:r>
          </w:p>
          <w:p>
            <w:pPr>
              <w:rPr>
                <w:rFonts w:ascii="仿宋" w:hAnsi="仿宋" w:eastAsia="仿宋" w:cs="仿宋"/>
                <w:color w:val="auto"/>
                <w:szCs w:val="21"/>
                <w:highlight w:val="none"/>
              </w:rPr>
            </w:pPr>
            <w:r>
              <w:rPr>
                <w:rFonts w:hint="eastAsia" w:ascii="仿宋" w:hAnsi="仿宋" w:eastAsia="仿宋" w:cs="仿宋"/>
                <w:color w:val="auto"/>
                <w:szCs w:val="21"/>
                <w:highlight w:val="none"/>
              </w:rPr>
              <w:t>7.1 面板：AC开关、CH1/CH2增益旋钮；</w:t>
            </w:r>
          </w:p>
          <w:p>
            <w:pPr>
              <w:rPr>
                <w:rFonts w:ascii="仿宋" w:hAnsi="仿宋" w:eastAsia="仿宋" w:cs="仿宋"/>
                <w:color w:val="auto"/>
                <w:szCs w:val="21"/>
                <w:highlight w:val="none"/>
              </w:rPr>
            </w:pPr>
            <w:r>
              <w:rPr>
                <w:rFonts w:hint="eastAsia" w:ascii="仿宋" w:hAnsi="仿宋" w:eastAsia="仿宋" w:cs="仿宋"/>
                <w:color w:val="auto"/>
                <w:szCs w:val="21"/>
                <w:highlight w:val="none"/>
              </w:rPr>
              <w:t>7.2 背板：立体声、并联、桥接、输入灵敏度开关（0.775V或1.4V）。</w:t>
            </w:r>
          </w:p>
          <w:p>
            <w:pPr>
              <w:rPr>
                <w:rFonts w:ascii="仿宋" w:hAnsi="仿宋" w:eastAsia="仿宋" w:cs="仿宋"/>
                <w:color w:val="auto"/>
                <w:szCs w:val="21"/>
                <w:highlight w:val="none"/>
              </w:rPr>
            </w:pPr>
            <w:r>
              <w:rPr>
                <w:rFonts w:hint="eastAsia" w:ascii="仿宋" w:hAnsi="仿宋" w:eastAsia="仿宋" w:cs="仿宋"/>
                <w:color w:val="auto"/>
                <w:szCs w:val="21"/>
                <w:highlight w:val="none"/>
              </w:rPr>
              <w:t>8.电平增益@1kHz：32dB；</w:t>
            </w:r>
          </w:p>
          <w:p>
            <w:pPr>
              <w:rPr>
                <w:rFonts w:ascii="仿宋" w:hAnsi="仿宋" w:eastAsia="仿宋" w:cs="仿宋"/>
                <w:color w:val="auto"/>
                <w:szCs w:val="21"/>
                <w:highlight w:val="none"/>
              </w:rPr>
            </w:pPr>
            <w:r>
              <w:rPr>
                <w:rFonts w:hint="eastAsia" w:ascii="仿宋" w:hAnsi="仿宋" w:eastAsia="仿宋" w:cs="仿宋"/>
                <w:color w:val="auto"/>
                <w:szCs w:val="21"/>
                <w:highlight w:val="none"/>
              </w:rPr>
              <w:t>9.输入灵敏度：0.775V/1V/1.44V；</w:t>
            </w:r>
          </w:p>
          <w:p>
            <w:pPr>
              <w:rPr>
                <w:rFonts w:ascii="仿宋" w:hAnsi="仿宋" w:eastAsia="仿宋" w:cs="仿宋"/>
                <w:color w:val="auto"/>
                <w:szCs w:val="21"/>
                <w:highlight w:val="none"/>
              </w:rPr>
            </w:pPr>
            <w:r>
              <w:rPr>
                <w:rFonts w:hint="eastAsia" w:ascii="仿宋" w:hAnsi="仿宋" w:eastAsia="仿宋" w:cs="仿宋"/>
                <w:color w:val="auto"/>
                <w:szCs w:val="21"/>
                <w:highlight w:val="none"/>
              </w:rPr>
              <w:t>10.输入阻抗：10kΩ非平衡、20kΩ平衡；</w:t>
            </w:r>
          </w:p>
          <w:p>
            <w:pPr>
              <w:rPr>
                <w:rFonts w:ascii="仿宋" w:hAnsi="仿宋" w:eastAsia="仿宋" w:cs="仿宋"/>
                <w:color w:val="auto"/>
                <w:szCs w:val="21"/>
                <w:highlight w:val="none"/>
              </w:rPr>
            </w:pPr>
            <w:r>
              <w:rPr>
                <w:rFonts w:hint="eastAsia" w:ascii="仿宋" w:hAnsi="仿宋" w:eastAsia="仿宋" w:cs="仿宋"/>
                <w:color w:val="auto"/>
                <w:szCs w:val="21"/>
                <w:highlight w:val="none"/>
              </w:rPr>
              <w:t>11.频率响应@1W功率：20~20kHz+0/-1dB；</w:t>
            </w:r>
          </w:p>
          <w:p>
            <w:pPr>
              <w:rPr>
                <w:rFonts w:ascii="仿宋" w:hAnsi="仿宋" w:eastAsia="仿宋" w:cs="仿宋"/>
                <w:color w:val="auto"/>
                <w:szCs w:val="21"/>
                <w:highlight w:val="none"/>
              </w:rPr>
            </w:pPr>
            <w:r>
              <w:rPr>
                <w:rFonts w:hint="eastAsia" w:ascii="仿宋" w:hAnsi="仿宋" w:eastAsia="仿宋" w:cs="仿宋"/>
                <w:color w:val="auto"/>
                <w:szCs w:val="21"/>
                <w:highlight w:val="none"/>
              </w:rPr>
              <w:t>12.THD+N@1/8功率：≤0.05%；</w:t>
            </w:r>
          </w:p>
          <w:p>
            <w:pPr>
              <w:rPr>
                <w:rFonts w:ascii="仿宋" w:hAnsi="仿宋" w:eastAsia="仿宋" w:cs="仿宋"/>
                <w:color w:val="auto"/>
                <w:szCs w:val="21"/>
                <w:highlight w:val="none"/>
              </w:rPr>
            </w:pPr>
            <w:r>
              <w:rPr>
                <w:rFonts w:hint="eastAsia" w:ascii="仿宋" w:hAnsi="仿宋" w:eastAsia="仿宋" w:cs="仿宋"/>
                <w:color w:val="auto"/>
                <w:szCs w:val="21"/>
                <w:highlight w:val="none"/>
              </w:rPr>
              <w:t>13.20Hz~20kHz＞100dB；</w:t>
            </w:r>
          </w:p>
          <w:p>
            <w:pPr>
              <w:rPr>
                <w:rFonts w:ascii="仿宋" w:hAnsi="仿宋" w:eastAsia="仿宋" w:cs="仿宋"/>
                <w:color w:val="auto"/>
                <w:szCs w:val="21"/>
                <w:highlight w:val="none"/>
              </w:rPr>
            </w:pPr>
            <w:r>
              <w:rPr>
                <w:rFonts w:hint="eastAsia" w:ascii="仿宋" w:hAnsi="仿宋" w:eastAsia="仿宋" w:cs="仿宋"/>
                <w:color w:val="auto"/>
                <w:szCs w:val="21"/>
                <w:highlight w:val="none"/>
              </w:rPr>
              <w:t>14.阻尼系数@1kHz：＞500；</w:t>
            </w:r>
          </w:p>
          <w:p>
            <w:pPr>
              <w:rPr>
                <w:rFonts w:ascii="仿宋" w:hAnsi="仿宋" w:eastAsia="仿宋" w:cs="仿宋"/>
                <w:color w:val="auto"/>
                <w:szCs w:val="21"/>
                <w:highlight w:val="none"/>
              </w:rPr>
            </w:pPr>
            <w:r>
              <w:rPr>
                <w:rFonts w:hint="eastAsia" w:ascii="仿宋" w:hAnsi="仿宋" w:eastAsia="仿宋" w:cs="仿宋"/>
                <w:color w:val="auto"/>
                <w:szCs w:val="21"/>
                <w:highlight w:val="none"/>
              </w:rPr>
              <w:t>15.分离度@1kHz：≥80dB；</w:t>
            </w:r>
          </w:p>
          <w:p>
            <w:pPr>
              <w:rPr>
                <w:rFonts w:ascii="仿宋" w:hAnsi="仿宋" w:eastAsia="仿宋" w:cs="仿宋"/>
                <w:color w:val="auto"/>
                <w:szCs w:val="21"/>
                <w:highlight w:val="none"/>
              </w:rPr>
            </w:pPr>
            <w:r>
              <w:rPr>
                <w:rFonts w:hint="eastAsia" w:ascii="仿宋" w:hAnsi="仿宋" w:eastAsia="仿宋" w:cs="仿宋"/>
                <w:color w:val="auto"/>
                <w:szCs w:val="21"/>
                <w:highlight w:val="none"/>
              </w:rPr>
              <w:t>16.互调失真：-0.0035；</w:t>
            </w:r>
          </w:p>
          <w:p>
            <w:pPr>
              <w:rPr>
                <w:rFonts w:ascii="仿宋" w:hAnsi="仿宋" w:eastAsia="仿宋" w:cs="仿宋"/>
                <w:color w:val="auto"/>
                <w:szCs w:val="21"/>
                <w:highlight w:val="none"/>
              </w:rPr>
            </w:pPr>
            <w:r>
              <w:rPr>
                <w:rFonts w:hint="eastAsia" w:ascii="仿宋" w:hAnsi="仿宋" w:eastAsia="仿宋" w:cs="仿宋"/>
                <w:color w:val="auto"/>
                <w:szCs w:val="21"/>
                <w:highlight w:val="none"/>
              </w:rPr>
              <w:t>17.转换速率：＞10V/μs；</w:t>
            </w:r>
          </w:p>
          <w:p>
            <w:pPr>
              <w:rPr>
                <w:rFonts w:ascii="仿宋" w:hAnsi="仿宋" w:eastAsia="仿宋" w:cs="仿宋"/>
                <w:color w:val="auto"/>
                <w:szCs w:val="21"/>
                <w:highlight w:val="none"/>
              </w:rPr>
            </w:pPr>
            <w:r>
              <w:rPr>
                <w:rFonts w:hint="eastAsia" w:ascii="仿宋" w:hAnsi="仿宋" w:eastAsia="仿宋" w:cs="仿宋"/>
                <w:color w:val="auto"/>
                <w:szCs w:val="21"/>
                <w:highlight w:val="none"/>
              </w:rPr>
              <w:t>18.串扰：-75dB@1kHz，-59dB@20kHz；</w:t>
            </w:r>
          </w:p>
          <w:p>
            <w:pPr>
              <w:rPr>
                <w:rFonts w:ascii="仿宋" w:hAnsi="仿宋" w:eastAsia="仿宋" w:cs="仿宋"/>
                <w:color w:val="auto"/>
                <w:szCs w:val="21"/>
                <w:highlight w:val="none"/>
              </w:rPr>
            </w:pPr>
            <w:r>
              <w:rPr>
                <w:rFonts w:hint="eastAsia" w:ascii="仿宋" w:hAnsi="仿宋" w:eastAsia="仿宋" w:cs="仿宋"/>
                <w:color w:val="auto"/>
                <w:szCs w:val="21"/>
                <w:highlight w:val="none"/>
              </w:rPr>
              <w:t>19.高功率环行变压器；</w:t>
            </w:r>
          </w:p>
          <w:p>
            <w:pPr>
              <w:rPr>
                <w:rFonts w:ascii="仿宋" w:hAnsi="仿宋" w:eastAsia="仿宋" w:cs="仿宋"/>
                <w:color w:val="auto"/>
                <w:szCs w:val="21"/>
                <w:highlight w:val="none"/>
              </w:rPr>
            </w:pPr>
            <w:r>
              <w:rPr>
                <w:rFonts w:hint="eastAsia" w:ascii="仿宋" w:hAnsi="仿宋" w:eastAsia="仿宋" w:cs="仿宋"/>
                <w:color w:val="auto"/>
                <w:szCs w:val="21"/>
                <w:highlight w:val="none"/>
              </w:rPr>
              <w:t>20.智能保护系统：防止短路、空载、开/关机噪音、无线电干扰保护电路；</w:t>
            </w:r>
          </w:p>
          <w:p>
            <w:pPr>
              <w:rPr>
                <w:rFonts w:ascii="仿宋" w:hAnsi="仿宋" w:eastAsia="仿宋" w:cs="仿宋"/>
                <w:color w:val="auto"/>
                <w:szCs w:val="21"/>
                <w:highlight w:val="none"/>
              </w:rPr>
            </w:pPr>
            <w:r>
              <w:rPr>
                <w:rFonts w:hint="eastAsia" w:ascii="仿宋" w:hAnsi="仿宋" w:eastAsia="仿宋" w:cs="仿宋"/>
                <w:color w:val="auto"/>
                <w:szCs w:val="21"/>
                <w:highlight w:val="none"/>
              </w:rPr>
              <w:t>21.保护方式：直流/过热/消波/过载/短路保护；</w:t>
            </w:r>
          </w:p>
          <w:p>
            <w:pPr>
              <w:rPr>
                <w:rFonts w:ascii="仿宋" w:hAnsi="仿宋" w:eastAsia="仿宋" w:cs="仿宋"/>
                <w:color w:val="auto"/>
                <w:szCs w:val="21"/>
                <w:highlight w:val="none"/>
              </w:rPr>
            </w:pPr>
            <w:r>
              <w:rPr>
                <w:rFonts w:hint="eastAsia" w:ascii="仿宋" w:hAnsi="仿宋" w:eastAsia="仿宋" w:cs="仿宋"/>
                <w:color w:val="auto"/>
                <w:szCs w:val="21"/>
                <w:highlight w:val="none"/>
              </w:rPr>
              <w:t>22.指示灯：电源、保护、失真，开启－蓝灯/保护－绿灯/压缩－黄灯/峰值－红灯/并联－黄灯；</w:t>
            </w:r>
          </w:p>
          <w:p>
            <w:pPr>
              <w:rPr>
                <w:rFonts w:ascii="仿宋" w:hAnsi="仿宋" w:eastAsia="仿宋" w:cs="仿宋"/>
                <w:color w:val="auto"/>
                <w:szCs w:val="21"/>
                <w:highlight w:val="none"/>
              </w:rPr>
            </w:pPr>
            <w:r>
              <w:rPr>
                <w:rFonts w:hint="eastAsia" w:ascii="仿宋" w:hAnsi="仿宋" w:eastAsia="仿宋" w:cs="仿宋"/>
                <w:color w:val="auto"/>
                <w:szCs w:val="21"/>
                <w:highlight w:val="none"/>
              </w:rPr>
              <w:t>23.冷却方式：变速散热风扇，内部空气强排散热、温度保护。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26</w:t>
            </w:r>
          </w:p>
        </w:tc>
        <w:tc>
          <w:tcPr>
            <w:tcW w:w="247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全频吸顶扬声器</w:t>
            </w:r>
          </w:p>
        </w:tc>
        <w:tc>
          <w:tcPr>
            <w:tcW w:w="684"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11</w:t>
            </w:r>
          </w:p>
        </w:tc>
        <w:tc>
          <w:tcPr>
            <w:tcW w:w="71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个</w:t>
            </w:r>
          </w:p>
        </w:tc>
        <w:tc>
          <w:tcPr>
            <w:tcW w:w="5080" w:type="dxa"/>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1.品牌参照或相当于：金立翔、惠威、FFR；</w:t>
            </w:r>
          </w:p>
          <w:p>
            <w:pPr>
              <w:rPr>
                <w:rFonts w:ascii="仿宋" w:hAnsi="仿宋" w:eastAsia="仿宋" w:cs="仿宋"/>
                <w:color w:val="auto"/>
                <w:szCs w:val="21"/>
                <w:highlight w:val="none"/>
              </w:rPr>
            </w:pPr>
            <w:r>
              <w:rPr>
                <w:rFonts w:hint="eastAsia" w:ascii="仿宋" w:hAnsi="仿宋" w:eastAsia="仿宋" w:cs="仿宋"/>
                <w:color w:val="auto"/>
                <w:szCs w:val="21"/>
                <w:highlight w:val="none"/>
              </w:rPr>
              <w:t>2.频率响应：70Hz~20KHz（±3dB）；</w:t>
            </w:r>
          </w:p>
          <w:p>
            <w:pPr>
              <w:rPr>
                <w:rFonts w:ascii="仿宋" w:hAnsi="仿宋" w:eastAsia="仿宋" w:cs="仿宋"/>
                <w:color w:val="auto"/>
                <w:szCs w:val="21"/>
                <w:highlight w:val="none"/>
              </w:rPr>
            </w:pPr>
            <w:r>
              <w:rPr>
                <w:rFonts w:hint="eastAsia" w:ascii="仿宋" w:hAnsi="仿宋" w:eastAsia="仿宋" w:cs="仿宋"/>
                <w:color w:val="auto"/>
                <w:szCs w:val="21"/>
                <w:highlight w:val="none"/>
              </w:rPr>
              <w:t>3.单元数量</w:t>
            </w:r>
          </w:p>
          <w:p>
            <w:pPr>
              <w:rPr>
                <w:rFonts w:ascii="仿宋" w:hAnsi="仿宋" w:eastAsia="仿宋" w:cs="仿宋"/>
                <w:color w:val="auto"/>
                <w:szCs w:val="21"/>
                <w:highlight w:val="none"/>
              </w:rPr>
            </w:pPr>
            <w:r>
              <w:rPr>
                <w:rFonts w:hint="eastAsia" w:ascii="仿宋" w:hAnsi="仿宋" w:eastAsia="仿宋" w:cs="仿宋"/>
                <w:color w:val="auto"/>
                <w:szCs w:val="21"/>
                <w:highlight w:val="none"/>
              </w:rPr>
              <w:t>3.1 LF：1*8"（1"voice coil）；</w:t>
            </w:r>
          </w:p>
          <w:p>
            <w:pPr>
              <w:rPr>
                <w:rFonts w:ascii="仿宋" w:hAnsi="仿宋" w:eastAsia="仿宋" w:cs="仿宋"/>
                <w:color w:val="auto"/>
                <w:szCs w:val="21"/>
                <w:highlight w:val="none"/>
              </w:rPr>
            </w:pPr>
            <w:r>
              <w:rPr>
                <w:rFonts w:hint="eastAsia" w:ascii="仿宋" w:hAnsi="仿宋" w:eastAsia="仿宋" w:cs="仿宋"/>
                <w:color w:val="auto"/>
                <w:szCs w:val="21"/>
                <w:highlight w:val="none"/>
              </w:rPr>
              <w:t>3.2 HF：1*1"（1"钛磁voice coil）。</w:t>
            </w:r>
          </w:p>
          <w:p>
            <w:pPr>
              <w:rPr>
                <w:rFonts w:ascii="仿宋" w:hAnsi="仿宋" w:eastAsia="仿宋" w:cs="仿宋"/>
                <w:color w:val="auto"/>
                <w:szCs w:val="21"/>
                <w:highlight w:val="none"/>
              </w:rPr>
            </w:pPr>
            <w:r>
              <w:rPr>
                <w:rFonts w:hint="eastAsia" w:ascii="仿宋" w:hAnsi="仿宋" w:eastAsia="仿宋" w:cs="仿宋"/>
                <w:color w:val="auto"/>
                <w:szCs w:val="21"/>
                <w:highlight w:val="none"/>
              </w:rPr>
              <w:t>4.标称阻抗：8Ω；</w:t>
            </w:r>
          </w:p>
          <w:p>
            <w:pPr>
              <w:rPr>
                <w:rFonts w:ascii="仿宋" w:hAnsi="仿宋" w:eastAsia="仿宋" w:cs="仿宋"/>
                <w:color w:val="auto"/>
                <w:szCs w:val="21"/>
                <w:highlight w:val="none"/>
              </w:rPr>
            </w:pPr>
            <w:r>
              <w:rPr>
                <w:rFonts w:hint="eastAsia" w:ascii="仿宋" w:hAnsi="仿宋" w:eastAsia="仿宋" w:cs="仿宋"/>
                <w:color w:val="auto"/>
                <w:szCs w:val="21"/>
                <w:highlight w:val="none"/>
              </w:rPr>
              <w:t>5.承受功率：100W；</w:t>
            </w:r>
          </w:p>
          <w:p>
            <w:pPr>
              <w:rPr>
                <w:rFonts w:ascii="仿宋" w:hAnsi="仿宋" w:eastAsia="仿宋" w:cs="仿宋"/>
                <w:color w:val="auto"/>
                <w:szCs w:val="21"/>
                <w:highlight w:val="none"/>
              </w:rPr>
            </w:pPr>
            <w:r>
              <w:rPr>
                <w:rFonts w:hint="eastAsia" w:ascii="仿宋" w:hAnsi="仿宋" w:eastAsia="仿宋" w:cs="仿宋"/>
                <w:color w:val="auto"/>
                <w:szCs w:val="21"/>
                <w:highlight w:val="none"/>
              </w:rPr>
              <w:t>6.推荐功放：200W into 8Ω；</w:t>
            </w:r>
          </w:p>
          <w:p>
            <w:pPr>
              <w:rPr>
                <w:rFonts w:ascii="仿宋" w:hAnsi="仿宋" w:eastAsia="仿宋" w:cs="仿宋"/>
                <w:color w:val="auto"/>
                <w:szCs w:val="21"/>
                <w:highlight w:val="none"/>
              </w:rPr>
            </w:pPr>
            <w:r>
              <w:rPr>
                <w:rFonts w:hint="eastAsia" w:ascii="仿宋" w:hAnsi="仿宋" w:eastAsia="仿宋" w:cs="仿宋"/>
                <w:color w:val="auto"/>
                <w:szCs w:val="21"/>
                <w:highlight w:val="none"/>
              </w:rPr>
              <w:t>7.指向性（H*V）：90°*90°；</w:t>
            </w:r>
          </w:p>
          <w:p>
            <w:pPr>
              <w:rPr>
                <w:rFonts w:ascii="仿宋" w:hAnsi="仿宋" w:eastAsia="仿宋" w:cs="仿宋"/>
                <w:color w:val="auto"/>
                <w:szCs w:val="21"/>
                <w:highlight w:val="none"/>
              </w:rPr>
            </w:pPr>
            <w:r>
              <w:rPr>
                <w:rFonts w:hint="eastAsia" w:ascii="仿宋" w:hAnsi="仿宋" w:eastAsia="仿宋" w:cs="仿宋"/>
                <w:color w:val="auto"/>
                <w:szCs w:val="21"/>
                <w:highlight w:val="none"/>
              </w:rPr>
              <w:t>8.最大声压级：116dB/1m；</w:t>
            </w:r>
          </w:p>
          <w:p>
            <w:pPr>
              <w:rPr>
                <w:rFonts w:ascii="仿宋" w:hAnsi="仿宋" w:eastAsia="仿宋" w:cs="仿宋"/>
                <w:color w:val="auto"/>
                <w:szCs w:val="21"/>
                <w:highlight w:val="none"/>
              </w:rPr>
            </w:pPr>
            <w:r>
              <w:rPr>
                <w:rFonts w:hint="eastAsia" w:ascii="仿宋" w:hAnsi="仿宋" w:eastAsia="仿宋" w:cs="仿宋"/>
                <w:color w:val="auto"/>
                <w:szCs w:val="21"/>
                <w:highlight w:val="none"/>
              </w:rPr>
              <w:t>9.灵敏度：96dB。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27</w:t>
            </w:r>
          </w:p>
        </w:tc>
        <w:tc>
          <w:tcPr>
            <w:tcW w:w="247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多媒体功放</w:t>
            </w:r>
          </w:p>
        </w:tc>
        <w:tc>
          <w:tcPr>
            <w:tcW w:w="684"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5</w:t>
            </w:r>
          </w:p>
        </w:tc>
        <w:tc>
          <w:tcPr>
            <w:tcW w:w="71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个</w:t>
            </w:r>
          </w:p>
        </w:tc>
        <w:tc>
          <w:tcPr>
            <w:tcW w:w="5080" w:type="dxa"/>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1.品牌参照或相当于：金立翔、惠威、FFR；</w:t>
            </w:r>
          </w:p>
          <w:p>
            <w:pPr>
              <w:rPr>
                <w:rFonts w:ascii="仿宋" w:hAnsi="仿宋" w:eastAsia="仿宋" w:cs="仿宋"/>
                <w:color w:val="auto"/>
                <w:szCs w:val="21"/>
                <w:highlight w:val="none"/>
              </w:rPr>
            </w:pPr>
            <w:r>
              <w:rPr>
                <w:rFonts w:hint="eastAsia" w:ascii="仿宋" w:hAnsi="仿宋" w:eastAsia="仿宋" w:cs="仿宋"/>
                <w:color w:val="auto"/>
                <w:szCs w:val="21"/>
                <w:highlight w:val="none"/>
              </w:rPr>
              <w:t>2.4路输入可供选择；</w:t>
            </w:r>
          </w:p>
          <w:p>
            <w:pPr>
              <w:rPr>
                <w:rFonts w:ascii="仿宋" w:hAnsi="仿宋" w:eastAsia="仿宋" w:cs="仿宋"/>
                <w:color w:val="auto"/>
                <w:szCs w:val="21"/>
                <w:highlight w:val="none"/>
              </w:rPr>
            </w:pPr>
            <w:r>
              <w:rPr>
                <w:rFonts w:hint="eastAsia" w:ascii="仿宋" w:hAnsi="仿宋" w:eastAsia="仿宋" w:cs="仿宋"/>
                <w:color w:val="auto"/>
                <w:szCs w:val="21"/>
                <w:highlight w:val="none"/>
              </w:rPr>
              <w:t>3.具有短路保护、直流保护功能，回路式风冷设计；</w:t>
            </w:r>
          </w:p>
          <w:p>
            <w:pPr>
              <w:rPr>
                <w:rFonts w:ascii="仿宋" w:hAnsi="仿宋" w:eastAsia="仿宋" w:cs="仿宋"/>
                <w:color w:val="auto"/>
                <w:szCs w:val="21"/>
                <w:highlight w:val="none"/>
              </w:rPr>
            </w:pPr>
            <w:r>
              <w:rPr>
                <w:rFonts w:hint="eastAsia" w:ascii="仿宋" w:hAnsi="仿宋" w:eastAsia="仿宋" w:cs="仿宋"/>
                <w:color w:val="auto"/>
                <w:szCs w:val="21"/>
                <w:highlight w:val="none"/>
              </w:rPr>
              <w:t>4.精确的放大能力；</w:t>
            </w:r>
          </w:p>
          <w:p>
            <w:pPr>
              <w:rPr>
                <w:rFonts w:ascii="仿宋" w:hAnsi="仿宋" w:eastAsia="仿宋" w:cs="仿宋"/>
                <w:color w:val="auto"/>
                <w:szCs w:val="21"/>
                <w:highlight w:val="none"/>
              </w:rPr>
            </w:pPr>
            <w:r>
              <w:rPr>
                <w:rFonts w:hint="eastAsia" w:ascii="仿宋" w:hAnsi="仿宋" w:eastAsia="仿宋" w:cs="仿宋"/>
                <w:color w:val="auto"/>
                <w:szCs w:val="21"/>
                <w:highlight w:val="none"/>
              </w:rPr>
              <w:t>5.多路音频输入，≥4路线路输入、≥5路话筒输入，可调节音量大小，配有总音量控制；</w:t>
            </w:r>
          </w:p>
          <w:p>
            <w:pPr>
              <w:rPr>
                <w:rFonts w:ascii="仿宋" w:hAnsi="仿宋" w:eastAsia="仿宋" w:cs="仿宋"/>
                <w:color w:val="auto"/>
                <w:szCs w:val="21"/>
                <w:highlight w:val="none"/>
              </w:rPr>
            </w:pPr>
            <w:r>
              <w:rPr>
                <w:rFonts w:hint="eastAsia" w:ascii="仿宋" w:hAnsi="仿宋" w:eastAsia="仿宋" w:cs="仿宋"/>
                <w:color w:val="auto"/>
                <w:szCs w:val="21"/>
                <w:highlight w:val="none"/>
              </w:rPr>
              <w:t>6.全封闭高密度铜质散热器，智能高速风扇系统；</w:t>
            </w:r>
          </w:p>
          <w:p>
            <w:pPr>
              <w:rPr>
                <w:rFonts w:ascii="仿宋" w:hAnsi="仿宋" w:eastAsia="仿宋" w:cs="仿宋"/>
                <w:color w:val="auto"/>
                <w:szCs w:val="21"/>
                <w:highlight w:val="none"/>
              </w:rPr>
            </w:pPr>
            <w:r>
              <w:rPr>
                <w:rFonts w:hint="eastAsia" w:ascii="仿宋" w:hAnsi="仿宋" w:eastAsia="仿宋" w:cs="仿宋"/>
                <w:color w:val="auto"/>
                <w:szCs w:val="21"/>
                <w:highlight w:val="none"/>
              </w:rPr>
              <w:t>7.可实现话筒效果、混音、延时、高、中、低音调节；</w:t>
            </w:r>
          </w:p>
          <w:p>
            <w:pPr>
              <w:rPr>
                <w:rFonts w:ascii="仿宋" w:hAnsi="仿宋" w:eastAsia="仿宋" w:cs="仿宋"/>
                <w:color w:val="auto"/>
                <w:szCs w:val="21"/>
                <w:highlight w:val="none"/>
              </w:rPr>
            </w:pPr>
            <w:r>
              <w:rPr>
                <w:rFonts w:hint="eastAsia" w:ascii="仿宋" w:hAnsi="仿宋" w:eastAsia="仿宋" w:cs="仿宋"/>
                <w:color w:val="auto"/>
                <w:szCs w:val="21"/>
                <w:highlight w:val="none"/>
              </w:rPr>
              <w:t>8.具有MP3播放功能，可接入USB/SD卡进行音乐播放；</w:t>
            </w:r>
          </w:p>
          <w:p>
            <w:pPr>
              <w:rPr>
                <w:rFonts w:ascii="仿宋" w:hAnsi="仿宋" w:eastAsia="仿宋" w:cs="仿宋"/>
                <w:color w:val="auto"/>
                <w:szCs w:val="21"/>
                <w:highlight w:val="none"/>
              </w:rPr>
            </w:pPr>
            <w:r>
              <w:rPr>
                <w:rFonts w:hint="eastAsia" w:ascii="仿宋" w:hAnsi="仿宋" w:eastAsia="仿宋" w:cs="仿宋"/>
                <w:color w:val="auto"/>
                <w:szCs w:val="21"/>
                <w:highlight w:val="none"/>
              </w:rPr>
              <w:t>9.输出功率：180W*2 8Ω，320W*2 4Ω；</w:t>
            </w:r>
          </w:p>
          <w:p>
            <w:pPr>
              <w:rPr>
                <w:rFonts w:ascii="仿宋" w:hAnsi="仿宋" w:eastAsia="仿宋" w:cs="仿宋"/>
                <w:color w:val="auto"/>
                <w:szCs w:val="21"/>
                <w:highlight w:val="none"/>
              </w:rPr>
            </w:pPr>
            <w:r>
              <w:rPr>
                <w:rFonts w:hint="eastAsia" w:ascii="仿宋" w:hAnsi="仿宋" w:eastAsia="仿宋" w:cs="仿宋"/>
                <w:color w:val="auto"/>
                <w:szCs w:val="21"/>
                <w:highlight w:val="none"/>
              </w:rPr>
              <w:t>10.频率范围：20Hz~20kHz（+1~1dB）；</w:t>
            </w:r>
          </w:p>
          <w:p>
            <w:pPr>
              <w:rPr>
                <w:rFonts w:ascii="仿宋" w:hAnsi="仿宋" w:eastAsia="仿宋" w:cs="仿宋"/>
                <w:color w:val="auto"/>
                <w:szCs w:val="21"/>
                <w:highlight w:val="none"/>
              </w:rPr>
            </w:pPr>
            <w:r>
              <w:rPr>
                <w:rFonts w:hint="eastAsia" w:ascii="仿宋" w:hAnsi="仿宋" w:eastAsia="仿宋" w:cs="仿宋"/>
                <w:color w:val="auto"/>
                <w:szCs w:val="21"/>
                <w:highlight w:val="none"/>
              </w:rPr>
              <w:t>11.信噪比：80dB；</w:t>
            </w:r>
          </w:p>
          <w:p>
            <w:pPr>
              <w:rPr>
                <w:rFonts w:ascii="仿宋" w:hAnsi="仿宋" w:eastAsia="仿宋" w:cs="仿宋"/>
                <w:color w:val="auto"/>
                <w:szCs w:val="21"/>
                <w:highlight w:val="none"/>
              </w:rPr>
            </w:pPr>
            <w:r>
              <w:rPr>
                <w:rFonts w:hint="eastAsia" w:ascii="仿宋" w:hAnsi="仿宋" w:eastAsia="仿宋" w:cs="仿宋"/>
                <w:color w:val="auto"/>
                <w:szCs w:val="21"/>
                <w:highlight w:val="none"/>
              </w:rPr>
              <w:t>12.输入灵敏度：0.24V；</w:t>
            </w:r>
          </w:p>
          <w:p>
            <w:pPr>
              <w:rPr>
                <w:rFonts w:ascii="仿宋" w:hAnsi="仿宋" w:eastAsia="仿宋" w:cs="仿宋"/>
                <w:color w:val="auto"/>
                <w:szCs w:val="21"/>
                <w:highlight w:val="none"/>
              </w:rPr>
            </w:pPr>
            <w:r>
              <w:rPr>
                <w:rFonts w:hint="eastAsia" w:ascii="仿宋" w:hAnsi="仿宋" w:eastAsia="仿宋" w:cs="仿宋"/>
                <w:color w:val="auto"/>
                <w:szCs w:val="21"/>
                <w:highlight w:val="none"/>
              </w:rPr>
              <w:t>13.总谐波失真：≤0.05%；</w:t>
            </w:r>
          </w:p>
          <w:p>
            <w:pPr>
              <w:rPr>
                <w:rFonts w:ascii="仿宋" w:hAnsi="仿宋" w:eastAsia="仿宋" w:cs="仿宋"/>
                <w:color w:val="auto"/>
                <w:szCs w:val="21"/>
                <w:highlight w:val="none"/>
              </w:rPr>
            </w:pPr>
            <w:r>
              <w:rPr>
                <w:rFonts w:hint="eastAsia" w:ascii="仿宋" w:hAnsi="仿宋" w:eastAsia="仿宋" w:cs="仿宋"/>
                <w:color w:val="auto"/>
                <w:szCs w:val="21"/>
                <w:highlight w:val="none"/>
              </w:rPr>
              <w:t>14.输入阻抗：47kΩ；</w:t>
            </w:r>
          </w:p>
          <w:p>
            <w:pPr>
              <w:rPr>
                <w:rFonts w:ascii="仿宋" w:hAnsi="仿宋" w:eastAsia="仿宋" w:cs="仿宋"/>
                <w:color w:val="auto"/>
                <w:szCs w:val="21"/>
                <w:highlight w:val="none"/>
              </w:rPr>
            </w:pPr>
            <w:r>
              <w:rPr>
                <w:rFonts w:hint="eastAsia" w:ascii="仿宋" w:hAnsi="仿宋" w:eastAsia="仿宋" w:cs="仿宋"/>
                <w:color w:val="auto"/>
                <w:szCs w:val="21"/>
                <w:highlight w:val="none"/>
              </w:rPr>
              <w:t>15.消耗功率：640W。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28</w:t>
            </w:r>
          </w:p>
        </w:tc>
        <w:tc>
          <w:tcPr>
            <w:tcW w:w="247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数字音频信号处理器</w:t>
            </w:r>
          </w:p>
        </w:tc>
        <w:tc>
          <w:tcPr>
            <w:tcW w:w="684"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1</w:t>
            </w:r>
          </w:p>
        </w:tc>
        <w:tc>
          <w:tcPr>
            <w:tcW w:w="71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个</w:t>
            </w:r>
          </w:p>
        </w:tc>
        <w:tc>
          <w:tcPr>
            <w:tcW w:w="5080" w:type="dxa"/>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1.品牌参照或相当于：S-TRACK、FFR、惠威；</w:t>
            </w:r>
          </w:p>
          <w:p>
            <w:pPr>
              <w:rPr>
                <w:rFonts w:ascii="仿宋" w:hAnsi="仿宋" w:eastAsia="仿宋" w:cs="仿宋"/>
                <w:color w:val="auto"/>
                <w:szCs w:val="21"/>
                <w:highlight w:val="none"/>
              </w:rPr>
            </w:pPr>
            <w:r>
              <w:rPr>
                <w:rFonts w:hint="eastAsia" w:ascii="仿宋" w:hAnsi="仿宋" w:eastAsia="仿宋" w:cs="仿宋"/>
                <w:color w:val="auto"/>
                <w:szCs w:val="21"/>
                <w:highlight w:val="none"/>
              </w:rPr>
              <w:t>2.全面的矩阵混音功能，24bit/48kHz取样频率，高性能A/D、D/A转换器和32-bit浮点DSP处理器；</w:t>
            </w:r>
          </w:p>
          <w:p>
            <w:pPr>
              <w:rPr>
                <w:rFonts w:ascii="仿宋" w:hAnsi="仿宋" w:eastAsia="仿宋" w:cs="仿宋"/>
                <w:color w:val="auto"/>
                <w:szCs w:val="21"/>
                <w:highlight w:val="none"/>
              </w:rPr>
            </w:pPr>
            <w:r>
              <w:rPr>
                <w:rFonts w:hint="eastAsia" w:ascii="仿宋" w:hAnsi="仿宋" w:eastAsia="仿宋" w:cs="仿宋"/>
                <w:color w:val="auto"/>
                <w:szCs w:val="21"/>
                <w:highlight w:val="none"/>
              </w:rPr>
              <w:t>3.DSP音频处理，内置自动混音台，具有混音和自动混音及混音分量控制功能，具备反馈消除模块；</w:t>
            </w:r>
          </w:p>
          <w:p>
            <w:pPr>
              <w:rPr>
                <w:rFonts w:ascii="仿宋" w:hAnsi="仿宋" w:eastAsia="仿宋" w:cs="仿宋"/>
                <w:color w:val="auto"/>
                <w:szCs w:val="21"/>
                <w:highlight w:val="none"/>
              </w:rPr>
            </w:pPr>
            <w:r>
              <w:rPr>
                <w:rFonts w:hint="eastAsia" w:ascii="仿宋" w:hAnsi="仿宋" w:eastAsia="仿宋" w:cs="仿宋"/>
                <w:color w:val="auto"/>
                <w:szCs w:val="21"/>
                <w:highlight w:val="none"/>
              </w:rPr>
              <w:t>4.输入每通道：前级放大、信号发生器、扩展器、压缩器、5段参量均衡；</w:t>
            </w:r>
          </w:p>
          <w:p>
            <w:pPr>
              <w:rPr>
                <w:rFonts w:ascii="仿宋" w:hAnsi="仿宋" w:eastAsia="仿宋" w:cs="仿宋"/>
                <w:color w:val="auto"/>
                <w:szCs w:val="21"/>
                <w:highlight w:val="none"/>
              </w:rPr>
            </w:pPr>
            <w:r>
              <w:rPr>
                <w:rFonts w:hint="eastAsia" w:ascii="仿宋" w:hAnsi="仿宋" w:eastAsia="仿宋" w:cs="仿宋"/>
                <w:color w:val="auto"/>
                <w:szCs w:val="21"/>
                <w:highlight w:val="none"/>
              </w:rPr>
              <w:t>5.输出每通道：31段图示均衡、延时器、分频器、限幅器；</w:t>
            </w:r>
          </w:p>
          <w:p>
            <w:pPr>
              <w:rPr>
                <w:rFonts w:ascii="仿宋" w:hAnsi="仿宋" w:eastAsia="仿宋" w:cs="仿宋"/>
                <w:color w:val="auto"/>
                <w:szCs w:val="21"/>
                <w:highlight w:val="none"/>
              </w:rPr>
            </w:pPr>
            <w:r>
              <w:rPr>
                <w:rFonts w:hint="eastAsia" w:ascii="仿宋" w:hAnsi="仿宋" w:eastAsia="仿宋" w:cs="仿宋"/>
                <w:color w:val="auto"/>
                <w:szCs w:val="21"/>
                <w:highlight w:val="none"/>
              </w:rPr>
              <w:t>6.每通道可独立设置中文名称；</w:t>
            </w:r>
          </w:p>
          <w:p>
            <w:pPr>
              <w:rPr>
                <w:rFonts w:ascii="仿宋" w:hAnsi="仿宋" w:eastAsia="仿宋" w:cs="仿宋"/>
                <w:color w:val="auto"/>
                <w:szCs w:val="21"/>
                <w:highlight w:val="none"/>
              </w:rPr>
            </w:pPr>
            <w:r>
              <w:rPr>
                <w:rFonts w:hint="eastAsia" w:ascii="仿宋" w:hAnsi="仿宋" w:eastAsia="仿宋" w:cs="仿宋"/>
                <w:color w:val="auto"/>
                <w:szCs w:val="21"/>
                <w:highlight w:val="none"/>
              </w:rPr>
              <w:t>7.测试信号发生器，正弦波、粉噪、白噪、频率和电平可选；</w:t>
            </w:r>
          </w:p>
          <w:p>
            <w:pPr>
              <w:rPr>
                <w:rFonts w:ascii="仿宋" w:hAnsi="仿宋" w:eastAsia="仿宋" w:cs="仿宋"/>
                <w:color w:val="auto"/>
                <w:szCs w:val="21"/>
                <w:highlight w:val="none"/>
              </w:rPr>
            </w:pPr>
            <w:r>
              <w:rPr>
                <w:rFonts w:hint="eastAsia" w:ascii="仿宋" w:hAnsi="仿宋" w:eastAsia="仿宋" w:cs="仿宋"/>
                <w:color w:val="auto"/>
                <w:szCs w:val="21"/>
                <w:highlight w:val="none"/>
              </w:rPr>
              <w:t>8.输入相位开关、静音开关、幻象供电开关；</w:t>
            </w:r>
          </w:p>
          <w:p>
            <w:pPr>
              <w:rPr>
                <w:rFonts w:ascii="仿宋" w:hAnsi="仿宋" w:eastAsia="仿宋" w:cs="仿宋"/>
                <w:color w:val="auto"/>
                <w:szCs w:val="21"/>
                <w:highlight w:val="none"/>
              </w:rPr>
            </w:pPr>
            <w:r>
              <w:rPr>
                <w:rFonts w:hint="eastAsia" w:ascii="仿宋" w:hAnsi="仿宋" w:eastAsia="仿宋" w:cs="仿宋"/>
                <w:color w:val="auto"/>
                <w:szCs w:val="21"/>
                <w:highlight w:val="none"/>
              </w:rPr>
              <w:t>9.每通道输出静音开关、相位开关；</w:t>
            </w:r>
          </w:p>
          <w:p>
            <w:pPr>
              <w:rPr>
                <w:rFonts w:ascii="仿宋" w:hAnsi="仿宋" w:eastAsia="仿宋" w:cs="仿宋"/>
                <w:color w:val="auto"/>
                <w:szCs w:val="21"/>
                <w:highlight w:val="none"/>
              </w:rPr>
            </w:pPr>
            <w:r>
              <w:rPr>
                <w:rFonts w:hint="eastAsia" w:ascii="仿宋" w:hAnsi="仿宋" w:eastAsia="仿宋" w:cs="仿宋"/>
                <w:color w:val="auto"/>
                <w:szCs w:val="21"/>
                <w:highlight w:val="none"/>
              </w:rPr>
              <w:t>10.中、繁、英三种语言灵活切换；</w:t>
            </w:r>
          </w:p>
          <w:p>
            <w:pPr>
              <w:rPr>
                <w:rFonts w:ascii="仿宋" w:hAnsi="仿宋" w:eastAsia="仿宋" w:cs="仿宋"/>
                <w:color w:val="auto"/>
                <w:szCs w:val="21"/>
                <w:highlight w:val="none"/>
              </w:rPr>
            </w:pPr>
            <w:r>
              <w:rPr>
                <w:rFonts w:hint="eastAsia" w:ascii="仿宋" w:hAnsi="仿宋" w:eastAsia="仿宋" w:cs="仿宋"/>
                <w:color w:val="auto"/>
                <w:szCs w:val="21"/>
                <w:highlight w:val="none"/>
              </w:rPr>
              <w:t>11.一键显示所有功能模块；</w:t>
            </w:r>
          </w:p>
          <w:p>
            <w:pPr>
              <w:rPr>
                <w:rFonts w:ascii="仿宋" w:hAnsi="仿宋" w:eastAsia="仿宋" w:cs="仿宋"/>
                <w:color w:val="auto"/>
                <w:szCs w:val="21"/>
                <w:highlight w:val="none"/>
              </w:rPr>
            </w:pPr>
            <w:r>
              <w:rPr>
                <w:rFonts w:hint="eastAsia" w:ascii="仿宋" w:hAnsi="仿宋" w:eastAsia="仿宋" w:cs="仿宋"/>
                <w:color w:val="auto"/>
                <w:szCs w:val="21"/>
                <w:highlight w:val="none"/>
              </w:rPr>
              <w:t>12.随机存储中文帮助文档及软件；</w:t>
            </w:r>
          </w:p>
          <w:p>
            <w:pPr>
              <w:rPr>
                <w:rFonts w:ascii="仿宋" w:hAnsi="仿宋" w:eastAsia="仿宋" w:cs="仿宋"/>
                <w:color w:val="auto"/>
                <w:szCs w:val="21"/>
                <w:highlight w:val="none"/>
              </w:rPr>
            </w:pPr>
            <w:r>
              <w:rPr>
                <w:rFonts w:hint="eastAsia" w:ascii="仿宋" w:hAnsi="仿宋" w:eastAsia="仿宋" w:cs="仿宋"/>
                <w:color w:val="auto"/>
                <w:szCs w:val="21"/>
                <w:highlight w:val="none"/>
              </w:rPr>
              <w:t>13.中控代码随机生成，具有断电自动保护记忆、一键复位功能；</w:t>
            </w:r>
          </w:p>
          <w:p>
            <w:pPr>
              <w:rPr>
                <w:rFonts w:ascii="仿宋" w:hAnsi="仿宋" w:eastAsia="仿宋" w:cs="仿宋"/>
                <w:color w:val="auto"/>
                <w:szCs w:val="21"/>
                <w:highlight w:val="none"/>
              </w:rPr>
            </w:pPr>
            <w:r>
              <w:rPr>
                <w:rFonts w:hint="eastAsia" w:ascii="仿宋" w:hAnsi="仿宋" w:eastAsia="仿宋" w:cs="仿宋"/>
                <w:color w:val="auto"/>
                <w:szCs w:val="21"/>
                <w:highlight w:val="none"/>
              </w:rPr>
              <w:t>14.具有通道拷贝、粘贴、联控功能；</w:t>
            </w:r>
          </w:p>
          <w:p>
            <w:pPr>
              <w:rPr>
                <w:rFonts w:ascii="仿宋" w:hAnsi="仿宋" w:eastAsia="仿宋" w:cs="仿宋"/>
                <w:color w:val="auto"/>
                <w:szCs w:val="21"/>
                <w:highlight w:val="none"/>
              </w:rPr>
            </w:pPr>
            <w:r>
              <w:rPr>
                <w:rFonts w:hint="eastAsia" w:ascii="仿宋" w:hAnsi="仿宋" w:eastAsia="仿宋" w:cs="仿宋"/>
                <w:color w:val="auto"/>
                <w:szCs w:val="21"/>
                <w:highlight w:val="none"/>
              </w:rPr>
              <w:t>15.同一台主机允许10个用户管理，用户名可设置为中文；</w:t>
            </w:r>
          </w:p>
          <w:p>
            <w:pPr>
              <w:rPr>
                <w:rFonts w:ascii="仿宋" w:hAnsi="仿宋" w:eastAsia="仿宋" w:cs="仿宋"/>
                <w:color w:val="auto"/>
                <w:szCs w:val="21"/>
                <w:highlight w:val="none"/>
              </w:rPr>
            </w:pPr>
            <w:r>
              <w:rPr>
                <w:rFonts w:hint="eastAsia" w:ascii="仿宋" w:hAnsi="仿宋" w:eastAsia="仿宋" w:cs="仿宋"/>
                <w:color w:val="auto"/>
                <w:szCs w:val="21"/>
                <w:highlight w:val="none"/>
              </w:rPr>
              <w:t>16.设备名称可修改，允许中文名称；</w:t>
            </w:r>
          </w:p>
          <w:p>
            <w:pPr>
              <w:rPr>
                <w:rFonts w:ascii="仿宋" w:hAnsi="仿宋" w:eastAsia="仿宋" w:cs="仿宋"/>
                <w:color w:val="auto"/>
                <w:szCs w:val="21"/>
                <w:highlight w:val="none"/>
              </w:rPr>
            </w:pPr>
            <w:r>
              <w:rPr>
                <w:rFonts w:hint="eastAsia" w:ascii="仿宋" w:hAnsi="仿宋" w:eastAsia="仿宋" w:cs="仿宋"/>
                <w:color w:val="auto"/>
                <w:szCs w:val="21"/>
                <w:highlight w:val="none"/>
              </w:rPr>
              <w:t>17.可编辑预置模式，新建、删除、修改、一键初始化、预置模式可存储至电脑及一键恢复；</w:t>
            </w:r>
          </w:p>
          <w:p>
            <w:pPr>
              <w:rPr>
                <w:rFonts w:ascii="仿宋" w:hAnsi="仿宋" w:eastAsia="仿宋" w:cs="仿宋"/>
                <w:color w:val="auto"/>
                <w:szCs w:val="21"/>
                <w:highlight w:val="none"/>
              </w:rPr>
            </w:pPr>
            <w:r>
              <w:rPr>
                <w:rFonts w:hint="eastAsia" w:ascii="仿宋" w:hAnsi="仿宋" w:eastAsia="仿宋" w:cs="仿宋"/>
                <w:color w:val="auto"/>
                <w:szCs w:val="21"/>
                <w:highlight w:val="none"/>
              </w:rPr>
              <w:t>18.输入输出通道可独立设置颜色，一键恢复开关；</w:t>
            </w:r>
          </w:p>
          <w:p>
            <w:pPr>
              <w:rPr>
                <w:rFonts w:ascii="仿宋" w:hAnsi="仿宋" w:eastAsia="仿宋" w:cs="仿宋"/>
                <w:color w:val="auto"/>
                <w:szCs w:val="21"/>
                <w:highlight w:val="none"/>
              </w:rPr>
            </w:pPr>
            <w:r>
              <w:rPr>
                <w:rFonts w:hint="eastAsia" w:ascii="仿宋" w:hAnsi="仿宋" w:eastAsia="仿宋" w:cs="仿宋"/>
                <w:color w:val="auto"/>
                <w:szCs w:val="21"/>
                <w:highlight w:val="none"/>
              </w:rPr>
              <w:t>19.具有摄像跟踪功能，可独立对1台摄像机进行预置位调整；</w:t>
            </w:r>
          </w:p>
          <w:p>
            <w:pPr>
              <w:rPr>
                <w:rFonts w:ascii="仿宋" w:hAnsi="仿宋" w:eastAsia="仿宋" w:cs="仿宋"/>
                <w:color w:val="auto"/>
                <w:szCs w:val="21"/>
                <w:highlight w:val="none"/>
              </w:rPr>
            </w:pPr>
            <w:r>
              <w:rPr>
                <w:rFonts w:hint="eastAsia" w:ascii="仿宋" w:hAnsi="仿宋" w:eastAsia="仿宋" w:cs="仿宋"/>
                <w:color w:val="auto"/>
                <w:szCs w:val="21"/>
                <w:highlight w:val="none"/>
              </w:rPr>
              <w:t>20.方便快捷的网页控制，内置网页控制器，在Windows、Android、iOS 等平台上皆可快速操作；</w:t>
            </w:r>
          </w:p>
          <w:p>
            <w:pPr>
              <w:rPr>
                <w:rFonts w:ascii="仿宋" w:hAnsi="仿宋" w:eastAsia="仿宋" w:cs="仿宋"/>
                <w:color w:val="auto"/>
                <w:szCs w:val="21"/>
                <w:highlight w:val="none"/>
              </w:rPr>
            </w:pPr>
            <w:r>
              <w:rPr>
                <w:rFonts w:hint="eastAsia" w:ascii="仿宋" w:hAnsi="仿宋" w:eastAsia="仿宋" w:cs="仿宋"/>
                <w:color w:val="auto"/>
                <w:szCs w:val="21"/>
                <w:highlight w:val="none"/>
              </w:rPr>
              <w:t>21.Enternet多用途数据传输及控制端口，可支持实时管理单台及多台设备；</w:t>
            </w:r>
          </w:p>
          <w:p>
            <w:pPr>
              <w:rPr>
                <w:rFonts w:ascii="仿宋" w:hAnsi="仿宋" w:eastAsia="仿宋" w:cs="仿宋"/>
                <w:color w:val="auto"/>
                <w:szCs w:val="21"/>
                <w:highlight w:val="none"/>
              </w:rPr>
            </w:pPr>
            <w:r>
              <w:rPr>
                <w:rFonts w:hint="eastAsia" w:ascii="仿宋" w:hAnsi="仿宋" w:eastAsia="仿宋" w:cs="仿宋"/>
                <w:color w:val="auto"/>
                <w:szCs w:val="21"/>
                <w:highlight w:val="none"/>
              </w:rPr>
              <w:t>22.直观形象、简洁易懂的图形化软件控制界面；</w:t>
            </w:r>
          </w:p>
          <w:p>
            <w:pPr>
              <w:rPr>
                <w:rFonts w:ascii="仿宋" w:hAnsi="仿宋" w:eastAsia="仿宋" w:cs="仿宋"/>
                <w:color w:val="auto"/>
                <w:szCs w:val="21"/>
                <w:highlight w:val="none"/>
              </w:rPr>
            </w:pPr>
            <w:r>
              <w:rPr>
                <w:rFonts w:hint="eastAsia" w:ascii="仿宋" w:hAnsi="仿宋" w:eastAsia="仿宋" w:cs="仿宋"/>
                <w:color w:val="auto"/>
                <w:szCs w:val="21"/>
                <w:highlight w:val="none"/>
              </w:rPr>
              <w:t>23.无需光盘，自带安装软件，1台设备对应1个软件版本；</w:t>
            </w:r>
          </w:p>
          <w:p>
            <w:pPr>
              <w:rPr>
                <w:rFonts w:ascii="仿宋" w:hAnsi="仿宋" w:eastAsia="仿宋" w:cs="仿宋"/>
                <w:color w:val="auto"/>
                <w:szCs w:val="21"/>
                <w:highlight w:val="none"/>
              </w:rPr>
            </w:pPr>
            <w:r>
              <w:rPr>
                <w:rFonts w:hint="eastAsia" w:ascii="仿宋" w:hAnsi="仿宋" w:eastAsia="仿宋" w:cs="仿宋"/>
                <w:color w:val="auto"/>
                <w:szCs w:val="21"/>
                <w:highlight w:val="none"/>
              </w:rPr>
              <w:t>24.可扩展USB接口，可实现设备升级、USB音乐播放与录制；</w:t>
            </w:r>
          </w:p>
          <w:p>
            <w:pPr>
              <w:rPr>
                <w:rFonts w:ascii="仿宋" w:hAnsi="仿宋" w:eastAsia="仿宋" w:cs="仿宋"/>
                <w:color w:val="auto"/>
                <w:szCs w:val="21"/>
                <w:highlight w:val="none"/>
              </w:rPr>
            </w:pPr>
            <w:r>
              <w:rPr>
                <w:rFonts w:hint="eastAsia" w:ascii="仿宋" w:hAnsi="仿宋" w:eastAsia="仿宋" w:cs="仿宋"/>
                <w:color w:val="auto"/>
                <w:szCs w:val="21"/>
                <w:highlight w:val="none"/>
              </w:rPr>
              <w:t>25.配置双向RS232接口、RS485接口、标准以太网控制接口、8通道可编程GPIO控制接口（可自定义输入输出）；</w:t>
            </w:r>
          </w:p>
          <w:p>
            <w:pPr>
              <w:rPr>
                <w:rFonts w:ascii="仿宋" w:hAnsi="仿宋" w:eastAsia="仿宋" w:cs="仿宋"/>
                <w:color w:val="auto"/>
                <w:szCs w:val="21"/>
                <w:highlight w:val="none"/>
              </w:rPr>
            </w:pPr>
            <w:r>
              <w:rPr>
                <w:rFonts w:hint="eastAsia" w:ascii="仿宋" w:hAnsi="仿宋" w:eastAsia="仿宋" w:cs="仿宋"/>
                <w:color w:val="auto"/>
                <w:szCs w:val="21"/>
                <w:highlight w:val="none"/>
              </w:rPr>
              <w:t>26.支持8~100组场景预设；</w:t>
            </w:r>
          </w:p>
          <w:p>
            <w:pPr>
              <w:rPr>
                <w:rFonts w:ascii="仿宋" w:hAnsi="仿宋" w:eastAsia="仿宋" w:cs="仿宋"/>
                <w:color w:val="auto"/>
                <w:szCs w:val="21"/>
                <w:highlight w:val="none"/>
              </w:rPr>
            </w:pPr>
            <w:r>
              <w:rPr>
                <w:rFonts w:hint="eastAsia" w:ascii="仿宋" w:hAnsi="仿宋" w:eastAsia="仿宋" w:cs="仿宋"/>
                <w:color w:val="auto"/>
                <w:szCs w:val="21"/>
                <w:highlight w:val="none"/>
              </w:rPr>
              <w:t>27.直观、图形化软件控制界面，可工作在XP/Windows7、8、10等系统环境下。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29</w:t>
            </w:r>
          </w:p>
        </w:tc>
        <w:tc>
          <w:tcPr>
            <w:tcW w:w="247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电源时序器</w:t>
            </w:r>
          </w:p>
        </w:tc>
        <w:tc>
          <w:tcPr>
            <w:tcW w:w="684"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2</w:t>
            </w:r>
          </w:p>
        </w:tc>
        <w:tc>
          <w:tcPr>
            <w:tcW w:w="71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个</w:t>
            </w:r>
          </w:p>
        </w:tc>
        <w:tc>
          <w:tcPr>
            <w:tcW w:w="5080" w:type="dxa"/>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1.品牌参照或相当于：HYNAMIC、SEMANPRO、FFR；</w:t>
            </w:r>
          </w:p>
          <w:p>
            <w:pPr>
              <w:rPr>
                <w:rFonts w:ascii="仿宋" w:hAnsi="仿宋" w:eastAsia="仿宋" w:cs="仿宋"/>
                <w:color w:val="auto"/>
                <w:szCs w:val="21"/>
                <w:highlight w:val="none"/>
              </w:rPr>
            </w:pPr>
            <w:r>
              <w:rPr>
                <w:rFonts w:hint="eastAsia" w:ascii="仿宋" w:hAnsi="仿宋" w:eastAsia="仿宋" w:cs="仿宋"/>
                <w:color w:val="auto"/>
                <w:szCs w:val="21"/>
                <w:highlight w:val="none"/>
              </w:rPr>
              <w:t>2.220V电源供电，具备过流保护、过压保护、欠压保护等，供电接口采用分体式小盖板设计；</w:t>
            </w:r>
          </w:p>
          <w:p>
            <w:pPr>
              <w:rPr>
                <w:rFonts w:ascii="仿宋" w:hAnsi="仿宋" w:eastAsia="仿宋" w:cs="仿宋"/>
                <w:color w:val="auto"/>
                <w:szCs w:val="21"/>
                <w:highlight w:val="none"/>
              </w:rPr>
            </w:pPr>
            <w:r>
              <w:rPr>
                <w:rFonts w:hint="eastAsia" w:ascii="仿宋" w:hAnsi="仿宋" w:eastAsia="仿宋" w:cs="仿宋"/>
                <w:color w:val="auto"/>
                <w:szCs w:val="21"/>
                <w:highlight w:val="none"/>
              </w:rPr>
              <w:t>3.采用串口通用协议控制，可兼容主流品牌智能中央控制系统或第三方设备的控制；</w:t>
            </w:r>
          </w:p>
          <w:p>
            <w:pPr>
              <w:rPr>
                <w:rFonts w:ascii="仿宋" w:hAnsi="仿宋" w:eastAsia="仿宋" w:cs="仿宋"/>
                <w:color w:val="auto"/>
                <w:szCs w:val="21"/>
                <w:highlight w:val="none"/>
              </w:rPr>
            </w:pPr>
            <w:r>
              <w:rPr>
                <w:rFonts w:hint="eastAsia" w:ascii="仿宋" w:hAnsi="仿宋" w:eastAsia="仿宋" w:cs="仿宋"/>
                <w:color w:val="auto"/>
                <w:szCs w:val="21"/>
                <w:highlight w:val="none"/>
              </w:rPr>
              <w:t>4.支持设备间的级联控制，最大可支持255台设备，级联后可控制最多2040路电源，级联后只需通过1个按钮或1条指令即可开关所有级联的设备；</w:t>
            </w:r>
          </w:p>
          <w:p>
            <w:pPr>
              <w:rPr>
                <w:rFonts w:ascii="仿宋" w:hAnsi="仿宋" w:eastAsia="仿宋" w:cs="仿宋"/>
                <w:color w:val="auto"/>
                <w:szCs w:val="21"/>
                <w:highlight w:val="none"/>
              </w:rPr>
            </w:pPr>
            <w:r>
              <w:rPr>
                <w:rFonts w:hint="eastAsia" w:ascii="仿宋" w:hAnsi="仿宋" w:eastAsia="仿宋" w:cs="仿宋"/>
                <w:color w:val="auto"/>
                <w:szCs w:val="21"/>
                <w:highlight w:val="none"/>
              </w:rPr>
              <w:t>5.支持8路大电流时序电源输出，任意一路可根据使用需求修改为直通电源输出，8路电源时序控制，每路输出闭合/断开的延时支持1~9999s自定义；</w:t>
            </w:r>
          </w:p>
          <w:p>
            <w:pPr>
              <w:rPr>
                <w:rFonts w:ascii="仿宋" w:hAnsi="仿宋" w:eastAsia="仿宋" w:cs="仿宋"/>
                <w:color w:val="auto"/>
                <w:szCs w:val="21"/>
                <w:highlight w:val="none"/>
              </w:rPr>
            </w:pPr>
            <w:r>
              <w:rPr>
                <w:rFonts w:hint="eastAsia" w:ascii="仿宋" w:hAnsi="仿宋" w:eastAsia="仿宋" w:cs="仿宋"/>
                <w:color w:val="auto"/>
                <w:szCs w:val="21"/>
                <w:highlight w:val="none"/>
              </w:rPr>
              <w:t>6.前面板支持1路直通电源输出（不受时序控制）、1路USB供电（可为小功率设备充电或持续供电，最大支持5V/1A）；</w:t>
            </w:r>
          </w:p>
          <w:p>
            <w:pPr>
              <w:rPr>
                <w:rFonts w:ascii="仿宋" w:hAnsi="仿宋" w:eastAsia="仿宋" w:cs="仿宋"/>
                <w:color w:val="auto"/>
                <w:szCs w:val="21"/>
                <w:highlight w:val="none"/>
              </w:rPr>
            </w:pPr>
            <w:r>
              <w:rPr>
                <w:rFonts w:hint="eastAsia" w:ascii="仿宋" w:hAnsi="仿宋" w:eastAsia="仿宋" w:cs="仿宋"/>
                <w:color w:val="auto"/>
                <w:szCs w:val="21"/>
                <w:highlight w:val="none"/>
              </w:rPr>
              <w:t>7.时序电源输出口供电时序可编程，自由组合供电时序，全部数据均带掉电保存；</w:t>
            </w:r>
          </w:p>
          <w:p>
            <w:pPr>
              <w:rPr>
                <w:rFonts w:ascii="仿宋" w:hAnsi="仿宋" w:eastAsia="仿宋" w:cs="仿宋"/>
                <w:color w:val="auto"/>
                <w:szCs w:val="21"/>
                <w:highlight w:val="none"/>
              </w:rPr>
            </w:pPr>
            <w:r>
              <w:rPr>
                <w:rFonts w:hint="eastAsia" w:ascii="仿宋" w:hAnsi="仿宋" w:eastAsia="仿宋" w:cs="仿宋"/>
                <w:color w:val="auto"/>
                <w:szCs w:val="21"/>
                <w:highlight w:val="none"/>
              </w:rPr>
              <w:t>8.输出插座采用防触电设计，每路输出均采用符合CCC标准要求的新国标五孔插座，插座满足GB/T 1002-2021,GB/T 2099.1-2008,GB/T 2099.2-2012标准，按45mm均匀分布，满足超大规格的插头使用，互不干扰；</w:t>
            </w:r>
          </w:p>
          <w:p>
            <w:pPr>
              <w:rPr>
                <w:rFonts w:ascii="仿宋" w:hAnsi="仿宋" w:eastAsia="仿宋" w:cs="仿宋"/>
                <w:color w:val="auto"/>
                <w:szCs w:val="21"/>
                <w:highlight w:val="none"/>
              </w:rPr>
            </w:pPr>
            <w:r>
              <w:rPr>
                <w:rFonts w:hint="eastAsia" w:ascii="仿宋" w:hAnsi="仿宋" w:eastAsia="仿宋" w:cs="仿宋"/>
                <w:color w:val="auto"/>
                <w:szCs w:val="21"/>
                <w:highlight w:val="none"/>
              </w:rPr>
              <w:t>9.支持多个输出通道间的关联设置，实现对电动设备的安全联动控制；</w:t>
            </w:r>
          </w:p>
          <w:p>
            <w:pPr>
              <w:rPr>
                <w:rFonts w:ascii="仿宋" w:hAnsi="仿宋" w:eastAsia="仿宋" w:cs="仿宋"/>
                <w:color w:val="auto"/>
                <w:szCs w:val="21"/>
                <w:highlight w:val="none"/>
              </w:rPr>
            </w:pPr>
            <w:r>
              <w:rPr>
                <w:rFonts w:hint="eastAsia" w:ascii="仿宋" w:hAnsi="仿宋" w:eastAsia="仿宋" w:cs="仿宋"/>
                <w:color w:val="auto"/>
                <w:szCs w:val="21"/>
                <w:highlight w:val="none"/>
              </w:rPr>
              <w:t>10.前面板配备显示屏可随时监视市电电压的稳定性，前面板8个按键支持指示灯表示开关状态，闭合时蓝灯常亮、断开时常灭；</w:t>
            </w:r>
          </w:p>
          <w:p>
            <w:pPr>
              <w:rPr>
                <w:rFonts w:ascii="仿宋" w:hAnsi="仿宋" w:eastAsia="仿宋" w:cs="仿宋"/>
                <w:color w:val="auto"/>
                <w:szCs w:val="21"/>
                <w:highlight w:val="none"/>
              </w:rPr>
            </w:pPr>
            <w:r>
              <w:rPr>
                <w:rFonts w:hint="eastAsia" w:ascii="仿宋" w:hAnsi="仿宋" w:eastAsia="仿宋" w:cs="仿宋"/>
                <w:color w:val="auto"/>
                <w:szCs w:val="21"/>
                <w:highlight w:val="none"/>
              </w:rPr>
              <w:t>11.每个通道可单独通过前面板开关控制且支持通过软件进行单独受控；</w:t>
            </w:r>
          </w:p>
          <w:p>
            <w:pPr>
              <w:rPr>
                <w:rFonts w:ascii="仿宋" w:hAnsi="仿宋" w:eastAsia="仿宋" w:cs="仿宋"/>
                <w:color w:val="auto"/>
                <w:szCs w:val="21"/>
                <w:highlight w:val="none"/>
              </w:rPr>
            </w:pPr>
            <w:r>
              <w:rPr>
                <w:rFonts w:hint="eastAsia" w:ascii="仿宋" w:hAnsi="仿宋" w:eastAsia="仿宋" w:cs="仿宋"/>
                <w:color w:val="auto"/>
                <w:szCs w:val="21"/>
                <w:highlight w:val="none"/>
              </w:rPr>
              <w:t>12.前面板总开关开启，电源输出口按1~8的顺序逐个闭合，总开关关闭，电源输出口按8~1的顺序逐个断开，支持开关顺序自定义；</w:t>
            </w:r>
          </w:p>
          <w:p>
            <w:pPr>
              <w:rPr>
                <w:rFonts w:ascii="仿宋" w:hAnsi="仿宋" w:eastAsia="仿宋" w:cs="仿宋"/>
                <w:color w:val="auto"/>
                <w:szCs w:val="21"/>
                <w:highlight w:val="none"/>
              </w:rPr>
            </w:pPr>
            <w:r>
              <w:rPr>
                <w:rFonts w:hint="eastAsia" w:ascii="仿宋" w:hAnsi="仿宋" w:eastAsia="仿宋" w:cs="仿宋"/>
                <w:color w:val="auto"/>
                <w:szCs w:val="21"/>
                <w:highlight w:val="none"/>
              </w:rPr>
              <w:t>13.总开关支持开启过程中再次关闭或关闭过程中再次开启；</w:t>
            </w:r>
          </w:p>
          <w:p>
            <w:pPr>
              <w:rPr>
                <w:rFonts w:ascii="仿宋" w:hAnsi="仿宋" w:eastAsia="仿宋" w:cs="仿宋"/>
                <w:color w:val="auto"/>
                <w:szCs w:val="21"/>
                <w:highlight w:val="none"/>
              </w:rPr>
            </w:pPr>
            <w:r>
              <w:rPr>
                <w:rFonts w:hint="eastAsia" w:ascii="仿宋" w:hAnsi="仿宋" w:eastAsia="仿宋" w:cs="仿宋"/>
                <w:color w:val="auto"/>
                <w:szCs w:val="21"/>
                <w:highlight w:val="none"/>
              </w:rPr>
              <w:t>14.支持通过上位机软件实时获取设备电源输出口的闭合/断开状态、对设备的批量控制与批量固件升级；</w:t>
            </w:r>
          </w:p>
          <w:p>
            <w:pPr>
              <w:rPr>
                <w:rFonts w:ascii="仿宋" w:hAnsi="仿宋" w:eastAsia="仿宋" w:cs="仿宋"/>
                <w:color w:val="auto"/>
                <w:szCs w:val="21"/>
                <w:highlight w:val="none"/>
              </w:rPr>
            </w:pPr>
            <w:r>
              <w:rPr>
                <w:rFonts w:hint="eastAsia" w:ascii="仿宋" w:hAnsi="仿宋" w:eastAsia="仿宋" w:cs="仿宋"/>
                <w:color w:val="auto"/>
                <w:szCs w:val="21"/>
                <w:highlight w:val="none"/>
              </w:rPr>
              <w:t>15.支持220V±10% 50/60Hz的输入电压，最大功耗支持8.8kW，支持承受差模±1kV、共模±2kV浪涌。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30</w:t>
            </w:r>
          </w:p>
        </w:tc>
        <w:tc>
          <w:tcPr>
            <w:tcW w:w="247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音箱安装壁挂架</w:t>
            </w:r>
          </w:p>
        </w:tc>
        <w:tc>
          <w:tcPr>
            <w:tcW w:w="684"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1</w:t>
            </w:r>
          </w:p>
        </w:tc>
        <w:tc>
          <w:tcPr>
            <w:tcW w:w="71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对</w:t>
            </w:r>
          </w:p>
        </w:tc>
        <w:tc>
          <w:tcPr>
            <w:tcW w:w="5080"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与现场条件匹配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31</w:t>
            </w:r>
          </w:p>
        </w:tc>
        <w:tc>
          <w:tcPr>
            <w:tcW w:w="247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音频线</w:t>
            </w:r>
          </w:p>
        </w:tc>
        <w:tc>
          <w:tcPr>
            <w:tcW w:w="684"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3</w:t>
            </w:r>
          </w:p>
        </w:tc>
        <w:tc>
          <w:tcPr>
            <w:tcW w:w="71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卷</w:t>
            </w:r>
          </w:p>
        </w:tc>
        <w:tc>
          <w:tcPr>
            <w:tcW w:w="5080"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2*0.25*100m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32</w:t>
            </w:r>
          </w:p>
        </w:tc>
        <w:tc>
          <w:tcPr>
            <w:tcW w:w="247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机柜</w:t>
            </w:r>
          </w:p>
        </w:tc>
        <w:tc>
          <w:tcPr>
            <w:tcW w:w="684"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1</w:t>
            </w:r>
          </w:p>
        </w:tc>
        <w:tc>
          <w:tcPr>
            <w:tcW w:w="71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个</w:t>
            </w:r>
          </w:p>
        </w:tc>
        <w:tc>
          <w:tcPr>
            <w:tcW w:w="5080"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42U标准机柜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33</w:t>
            </w:r>
          </w:p>
        </w:tc>
        <w:tc>
          <w:tcPr>
            <w:tcW w:w="247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辅材2</w:t>
            </w:r>
          </w:p>
        </w:tc>
        <w:tc>
          <w:tcPr>
            <w:tcW w:w="684"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2</w:t>
            </w:r>
          </w:p>
        </w:tc>
        <w:tc>
          <w:tcPr>
            <w:tcW w:w="71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套</w:t>
            </w:r>
          </w:p>
        </w:tc>
        <w:tc>
          <w:tcPr>
            <w:tcW w:w="5080"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与现场条件匹配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34</w:t>
            </w:r>
          </w:p>
        </w:tc>
        <w:tc>
          <w:tcPr>
            <w:tcW w:w="247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走廊灯具</w:t>
            </w:r>
          </w:p>
        </w:tc>
        <w:tc>
          <w:tcPr>
            <w:tcW w:w="684"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84</w:t>
            </w:r>
          </w:p>
        </w:tc>
        <w:tc>
          <w:tcPr>
            <w:tcW w:w="717"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个</w:t>
            </w:r>
          </w:p>
        </w:tc>
        <w:tc>
          <w:tcPr>
            <w:tcW w:w="5080" w:type="dxa"/>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1.规格：1800*600mm；</w:t>
            </w:r>
          </w:p>
          <w:p>
            <w:pPr>
              <w:rPr>
                <w:rFonts w:ascii="仿宋" w:hAnsi="仿宋" w:eastAsia="仿宋" w:cs="仿宋"/>
                <w:color w:val="auto"/>
                <w:szCs w:val="21"/>
                <w:highlight w:val="none"/>
              </w:rPr>
            </w:pPr>
            <w:r>
              <w:rPr>
                <w:rFonts w:hint="eastAsia" w:ascii="仿宋" w:hAnsi="仿宋" w:eastAsia="仿宋" w:cs="仿宋"/>
                <w:color w:val="auto"/>
                <w:szCs w:val="21"/>
                <w:highlight w:val="none"/>
              </w:rPr>
              <w:t>2.灯光膜、铝材。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15" w:type="dxa"/>
            <w:gridSpan w:val="5"/>
            <w:vAlign w:val="center"/>
          </w:tcPr>
          <w:p>
            <w:pPr>
              <w:rPr>
                <w:rFonts w:ascii="仿宋" w:hAnsi="仿宋" w:eastAsia="仿宋" w:cs="仿宋"/>
                <w:color w:val="auto"/>
                <w:szCs w:val="21"/>
                <w:highlight w:val="none"/>
              </w:rPr>
            </w:pPr>
            <w:r>
              <w:rPr>
                <w:rFonts w:hint="eastAsia" w:ascii="仿宋" w:hAnsi="仿宋" w:eastAsia="仿宋" w:cs="仿宋"/>
                <w:b/>
                <w:bCs/>
                <w:color w:val="auto"/>
                <w:kern w:val="0"/>
                <w:szCs w:val="21"/>
                <w:highlight w:val="none"/>
              </w:rPr>
              <w:t>备注：供应商可自行勘查现场（采购人不集中组织），对现场和周围环境进行踏勘和了解，以获取有关编制响应文件和签署合同所需的各种资料，并充分考虑影响响应报价的因素、预计实施过程中各种不利因素，现场勘查所产生的一切责任、风险、费用和后果由供应商自行承担。现场踏勘需遵循采购人管理要求，持法人授权委托书、本人身份证参加，联系人及联系方式同项目联系人。</w:t>
            </w:r>
          </w:p>
        </w:tc>
      </w:tr>
    </w:tbl>
    <w:p>
      <w:pPr>
        <w:rPr>
          <w:rFonts w:hint="eastAsia" w:ascii="仿宋" w:hAnsi="仿宋" w:eastAsia="仿宋" w:cs="仿宋"/>
          <w:color w:val="auto"/>
          <w:szCs w:val="21"/>
          <w:highlight w:val="none"/>
        </w:rPr>
      </w:pPr>
    </w:p>
    <w:p>
      <w:pPr>
        <w:keepNext w:val="0"/>
        <w:keepLines w:val="0"/>
        <w:pageBreakBefore w:val="0"/>
        <w:widowControl w:val="0"/>
        <w:kinsoku/>
        <w:wordWrap/>
        <w:overflowPunct/>
        <w:topLinePunct w:val="0"/>
        <w:autoSpaceDE/>
        <w:autoSpaceDN/>
        <w:bidi w:val="0"/>
        <w:adjustRightInd w:val="0"/>
        <w:snapToGrid w:val="0"/>
        <w:spacing w:line="288" w:lineRule="auto"/>
        <w:ind w:firstLine="422" w:firstLineChars="200"/>
        <w:textAlignment w:val="auto"/>
        <w:rPr>
          <w:rFonts w:hint="eastAsia" w:ascii="仿宋" w:hAnsi="仿宋" w:eastAsia="仿宋" w:cs="仿宋"/>
          <w:color w:val="auto"/>
          <w:szCs w:val="21"/>
          <w:highlight w:val="none"/>
        </w:rPr>
      </w:pPr>
      <w:r>
        <w:rPr>
          <w:rFonts w:hint="eastAsia" w:ascii="仿宋" w:hAnsi="仿宋" w:eastAsia="仿宋" w:cs="仿宋"/>
          <w:b/>
          <w:color w:val="auto"/>
          <w:szCs w:val="21"/>
          <w:highlight w:val="none"/>
        </w:rPr>
        <w:t>备注</w:t>
      </w:r>
      <w:r>
        <w:rPr>
          <w:rFonts w:hint="eastAsia" w:ascii="仿宋" w:hAnsi="仿宋" w:eastAsia="仿宋" w:cs="仿宋"/>
          <w:b/>
          <w:bCs/>
          <w:color w:val="auto"/>
          <w:kern w:val="0"/>
          <w:szCs w:val="21"/>
          <w:highlight w:val="none"/>
        </w:rPr>
        <w:t>：</w:t>
      </w:r>
      <w:r>
        <w:rPr>
          <w:rFonts w:hint="eastAsia" w:ascii="仿宋" w:hAnsi="仿宋" w:eastAsia="仿宋" w:cs="仿宋"/>
          <w:b/>
          <w:color w:val="auto"/>
          <w:szCs w:val="21"/>
          <w:highlight w:val="none"/>
        </w:rPr>
        <w:t>本项目要求对策划、构想</w:t>
      </w:r>
      <w:r>
        <w:rPr>
          <w:rFonts w:hint="eastAsia" w:ascii="仿宋" w:hAnsi="仿宋" w:eastAsia="仿宋" w:cs="仿宋"/>
          <w:b/>
          <w:color w:val="auto"/>
          <w:szCs w:val="21"/>
          <w:highlight w:val="none"/>
          <w:lang w:eastAsia="zh-CN"/>
        </w:rPr>
        <w:t>、</w:t>
      </w:r>
      <w:r>
        <w:rPr>
          <w:rFonts w:hint="eastAsia" w:ascii="仿宋" w:hAnsi="仿宋" w:eastAsia="仿宋" w:cs="仿宋"/>
          <w:b/>
          <w:color w:val="auto"/>
          <w:szCs w:val="21"/>
          <w:highlight w:val="none"/>
        </w:rPr>
        <w:t>布局、展陈设计进行</w:t>
      </w:r>
      <w:r>
        <w:rPr>
          <w:rFonts w:hint="eastAsia" w:ascii="仿宋" w:hAnsi="仿宋" w:eastAsia="仿宋" w:cs="仿宋"/>
          <w:b/>
          <w:color w:val="auto"/>
          <w:szCs w:val="21"/>
          <w:highlight w:val="none"/>
          <w:lang w:val="en-US" w:eastAsia="zh-CN"/>
        </w:rPr>
        <w:t>现场</w:t>
      </w:r>
      <w:r>
        <w:rPr>
          <w:rFonts w:hint="eastAsia" w:ascii="仿宋" w:hAnsi="仿宋" w:eastAsia="仿宋" w:cs="仿宋"/>
          <w:b/>
          <w:color w:val="auto"/>
          <w:szCs w:val="21"/>
          <w:highlight w:val="none"/>
        </w:rPr>
        <w:t>方案讲解，讲解时间不超过1</w:t>
      </w:r>
      <w:r>
        <w:rPr>
          <w:rFonts w:hint="eastAsia" w:ascii="仿宋" w:hAnsi="仿宋" w:eastAsia="仿宋" w:cs="仿宋"/>
          <w:b/>
          <w:color w:val="auto"/>
          <w:szCs w:val="21"/>
          <w:highlight w:val="none"/>
          <w:lang w:val="en-US" w:eastAsia="zh-CN"/>
        </w:rPr>
        <w:t>0</w:t>
      </w:r>
      <w:r>
        <w:rPr>
          <w:rFonts w:hint="eastAsia" w:ascii="仿宋" w:hAnsi="仿宋" w:eastAsia="仿宋" w:cs="仿宋"/>
          <w:b/>
          <w:color w:val="auto"/>
          <w:szCs w:val="21"/>
          <w:highlight w:val="none"/>
        </w:rPr>
        <w:t>分钟</w:t>
      </w:r>
      <w:r>
        <w:rPr>
          <w:rFonts w:hint="eastAsia" w:ascii="仿宋" w:hAnsi="仿宋" w:eastAsia="仿宋" w:cs="仿宋"/>
          <w:b/>
          <w:color w:val="auto"/>
          <w:szCs w:val="21"/>
          <w:highlight w:val="none"/>
          <w:lang w:eastAsia="zh-CN"/>
        </w:rPr>
        <w:t>，</w:t>
      </w:r>
      <w:r>
        <w:rPr>
          <w:rFonts w:hint="eastAsia" w:ascii="仿宋" w:hAnsi="仿宋" w:eastAsia="仿宋" w:cs="仿宋"/>
          <w:b/>
          <w:color w:val="auto"/>
          <w:szCs w:val="21"/>
          <w:highlight w:val="none"/>
          <w:lang w:val="en-US" w:eastAsia="zh-CN"/>
        </w:rPr>
        <w:t>讲解形式不限</w:t>
      </w:r>
      <w:r>
        <w:rPr>
          <w:rFonts w:hint="eastAsia" w:ascii="仿宋" w:hAnsi="仿宋" w:eastAsia="仿宋" w:cs="仿宋"/>
          <w:b/>
          <w:color w:val="auto"/>
          <w:szCs w:val="21"/>
          <w:highlight w:val="none"/>
        </w:rPr>
        <w:t>。</w:t>
      </w:r>
    </w:p>
    <w:p>
      <w:pPr>
        <w:rPr>
          <w:rFonts w:ascii="仿宋" w:hAnsi="仿宋" w:eastAsia="仿宋" w:cs="仿宋"/>
          <w:color w:val="auto"/>
          <w:szCs w:val="21"/>
          <w:highlight w:val="none"/>
        </w:rPr>
      </w:pPr>
      <w:r>
        <w:rPr>
          <w:rFonts w:hint="eastAsia" w:ascii="仿宋" w:hAnsi="仿宋" w:eastAsia="仿宋" w:cs="仿宋"/>
          <w:color w:val="auto"/>
          <w:szCs w:val="21"/>
          <w:highlight w:val="none"/>
        </w:rPr>
        <w:br w:type="page"/>
      </w:r>
    </w:p>
    <w:p>
      <w:pPr>
        <w:widowControl/>
        <w:adjustRightInd w:val="0"/>
        <w:spacing w:line="288" w:lineRule="auto"/>
        <w:jc w:val="left"/>
        <w:rPr>
          <w:rFonts w:ascii="仿宋" w:hAnsi="仿宋" w:eastAsia="仿宋" w:cs="仿宋"/>
          <w:b/>
          <w:bCs/>
          <w:color w:val="auto"/>
          <w:szCs w:val="21"/>
          <w:highlight w:val="none"/>
        </w:rPr>
      </w:pPr>
      <w:r>
        <w:rPr>
          <w:rFonts w:hint="eastAsia" w:ascii="仿宋" w:hAnsi="仿宋" w:eastAsia="仿宋" w:cs="仿宋"/>
          <w:b/>
          <w:bCs/>
          <w:color w:val="auto"/>
          <w:szCs w:val="21"/>
          <w:highlight w:val="none"/>
        </w:rPr>
        <w:t>附件1</w:t>
      </w:r>
    </w:p>
    <w:p>
      <w:pPr>
        <w:widowControl/>
        <w:shd w:val="clear" w:color="auto" w:fill="FFFFFF"/>
        <w:spacing w:line="288" w:lineRule="auto"/>
        <w:contextualSpacing/>
        <w:jc w:val="center"/>
        <w:rPr>
          <w:rFonts w:ascii="仿宋" w:hAnsi="仿宋" w:eastAsia="仿宋" w:cs="仿宋"/>
          <w:bCs/>
          <w:color w:val="auto"/>
          <w:spacing w:val="8"/>
          <w:kern w:val="0"/>
          <w:szCs w:val="21"/>
          <w:highlight w:val="none"/>
        </w:rPr>
      </w:pPr>
      <w:r>
        <w:rPr>
          <w:rFonts w:hint="eastAsia" w:ascii="仿宋" w:hAnsi="仿宋" w:eastAsia="仿宋" w:cs="仿宋"/>
          <w:b/>
          <w:color w:val="auto"/>
          <w:spacing w:val="8"/>
          <w:kern w:val="0"/>
          <w:szCs w:val="21"/>
          <w:highlight w:val="none"/>
        </w:rPr>
        <w:t>前言</w:t>
      </w:r>
    </w:p>
    <w:p>
      <w:pPr>
        <w:widowControl/>
        <w:shd w:val="clear" w:color="auto" w:fill="FFFFFF"/>
        <w:spacing w:line="288" w:lineRule="auto"/>
        <w:ind w:firstLine="452" w:firstLineChars="200"/>
        <w:contextualSpacing/>
        <w:rPr>
          <w:rFonts w:ascii="仿宋" w:hAnsi="仿宋" w:eastAsia="仿宋" w:cs="仿宋"/>
          <w:bCs/>
          <w:i/>
          <w:color w:val="auto"/>
          <w:spacing w:val="8"/>
          <w:kern w:val="0"/>
          <w:szCs w:val="21"/>
          <w:highlight w:val="none"/>
        </w:rPr>
      </w:pPr>
      <w:r>
        <w:rPr>
          <w:rFonts w:hint="eastAsia" w:ascii="仿宋" w:hAnsi="仿宋" w:eastAsia="仿宋" w:cs="仿宋"/>
          <w:bCs/>
          <w:color w:val="auto"/>
          <w:spacing w:val="8"/>
          <w:kern w:val="0"/>
          <w:szCs w:val="21"/>
          <w:highlight w:val="none"/>
        </w:rPr>
        <w:t>计算技术与人类社会的发展相生相伴。从结绳记事、算盘到算筹，从差分机、电子计算机到超级计算机，从云计算、大数据到大模型，计算工具和技术不断演进，推动人类文明走过了原始社会、农耕时代、工业革命，迈入了万物互联的智能时代。从某种角度来说，计算技术史就是一部浓缩的文明史。当前，科技创新将计算再次推到了创新能力建设的核心位置。我们举办计算简史展，旨在让观展者洞悉计算技术发展脉络，以史为鉴，更好地把握计算带来的变革之力。</w:t>
      </w:r>
    </w:p>
    <w:p>
      <w:pPr>
        <w:widowControl/>
        <w:shd w:val="clear" w:color="auto" w:fill="FFFFFF"/>
        <w:spacing w:line="288" w:lineRule="auto"/>
        <w:ind w:firstLine="452" w:firstLineChars="200"/>
        <w:contextualSpacing/>
        <w:rPr>
          <w:rFonts w:ascii="仿宋" w:hAnsi="仿宋" w:eastAsia="仿宋" w:cs="仿宋"/>
          <w:b/>
          <w:color w:val="auto"/>
          <w:spacing w:val="8"/>
          <w:kern w:val="0"/>
          <w:szCs w:val="21"/>
          <w:highlight w:val="none"/>
        </w:rPr>
      </w:pPr>
      <w:r>
        <w:rPr>
          <w:rFonts w:hint="eastAsia" w:ascii="仿宋" w:hAnsi="仿宋" w:eastAsia="仿宋" w:cs="仿宋"/>
          <w:bCs/>
          <w:color w:val="auto"/>
          <w:spacing w:val="8"/>
          <w:kern w:val="0"/>
          <w:szCs w:val="21"/>
          <w:highlight w:val="none"/>
        </w:rPr>
        <w:t>展览内容参考《人类计算简史——从中国算盘到数字经济》《中国云计算创新活力报告》、《智能计算的最新进展、挑战和未来》等。</w:t>
      </w:r>
    </w:p>
    <w:p>
      <w:pPr>
        <w:widowControl/>
        <w:shd w:val="clear" w:color="auto" w:fill="FFFFFF"/>
        <w:spacing w:line="288" w:lineRule="auto"/>
        <w:ind w:firstLine="452" w:firstLineChars="200"/>
        <w:contextualSpacing/>
        <w:rPr>
          <w:rFonts w:ascii="仿宋" w:hAnsi="仿宋" w:eastAsia="仿宋" w:cs="仿宋"/>
          <w:color w:val="auto"/>
          <w:spacing w:val="8"/>
          <w:kern w:val="0"/>
          <w:szCs w:val="21"/>
          <w:highlight w:val="none"/>
        </w:rPr>
      </w:pPr>
      <w:r>
        <w:rPr>
          <w:rFonts w:hint="eastAsia" w:ascii="仿宋" w:hAnsi="仿宋" w:eastAsia="仿宋" w:cs="仿宋"/>
          <w:color w:val="auto"/>
          <w:spacing w:val="8"/>
          <w:kern w:val="0"/>
          <w:szCs w:val="21"/>
          <w:highlight w:val="none"/>
        </w:rPr>
        <w:t>一、古代计算工具</w:t>
      </w:r>
    </w:p>
    <w:p>
      <w:pPr>
        <w:widowControl/>
        <w:shd w:val="clear" w:color="auto" w:fill="FFFFFF"/>
        <w:spacing w:line="288" w:lineRule="auto"/>
        <w:ind w:firstLine="452" w:firstLineChars="200"/>
        <w:contextualSpacing/>
        <w:rPr>
          <w:rFonts w:ascii="仿宋" w:hAnsi="仿宋" w:eastAsia="仿宋" w:cs="仿宋"/>
          <w:color w:val="auto"/>
          <w:spacing w:val="8"/>
          <w:kern w:val="0"/>
          <w:szCs w:val="21"/>
          <w:highlight w:val="none"/>
        </w:rPr>
      </w:pPr>
      <w:r>
        <w:rPr>
          <w:rFonts w:hint="eastAsia" w:ascii="仿宋" w:hAnsi="仿宋" w:eastAsia="仿宋" w:cs="仿宋"/>
          <w:color w:val="auto"/>
          <w:spacing w:val="8"/>
          <w:kern w:val="0"/>
          <w:szCs w:val="21"/>
          <w:highlight w:val="none"/>
        </w:rPr>
        <w:t>原始社会中，人类使用打结或编织绳子的方式记录数量、事件等信息。《春秋左传集解》云：“古者无文字，其有约誓之事，事大大其绳，事小小其绳，结之多少，随扬众寡，各执以相考，亦足以相治也。”</w:t>
      </w:r>
    </w:p>
    <w:p>
      <w:pPr>
        <w:widowControl/>
        <w:shd w:val="clear" w:color="auto" w:fill="FFFFFF"/>
        <w:spacing w:line="288" w:lineRule="auto"/>
        <w:ind w:firstLine="452" w:firstLineChars="200"/>
        <w:contextualSpacing/>
        <w:rPr>
          <w:rFonts w:ascii="仿宋" w:hAnsi="仿宋" w:eastAsia="仿宋" w:cs="仿宋"/>
          <w:color w:val="auto"/>
          <w:spacing w:val="8"/>
          <w:kern w:val="0"/>
          <w:szCs w:val="21"/>
          <w:highlight w:val="none"/>
        </w:rPr>
      </w:pPr>
      <w:r>
        <w:rPr>
          <w:rFonts w:hint="eastAsia" w:ascii="仿宋" w:hAnsi="仿宋" w:eastAsia="仿宋" w:cs="仿宋"/>
          <w:color w:val="auto"/>
          <w:spacing w:val="8"/>
          <w:kern w:val="0"/>
          <w:szCs w:val="21"/>
          <w:highlight w:val="none"/>
        </w:rPr>
        <w:t>公元前3000年左右，古埃及人发明了象形数字系统（赫尔墨斯数字等），用于记录物品数量和进行简单计算；美索不达米亚的苏美尔人发展出以六十进制计数法为代表的楔形文字计数体系。</w:t>
      </w:r>
    </w:p>
    <w:p>
      <w:pPr>
        <w:widowControl/>
        <w:shd w:val="clear" w:color="auto" w:fill="FFFFFF"/>
        <w:spacing w:line="288" w:lineRule="auto"/>
        <w:ind w:firstLine="452" w:firstLineChars="200"/>
        <w:contextualSpacing/>
        <w:rPr>
          <w:rFonts w:ascii="仿宋" w:hAnsi="仿宋" w:eastAsia="仿宋" w:cs="仿宋"/>
          <w:color w:val="auto"/>
          <w:spacing w:val="8"/>
          <w:kern w:val="0"/>
          <w:szCs w:val="21"/>
          <w:highlight w:val="none"/>
        </w:rPr>
      </w:pPr>
      <w:r>
        <w:rPr>
          <w:rFonts w:hint="eastAsia" w:ascii="仿宋" w:hAnsi="仿宋" w:eastAsia="仿宋" w:cs="仿宋"/>
          <w:color w:val="auto"/>
          <w:spacing w:val="8"/>
          <w:kern w:val="0"/>
          <w:szCs w:val="21"/>
          <w:highlight w:val="none"/>
        </w:rPr>
        <w:t>公元前14世纪，由竹片制成的“算筹”成为中国先民们用于计数交易的工具，是中华文明历程中计算技术的代表。利用算筹，我国南北朝时期的数学家祖冲之，先后计算圆周率，将精确度达到小数点后7位，比西方计算出这一结果早了上千年。</w:t>
      </w:r>
    </w:p>
    <w:p>
      <w:pPr>
        <w:widowControl/>
        <w:shd w:val="clear" w:color="auto" w:fill="FFFFFF"/>
        <w:spacing w:line="288" w:lineRule="auto"/>
        <w:ind w:firstLine="452" w:firstLineChars="200"/>
        <w:contextualSpacing/>
        <w:rPr>
          <w:rFonts w:ascii="仿宋" w:hAnsi="仿宋" w:eastAsia="仿宋" w:cs="仿宋"/>
          <w:color w:val="auto"/>
          <w:spacing w:val="8"/>
          <w:kern w:val="0"/>
          <w:szCs w:val="21"/>
          <w:highlight w:val="none"/>
        </w:rPr>
      </w:pPr>
      <w:r>
        <w:rPr>
          <w:rFonts w:hint="eastAsia" w:ascii="仿宋" w:hAnsi="仿宋" w:eastAsia="仿宋" w:cs="仿宋"/>
          <w:color w:val="auto"/>
          <w:spacing w:val="8"/>
          <w:kern w:val="0"/>
          <w:szCs w:val="21"/>
          <w:highlight w:val="none"/>
        </w:rPr>
        <w:t>“一上一、二上二、三下五除二。”这句朗朗上口的珠算加法口诀在中华大地上广为流传，算盘上的珠子随着口诀上下拨动，开启了历经千年的运算。这些珠算口诀如同计算机的程序，每一颗珠子则代表一个二进制位（bit），算盘的计算逻辑与现代计算机的运行逻辑一脉相承，这正是算盘被看作“原始计算机”的原因。</w:t>
      </w:r>
    </w:p>
    <w:p>
      <w:pPr>
        <w:widowControl/>
        <w:shd w:val="clear" w:color="auto" w:fill="FFFFFF"/>
        <w:spacing w:line="288" w:lineRule="auto"/>
        <w:ind w:firstLine="452" w:firstLineChars="200"/>
        <w:contextualSpacing/>
        <w:rPr>
          <w:rFonts w:ascii="仿宋" w:hAnsi="仿宋" w:eastAsia="仿宋" w:cs="仿宋"/>
          <w:color w:val="auto"/>
          <w:spacing w:val="8"/>
          <w:kern w:val="0"/>
          <w:szCs w:val="21"/>
          <w:highlight w:val="none"/>
        </w:rPr>
      </w:pPr>
      <w:r>
        <w:rPr>
          <w:rFonts w:hint="eastAsia" w:ascii="仿宋" w:hAnsi="仿宋" w:eastAsia="仿宋" w:cs="仿宋"/>
          <w:color w:val="auto"/>
          <w:spacing w:val="8"/>
          <w:kern w:val="0"/>
          <w:szCs w:val="21"/>
          <w:highlight w:val="none"/>
        </w:rPr>
        <w:t>二、现代计算机的雏形</w:t>
      </w:r>
    </w:p>
    <w:p>
      <w:pPr>
        <w:widowControl/>
        <w:shd w:val="clear" w:color="auto" w:fill="FFFFFF"/>
        <w:spacing w:line="288" w:lineRule="auto"/>
        <w:ind w:firstLine="452" w:firstLineChars="200"/>
        <w:contextualSpacing/>
        <w:rPr>
          <w:rFonts w:ascii="仿宋" w:hAnsi="仿宋" w:eastAsia="仿宋" w:cs="仿宋"/>
          <w:color w:val="auto"/>
          <w:spacing w:val="8"/>
          <w:kern w:val="0"/>
          <w:szCs w:val="21"/>
          <w:highlight w:val="none"/>
        </w:rPr>
      </w:pPr>
      <w:r>
        <w:rPr>
          <w:rFonts w:hint="eastAsia" w:ascii="仿宋" w:hAnsi="仿宋" w:eastAsia="仿宋" w:cs="仿宋"/>
          <w:color w:val="auto"/>
          <w:spacing w:val="8"/>
          <w:kern w:val="0"/>
          <w:szCs w:val="21"/>
          <w:highlight w:val="none"/>
        </w:rPr>
        <w:t>17世纪，法国数学家布莱士·帕斯卡为帮助他的父亲提高收税效率，设计并制造了世界上第一台机械式计算器——帕斯卡加法器，这台计算机使用齿轮运作，能够进行八位数加法运算。</w:t>
      </w:r>
    </w:p>
    <w:p>
      <w:pPr>
        <w:widowControl/>
        <w:shd w:val="clear" w:color="auto" w:fill="FFFFFF"/>
        <w:spacing w:line="288" w:lineRule="auto"/>
        <w:ind w:firstLine="452" w:firstLineChars="200"/>
        <w:contextualSpacing/>
        <w:rPr>
          <w:rFonts w:ascii="仿宋" w:hAnsi="仿宋" w:eastAsia="仿宋" w:cs="仿宋"/>
          <w:color w:val="auto"/>
          <w:spacing w:val="8"/>
          <w:kern w:val="0"/>
          <w:szCs w:val="21"/>
          <w:highlight w:val="none"/>
        </w:rPr>
      </w:pPr>
      <w:r>
        <w:rPr>
          <w:rFonts w:hint="eastAsia" w:ascii="仿宋" w:hAnsi="仿宋" w:eastAsia="仿宋" w:cs="仿宋"/>
          <w:color w:val="auto"/>
          <w:spacing w:val="8"/>
          <w:kern w:val="0"/>
          <w:szCs w:val="21"/>
          <w:highlight w:val="none"/>
        </w:rPr>
        <w:t>18世纪，德国数学家戈特弗里德·威廉·莱布尼茨发明了能进行加减乘除运算的步进计算器——莱布尼茨轮，用于执行乘除法运算，是现代二进制计算机的先驱。</w:t>
      </w:r>
    </w:p>
    <w:p>
      <w:pPr>
        <w:widowControl/>
        <w:shd w:val="clear" w:color="auto" w:fill="FFFFFF"/>
        <w:spacing w:line="288" w:lineRule="auto"/>
        <w:ind w:firstLine="452" w:firstLineChars="200"/>
        <w:contextualSpacing/>
        <w:rPr>
          <w:rFonts w:ascii="仿宋" w:hAnsi="仿宋" w:eastAsia="仿宋" w:cs="仿宋"/>
          <w:color w:val="auto"/>
          <w:spacing w:val="8"/>
          <w:kern w:val="0"/>
          <w:szCs w:val="21"/>
          <w:highlight w:val="none"/>
        </w:rPr>
      </w:pPr>
      <w:r>
        <w:rPr>
          <w:rFonts w:hint="eastAsia" w:ascii="仿宋" w:hAnsi="仿宋" w:eastAsia="仿宋" w:cs="仿宋"/>
          <w:color w:val="auto"/>
          <w:spacing w:val="8"/>
          <w:kern w:val="0"/>
          <w:szCs w:val="21"/>
          <w:highlight w:val="none"/>
        </w:rPr>
        <w:t>19世纪初，英国数学家查尔斯·巴贝奇设计了差分机和分析机，虽然未能完全制造出来，但被认为是计算机的雏形。</w:t>
      </w:r>
    </w:p>
    <w:p>
      <w:pPr>
        <w:widowControl/>
        <w:shd w:val="clear" w:color="auto" w:fill="FFFFFF"/>
        <w:spacing w:line="288" w:lineRule="auto"/>
        <w:ind w:firstLine="452" w:firstLineChars="200"/>
        <w:contextualSpacing/>
        <w:rPr>
          <w:rFonts w:ascii="仿宋" w:hAnsi="仿宋" w:eastAsia="仿宋" w:cs="仿宋"/>
          <w:color w:val="auto"/>
          <w:spacing w:val="8"/>
          <w:kern w:val="0"/>
          <w:szCs w:val="21"/>
          <w:highlight w:val="none"/>
        </w:rPr>
      </w:pPr>
      <w:r>
        <w:rPr>
          <w:rFonts w:hint="eastAsia" w:ascii="仿宋" w:hAnsi="仿宋" w:eastAsia="仿宋" w:cs="仿宋"/>
          <w:color w:val="auto"/>
          <w:spacing w:val="8"/>
          <w:kern w:val="0"/>
          <w:szCs w:val="21"/>
          <w:highlight w:val="none"/>
        </w:rPr>
        <w:t>1842年，英国数学家阿达·洛夫莱斯为巴贝奇分析机编写了世界上第一套算法，被公认为是计算机程序和软件的最早形式，洛芙莱斯则因此被誉为世界上第一位程序设计师。</w:t>
      </w:r>
    </w:p>
    <w:p>
      <w:pPr>
        <w:widowControl/>
        <w:shd w:val="clear" w:color="auto" w:fill="FFFFFF"/>
        <w:spacing w:line="288" w:lineRule="auto"/>
        <w:ind w:firstLine="452" w:firstLineChars="200"/>
        <w:contextualSpacing/>
        <w:rPr>
          <w:rFonts w:ascii="仿宋" w:hAnsi="仿宋" w:eastAsia="仿宋" w:cs="仿宋"/>
          <w:color w:val="auto"/>
          <w:spacing w:val="8"/>
          <w:kern w:val="0"/>
          <w:szCs w:val="21"/>
          <w:highlight w:val="none"/>
        </w:rPr>
      </w:pPr>
      <w:r>
        <w:rPr>
          <w:rFonts w:hint="eastAsia" w:ascii="仿宋" w:hAnsi="仿宋" w:eastAsia="仿宋" w:cs="仿宋"/>
          <w:color w:val="auto"/>
          <w:spacing w:val="8"/>
          <w:kern w:val="0"/>
          <w:szCs w:val="21"/>
          <w:highlight w:val="none"/>
        </w:rPr>
        <w:t>三、电子计算机时代</w:t>
      </w:r>
    </w:p>
    <w:p>
      <w:pPr>
        <w:widowControl/>
        <w:shd w:val="clear" w:color="auto" w:fill="FFFFFF"/>
        <w:spacing w:line="288" w:lineRule="auto"/>
        <w:ind w:firstLine="452" w:firstLineChars="200"/>
        <w:contextualSpacing/>
        <w:rPr>
          <w:rFonts w:ascii="仿宋" w:hAnsi="仿宋" w:eastAsia="仿宋" w:cs="仿宋"/>
          <w:color w:val="auto"/>
          <w:spacing w:val="8"/>
          <w:kern w:val="0"/>
          <w:szCs w:val="21"/>
          <w:highlight w:val="none"/>
        </w:rPr>
      </w:pPr>
      <w:r>
        <w:rPr>
          <w:rFonts w:hint="eastAsia" w:ascii="仿宋" w:hAnsi="仿宋" w:eastAsia="仿宋" w:cs="仿宋"/>
          <w:color w:val="auto"/>
          <w:spacing w:val="8"/>
          <w:kern w:val="0"/>
          <w:szCs w:val="21"/>
          <w:highlight w:val="none"/>
        </w:rPr>
        <w:t>1937年，英国科学家阿兰·图灵提出了“图灵机”构想，奠定了现代计算理论的基础，证明了打造通用计算机器的可行性。</w:t>
      </w:r>
    </w:p>
    <w:p>
      <w:pPr>
        <w:widowControl/>
        <w:shd w:val="clear" w:color="auto" w:fill="FFFFFF"/>
        <w:spacing w:line="288" w:lineRule="auto"/>
        <w:ind w:firstLine="452" w:firstLineChars="200"/>
        <w:contextualSpacing/>
        <w:rPr>
          <w:rFonts w:ascii="仿宋" w:hAnsi="仿宋" w:eastAsia="仿宋" w:cs="仿宋"/>
          <w:color w:val="auto"/>
          <w:spacing w:val="8"/>
          <w:kern w:val="0"/>
          <w:szCs w:val="21"/>
          <w:highlight w:val="none"/>
        </w:rPr>
      </w:pPr>
      <w:r>
        <w:rPr>
          <w:rFonts w:hint="eastAsia" w:ascii="仿宋" w:hAnsi="仿宋" w:eastAsia="仿宋" w:cs="仿宋"/>
          <w:color w:val="auto"/>
          <w:spacing w:val="8"/>
          <w:kern w:val="0"/>
          <w:szCs w:val="21"/>
          <w:highlight w:val="none"/>
        </w:rPr>
        <w:t>1946年，世界上第一台通用电子计算机ENIAC应运而生。这台重达30吨的庞然大物，第一次将电子元器件作为计算单元。以今天的眼光来看，这个“大胖子”显得尤为笨拙和臃肿，但它比当时最快的机电式计算机快了1000倍。到退役为止，ENIAC共运算8万多小时，为氢弹研制、天气预测、风洞开发等做出了卓越贡献。</w:t>
      </w:r>
    </w:p>
    <w:p>
      <w:pPr>
        <w:widowControl/>
        <w:shd w:val="clear" w:color="auto" w:fill="FFFFFF"/>
        <w:spacing w:line="288" w:lineRule="auto"/>
        <w:ind w:firstLine="452" w:firstLineChars="200"/>
        <w:contextualSpacing/>
        <w:rPr>
          <w:rFonts w:ascii="仿宋" w:hAnsi="仿宋" w:eastAsia="仿宋" w:cs="仿宋"/>
          <w:color w:val="auto"/>
          <w:spacing w:val="8"/>
          <w:kern w:val="0"/>
          <w:szCs w:val="21"/>
          <w:highlight w:val="none"/>
        </w:rPr>
      </w:pPr>
      <w:r>
        <w:rPr>
          <w:rFonts w:hint="eastAsia" w:ascii="仿宋" w:hAnsi="仿宋" w:eastAsia="仿宋" w:cs="仿宋"/>
          <w:color w:val="auto"/>
          <w:spacing w:val="8"/>
          <w:kern w:val="0"/>
          <w:szCs w:val="21"/>
          <w:highlight w:val="none"/>
        </w:rPr>
        <w:t>同年，匈牙利数学家约翰·冯·诺依曼（John von Neumann）提出了EDVAC（电子离散变量自动计算机）的设计方案，引入了存储程序计算机架构，即冯·诺伊曼架构，成为现代计算机的标准结构。</w:t>
      </w:r>
    </w:p>
    <w:p>
      <w:pPr>
        <w:widowControl/>
        <w:shd w:val="clear" w:color="auto" w:fill="FFFFFF"/>
        <w:spacing w:line="288" w:lineRule="auto"/>
        <w:ind w:firstLine="452" w:firstLineChars="200"/>
        <w:contextualSpacing/>
        <w:rPr>
          <w:rFonts w:ascii="仿宋" w:hAnsi="仿宋" w:eastAsia="仿宋" w:cs="仿宋"/>
          <w:color w:val="auto"/>
          <w:spacing w:val="8"/>
          <w:kern w:val="0"/>
          <w:szCs w:val="21"/>
          <w:highlight w:val="none"/>
        </w:rPr>
      </w:pPr>
      <w:r>
        <w:rPr>
          <w:rFonts w:hint="eastAsia" w:ascii="仿宋" w:hAnsi="仿宋" w:eastAsia="仿宋" w:cs="仿宋"/>
          <w:color w:val="auto"/>
          <w:spacing w:val="8"/>
          <w:kern w:val="0"/>
          <w:szCs w:val="21"/>
          <w:highlight w:val="none"/>
        </w:rPr>
        <w:t>1948年，美国数学家克劳德·香农发表了《通信的数学理论》（A Mathematical Theory of Communication），这篇论文被视作信息论的开山之作。在这篇论文中，香农提出了信息熵（entropy）的概念，为量化信息奠定了基础，并推导出了影响深远的香农定理。这些工作为现代计算机的发展提供了理论基础。</w:t>
      </w:r>
    </w:p>
    <w:p>
      <w:pPr>
        <w:widowControl/>
        <w:shd w:val="clear" w:color="auto" w:fill="FFFFFF"/>
        <w:spacing w:line="288" w:lineRule="auto"/>
        <w:ind w:firstLine="452" w:firstLineChars="200"/>
        <w:contextualSpacing/>
        <w:rPr>
          <w:rFonts w:ascii="仿宋" w:hAnsi="仿宋" w:eastAsia="仿宋" w:cs="仿宋"/>
          <w:color w:val="auto"/>
          <w:spacing w:val="8"/>
          <w:kern w:val="0"/>
          <w:szCs w:val="21"/>
          <w:highlight w:val="none"/>
        </w:rPr>
      </w:pPr>
      <w:r>
        <w:rPr>
          <w:rFonts w:hint="eastAsia" w:ascii="仿宋" w:hAnsi="仿宋" w:eastAsia="仿宋" w:cs="仿宋"/>
          <w:color w:val="auto"/>
          <w:spacing w:val="8"/>
          <w:kern w:val="0"/>
          <w:szCs w:val="21"/>
          <w:highlight w:val="none"/>
        </w:rPr>
        <w:t>1956年，香农、麦卡锡、明斯基等科学家在美国达特茅斯学院开会研讨“如何用机器模拟人的智能”，首次提出“人工智能（Artificial Intelligence，AI）”这一概念，标志着人工智能学科的诞生。</w:t>
      </w:r>
    </w:p>
    <w:p>
      <w:pPr>
        <w:widowControl/>
        <w:shd w:val="clear" w:color="auto" w:fill="FFFFFF"/>
        <w:spacing w:line="288" w:lineRule="auto"/>
        <w:ind w:firstLine="452" w:firstLineChars="200"/>
        <w:contextualSpacing/>
        <w:rPr>
          <w:rFonts w:ascii="仿宋" w:hAnsi="仿宋" w:eastAsia="仿宋" w:cs="仿宋"/>
          <w:color w:val="auto"/>
          <w:spacing w:val="8"/>
          <w:kern w:val="0"/>
          <w:szCs w:val="21"/>
          <w:highlight w:val="none"/>
        </w:rPr>
      </w:pPr>
      <w:r>
        <w:rPr>
          <w:rFonts w:hint="eastAsia" w:ascii="仿宋" w:hAnsi="仿宋" w:eastAsia="仿宋" w:cs="仿宋"/>
          <w:color w:val="auto"/>
          <w:spacing w:val="8"/>
          <w:kern w:val="0"/>
          <w:szCs w:val="21"/>
          <w:highlight w:val="none"/>
        </w:rPr>
        <w:t>1958年，我国第一台大型通用数字电子计算机103型机研制成功。103机平均每秒运算1万次，接近当时英国、日本计算机的指标。103机完成了我国在核武器、航空航天、铁路交通、火炮弹道、化工、建筑、能源、理化、勘探、电子、光学等多领域的计算任务，并深度参与高等教育事业，培养专业学生数千人。</w:t>
      </w:r>
    </w:p>
    <w:p>
      <w:pPr>
        <w:widowControl/>
        <w:shd w:val="clear" w:color="auto" w:fill="FFFFFF"/>
        <w:spacing w:line="288" w:lineRule="auto"/>
        <w:ind w:firstLine="452" w:firstLineChars="200"/>
        <w:contextualSpacing/>
        <w:rPr>
          <w:rFonts w:ascii="仿宋" w:hAnsi="仿宋" w:eastAsia="仿宋" w:cs="仿宋"/>
          <w:color w:val="auto"/>
          <w:spacing w:val="8"/>
          <w:kern w:val="0"/>
          <w:szCs w:val="21"/>
          <w:highlight w:val="none"/>
        </w:rPr>
      </w:pPr>
      <w:r>
        <w:rPr>
          <w:rFonts w:hint="eastAsia" w:ascii="仿宋" w:hAnsi="仿宋" w:eastAsia="仿宋" w:cs="仿宋"/>
          <w:color w:val="auto"/>
          <w:spacing w:val="8"/>
          <w:kern w:val="0"/>
          <w:szCs w:val="21"/>
          <w:highlight w:val="none"/>
        </w:rPr>
        <w:t>1965年，戈登·摩尔提出了著名的摩尔定律，预测集成电路上可容纳的晶体管数量大约每两年翻一番，这一定律为半导体行业的发展提供了重要指导。</w:t>
      </w:r>
    </w:p>
    <w:p>
      <w:pPr>
        <w:widowControl/>
        <w:shd w:val="clear" w:color="auto" w:fill="FFFFFF"/>
        <w:spacing w:line="288" w:lineRule="auto"/>
        <w:ind w:firstLine="452" w:firstLineChars="200"/>
        <w:contextualSpacing/>
        <w:rPr>
          <w:rFonts w:ascii="仿宋" w:hAnsi="仿宋" w:eastAsia="仿宋" w:cs="仿宋"/>
          <w:color w:val="auto"/>
          <w:spacing w:val="8"/>
          <w:kern w:val="0"/>
          <w:szCs w:val="21"/>
          <w:highlight w:val="none"/>
        </w:rPr>
      </w:pPr>
      <w:r>
        <w:rPr>
          <w:rFonts w:hint="eastAsia" w:ascii="仿宋" w:hAnsi="仿宋" w:eastAsia="仿宋" w:cs="仿宋"/>
          <w:color w:val="auto"/>
          <w:spacing w:val="8"/>
          <w:kern w:val="0"/>
          <w:szCs w:val="21"/>
          <w:highlight w:val="none"/>
        </w:rPr>
        <w:t>1971年，英特尔公司（Intel）发布了世界上第一款商用微处理器4004，这是一款4位中央处理器，标志着微型计算机时代的到来。同年，美国的Kenbak公司发布了Kenbak-1计算机。这台计算机，被计算机历史博物馆认为是世界上第一台个人计算机。</w:t>
      </w:r>
    </w:p>
    <w:p>
      <w:pPr>
        <w:widowControl/>
        <w:shd w:val="clear" w:color="auto" w:fill="FFFFFF"/>
        <w:spacing w:line="288" w:lineRule="auto"/>
        <w:ind w:firstLine="452" w:firstLineChars="200"/>
        <w:contextualSpacing/>
        <w:rPr>
          <w:rFonts w:ascii="仿宋" w:hAnsi="仿宋" w:eastAsia="仿宋" w:cs="仿宋"/>
          <w:color w:val="auto"/>
          <w:spacing w:val="8"/>
          <w:kern w:val="0"/>
          <w:szCs w:val="21"/>
          <w:highlight w:val="none"/>
        </w:rPr>
      </w:pPr>
      <w:r>
        <w:rPr>
          <w:rFonts w:hint="eastAsia" w:ascii="仿宋" w:hAnsi="仿宋" w:eastAsia="仿宋" w:cs="仿宋"/>
          <w:color w:val="auto"/>
          <w:spacing w:val="8"/>
          <w:kern w:val="0"/>
          <w:szCs w:val="21"/>
          <w:highlight w:val="none"/>
        </w:rPr>
        <w:t>1975年，比尔·盖茨和保罗·艾伦创办了微软公司，开发了MS-DOS操作系统，为个人计算机的发展奠定了基础。次年，史蒂夫·乔布斯和史蒂夫·沃兹尼亚克创办苹果公司，推出了Apple I个人计算机，计算机开始进入家庭和办公室。</w:t>
      </w:r>
    </w:p>
    <w:p>
      <w:pPr>
        <w:widowControl/>
        <w:shd w:val="clear" w:color="auto" w:fill="FFFFFF"/>
        <w:spacing w:line="288" w:lineRule="auto"/>
        <w:ind w:firstLine="452" w:firstLineChars="200"/>
        <w:contextualSpacing/>
        <w:rPr>
          <w:rFonts w:ascii="仿宋" w:hAnsi="仿宋" w:eastAsia="仿宋" w:cs="仿宋"/>
          <w:color w:val="auto"/>
          <w:spacing w:val="8"/>
          <w:kern w:val="0"/>
          <w:szCs w:val="21"/>
          <w:highlight w:val="none"/>
        </w:rPr>
      </w:pPr>
      <w:r>
        <w:rPr>
          <w:rFonts w:hint="eastAsia" w:ascii="仿宋" w:hAnsi="仿宋" w:eastAsia="仿宋" w:cs="仿宋"/>
          <w:color w:val="auto"/>
          <w:spacing w:val="8"/>
          <w:kern w:val="0"/>
          <w:szCs w:val="21"/>
          <w:highlight w:val="none"/>
        </w:rPr>
        <w:t>1985年，钱学森发表《关于“第五代计算机”的问题》文章，提出了“智能机”的概念。以此为标志，我国计算机研究产生了新的分支：超级计算机与智能计算机。</w:t>
      </w:r>
    </w:p>
    <w:p>
      <w:pPr>
        <w:widowControl/>
        <w:shd w:val="clear" w:color="auto" w:fill="FFFFFF"/>
        <w:spacing w:line="288" w:lineRule="auto"/>
        <w:ind w:firstLine="452" w:firstLineChars="200"/>
        <w:contextualSpacing/>
        <w:rPr>
          <w:rFonts w:ascii="仿宋" w:hAnsi="仿宋" w:eastAsia="仿宋" w:cs="仿宋"/>
          <w:color w:val="auto"/>
          <w:spacing w:val="8"/>
          <w:kern w:val="0"/>
          <w:szCs w:val="21"/>
          <w:highlight w:val="none"/>
        </w:rPr>
      </w:pPr>
      <w:r>
        <w:rPr>
          <w:rFonts w:hint="eastAsia" w:ascii="仿宋" w:hAnsi="仿宋" w:eastAsia="仿宋" w:cs="仿宋"/>
          <w:color w:val="auto"/>
          <w:spacing w:val="8"/>
          <w:kern w:val="0"/>
          <w:szCs w:val="21"/>
          <w:highlight w:val="none"/>
        </w:rPr>
        <w:t>1988年，我国第一台亿次计算机“银河-I”巨型计算机研制成功，填补了国内巨型机的空白。</w:t>
      </w:r>
    </w:p>
    <w:p>
      <w:pPr>
        <w:widowControl/>
        <w:shd w:val="clear" w:color="auto" w:fill="FFFFFF"/>
        <w:spacing w:line="288" w:lineRule="auto"/>
        <w:ind w:firstLine="452" w:firstLineChars="200"/>
        <w:contextualSpacing/>
        <w:rPr>
          <w:rFonts w:ascii="仿宋" w:hAnsi="仿宋" w:eastAsia="仿宋" w:cs="仿宋"/>
          <w:color w:val="auto"/>
          <w:spacing w:val="8"/>
          <w:kern w:val="0"/>
          <w:szCs w:val="21"/>
          <w:highlight w:val="none"/>
        </w:rPr>
      </w:pPr>
      <w:r>
        <w:rPr>
          <w:rFonts w:hint="eastAsia" w:ascii="仿宋" w:hAnsi="仿宋" w:eastAsia="仿宋" w:cs="仿宋"/>
          <w:color w:val="auto"/>
          <w:spacing w:val="8"/>
          <w:kern w:val="0"/>
          <w:szCs w:val="21"/>
          <w:highlight w:val="none"/>
        </w:rPr>
        <w:t>1990年，国家科委（科技部的前身）批准成立“国家智能计算机研究开发中心”，开展了曙光系列并行计算机的研制，并启动人工智能的基础研究和应用研究。</w:t>
      </w:r>
    </w:p>
    <w:p>
      <w:pPr>
        <w:widowControl/>
        <w:shd w:val="clear" w:color="auto" w:fill="FFFFFF"/>
        <w:spacing w:line="288" w:lineRule="auto"/>
        <w:ind w:firstLine="452" w:firstLineChars="200"/>
        <w:contextualSpacing/>
        <w:rPr>
          <w:rFonts w:ascii="仿宋" w:hAnsi="仿宋" w:eastAsia="仿宋" w:cs="仿宋"/>
          <w:color w:val="auto"/>
          <w:spacing w:val="8"/>
          <w:kern w:val="0"/>
          <w:szCs w:val="21"/>
          <w:highlight w:val="none"/>
        </w:rPr>
      </w:pPr>
      <w:r>
        <w:rPr>
          <w:rFonts w:hint="eastAsia" w:ascii="仿宋" w:hAnsi="仿宋" w:eastAsia="仿宋" w:cs="仿宋"/>
          <w:color w:val="auto"/>
          <w:spacing w:val="8"/>
          <w:kern w:val="0"/>
          <w:szCs w:val="21"/>
          <w:highlight w:val="none"/>
        </w:rPr>
        <w:t>1997年，IBM的深蓝超级计算机战胜了世界冠军棋手卡斯帕罗夫，这是人工智能在特定领域超越人类智能的一个标志性事件。</w:t>
      </w:r>
    </w:p>
    <w:p>
      <w:pPr>
        <w:widowControl/>
        <w:shd w:val="clear" w:color="auto" w:fill="FFFFFF"/>
        <w:spacing w:line="288" w:lineRule="auto"/>
        <w:ind w:firstLine="452" w:firstLineChars="200"/>
        <w:contextualSpacing/>
        <w:rPr>
          <w:rFonts w:ascii="仿宋" w:hAnsi="仿宋" w:eastAsia="仿宋" w:cs="仿宋"/>
          <w:color w:val="auto"/>
          <w:spacing w:val="8"/>
          <w:kern w:val="0"/>
          <w:szCs w:val="21"/>
          <w:highlight w:val="none"/>
        </w:rPr>
      </w:pPr>
      <w:r>
        <w:rPr>
          <w:rFonts w:hint="eastAsia" w:ascii="仿宋" w:hAnsi="仿宋" w:eastAsia="仿宋" w:cs="仿宋"/>
          <w:color w:val="auto"/>
          <w:spacing w:val="8"/>
          <w:kern w:val="0"/>
          <w:szCs w:val="21"/>
          <w:highlight w:val="none"/>
        </w:rPr>
        <w:t>四、云计算与大数据时代</w:t>
      </w:r>
    </w:p>
    <w:p>
      <w:pPr>
        <w:widowControl/>
        <w:shd w:val="clear" w:color="auto" w:fill="FFFFFF"/>
        <w:spacing w:line="288" w:lineRule="auto"/>
        <w:ind w:firstLine="452" w:firstLineChars="200"/>
        <w:contextualSpacing/>
        <w:rPr>
          <w:rFonts w:ascii="仿宋" w:hAnsi="仿宋" w:eastAsia="仿宋" w:cs="仿宋"/>
          <w:color w:val="auto"/>
          <w:spacing w:val="8"/>
          <w:kern w:val="0"/>
          <w:szCs w:val="21"/>
          <w:highlight w:val="none"/>
        </w:rPr>
      </w:pPr>
      <w:r>
        <w:rPr>
          <w:rFonts w:hint="eastAsia" w:ascii="仿宋" w:hAnsi="仿宋" w:eastAsia="仿宋" w:cs="仿宋"/>
          <w:color w:val="auto"/>
          <w:spacing w:val="8"/>
          <w:kern w:val="0"/>
          <w:szCs w:val="21"/>
          <w:highlight w:val="none"/>
        </w:rPr>
        <w:t>20世纪末至21世纪初，随着互联网的普及和计算机技术的飞速发展，计算逐渐实现了联网，算力日益多元化。各种计算平台和工具的出现，使得计算变得更加便捷和高效。</w:t>
      </w:r>
    </w:p>
    <w:p>
      <w:pPr>
        <w:widowControl/>
        <w:shd w:val="clear" w:color="auto" w:fill="FFFFFF"/>
        <w:spacing w:line="288" w:lineRule="auto"/>
        <w:ind w:firstLine="452" w:firstLineChars="200"/>
        <w:contextualSpacing/>
        <w:rPr>
          <w:rFonts w:ascii="仿宋" w:hAnsi="仿宋" w:eastAsia="仿宋" w:cs="仿宋"/>
          <w:color w:val="auto"/>
          <w:spacing w:val="8"/>
          <w:kern w:val="0"/>
          <w:szCs w:val="21"/>
          <w:highlight w:val="none"/>
        </w:rPr>
      </w:pPr>
      <w:r>
        <w:rPr>
          <w:rFonts w:hint="eastAsia" w:ascii="仿宋" w:hAnsi="仿宋" w:eastAsia="仿宋" w:cs="仿宋"/>
          <w:color w:val="auto"/>
          <w:spacing w:val="8"/>
          <w:kern w:val="0"/>
          <w:szCs w:val="21"/>
          <w:highlight w:val="none"/>
        </w:rPr>
        <w:t>2005年，美国亚马逊公司宣布推出Amazon Web Services（AWS），提供了计算、存储、数据库等基础设施服务，吸引了大量企业和开发者开始关注和使用云计算。此后，AWS、Google Cloud、Microsoft Azure以及阿里云、腾讯云、华为云等成为全球主要云服务提供商。</w:t>
      </w:r>
    </w:p>
    <w:p>
      <w:pPr>
        <w:widowControl/>
        <w:shd w:val="clear" w:color="auto" w:fill="FFFFFF"/>
        <w:spacing w:line="288" w:lineRule="auto"/>
        <w:ind w:firstLine="452" w:firstLineChars="200"/>
        <w:contextualSpacing/>
        <w:rPr>
          <w:rFonts w:ascii="仿宋" w:hAnsi="仿宋" w:eastAsia="仿宋" w:cs="仿宋"/>
          <w:color w:val="auto"/>
          <w:spacing w:val="8"/>
          <w:kern w:val="0"/>
          <w:szCs w:val="21"/>
          <w:highlight w:val="none"/>
        </w:rPr>
      </w:pPr>
      <w:r>
        <w:rPr>
          <w:rFonts w:hint="eastAsia" w:ascii="仿宋" w:hAnsi="仿宋" w:eastAsia="仿宋" w:cs="仿宋"/>
          <w:color w:val="auto"/>
          <w:spacing w:val="8"/>
          <w:kern w:val="0"/>
          <w:szCs w:val="21"/>
          <w:highlight w:val="none"/>
        </w:rPr>
        <w:t>2010年代，以苹果公司的iPhone和谷歌的Android操作系统为代表的移动计算技术成为新的发展趋势。同时期，云计算和大数据技术的蓬勃发展，使得信息存储、处理和分析变得更加高效和便捷。</w:t>
      </w:r>
    </w:p>
    <w:p>
      <w:pPr>
        <w:widowControl/>
        <w:shd w:val="clear" w:color="auto" w:fill="FFFFFF"/>
        <w:spacing w:line="288" w:lineRule="auto"/>
        <w:ind w:firstLine="452" w:firstLineChars="200"/>
        <w:contextualSpacing/>
        <w:rPr>
          <w:rFonts w:ascii="仿宋" w:hAnsi="仿宋" w:eastAsia="仿宋" w:cs="仿宋"/>
          <w:color w:val="auto"/>
          <w:spacing w:val="8"/>
          <w:kern w:val="0"/>
          <w:szCs w:val="21"/>
          <w:highlight w:val="none"/>
        </w:rPr>
      </w:pPr>
      <w:r>
        <w:rPr>
          <w:rFonts w:hint="eastAsia" w:ascii="仿宋" w:hAnsi="仿宋" w:eastAsia="仿宋" w:cs="仿宋"/>
          <w:color w:val="auto"/>
          <w:spacing w:val="8"/>
          <w:kern w:val="0"/>
          <w:szCs w:val="21"/>
          <w:highlight w:val="none"/>
        </w:rPr>
        <w:t>五、智能计算时代</w:t>
      </w:r>
    </w:p>
    <w:p>
      <w:pPr>
        <w:widowControl/>
        <w:shd w:val="clear" w:color="auto" w:fill="FFFFFF"/>
        <w:spacing w:line="288" w:lineRule="auto"/>
        <w:ind w:firstLine="452" w:firstLineChars="200"/>
        <w:contextualSpacing/>
        <w:rPr>
          <w:rFonts w:ascii="仿宋" w:hAnsi="仿宋" w:eastAsia="仿宋" w:cs="仿宋"/>
          <w:color w:val="auto"/>
          <w:spacing w:val="8"/>
          <w:kern w:val="0"/>
          <w:szCs w:val="21"/>
          <w:highlight w:val="none"/>
        </w:rPr>
      </w:pPr>
      <w:r>
        <w:rPr>
          <w:rFonts w:hint="eastAsia" w:ascii="仿宋" w:hAnsi="仿宋" w:eastAsia="仿宋" w:cs="仿宋"/>
          <w:color w:val="auto"/>
          <w:spacing w:val="8"/>
          <w:kern w:val="0"/>
          <w:szCs w:val="21"/>
          <w:highlight w:val="none"/>
        </w:rPr>
        <w:t>如今，以人工智能为代表的新一代信息技术创新带来了第四次产业革命——智能化，数据成为了新的生产资料，模型成为了新的生产工具，科技创新已进入“计算密集、数据驱动、基于模型”的全新时代。计算从辅助性的工具变成了重要的创新引擎，正在全面变革科技创新的模式和产业发展的进程。</w:t>
      </w:r>
    </w:p>
    <w:p>
      <w:pPr>
        <w:widowControl/>
        <w:adjustRightInd w:val="0"/>
        <w:snapToGrid w:val="0"/>
        <w:spacing w:line="288" w:lineRule="auto"/>
        <w:jc w:val="center"/>
        <w:rPr>
          <w:rFonts w:ascii="仿宋_GB2312" w:hAnsi="仿宋_GB2312" w:eastAsia="仿宋_GB2312" w:cs="宋体"/>
          <w:color w:val="auto"/>
          <w:spacing w:val="8"/>
          <w:kern w:val="0"/>
          <w:sz w:val="32"/>
          <w:szCs w:val="32"/>
          <w:highlight w:val="none"/>
        </w:rPr>
      </w:pPr>
      <w:r>
        <w:rPr>
          <w:rFonts w:ascii="仿宋_GB2312" w:hAnsi="仿宋_GB2312" w:eastAsia="仿宋_GB2312" w:cs="宋体"/>
          <w:color w:val="auto"/>
          <w:spacing w:val="8"/>
          <w:kern w:val="0"/>
          <w:sz w:val="32"/>
          <w:szCs w:val="32"/>
          <w:highlight w:val="none"/>
        </w:rPr>
        <w:drawing>
          <wp:inline distT="0" distB="0" distL="0" distR="0">
            <wp:extent cx="5270500" cy="2470150"/>
            <wp:effectExtent l="0" t="0" r="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6"/>
                    <a:stretch>
                      <a:fillRect/>
                    </a:stretch>
                  </pic:blipFill>
                  <pic:spPr>
                    <a:xfrm>
                      <a:off x="0" y="0"/>
                      <a:ext cx="5270500" cy="2470150"/>
                    </a:xfrm>
                    <a:prstGeom prst="rect">
                      <a:avLst/>
                    </a:prstGeom>
                  </pic:spPr>
                </pic:pic>
              </a:graphicData>
            </a:graphic>
          </wp:inline>
        </w:drawing>
      </w:r>
    </w:p>
    <w:p>
      <w:pPr>
        <w:rPr>
          <w:rFonts w:ascii="仿宋" w:hAnsi="仿宋" w:eastAsia="仿宋" w:cs="仿宋"/>
          <w:color w:val="auto"/>
          <w:szCs w:val="21"/>
          <w:highlight w:val="none"/>
        </w:rPr>
      </w:pPr>
      <w:r>
        <w:rPr>
          <w:rFonts w:hint="eastAsia" w:ascii="仿宋" w:hAnsi="仿宋" w:eastAsia="仿宋" w:cs="仿宋"/>
          <w:color w:val="auto"/>
          <w:szCs w:val="21"/>
          <w:highlight w:val="none"/>
        </w:rPr>
        <w:br w:type="page"/>
      </w:r>
    </w:p>
    <w:p>
      <w:pPr>
        <w:widowControl/>
        <w:adjustRightInd w:val="0"/>
        <w:snapToGrid w:val="0"/>
        <w:spacing w:line="288" w:lineRule="auto"/>
        <w:jc w:val="left"/>
        <w:rPr>
          <w:rFonts w:ascii="仿宋" w:hAnsi="仿宋" w:eastAsia="仿宋" w:cs="仿宋"/>
          <w:b/>
          <w:bCs/>
          <w:color w:val="auto"/>
          <w:szCs w:val="21"/>
          <w:highlight w:val="none"/>
        </w:rPr>
      </w:pPr>
      <w:r>
        <w:rPr>
          <w:rFonts w:hint="eastAsia" w:ascii="仿宋" w:hAnsi="仿宋" w:eastAsia="仿宋" w:cs="仿宋"/>
          <w:b/>
          <w:bCs/>
          <w:color w:val="auto"/>
          <w:szCs w:val="21"/>
          <w:highlight w:val="none"/>
        </w:rPr>
        <w:t>附件2</w:t>
      </w:r>
    </w:p>
    <w:p>
      <w:pPr>
        <w:widowControl/>
        <w:adjustRightInd w:val="0"/>
        <w:spacing w:line="288" w:lineRule="auto"/>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欢迎来到之江实验室</w:t>
      </w:r>
    </w:p>
    <w:p>
      <w:pPr>
        <w:widowControl/>
        <w:adjustRightInd w:val="0"/>
        <w:spacing w:line="288" w:lineRule="auto"/>
        <w:ind w:firstLine="420" w:firstLineChars="200"/>
        <w:jc w:val="left"/>
        <w:rPr>
          <w:rFonts w:ascii="仿宋" w:hAnsi="仿宋" w:eastAsia="仿宋" w:cs="仿宋"/>
          <w:color w:val="auto"/>
          <w:szCs w:val="21"/>
          <w:highlight w:val="none"/>
        </w:rPr>
      </w:pPr>
      <w:r>
        <w:rPr>
          <w:rFonts w:hint="eastAsia" w:ascii="仿宋" w:hAnsi="仿宋" w:eastAsia="仿宋" w:cs="仿宋"/>
          <w:color w:val="auto"/>
          <w:szCs w:val="21"/>
          <w:highlight w:val="none"/>
        </w:rPr>
        <w:t>之江实验室是浙江省深入实施创新驱动发展战略、探索新型举国体制浙江路径的重大科技创新平台，于2017年9月正式挂牌成立。实验室聚焦智能计算，瞄准国家战略前沿、科技创新变革、战略产业创新三大战略需求，打造国家战略科技力量，建设服务支撑浙江创新发展的策源地，成为世界领先水平的科技创新基地。</w:t>
      </w:r>
    </w:p>
    <w:p>
      <w:pPr>
        <w:widowControl/>
        <w:adjustRightInd w:val="0"/>
        <w:spacing w:line="288" w:lineRule="auto"/>
        <w:jc w:val="center"/>
        <w:rPr>
          <w:rFonts w:ascii="仿宋" w:hAnsi="仿宋" w:eastAsia="仿宋" w:cs="仿宋"/>
          <w:b/>
          <w:bCs/>
          <w:color w:val="auto"/>
          <w:szCs w:val="21"/>
          <w:highlight w:val="none"/>
        </w:rPr>
      </w:pPr>
    </w:p>
    <w:p>
      <w:pPr>
        <w:widowControl/>
        <w:adjustRightInd w:val="0"/>
        <w:spacing w:line="288" w:lineRule="auto"/>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什么是智能计算</w:t>
      </w:r>
    </w:p>
    <w:p>
      <w:pPr>
        <w:widowControl/>
        <w:adjustRightInd w:val="0"/>
        <w:spacing w:line="288" w:lineRule="auto"/>
        <w:ind w:firstLine="420" w:firstLineChars="200"/>
        <w:jc w:val="left"/>
        <w:rPr>
          <w:rFonts w:ascii="仿宋" w:hAnsi="仿宋" w:eastAsia="仿宋" w:cs="仿宋"/>
          <w:color w:val="auto"/>
          <w:szCs w:val="21"/>
          <w:highlight w:val="none"/>
        </w:rPr>
      </w:pPr>
      <w:r>
        <w:rPr>
          <w:rFonts w:hint="eastAsia" w:ascii="仿宋" w:hAnsi="仿宋" w:eastAsia="仿宋" w:cs="仿宋"/>
          <w:color w:val="auto"/>
          <w:szCs w:val="21"/>
          <w:highlight w:val="none"/>
        </w:rPr>
        <w:t>智能计算是大数据、云计算和人工智能时代新的计算变革，是以“计算密集（Computational Intensive）数据驱动（Data Driven）基于模型（Model Based）”为主要特征的计算形态。</w:t>
      </w:r>
    </w:p>
    <w:p>
      <w:pPr>
        <w:widowControl/>
        <w:adjustRightInd w:val="0"/>
        <w:spacing w:line="288" w:lineRule="auto"/>
        <w:jc w:val="center"/>
        <w:rPr>
          <w:rFonts w:ascii="仿宋" w:hAnsi="仿宋" w:eastAsia="仿宋" w:cs="仿宋"/>
          <w:b/>
          <w:bCs/>
          <w:color w:val="auto"/>
          <w:szCs w:val="21"/>
          <w:highlight w:val="none"/>
        </w:rPr>
      </w:pPr>
    </w:p>
    <w:p>
      <w:pPr>
        <w:widowControl/>
        <w:adjustRightInd w:val="0"/>
        <w:spacing w:line="288" w:lineRule="auto"/>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之江实验室“1397”战略路径</w:t>
      </w:r>
    </w:p>
    <w:p>
      <w:pPr>
        <w:widowControl/>
        <w:adjustRightInd w:val="0"/>
        <w:spacing w:line="288" w:lineRule="auto"/>
        <w:ind w:firstLine="420" w:firstLineChars="200"/>
        <w:jc w:val="left"/>
        <w:rPr>
          <w:rFonts w:ascii="仿宋" w:hAnsi="仿宋" w:eastAsia="仿宋" w:cs="仿宋"/>
          <w:color w:val="auto"/>
          <w:szCs w:val="21"/>
          <w:highlight w:val="none"/>
        </w:rPr>
      </w:pPr>
      <w:r>
        <w:rPr>
          <w:rFonts w:hint="eastAsia" w:ascii="仿宋" w:hAnsi="仿宋" w:eastAsia="仿宋" w:cs="仿宋"/>
          <w:color w:val="auto"/>
          <w:szCs w:val="21"/>
          <w:highlight w:val="none"/>
        </w:rPr>
        <w:t>"1智能计算：聚焦智能计算，勇攀高、求突破、见成效"</w:t>
      </w:r>
    </w:p>
    <w:p>
      <w:pPr>
        <w:widowControl/>
        <w:adjustRightInd w:val="0"/>
        <w:spacing w:line="288" w:lineRule="auto"/>
        <w:ind w:firstLine="420" w:firstLineChars="200"/>
        <w:jc w:val="left"/>
        <w:rPr>
          <w:rFonts w:ascii="仿宋" w:hAnsi="仿宋" w:eastAsia="仿宋" w:cs="仿宋"/>
          <w:color w:val="auto"/>
          <w:szCs w:val="21"/>
          <w:highlight w:val="none"/>
        </w:rPr>
      </w:pPr>
      <w:r>
        <w:rPr>
          <w:rFonts w:hint="eastAsia" w:ascii="仿宋" w:hAnsi="仿宋" w:eastAsia="仿宋" w:cs="仿宋"/>
          <w:color w:val="auto"/>
          <w:szCs w:val="21"/>
          <w:highlight w:val="none"/>
        </w:rPr>
        <w:t>"3战略需求：国家战略前沿科技创新变革战略产业创新"</w:t>
      </w:r>
    </w:p>
    <w:p>
      <w:pPr>
        <w:widowControl/>
        <w:adjustRightInd w:val="0"/>
        <w:spacing w:line="288" w:lineRule="auto"/>
        <w:ind w:firstLine="420" w:firstLineChars="200"/>
        <w:jc w:val="left"/>
        <w:rPr>
          <w:rFonts w:ascii="仿宋" w:hAnsi="仿宋" w:eastAsia="仿宋" w:cs="仿宋"/>
          <w:color w:val="auto"/>
          <w:szCs w:val="21"/>
          <w:highlight w:val="none"/>
        </w:rPr>
      </w:pPr>
      <w:r>
        <w:rPr>
          <w:rFonts w:hint="eastAsia" w:ascii="仿宋" w:hAnsi="仿宋" w:eastAsia="仿宋" w:cs="仿宋"/>
          <w:color w:val="auto"/>
          <w:szCs w:val="21"/>
          <w:highlight w:val="none"/>
        </w:rPr>
        <w:t>"9重点任务：具体内容略</w:t>
      </w:r>
    </w:p>
    <w:p>
      <w:pPr>
        <w:widowControl/>
        <w:adjustRightInd w:val="0"/>
        <w:spacing w:line="288" w:lineRule="auto"/>
        <w:ind w:firstLine="420" w:firstLineChars="200"/>
        <w:jc w:val="left"/>
        <w:rPr>
          <w:rFonts w:ascii="仿宋" w:hAnsi="仿宋" w:eastAsia="仿宋" w:cs="仿宋"/>
          <w:color w:val="auto"/>
          <w:szCs w:val="21"/>
          <w:highlight w:val="none"/>
        </w:rPr>
      </w:pPr>
      <w:r>
        <w:rPr>
          <w:rFonts w:hint="eastAsia" w:ascii="仿宋" w:hAnsi="仿宋" w:eastAsia="仿宋" w:cs="仿宋"/>
          <w:color w:val="auto"/>
          <w:szCs w:val="21"/>
          <w:highlight w:val="none"/>
        </w:rPr>
        <w:t>"7机制创新：具体内容略</w:t>
      </w:r>
    </w:p>
    <w:p>
      <w:pPr>
        <w:widowControl/>
        <w:adjustRightInd w:val="0"/>
        <w:spacing w:line="288" w:lineRule="auto"/>
        <w:jc w:val="center"/>
        <w:rPr>
          <w:rFonts w:ascii="仿宋" w:hAnsi="仿宋" w:eastAsia="仿宋" w:cs="仿宋"/>
          <w:b/>
          <w:bCs/>
          <w:color w:val="auto"/>
          <w:szCs w:val="21"/>
          <w:highlight w:val="none"/>
        </w:rPr>
      </w:pPr>
    </w:p>
    <w:p>
      <w:pPr>
        <w:widowControl/>
        <w:adjustRightInd w:val="0"/>
        <w:spacing w:line="288" w:lineRule="auto"/>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之江实验室新型算力中心——新型算力中心概况</w:t>
      </w:r>
    </w:p>
    <w:p>
      <w:pPr>
        <w:widowControl/>
        <w:adjustRightInd w:val="0"/>
        <w:spacing w:line="288" w:lineRule="auto"/>
        <w:ind w:firstLine="420" w:firstLineChars="200"/>
        <w:jc w:val="left"/>
        <w:rPr>
          <w:rFonts w:ascii="仿宋" w:hAnsi="仿宋" w:eastAsia="仿宋" w:cs="仿宋"/>
          <w:color w:val="auto"/>
          <w:szCs w:val="21"/>
          <w:highlight w:val="none"/>
        </w:rPr>
      </w:pPr>
      <w:r>
        <w:rPr>
          <w:rFonts w:hint="eastAsia" w:ascii="仿宋" w:hAnsi="仿宋" w:eastAsia="仿宋" w:cs="仿宋"/>
          <w:color w:val="auto"/>
          <w:szCs w:val="21"/>
          <w:highlight w:val="none"/>
        </w:rPr>
        <w:t>主要指标</w:t>
      </w:r>
    </w:p>
    <w:p>
      <w:pPr>
        <w:widowControl/>
        <w:adjustRightInd w:val="0"/>
        <w:spacing w:line="288" w:lineRule="auto"/>
        <w:ind w:firstLine="420" w:firstLineChars="200"/>
        <w:jc w:val="left"/>
        <w:rPr>
          <w:rFonts w:ascii="仿宋" w:hAnsi="仿宋" w:eastAsia="仿宋" w:cs="仿宋"/>
          <w:color w:val="auto"/>
          <w:szCs w:val="21"/>
          <w:highlight w:val="none"/>
        </w:rPr>
      </w:pPr>
      <w:r>
        <w:rPr>
          <w:rFonts w:hint="eastAsia" w:ascii="仿宋" w:hAnsi="仿宋" w:eastAsia="仿宋" w:cs="仿宋"/>
          <w:color w:val="auto"/>
          <w:szCs w:val="21"/>
          <w:highlight w:val="none"/>
        </w:rPr>
        <w:t>可用性等级：具体内容略</w:t>
      </w:r>
    </w:p>
    <w:p>
      <w:pPr>
        <w:widowControl/>
        <w:adjustRightInd w:val="0"/>
        <w:spacing w:line="288" w:lineRule="auto"/>
        <w:ind w:firstLine="420" w:firstLineChars="200"/>
        <w:jc w:val="left"/>
        <w:rPr>
          <w:rFonts w:ascii="仿宋" w:hAnsi="仿宋" w:eastAsia="仿宋" w:cs="仿宋"/>
          <w:color w:val="auto"/>
          <w:szCs w:val="21"/>
          <w:highlight w:val="none"/>
        </w:rPr>
      </w:pPr>
      <w:r>
        <w:rPr>
          <w:rFonts w:hint="eastAsia" w:ascii="仿宋" w:hAnsi="仿宋" w:eastAsia="仿宋" w:cs="仿宋"/>
          <w:color w:val="auto"/>
          <w:szCs w:val="21"/>
          <w:highlight w:val="none"/>
        </w:rPr>
        <w:t>总建筑面积：具体内容略</w:t>
      </w:r>
    </w:p>
    <w:p>
      <w:pPr>
        <w:widowControl/>
        <w:adjustRightInd w:val="0"/>
        <w:spacing w:line="288" w:lineRule="auto"/>
        <w:ind w:firstLine="420" w:firstLineChars="200"/>
        <w:jc w:val="left"/>
        <w:rPr>
          <w:rFonts w:ascii="仿宋" w:hAnsi="仿宋" w:eastAsia="仿宋" w:cs="仿宋"/>
          <w:color w:val="auto"/>
          <w:szCs w:val="21"/>
          <w:highlight w:val="none"/>
        </w:rPr>
      </w:pPr>
      <w:r>
        <w:rPr>
          <w:rFonts w:hint="eastAsia" w:ascii="仿宋" w:hAnsi="仿宋" w:eastAsia="仿宋" w:cs="仿宋"/>
          <w:color w:val="auto"/>
          <w:szCs w:val="21"/>
          <w:highlight w:val="none"/>
        </w:rPr>
        <w:t>总规划机柜：具体内容略</w:t>
      </w:r>
    </w:p>
    <w:p>
      <w:pPr>
        <w:widowControl/>
        <w:adjustRightInd w:val="0"/>
        <w:spacing w:line="288" w:lineRule="auto"/>
        <w:ind w:firstLine="420" w:firstLineChars="200"/>
        <w:jc w:val="left"/>
        <w:rPr>
          <w:rFonts w:ascii="仿宋" w:hAnsi="仿宋" w:eastAsia="仿宋" w:cs="仿宋"/>
          <w:color w:val="auto"/>
          <w:szCs w:val="21"/>
          <w:highlight w:val="none"/>
        </w:rPr>
      </w:pPr>
      <w:r>
        <w:rPr>
          <w:rFonts w:hint="eastAsia" w:ascii="仿宋" w:hAnsi="仿宋" w:eastAsia="仿宋" w:cs="仿宋"/>
          <w:color w:val="auto"/>
          <w:szCs w:val="21"/>
          <w:highlight w:val="none"/>
        </w:rPr>
        <w:t>总IT功率：具体内容略</w:t>
      </w:r>
    </w:p>
    <w:p>
      <w:pPr>
        <w:widowControl/>
        <w:adjustRightInd w:val="0"/>
        <w:spacing w:line="288" w:lineRule="auto"/>
        <w:ind w:firstLine="420" w:firstLineChars="200"/>
        <w:jc w:val="left"/>
        <w:rPr>
          <w:rFonts w:ascii="仿宋" w:hAnsi="仿宋" w:eastAsia="仿宋" w:cs="仿宋"/>
          <w:color w:val="auto"/>
          <w:szCs w:val="21"/>
          <w:highlight w:val="none"/>
        </w:rPr>
      </w:pPr>
    </w:p>
    <w:p>
      <w:pPr>
        <w:widowControl/>
        <w:adjustRightInd w:val="0"/>
        <w:spacing w:line="288" w:lineRule="auto"/>
        <w:ind w:firstLine="420" w:firstLineChars="200"/>
        <w:jc w:val="left"/>
        <w:rPr>
          <w:rFonts w:ascii="仿宋" w:hAnsi="仿宋" w:eastAsia="仿宋" w:cs="仿宋"/>
          <w:color w:val="auto"/>
          <w:szCs w:val="21"/>
          <w:highlight w:val="none"/>
        </w:rPr>
      </w:pPr>
      <w:r>
        <w:rPr>
          <w:rFonts w:hint="eastAsia" w:ascii="仿宋" w:hAnsi="仿宋" w:eastAsia="仿宋" w:cs="仿宋"/>
          <w:color w:val="auto"/>
          <w:szCs w:val="21"/>
          <w:highlight w:val="none"/>
        </w:rPr>
        <w:t>万卡智能计算集群</w:t>
      </w:r>
    </w:p>
    <w:p>
      <w:pPr>
        <w:widowControl/>
        <w:adjustRightInd w:val="0"/>
        <w:spacing w:line="288" w:lineRule="auto"/>
        <w:ind w:firstLine="420" w:firstLineChars="200"/>
        <w:jc w:val="left"/>
        <w:rPr>
          <w:rFonts w:ascii="仿宋" w:hAnsi="仿宋" w:eastAsia="仿宋" w:cs="仿宋"/>
          <w:color w:val="auto"/>
          <w:szCs w:val="21"/>
          <w:highlight w:val="none"/>
        </w:rPr>
      </w:pPr>
      <w:r>
        <w:rPr>
          <w:rFonts w:hint="eastAsia" w:ascii="仿宋" w:hAnsi="仿宋" w:eastAsia="仿宋" w:cs="仿宋"/>
          <w:color w:val="auto"/>
          <w:szCs w:val="21"/>
          <w:highlight w:val="none"/>
        </w:rPr>
        <w:t>建设高性能、高效能、高能效、高安全的高标准天地一体智能计算基础设施</w:t>
      </w:r>
    </w:p>
    <w:p>
      <w:pPr>
        <w:widowControl/>
        <w:adjustRightInd w:val="0"/>
        <w:spacing w:line="288" w:lineRule="auto"/>
        <w:jc w:val="center"/>
        <w:rPr>
          <w:rFonts w:ascii="仿宋" w:hAnsi="仿宋" w:eastAsia="仿宋" w:cs="仿宋"/>
          <w:b/>
          <w:bCs/>
          <w:color w:val="auto"/>
          <w:szCs w:val="21"/>
          <w:highlight w:val="none"/>
        </w:rPr>
      </w:pPr>
    </w:p>
    <w:p>
      <w:pPr>
        <w:widowControl/>
        <w:adjustRightInd w:val="0"/>
        <w:spacing w:line="288" w:lineRule="auto"/>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之江实验室新型算力中心——国家新一代人工智能公共算力开放创新平台</w:t>
      </w:r>
    </w:p>
    <w:p>
      <w:pPr>
        <w:widowControl/>
        <w:adjustRightInd w:val="0"/>
        <w:spacing w:line="288" w:lineRule="auto"/>
        <w:ind w:firstLine="420" w:firstLineChars="200"/>
        <w:jc w:val="left"/>
        <w:rPr>
          <w:rFonts w:ascii="仿宋" w:hAnsi="仿宋" w:eastAsia="仿宋" w:cs="仿宋"/>
          <w:color w:val="auto"/>
          <w:szCs w:val="21"/>
          <w:highlight w:val="none"/>
        </w:rPr>
      </w:pPr>
      <w:r>
        <w:rPr>
          <w:rFonts w:hint="eastAsia" w:ascii="仿宋" w:hAnsi="仿宋" w:eastAsia="仿宋" w:cs="仿宋"/>
          <w:color w:val="auto"/>
          <w:szCs w:val="21"/>
          <w:highlight w:val="none"/>
        </w:rPr>
        <w:t>公共算力平台是具备人工智能计算能力并提供算力服务的基础设施，为科技创新和产业智能化转型提供人工智能普惠算力，是建设智能社会、推动智能经济的新动能。</w:t>
      </w:r>
    </w:p>
    <w:p>
      <w:pPr>
        <w:widowControl/>
        <w:adjustRightInd w:val="0"/>
        <w:spacing w:line="288" w:lineRule="auto"/>
        <w:ind w:firstLine="420" w:firstLineChars="200"/>
        <w:jc w:val="left"/>
        <w:rPr>
          <w:rFonts w:ascii="仿宋" w:hAnsi="仿宋" w:eastAsia="仿宋" w:cs="仿宋"/>
          <w:color w:val="auto"/>
          <w:szCs w:val="21"/>
          <w:highlight w:val="none"/>
        </w:rPr>
      </w:pPr>
      <w:r>
        <w:rPr>
          <w:rFonts w:hint="eastAsia" w:ascii="仿宋" w:hAnsi="仿宋" w:eastAsia="仿宋" w:cs="仿宋"/>
          <w:color w:val="auto"/>
          <w:szCs w:val="21"/>
          <w:highlight w:val="none"/>
        </w:rPr>
        <w:t>助力杭州市算力产业发展、驱动人工智能技术及产业创新</w:t>
      </w:r>
    </w:p>
    <w:p>
      <w:pPr>
        <w:widowControl/>
        <w:adjustRightInd w:val="0"/>
        <w:spacing w:line="288" w:lineRule="auto"/>
        <w:ind w:firstLine="420" w:firstLineChars="200"/>
        <w:jc w:val="left"/>
        <w:rPr>
          <w:rFonts w:ascii="仿宋" w:hAnsi="仿宋" w:eastAsia="仿宋" w:cs="仿宋"/>
          <w:color w:val="auto"/>
          <w:szCs w:val="21"/>
          <w:highlight w:val="none"/>
        </w:rPr>
      </w:pPr>
      <w:r>
        <w:rPr>
          <w:rFonts w:hint="eastAsia" w:ascii="仿宋" w:hAnsi="仿宋" w:eastAsia="仿宋" w:cs="仿宋"/>
          <w:color w:val="auto"/>
          <w:szCs w:val="21"/>
          <w:highlight w:val="none"/>
        </w:rPr>
        <w:t>智能计算生态自建或汇聚第三方资源，集成服务，开放服务</w:t>
      </w:r>
    </w:p>
    <w:p>
      <w:pPr>
        <w:widowControl/>
        <w:adjustRightInd w:val="0"/>
        <w:spacing w:line="288" w:lineRule="auto"/>
        <w:jc w:val="center"/>
        <w:rPr>
          <w:rFonts w:ascii="仿宋" w:hAnsi="仿宋" w:eastAsia="仿宋" w:cs="仿宋"/>
          <w:b/>
          <w:bCs/>
          <w:color w:val="auto"/>
          <w:szCs w:val="21"/>
          <w:highlight w:val="none"/>
        </w:rPr>
      </w:pPr>
    </w:p>
    <w:p>
      <w:pPr>
        <w:spacing w:line="288" w:lineRule="auto"/>
        <w:rPr>
          <w:rFonts w:ascii="仿宋" w:hAnsi="仿宋" w:eastAsia="仿宋" w:cs="仿宋"/>
          <w:b/>
          <w:bCs/>
          <w:color w:val="auto"/>
          <w:szCs w:val="21"/>
          <w:highlight w:val="none"/>
        </w:rPr>
      </w:pPr>
      <w:r>
        <w:rPr>
          <w:rFonts w:hint="eastAsia" w:ascii="仿宋" w:hAnsi="仿宋" w:eastAsia="仿宋" w:cs="仿宋"/>
          <w:b/>
          <w:bCs/>
          <w:color w:val="auto"/>
          <w:szCs w:val="21"/>
          <w:highlight w:val="none"/>
        </w:rPr>
        <w:br w:type="page"/>
      </w:r>
    </w:p>
    <w:p>
      <w:pPr>
        <w:widowControl/>
        <w:adjustRightInd w:val="0"/>
        <w:spacing w:line="288" w:lineRule="auto"/>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之江实验室新型算力中心——杭州市人工智能产业联盟</w:t>
      </w:r>
    </w:p>
    <w:p>
      <w:pPr>
        <w:widowControl/>
        <w:adjustRightInd w:val="0"/>
        <w:spacing w:line="288" w:lineRule="auto"/>
        <w:ind w:firstLine="420" w:firstLineChars="200"/>
        <w:jc w:val="left"/>
        <w:rPr>
          <w:rFonts w:ascii="仿宋" w:hAnsi="仿宋" w:eastAsia="仿宋" w:cs="仿宋"/>
          <w:color w:val="auto"/>
          <w:szCs w:val="21"/>
          <w:highlight w:val="none"/>
        </w:rPr>
      </w:pPr>
      <w:r>
        <w:rPr>
          <w:rFonts w:hint="eastAsia" w:ascii="仿宋" w:hAnsi="仿宋" w:eastAsia="仿宋" w:cs="仿宋"/>
          <w:color w:val="auto"/>
          <w:szCs w:val="21"/>
          <w:highlight w:val="none"/>
        </w:rPr>
        <w:t>共商 共建 共享 共发展</w:t>
      </w:r>
    </w:p>
    <w:p>
      <w:pPr>
        <w:widowControl/>
        <w:adjustRightInd w:val="0"/>
        <w:spacing w:line="288" w:lineRule="auto"/>
        <w:ind w:firstLine="420" w:firstLineChars="200"/>
        <w:jc w:val="left"/>
        <w:rPr>
          <w:rFonts w:ascii="仿宋" w:hAnsi="仿宋" w:eastAsia="仿宋" w:cs="仿宋"/>
          <w:color w:val="auto"/>
          <w:szCs w:val="21"/>
          <w:highlight w:val="none"/>
        </w:rPr>
      </w:pPr>
      <w:r>
        <w:rPr>
          <w:rFonts w:hint="eastAsia" w:ascii="仿宋" w:hAnsi="仿宋" w:eastAsia="仿宋" w:cs="仿宋"/>
          <w:color w:val="auto"/>
          <w:szCs w:val="21"/>
          <w:highlight w:val="none"/>
        </w:rPr>
        <w:t>专委会机制</w:t>
      </w:r>
    </w:p>
    <w:p>
      <w:pPr>
        <w:widowControl/>
        <w:adjustRightInd w:val="0"/>
        <w:spacing w:line="288" w:lineRule="auto"/>
        <w:ind w:firstLine="420" w:firstLineChars="200"/>
        <w:jc w:val="left"/>
        <w:rPr>
          <w:rFonts w:ascii="仿宋" w:hAnsi="仿宋" w:eastAsia="仿宋" w:cs="仿宋"/>
          <w:color w:val="auto"/>
          <w:szCs w:val="21"/>
          <w:highlight w:val="none"/>
        </w:rPr>
      </w:pPr>
      <w:r>
        <w:rPr>
          <w:rFonts w:hint="eastAsia" w:ascii="仿宋" w:hAnsi="仿宋" w:eastAsia="仿宋" w:cs="仿宋"/>
          <w:color w:val="auto"/>
          <w:szCs w:val="21"/>
          <w:highlight w:val="none"/>
        </w:rPr>
        <w:t>围绕智能计算技术、算力平台建设、模型开发应用（模型开发、场景应用、智能设备）等方向，适时设立专委会。集聚相关领域的技术专家、产业管理人才、财务金融专家，政策研究专家等，共谋共商助力行业高质量发展。</w:t>
      </w:r>
    </w:p>
    <w:p>
      <w:pPr>
        <w:widowControl/>
        <w:adjustRightInd w:val="0"/>
        <w:spacing w:line="288" w:lineRule="auto"/>
        <w:ind w:firstLine="420" w:firstLineChars="200"/>
        <w:jc w:val="left"/>
        <w:rPr>
          <w:rFonts w:ascii="仿宋" w:hAnsi="仿宋" w:eastAsia="仿宋" w:cs="仿宋"/>
          <w:color w:val="auto"/>
          <w:szCs w:val="21"/>
          <w:highlight w:val="none"/>
        </w:rPr>
      </w:pPr>
    </w:p>
    <w:p>
      <w:pPr>
        <w:widowControl/>
        <w:adjustRightInd w:val="0"/>
        <w:spacing w:line="288" w:lineRule="auto"/>
        <w:ind w:firstLine="420" w:firstLineChars="200"/>
        <w:jc w:val="left"/>
        <w:rPr>
          <w:rFonts w:ascii="仿宋" w:hAnsi="仿宋" w:eastAsia="仿宋" w:cs="仿宋"/>
          <w:color w:val="auto"/>
          <w:szCs w:val="21"/>
          <w:highlight w:val="none"/>
        </w:rPr>
      </w:pPr>
      <w:r>
        <w:rPr>
          <w:rFonts w:hint="eastAsia" w:ascii="仿宋" w:hAnsi="仿宋" w:eastAsia="仿宋" w:cs="仿宋"/>
          <w:color w:val="auto"/>
          <w:szCs w:val="21"/>
          <w:highlight w:val="none"/>
        </w:rPr>
        <w:t>会员志愿服务机制</w:t>
      </w:r>
    </w:p>
    <w:p>
      <w:pPr>
        <w:widowControl/>
        <w:adjustRightInd w:val="0"/>
        <w:spacing w:line="288" w:lineRule="auto"/>
        <w:ind w:firstLine="420" w:firstLineChars="200"/>
        <w:jc w:val="left"/>
        <w:rPr>
          <w:rFonts w:ascii="仿宋" w:hAnsi="仿宋" w:eastAsia="仿宋" w:cs="仿宋"/>
          <w:color w:val="auto"/>
          <w:szCs w:val="21"/>
          <w:highlight w:val="none"/>
        </w:rPr>
      </w:pPr>
      <w:r>
        <w:rPr>
          <w:rFonts w:hint="eastAsia" w:ascii="仿宋" w:hAnsi="仿宋" w:eastAsia="仿宋" w:cs="仿宋"/>
          <w:color w:val="auto"/>
          <w:szCs w:val="21"/>
          <w:highlight w:val="none"/>
        </w:rPr>
        <w:t>为增强联盟的凝聚力和向心力，激发会员的积极性和创造力，促进会员平等地分享权力和责任，推行会员志愿服务机制，以联盟为载体，通过志愿策划交流、分享、展示等活动，构建平等自由、创新开放、生动有趣、朝气蓬勃、敢作敢为的联盟文化。</w:t>
      </w:r>
    </w:p>
    <w:p>
      <w:pPr>
        <w:widowControl/>
        <w:adjustRightInd w:val="0"/>
        <w:spacing w:line="288" w:lineRule="auto"/>
        <w:ind w:firstLine="420" w:firstLineChars="200"/>
        <w:jc w:val="left"/>
        <w:rPr>
          <w:rFonts w:ascii="仿宋" w:hAnsi="仿宋" w:eastAsia="仿宋" w:cs="仿宋"/>
          <w:color w:val="auto"/>
          <w:szCs w:val="21"/>
          <w:highlight w:val="none"/>
        </w:rPr>
      </w:pPr>
    </w:p>
    <w:p>
      <w:pPr>
        <w:widowControl/>
        <w:adjustRightInd w:val="0"/>
        <w:spacing w:line="288" w:lineRule="auto"/>
        <w:ind w:firstLine="420" w:firstLineChars="200"/>
        <w:jc w:val="left"/>
        <w:rPr>
          <w:rFonts w:ascii="仿宋" w:hAnsi="仿宋" w:eastAsia="仿宋" w:cs="仿宋"/>
          <w:color w:val="auto"/>
          <w:szCs w:val="21"/>
          <w:highlight w:val="none"/>
        </w:rPr>
      </w:pPr>
      <w:r>
        <w:rPr>
          <w:rFonts w:hint="eastAsia" w:ascii="仿宋" w:hAnsi="仿宋" w:eastAsia="仿宋" w:cs="仿宋"/>
          <w:color w:val="auto"/>
          <w:szCs w:val="21"/>
          <w:highlight w:val="none"/>
        </w:rPr>
        <w:t>联盟成员单位</w:t>
      </w:r>
    </w:p>
    <w:p>
      <w:pPr>
        <w:widowControl/>
        <w:adjustRightInd w:val="0"/>
        <w:spacing w:line="288" w:lineRule="auto"/>
        <w:ind w:firstLine="420" w:firstLineChars="200"/>
        <w:jc w:val="left"/>
        <w:rPr>
          <w:rFonts w:ascii="仿宋" w:hAnsi="仿宋" w:eastAsia="仿宋" w:cs="仿宋"/>
          <w:color w:val="auto"/>
          <w:szCs w:val="21"/>
          <w:highlight w:val="none"/>
        </w:rPr>
      </w:pPr>
      <w:r>
        <w:rPr>
          <w:rFonts w:hint="eastAsia" w:ascii="仿宋" w:hAnsi="仿宋" w:eastAsia="仿宋" w:cs="仿宋"/>
          <w:color w:val="auto"/>
          <w:szCs w:val="21"/>
          <w:highlight w:val="none"/>
        </w:rPr>
        <w:t>成立时首批160家成员单位名单见附件，后续定期更新。</w:t>
      </w:r>
    </w:p>
    <w:p>
      <w:pPr>
        <w:widowControl/>
        <w:adjustRightInd w:val="0"/>
        <w:spacing w:line="288" w:lineRule="auto"/>
        <w:ind w:firstLine="420" w:firstLineChars="200"/>
        <w:jc w:val="left"/>
        <w:rPr>
          <w:rFonts w:ascii="仿宋" w:hAnsi="仿宋" w:eastAsia="仿宋" w:cs="仿宋"/>
          <w:color w:val="auto"/>
          <w:szCs w:val="21"/>
          <w:highlight w:val="none"/>
        </w:rPr>
      </w:pPr>
    </w:p>
    <w:p>
      <w:pPr>
        <w:widowControl/>
        <w:adjustRightInd w:val="0"/>
        <w:spacing w:line="288" w:lineRule="auto"/>
        <w:ind w:firstLine="420" w:firstLineChars="200"/>
        <w:jc w:val="left"/>
        <w:rPr>
          <w:rFonts w:ascii="仿宋" w:hAnsi="仿宋" w:eastAsia="仿宋" w:cs="仿宋"/>
          <w:color w:val="auto"/>
          <w:szCs w:val="21"/>
          <w:highlight w:val="none"/>
        </w:rPr>
      </w:pPr>
      <w:r>
        <w:rPr>
          <w:rFonts w:hint="eastAsia" w:ascii="仿宋" w:hAnsi="仿宋" w:eastAsia="仿宋" w:cs="仿宋"/>
          <w:color w:val="auto"/>
          <w:szCs w:val="21"/>
          <w:highlight w:val="none"/>
        </w:rPr>
        <w:t>杭州市人工智能产业联盟倡议书</w:t>
      </w:r>
    </w:p>
    <w:p>
      <w:pPr>
        <w:widowControl/>
        <w:adjustRightInd w:val="0"/>
        <w:snapToGrid w:val="0"/>
        <w:spacing w:line="288" w:lineRule="auto"/>
        <w:jc w:val="left"/>
        <w:rPr>
          <w:rFonts w:ascii="仿宋" w:hAnsi="仿宋" w:eastAsia="仿宋" w:cs="仿宋"/>
          <w:color w:val="auto"/>
          <w:szCs w:val="21"/>
          <w:highlight w:val="none"/>
        </w:rPr>
      </w:pPr>
    </w:p>
    <w:p>
      <w:pPr>
        <w:widowControl/>
        <w:adjustRightInd w:val="0"/>
        <w:snapToGrid w:val="0"/>
        <w:spacing w:line="288" w:lineRule="auto"/>
        <w:jc w:val="center"/>
        <w:rPr>
          <w:rFonts w:ascii="仿宋" w:hAnsi="仿宋" w:eastAsia="仿宋" w:cs="仿宋"/>
          <w:color w:val="auto"/>
          <w:szCs w:val="21"/>
          <w:highlight w:val="none"/>
        </w:rPr>
      </w:pPr>
      <w:r>
        <w:rPr>
          <w:rFonts w:hint="eastAsia" w:ascii="仿宋" w:hAnsi="仿宋" w:eastAsia="仿宋" w:cs="仿宋"/>
          <w:b/>
          <w:bCs/>
          <w:color w:val="auto"/>
          <w:szCs w:val="21"/>
          <w:highlight w:val="none"/>
        </w:rPr>
        <w:t>之江实验室新型算力中心——万卡智算集群介绍</w:t>
      </w:r>
    </w:p>
    <w:p>
      <w:pPr>
        <w:widowControl/>
        <w:adjustRightInd w:val="0"/>
        <w:snapToGrid w:val="0"/>
        <w:spacing w:line="288" w:lineRule="auto"/>
        <w:ind w:firstLine="420" w:firstLineChars="200"/>
        <w:jc w:val="left"/>
        <w:rPr>
          <w:rFonts w:ascii="仿宋" w:hAnsi="仿宋" w:eastAsia="仿宋" w:cs="仿宋"/>
          <w:color w:val="auto"/>
          <w:szCs w:val="21"/>
          <w:highlight w:val="none"/>
        </w:rPr>
      </w:pPr>
      <w:r>
        <w:rPr>
          <w:rFonts w:hint="eastAsia" w:ascii="仿宋" w:hAnsi="仿宋" w:eastAsia="仿宋" w:cs="仿宋"/>
          <w:color w:val="auto"/>
          <w:szCs w:val="21"/>
          <w:highlight w:val="none"/>
        </w:rPr>
        <w:t>核心目标：</w:t>
      </w:r>
      <w:r>
        <w:rPr>
          <w:rFonts w:hint="eastAsia" w:ascii="仿宋" w:hAnsi="仿宋" w:eastAsia="仿宋" w:cs="仿宋"/>
          <w:color w:val="auto"/>
          <w:szCs w:val="21"/>
          <w:highlight w:val="none"/>
          <w:lang w:val="en-US" w:eastAsia="zh-CN"/>
        </w:rPr>
        <w:t>略</w:t>
      </w:r>
      <w:r>
        <w:rPr>
          <w:rFonts w:hint="eastAsia" w:ascii="仿宋" w:hAnsi="仿宋" w:eastAsia="仿宋" w:cs="仿宋"/>
          <w:color w:val="auto"/>
          <w:szCs w:val="21"/>
          <w:highlight w:val="none"/>
        </w:rPr>
        <w:t>。</w:t>
      </w:r>
    </w:p>
    <w:p>
      <w:pPr>
        <w:widowControl/>
        <w:adjustRightInd w:val="0"/>
        <w:snapToGrid w:val="0"/>
        <w:spacing w:line="288" w:lineRule="auto"/>
        <w:ind w:firstLine="420" w:firstLineChars="200"/>
        <w:jc w:val="left"/>
        <w:rPr>
          <w:rFonts w:ascii="仿宋" w:hAnsi="仿宋" w:eastAsia="仿宋" w:cs="仿宋"/>
          <w:color w:val="auto"/>
          <w:szCs w:val="21"/>
          <w:highlight w:val="none"/>
        </w:rPr>
      </w:pPr>
      <w:r>
        <w:rPr>
          <w:rFonts w:hint="eastAsia" w:ascii="仿宋" w:hAnsi="仿宋" w:eastAsia="仿宋" w:cs="仿宋"/>
          <w:color w:val="auto"/>
          <w:szCs w:val="21"/>
          <w:highlight w:val="none"/>
        </w:rPr>
        <w:t>基础万卡算力集群：略。</w:t>
      </w:r>
    </w:p>
    <w:p>
      <w:pPr>
        <w:widowControl/>
        <w:adjustRightInd w:val="0"/>
        <w:snapToGrid w:val="0"/>
        <w:spacing w:line="288" w:lineRule="auto"/>
        <w:ind w:firstLine="420" w:firstLineChars="200"/>
        <w:jc w:val="left"/>
        <w:rPr>
          <w:rFonts w:ascii="仿宋" w:hAnsi="仿宋" w:eastAsia="仿宋" w:cs="仿宋"/>
          <w:color w:val="auto"/>
          <w:szCs w:val="21"/>
          <w:highlight w:val="none"/>
        </w:rPr>
      </w:pPr>
      <w:r>
        <w:rPr>
          <w:rFonts w:hint="eastAsia" w:ascii="仿宋" w:hAnsi="仿宋" w:eastAsia="仿宋" w:cs="仿宋"/>
          <w:color w:val="auto"/>
          <w:szCs w:val="21"/>
          <w:highlight w:val="none"/>
        </w:rPr>
        <w:t>混合万卡算力集群：略。</w:t>
      </w:r>
    </w:p>
    <w:p>
      <w:pPr>
        <w:widowControl/>
        <w:adjustRightInd w:val="0"/>
        <w:snapToGrid w:val="0"/>
        <w:spacing w:line="288" w:lineRule="auto"/>
        <w:ind w:firstLine="420" w:firstLineChars="200"/>
        <w:jc w:val="left"/>
        <w:rPr>
          <w:rFonts w:ascii="仿宋" w:hAnsi="仿宋" w:eastAsia="仿宋" w:cs="仿宋"/>
          <w:color w:val="auto"/>
          <w:szCs w:val="21"/>
          <w:highlight w:val="none"/>
        </w:rPr>
      </w:pPr>
      <w:r>
        <w:rPr>
          <w:rFonts w:hint="eastAsia" w:ascii="仿宋" w:hAnsi="仿宋" w:eastAsia="仿宋" w:cs="仿宋"/>
          <w:color w:val="auto"/>
          <w:szCs w:val="21"/>
          <w:highlight w:val="none"/>
        </w:rPr>
        <w:t>新型万卡算力集群：略。</w:t>
      </w:r>
    </w:p>
    <w:p>
      <w:pPr>
        <w:widowControl/>
        <w:adjustRightInd w:val="0"/>
        <w:snapToGrid w:val="0"/>
        <w:spacing w:line="288" w:lineRule="auto"/>
        <w:ind w:firstLine="420" w:firstLineChars="200"/>
        <w:jc w:val="left"/>
        <w:rPr>
          <w:rFonts w:ascii="仿宋" w:hAnsi="仿宋" w:eastAsia="仿宋" w:cs="仿宋"/>
          <w:color w:val="auto"/>
          <w:szCs w:val="21"/>
          <w:highlight w:val="none"/>
        </w:rPr>
      </w:pPr>
      <w:r>
        <w:rPr>
          <w:rFonts w:hint="eastAsia" w:ascii="仿宋" w:hAnsi="仿宋" w:eastAsia="仿宋" w:cs="仿宋"/>
          <w:color w:val="auto"/>
          <w:szCs w:val="21"/>
          <w:highlight w:val="none"/>
        </w:rPr>
        <w:t>通过开放创新突破关键核心技术，打造高性能、高效能和高能效的新型算力设施。</w:t>
      </w:r>
    </w:p>
    <w:p>
      <w:pPr>
        <w:widowControl/>
        <w:adjustRightInd w:val="0"/>
        <w:snapToGrid w:val="0"/>
        <w:spacing w:line="288" w:lineRule="auto"/>
        <w:ind w:firstLine="420" w:firstLineChars="200"/>
        <w:jc w:val="left"/>
        <w:rPr>
          <w:rFonts w:ascii="仿宋" w:hAnsi="仿宋" w:eastAsia="仿宋" w:cs="仿宋"/>
          <w:color w:val="auto"/>
          <w:szCs w:val="21"/>
          <w:highlight w:val="none"/>
        </w:rPr>
      </w:pPr>
      <w:r>
        <w:rPr>
          <w:rFonts w:hint="eastAsia" w:ascii="仿宋" w:hAnsi="仿宋" w:eastAsia="仿宋" w:cs="仿宋"/>
          <w:color w:val="auto"/>
          <w:szCs w:val="21"/>
          <w:highlight w:val="none"/>
        </w:rPr>
        <w:t>两篇论文展示：</w:t>
      </w:r>
    </w:p>
    <w:p>
      <w:pPr>
        <w:widowControl/>
        <w:adjustRightInd w:val="0"/>
        <w:snapToGrid w:val="0"/>
        <w:spacing w:line="288" w:lineRule="auto"/>
        <w:ind w:firstLine="420" w:firstLineChars="200"/>
        <w:jc w:val="left"/>
        <w:rPr>
          <w:rFonts w:ascii="仿宋" w:hAnsi="仿宋" w:eastAsia="仿宋" w:cs="仿宋"/>
          <w:color w:val="auto"/>
          <w:szCs w:val="21"/>
          <w:highlight w:val="none"/>
        </w:rPr>
      </w:pPr>
      <w:r>
        <w:rPr>
          <w:rFonts w:hint="eastAsia" w:ascii="仿宋" w:hAnsi="仿宋" w:eastAsia="仿宋" w:cs="仿宋"/>
          <w:color w:val="auto"/>
          <w:szCs w:val="21"/>
          <w:highlight w:val="none"/>
        </w:rPr>
        <w:t>《Attention Is All You Need》，Google，2017年</w:t>
      </w:r>
    </w:p>
    <w:p>
      <w:pPr>
        <w:widowControl/>
        <w:adjustRightInd w:val="0"/>
        <w:snapToGrid w:val="0"/>
        <w:spacing w:line="288" w:lineRule="auto"/>
        <w:ind w:firstLine="420" w:firstLineChars="200"/>
        <w:jc w:val="left"/>
        <w:rPr>
          <w:rFonts w:ascii="仿宋" w:hAnsi="仿宋" w:eastAsia="仿宋" w:cs="仿宋"/>
          <w:color w:val="auto"/>
          <w:szCs w:val="21"/>
          <w:highlight w:val="none"/>
        </w:rPr>
      </w:pPr>
      <w:r>
        <w:rPr>
          <w:rFonts w:hint="eastAsia" w:ascii="仿宋" w:hAnsi="仿宋" w:eastAsia="仿宋" w:cs="仿宋"/>
          <w:color w:val="auto"/>
          <w:szCs w:val="21"/>
          <w:highlight w:val="none"/>
        </w:rPr>
        <w:t>《Improving Language Understanding by Generative Pre-Training》，OpenAI，2018年</w:t>
      </w:r>
    </w:p>
    <w:p>
      <w:pPr>
        <w:spacing w:line="288" w:lineRule="auto"/>
        <w:rPr>
          <w:rFonts w:ascii="仿宋" w:hAnsi="仿宋" w:eastAsia="仿宋" w:cs="仿宋"/>
          <w:color w:val="auto"/>
          <w:szCs w:val="21"/>
          <w:highlight w:val="none"/>
        </w:rPr>
      </w:pPr>
      <w:r>
        <w:rPr>
          <w:rFonts w:hint="eastAsia" w:ascii="仿宋" w:hAnsi="仿宋" w:eastAsia="仿宋" w:cs="仿宋"/>
          <w:color w:val="auto"/>
          <w:szCs w:val="21"/>
          <w:highlight w:val="none"/>
        </w:rPr>
        <w:br w:type="page"/>
      </w:r>
    </w:p>
    <w:p>
      <w:pPr>
        <w:widowControl/>
        <w:adjustRightInd w:val="0"/>
        <w:snapToGrid w:val="0"/>
        <w:spacing w:line="288" w:lineRule="auto"/>
        <w:jc w:val="left"/>
        <w:rPr>
          <w:rFonts w:ascii="仿宋" w:hAnsi="仿宋" w:eastAsia="仿宋" w:cs="仿宋"/>
          <w:b/>
          <w:bCs/>
          <w:color w:val="auto"/>
          <w:szCs w:val="21"/>
          <w:highlight w:val="none"/>
        </w:rPr>
      </w:pPr>
      <w:r>
        <w:rPr>
          <w:rFonts w:hint="eastAsia" w:ascii="仿宋" w:hAnsi="仿宋" w:eastAsia="仿宋" w:cs="仿宋"/>
          <w:b/>
          <w:bCs/>
          <w:color w:val="auto"/>
          <w:szCs w:val="21"/>
          <w:highlight w:val="none"/>
        </w:rPr>
        <w:t>附件3</w:t>
      </w:r>
    </w:p>
    <w:p>
      <w:pPr>
        <w:widowControl/>
        <w:adjustRightInd w:val="0"/>
        <w:snapToGrid w:val="0"/>
        <w:spacing w:line="288" w:lineRule="auto"/>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万卡智算集群</w:t>
      </w:r>
    </w:p>
    <w:p>
      <w:pPr>
        <w:widowControl/>
        <w:adjustRightInd w:val="0"/>
        <w:snapToGrid w:val="0"/>
        <w:spacing w:line="288" w:lineRule="auto"/>
        <w:ind w:firstLine="420" w:firstLineChars="200"/>
        <w:jc w:val="left"/>
        <w:rPr>
          <w:rFonts w:ascii="仿宋" w:hAnsi="仿宋" w:eastAsia="仿宋" w:cs="仿宋"/>
          <w:color w:val="auto"/>
          <w:szCs w:val="21"/>
          <w:highlight w:val="none"/>
        </w:rPr>
      </w:pPr>
      <w:r>
        <w:rPr>
          <w:rFonts w:hint="eastAsia" w:ascii="仿宋" w:hAnsi="仿宋" w:eastAsia="仿宋" w:cs="仿宋"/>
          <w:color w:val="auto"/>
          <w:szCs w:val="21"/>
          <w:highlight w:val="none"/>
        </w:rPr>
        <w:t>简介：具体内容略</w:t>
      </w:r>
    </w:p>
    <w:p>
      <w:pPr>
        <w:widowControl/>
        <w:adjustRightInd w:val="0"/>
        <w:snapToGrid w:val="0"/>
        <w:spacing w:line="288" w:lineRule="auto"/>
        <w:ind w:firstLine="420" w:firstLineChars="200"/>
        <w:jc w:val="left"/>
        <w:rPr>
          <w:rFonts w:ascii="仿宋" w:hAnsi="仿宋" w:eastAsia="仿宋" w:cs="仿宋"/>
          <w:color w:val="auto"/>
          <w:szCs w:val="21"/>
          <w:highlight w:val="none"/>
        </w:rPr>
      </w:pPr>
    </w:p>
    <w:p>
      <w:pPr>
        <w:widowControl/>
        <w:adjustRightInd w:val="0"/>
        <w:snapToGrid w:val="0"/>
        <w:spacing w:line="288" w:lineRule="auto"/>
        <w:ind w:firstLine="420" w:firstLineChars="200"/>
        <w:jc w:val="left"/>
        <w:rPr>
          <w:rFonts w:ascii="仿宋" w:hAnsi="仿宋" w:eastAsia="仿宋" w:cs="仿宋"/>
          <w:color w:val="auto"/>
          <w:szCs w:val="21"/>
          <w:highlight w:val="none"/>
        </w:rPr>
      </w:pPr>
      <w:r>
        <w:rPr>
          <w:rFonts w:hint="eastAsia" w:ascii="仿宋" w:hAnsi="仿宋" w:eastAsia="仿宋" w:cs="仿宋"/>
          <w:color w:val="auto"/>
          <w:szCs w:val="21"/>
          <w:highlight w:val="none"/>
        </w:rPr>
        <w:t>核心特性</w:t>
      </w:r>
    </w:p>
    <w:p>
      <w:pPr>
        <w:widowControl/>
        <w:adjustRightInd w:val="0"/>
        <w:snapToGrid w:val="0"/>
        <w:spacing w:line="288" w:lineRule="auto"/>
        <w:ind w:firstLine="420" w:firstLineChars="200"/>
        <w:jc w:val="left"/>
        <w:rPr>
          <w:rFonts w:ascii="仿宋" w:hAnsi="仿宋" w:eastAsia="仿宋" w:cs="仿宋"/>
          <w:color w:val="auto"/>
          <w:szCs w:val="21"/>
          <w:highlight w:val="none"/>
        </w:rPr>
      </w:pPr>
      <w:r>
        <w:rPr>
          <w:rFonts w:hint="eastAsia" w:ascii="仿宋" w:hAnsi="仿宋" w:eastAsia="仿宋" w:cs="仿宋"/>
          <w:color w:val="auto"/>
          <w:szCs w:val="21"/>
          <w:highlight w:val="none"/>
        </w:rPr>
        <w:t>高性能：具体内容略</w:t>
      </w:r>
    </w:p>
    <w:p>
      <w:pPr>
        <w:widowControl/>
        <w:adjustRightInd w:val="0"/>
        <w:snapToGrid w:val="0"/>
        <w:spacing w:line="288" w:lineRule="auto"/>
        <w:ind w:firstLine="420" w:firstLineChars="200"/>
        <w:jc w:val="left"/>
        <w:rPr>
          <w:rFonts w:ascii="仿宋" w:hAnsi="仿宋" w:eastAsia="仿宋" w:cs="仿宋"/>
          <w:color w:val="auto"/>
          <w:szCs w:val="21"/>
          <w:highlight w:val="none"/>
        </w:rPr>
      </w:pPr>
      <w:r>
        <w:rPr>
          <w:rFonts w:hint="eastAsia" w:ascii="仿宋" w:hAnsi="仿宋" w:eastAsia="仿宋" w:cs="仿宋"/>
          <w:color w:val="auto"/>
          <w:szCs w:val="21"/>
          <w:highlight w:val="none"/>
        </w:rPr>
        <w:t>高效能：具体内容略</w:t>
      </w:r>
    </w:p>
    <w:p>
      <w:pPr>
        <w:widowControl/>
        <w:adjustRightInd w:val="0"/>
        <w:snapToGrid w:val="0"/>
        <w:spacing w:line="288" w:lineRule="auto"/>
        <w:ind w:firstLine="420" w:firstLineChars="200"/>
        <w:jc w:val="left"/>
        <w:rPr>
          <w:rFonts w:ascii="仿宋" w:hAnsi="仿宋" w:eastAsia="仿宋" w:cs="仿宋"/>
          <w:color w:val="auto"/>
          <w:szCs w:val="21"/>
          <w:highlight w:val="none"/>
        </w:rPr>
      </w:pPr>
      <w:r>
        <w:rPr>
          <w:rFonts w:hint="eastAsia" w:ascii="仿宋" w:hAnsi="仿宋" w:eastAsia="仿宋" w:cs="仿宋"/>
          <w:color w:val="auto"/>
          <w:szCs w:val="21"/>
          <w:highlight w:val="none"/>
        </w:rPr>
        <w:t>高安全：具体内容略</w:t>
      </w:r>
    </w:p>
    <w:p>
      <w:pPr>
        <w:widowControl/>
        <w:adjustRightInd w:val="0"/>
        <w:snapToGrid w:val="0"/>
        <w:spacing w:line="288" w:lineRule="auto"/>
        <w:ind w:firstLine="420" w:firstLineChars="200"/>
        <w:jc w:val="left"/>
        <w:rPr>
          <w:rFonts w:ascii="仿宋" w:hAnsi="仿宋" w:eastAsia="仿宋" w:cs="仿宋"/>
          <w:color w:val="auto"/>
          <w:szCs w:val="21"/>
          <w:highlight w:val="none"/>
        </w:rPr>
      </w:pPr>
      <w:r>
        <w:rPr>
          <w:rFonts w:hint="eastAsia" w:ascii="仿宋" w:hAnsi="仿宋" w:eastAsia="仿宋" w:cs="仿宋"/>
          <w:color w:val="auto"/>
          <w:szCs w:val="21"/>
          <w:highlight w:val="none"/>
        </w:rPr>
        <w:t>高能效：具体内容略</w:t>
      </w:r>
    </w:p>
    <w:p>
      <w:pPr>
        <w:widowControl/>
        <w:adjustRightInd w:val="0"/>
        <w:snapToGrid w:val="0"/>
        <w:spacing w:line="288" w:lineRule="auto"/>
        <w:ind w:firstLine="420" w:firstLineChars="200"/>
        <w:jc w:val="left"/>
        <w:rPr>
          <w:rFonts w:ascii="仿宋" w:hAnsi="仿宋" w:eastAsia="仿宋" w:cs="仿宋"/>
          <w:color w:val="auto"/>
          <w:szCs w:val="21"/>
          <w:highlight w:val="none"/>
        </w:rPr>
      </w:pPr>
    </w:p>
    <w:p>
      <w:pPr>
        <w:widowControl/>
        <w:adjustRightInd w:val="0"/>
        <w:snapToGrid w:val="0"/>
        <w:spacing w:line="288" w:lineRule="auto"/>
        <w:ind w:firstLine="420" w:firstLineChars="200"/>
        <w:jc w:val="left"/>
        <w:rPr>
          <w:rFonts w:ascii="仿宋" w:hAnsi="仿宋" w:eastAsia="仿宋" w:cs="仿宋"/>
          <w:color w:val="auto"/>
          <w:szCs w:val="21"/>
          <w:highlight w:val="none"/>
        </w:rPr>
      </w:pPr>
      <w:r>
        <w:rPr>
          <w:rFonts w:hint="eastAsia" w:ascii="仿宋" w:hAnsi="仿宋" w:eastAsia="仿宋" w:cs="仿宋"/>
          <w:color w:val="auto"/>
          <w:szCs w:val="21"/>
          <w:highlight w:val="none"/>
        </w:rPr>
        <w:t>关键技术</w:t>
      </w:r>
    </w:p>
    <w:p>
      <w:pPr>
        <w:widowControl/>
        <w:adjustRightInd w:val="0"/>
        <w:snapToGrid w:val="0"/>
        <w:spacing w:line="288" w:lineRule="auto"/>
        <w:ind w:firstLine="420" w:firstLineChars="200"/>
        <w:jc w:val="left"/>
        <w:rPr>
          <w:rFonts w:ascii="仿宋" w:hAnsi="仿宋" w:eastAsia="仿宋" w:cs="仿宋"/>
          <w:color w:val="auto"/>
          <w:szCs w:val="21"/>
          <w:highlight w:val="none"/>
        </w:rPr>
      </w:pPr>
      <w:r>
        <w:rPr>
          <w:rFonts w:hint="eastAsia" w:ascii="仿宋" w:hAnsi="仿宋" w:eastAsia="仿宋" w:cs="仿宋"/>
          <w:color w:val="auto"/>
          <w:szCs w:val="21"/>
          <w:highlight w:val="none"/>
        </w:rPr>
        <w:t>具体内容略</w:t>
      </w:r>
    </w:p>
    <w:p>
      <w:pPr>
        <w:widowControl/>
        <w:adjustRightInd w:val="0"/>
        <w:snapToGrid w:val="0"/>
        <w:spacing w:line="288" w:lineRule="auto"/>
        <w:jc w:val="center"/>
        <w:rPr>
          <w:rFonts w:ascii="仿宋" w:hAnsi="仿宋" w:eastAsia="仿宋" w:cs="仿宋"/>
          <w:b/>
          <w:bCs/>
          <w:color w:val="auto"/>
          <w:szCs w:val="21"/>
          <w:highlight w:val="none"/>
        </w:rPr>
      </w:pPr>
    </w:p>
    <w:p>
      <w:pPr>
        <w:widowControl/>
        <w:adjustRightInd w:val="0"/>
        <w:snapToGrid w:val="0"/>
        <w:spacing w:line="288" w:lineRule="auto"/>
        <w:jc w:val="left"/>
        <w:rPr>
          <w:rFonts w:ascii="仿宋" w:hAnsi="仿宋" w:eastAsia="仿宋" w:cs="仿宋"/>
          <w:b/>
          <w:bCs/>
          <w:color w:val="auto"/>
          <w:szCs w:val="21"/>
          <w:highlight w:val="none"/>
        </w:rPr>
      </w:pPr>
      <w:r>
        <w:rPr>
          <w:rFonts w:hint="eastAsia" w:ascii="仿宋" w:hAnsi="仿宋" w:eastAsia="仿宋" w:cs="仿宋"/>
          <w:b/>
          <w:bCs/>
          <w:color w:val="auto"/>
          <w:szCs w:val="21"/>
          <w:highlight w:val="none"/>
        </w:rPr>
        <w:t>附件4</w:t>
      </w:r>
    </w:p>
    <w:p>
      <w:pPr>
        <w:widowControl/>
        <w:adjustRightInd w:val="0"/>
        <w:snapToGrid w:val="0"/>
        <w:spacing w:line="288" w:lineRule="auto"/>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高效能计算系统——云架构</w:t>
      </w:r>
    </w:p>
    <w:p>
      <w:pPr>
        <w:widowControl/>
        <w:adjustRightInd w:val="0"/>
        <w:spacing w:line="288" w:lineRule="auto"/>
        <w:ind w:firstLine="420" w:firstLineChars="200"/>
        <w:jc w:val="left"/>
        <w:rPr>
          <w:rFonts w:ascii="仿宋" w:hAnsi="仿宋" w:eastAsia="仿宋" w:cs="仿宋"/>
          <w:color w:val="auto"/>
          <w:szCs w:val="21"/>
          <w:highlight w:val="none"/>
        </w:rPr>
      </w:pPr>
      <w:r>
        <w:rPr>
          <w:rFonts w:hint="eastAsia" w:ascii="仿宋" w:hAnsi="仿宋" w:eastAsia="仿宋" w:cs="仿宋"/>
          <w:color w:val="auto"/>
          <w:szCs w:val="21"/>
          <w:highlight w:val="none"/>
        </w:rPr>
        <w:t>1/ 针对万卡集群设备异构、资源分散、计算软件栈不统一的问题，研究分布式操作系统，实现一体化高效能的算力、存储和网络保障，为大模型训练提供高效、稳定的万卡运行环境。</w:t>
      </w:r>
    </w:p>
    <w:p>
      <w:pPr>
        <w:widowControl/>
        <w:adjustRightInd w:val="0"/>
        <w:spacing w:line="288" w:lineRule="auto"/>
        <w:ind w:firstLine="420" w:firstLineChars="200"/>
        <w:jc w:val="left"/>
        <w:rPr>
          <w:rFonts w:ascii="仿宋" w:hAnsi="仿宋" w:eastAsia="仿宋" w:cs="仿宋"/>
          <w:color w:val="auto"/>
          <w:szCs w:val="21"/>
          <w:highlight w:val="none"/>
        </w:rPr>
      </w:pPr>
      <w:r>
        <w:rPr>
          <w:rFonts w:hint="eastAsia" w:ascii="仿宋" w:hAnsi="仿宋" w:eastAsia="仿宋" w:cs="仿宋"/>
          <w:color w:val="auto"/>
          <w:szCs w:val="21"/>
          <w:highlight w:val="none"/>
        </w:rPr>
        <w:t>2/ 针对大模型训练、推理过程中应用场景复杂、软件灵活性不足、资源分散等问题，构建面向垂直领域多种场景的计算应用生态，以云服务的方式提供开箱即用的平台能力。</w:t>
      </w:r>
    </w:p>
    <w:p>
      <w:pPr>
        <w:widowControl/>
        <w:adjustRightInd w:val="0"/>
        <w:spacing w:line="288" w:lineRule="auto"/>
        <w:ind w:firstLine="420" w:firstLineChars="200"/>
        <w:jc w:val="left"/>
        <w:rPr>
          <w:rFonts w:ascii="仿宋" w:hAnsi="仿宋" w:eastAsia="仿宋" w:cs="仿宋"/>
          <w:color w:val="auto"/>
          <w:szCs w:val="21"/>
          <w:highlight w:val="none"/>
        </w:rPr>
      </w:pPr>
      <w:r>
        <w:rPr>
          <w:rFonts w:hint="eastAsia" w:ascii="仿宋" w:hAnsi="仿宋" w:eastAsia="仿宋" w:cs="仿宋"/>
          <w:color w:val="auto"/>
          <w:szCs w:val="21"/>
          <w:highlight w:val="none"/>
        </w:rPr>
        <w:t>3/ 构建面向垂直领域的计算应用生态，以云服务的方式为多种专业领域计算场景提供开箱即用的基础能力。</w:t>
      </w:r>
    </w:p>
    <w:p>
      <w:pPr>
        <w:widowControl/>
        <w:adjustRightInd w:val="0"/>
        <w:snapToGrid w:val="0"/>
        <w:spacing w:line="288" w:lineRule="auto"/>
        <w:jc w:val="left"/>
        <w:rPr>
          <w:rFonts w:ascii="仿宋" w:hAnsi="仿宋" w:eastAsia="仿宋" w:cs="仿宋"/>
          <w:color w:val="auto"/>
          <w:szCs w:val="21"/>
          <w:highlight w:val="none"/>
        </w:rPr>
      </w:pPr>
    </w:p>
    <w:p>
      <w:pPr>
        <w:widowControl/>
        <w:adjustRightInd w:val="0"/>
        <w:snapToGrid w:val="0"/>
        <w:spacing w:line="288" w:lineRule="auto"/>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高效能计算系统——核心技术&amp;性能指标</w:t>
      </w:r>
    </w:p>
    <w:p>
      <w:pPr>
        <w:widowControl/>
        <w:adjustRightIn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性能指标：具体内容略</w:t>
      </w:r>
    </w:p>
    <w:p>
      <w:pPr>
        <w:widowControl/>
        <w:adjustRightIn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高效能操作系统：具体内容略</w:t>
      </w:r>
    </w:p>
    <w:p>
      <w:pPr>
        <w:widowControl/>
        <w:adjustRightIn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异构算力聚合及智能弹性调度：具体内容略</w:t>
      </w:r>
    </w:p>
    <w:p>
      <w:pPr>
        <w:widowControl/>
        <w:adjustRightIn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大模型全流程工具链：具体内容略</w:t>
      </w:r>
    </w:p>
    <w:p>
      <w:pPr>
        <w:widowControl/>
        <w:adjustRightIn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大模型工作台：具体内容略</w:t>
      </w:r>
    </w:p>
    <w:p>
      <w:pPr>
        <w:widowControl/>
        <w:adjustRightIn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大模型可观测体系：具体内容略</w:t>
      </w:r>
    </w:p>
    <w:p>
      <w:pPr>
        <w:widowControl/>
        <w:adjustRightIn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大模型故障发现及恢复：具体内容略</w:t>
      </w:r>
    </w:p>
    <w:p>
      <w:pPr>
        <w:widowControl/>
        <w:adjustRightInd w:val="0"/>
        <w:snapToGrid w:val="0"/>
        <w:spacing w:line="288" w:lineRule="auto"/>
        <w:jc w:val="left"/>
        <w:rPr>
          <w:rFonts w:ascii="仿宋" w:hAnsi="仿宋" w:eastAsia="仿宋" w:cs="仿宋"/>
          <w:color w:val="auto"/>
          <w:szCs w:val="21"/>
          <w:highlight w:val="none"/>
        </w:rPr>
      </w:pPr>
    </w:p>
    <w:p>
      <w:pPr>
        <w:widowControl/>
        <w:adjustRightInd w:val="0"/>
        <w:snapToGrid w:val="0"/>
        <w:spacing w:line="288" w:lineRule="auto"/>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高效能计算系统——高效能算力平台</w:t>
      </w:r>
    </w:p>
    <w:p>
      <w:pPr>
        <w:widowControl/>
        <w:adjustRightInd w:val="0"/>
        <w:spacing w:line="288"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高效能算力平台界面</w:t>
      </w:r>
    </w:p>
    <w:p>
      <w:pPr>
        <w:widowControl/>
        <w:adjustRightInd w:val="0"/>
        <w:snapToGrid w:val="0"/>
        <w:spacing w:line="288" w:lineRule="auto"/>
        <w:jc w:val="center"/>
        <w:rPr>
          <w:rFonts w:ascii="仿宋" w:hAnsi="仿宋" w:eastAsia="仿宋" w:cs="仿宋"/>
          <w:color w:val="auto"/>
          <w:szCs w:val="21"/>
          <w:highlight w:val="none"/>
        </w:rPr>
      </w:pPr>
    </w:p>
    <w:p>
      <w:pPr>
        <w:rPr>
          <w:rFonts w:ascii="仿宋" w:hAnsi="仿宋" w:eastAsia="仿宋" w:cs="仿宋"/>
          <w:color w:val="auto"/>
          <w:szCs w:val="21"/>
          <w:highlight w:val="none"/>
        </w:rPr>
      </w:pPr>
    </w:p>
    <w:p>
      <w:pPr>
        <w:widowControl/>
        <w:adjustRightInd w:val="0"/>
        <w:snapToGrid w:val="0"/>
        <w:spacing w:line="288" w:lineRule="auto"/>
        <w:jc w:val="left"/>
        <w:rPr>
          <w:rFonts w:ascii="仿宋" w:hAnsi="仿宋" w:eastAsia="仿宋" w:cs="仿宋"/>
          <w:b/>
          <w:bCs/>
          <w:color w:val="auto"/>
          <w:szCs w:val="21"/>
          <w:highlight w:val="none"/>
        </w:rPr>
      </w:pPr>
      <w:r>
        <w:rPr>
          <w:rFonts w:hint="eastAsia" w:ascii="仿宋" w:hAnsi="仿宋" w:eastAsia="仿宋" w:cs="仿宋"/>
          <w:b/>
          <w:bCs/>
          <w:color w:val="auto"/>
          <w:szCs w:val="21"/>
          <w:highlight w:val="none"/>
        </w:rPr>
        <w:t>附件5</w:t>
      </w:r>
    </w:p>
    <w:p>
      <w:pPr>
        <w:widowControl/>
        <w:adjustRightInd w:val="0"/>
        <w:snapToGrid w:val="0"/>
        <w:spacing w:line="288" w:lineRule="auto"/>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智能计算赋能创新变革——面向科学研究的基础模型</w:t>
      </w:r>
    </w:p>
    <w:p>
      <w:pPr>
        <w:widowControl/>
        <w:adjustRightInd w:val="0"/>
        <w:snapToGrid w:val="0"/>
        <w:spacing w:line="288" w:lineRule="auto"/>
        <w:jc w:val="center"/>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文字简述 约80字</w:t>
      </w:r>
    </w:p>
    <w:p>
      <w:pPr>
        <w:widowControl/>
        <w:adjustRightInd w:val="0"/>
        <w:snapToGrid w:val="0"/>
        <w:spacing w:line="288"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面向科学研究的基础模型架构</w:t>
      </w:r>
    </w:p>
    <w:p>
      <w:pPr>
        <w:widowControl/>
        <w:adjustRightInd w:val="0"/>
        <w:snapToGrid w:val="0"/>
        <w:spacing w:line="288" w:lineRule="auto"/>
        <w:jc w:val="center"/>
        <w:rPr>
          <w:color w:val="auto"/>
          <w:highlight w:val="none"/>
        </w:rPr>
      </w:pPr>
      <w:r>
        <w:rPr>
          <w:color w:val="auto"/>
          <w:highlight w:val="none"/>
        </w:rPr>
        <w:drawing>
          <wp:inline distT="0" distB="0" distL="114300" distR="114300">
            <wp:extent cx="3059430" cy="1800225"/>
            <wp:effectExtent l="0" t="0" r="0" b="13335"/>
            <wp:docPr id="10" name="图片 4"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descr="图片2"/>
                    <pic:cNvPicPr>
                      <a:picLocks noChangeAspect="1"/>
                    </pic:cNvPicPr>
                  </pic:nvPicPr>
                  <pic:blipFill>
                    <a:blip r:embed="rId7"/>
                    <a:stretch>
                      <a:fillRect/>
                    </a:stretch>
                  </pic:blipFill>
                  <pic:spPr>
                    <a:xfrm>
                      <a:off x="0" y="0"/>
                      <a:ext cx="3059430" cy="1800225"/>
                    </a:xfrm>
                    <a:prstGeom prst="rect">
                      <a:avLst/>
                    </a:prstGeom>
                  </pic:spPr>
                </pic:pic>
              </a:graphicData>
            </a:graphic>
          </wp:inline>
        </w:drawing>
      </w:r>
    </w:p>
    <w:p>
      <w:pPr>
        <w:widowControl/>
        <w:adjustRightInd w:val="0"/>
        <w:snapToGrid w:val="0"/>
        <w:spacing w:line="288" w:lineRule="auto"/>
        <w:jc w:val="left"/>
        <w:rPr>
          <w:rFonts w:ascii="仿宋" w:hAnsi="仿宋" w:eastAsia="仿宋" w:cs="仿宋"/>
          <w:b/>
          <w:bCs/>
          <w:color w:val="auto"/>
          <w:szCs w:val="21"/>
          <w:highlight w:val="none"/>
        </w:rPr>
      </w:pPr>
    </w:p>
    <w:p>
      <w:pPr>
        <w:widowControl/>
        <w:adjustRightInd w:val="0"/>
        <w:snapToGrid w:val="0"/>
        <w:spacing w:line="288" w:lineRule="auto"/>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智能计算赋能创新变革——地学领域</w:t>
      </w:r>
    </w:p>
    <w:p>
      <w:pPr>
        <w:widowControl/>
        <w:adjustRightInd w:val="0"/>
        <w:snapToGrid w:val="0"/>
        <w:spacing w:line="288" w:lineRule="auto"/>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文字简述 约80字</w:t>
      </w:r>
    </w:p>
    <w:p>
      <w:pPr>
        <w:widowControl/>
        <w:adjustRightInd w:val="0"/>
        <w:snapToGrid w:val="0"/>
        <w:spacing w:line="288" w:lineRule="auto"/>
        <w:jc w:val="center"/>
        <w:rPr>
          <w:color w:val="auto"/>
          <w:highlight w:val="none"/>
        </w:rPr>
      </w:pPr>
      <w:r>
        <w:rPr>
          <w:rFonts w:hint="eastAsia" w:ascii="仿宋" w:hAnsi="仿宋" w:eastAsia="仿宋" w:cs="仿宋"/>
          <w:color w:val="auto"/>
          <w:szCs w:val="21"/>
          <w:highlight w:val="none"/>
          <w:lang w:val="en-US" w:eastAsia="zh-CN"/>
        </w:rPr>
        <w:t>配图2张（框架图）</w:t>
      </w:r>
    </w:p>
    <w:p>
      <w:pPr>
        <w:rPr>
          <w:rFonts w:ascii="仿宋" w:hAnsi="仿宋" w:eastAsia="仿宋" w:cs="仿宋"/>
          <w:color w:val="auto"/>
          <w:szCs w:val="21"/>
          <w:highlight w:val="none"/>
        </w:rPr>
      </w:pPr>
    </w:p>
    <w:p>
      <w:pPr>
        <w:widowControl/>
        <w:adjustRightInd w:val="0"/>
        <w:snapToGrid w:val="0"/>
        <w:spacing w:line="288" w:lineRule="auto"/>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智能计算赋能创新变革——天文计算领域</w:t>
      </w:r>
    </w:p>
    <w:p>
      <w:pPr>
        <w:widowControl/>
        <w:adjustRightInd w:val="0"/>
        <w:snapToGrid w:val="0"/>
        <w:spacing w:line="288" w:lineRule="auto"/>
        <w:ind w:firstLine="420" w:firstLineChars="200"/>
        <w:jc w:val="center"/>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文字简述 约150字</w:t>
      </w:r>
    </w:p>
    <w:p>
      <w:pPr>
        <w:widowControl/>
        <w:adjustRightInd w:val="0"/>
        <w:snapToGrid w:val="0"/>
        <w:spacing w:line="288" w:lineRule="auto"/>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支撑国家大科学工程</w:t>
      </w:r>
    </w:p>
    <w:p>
      <w:pPr>
        <w:widowControl/>
        <w:adjustRightInd w:val="0"/>
        <w:snapToGrid w:val="0"/>
        <w:spacing w:line="288" w:lineRule="auto"/>
        <w:jc w:val="center"/>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配图（略）</w:t>
      </w:r>
    </w:p>
    <w:p>
      <w:pPr>
        <w:widowControl/>
        <w:adjustRightInd w:val="0"/>
        <w:snapToGrid w:val="0"/>
        <w:spacing w:line="288" w:lineRule="auto"/>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AI for Astronomy配图</w:t>
      </w:r>
    </w:p>
    <w:p>
      <w:pPr>
        <w:widowControl/>
        <w:adjustRightInd w:val="0"/>
        <w:snapToGrid w:val="0"/>
        <w:spacing w:line="288" w:lineRule="auto"/>
        <w:jc w:val="center"/>
        <w:rPr>
          <w:rFonts w:ascii="仿宋" w:hAnsi="仿宋" w:eastAsia="仿宋" w:cs="仿宋"/>
          <w:color w:val="auto"/>
          <w:szCs w:val="21"/>
          <w:highlight w:val="none"/>
        </w:rPr>
      </w:pPr>
      <w:r>
        <w:rPr>
          <w:color w:val="auto"/>
          <w:highlight w:val="none"/>
        </w:rPr>
        <w:drawing>
          <wp:inline distT="0" distB="0" distL="114300" distR="114300">
            <wp:extent cx="3658870" cy="1367790"/>
            <wp:effectExtent l="0" t="0" r="13970" b="3810"/>
            <wp:docPr id="12" name="图片 8" descr="WeChat0dfdd81278ae7794fa8134399a24ab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8" descr="WeChat0dfdd81278ae7794fa8134399a24abe1"/>
                    <pic:cNvPicPr>
                      <a:picLocks noChangeAspect="1"/>
                    </pic:cNvPicPr>
                  </pic:nvPicPr>
                  <pic:blipFill>
                    <a:blip r:embed="rId8"/>
                    <a:stretch>
                      <a:fillRect/>
                    </a:stretch>
                  </pic:blipFill>
                  <pic:spPr>
                    <a:xfrm>
                      <a:off x="0" y="0"/>
                      <a:ext cx="3658870" cy="1367790"/>
                    </a:xfrm>
                    <a:prstGeom prst="rect">
                      <a:avLst/>
                    </a:prstGeom>
                  </pic:spPr>
                </pic:pic>
              </a:graphicData>
            </a:graphic>
          </wp:inline>
        </w:drawing>
      </w:r>
    </w:p>
    <w:p>
      <w:pPr>
        <w:widowControl/>
        <w:adjustRightInd w:val="0"/>
        <w:snapToGrid w:val="0"/>
        <w:spacing w:line="288" w:lineRule="auto"/>
        <w:jc w:val="center"/>
        <w:rPr>
          <w:rFonts w:ascii="仿宋" w:hAnsi="仿宋" w:eastAsia="仿宋" w:cs="仿宋"/>
          <w:b/>
          <w:bCs/>
          <w:color w:val="auto"/>
          <w:szCs w:val="21"/>
          <w:highlight w:val="none"/>
        </w:rPr>
      </w:pPr>
    </w:p>
    <w:p>
      <w:pPr>
        <w:widowControl/>
        <w:adjustRightInd w:val="0"/>
        <w:snapToGrid w:val="0"/>
        <w:spacing w:line="288" w:lineRule="auto"/>
        <w:jc w:val="center"/>
        <w:rPr>
          <w:rFonts w:hint="eastAsia" w:ascii="仿宋" w:hAnsi="仿宋" w:eastAsia="仿宋" w:cs="仿宋"/>
          <w:b/>
          <w:bCs/>
          <w:color w:val="auto"/>
          <w:szCs w:val="21"/>
          <w:highlight w:val="none"/>
        </w:rPr>
      </w:pPr>
      <w:r>
        <w:rPr>
          <w:rFonts w:hint="eastAsia" w:ascii="仿宋" w:hAnsi="仿宋" w:eastAsia="仿宋" w:cs="仿宋"/>
          <w:b/>
          <w:bCs/>
          <w:color w:val="auto"/>
          <w:szCs w:val="21"/>
          <w:highlight w:val="none"/>
        </w:rPr>
        <w:t>智能计算赋能创新变革——新材料计算领域</w:t>
      </w:r>
    </w:p>
    <w:p>
      <w:pPr>
        <w:pStyle w:val="2"/>
        <w:jc w:val="center"/>
        <w:rPr>
          <w:rFonts w:hint="eastAsia" w:ascii="仿宋" w:hAnsi="仿宋" w:eastAsia="仿宋" w:cs="仿宋"/>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文字简述 约150字</w:t>
      </w:r>
    </w:p>
    <w:p>
      <w:pPr>
        <w:widowControl/>
        <w:adjustRightInd w:val="0"/>
        <w:snapToGrid w:val="0"/>
        <w:spacing w:line="288"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AI for Materials</w:t>
      </w:r>
    </w:p>
    <w:p>
      <w:pPr>
        <w:widowControl/>
        <w:adjustRightInd w:val="0"/>
        <w:snapToGrid w:val="0"/>
        <w:spacing w:line="288" w:lineRule="auto"/>
        <w:jc w:val="center"/>
        <w:rPr>
          <w:color w:val="auto"/>
          <w:highlight w:val="none"/>
        </w:rPr>
      </w:pPr>
      <w:r>
        <w:rPr>
          <w:color w:val="auto"/>
          <w:highlight w:val="none"/>
        </w:rPr>
        <w:drawing>
          <wp:inline distT="0" distB="0" distL="114300" distR="114300">
            <wp:extent cx="3698240" cy="1790700"/>
            <wp:effectExtent l="0" t="0" r="5080" b="7620"/>
            <wp:docPr id="13" name="图片 9" descr="WeChatb83ff412f1cc9abb13e81dafd7da37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9" descr="WeChatb83ff412f1cc9abb13e81dafd7da37cb"/>
                    <pic:cNvPicPr>
                      <a:picLocks noChangeAspect="1"/>
                    </pic:cNvPicPr>
                  </pic:nvPicPr>
                  <pic:blipFill>
                    <a:blip r:embed="rId9"/>
                    <a:stretch>
                      <a:fillRect/>
                    </a:stretch>
                  </pic:blipFill>
                  <pic:spPr>
                    <a:xfrm>
                      <a:off x="0" y="0"/>
                      <a:ext cx="3698240" cy="1790700"/>
                    </a:xfrm>
                    <a:prstGeom prst="rect">
                      <a:avLst/>
                    </a:prstGeom>
                  </pic:spPr>
                </pic:pic>
              </a:graphicData>
            </a:graphic>
          </wp:inline>
        </w:drawing>
      </w:r>
    </w:p>
    <w:p>
      <w:pPr>
        <w:widowControl/>
        <w:adjustRightInd w:val="0"/>
        <w:snapToGrid w:val="0"/>
        <w:spacing w:line="288" w:lineRule="auto"/>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新材料智能计算软件平台</w:t>
      </w:r>
    </w:p>
    <w:p>
      <w:pPr>
        <w:pStyle w:val="2"/>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配图略</w:t>
      </w:r>
    </w:p>
    <w:p>
      <w:pPr>
        <w:widowControl/>
        <w:adjustRightInd w:val="0"/>
        <w:snapToGrid w:val="0"/>
        <w:spacing w:line="288" w:lineRule="auto"/>
        <w:jc w:val="center"/>
        <w:rPr>
          <w:rFonts w:ascii="仿宋" w:hAnsi="仿宋" w:eastAsia="仿宋" w:cs="仿宋"/>
          <w:color w:val="auto"/>
          <w:szCs w:val="21"/>
          <w:highlight w:val="none"/>
        </w:rPr>
      </w:pPr>
    </w:p>
    <w:p>
      <w:pPr>
        <w:rPr>
          <w:rFonts w:ascii="仿宋" w:hAnsi="仿宋" w:eastAsia="仿宋" w:cs="仿宋"/>
          <w:color w:val="auto"/>
          <w:szCs w:val="21"/>
          <w:highlight w:val="none"/>
        </w:rPr>
      </w:pPr>
      <w:r>
        <w:rPr>
          <w:rFonts w:hint="eastAsia" w:ascii="仿宋" w:hAnsi="仿宋" w:eastAsia="仿宋" w:cs="仿宋"/>
          <w:color w:val="auto"/>
          <w:szCs w:val="21"/>
          <w:highlight w:val="none"/>
        </w:rPr>
        <w:br w:type="page"/>
      </w:r>
    </w:p>
    <w:p>
      <w:pPr>
        <w:widowControl/>
        <w:adjustRightInd w:val="0"/>
        <w:snapToGrid w:val="0"/>
        <w:spacing w:line="288"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新材料智能计算开放平台</w:t>
      </w:r>
    </w:p>
    <w:p>
      <w:pPr>
        <w:widowControl/>
        <w:adjustRightInd w:val="0"/>
        <w:snapToGrid w:val="0"/>
        <w:spacing w:line="288" w:lineRule="auto"/>
        <w:jc w:val="center"/>
        <w:rPr>
          <w:rFonts w:ascii="仿宋" w:hAnsi="仿宋" w:eastAsia="仿宋" w:cs="仿宋"/>
          <w:color w:val="auto"/>
          <w:szCs w:val="21"/>
          <w:highlight w:val="none"/>
        </w:rPr>
      </w:pPr>
      <w:r>
        <w:rPr>
          <w:color w:val="auto"/>
          <w:highlight w:val="none"/>
        </w:rPr>
        <w:drawing>
          <wp:inline distT="0" distB="0" distL="114300" distR="114300">
            <wp:extent cx="2981960" cy="1656080"/>
            <wp:effectExtent l="0" t="0" r="5080" b="5080"/>
            <wp:docPr id="1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981960" cy="1656080"/>
                    </a:xfrm>
                    <a:prstGeom prst="rect">
                      <a:avLst/>
                    </a:prstGeom>
                  </pic:spPr>
                </pic:pic>
              </a:graphicData>
            </a:graphic>
          </wp:inline>
        </w:drawing>
      </w:r>
    </w:p>
    <w:p>
      <w:pPr>
        <w:widowControl/>
        <w:adjustRightInd w:val="0"/>
        <w:snapToGrid w:val="0"/>
        <w:spacing w:line="288" w:lineRule="auto"/>
        <w:jc w:val="center"/>
        <w:rPr>
          <w:rFonts w:ascii="仿宋" w:hAnsi="仿宋" w:eastAsia="仿宋" w:cs="仿宋"/>
          <w:b/>
          <w:bCs/>
          <w:color w:val="auto"/>
          <w:szCs w:val="21"/>
          <w:highlight w:val="none"/>
        </w:rPr>
      </w:pPr>
    </w:p>
    <w:p>
      <w:pPr>
        <w:widowControl/>
        <w:adjustRightInd w:val="0"/>
        <w:snapToGrid w:val="0"/>
        <w:spacing w:line="288" w:lineRule="auto"/>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智能计算赋能创新变革——生命科学计算领域</w:t>
      </w:r>
    </w:p>
    <w:p>
      <w:pPr>
        <w:widowControl/>
        <w:adjustRightInd w:val="0"/>
        <w:snapToGrid w:val="0"/>
        <w:spacing w:line="288" w:lineRule="auto"/>
        <w:ind w:firstLine="420" w:firstLineChars="200"/>
        <w:jc w:val="left"/>
        <w:rPr>
          <w:rFonts w:ascii="仿宋" w:hAnsi="仿宋" w:eastAsia="仿宋" w:cs="仿宋"/>
          <w:color w:val="auto"/>
          <w:szCs w:val="21"/>
          <w:highlight w:val="none"/>
        </w:rPr>
      </w:pPr>
      <w:r>
        <w:rPr>
          <w:rFonts w:hint="eastAsia" w:ascii="仿宋" w:hAnsi="仿宋" w:eastAsia="仿宋" w:cs="仿宋"/>
          <w:color w:val="auto"/>
          <w:szCs w:val="21"/>
          <w:highlight w:val="none"/>
        </w:rPr>
        <w:t>AI for Life Science——探索以GPT4为代表的大语言模型的思维链提示、自我反省与记忆技术，自动拆解生命科学研究任务，编写新工具、调用生命科学基座模型、算法软件包、自动化实验设备等高效处理生命科学发现任务。</w:t>
      </w:r>
    </w:p>
    <w:p>
      <w:pPr>
        <w:widowControl/>
        <w:adjustRightInd w:val="0"/>
        <w:snapToGrid w:val="0"/>
        <w:spacing w:line="288" w:lineRule="auto"/>
        <w:jc w:val="center"/>
        <w:rPr>
          <w:rFonts w:ascii="仿宋" w:hAnsi="仿宋" w:eastAsia="仿宋" w:cs="仿宋"/>
          <w:color w:val="auto"/>
          <w:szCs w:val="21"/>
          <w:highlight w:val="none"/>
        </w:rPr>
      </w:pPr>
      <w:r>
        <w:rPr>
          <w:color w:val="auto"/>
          <w:highlight w:val="none"/>
        </w:rPr>
        <w:drawing>
          <wp:inline distT="0" distB="0" distL="114300" distR="114300">
            <wp:extent cx="3564890" cy="1043940"/>
            <wp:effectExtent l="0" t="0" r="1270" b="7620"/>
            <wp:docPr id="16"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2"/>
                    <pic:cNvPicPr>
                      <a:picLocks noChangeAspect="1"/>
                    </pic:cNvPicPr>
                  </pic:nvPicPr>
                  <pic:blipFill>
                    <a:blip r:embed="rId11"/>
                    <a:stretch>
                      <a:fillRect/>
                    </a:stretch>
                  </pic:blipFill>
                  <pic:spPr>
                    <a:xfrm>
                      <a:off x="0" y="0"/>
                      <a:ext cx="3564890" cy="1043940"/>
                    </a:xfrm>
                    <a:prstGeom prst="rect">
                      <a:avLst/>
                    </a:prstGeom>
                  </pic:spPr>
                </pic:pic>
              </a:graphicData>
            </a:graphic>
          </wp:inline>
        </w:drawing>
      </w:r>
    </w:p>
    <w:p>
      <w:pPr>
        <w:widowControl/>
        <w:adjustRightInd w:val="0"/>
        <w:snapToGrid w:val="0"/>
        <w:spacing w:line="288"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生命科学多模态基座模型</w:t>
      </w:r>
    </w:p>
    <w:p>
      <w:pPr>
        <w:widowControl/>
        <w:adjustRightInd w:val="0"/>
        <w:snapToGrid w:val="0"/>
        <w:spacing w:line="288" w:lineRule="auto"/>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配图略</w:t>
      </w:r>
    </w:p>
    <w:p>
      <w:pPr>
        <w:widowControl/>
        <w:adjustRightInd w:val="0"/>
        <w:snapToGrid w:val="0"/>
        <w:spacing w:line="288" w:lineRule="auto"/>
        <w:jc w:val="center"/>
        <w:rPr>
          <w:rFonts w:ascii="仿宋" w:hAnsi="仿宋" w:eastAsia="仿宋" w:cs="仿宋"/>
          <w:b/>
          <w:bCs/>
          <w:color w:val="auto"/>
          <w:szCs w:val="21"/>
          <w:highlight w:val="none"/>
        </w:rPr>
      </w:pPr>
    </w:p>
    <w:p>
      <w:pPr>
        <w:widowControl/>
        <w:adjustRightInd w:val="0"/>
        <w:snapToGrid w:val="0"/>
        <w:spacing w:line="288" w:lineRule="auto"/>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智能计算赋能创新变革——科学数据枢纽</w:t>
      </w:r>
    </w:p>
    <w:p>
      <w:pPr>
        <w:widowControl/>
        <w:adjustRightInd w:val="0"/>
        <w:snapToGrid w:val="0"/>
        <w:spacing w:line="288" w:lineRule="auto"/>
        <w:ind w:firstLine="420" w:firstLineChars="200"/>
        <w:jc w:val="left"/>
        <w:rPr>
          <w:rFonts w:ascii="仿宋" w:hAnsi="仿宋" w:eastAsia="仿宋" w:cs="仿宋"/>
          <w:color w:val="auto"/>
          <w:szCs w:val="21"/>
          <w:highlight w:val="none"/>
        </w:rPr>
      </w:pPr>
      <w:r>
        <w:rPr>
          <w:rFonts w:hint="eastAsia" w:ascii="仿宋" w:hAnsi="仿宋" w:eastAsia="仿宋" w:cs="仿宋"/>
          <w:color w:val="auto"/>
          <w:szCs w:val="21"/>
          <w:highlight w:val="none"/>
        </w:rPr>
        <w:t>建设开放科学基础设施，实现开放科学治理。积极融入国家科学数据体系，构建开放共享的科学数据创新生态，实现高质量科学数据的汇聚和供需连接，服务全球科学家，引领科学研究范式创新。</w:t>
      </w:r>
    </w:p>
    <w:p>
      <w:pPr>
        <w:widowControl/>
        <w:adjustRightInd w:val="0"/>
        <w:snapToGrid w:val="0"/>
        <w:spacing w:line="288"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开放科学数据基础设施能力建设方向</w:t>
      </w:r>
    </w:p>
    <w:p>
      <w:pPr>
        <w:widowControl/>
        <w:adjustRightInd w:val="0"/>
        <w:snapToGrid w:val="0"/>
        <w:spacing w:line="288" w:lineRule="auto"/>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配图2张（略）</w:t>
      </w:r>
    </w:p>
    <w:p>
      <w:pPr>
        <w:rPr>
          <w:rFonts w:ascii="仿宋" w:hAnsi="仿宋" w:eastAsia="仿宋" w:cs="仿宋"/>
          <w:color w:val="auto"/>
          <w:szCs w:val="21"/>
          <w:highlight w:val="none"/>
        </w:rPr>
      </w:pPr>
    </w:p>
    <w:p>
      <w:pPr>
        <w:widowControl/>
        <w:adjustRightInd w:val="0"/>
        <w:snapToGrid w:val="0"/>
        <w:spacing w:line="288" w:lineRule="auto"/>
        <w:jc w:val="center"/>
        <w:rPr>
          <w:color w:val="auto"/>
          <w:highlight w:val="none"/>
        </w:rPr>
      </w:pPr>
    </w:p>
    <w:p>
      <w:pPr>
        <w:widowControl/>
        <w:adjustRightInd w:val="0"/>
        <w:snapToGrid w:val="0"/>
        <w:spacing w:line="288" w:lineRule="auto"/>
        <w:jc w:val="left"/>
        <w:rPr>
          <w:rFonts w:ascii="仿宋" w:hAnsi="仿宋" w:eastAsia="仿宋" w:cs="仿宋"/>
          <w:color w:val="auto"/>
          <w:szCs w:val="21"/>
          <w:highlight w:val="none"/>
        </w:rPr>
      </w:pPr>
      <w:r>
        <w:rPr>
          <w:rFonts w:hint="eastAsia" w:ascii="仿宋" w:hAnsi="仿宋" w:eastAsia="仿宋" w:cs="仿宋"/>
          <w:color w:val="auto"/>
          <w:szCs w:val="21"/>
          <w:highlight w:val="none"/>
        </w:rPr>
        <w:br w:type="page"/>
      </w:r>
    </w:p>
    <w:p>
      <w:pPr>
        <w:adjustRightInd w:val="0"/>
        <w:snapToGrid w:val="0"/>
        <w:spacing w:line="288" w:lineRule="auto"/>
        <w:jc w:val="center"/>
        <w:outlineLvl w:val="0"/>
        <w:rPr>
          <w:rFonts w:ascii="仿宋" w:hAnsi="仿宋" w:eastAsia="仿宋" w:cs="仿宋"/>
          <w:color w:val="auto"/>
          <w:sz w:val="32"/>
          <w:szCs w:val="32"/>
          <w:highlight w:val="none"/>
        </w:rPr>
      </w:pPr>
      <w:r>
        <w:rPr>
          <w:rFonts w:hint="eastAsia" w:ascii="仿宋" w:hAnsi="仿宋" w:eastAsia="仿宋" w:cs="仿宋"/>
          <w:b/>
          <w:color w:val="auto"/>
          <w:sz w:val="32"/>
          <w:szCs w:val="32"/>
          <w:highlight w:val="none"/>
        </w:rPr>
        <w:t>第三章  供应商须知</w:t>
      </w:r>
    </w:p>
    <w:p>
      <w:pPr>
        <w:adjustRightInd w:val="0"/>
        <w:snapToGrid w:val="0"/>
        <w:spacing w:line="288" w:lineRule="auto"/>
        <w:jc w:val="center"/>
        <w:outlineLvl w:val="1"/>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供应商须知前附表</w:t>
      </w:r>
    </w:p>
    <w:tbl>
      <w:tblPr>
        <w:tblStyle w:val="27"/>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0"/>
        <w:gridCol w:w="1514"/>
        <w:gridCol w:w="7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40" w:type="dxa"/>
            <w:vAlign w:val="center"/>
          </w:tcPr>
          <w:p>
            <w:pPr>
              <w:snapToGrid w:val="0"/>
              <w:jc w:val="center"/>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条款号</w:t>
            </w:r>
          </w:p>
        </w:tc>
        <w:tc>
          <w:tcPr>
            <w:tcW w:w="1514" w:type="dxa"/>
            <w:vAlign w:val="center"/>
          </w:tcPr>
          <w:p>
            <w:pPr>
              <w:snapToGrid w:val="0"/>
              <w:jc w:val="center"/>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内容</w:t>
            </w:r>
          </w:p>
        </w:tc>
        <w:tc>
          <w:tcPr>
            <w:tcW w:w="7074" w:type="dxa"/>
            <w:vAlign w:val="center"/>
          </w:tcPr>
          <w:p>
            <w:pPr>
              <w:snapToGrid w:val="0"/>
              <w:jc w:val="center"/>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40" w:type="dxa"/>
            <w:vAlign w:val="center"/>
          </w:tcPr>
          <w:p>
            <w:pPr>
              <w:snapToGrid w:val="0"/>
              <w:jc w:val="center"/>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一、1</w:t>
            </w:r>
          </w:p>
        </w:tc>
        <w:tc>
          <w:tcPr>
            <w:tcW w:w="1514" w:type="dxa"/>
            <w:vAlign w:val="center"/>
          </w:tcPr>
          <w:p>
            <w:pPr>
              <w:snapToGrid w:val="0"/>
              <w:jc w:val="center"/>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适用范围</w:t>
            </w:r>
          </w:p>
        </w:tc>
        <w:tc>
          <w:tcPr>
            <w:tcW w:w="7074" w:type="dxa"/>
            <w:vAlign w:val="center"/>
          </w:tcPr>
          <w:p>
            <w:pPr>
              <w:snapToGrid w:val="0"/>
              <w:rPr>
                <w:rFonts w:ascii="仿宋" w:hAnsi="仿宋" w:eastAsia="仿宋" w:cs="仿宋"/>
                <w:color w:val="auto"/>
                <w:sz w:val="18"/>
                <w:szCs w:val="18"/>
                <w:highlight w:val="none"/>
              </w:rPr>
            </w:pPr>
            <w:r>
              <w:rPr>
                <w:rFonts w:hint="eastAsia" w:ascii="仿宋" w:hAnsi="仿宋" w:eastAsia="仿宋" w:cs="仿宋"/>
                <w:color w:val="auto"/>
                <w:spacing w:val="-6"/>
                <w:sz w:val="18"/>
                <w:szCs w:val="18"/>
                <w:highlight w:val="none"/>
              </w:rPr>
              <w:t>本磋商文件适用于之江实验室</w:t>
            </w:r>
            <w:r>
              <w:rPr>
                <w:rFonts w:hint="eastAsia" w:ascii="仿宋" w:hAnsi="仿宋" w:eastAsia="仿宋" w:cs="仿宋"/>
                <w:color w:val="auto"/>
                <w:spacing w:val="-6"/>
                <w:sz w:val="18"/>
                <w:szCs w:val="18"/>
                <w:highlight w:val="none"/>
                <w:lang w:eastAsia="zh-CN"/>
              </w:rPr>
              <w:t>算力中心展厅展陈</w:t>
            </w:r>
            <w:r>
              <w:rPr>
                <w:rFonts w:hint="eastAsia" w:ascii="仿宋" w:hAnsi="仿宋" w:eastAsia="仿宋" w:cs="仿宋"/>
                <w:color w:val="auto"/>
                <w:spacing w:val="-6"/>
                <w:sz w:val="18"/>
                <w:szCs w:val="18"/>
                <w:highlight w:val="none"/>
              </w:rPr>
              <w:t>的磋商、评审、成交、验收、合同履约、付款等（法律、法规另有规定的，从其规定）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40" w:type="dxa"/>
            <w:vAlign w:val="center"/>
          </w:tcPr>
          <w:p>
            <w:pPr>
              <w:snapToGrid w:val="0"/>
              <w:jc w:val="center"/>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一、3</w:t>
            </w:r>
          </w:p>
        </w:tc>
        <w:tc>
          <w:tcPr>
            <w:tcW w:w="1514" w:type="dxa"/>
            <w:vAlign w:val="center"/>
          </w:tcPr>
          <w:p>
            <w:pPr>
              <w:snapToGrid w:val="0"/>
              <w:jc w:val="center"/>
              <w:rPr>
                <w:rFonts w:ascii="仿宋" w:hAnsi="仿宋" w:eastAsia="仿宋" w:cs="仿宋"/>
                <w:b/>
                <w:bCs/>
                <w:color w:val="auto"/>
                <w:sz w:val="18"/>
                <w:szCs w:val="18"/>
                <w:highlight w:val="none"/>
              </w:rPr>
            </w:pPr>
            <w:r>
              <w:rPr>
                <w:rFonts w:hint="eastAsia" w:ascii="仿宋" w:hAnsi="仿宋" w:eastAsia="仿宋" w:cs="仿宋"/>
                <w:b/>
                <w:color w:val="auto"/>
                <w:spacing w:val="-6"/>
                <w:sz w:val="18"/>
                <w:szCs w:val="18"/>
                <w:highlight w:val="none"/>
              </w:rPr>
              <w:t>采购方式</w:t>
            </w:r>
          </w:p>
        </w:tc>
        <w:tc>
          <w:tcPr>
            <w:tcW w:w="7074" w:type="dxa"/>
            <w:vAlign w:val="center"/>
          </w:tcPr>
          <w:p>
            <w:pPr>
              <w:snapToGrid w:val="0"/>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本次采购采用竞争性磋商方式进行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40" w:type="dxa"/>
            <w:vAlign w:val="center"/>
          </w:tcPr>
          <w:p>
            <w:pPr>
              <w:snapToGrid w:val="0"/>
              <w:jc w:val="center"/>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一、4</w:t>
            </w:r>
          </w:p>
        </w:tc>
        <w:tc>
          <w:tcPr>
            <w:tcW w:w="1514" w:type="dxa"/>
            <w:vAlign w:val="center"/>
          </w:tcPr>
          <w:p>
            <w:pPr>
              <w:snapToGrid w:val="0"/>
              <w:jc w:val="center"/>
              <w:rPr>
                <w:rFonts w:ascii="仿宋" w:hAnsi="仿宋" w:eastAsia="仿宋" w:cs="仿宋"/>
                <w:b/>
                <w:color w:val="auto"/>
                <w:spacing w:val="-6"/>
                <w:sz w:val="18"/>
                <w:szCs w:val="18"/>
                <w:highlight w:val="none"/>
              </w:rPr>
            </w:pPr>
            <w:r>
              <w:rPr>
                <w:rFonts w:hint="eastAsia" w:ascii="仿宋" w:hAnsi="仿宋" w:eastAsia="仿宋" w:cs="仿宋"/>
                <w:b/>
                <w:color w:val="auto"/>
                <w:spacing w:val="-6"/>
                <w:sz w:val="18"/>
                <w:szCs w:val="18"/>
                <w:highlight w:val="none"/>
              </w:rPr>
              <w:t>竞争性磋商委托</w:t>
            </w:r>
          </w:p>
        </w:tc>
        <w:tc>
          <w:tcPr>
            <w:tcW w:w="7074" w:type="dxa"/>
            <w:vAlign w:val="center"/>
          </w:tcPr>
          <w:p>
            <w:pPr>
              <w:adjustRightInd w:val="0"/>
              <w:snapToGrid w:val="0"/>
              <w:jc w:val="left"/>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▲4.1 供应商授权代表是法定代表人（单位负责人、自然人本人）的提供本人身份证明；</w:t>
            </w:r>
          </w:p>
          <w:p>
            <w:pPr>
              <w:adjustRightInd w:val="0"/>
              <w:snapToGrid w:val="0"/>
              <w:jc w:val="left"/>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▲4.2 供应商授权代表不是法定代表人（单位负责人、自然人本人）的提供授权委托书（格式详见磋商文件第六章）和授权代表近三个月社保缴纳证明；</w:t>
            </w:r>
          </w:p>
          <w:p>
            <w:pPr>
              <w:adjustRightInd w:val="0"/>
              <w:snapToGrid w:val="0"/>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▲4.3 供应商委派不在本单位缴纳社保的人员作为授权代表的，在响应文件中说明具体原因、授权代表缴纳社保单位并附列该授权代表缴纳社保清单（近三个月）；</w:t>
            </w:r>
          </w:p>
          <w:p>
            <w:pPr>
              <w:adjustRightInd w:val="0"/>
              <w:snapToGrid w:val="0"/>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▲4.4 供应商授权代表须持本人有效</w:t>
            </w:r>
            <w:r>
              <w:rPr>
                <w:rFonts w:hint="eastAsia" w:ascii="仿宋" w:hAnsi="仿宋" w:eastAsia="仿宋" w:cs="仿宋"/>
                <w:color w:val="auto"/>
                <w:spacing w:val="-6"/>
                <w:sz w:val="18"/>
                <w:szCs w:val="18"/>
                <w:highlight w:val="none"/>
              </w:rPr>
              <w:t>身份证件（身份证、驾驶证或护照）原件</w:t>
            </w:r>
            <w:r>
              <w:rPr>
                <w:rFonts w:hint="eastAsia" w:ascii="仿宋" w:hAnsi="仿宋" w:eastAsia="仿宋" w:cs="仿宋"/>
                <w:color w:val="auto"/>
                <w:sz w:val="18"/>
                <w:szCs w:val="18"/>
                <w:highlight w:val="none"/>
              </w:rPr>
              <w:t>于响应文件提交截止时间前到达响应文件开启地点参与磋商。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40" w:type="dxa"/>
            <w:vAlign w:val="center"/>
          </w:tcPr>
          <w:p>
            <w:pPr>
              <w:snapToGrid w:val="0"/>
              <w:jc w:val="center"/>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一、5</w:t>
            </w:r>
          </w:p>
        </w:tc>
        <w:tc>
          <w:tcPr>
            <w:tcW w:w="1514" w:type="dxa"/>
            <w:vAlign w:val="center"/>
          </w:tcPr>
          <w:p>
            <w:pPr>
              <w:snapToGrid w:val="0"/>
              <w:jc w:val="center"/>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磋商费用</w:t>
            </w:r>
          </w:p>
        </w:tc>
        <w:tc>
          <w:tcPr>
            <w:tcW w:w="7074" w:type="dxa"/>
            <w:vAlign w:val="center"/>
          </w:tcPr>
          <w:p>
            <w:pPr>
              <w:adjustRightInd w:val="0"/>
              <w:snapToGrid w:val="0"/>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5.1 不论采购结果如何，供应商均应自行承担所有与磋商有关的全部费用；</w:t>
            </w:r>
          </w:p>
          <w:p>
            <w:pPr>
              <w:adjustRightInd w:val="0"/>
              <w:snapToGrid w:val="0"/>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5.2 成交供应商在成交通知书发出之日起七个工作日内向采购代理机构交纳代理服务费；</w:t>
            </w:r>
          </w:p>
          <w:p>
            <w:pPr>
              <w:adjustRightInd w:val="0"/>
              <w:snapToGrid w:val="0"/>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5.3 成交供应商逾期支付代理服务费，须承担代理服务费每日百分之三的违约金，逾期十日未支付的，采购代理机构有权向杭州仲裁委员会对成交供应商提起仲裁，仲裁费用（包括仲裁受理费和仲裁处理费）均由成交供应商承担；</w:t>
            </w:r>
          </w:p>
          <w:p>
            <w:pPr>
              <w:adjustRightInd w:val="0"/>
              <w:snapToGrid w:val="0"/>
              <w:rPr>
                <w:rFonts w:ascii="仿宋" w:hAnsi="仿宋" w:eastAsia="仿宋" w:cs="仿宋"/>
                <w:color w:val="auto"/>
                <w:spacing w:val="-6"/>
                <w:sz w:val="18"/>
                <w:szCs w:val="18"/>
                <w:highlight w:val="none"/>
              </w:rPr>
            </w:pPr>
            <w:r>
              <w:rPr>
                <w:rFonts w:hint="eastAsia" w:ascii="仿宋" w:hAnsi="仿宋" w:eastAsia="仿宋" w:cs="仿宋"/>
                <w:color w:val="auto"/>
                <w:sz w:val="18"/>
                <w:szCs w:val="18"/>
                <w:highlight w:val="none"/>
              </w:rPr>
              <w:t xml:space="preserve">5.4 </w:t>
            </w:r>
            <w:r>
              <w:rPr>
                <w:rFonts w:hint="eastAsia" w:ascii="仿宋" w:hAnsi="仿宋" w:eastAsia="仿宋" w:cs="仿宋"/>
                <w:color w:val="auto"/>
                <w:spacing w:val="-6"/>
                <w:sz w:val="18"/>
                <w:szCs w:val="18"/>
                <w:highlight w:val="none"/>
              </w:rPr>
              <w:t>收费标准（差额累进）：</w:t>
            </w:r>
          </w:p>
          <w:tbl>
            <w:tblPr>
              <w:tblStyle w:val="27"/>
              <w:tblW w:w="5384"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2692"/>
              <w:gridCol w:w="269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2692" w:type="dxa"/>
                  <w:tcMar>
                    <w:top w:w="0" w:type="dxa"/>
                    <w:left w:w="108" w:type="dxa"/>
                    <w:bottom w:w="0" w:type="dxa"/>
                    <w:right w:w="108" w:type="dxa"/>
                  </w:tcMar>
                  <w:vAlign w:val="center"/>
                </w:tcPr>
                <w:p>
                  <w:pPr>
                    <w:snapToGrid w:val="0"/>
                    <w:jc w:val="center"/>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成交金额（万元）</w:t>
                  </w:r>
                </w:p>
              </w:tc>
              <w:tc>
                <w:tcPr>
                  <w:tcW w:w="2692" w:type="dxa"/>
                  <w:tcMar>
                    <w:top w:w="0" w:type="dxa"/>
                    <w:left w:w="108" w:type="dxa"/>
                    <w:bottom w:w="0" w:type="dxa"/>
                    <w:right w:w="108" w:type="dxa"/>
                  </w:tcMar>
                  <w:vAlign w:val="center"/>
                </w:tcPr>
                <w:p>
                  <w:pPr>
                    <w:snapToGrid w:val="0"/>
                    <w:jc w:val="center"/>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收费标准（费率，%）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2692" w:type="dxa"/>
                  <w:tcMar>
                    <w:top w:w="0" w:type="dxa"/>
                    <w:left w:w="108" w:type="dxa"/>
                    <w:bottom w:w="0" w:type="dxa"/>
                    <w:right w:w="108" w:type="dxa"/>
                  </w:tcMar>
                  <w:vAlign w:val="center"/>
                </w:tcPr>
                <w:p>
                  <w:pPr>
                    <w:snapToGrid w:val="0"/>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100以下</w:t>
                  </w:r>
                </w:p>
              </w:tc>
              <w:tc>
                <w:tcPr>
                  <w:tcW w:w="2692" w:type="dxa"/>
                  <w:tcMar>
                    <w:top w:w="0" w:type="dxa"/>
                    <w:left w:w="108" w:type="dxa"/>
                    <w:bottom w:w="0" w:type="dxa"/>
                    <w:right w:w="108" w:type="dxa"/>
                  </w:tcMar>
                  <w:vAlign w:val="center"/>
                </w:tcPr>
                <w:p>
                  <w:pPr>
                    <w:snapToGrid w:val="0"/>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0.75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2692" w:type="dxa"/>
                  <w:tcMar>
                    <w:top w:w="0" w:type="dxa"/>
                    <w:left w:w="108" w:type="dxa"/>
                    <w:bottom w:w="0" w:type="dxa"/>
                    <w:right w:w="108" w:type="dxa"/>
                  </w:tcMar>
                  <w:vAlign w:val="center"/>
                </w:tcPr>
                <w:p>
                  <w:pPr>
                    <w:snapToGrid w:val="0"/>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100-500</w:t>
                  </w:r>
                </w:p>
              </w:tc>
              <w:tc>
                <w:tcPr>
                  <w:tcW w:w="2692" w:type="dxa"/>
                  <w:tcMar>
                    <w:top w:w="0" w:type="dxa"/>
                    <w:left w:w="108" w:type="dxa"/>
                    <w:bottom w:w="0" w:type="dxa"/>
                    <w:right w:w="108" w:type="dxa"/>
                  </w:tcMar>
                  <w:vAlign w:val="center"/>
                </w:tcPr>
                <w:p>
                  <w:pPr>
                    <w:snapToGrid w:val="0"/>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0.55</w:t>
                  </w:r>
                </w:p>
              </w:tc>
            </w:tr>
          </w:tbl>
          <w:p>
            <w:pPr>
              <w:adjustRightInd w:val="0"/>
              <w:snapToGrid w:val="0"/>
              <w:jc w:val="left"/>
              <w:rPr>
                <w:rFonts w:ascii="仿宋" w:hAnsi="仿宋" w:eastAsia="仿宋" w:cs="仿宋"/>
                <w:color w:val="auto"/>
                <w:sz w:val="18"/>
                <w:szCs w:val="18"/>
                <w:highlight w:val="none"/>
              </w:rPr>
            </w:pPr>
            <w:r>
              <w:rPr>
                <w:rFonts w:hint="eastAsia" w:ascii="仿宋" w:hAnsi="仿宋" w:eastAsia="仿宋" w:cs="仿宋"/>
                <w:color w:val="auto"/>
                <w:spacing w:val="-6"/>
                <w:sz w:val="18"/>
                <w:szCs w:val="18"/>
                <w:highlight w:val="none"/>
              </w:rPr>
              <w:t>5.5 磋商保证金：无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40" w:type="dxa"/>
            <w:vAlign w:val="center"/>
          </w:tcPr>
          <w:p>
            <w:pPr>
              <w:snapToGrid w:val="0"/>
              <w:jc w:val="center"/>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一、6</w:t>
            </w:r>
          </w:p>
        </w:tc>
        <w:tc>
          <w:tcPr>
            <w:tcW w:w="1514" w:type="dxa"/>
            <w:vAlign w:val="center"/>
          </w:tcPr>
          <w:p>
            <w:pPr>
              <w:snapToGrid w:val="0"/>
              <w:jc w:val="center"/>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联合体响应</w:t>
            </w:r>
          </w:p>
        </w:tc>
        <w:tc>
          <w:tcPr>
            <w:tcW w:w="7074" w:type="dxa"/>
            <w:vAlign w:val="center"/>
          </w:tcPr>
          <w:p>
            <w:pPr>
              <w:adjustRightInd w:val="0"/>
              <w:snapToGrid w:val="0"/>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本项目不接受联合体响应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40" w:type="dxa"/>
            <w:vAlign w:val="center"/>
          </w:tcPr>
          <w:p>
            <w:pPr>
              <w:snapToGrid w:val="0"/>
              <w:jc w:val="center"/>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一、7</w:t>
            </w:r>
          </w:p>
        </w:tc>
        <w:tc>
          <w:tcPr>
            <w:tcW w:w="1514" w:type="dxa"/>
            <w:vAlign w:val="center"/>
          </w:tcPr>
          <w:p>
            <w:pPr>
              <w:snapToGrid w:val="0"/>
              <w:jc w:val="center"/>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转包与分包</w:t>
            </w:r>
          </w:p>
        </w:tc>
        <w:tc>
          <w:tcPr>
            <w:tcW w:w="7074" w:type="dxa"/>
            <w:vAlign w:val="center"/>
          </w:tcPr>
          <w:p>
            <w:pPr>
              <w:adjustRightInd w:val="0"/>
              <w:snapToGrid w:val="0"/>
              <w:jc w:val="left"/>
              <w:rPr>
                <w:rFonts w:ascii="仿宋" w:hAnsi="仿宋" w:eastAsia="仿宋" w:cs="仿宋"/>
                <w:color w:val="auto"/>
                <w:spacing w:val="-6"/>
                <w:sz w:val="18"/>
                <w:szCs w:val="18"/>
                <w:highlight w:val="none"/>
              </w:rPr>
            </w:pPr>
            <w:r>
              <w:rPr>
                <w:rFonts w:hint="eastAsia" w:ascii="仿宋" w:hAnsi="仿宋" w:eastAsia="仿宋" w:cs="仿宋"/>
                <w:color w:val="auto"/>
                <w:spacing w:val="-6"/>
                <w:sz w:val="18"/>
                <w:szCs w:val="18"/>
                <w:highlight w:val="none"/>
              </w:rPr>
              <w:t>7.1 本项目不允许转包；</w:t>
            </w:r>
          </w:p>
          <w:p>
            <w:pPr>
              <w:snapToGrid w:val="0"/>
              <w:rPr>
                <w:rFonts w:ascii="仿宋" w:hAnsi="仿宋" w:eastAsia="仿宋" w:cs="仿宋"/>
                <w:color w:val="auto"/>
                <w:sz w:val="18"/>
                <w:szCs w:val="18"/>
                <w:highlight w:val="none"/>
              </w:rPr>
            </w:pPr>
            <w:r>
              <w:rPr>
                <w:rFonts w:hint="eastAsia" w:ascii="仿宋" w:hAnsi="仿宋" w:eastAsia="仿宋" w:cs="仿宋"/>
                <w:color w:val="auto"/>
                <w:spacing w:val="-6"/>
                <w:sz w:val="18"/>
                <w:szCs w:val="18"/>
                <w:highlight w:val="none"/>
              </w:rPr>
              <w:t>7.2 供应商根据磋商文件的规定和采购项目的实际情况，拟在成交后将成交项目的非主体、非关键性工作分包的，应当在响应文件中载明分包承担主体，分包承担主体应当具备相应资质条件且不得再次分包。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40" w:type="dxa"/>
            <w:vAlign w:val="center"/>
          </w:tcPr>
          <w:p>
            <w:pPr>
              <w:snapToGrid w:val="0"/>
              <w:jc w:val="center"/>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六、（二）</w:t>
            </w:r>
          </w:p>
        </w:tc>
        <w:tc>
          <w:tcPr>
            <w:tcW w:w="1514" w:type="dxa"/>
            <w:vAlign w:val="center"/>
          </w:tcPr>
          <w:p>
            <w:pPr>
              <w:snapToGrid w:val="0"/>
              <w:jc w:val="center"/>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信用信息</w:t>
            </w:r>
          </w:p>
        </w:tc>
        <w:tc>
          <w:tcPr>
            <w:tcW w:w="7074" w:type="dxa"/>
            <w:vAlign w:val="center"/>
          </w:tcPr>
          <w:p>
            <w:pPr>
              <w:snapToGrid w:val="0"/>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查询渠道及截止时间：采购代理机构将通过“信用中国”、中国政府采购网查询供应商响应文件提交截止时间当天的信用记录；</w:t>
            </w:r>
          </w:p>
          <w:p>
            <w:pPr>
              <w:snapToGrid w:val="0"/>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查询记录和证据留存的具体方式：现场查询的供应商信用记录、查询结果经确认后与采购文件一起存档；</w:t>
            </w:r>
          </w:p>
          <w:p>
            <w:pPr>
              <w:snapToGrid w:val="0"/>
              <w:rPr>
                <w:rFonts w:ascii="仿宋" w:hAnsi="仿宋" w:eastAsia="仿宋" w:cs="仿宋"/>
                <w:color w:val="auto"/>
                <w:sz w:val="18"/>
                <w:szCs w:val="18"/>
                <w:highlight w:val="none"/>
              </w:rPr>
            </w:pPr>
            <w:r>
              <w:rPr>
                <w:rFonts w:hint="eastAsia" w:ascii="仿宋" w:hAnsi="仿宋" w:eastAsia="仿宋" w:cs="仿宋"/>
                <w:b/>
                <w:bCs/>
                <w:color w:val="auto"/>
                <w:sz w:val="18"/>
                <w:szCs w:val="18"/>
                <w:highlight w:val="none"/>
              </w:rPr>
              <w:t>使用规则：经查询列入失信被执行人名单、重大税收违法案件当事人名单、政府采购严重违法失信行为记录名单的供应商将被拒绝参与政府采购活动。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40" w:type="dxa"/>
            <w:vAlign w:val="center"/>
          </w:tcPr>
          <w:p>
            <w:pPr>
              <w:snapToGrid w:val="0"/>
              <w:jc w:val="center"/>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w:t>
            </w:r>
          </w:p>
        </w:tc>
        <w:tc>
          <w:tcPr>
            <w:tcW w:w="1514" w:type="dxa"/>
            <w:vAlign w:val="center"/>
          </w:tcPr>
          <w:p>
            <w:pPr>
              <w:snapToGrid w:val="0"/>
              <w:jc w:val="center"/>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资格审查要求的资格证明材料</w:t>
            </w:r>
          </w:p>
        </w:tc>
        <w:tc>
          <w:tcPr>
            <w:tcW w:w="7074" w:type="dxa"/>
            <w:vAlign w:val="center"/>
          </w:tcPr>
          <w:p>
            <w:pPr>
              <w:snapToGrid w:val="0"/>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资格审查要求的资格证明材料（均需加盖公章）：</w:t>
            </w:r>
          </w:p>
          <w:p>
            <w:pPr>
              <w:snapToGrid w:val="0"/>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1）有效的法人或者其他组织的营业执照等证明文件/自然人的身份证明</w:t>
            </w:r>
          </w:p>
          <w:p>
            <w:pPr>
              <w:snapToGrid w:val="0"/>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2）符合参加采购活动应当具备的一般条件的承诺函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40" w:type="dxa"/>
            <w:vAlign w:val="center"/>
          </w:tcPr>
          <w:p>
            <w:pPr>
              <w:snapToGrid w:val="0"/>
              <w:jc w:val="center"/>
              <w:rPr>
                <w:color w:val="auto"/>
                <w:sz w:val="18"/>
                <w:szCs w:val="18"/>
                <w:highlight w:val="none"/>
              </w:rPr>
            </w:pPr>
            <w:r>
              <w:rPr>
                <w:rFonts w:hint="eastAsia" w:ascii="仿宋" w:hAnsi="仿宋" w:eastAsia="仿宋" w:cs="仿宋"/>
                <w:b/>
                <w:bCs/>
                <w:color w:val="auto"/>
                <w:spacing w:val="-6"/>
                <w:sz w:val="18"/>
                <w:szCs w:val="18"/>
                <w:highlight w:val="none"/>
              </w:rPr>
              <w:t>三、2.1</w:t>
            </w:r>
          </w:p>
        </w:tc>
        <w:tc>
          <w:tcPr>
            <w:tcW w:w="1514" w:type="dxa"/>
            <w:vAlign w:val="center"/>
          </w:tcPr>
          <w:p>
            <w:pPr>
              <w:snapToGrid w:val="0"/>
              <w:jc w:val="center"/>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装订与份数</w:t>
            </w:r>
          </w:p>
        </w:tc>
        <w:tc>
          <w:tcPr>
            <w:tcW w:w="7074" w:type="dxa"/>
            <w:vAlign w:val="center"/>
          </w:tcPr>
          <w:p>
            <w:pPr>
              <w:snapToGrid w:val="0"/>
              <w:rPr>
                <w:rFonts w:ascii="仿宋" w:hAnsi="仿宋" w:eastAsia="仿宋" w:cs="仿宋"/>
                <w:color w:val="auto"/>
                <w:sz w:val="18"/>
                <w:szCs w:val="18"/>
                <w:highlight w:val="none"/>
              </w:rPr>
            </w:pPr>
            <w:r>
              <w:rPr>
                <w:rFonts w:hint="eastAsia" w:ascii="仿宋" w:hAnsi="仿宋" w:eastAsia="仿宋" w:cs="仿宋"/>
                <w:b/>
                <w:color w:val="auto"/>
                <w:spacing w:val="-6"/>
                <w:sz w:val="18"/>
                <w:szCs w:val="18"/>
                <w:highlight w:val="none"/>
              </w:rPr>
              <w:t>资格文件、报价文件、商务和技术文件</w:t>
            </w:r>
            <w:r>
              <w:rPr>
                <w:rFonts w:hint="eastAsia" w:ascii="仿宋" w:hAnsi="仿宋" w:eastAsia="仿宋" w:cs="仿宋"/>
                <w:b/>
                <w:bCs/>
                <w:color w:val="auto"/>
                <w:spacing w:val="-6"/>
                <w:sz w:val="18"/>
                <w:szCs w:val="18"/>
                <w:highlight w:val="none"/>
              </w:rPr>
              <w:t>合并装订成册，其中正本一份、副本五份，响应文件的封面应注明“正本”、“副本”字样，同时提供响应文件电子文档一份（U盘或光盘形式，电子文档需为签字且加盖公章后的响应文件完成版彩色扫描件），▲活页装订（卡条、抽杆夹、订书机、散装）的响应文件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40" w:type="dxa"/>
            <w:vAlign w:val="center"/>
          </w:tcPr>
          <w:p>
            <w:pPr>
              <w:adjustRightInd w:val="0"/>
              <w:snapToGrid w:val="0"/>
              <w:jc w:val="center"/>
              <w:outlineLvl w:val="2"/>
              <w:rPr>
                <w:rFonts w:ascii="仿宋" w:hAnsi="仿宋" w:eastAsia="仿宋" w:cs="仿宋"/>
                <w:b/>
                <w:bCs/>
                <w:color w:val="auto"/>
                <w:sz w:val="18"/>
                <w:szCs w:val="18"/>
                <w:highlight w:val="none"/>
              </w:rPr>
            </w:pPr>
            <w:r>
              <w:rPr>
                <w:rFonts w:hint="eastAsia" w:ascii="仿宋" w:hAnsi="仿宋" w:eastAsia="仿宋" w:cs="仿宋"/>
                <w:b/>
                <w:bCs/>
                <w:color w:val="auto"/>
                <w:spacing w:val="-6"/>
                <w:sz w:val="18"/>
                <w:szCs w:val="18"/>
                <w:highlight w:val="none"/>
              </w:rPr>
              <w:t>三、5</w:t>
            </w:r>
          </w:p>
        </w:tc>
        <w:tc>
          <w:tcPr>
            <w:tcW w:w="1514" w:type="dxa"/>
            <w:vAlign w:val="center"/>
          </w:tcPr>
          <w:p>
            <w:pPr>
              <w:snapToGrid w:val="0"/>
              <w:jc w:val="center"/>
              <w:rPr>
                <w:rFonts w:ascii="仿宋" w:hAnsi="仿宋" w:eastAsia="仿宋" w:cs="仿宋"/>
                <w:b/>
                <w:bCs/>
                <w:color w:val="auto"/>
                <w:sz w:val="18"/>
                <w:szCs w:val="18"/>
                <w:highlight w:val="none"/>
              </w:rPr>
            </w:pPr>
            <w:r>
              <w:rPr>
                <w:rFonts w:hint="eastAsia" w:ascii="仿宋" w:hAnsi="仿宋" w:eastAsia="仿宋" w:cs="仿宋"/>
                <w:b/>
                <w:color w:val="auto"/>
                <w:spacing w:val="-6"/>
                <w:sz w:val="18"/>
                <w:szCs w:val="18"/>
                <w:highlight w:val="none"/>
              </w:rPr>
              <w:t>响应报价</w:t>
            </w:r>
          </w:p>
        </w:tc>
        <w:tc>
          <w:tcPr>
            <w:tcW w:w="7074" w:type="dxa"/>
            <w:vAlign w:val="center"/>
          </w:tcPr>
          <w:p>
            <w:pPr>
              <w:snapToGrid w:val="0"/>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5.1 报价应按磋商文件要求的格式编制、填写报价内容（可自行增行），未按磋商文件要求编制、填写的响应文件可能被拒绝；</w:t>
            </w:r>
          </w:p>
          <w:p>
            <w:pPr>
              <w:snapToGrid w:val="0"/>
              <w:rPr>
                <w:rFonts w:ascii="仿宋" w:hAnsi="仿宋" w:eastAsia="仿宋" w:cs="仿宋"/>
                <w:color w:val="auto"/>
                <w:sz w:val="18"/>
                <w:szCs w:val="18"/>
                <w:highlight w:val="none"/>
              </w:rPr>
            </w:pPr>
            <w:r>
              <w:rPr>
                <w:rFonts w:hint="eastAsia" w:ascii="仿宋" w:hAnsi="仿宋" w:eastAsia="仿宋" w:cs="仿宋"/>
                <w:bCs/>
                <w:color w:val="auto"/>
                <w:sz w:val="18"/>
                <w:szCs w:val="18"/>
                <w:highlight w:val="none"/>
              </w:rPr>
              <w:t>5.2 最后报价是履行合同的最终价格，包含货物金额、广告制作、仓储、包装、运输、保险、装卸、安装、调试、综合布线、垃圾清运、保洁、培训、食宿及相关材料费、检验费及税金等为确保合法、正常使用货物及成交供应商履行合同项下约定的所有义务所需支出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40" w:type="dxa"/>
            <w:vAlign w:val="center"/>
          </w:tcPr>
          <w:p>
            <w:pPr>
              <w:snapToGrid w:val="0"/>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w:t>
            </w:r>
          </w:p>
        </w:tc>
        <w:tc>
          <w:tcPr>
            <w:tcW w:w="1514" w:type="dxa"/>
            <w:vAlign w:val="center"/>
          </w:tcPr>
          <w:p>
            <w:pPr>
              <w:snapToGrid w:val="0"/>
              <w:jc w:val="center"/>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评审方法和评审标准</w:t>
            </w:r>
          </w:p>
        </w:tc>
        <w:tc>
          <w:tcPr>
            <w:tcW w:w="7074" w:type="dxa"/>
            <w:vAlign w:val="center"/>
          </w:tcPr>
          <w:p>
            <w:pPr>
              <w:snapToGrid w:val="0"/>
              <w:rPr>
                <w:rFonts w:ascii="宋体" w:hAnsi="宋体" w:eastAsia="宋体" w:cs="宋体"/>
                <w:color w:val="auto"/>
                <w:sz w:val="18"/>
                <w:szCs w:val="18"/>
                <w:highlight w:val="none"/>
              </w:rPr>
            </w:pPr>
            <w:r>
              <w:rPr>
                <w:rFonts w:hint="eastAsia" w:ascii="仿宋" w:hAnsi="仿宋" w:eastAsia="仿宋" w:cs="仿宋"/>
                <w:color w:val="auto"/>
                <w:sz w:val="18"/>
                <w:szCs w:val="18"/>
                <w:highlight w:val="none"/>
              </w:rPr>
              <w:t>详见“第四章  评审方法和评审标准”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40" w:type="dxa"/>
            <w:vAlign w:val="center"/>
          </w:tcPr>
          <w:p>
            <w:pPr>
              <w:snapToGrid w:val="0"/>
              <w:jc w:val="center"/>
              <w:rPr>
                <w:rFonts w:ascii="仿宋" w:hAnsi="仿宋" w:eastAsia="仿宋" w:cs="仿宋"/>
                <w:color w:val="auto"/>
                <w:sz w:val="18"/>
                <w:szCs w:val="18"/>
                <w:highlight w:val="none"/>
              </w:rPr>
            </w:pPr>
            <w:r>
              <w:rPr>
                <w:rFonts w:hint="eastAsia" w:ascii="仿宋" w:hAnsi="仿宋" w:eastAsia="仿宋" w:cs="仿宋"/>
                <w:b/>
                <w:color w:val="auto"/>
                <w:spacing w:val="-6"/>
                <w:sz w:val="18"/>
                <w:szCs w:val="18"/>
                <w:highlight w:val="none"/>
              </w:rPr>
              <w:t>七、1.3</w:t>
            </w:r>
          </w:p>
        </w:tc>
        <w:tc>
          <w:tcPr>
            <w:tcW w:w="1514" w:type="dxa"/>
            <w:vAlign w:val="center"/>
          </w:tcPr>
          <w:p>
            <w:pPr>
              <w:snapToGrid w:val="0"/>
              <w:jc w:val="center"/>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成交</w:t>
            </w:r>
          </w:p>
        </w:tc>
        <w:tc>
          <w:tcPr>
            <w:tcW w:w="7074" w:type="dxa"/>
            <w:vAlign w:val="center"/>
          </w:tcPr>
          <w:p>
            <w:pPr>
              <w:snapToGrid w:val="0"/>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评审结果公示媒体：浙江政府采购网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40" w:type="dxa"/>
            <w:vAlign w:val="center"/>
          </w:tcPr>
          <w:p>
            <w:pPr>
              <w:snapToGrid w:val="0"/>
              <w:jc w:val="center"/>
              <w:rPr>
                <w:rFonts w:ascii="仿宋" w:hAnsi="仿宋" w:eastAsia="仿宋" w:cs="仿宋"/>
                <w:color w:val="auto"/>
                <w:sz w:val="18"/>
                <w:szCs w:val="18"/>
                <w:highlight w:val="none"/>
              </w:rPr>
            </w:pPr>
            <w:r>
              <w:rPr>
                <w:rFonts w:hint="eastAsia" w:ascii="仿宋" w:hAnsi="仿宋" w:eastAsia="仿宋" w:cs="仿宋"/>
                <w:b/>
                <w:color w:val="auto"/>
                <w:spacing w:val="-6"/>
                <w:sz w:val="18"/>
                <w:szCs w:val="18"/>
                <w:highlight w:val="none"/>
              </w:rPr>
              <w:t>七、2.1</w:t>
            </w:r>
          </w:p>
        </w:tc>
        <w:tc>
          <w:tcPr>
            <w:tcW w:w="1514" w:type="dxa"/>
            <w:vAlign w:val="center"/>
          </w:tcPr>
          <w:p>
            <w:pPr>
              <w:snapToGrid w:val="0"/>
              <w:jc w:val="center"/>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合同</w:t>
            </w:r>
          </w:p>
        </w:tc>
        <w:tc>
          <w:tcPr>
            <w:tcW w:w="7074" w:type="dxa"/>
            <w:vAlign w:val="center"/>
          </w:tcPr>
          <w:p>
            <w:pPr>
              <w:snapToGrid w:val="0"/>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采购人与成交供应商应当在成交通知书发出之日起30日内，按照采购文件确定的合同文本以及采购标的、规格型号、采购金额、采购数量、技术和服务要求等事项签订采购合同。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tc>
      </w:tr>
    </w:tbl>
    <w:p>
      <w:pPr>
        <w:adjustRightInd w:val="0"/>
        <w:snapToGrid w:val="0"/>
        <w:spacing w:line="288" w:lineRule="auto"/>
        <w:rPr>
          <w:rFonts w:ascii="仿宋" w:hAnsi="仿宋" w:eastAsia="仿宋" w:cs="仿宋"/>
          <w:color w:val="auto"/>
          <w:szCs w:val="21"/>
          <w:highlight w:val="none"/>
        </w:rPr>
      </w:pPr>
      <w:r>
        <w:rPr>
          <w:rFonts w:hint="eastAsia" w:ascii="仿宋" w:hAnsi="仿宋" w:eastAsia="仿宋" w:cs="仿宋"/>
          <w:color w:val="auto"/>
          <w:szCs w:val="21"/>
          <w:highlight w:val="none"/>
        </w:rPr>
        <w:br w:type="page"/>
      </w:r>
    </w:p>
    <w:p>
      <w:pPr>
        <w:adjustRightInd w:val="0"/>
        <w:snapToGrid w:val="0"/>
        <w:spacing w:line="288" w:lineRule="auto"/>
        <w:jc w:val="center"/>
        <w:outlineLvl w:val="1"/>
        <w:rPr>
          <w:rFonts w:ascii="仿宋" w:hAnsi="仿宋" w:eastAsia="仿宋" w:cs="仿宋"/>
          <w:b/>
          <w:color w:val="auto"/>
          <w:spacing w:val="-6"/>
          <w:sz w:val="24"/>
          <w:szCs w:val="24"/>
          <w:highlight w:val="none"/>
        </w:rPr>
      </w:pPr>
      <w:r>
        <w:rPr>
          <w:rFonts w:hint="eastAsia" w:ascii="仿宋" w:hAnsi="仿宋" w:eastAsia="仿宋" w:cs="仿宋"/>
          <w:b/>
          <w:color w:val="auto"/>
          <w:spacing w:val="-6"/>
          <w:sz w:val="24"/>
          <w:szCs w:val="24"/>
          <w:highlight w:val="none"/>
        </w:rPr>
        <w:t>一、总  则</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bookmarkStart w:id="30" w:name="_Hlk94018326"/>
      <w:r>
        <w:rPr>
          <w:rFonts w:hint="eastAsia" w:ascii="仿宋" w:hAnsi="仿宋" w:eastAsia="仿宋" w:cs="仿宋"/>
          <w:color w:val="auto"/>
          <w:spacing w:val="-6"/>
          <w:szCs w:val="21"/>
          <w:highlight w:val="none"/>
        </w:rPr>
        <w:t>供应商应仔细阅读磋商文件的所有内容，按照磋商文件的要求提交响应文件，并对所提供的全部资料的真实性承担法律责任。</w:t>
      </w:r>
    </w:p>
    <w:bookmarkEnd w:id="30"/>
    <w:p>
      <w:pPr>
        <w:adjustRightInd w:val="0"/>
        <w:snapToGrid w:val="0"/>
        <w:spacing w:line="288" w:lineRule="auto"/>
        <w:jc w:val="left"/>
        <w:outlineLvl w:val="2"/>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t>1.适用范围</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本磋商文件适用于之江实验室</w:t>
      </w:r>
      <w:r>
        <w:rPr>
          <w:rFonts w:hint="eastAsia" w:ascii="仿宋" w:hAnsi="仿宋" w:eastAsia="仿宋" w:cs="仿宋"/>
          <w:color w:val="auto"/>
          <w:spacing w:val="-6"/>
          <w:szCs w:val="21"/>
          <w:highlight w:val="none"/>
          <w:lang w:eastAsia="zh-CN"/>
        </w:rPr>
        <w:t>算力中心展厅展陈</w:t>
      </w:r>
      <w:r>
        <w:rPr>
          <w:rFonts w:hint="eastAsia" w:ascii="仿宋" w:hAnsi="仿宋" w:eastAsia="仿宋" w:cs="仿宋"/>
          <w:color w:val="auto"/>
          <w:spacing w:val="-6"/>
          <w:szCs w:val="21"/>
          <w:highlight w:val="none"/>
        </w:rPr>
        <w:t>的磋商、评审、成交、验收、合同履约、付款等（法律、法规另有规定的，从其规定）。</w:t>
      </w:r>
    </w:p>
    <w:p>
      <w:pPr>
        <w:adjustRightInd w:val="0"/>
        <w:snapToGrid w:val="0"/>
        <w:spacing w:line="288" w:lineRule="auto"/>
        <w:jc w:val="left"/>
        <w:outlineLvl w:val="2"/>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t>2.定义</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2.1 “采购人”系指之江实验室；</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2.2 “采购代理机构”系指组织本次竞争性磋商的浙江求是招标代理有限公司；</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2.3 “供应商”系指响应磋商、参加竞争的法人、其他组织或者自然人；</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2.4 “书面形式”包括合同书、信件和数据电文(包括电报、电传、传真、电子数据交换和电子邮件)等可以有形地表现所载内容的形式；</w:t>
      </w:r>
    </w:p>
    <w:p>
      <w:pPr>
        <w:adjustRightInd w:val="0"/>
        <w:snapToGrid w:val="0"/>
        <w:spacing w:line="288" w:lineRule="auto"/>
        <w:ind w:firstLine="398" w:firstLineChars="200"/>
        <w:jc w:val="left"/>
        <w:rPr>
          <w:rFonts w:ascii="仿宋" w:hAnsi="仿宋" w:eastAsia="仿宋" w:cs="仿宋"/>
          <w:b/>
          <w:bCs/>
          <w:color w:val="auto"/>
          <w:spacing w:val="-6"/>
          <w:szCs w:val="21"/>
          <w:highlight w:val="none"/>
        </w:rPr>
      </w:pPr>
      <w:r>
        <w:rPr>
          <w:rFonts w:hint="eastAsia" w:ascii="仿宋" w:hAnsi="仿宋" w:eastAsia="仿宋" w:cs="仿宋"/>
          <w:b/>
          <w:bCs/>
          <w:color w:val="auto"/>
          <w:spacing w:val="-6"/>
          <w:szCs w:val="21"/>
          <w:highlight w:val="none"/>
        </w:rPr>
        <w:t>2.5 “公章”系指单位法定名称章[因特殊原因需要使用冠以法定名称的业务专用章的，响应文件中提供《业务专用章使用说明函》（附件1）]；</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2.6 “▲”系指实质性要求条款，供应商应当做出实质性响应。</w:t>
      </w:r>
    </w:p>
    <w:p>
      <w:pPr>
        <w:adjustRightInd w:val="0"/>
        <w:snapToGrid w:val="0"/>
        <w:spacing w:line="288" w:lineRule="auto"/>
        <w:jc w:val="left"/>
        <w:outlineLvl w:val="2"/>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t>3.采购方式</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本次采购采用竞争性磋商方式进行。</w:t>
      </w:r>
    </w:p>
    <w:p>
      <w:pPr>
        <w:adjustRightInd w:val="0"/>
        <w:snapToGrid w:val="0"/>
        <w:spacing w:line="288" w:lineRule="auto"/>
        <w:jc w:val="left"/>
        <w:outlineLvl w:val="2"/>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t>4.竞争性磋商委托</w:t>
      </w:r>
    </w:p>
    <w:p>
      <w:pPr>
        <w:adjustRightInd w:val="0"/>
        <w:snapToGrid w:val="0"/>
        <w:spacing w:line="288" w:lineRule="auto"/>
        <w:ind w:firstLine="396"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▲4.1 供应商授权代表是法定代表人（单位负责人、自然人本人）的提供本人身份证明；</w:t>
      </w:r>
    </w:p>
    <w:p>
      <w:pPr>
        <w:adjustRightInd w:val="0"/>
        <w:snapToGrid w:val="0"/>
        <w:spacing w:line="288" w:lineRule="auto"/>
        <w:ind w:firstLine="396"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▲4.2 供应商授权代表不是法定代表人（单位负责人、自然人本人）的提供授权委托书（格式详见磋商文件第六章）和授权代表近三个月社保缴纳证明；</w:t>
      </w:r>
    </w:p>
    <w:p>
      <w:pPr>
        <w:adjustRightInd w:val="0"/>
        <w:snapToGrid w:val="0"/>
        <w:spacing w:line="288" w:lineRule="auto"/>
        <w:ind w:firstLine="396"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▲4.3 供应商委派不在本单位缴纳社保的人员作为授权代表的，在响应文件中说明具体原因、授权代表缴纳社保单位并附列该授权代表缴纳社保清单（近三个月）；</w:t>
      </w:r>
    </w:p>
    <w:p>
      <w:pPr>
        <w:adjustRightInd w:val="0"/>
        <w:snapToGrid w:val="0"/>
        <w:spacing w:line="288" w:lineRule="auto"/>
        <w:ind w:firstLine="396"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▲4.4 供应商授权代表须持本人有效身份证件（身份证、驾驶证或护照）原件于响应文件提交截止时间前到达响应文件开启地点参与磋商。</w:t>
      </w:r>
    </w:p>
    <w:p>
      <w:pPr>
        <w:adjustRightInd w:val="0"/>
        <w:snapToGrid w:val="0"/>
        <w:spacing w:line="288" w:lineRule="auto"/>
        <w:jc w:val="left"/>
        <w:outlineLvl w:val="2"/>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t>5.磋商费用</w:t>
      </w:r>
    </w:p>
    <w:p>
      <w:pPr>
        <w:adjustRightInd w:val="0"/>
        <w:snapToGrid w:val="0"/>
        <w:spacing w:line="288" w:lineRule="auto"/>
        <w:ind w:firstLine="424" w:firstLineChars="202"/>
        <w:rPr>
          <w:rFonts w:ascii="仿宋" w:hAnsi="仿宋" w:eastAsia="仿宋" w:cs="仿宋"/>
          <w:color w:val="auto"/>
          <w:szCs w:val="21"/>
          <w:highlight w:val="none"/>
        </w:rPr>
      </w:pPr>
      <w:r>
        <w:rPr>
          <w:rFonts w:hint="eastAsia" w:ascii="仿宋" w:hAnsi="仿宋" w:eastAsia="仿宋" w:cs="仿宋"/>
          <w:color w:val="auto"/>
          <w:szCs w:val="21"/>
          <w:highlight w:val="none"/>
        </w:rPr>
        <w:t>5.1 不论采购结果如何，供应商均应自行承担所有与磋商有关的全部费用；</w:t>
      </w:r>
    </w:p>
    <w:p>
      <w:pPr>
        <w:adjustRightInd w:val="0"/>
        <w:snapToGrid w:val="0"/>
        <w:spacing w:line="288" w:lineRule="auto"/>
        <w:ind w:firstLine="424" w:firstLineChars="202"/>
        <w:rPr>
          <w:rFonts w:ascii="仿宋" w:hAnsi="仿宋" w:eastAsia="仿宋" w:cs="仿宋"/>
          <w:color w:val="auto"/>
          <w:szCs w:val="21"/>
          <w:highlight w:val="none"/>
        </w:rPr>
      </w:pPr>
      <w:r>
        <w:rPr>
          <w:rFonts w:hint="eastAsia" w:ascii="仿宋" w:hAnsi="仿宋" w:eastAsia="仿宋" w:cs="仿宋"/>
          <w:color w:val="auto"/>
          <w:szCs w:val="21"/>
          <w:highlight w:val="none"/>
        </w:rPr>
        <w:t>5.2 成交供应商在成交通知书发出之日起七个工作日内向采购代理机构交纳代理服务费；</w:t>
      </w:r>
    </w:p>
    <w:p>
      <w:pPr>
        <w:adjustRightInd w:val="0"/>
        <w:snapToGrid w:val="0"/>
        <w:spacing w:line="288" w:lineRule="auto"/>
        <w:ind w:firstLine="424" w:firstLineChars="202"/>
        <w:rPr>
          <w:rFonts w:ascii="仿宋" w:hAnsi="仿宋" w:eastAsia="仿宋" w:cs="仿宋"/>
          <w:color w:val="auto"/>
          <w:szCs w:val="21"/>
          <w:highlight w:val="none"/>
        </w:rPr>
      </w:pPr>
      <w:r>
        <w:rPr>
          <w:rFonts w:hint="eastAsia" w:ascii="仿宋" w:hAnsi="仿宋" w:eastAsia="仿宋" w:cs="仿宋"/>
          <w:color w:val="auto"/>
          <w:szCs w:val="21"/>
          <w:highlight w:val="none"/>
        </w:rPr>
        <w:t>5.3 成交供应商逾期支付代理服务费，须承担代理服务费每日百分之三的违约金，逾期十日未支付的，采购代理机构有权向杭州仲裁委员会对成交供应商提起仲裁，仲裁费用（包括仲裁受理费和仲裁处理费）均由成交供应商承担；</w:t>
      </w:r>
    </w:p>
    <w:p>
      <w:pPr>
        <w:adjustRightInd w:val="0"/>
        <w:snapToGrid w:val="0"/>
        <w:spacing w:line="288" w:lineRule="auto"/>
        <w:ind w:firstLine="424" w:firstLineChars="202"/>
        <w:jc w:val="left"/>
        <w:rPr>
          <w:rFonts w:ascii="仿宋" w:hAnsi="仿宋" w:eastAsia="仿宋" w:cs="仿宋"/>
          <w:color w:val="auto"/>
          <w:spacing w:val="-6"/>
          <w:szCs w:val="21"/>
          <w:highlight w:val="none"/>
        </w:rPr>
      </w:pPr>
      <w:r>
        <w:rPr>
          <w:rFonts w:hint="eastAsia" w:ascii="仿宋" w:hAnsi="仿宋" w:eastAsia="仿宋" w:cs="仿宋"/>
          <w:color w:val="auto"/>
          <w:szCs w:val="21"/>
          <w:highlight w:val="none"/>
        </w:rPr>
        <w:t xml:space="preserve">5.4 </w:t>
      </w:r>
      <w:r>
        <w:rPr>
          <w:rFonts w:hint="eastAsia" w:ascii="仿宋" w:hAnsi="仿宋" w:eastAsia="仿宋" w:cs="仿宋"/>
          <w:color w:val="auto"/>
          <w:spacing w:val="-6"/>
          <w:szCs w:val="21"/>
          <w:highlight w:val="none"/>
        </w:rPr>
        <w:t>收费标准（差额累进）：</w:t>
      </w:r>
    </w:p>
    <w:tbl>
      <w:tblPr>
        <w:tblStyle w:val="27"/>
        <w:tblW w:w="5384"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2692"/>
        <w:gridCol w:w="269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2692" w:type="dxa"/>
            <w:tcMar>
              <w:top w:w="0" w:type="dxa"/>
              <w:left w:w="108" w:type="dxa"/>
              <w:bottom w:w="0" w:type="dxa"/>
              <w:right w:w="108" w:type="dxa"/>
            </w:tcMar>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成交金额（万元）</w:t>
            </w:r>
          </w:p>
        </w:tc>
        <w:tc>
          <w:tcPr>
            <w:tcW w:w="2692" w:type="dxa"/>
            <w:tcMar>
              <w:top w:w="0" w:type="dxa"/>
              <w:left w:w="108" w:type="dxa"/>
              <w:bottom w:w="0" w:type="dxa"/>
              <w:right w:w="108" w:type="dxa"/>
            </w:tcMar>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收费标准（费率，%）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2692" w:type="dxa"/>
            <w:tcMar>
              <w:top w:w="0" w:type="dxa"/>
              <w:left w:w="108" w:type="dxa"/>
              <w:bottom w:w="0" w:type="dxa"/>
              <w:right w:w="108" w:type="dxa"/>
            </w:tcMar>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100以下</w:t>
            </w:r>
          </w:p>
        </w:tc>
        <w:tc>
          <w:tcPr>
            <w:tcW w:w="2692" w:type="dxa"/>
            <w:tcMar>
              <w:top w:w="0" w:type="dxa"/>
              <w:left w:w="108" w:type="dxa"/>
              <w:bottom w:w="0" w:type="dxa"/>
              <w:right w:w="108" w:type="dxa"/>
            </w:tcMar>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0.75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2692" w:type="dxa"/>
            <w:tcMar>
              <w:top w:w="0" w:type="dxa"/>
              <w:left w:w="108" w:type="dxa"/>
              <w:bottom w:w="0" w:type="dxa"/>
              <w:right w:w="108" w:type="dxa"/>
            </w:tcMar>
            <w:vAlign w:val="center"/>
          </w:tcPr>
          <w:p>
            <w:pPr>
              <w:spacing w:line="240" w:lineRule="exact"/>
              <w:jc w:val="center"/>
              <w:rPr>
                <w:rFonts w:ascii="仿宋" w:hAnsi="仿宋" w:eastAsia="仿宋" w:cs="仿宋"/>
                <w:color w:val="auto"/>
                <w:szCs w:val="21"/>
                <w:highlight w:val="none"/>
              </w:rPr>
            </w:pPr>
            <w:r>
              <w:rPr>
                <w:rFonts w:hint="eastAsia" w:ascii="仿宋" w:hAnsi="仿宋" w:eastAsia="仿宋" w:cs="仿宋"/>
                <w:color w:val="auto"/>
                <w:szCs w:val="21"/>
                <w:highlight w:val="none"/>
              </w:rPr>
              <w:t>100-500</w:t>
            </w:r>
          </w:p>
        </w:tc>
        <w:tc>
          <w:tcPr>
            <w:tcW w:w="2692" w:type="dxa"/>
            <w:tcMar>
              <w:top w:w="0" w:type="dxa"/>
              <w:left w:w="108" w:type="dxa"/>
              <w:bottom w:w="0" w:type="dxa"/>
              <w:right w:w="108" w:type="dxa"/>
            </w:tcMar>
            <w:vAlign w:val="center"/>
          </w:tcPr>
          <w:p>
            <w:pPr>
              <w:spacing w:line="240" w:lineRule="exact"/>
              <w:jc w:val="center"/>
              <w:rPr>
                <w:rFonts w:ascii="仿宋" w:hAnsi="仿宋" w:eastAsia="仿宋" w:cs="仿宋"/>
                <w:color w:val="auto"/>
                <w:szCs w:val="21"/>
                <w:highlight w:val="none"/>
              </w:rPr>
            </w:pPr>
            <w:r>
              <w:rPr>
                <w:rFonts w:hint="eastAsia" w:ascii="仿宋" w:hAnsi="仿宋" w:eastAsia="仿宋" w:cs="仿宋"/>
                <w:color w:val="auto"/>
                <w:szCs w:val="21"/>
                <w:highlight w:val="none"/>
              </w:rPr>
              <w:t>0.55</w:t>
            </w:r>
          </w:p>
        </w:tc>
      </w:tr>
    </w:tbl>
    <w:p>
      <w:pPr>
        <w:adjustRightInd w:val="0"/>
        <w:snapToGrid w:val="0"/>
        <w:spacing w:line="288" w:lineRule="auto"/>
        <w:ind w:firstLine="424" w:firstLineChars="202"/>
        <w:jc w:val="left"/>
        <w:rPr>
          <w:rFonts w:ascii="仿宋" w:hAnsi="仿宋" w:eastAsia="仿宋" w:cs="仿宋"/>
          <w:color w:val="auto"/>
          <w:szCs w:val="21"/>
          <w:highlight w:val="none"/>
        </w:rPr>
      </w:pPr>
      <w:r>
        <w:rPr>
          <w:rFonts w:hint="eastAsia" w:ascii="仿宋" w:hAnsi="仿宋" w:eastAsia="仿宋" w:cs="仿宋"/>
          <w:color w:val="auto"/>
          <w:szCs w:val="21"/>
          <w:highlight w:val="none"/>
        </w:rPr>
        <w:t>5.5 磋商保证金：无</w:t>
      </w:r>
    </w:p>
    <w:p>
      <w:pPr>
        <w:adjustRightInd w:val="0"/>
        <w:snapToGrid w:val="0"/>
        <w:spacing w:line="288" w:lineRule="auto"/>
        <w:outlineLvl w:val="2"/>
        <w:rPr>
          <w:rFonts w:ascii="仿宋" w:hAnsi="仿宋" w:eastAsia="仿宋" w:cs="仿宋"/>
          <w:b/>
          <w:bCs/>
          <w:color w:val="auto"/>
          <w:szCs w:val="21"/>
          <w:highlight w:val="none"/>
        </w:rPr>
      </w:pPr>
      <w:r>
        <w:rPr>
          <w:rFonts w:hint="eastAsia" w:ascii="仿宋" w:hAnsi="仿宋" w:eastAsia="仿宋" w:cs="仿宋"/>
          <w:b/>
          <w:bCs/>
          <w:color w:val="auto"/>
          <w:szCs w:val="21"/>
          <w:highlight w:val="none"/>
        </w:rPr>
        <w:t>6.联合体响应</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本项目不接受联合体响应。</w:t>
      </w:r>
    </w:p>
    <w:p>
      <w:pPr>
        <w:adjustRightInd w:val="0"/>
        <w:snapToGrid w:val="0"/>
        <w:spacing w:line="288" w:lineRule="auto"/>
        <w:jc w:val="left"/>
        <w:outlineLvl w:val="2"/>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t>7.转包与分包</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7.1 本项目不允许转包；</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7.2 供应商根据磋商文件的规定和采购项目的实际情况，拟在成交后将成交项目的非主体、非关键性工作分包的，应当在响应文件中载明分包承担主体，分包承担主体应当具备相应资质条件且不得再次分包。</w:t>
      </w:r>
    </w:p>
    <w:p>
      <w:pPr>
        <w:adjustRightInd w:val="0"/>
        <w:snapToGrid w:val="0"/>
        <w:spacing w:line="288" w:lineRule="auto"/>
        <w:jc w:val="left"/>
        <w:outlineLvl w:val="2"/>
        <w:rPr>
          <w:rFonts w:ascii="仿宋" w:hAnsi="仿宋" w:eastAsia="仿宋" w:cs="仿宋"/>
          <w:b/>
          <w:color w:val="auto"/>
          <w:spacing w:val="-6"/>
          <w:szCs w:val="21"/>
          <w:highlight w:val="none"/>
        </w:rPr>
      </w:pPr>
      <w:bookmarkStart w:id="31" w:name="_Hlk92273406"/>
      <w:r>
        <w:rPr>
          <w:rFonts w:hint="eastAsia" w:ascii="仿宋" w:hAnsi="仿宋" w:eastAsia="仿宋" w:cs="仿宋"/>
          <w:b/>
          <w:color w:val="auto"/>
          <w:spacing w:val="-6"/>
          <w:szCs w:val="21"/>
          <w:highlight w:val="none"/>
        </w:rPr>
        <w:t>8.质疑</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8.1 供应商认为磋商文件、采购过程、成交结果使自己的权益受到损害的，可以在知道或者应知其权益受到损害之日起7个工作日内，以书面形式向采购人、采购代理机构提出质疑。</w:t>
      </w:r>
    </w:p>
    <w:bookmarkEnd w:id="31"/>
    <w:p>
      <w:pPr>
        <w:adjustRightInd w:val="0"/>
        <w:snapToGrid w:val="0"/>
        <w:spacing w:line="288" w:lineRule="auto"/>
        <w:ind w:firstLine="398" w:firstLineChars="200"/>
        <w:jc w:val="left"/>
        <w:rPr>
          <w:rFonts w:ascii="仿宋" w:hAnsi="仿宋" w:eastAsia="仿宋" w:cs="仿宋"/>
          <w:b/>
          <w:bCs/>
          <w:color w:val="auto"/>
          <w:spacing w:val="-6"/>
          <w:szCs w:val="21"/>
          <w:highlight w:val="none"/>
        </w:rPr>
      </w:pPr>
      <w:r>
        <w:rPr>
          <w:rFonts w:hint="eastAsia" w:ascii="仿宋" w:hAnsi="仿宋" w:eastAsia="仿宋" w:cs="仿宋"/>
          <w:b/>
          <w:bCs/>
          <w:color w:val="auto"/>
          <w:spacing w:val="-6"/>
          <w:szCs w:val="21"/>
          <w:highlight w:val="none"/>
        </w:rPr>
        <w:t>8.2 供应商提出质疑应当提交质疑函和必要的证明材料，质疑函应当包括下列内容：</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（1）供应商的姓名或者名称、地址、邮编、联系人及联系电话</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（2）质疑项目的名称、编号</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（3）具体、明确的质疑事项和与质疑事项相关的请求</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（4）事实依据</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（5）必要的法律依据</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（6）提出质疑的日期</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供应商为自然人的，应当由本人签名；供应商为法人或者其他组织的，应当由法定代表人、主要负责人，或者其授权代表签名或者盖章，并加盖公章。</w:t>
      </w:r>
    </w:p>
    <w:p>
      <w:pPr>
        <w:adjustRightInd w:val="0"/>
        <w:snapToGrid w:val="0"/>
        <w:spacing w:line="288" w:lineRule="auto"/>
        <w:ind w:firstLine="396" w:firstLineChars="200"/>
        <w:jc w:val="left"/>
        <w:rPr>
          <w:rFonts w:ascii="仿宋" w:hAnsi="仿宋" w:eastAsia="仿宋" w:cs="仿宋"/>
          <w:b/>
          <w:color w:val="auto"/>
          <w:spacing w:val="-6"/>
          <w:szCs w:val="21"/>
          <w:highlight w:val="none"/>
        </w:rPr>
      </w:pPr>
      <w:r>
        <w:rPr>
          <w:rFonts w:hint="eastAsia" w:ascii="仿宋" w:hAnsi="仿宋" w:eastAsia="仿宋" w:cs="仿宋"/>
          <w:color w:val="auto"/>
          <w:spacing w:val="-6"/>
          <w:szCs w:val="21"/>
          <w:highlight w:val="none"/>
        </w:rPr>
        <w:t>8.3 提出质疑的供应商应当是参与本项目招标活动的供应商。</w:t>
      </w:r>
      <w:r>
        <w:rPr>
          <w:rFonts w:hint="eastAsia" w:ascii="仿宋" w:hAnsi="仿宋" w:eastAsia="仿宋" w:cs="仿宋"/>
          <w:b/>
          <w:color w:val="auto"/>
          <w:spacing w:val="-6"/>
          <w:szCs w:val="21"/>
          <w:highlight w:val="none"/>
        </w:rPr>
        <w:t>供应商在法定质疑期内应一次性提出针对同一采购程序环节的质疑。</w:t>
      </w:r>
    </w:p>
    <w:p>
      <w:pPr>
        <w:adjustRightInd w:val="0"/>
        <w:snapToGrid w:val="0"/>
        <w:spacing w:line="288" w:lineRule="auto"/>
        <w:outlineLvl w:val="2"/>
        <w:rPr>
          <w:rFonts w:ascii="仿宋" w:hAnsi="仿宋" w:eastAsia="仿宋" w:cs="仿宋"/>
          <w:color w:val="auto"/>
          <w:szCs w:val="21"/>
          <w:highlight w:val="none"/>
        </w:rPr>
      </w:pPr>
      <w:bookmarkStart w:id="32" w:name="_Hlk92273111"/>
      <w:bookmarkStart w:id="33" w:name="_Hlk94018492"/>
      <w:r>
        <w:rPr>
          <w:rFonts w:hint="eastAsia" w:ascii="仿宋" w:hAnsi="仿宋" w:eastAsia="仿宋" w:cs="仿宋"/>
          <w:b/>
          <w:color w:val="auto"/>
          <w:spacing w:val="-6"/>
          <w:kern w:val="0"/>
          <w:szCs w:val="21"/>
          <w:highlight w:val="none"/>
        </w:rPr>
        <w:t>9.采购项目需要落实的政府采购政策</w:t>
      </w:r>
    </w:p>
    <w:p>
      <w:pPr>
        <w:adjustRightInd w:val="0"/>
        <w:snapToGrid w:val="0"/>
        <w:spacing w:line="288" w:lineRule="auto"/>
        <w:ind w:firstLine="398" w:firstLineChars="200"/>
        <w:jc w:val="left"/>
        <w:rPr>
          <w:rFonts w:ascii="仿宋" w:hAnsi="仿宋" w:eastAsia="仿宋" w:cs="仿宋"/>
          <w:b/>
          <w:bCs/>
          <w:color w:val="auto"/>
          <w:spacing w:val="-6"/>
          <w:szCs w:val="21"/>
          <w:highlight w:val="none"/>
        </w:rPr>
      </w:pPr>
      <w:r>
        <w:rPr>
          <w:rFonts w:hint="eastAsia" w:ascii="仿宋" w:hAnsi="仿宋" w:eastAsia="仿宋" w:cs="仿宋"/>
          <w:b/>
          <w:bCs/>
          <w:color w:val="auto"/>
          <w:spacing w:val="-6"/>
          <w:szCs w:val="21"/>
          <w:highlight w:val="none"/>
        </w:rPr>
        <w:t>9.1 本项目采购本国生产的货物，不允许采购进口产品（部件除外）；</w:t>
      </w:r>
    </w:p>
    <w:p>
      <w:pPr>
        <w:adjustRightInd w:val="0"/>
        <w:snapToGrid w:val="0"/>
        <w:spacing w:line="288" w:lineRule="auto"/>
        <w:ind w:firstLine="398" w:firstLineChars="200"/>
        <w:jc w:val="left"/>
        <w:rPr>
          <w:rFonts w:ascii="仿宋" w:hAnsi="仿宋" w:eastAsia="仿宋" w:cs="仿宋"/>
          <w:b/>
          <w:bCs/>
          <w:color w:val="auto"/>
          <w:spacing w:val="-6"/>
          <w:szCs w:val="21"/>
          <w:highlight w:val="none"/>
        </w:rPr>
      </w:pPr>
      <w:r>
        <w:rPr>
          <w:rFonts w:hint="eastAsia" w:ascii="仿宋" w:hAnsi="仿宋" w:eastAsia="仿宋" w:cs="仿宋"/>
          <w:b/>
          <w:bCs/>
          <w:color w:val="auto"/>
          <w:spacing w:val="-6"/>
          <w:szCs w:val="21"/>
          <w:highlight w:val="none"/>
        </w:rPr>
        <w:t>9.2 支持绿色发展</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采购人拟采购的产品属于品目清单范围的，采购人及其委托的采购代理机构将依据国家确定的认证机构出具的、有效的节能、环境标志产品认证证书，对获得证书的产品实施政府优先采购。供应商须按磋商文件要求提供相关产品认证证书。</w:t>
      </w:r>
    </w:p>
    <w:p>
      <w:pPr>
        <w:adjustRightInd w:val="0"/>
        <w:snapToGrid w:val="0"/>
        <w:spacing w:line="288" w:lineRule="auto"/>
        <w:ind w:firstLine="396" w:firstLineChars="200"/>
        <w:jc w:val="left"/>
        <w:rPr>
          <w:rFonts w:ascii="仿宋" w:hAnsi="仿宋" w:eastAsia="仿宋" w:cs="仿宋"/>
          <w:b/>
          <w:bCs/>
          <w:color w:val="auto"/>
          <w:spacing w:val="-6"/>
          <w:szCs w:val="21"/>
          <w:highlight w:val="none"/>
        </w:rPr>
      </w:pPr>
      <w:r>
        <w:rPr>
          <w:rFonts w:hint="eastAsia" w:ascii="仿宋" w:hAnsi="仿宋" w:eastAsia="仿宋" w:cs="仿宋"/>
          <w:color w:val="auto"/>
          <w:spacing w:val="-6"/>
          <w:szCs w:val="21"/>
          <w:highlight w:val="none"/>
        </w:rPr>
        <w:t>为助力打好污染防治攻坚战，推广使用绿色包装，政府采购货物项目中涉及商品包装和快递包装的，供应商提供产品及相关快递服务的具体包装要求要参考《商品包装政府采购需求标准（试行）》《快递包装政府采购需求标准（试行）》。</w:t>
      </w:r>
    </w:p>
    <w:p>
      <w:pPr>
        <w:adjustRightInd w:val="0"/>
        <w:snapToGrid w:val="0"/>
        <w:spacing w:line="288" w:lineRule="auto"/>
        <w:ind w:firstLine="398" w:firstLineChars="200"/>
        <w:jc w:val="left"/>
        <w:rPr>
          <w:rFonts w:ascii="仿宋" w:hAnsi="仿宋" w:eastAsia="仿宋" w:cs="仿宋"/>
          <w:b/>
          <w:bCs/>
          <w:color w:val="auto"/>
          <w:spacing w:val="-6"/>
          <w:szCs w:val="21"/>
          <w:highlight w:val="none"/>
        </w:rPr>
      </w:pPr>
      <w:r>
        <w:rPr>
          <w:rFonts w:hint="eastAsia" w:ascii="仿宋" w:hAnsi="仿宋" w:eastAsia="仿宋" w:cs="仿宋"/>
          <w:b/>
          <w:bCs/>
          <w:color w:val="auto"/>
          <w:spacing w:val="-6"/>
          <w:szCs w:val="21"/>
          <w:highlight w:val="none"/>
        </w:rPr>
        <w:t>9.3 支持中小企业发展</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中小企业，是指在中华人民共和国境内依法设立，依据国务院批准的中小企业划分标准确定的中型企业、小型企业和微型企业，但与大企业的负责人为同一人，或者与大企业存在直接控股、管理关系的除外。</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符合中小企业划分标准的个体工商户，在政府采购活动中视同中小企业。</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在政府采购活动中，供应商提供的货物符合下列情形的，享受中小企业扶持政策：货物由中小企业制造，即货物由中小企业生产且使用该中小企业商号或者注册商标。</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供应商提供的货物既有中小企业制造货物，也有大型企业制造货物的，不享受中小企业扶持政策。</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可享受中小企业扶持政策的供应商应按照磋商文件格式要求提供《中小企业声明函》，供应商提供的《中小企业声明函》与实际情况不符的，不享受中小企业扶持政策。声明内容不实的，属于提供虚假材料谋取成交，依法承担法律责任。</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中小企业享受扶持政策获得政府采购合同的，小微企业不得将合同分包给大中型企业，中型企业不得将合同分包给大型企业。</w:t>
      </w:r>
    </w:p>
    <w:p>
      <w:pPr>
        <w:adjustRightInd w:val="0"/>
        <w:snapToGrid w:val="0"/>
        <w:spacing w:line="288" w:lineRule="auto"/>
        <w:ind w:firstLine="398" w:firstLineChars="200"/>
        <w:jc w:val="left"/>
        <w:rPr>
          <w:rFonts w:ascii="仿宋" w:hAnsi="仿宋" w:eastAsia="仿宋" w:cs="仿宋"/>
          <w:b/>
          <w:bCs/>
          <w:color w:val="auto"/>
          <w:spacing w:val="-6"/>
          <w:szCs w:val="21"/>
          <w:highlight w:val="none"/>
        </w:rPr>
      </w:pPr>
      <w:r>
        <w:rPr>
          <w:rFonts w:hint="eastAsia" w:ascii="仿宋" w:hAnsi="仿宋" w:eastAsia="仿宋" w:cs="仿宋"/>
          <w:b/>
          <w:bCs/>
          <w:color w:val="auto"/>
          <w:spacing w:val="-6"/>
          <w:szCs w:val="21"/>
          <w:highlight w:val="none"/>
        </w:rPr>
        <w:t>9.4 政府采购支持监狱企业发展</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符合《关于政府采购支持监狱企业发展有关问题的通知》（财库[2014]68号）规定的监狱企业并提供由省级以上监狱管理局、戒毒管理局（含新疆生产建设兵团）出具的属于监狱企业证明文件的，视同为小型、微型企业。</w:t>
      </w:r>
    </w:p>
    <w:p>
      <w:pPr>
        <w:adjustRightInd w:val="0"/>
        <w:snapToGrid w:val="0"/>
        <w:spacing w:line="288" w:lineRule="auto"/>
        <w:ind w:firstLine="398" w:firstLineChars="200"/>
        <w:jc w:val="left"/>
        <w:rPr>
          <w:rFonts w:ascii="仿宋" w:hAnsi="仿宋" w:eastAsia="仿宋" w:cs="仿宋"/>
          <w:b/>
          <w:bCs/>
          <w:color w:val="auto"/>
          <w:spacing w:val="-6"/>
          <w:szCs w:val="21"/>
          <w:highlight w:val="none"/>
        </w:rPr>
      </w:pPr>
      <w:r>
        <w:rPr>
          <w:rFonts w:hint="eastAsia" w:ascii="仿宋" w:hAnsi="仿宋" w:eastAsia="仿宋" w:cs="仿宋"/>
          <w:b/>
          <w:bCs/>
          <w:color w:val="auto"/>
          <w:spacing w:val="-6"/>
          <w:szCs w:val="21"/>
          <w:highlight w:val="none"/>
        </w:rPr>
        <w:t>9.5 政府采购促进残疾人就业</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符合《关于促进残疾人就业政府采购政策的通知》（财库[2017]141号）规定的条件并提供《残疾人福利性单位声明函》的残疾人福利性单位视同小型、微型企业。</w:t>
      </w:r>
      <w:bookmarkEnd w:id="32"/>
    </w:p>
    <w:p>
      <w:pPr>
        <w:adjustRightInd w:val="0"/>
        <w:snapToGrid w:val="0"/>
        <w:spacing w:line="288" w:lineRule="auto"/>
        <w:ind w:firstLine="398" w:firstLineChars="200"/>
        <w:jc w:val="left"/>
        <w:rPr>
          <w:rFonts w:ascii="仿宋" w:hAnsi="仿宋" w:eastAsia="仿宋" w:cs="仿宋"/>
          <w:b/>
          <w:bCs/>
          <w:color w:val="auto"/>
          <w:spacing w:val="-6"/>
          <w:szCs w:val="21"/>
          <w:highlight w:val="none"/>
        </w:rPr>
      </w:pPr>
    </w:p>
    <w:p>
      <w:pPr>
        <w:adjustRightInd w:val="0"/>
        <w:snapToGrid w:val="0"/>
        <w:spacing w:line="288" w:lineRule="auto"/>
        <w:ind w:firstLine="398" w:firstLineChars="200"/>
        <w:jc w:val="left"/>
        <w:rPr>
          <w:rFonts w:ascii="仿宋" w:hAnsi="仿宋" w:eastAsia="仿宋" w:cs="仿宋"/>
          <w:b/>
          <w:bCs/>
          <w:color w:val="auto"/>
          <w:spacing w:val="-6"/>
          <w:szCs w:val="21"/>
          <w:highlight w:val="none"/>
        </w:rPr>
      </w:pPr>
      <w:r>
        <w:rPr>
          <w:rFonts w:hint="eastAsia" w:ascii="仿宋" w:hAnsi="仿宋" w:eastAsia="仿宋" w:cs="仿宋"/>
          <w:b/>
          <w:bCs/>
          <w:color w:val="auto"/>
          <w:spacing w:val="-6"/>
          <w:szCs w:val="21"/>
          <w:highlight w:val="none"/>
        </w:rPr>
        <w:t>备注：除财库《政府采购促进中小企业发展管理办法》（财库[2020]46号）、《关于促进残疾人就业政府采购政策的通知》（财库[2017]141号）、《关于政府采购支持监狱企业发展有关问题的通知》（财库[2014]68号）规定企业类型以外的供应商不享受中小企业扶持政策。</w:t>
      </w:r>
    </w:p>
    <w:bookmarkEnd w:id="33"/>
    <w:p>
      <w:pPr>
        <w:adjustRightInd w:val="0"/>
        <w:snapToGrid w:val="0"/>
        <w:spacing w:line="288" w:lineRule="auto"/>
        <w:ind w:firstLine="398" w:firstLineChars="200"/>
        <w:jc w:val="left"/>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br w:type="page"/>
      </w:r>
    </w:p>
    <w:p>
      <w:pPr>
        <w:adjustRightInd w:val="0"/>
        <w:snapToGrid w:val="0"/>
        <w:spacing w:line="288" w:lineRule="auto"/>
        <w:jc w:val="center"/>
        <w:outlineLvl w:val="1"/>
        <w:rPr>
          <w:rFonts w:ascii="仿宋" w:hAnsi="仿宋" w:eastAsia="仿宋" w:cs="仿宋"/>
          <w:b/>
          <w:color w:val="auto"/>
          <w:spacing w:val="-6"/>
          <w:sz w:val="24"/>
          <w:szCs w:val="24"/>
          <w:highlight w:val="none"/>
        </w:rPr>
      </w:pPr>
      <w:r>
        <w:rPr>
          <w:rFonts w:hint="eastAsia" w:ascii="仿宋" w:hAnsi="仿宋" w:eastAsia="仿宋" w:cs="仿宋"/>
          <w:b/>
          <w:color w:val="auto"/>
          <w:spacing w:val="-6"/>
          <w:sz w:val="24"/>
          <w:szCs w:val="24"/>
          <w:highlight w:val="none"/>
        </w:rPr>
        <w:t>二、磋商文件</w:t>
      </w:r>
    </w:p>
    <w:p>
      <w:pPr>
        <w:adjustRightInd w:val="0"/>
        <w:snapToGrid w:val="0"/>
        <w:spacing w:line="288" w:lineRule="auto"/>
        <w:jc w:val="left"/>
        <w:outlineLvl w:val="2"/>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t>1.磋商文件的构成</w:t>
      </w:r>
    </w:p>
    <w:p>
      <w:pPr>
        <w:adjustRightInd w:val="0"/>
        <w:snapToGrid w:val="0"/>
        <w:spacing w:line="288" w:lineRule="auto"/>
        <w:ind w:firstLine="398" w:firstLineChars="200"/>
        <w:jc w:val="left"/>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t>本磋商文件由以下部分组成：</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1）采购邀请</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2）采购需求</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3）供应商须知</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4）评审方法和评审标准</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5）拟签订的合同文本</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6）响应文件格式</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7）本项目磋商文件的澄清、答复、修改、补充的内容</w:t>
      </w:r>
    </w:p>
    <w:p>
      <w:pPr>
        <w:adjustRightInd w:val="0"/>
        <w:snapToGrid w:val="0"/>
        <w:spacing w:line="288" w:lineRule="auto"/>
        <w:jc w:val="left"/>
        <w:outlineLvl w:val="2"/>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t>2.磋商文件的澄清与修改</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2.1 提交首次响应文件截止之日前，采购人、采购代理机构可以对已发出的磋商文件进行必要的澄清或者修改，澄清或者修改的内容作为磋商文件的组成部分。澄清或者修改的内容可能影响响应文件编制的，采购人、采购代理机构会在提交首次响应文件截止时间至少5日前，以书面形式通知所有获取磋商文件的供应商；不足5日的，采购人、采购代理机构会顺延提交首次响应文件截止时间。</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2.2 磋商文件的修改将以书面形式通知所有获取磋商文件的供应商，并对其具有约束力。供应商在收到上述通知后，应立即向采购代理机构回函确认。若无书面回函确认，视同供应商已收到磋商文件修改的通知，并受其约束。</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2.3 磋商文件澄清、答复、修改、补充的内容为磋商文件的组成部分。当磋商文件与磋商文件的答复、澄清、修改、补充通知就同一内容的表述不一致时，以最后发出的书面形式文件为准。</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2.4 磋商文件的澄清、答复、修改或补充都应该通过本采购代理机构以法定形式发布，采购人非通过本机构，不得擅自澄清、答复、修改或补充磋商文件。</w:t>
      </w:r>
    </w:p>
    <w:p>
      <w:pPr>
        <w:adjustRightInd w:val="0"/>
        <w:snapToGrid w:val="0"/>
        <w:spacing w:line="288" w:lineRule="auto"/>
        <w:jc w:val="center"/>
        <w:outlineLvl w:val="1"/>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br w:type="page"/>
      </w:r>
      <w:r>
        <w:rPr>
          <w:rFonts w:hint="eastAsia" w:ascii="仿宋" w:hAnsi="仿宋" w:eastAsia="仿宋" w:cs="仿宋"/>
          <w:b/>
          <w:color w:val="auto"/>
          <w:spacing w:val="-6"/>
          <w:sz w:val="24"/>
          <w:szCs w:val="24"/>
          <w:highlight w:val="none"/>
        </w:rPr>
        <w:t>三、响应文件编制要求</w:t>
      </w:r>
    </w:p>
    <w:p>
      <w:pPr>
        <w:adjustRightInd w:val="0"/>
        <w:snapToGrid w:val="0"/>
        <w:spacing w:line="288" w:lineRule="auto"/>
        <w:jc w:val="left"/>
        <w:outlineLvl w:val="2"/>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t>1.响应文件的组成</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bookmarkStart w:id="34" w:name="_Hlk94018532"/>
      <w:r>
        <w:rPr>
          <w:rFonts w:hint="eastAsia" w:ascii="仿宋" w:hAnsi="仿宋" w:eastAsia="仿宋" w:cs="仿宋"/>
          <w:color w:val="auto"/>
          <w:spacing w:val="-6"/>
          <w:szCs w:val="21"/>
          <w:highlight w:val="none"/>
        </w:rPr>
        <w:t>1.1 响应文件由</w:t>
      </w:r>
      <w:r>
        <w:rPr>
          <w:rFonts w:hint="eastAsia" w:ascii="仿宋" w:hAnsi="仿宋" w:eastAsia="仿宋" w:cs="仿宋"/>
          <w:b/>
          <w:color w:val="auto"/>
          <w:spacing w:val="-6"/>
          <w:szCs w:val="21"/>
          <w:highlight w:val="none"/>
        </w:rPr>
        <w:t>资格文件、报价文件、商务和技术文件三部分</w:t>
      </w:r>
      <w:r>
        <w:rPr>
          <w:rFonts w:hint="eastAsia" w:ascii="仿宋" w:hAnsi="仿宋" w:eastAsia="仿宋" w:cs="仿宋"/>
          <w:bCs/>
          <w:color w:val="auto"/>
          <w:spacing w:val="-6"/>
          <w:szCs w:val="21"/>
          <w:highlight w:val="none"/>
        </w:rPr>
        <w:t>组成（格式详见磋商文件第六章）；</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1.2 响应文件组成：详见“第六章  响应文件格式”目录。</w:t>
      </w:r>
    </w:p>
    <w:bookmarkEnd w:id="34"/>
    <w:p>
      <w:pPr>
        <w:adjustRightInd w:val="0"/>
        <w:snapToGrid w:val="0"/>
        <w:spacing w:line="288" w:lineRule="auto"/>
        <w:jc w:val="left"/>
        <w:outlineLvl w:val="2"/>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t>2.响应文件的装订、份数、包装、递交、修改和撤回</w:t>
      </w:r>
    </w:p>
    <w:p>
      <w:pPr>
        <w:adjustRightInd w:val="0"/>
        <w:snapToGrid w:val="0"/>
        <w:spacing w:line="288" w:lineRule="auto"/>
        <w:ind w:firstLine="398" w:firstLineChars="200"/>
        <w:jc w:val="left"/>
        <w:rPr>
          <w:rFonts w:ascii="仿宋" w:hAnsi="仿宋" w:eastAsia="仿宋" w:cs="仿宋"/>
          <w:b/>
          <w:bCs/>
          <w:color w:val="auto"/>
          <w:spacing w:val="-6"/>
          <w:szCs w:val="21"/>
          <w:highlight w:val="none"/>
        </w:rPr>
      </w:pPr>
      <w:r>
        <w:rPr>
          <w:rFonts w:hint="eastAsia" w:ascii="仿宋" w:hAnsi="仿宋" w:eastAsia="仿宋" w:cs="仿宋"/>
          <w:b/>
          <w:bCs/>
          <w:color w:val="auto"/>
          <w:spacing w:val="-6"/>
          <w:szCs w:val="21"/>
          <w:highlight w:val="none"/>
        </w:rPr>
        <w:t>2.1 装订与份数：</w:t>
      </w:r>
      <w:r>
        <w:rPr>
          <w:rFonts w:hint="eastAsia" w:ascii="仿宋" w:hAnsi="仿宋" w:eastAsia="仿宋" w:cs="仿宋"/>
          <w:b/>
          <w:color w:val="auto"/>
          <w:spacing w:val="-6"/>
          <w:szCs w:val="21"/>
          <w:highlight w:val="none"/>
        </w:rPr>
        <w:t>资格文件、报价文件、商务和技术文件</w:t>
      </w:r>
      <w:r>
        <w:rPr>
          <w:rFonts w:hint="eastAsia" w:ascii="仿宋" w:hAnsi="仿宋" w:eastAsia="仿宋" w:cs="仿宋"/>
          <w:b/>
          <w:bCs/>
          <w:color w:val="auto"/>
          <w:spacing w:val="-6"/>
          <w:szCs w:val="21"/>
          <w:highlight w:val="none"/>
        </w:rPr>
        <w:t>合并装订成册，其中正本一份、副本五份，响应文件的封面应注明“正本”、“副本”字样，同时提供响应文件电子文档一份（U盘或光盘形式，电子文档需为签字且加盖公章后的响应文件完成版彩色扫描件），▲活页装订（卡条、抽杆夹、订书机、散装）的响应文件无效；</w:t>
      </w:r>
    </w:p>
    <w:p>
      <w:pPr>
        <w:adjustRightInd w:val="0"/>
        <w:snapToGrid w:val="0"/>
        <w:spacing w:line="288" w:lineRule="auto"/>
        <w:ind w:firstLine="398" w:firstLineChars="200"/>
        <w:jc w:val="left"/>
        <w:rPr>
          <w:rFonts w:ascii="仿宋" w:hAnsi="仿宋" w:eastAsia="仿宋" w:cs="仿宋"/>
          <w:b/>
          <w:bCs/>
          <w:color w:val="auto"/>
          <w:spacing w:val="-6"/>
          <w:szCs w:val="21"/>
          <w:highlight w:val="none"/>
        </w:rPr>
      </w:pPr>
      <w:r>
        <w:rPr>
          <w:rFonts w:hint="eastAsia" w:ascii="仿宋" w:hAnsi="仿宋" w:eastAsia="仿宋" w:cs="仿宋"/>
          <w:b/>
          <w:bCs/>
          <w:color w:val="auto"/>
          <w:spacing w:val="-6"/>
          <w:szCs w:val="21"/>
          <w:highlight w:val="none"/>
        </w:rPr>
        <w:t>2.2 包装：</w:t>
      </w:r>
      <w:r>
        <w:rPr>
          <w:rFonts w:hint="eastAsia" w:ascii="仿宋" w:hAnsi="仿宋" w:eastAsia="仿宋" w:cs="仿宋"/>
          <w:color w:val="auto"/>
          <w:spacing w:val="-6"/>
          <w:szCs w:val="21"/>
          <w:highlight w:val="none"/>
        </w:rPr>
        <w:t>供应商应在响应文件包装封面上注明供应商名称、供应商地址、项目名称、项目编号及“开启时启封”字样，并加盖供应商公章</w:t>
      </w:r>
      <w:r>
        <w:rPr>
          <w:rFonts w:hint="eastAsia" w:ascii="仿宋" w:hAnsi="仿宋" w:eastAsia="仿宋" w:cs="仿宋"/>
          <w:b/>
          <w:bCs/>
          <w:color w:val="auto"/>
          <w:spacing w:val="-6"/>
          <w:szCs w:val="21"/>
          <w:highlight w:val="none"/>
        </w:rPr>
        <w:t>；</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2.3 未按规定密封或标记的响应文件被误投或提前拆封的风险由供应商承担；</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2.4 供应商在响应文件提交截止时间前，可以对所递交的响应文件进行补充、修改或者撤回，并书面通知采购代理机构。补充、修改的内容应当按照磋商文件要求签署、盖章、密封后，作为响应文件的组成部分。</w:t>
      </w:r>
    </w:p>
    <w:p>
      <w:pPr>
        <w:adjustRightInd w:val="0"/>
        <w:snapToGrid w:val="0"/>
        <w:spacing w:line="288" w:lineRule="auto"/>
        <w:jc w:val="left"/>
        <w:outlineLvl w:val="2"/>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t>3.响应文件的签署</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3.1 供应商应按本磋商文件规定的格式和顺序编制、装订响应文件，响应文件内容不完整、编排混乱导致响应文件被误读、漏读或者查找不到相关内容的，是供应商的责任；</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3.2 响应文件的正本需打印或用不褪色的墨水填写，响应文件正本除本《供应商须知》中规定的可提供复印件外均须提供原件（复印件须加盖公章）。副本可以是正本加盖公章后的复印件，正本和副本如有不一致之处以正本为准；</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3.3 响应文件须由供应商在规定位置盖章并由供应商代表签署，供应商应写全称；</w:t>
      </w:r>
    </w:p>
    <w:p>
      <w:pPr>
        <w:adjustRightInd w:val="0"/>
        <w:snapToGrid w:val="0"/>
        <w:spacing w:line="288" w:lineRule="auto"/>
        <w:ind w:firstLine="396" w:firstLineChars="200"/>
        <w:jc w:val="left"/>
        <w:rPr>
          <w:rFonts w:ascii="仿宋" w:hAnsi="仿宋" w:eastAsia="仿宋" w:cs="仿宋"/>
          <w:b/>
          <w:bCs/>
          <w:color w:val="auto"/>
          <w:spacing w:val="-6"/>
          <w:szCs w:val="21"/>
          <w:highlight w:val="none"/>
        </w:rPr>
      </w:pPr>
      <w:r>
        <w:rPr>
          <w:rFonts w:hint="eastAsia" w:ascii="仿宋" w:hAnsi="仿宋" w:eastAsia="仿宋" w:cs="仿宋"/>
          <w:color w:val="auto"/>
          <w:spacing w:val="-6"/>
          <w:szCs w:val="21"/>
          <w:highlight w:val="none"/>
        </w:rPr>
        <w:t>3.4 响应文件不得涂改，若有修改错漏处，须由供应商代表签名并加盖公章。响应文件因字迹潦草或表达不清所引起的后果由供应商负责。</w:t>
      </w:r>
    </w:p>
    <w:p>
      <w:pPr>
        <w:adjustRightInd w:val="0"/>
        <w:snapToGrid w:val="0"/>
        <w:spacing w:line="288" w:lineRule="auto"/>
        <w:jc w:val="left"/>
        <w:outlineLvl w:val="2"/>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t>4.响应文件的语言及计量</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响应文件以及供应商与采购人或采购代理机构就有关磋商响应事宜的所有来往函电，均应以中文汉语书写。除签名、盖章、专用名称等特殊情形外，以中文汉语以外的文字表述的响应文件视同未提供（有中文汉语说明的除外）。</w:t>
      </w:r>
    </w:p>
    <w:p>
      <w:pPr>
        <w:adjustRightInd w:val="0"/>
        <w:snapToGrid w:val="0"/>
        <w:spacing w:line="288" w:lineRule="auto"/>
        <w:jc w:val="left"/>
        <w:outlineLvl w:val="2"/>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t>5.响应报价</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5.1 报价应按磋商文件要求的格式编制、填写报价内容（可自行增行），未按磋商文件要求编制、填写的响应文件可能被拒绝；</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5.2 最后报价是履行合同的最终价格，包含货物金额、广告制作、仓储、包装、运输、保险、装卸、安装、调试、综合布线、垃圾清运、保洁、培训、食宿及相关材料费、检验费及税金等为确保合法、正常使用货物及成交供应商履行合同项下约定的所有义务所需支出的全部费用。</w:t>
      </w:r>
    </w:p>
    <w:p>
      <w:pPr>
        <w:adjustRightInd w:val="0"/>
        <w:snapToGrid w:val="0"/>
        <w:spacing w:line="288" w:lineRule="auto"/>
        <w:jc w:val="left"/>
        <w:outlineLvl w:val="2"/>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t>6.响应有效期</w:t>
      </w:r>
    </w:p>
    <w:p>
      <w:pPr>
        <w:widowControl/>
        <w:spacing w:line="288" w:lineRule="auto"/>
        <w:ind w:firstLine="420" w:firstLineChars="200"/>
        <w:jc w:val="left"/>
        <w:rPr>
          <w:rFonts w:ascii="仿宋" w:hAnsi="仿宋" w:eastAsia="仿宋" w:cs="仿宋"/>
          <w:b/>
          <w:color w:val="auto"/>
          <w:spacing w:val="-6"/>
          <w:szCs w:val="21"/>
          <w:highlight w:val="none"/>
        </w:rPr>
      </w:pPr>
      <w:r>
        <w:rPr>
          <w:rFonts w:hint="eastAsia" w:ascii="仿宋" w:hAnsi="仿宋" w:eastAsia="仿宋" w:cs="仿宋"/>
          <w:color w:val="auto"/>
          <w:szCs w:val="21"/>
          <w:highlight w:val="none"/>
        </w:rPr>
        <w:t>▲从提交响应文件的截止之日起90天。在原响应有效期满之前，如果出现特殊情况，采购人或采购代理机构以书面形式通知供应商延长响应有效期。</w:t>
      </w:r>
      <w:r>
        <w:rPr>
          <w:rFonts w:hint="eastAsia" w:ascii="仿宋" w:hAnsi="仿宋" w:eastAsia="仿宋" w:cs="仿宋"/>
          <w:b/>
          <w:color w:val="auto"/>
          <w:spacing w:val="-6"/>
          <w:szCs w:val="21"/>
          <w:highlight w:val="none"/>
        </w:rPr>
        <w:br w:type="page"/>
      </w:r>
    </w:p>
    <w:p>
      <w:pPr>
        <w:adjustRightInd w:val="0"/>
        <w:snapToGrid w:val="0"/>
        <w:spacing w:line="288" w:lineRule="auto"/>
        <w:jc w:val="center"/>
        <w:outlineLvl w:val="1"/>
        <w:rPr>
          <w:rFonts w:ascii="仿宋" w:hAnsi="仿宋" w:eastAsia="仿宋" w:cs="仿宋"/>
          <w:b/>
          <w:color w:val="auto"/>
          <w:spacing w:val="-6"/>
          <w:sz w:val="24"/>
          <w:szCs w:val="24"/>
          <w:highlight w:val="none"/>
        </w:rPr>
      </w:pPr>
      <w:r>
        <w:rPr>
          <w:rFonts w:hint="eastAsia" w:ascii="仿宋" w:hAnsi="仿宋" w:eastAsia="仿宋" w:cs="仿宋"/>
          <w:b/>
          <w:color w:val="auto"/>
          <w:spacing w:val="-6"/>
          <w:sz w:val="24"/>
          <w:szCs w:val="24"/>
          <w:highlight w:val="none"/>
        </w:rPr>
        <w:t>四、无效响应的情形</w:t>
      </w:r>
    </w:p>
    <w:p>
      <w:pPr>
        <w:widowControl/>
        <w:adjustRightInd w:val="0"/>
        <w:snapToGrid w:val="0"/>
        <w:spacing w:line="288" w:lineRule="auto"/>
        <w:ind w:firstLine="398" w:firstLineChars="200"/>
        <w:jc w:val="left"/>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t>1.在资格审查时，如发现下列情形之一的，响应文件按无效响应处理：</w:t>
      </w:r>
    </w:p>
    <w:p>
      <w:pPr>
        <w:adjustRightInd w:val="0"/>
        <w:snapToGrid w:val="0"/>
        <w:spacing w:line="288" w:lineRule="auto"/>
        <w:ind w:firstLine="396"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（1）资格证明材料不全的或者不符合磋商文件要求的</w:t>
      </w:r>
    </w:p>
    <w:p>
      <w:pPr>
        <w:adjustRightInd w:val="0"/>
        <w:snapToGrid w:val="0"/>
        <w:spacing w:line="288" w:lineRule="auto"/>
        <w:ind w:firstLine="396"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（2）供应商不具备磋商文件中规定的资格要求的</w:t>
      </w:r>
    </w:p>
    <w:p>
      <w:pPr>
        <w:adjustRightInd w:val="0"/>
        <w:snapToGrid w:val="0"/>
        <w:spacing w:line="288" w:lineRule="auto"/>
        <w:ind w:firstLine="396"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（3）资格文件未按要求签署、盖章的</w:t>
      </w:r>
    </w:p>
    <w:p>
      <w:pPr>
        <w:adjustRightInd w:val="0"/>
        <w:snapToGrid w:val="0"/>
        <w:spacing w:line="288" w:lineRule="auto"/>
        <w:ind w:firstLine="398" w:firstLineChars="200"/>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t>2.在符合性审查、商务和技术评审时，如发现下列情形之一的，响应文件按无效响应处理：</w:t>
      </w:r>
    </w:p>
    <w:p>
      <w:pPr>
        <w:adjustRightInd w:val="0"/>
        <w:snapToGrid w:val="0"/>
        <w:spacing w:line="288" w:lineRule="auto"/>
        <w:ind w:firstLine="396"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（1）商务和技术文件未按要求签署、盖章的</w:t>
      </w:r>
    </w:p>
    <w:p>
      <w:pPr>
        <w:adjustRightInd w:val="0"/>
        <w:snapToGrid w:val="0"/>
        <w:spacing w:line="288" w:lineRule="auto"/>
        <w:ind w:firstLine="396"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（2）与磋商文件中标“▲”的项目发生实质性偏离的</w:t>
      </w:r>
    </w:p>
    <w:p>
      <w:pPr>
        <w:adjustRightInd w:val="0"/>
        <w:snapToGrid w:val="0"/>
        <w:spacing w:line="288" w:lineRule="auto"/>
        <w:ind w:firstLine="396"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（3）未提供或未按要求提供响应函、授权委托书的</w:t>
      </w:r>
    </w:p>
    <w:p>
      <w:pPr>
        <w:adjustRightInd w:val="0"/>
        <w:snapToGrid w:val="0"/>
        <w:spacing w:line="288" w:lineRule="auto"/>
        <w:ind w:firstLine="396"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（4）未提供或未如实提供采购需求偏离表的</w:t>
      </w:r>
    </w:p>
    <w:p>
      <w:pPr>
        <w:adjustRightInd w:val="0"/>
        <w:snapToGrid w:val="0"/>
        <w:spacing w:line="288" w:lineRule="auto"/>
        <w:ind w:firstLine="396"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（5）明显不符合磋商文件要求</w:t>
      </w:r>
      <w:r>
        <w:rPr>
          <w:rFonts w:hint="eastAsia" w:ascii="仿宋" w:hAnsi="仿宋" w:eastAsia="仿宋" w:cs="仿宋"/>
          <w:color w:val="auto"/>
          <w:szCs w:val="21"/>
          <w:highlight w:val="none"/>
        </w:rPr>
        <w:t>的</w:t>
      </w:r>
    </w:p>
    <w:p>
      <w:pPr>
        <w:adjustRightInd w:val="0"/>
        <w:snapToGrid w:val="0"/>
        <w:spacing w:line="288" w:lineRule="auto"/>
        <w:ind w:firstLine="396"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（6）响应技术方案不明确（存在一个或一个以上备选/替代响应方案）的</w:t>
      </w:r>
    </w:p>
    <w:p>
      <w:pPr>
        <w:adjustRightInd w:val="0"/>
        <w:snapToGrid w:val="0"/>
        <w:spacing w:line="288" w:lineRule="auto"/>
        <w:ind w:firstLine="396"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（7）响应文件含有采购人不能接受的附加条件的</w:t>
      </w:r>
    </w:p>
    <w:p>
      <w:pPr>
        <w:widowControl/>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（8）法律、法规和磋商文件规定的其他无效情形</w:t>
      </w:r>
    </w:p>
    <w:p>
      <w:pPr>
        <w:widowControl/>
        <w:adjustRightInd w:val="0"/>
        <w:snapToGrid w:val="0"/>
        <w:spacing w:line="288" w:lineRule="auto"/>
        <w:ind w:firstLine="398" w:firstLineChars="200"/>
        <w:jc w:val="left"/>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t>3.在报价评审时，如发现下列情形之一的，响应文件按无效响应处理：</w:t>
      </w:r>
    </w:p>
    <w:p>
      <w:pPr>
        <w:widowControl/>
        <w:adjustRightInd w:val="0"/>
        <w:snapToGrid w:val="0"/>
        <w:spacing w:line="288" w:lineRule="auto"/>
        <w:ind w:firstLine="396" w:firstLineChars="200"/>
        <w:jc w:val="left"/>
        <w:rPr>
          <w:rFonts w:ascii="仿宋" w:hAnsi="仿宋" w:eastAsia="仿宋" w:cs="仿宋"/>
          <w:color w:val="auto"/>
          <w:spacing w:val="-6"/>
          <w:szCs w:val="21"/>
          <w:highlight w:val="none"/>
        </w:rPr>
      </w:pPr>
      <w:bookmarkStart w:id="35" w:name="_Hlk94018736"/>
      <w:r>
        <w:rPr>
          <w:rFonts w:hint="eastAsia" w:ascii="仿宋" w:hAnsi="仿宋" w:eastAsia="仿宋" w:cs="仿宋"/>
          <w:color w:val="auto"/>
          <w:spacing w:val="-6"/>
          <w:szCs w:val="21"/>
          <w:highlight w:val="none"/>
        </w:rPr>
        <w:t>（1）最后报价超过磋商文件中规定的预算金额的</w:t>
      </w:r>
    </w:p>
    <w:p>
      <w:pPr>
        <w:widowControl/>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（2）最后报价具有选择性的</w:t>
      </w:r>
    </w:p>
    <w:p>
      <w:pPr>
        <w:widowControl/>
        <w:adjustRightInd w:val="0"/>
        <w:snapToGrid w:val="0"/>
        <w:spacing w:line="288" w:lineRule="auto"/>
        <w:ind w:firstLine="398" w:firstLineChars="200"/>
        <w:jc w:val="left"/>
        <w:rPr>
          <w:rFonts w:ascii="仿宋" w:hAnsi="仿宋" w:eastAsia="仿宋" w:cs="仿宋"/>
          <w:color w:val="auto"/>
          <w:spacing w:val="-6"/>
          <w:szCs w:val="21"/>
          <w:highlight w:val="none"/>
        </w:rPr>
      </w:pPr>
      <w:r>
        <w:rPr>
          <w:rFonts w:hint="eastAsia" w:ascii="仿宋" w:hAnsi="仿宋" w:eastAsia="仿宋" w:cs="仿宋"/>
          <w:b/>
          <w:bCs/>
          <w:color w:val="auto"/>
          <w:spacing w:val="-6"/>
          <w:szCs w:val="21"/>
          <w:highlight w:val="none"/>
        </w:rPr>
        <w:t>特别说明：磋商小组认为供应商的最后报价明显低于其他供应商最后报价，有可能影响产品质量或者不能诚信履约的，应当要求其在评审现场合理的时间内提供书面说明，必要时提交相关证明材料；供应商不能证明其最后报价合理性的，磋商小组应当将其作为无效响应处理。</w:t>
      </w:r>
    </w:p>
    <w:bookmarkEnd w:id="35"/>
    <w:p>
      <w:pPr>
        <w:widowControl/>
        <w:adjustRightInd w:val="0"/>
        <w:snapToGrid w:val="0"/>
        <w:spacing w:line="288" w:lineRule="auto"/>
        <w:ind w:firstLine="398" w:firstLineChars="200"/>
        <w:jc w:val="left"/>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t>4.有下列情形之一的，视为供应商串通，其响应无效：</w:t>
      </w:r>
    </w:p>
    <w:p>
      <w:pPr>
        <w:widowControl/>
        <w:adjustRightInd w:val="0"/>
        <w:snapToGrid w:val="0"/>
        <w:spacing w:line="288" w:lineRule="auto"/>
        <w:ind w:firstLine="396" w:firstLineChars="200"/>
        <w:jc w:val="left"/>
        <w:rPr>
          <w:rFonts w:ascii="仿宋" w:hAnsi="仿宋" w:eastAsia="仿宋" w:cs="仿宋"/>
          <w:bCs/>
          <w:color w:val="auto"/>
          <w:spacing w:val="-6"/>
          <w:szCs w:val="21"/>
          <w:highlight w:val="none"/>
        </w:rPr>
      </w:pPr>
      <w:r>
        <w:rPr>
          <w:rFonts w:hint="eastAsia" w:ascii="仿宋" w:hAnsi="仿宋" w:eastAsia="仿宋" w:cs="仿宋"/>
          <w:bCs/>
          <w:color w:val="auto"/>
          <w:spacing w:val="-6"/>
          <w:szCs w:val="21"/>
          <w:highlight w:val="none"/>
        </w:rPr>
        <w:t>（1）不同供应商的响应文件由同一单位或者个人编制</w:t>
      </w:r>
    </w:p>
    <w:p>
      <w:pPr>
        <w:widowControl/>
        <w:adjustRightInd w:val="0"/>
        <w:snapToGrid w:val="0"/>
        <w:spacing w:line="288" w:lineRule="auto"/>
        <w:ind w:firstLine="396" w:firstLineChars="200"/>
        <w:jc w:val="left"/>
        <w:rPr>
          <w:rFonts w:ascii="仿宋" w:hAnsi="仿宋" w:eastAsia="仿宋" w:cs="仿宋"/>
          <w:bCs/>
          <w:color w:val="auto"/>
          <w:spacing w:val="-6"/>
          <w:szCs w:val="21"/>
          <w:highlight w:val="none"/>
        </w:rPr>
      </w:pPr>
      <w:r>
        <w:rPr>
          <w:rFonts w:hint="eastAsia" w:ascii="仿宋" w:hAnsi="仿宋" w:eastAsia="仿宋" w:cs="仿宋"/>
          <w:bCs/>
          <w:color w:val="auto"/>
          <w:spacing w:val="-6"/>
          <w:szCs w:val="21"/>
          <w:highlight w:val="none"/>
        </w:rPr>
        <w:t>（2）不同供应商委托同一单位或者个人办理磋商事宜</w:t>
      </w:r>
    </w:p>
    <w:p>
      <w:pPr>
        <w:widowControl/>
        <w:adjustRightInd w:val="0"/>
        <w:snapToGrid w:val="0"/>
        <w:spacing w:line="288" w:lineRule="auto"/>
        <w:ind w:firstLine="396" w:firstLineChars="200"/>
        <w:jc w:val="left"/>
        <w:rPr>
          <w:rFonts w:ascii="仿宋" w:hAnsi="仿宋" w:eastAsia="仿宋" w:cs="仿宋"/>
          <w:bCs/>
          <w:color w:val="auto"/>
          <w:spacing w:val="-6"/>
          <w:szCs w:val="21"/>
          <w:highlight w:val="none"/>
        </w:rPr>
      </w:pPr>
      <w:r>
        <w:rPr>
          <w:rFonts w:hint="eastAsia" w:ascii="仿宋" w:hAnsi="仿宋" w:eastAsia="仿宋" w:cs="仿宋"/>
          <w:bCs/>
          <w:color w:val="auto"/>
          <w:spacing w:val="-6"/>
          <w:szCs w:val="21"/>
          <w:highlight w:val="none"/>
        </w:rPr>
        <w:t>（3）不同供应商的响应文件载明的项目管理成员或者联系人员为同一人</w:t>
      </w:r>
    </w:p>
    <w:p>
      <w:pPr>
        <w:widowControl/>
        <w:adjustRightInd w:val="0"/>
        <w:snapToGrid w:val="0"/>
        <w:spacing w:line="288" w:lineRule="auto"/>
        <w:ind w:firstLine="396" w:firstLineChars="200"/>
        <w:jc w:val="left"/>
        <w:rPr>
          <w:rFonts w:ascii="仿宋" w:hAnsi="仿宋" w:eastAsia="仿宋" w:cs="仿宋"/>
          <w:bCs/>
          <w:color w:val="auto"/>
          <w:spacing w:val="-6"/>
          <w:szCs w:val="21"/>
          <w:highlight w:val="none"/>
        </w:rPr>
      </w:pPr>
      <w:r>
        <w:rPr>
          <w:rFonts w:hint="eastAsia" w:ascii="仿宋" w:hAnsi="仿宋" w:eastAsia="仿宋" w:cs="仿宋"/>
          <w:bCs/>
          <w:color w:val="auto"/>
          <w:spacing w:val="-6"/>
          <w:szCs w:val="21"/>
          <w:highlight w:val="none"/>
        </w:rPr>
        <w:t>（4）不同供应商的响应文件异常一致或者最后报价呈规律性差异</w:t>
      </w:r>
    </w:p>
    <w:p>
      <w:pPr>
        <w:widowControl/>
        <w:adjustRightInd w:val="0"/>
        <w:snapToGrid w:val="0"/>
        <w:spacing w:line="288" w:lineRule="auto"/>
        <w:ind w:firstLine="396" w:firstLineChars="200"/>
        <w:jc w:val="left"/>
        <w:rPr>
          <w:rFonts w:ascii="仿宋" w:hAnsi="仿宋" w:eastAsia="仿宋" w:cs="仿宋"/>
          <w:bCs/>
          <w:color w:val="auto"/>
          <w:spacing w:val="-6"/>
          <w:szCs w:val="21"/>
          <w:highlight w:val="none"/>
        </w:rPr>
      </w:pPr>
      <w:r>
        <w:rPr>
          <w:rFonts w:hint="eastAsia" w:ascii="仿宋" w:hAnsi="仿宋" w:eastAsia="仿宋" w:cs="仿宋"/>
          <w:bCs/>
          <w:color w:val="auto"/>
          <w:spacing w:val="-6"/>
          <w:szCs w:val="21"/>
          <w:highlight w:val="none"/>
        </w:rPr>
        <w:t>（5）不同供应商的响应文件相互混装</w:t>
      </w:r>
    </w:p>
    <w:p>
      <w:pPr>
        <w:adjustRightInd w:val="0"/>
        <w:snapToGrid w:val="0"/>
        <w:spacing w:line="288" w:lineRule="auto"/>
        <w:jc w:val="center"/>
        <w:outlineLvl w:val="1"/>
        <w:rPr>
          <w:rFonts w:ascii="仿宋" w:hAnsi="仿宋" w:eastAsia="仿宋" w:cs="仿宋"/>
          <w:b/>
          <w:color w:val="auto"/>
          <w:spacing w:val="-6"/>
          <w:sz w:val="24"/>
          <w:szCs w:val="24"/>
          <w:highlight w:val="none"/>
        </w:rPr>
      </w:pPr>
      <w:r>
        <w:rPr>
          <w:rFonts w:hint="eastAsia" w:ascii="仿宋" w:hAnsi="仿宋" w:eastAsia="仿宋" w:cs="仿宋"/>
          <w:b/>
          <w:color w:val="auto"/>
          <w:spacing w:val="-6"/>
          <w:szCs w:val="21"/>
          <w:highlight w:val="none"/>
        </w:rPr>
        <w:br w:type="page"/>
      </w:r>
      <w:bookmarkStart w:id="36" w:name="_Hlk94018775"/>
      <w:r>
        <w:rPr>
          <w:rFonts w:hint="eastAsia" w:ascii="仿宋" w:hAnsi="仿宋" w:eastAsia="仿宋" w:cs="仿宋"/>
          <w:b/>
          <w:color w:val="auto"/>
          <w:spacing w:val="-6"/>
          <w:sz w:val="24"/>
          <w:szCs w:val="24"/>
          <w:highlight w:val="none"/>
        </w:rPr>
        <w:t>五、响应文件开启</w:t>
      </w:r>
    </w:p>
    <w:p>
      <w:pPr>
        <w:adjustRightInd w:val="0"/>
        <w:snapToGrid w:val="0"/>
        <w:spacing w:line="288" w:lineRule="auto"/>
        <w:ind w:firstLine="396" w:firstLineChars="200"/>
        <w:rPr>
          <w:rFonts w:ascii="仿宋" w:hAnsi="仿宋" w:eastAsia="仿宋" w:cs="仿宋"/>
          <w:b/>
          <w:bCs/>
          <w:color w:val="auto"/>
          <w:spacing w:val="-6"/>
          <w:szCs w:val="21"/>
          <w:highlight w:val="none"/>
        </w:rPr>
      </w:pPr>
      <w:r>
        <w:rPr>
          <w:rFonts w:hint="eastAsia" w:ascii="仿宋" w:hAnsi="仿宋" w:eastAsia="仿宋" w:cs="仿宋"/>
          <w:bCs/>
          <w:color w:val="auto"/>
          <w:spacing w:val="-6"/>
          <w:szCs w:val="21"/>
          <w:highlight w:val="none"/>
        </w:rPr>
        <w:t>采购代理机构按照磋商文件规定的时间、地点和程序开启响应文件，开启前组织供应商签署不存在影响公平竞争的《采购活动确认声明书》。供应商不足3家的，不得开启。</w:t>
      </w:r>
    </w:p>
    <w:bookmarkEnd w:id="36"/>
    <w:p>
      <w:pPr>
        <w:adjustRightInd w:val="0"/>
        <w:snapToGrid w:val="0"/>
        <w:spacing w:line="288" w:lineRule="auto"/>
        <w:jc w:val="center"/>
        <w:outlineLvl w:val="1"/>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br w:type="page"/>
      </w:r>
      <w:r>
        <w:rPr>
          <w:rFonts w:hint="eastAsia" w:ascii="仿宋" w:hAnsi="仿宋" w:eastAsia="仿宋" w:cs="仿宋"/>
          <w:b/>
          <w:color w:val="auto"/>
          <w:spacing w:val="-6"/>
          <w:sz w:val="24"/>
          <w:szCs w:val="24"/>
          <w:highlight w:val="none"/>
        </w:rPr>
        <w:t>六、评审程序</w:t>
      </w:r>
    </w:p>
    <w:p>
      <w:pPr>
        <w:adjustRightInd w:val="0"/>
        <w:snapToGrid w:val="0"/>
        <w:spacing w:line="288" w:lineRule="auto"/>
        <w:ind w:firstLine="396" w:firstLineChars="200"/>
        <w:rPr>
          <w:rFonts w:ascii="仿宋" w:hAnsi="仿宋" w:eastAsia="仿宋" w:cs="仿宋"/>
          <w:bCs/>
          <w:color w:val="auto"/>
          <w:spacing w:val="-6"/>
          <w:szCs w:val="21"/>
          <w:highlight w:val="none"/>
        </w:rPr>
      </w:pPr>
      <w:r>
        <w:rPr>
          <w:rFonts w:hint="eastAsia" w:ascii="仿宋" w:hAnsi="仿宋" w:eastAsia="仿宋" w:cs="仿宋"/>
          <w:bCs/>
          <w:color w:val="auto"/>
          <w:spacing w:val="-6"/>
          <w:szCs w:val="21"/>
          <w:highlight w:val="none"/>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pPr>
        <w:adjustRightInd w:val="0"/>
        <w:snapToGrid w:val="0"/>
        <w:spacing w:line="288" w:lineRule="auto"/>
        <w:ind w:firstLine="396" w:firstLineChars="200"/>
        <w:rPr>
          <w:rFonts w:ascii="仿宋" w:hAnsi="仿宋" w:eastAsia="仿宋" w:cs="仿宋"/>
          <w:bCs/>
          <w:color w:val="auto"/>
          <w:spacing w:val="-6"/>
          <w:szCs w:val="21"/>
          <w:highlight w:val="none"/>
        </w:rPr>
      </w:pPr>
      <w:r>
        <w:rPr>
          <w:rFonts w:hint="eastAsia" w:ascii="仿宋" w:hAnsi="仿宋" w:eastAsia="仿宋" w:cs="仿宋"/>
          <w:bCs/>
          <w:color w:val="auto"/>
          <w:spacing w:val="-6"/>
          <w:szCs w:val="21"/>
          <w:highlight w:val="none"/>
        </w:rPr>
        <w:t>磋商文件内容违反国家有关强制性规定的，磋商小组应当停止评审并向采购人或者采购代理机构说明情况。</w:t>
      </w:r>
    </w:p>
    <w:p>
      <w:pPr>
        <w:adjustRightInd w:val="0"/>
        <w:snapToGrid w:val="0"/>
        <w:spacing w:line="288" w:lineRule="auto"/>
        <w:ind w:firstLine="398" w:firstLineChars="200"/>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t>（一）资格审查</w:t>
      </w:r>
    </w:p>
    <w:p>
      <w:pPr>
        <w:adjustRightInd w:val="0"/>
        <w:snapToGrid w:val="0"/>
        <w:spacing w:line="288" w:lineRule="auto"/>
        <w:ind w:firstLine="396" w:firstLineChars="200"/>
        <w:rPr>
          <w:rFonts w:ascii="仿宋" w:hAnsi="仿宋" w:eastAsia="仿宋" w:cs="仿宋"/>
          <w:bCs/>
          <w:color w:val="auto"/>
          <w:spacing w:val="-6"/>
          <w:szCs w:val="21"/>
          <w:highlight w:val="none"/>
        </w:rPr>
      </w:pPr>
      <w:r>
        <w:rPr>
          <w:rFonts w:hint="eastAsia" w:ascii="仿宋" w:hAnsi="仿宋" w:eastAsia="仿宋" w:cs="仿宋"/>
          <w:bCs/>
          <w:color w:val="auto"/>
          <w:spacing w:val="-6"/>
          <w:szCs w:val="21"/>
          <w:highlight w:val="none"/>
        </w:rPr>
        <w:t>开启后，磋商小组依据法律法规和磋商文件的规定，对供应商的资格条件进行审查。</w:t>
      </w:r>
    </w:p>
    <w:p>
      <w:pPr>
        <w:adjustRightInd w:val="0"/>
        <w:snapToGrid w:val="0"/>
        <w:spacing w:line="288" w:lineRule="auto"/>
        <w:ind w:firstLine="396" w:firstLineChars="200"/>
        <w:rPr>
          <w:rFonts w:ascii="仿宋" w:hAnsi="仿宋" w:eastAsia="仿宋" w:cs="仿宋"/>
          <w:bCs/>
          <w:color w:val="auto"/>
          <w:spacing w:val="-6"/>
          <w:szCs w:val="21"/>
          <w:highlight w:val="none"/>
        </w:rPr>
      </w:pPr>
      <w:r>
        <w:rPr>
          <w:rFonts w:hint="eastAsia" w:ascii="仿宋" w:hAnsi="仿宋" w:eastAsia="仿宋" w:cs="仿宋"/>
          <w:bCs/>
          <w:color w:val="auto"/>
          <w:spacing w:val="-6"/>
          <w:szCs w:val="21"/>
          <w:highlight w:val="none"/>
        </w:rPr>
        <w:t>对未通过资格审查的供应商，磋商小组告知其未通过的原因。</w:t>
      </w:r>
    </w:p>
    <w:p>
      <w:pPr>
        <w:adjustRightInd w:val="0"/>
        <w:snapToGrid w:val="0"/>
        <w:spacing w:line="288" w:lineRule="auto"/>
        <w:ind w:firstLine="396" w:firstLineChars="200"/>
        <w:rPr>
          <w:rFonts w:ascii="仿宋" w:hAnsi="仿宋" w:eastAsia="仿宋" w:cs="仿宋"/>
          <w:bCs/>
          <w:color w:val="auto"/>
          <w:spacing w:val="-6"/>
          <w:szCs w:val="21"/>
          <w:highlight w:val="none"/>
        </w:rPr>
      </w:pPr>
      <w:r>
        <w:rPr>
          <w:rFonts w:hint="eastAsia" w:ascii="仿宋" w:hAnsi="仿宋" w:eastAsia="仿宋" w:cs="仿宋"/>
          <w:bCs/>
          <w:color w:val="auto"/>
          <w:spacing w:val="-6"/>
          <w:szCs w:val="21"/>
          <w:highlight w:val="none"/>
        </w:rPr>
        <w:t>通过资格审查的供应商不足3家的，不再评审。</w:t>
      </w:r>
    </w:p>
    <w:p>
      <w:pPr>
        <w:adjustRightInd w:val="0"/>
        <w:snapToGrid w:val="0"/>
        <w:spacing w:line="288" w:lineRule="auto"/>
        <w:ind w:firstLine="398" w:firstLineChars="200"/>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t>（二）信用信息</w:t>
      </w:r>
    </w:p>
    <w:p>
      <w:pPr>
        <w:adjustRightInd w:val="0"/>
        <w:snapToGrid w:val="0"/>
        <w:spacing w:line="288" w:lineRule="auto"/>
        <w:ind w:firstLine="398" w:firstLineChars="200"/>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t>查询渠道及截止时间：采购代理机构将通过“信用中国”、中国政府采购网查询供应商响应文件提交截止时间当天的信用记录；</w:t>
      </w:r>
    </w:p>
    <w:p>
      <w:pPr>
        <w:adjustRightInd w:val="0"/>
        <w:snapToGrid w:val="0"/>
        <w:spacing w:line="288" w:lineRule="auto"/>
        <w:ind w:firstLine="398" w:firstLineChars="200"/>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t>查询记录和证据留存的具体方式：现场查询的供应商信用记录、查询结果经确认后与采购文件一起存档；</w:t>
      </w:r>
    </w:p>
    <w:p>
      <w:pPr>
        <w:adjustRightInd w:val="0"/>
        <w:snapToGrid w:val="0"/>
        <w:spacing w:line="288" w:lineRule="auto"/>
        <w:ind w:firstLine="398" w:firstLineChars="200"/>
        <w:rPr>
          <w:rFonts w:ascii="仿宋" w:hAnsi="仿宋" w:eastAsia="仿宋" w:cs="仿宋"/>
          <w:bCs/>
          <w:color w:val="auto"/>
          <w:spacing w:val="-6"/>
          <w:szCs w:val="21"/>
          <w:highlight w:val="none"/>
        </w:rPr>
      </w:pPr>
      <w:r>
        <w:rPr>
          <w:rFonts w:hint="eastAsia" w:ascii="仿宋" w:hAnsi="仿宋" w:eastAsia="仿宋" w:cs="仿宋"/>
          <w:b/>
          <w:color w:val="auto"/>
          <w:spacing w:val="-6"/>
          <w:szCs w:val="21"/>
          <w:highlight w:val="none"/>
        </w:rPr>
        <w:t>使用规则：经查询列入失信被执行人名单、重大税收违法案件当事人名单、政府采购严重违法失信行为记录名单的供应商将被拒绝参与政府采购活动。</w:t>
      </w:r>
    </w:p>
    <w:p>
      <w:pPr>
        <w:adjustRightInd w:val="0"/>
        <w:snapToGrid w:val="0"/>
        <w:spacing w:line="288" w:lineRule="auto"/>
        <w:ind w:firstLine="398" w:firstLineChars="200"/>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t>（三）符合性审查</w:t>
      </w:r>
    </w:p>
    <w:p>
      <w:pPr>
        <w:adjustRightInd w:val="0"/>
        <w:snapToGrid w:val="0"/>
        <w:spacing w:line="288" w:lineRule="auto"/>
        <w:ind w:firstLine="396" w:firstLineChars="200"/>
        <w:rPr>
          <w:rFonts w:ascii="仿宋" w:hAnsi="仿宋" w:eastAsia="仿宋" w:cs="仿宋"/>
          <w:bCs/>
          <w:color w:val="auto"/>
          <w:spacing w:val="-6"/>
          <w:szCs w:val="21"/>
          <w:highlight w:val="none"/>
        </w:rPr>
      </w:pPr>
      <w:r>
        <w:rPr>
          <w:rFonts w:hint="eastAsia" w:ascii="仿宋" w:hAnsi="仿宋" w:eastAsia="仿宋" w:cs="仿宋"/>
          <w:bCs/>
          <w:color w:val="auto"/>
          <w:spacing w:val="-6"/>
          <w:szCs w:val="21"/>
          <w:highlight w:val="none"/>
        </w:rPr>
        <w:t>磋商小组对符合资格的供应商的响应文件进行符合性审查，以确定其是否满足磋商文件的实质性要求。</w:t>
      </w:r>
    </w:p>
    <w:p>
      <w:pPr>
        <w:adjustRightInd w:val="0"/>
        <w:snapToGrid w:val="0"/>
        <w:spacing w:line="288" w:lineRule="auto"/>
        <w:ind w:firstLine="398" w:firstLineChars="200"/>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t>（四）磋商</w:t>
      </w:r>
    </w:p>
    <w:p>
      <w:pPr>
        <w:adjustRightInd w:val="0"/>
        <w:snapToGrid w:val="0"/>
        <w:spacing w:line="288" w:lineRule="auto"/>
        <w:ind w:firstLine="396" w:firstLineChars="200"/>
        <w:rPr>
          <w:rFonts w:ascii="仿宋" w:hAnsi="仿宋" w:eastAsia="仿宋" w:cs="仿宋"/>
          <w:bCs/>
          <w:color w:val="auto"/>
          <w:spacing w:val="-6"/>
          <w:szCs w:val="21"/>
          <w:highlight w:val="none"/>
        </w:rPr>
      </w:pPr>
      <w:r>
        <w:rPr>
          <w:rFonts w:hint="eastAsia" w:ascii="仿宋" w:hAnsi="仿宋" w:eastAsia="仿宋" w:cs="仿宋"/>
          <w:bCs/>
          <w:color w:val="auto"/>
          <w:spacing w:val="-6"/>
          <w:szCs w:val="21"/>
          <w:highlight w:val="none"/>
        </w:rPr>
        <w:t>磋商小组所有成员应当集中与单一供应商分别进行磋商，并给予所有参加磋商的供应商平等的磋商机会。</w:t>
      </w:r>
    </w:p>
    <w:p>
      <w:pPr>
        <w:adjustRightInd w:val="0"/>
        <w:snapToGrid w:val="0"/>
        <w:spacing w:line="288" w:lineRule="auto"/>
        <w:ind w:firstLine="396" w:firstLineChars="200"/>
        <w:rPr>
          <w:rFonts w:ascii="仿宋" w:hAnsi="仿宋" w:eastAsia="仿宋" w:cs="仿宋"/>
          <w:bCs/>
          <w:color w:val="auto"/>
          <w:spacing w:val="-6"/>
          <w:szCs w:val="21"/>
          <w:highlight w:val="none"/>
        </w:rPr>
      </w:pPr>
      <w:r>
        <w:rPr>
          <w:rFonts w:hint="eastAsia" w:ascii="仿宋" w:hAnsi="仿宋" w:eastAsia="仿宋" w:cs="仿宋"/>
          <w:bCs/>
          <w:color w:val="auto"/>
          <w:spacing w:val="-6"/>
          <w:szCs w:val="21"/>
          <w:highlight w:val="none"/>
        </w:rPr>
        <w:t>在磋商过程中，磋商小组可以根据磋商文件和磋商情况实质性变动采购需求中的技术、服务要求以及合同草案条款，但不得变动磋商文件中的其他内容。实质性变动的内容，须经采购人代表确认。</w:t>
      </w:r>
    </w:p>
    <w:p>
      <w:pPr>
        <w:adjustRightInd w:val="0"/>
        <w:snapToGrid w:val="0"/>
        <w:spacing w:line="288" w:lineRule="auto"/>
        <w:ind w:firstLine="396" w:firstLineChars="200"/>
        <w:rPr>
          <w:rFonts w:ascii="仿宋" w:hAnsi="仿宋" w:eastAsia="仿宋" w:cs="仿宋"/>
          <w:bCs/>
          <w:color w:val="auto"/>
          <w:spacing w:val="-6"/>
          <w:szCs w:val="21"/>
          <w:highlight w:val="none"/>
        </w:rPr>
      </w:pPr>
      <w:r>
        <w:rPr>
          <w:rFonts w:hint="eastAsia" w:ascii="仿宋" w:hAnsi="仿宋" w:eastAsia="仿宋" w:cs="仿宋"/>
          <w:bCs/>
          <w:color w:val="auto"/>
          <w:spacing w:val="-6"/>
          <w:szCs w:val="21"/>
          <w:highlight w:val="none"/>
        </w:rPr>
        <w:t>对磋商文件作出的实质性变动是磋商文件的有效组成部分，磋商小组应当及时以书面形式同时通知所有参加磋商的供应商。</w:t>
      </w:r>
    </w:p>
    <w:p>
      <w:pPr>
        <w:adjustRightInd w:val="0"/>
        <w:snapToGrid w:val="0"/>
        <w:spacing w:line="288" w:lineRule="auto"/>
        <w:ind w:firstLine="396" w:firstLineChars="200"/>
        <w:rPr>
          <w:rFonts w:ascii="仿宋" w:hAnsi="仿宋" w:eastAsia="仿宋" w:cs="仿宋"/>
          <w:bCs/>
          <w:color w:val="auto"/>
          <w:spacing w:val="-6"/>
          <w:szCs w:val="21"/>
          <w:highlight w:val="none"/>
        </w:rPr>
      </w:pPr>
      <w:r>
        <w:rPr>
          <w:rFonts w:hint="eastAsia" w:ascii="仿宋" w:hAnsi="仿宋" w:eastAsia="仿宋" w:cs="仿宋"/>
          <w:bCs/>
          <w:color w:val="auto"/>
          <w:spacing w:val="-6"/>
          <w:szCs w:val="21"/>
          <w:highlight w:val="none"/>
        </w:rPr>
        <w:t>供应商应当按照磋商文件的变动情况和磋商小组的要求提交磋商记录，并由其法定代表人或授权代表签名或者加盖公章。</w:t>
      </w:r>
    </w:p>
    <w:p>
      <w:pPr>
        <w:adjustRightInd w:val="0"/>
        <w:snapToGrid w:val="0"/>
        <w:spacing w:line="288" w:lineRule="auto"/>
        <w:ind w:firstLine="398" w:firstLineChars="200"/>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t>（五）最后报价</w:t>
      </w:r>
    </w:p>
    <w:p>
      <w:pPr>
        <w:adjustRightInd w:val="0"/>
        <w:snapToGrid w:val="0"/>
        <w:spacing w:line="288" w:lineRule="auto"/>
        <w:ind w:firstLine="396" w:firstLineChars="200"/>
        <w:rPr>
          <w:rFonts w:ascii="仿宋" w:hAnsi="仿宋" w:eastAsia="仿宋" w:cs="仿宋"/>
          <w:bCs/>
          <w:color w:val="auto"/>
          <w:spacing w:val="-6"/>
          <w:szCs w:val="21"/>
          <w:highlight w:val="none"/>
        </w:rPr>
      </w:pPr>
      <w:r>
        <w:rPr>
          <w:rFonts w:hint="eastAsia" w:ascii="仿宋" w:hAnsi="仿宋" w:eastAsia="仿宋" w:cs="仿宋"/>
          <w:bCs/>
          <w:color w:val="auto"/>
          <w:spacing w:val="-6"/>
          <w:szCs w:val="21"/>
          <w:highlight w:val="none"/>
        </w:rPr>
        <w:t>磋商文件能够详细列明采购标的的技术、服务要求的，磋商结束后，磋商小组应当要求所有实质性响应的供应商在规定时间内提交最后报价，提交最后报价的供应商不得少于3家。</w:t>
      </w:r>
    </w:p>
    <w:p>
      <w:pPr>
        <w:adjustRightInd w:val="0"/>
        <w:snapToGrid w:val="0"/>
        <w:spacing w:line="288" w:lineRule="auto"/>
        <w:ind w:firstLine="396" w:firstLineChars="200"/>
        <w:rPr>
          <w:rFonts w:ascii="仿宋" w:hAnsi="仿宋" w:eastAsia="仿宋" w:cs="仿宋"/>
          <w:bCs/>
          <w:color w:val="auto"/>
          <w:spacing w:val="-6"/>
          <w:szCs w:val="21"/>
          <w:highlight w:val="none"/>
        </w:rPr>
      </w:pPr>
      <w:r>
        <w:rPr>
          <w:rFonts w:hint="eastAsia" w:ascii="仿宋" w:hAnsi="仿宋" w:eastAsia="仿宋" w:cs="仿宋"/>
          <w:bCs/>
          <w:color w:val="auto"/>
          <w:spacing w:val="-6"/>
          <w:szCs w:val="21"/>
          <w:highlight w:val="none"/>
        </w:rPr>
        <w:t>磋商文件不能详细列明采购标的的技术、服务要求，需经磋商由供应商提供最终设计方案或解决方案，磋商结束后，磋商小组应当按照少数服从多数的原则投票推荐3家以上供应商的设计方案或者解决方案，并要求其在规定时间内提交最后报价。</w:t>
      </w:r>
    </w:p>
    <w:p>
      <w:pPr>
        <w:adjustRightInd w:val="0"/>
        <w:snapToGrid w:val="0"/>
        <w:spacing w:line="288" w:lineRule="auto"/>
        <w:ind w:firstLine="398" w:firstLineChars="200"/>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t>最后报价是供应商响应文件的有效组成部分。符合《政府采购竞争性磋商采购方式管理暂行办法》（财库[2014]214号）第三条第一、四项情形的，提交最后报价的供应商可以为2家。</w:t>
      </w:r>
    </w:p>
    <w:p>
      <w:pPr>
        <w:adjustRightInd w:val="0"/>
        <w:snapToGrid w:val="0"/>
        <w:spacing w:line="288" w:lineRule="auto"/>
        <w:ind w:firstLine="398" w:firstLineChars="200"/>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t>（六）综合评分</w:t>
      </w:r>
    </w:p>
    <w:p>
      <w:pPr>
        <w:adjustRightInd w:val="0"/>
        <w:snapToGrid w:val="0"/>
        <w:spacing w:line="288" w:lineRule="auto"/>
        <w:ind w:firstLine="396" w:firstLineChars="200"/>
        <w:rPr>
          <w:rFonts w:ascii="仿宋" w:hAnsi="仿宋" w:eastAsia="仿宋" w:cs="仿宋"/>
          <w:bCs/>
          <w:color w:val="auto"/>
          <w:spacing w:val="-6"/>
          <w:szCs w:val="21"/>
          <w:highlight w:val="none"/>
        </w:rPr>
      </w:pPr>
      <w:r>
        <w:rPr>
          <w:rFonts w:hint="eastAsia" w:ascii="仿宋" w:hAnsi="仿宋" w:eastAsia="仿宋" w:cs="仿宋"/>
          <w:bCs/>
          <w:color w:val="auto"/>
          <w:spacing w:val="-6"/>
          <w:szCs w:val="21"/>
          <w:highlight w:val="none"/>
        </w:rPr>
        <w:t>经磋商确定最终采购需求和提交最后报价的供应商后，由磋商小组采用综合评分法对提交最后报价的供应商的响应文件和最后报价进行综合评分。</w:t>
      </w:r>
    </w:p>
    <w:p>
      <w:pPr>
        <w:adjustRightInd w:val="0"/>
        <w:snapToGrid w:val="0"/>
        <w:spacing w:line="288" w:lineRule="auto"/>
        <w:ind w:firstLine="396" w:firstLineChars="200"/>
        <w:rPr>
          <w:rFonts w:ascii="仿宋" w:hAnsi="仿宋" w:eastAsia="仿宋" w:cs="仿宋"/>
          <w:bCs/>
          <w:color w:val="auto"/>
          <w:spacing w:val="-6"/>
          <w:szCs w:val="21"/>
          <w:highlight w:val="none"/>
        </w:rPr>
      </w:pPr>
      <w:r>
        <w:rPr>
          <w:rFonts w:hint="eastAsia" w:ascii="仿宋" w:hAnsi="仿宋" w:eastAsia="仿宋" w:cs="仿宋"/>
          <w:bCs/>
          <w:color w:val="auto"/>
          <w:spacing w:val="-6"/>
          <w:szCs w:val="21"/>
          <w:highlight w:val="none"/>
        </w:rPr>
        <w:t>综合评分法，是指响应文件满足磋商文件全部实质性要求且按评审因素的量化指标评审得分最高的供应商为成交候选供应商的评审方法。</w:t>
      </w:r>
    </w:p>
    <w:p>
      <w:pPr>
        <w:adjustRightInd w:val="0"/>
        <w:snapToGrid w:val="0"/>
        <w:spacing w:line="288" w:lineRule="auto"/>
        <w:ind w:firstLine="398" w:firstLineChars="200"/>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t>（七）汇总商务技术得分</w:t>
      </w:r>
    </w:p>
    <w:p>
      <w:pPr>
        <w:adjustRightInd w:val="0"/>
        <w:snapToGrid w:val="0"/>
        <w:spacing w:line="288" w:lineRule="auto"/>
        <w:ind w:firstLine="396" w:firstLineChars="200"/>
        <w:rPr>
          <w:rFonts w:ascii="仿宋" w:hAnsi="仿宋" w:eastAsia="仿宋" w:cs="仿宋"/>
          <w:bCs/>
          <w:color w:val="auto"/>
          <w:spacing w:val="-6"/>
          <w:szCs w:val="21"/>
          <w:highlight w:val="none"/>
        </w:rPr>
      </w:pPr>
      <w:r>
        <w:rPr>
          <w:rFonts w:hint="eastAsia" w:ascii="仿宋" w:hAnsi="仿宋" w:eastAsia="仿宋" w:cs="仿宋"/>
          <w:bCs/>
          <w:color w:val="auto"/>
          <w:spacing w:val="-6"/>
          <w:szCs w:val="21"/>
          <w:highlight w:val="none"/>
        </w:rPr>
        <w:t>磋商小组各成员独立对进入最后报价的供应商的商务和技术文件进行评价，并汇总商务技术得分情况。</w:t>
      </w:r>
    </w:p>
    <w:p>
      <w:pPr>
        <w:adjustRightInd w:val="0"/>
        <w:snapToGrid w:val="0"/>
        <w:spacing w:line="288" w:lineRule="auto"/>
        <w:ind w:firstLine="396" w:firstLineChars="200"/>
        <w:rPr>
          <w:rFonts w:ascii="仿宋" w:hAnsi="仿宋" w:eastAsia="仿宋" w:cs="仿宋"/>
          <w:bCs/>
          <w:color w:val="auto"/>
          <w:spacing w:val="-6"/>
          <w:szCs w:val="21"/>
          <w:highlight w:val="none"/>
        </w:rPr>
      </w:pPr>
      <w:r>
        <w:rPr>
          <w:rFonts w:hint="eastAsia" w:ascii="仿宋" w:hAnsi="仿宋" w:eastAsia="仿宋" w:cs="仿宋"/>
          <w:bCs/>
          <w:color w:val="auto"/>
          <w:spacing w:val="-6"/>
          <w:szCs w:val="21"/>
          <w:highlight w:val="none"/>
        </w:rPr>
        <w:t>现场监督员如发现分值汇总计算错误、分项评分超出评分标准范围、客观评分不一致以及存在评分畸高、畸低情形的，应由相关人员当场改正或作出说明；拒不改正又不作说明的，由现场监督员如实记载后存入项目档案资料。</w:t>
      </w:r>
    </w:p>
    <w:p>
      <w:pPr>
        <w:adjustRightInd w:val="0"/>
        <w:snapToGrid w:val="0"/>
        <w:spacing w:line="288" w:lineRule="auto"/>
        <w:ind w:firstLine="398" w:firstLineChars="200"/>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t>（八）排序与推荐</w:t>
      </w:r>
    </w:p>
    <w:p>
      <w:pPr>
        <w:adjustRightInd w:val="0"/>
        <w:snapToGrid w:val="0"/>
        <w:spacing w:line="288" w:lineRule="auto"/>
        <w:ind w:firstLine="396" w:firstLineChars="200"/>
        <w:rPr>
          <w:rFonts w:ascii="仿宋" w:hAnsi="仿宋" w:eastAsia="仿宋" w:cs="仿宋"/>
          <w:bCs/>
          <w:color w:val="auto"/>
          <w:spacing w:val="-6"/>
          <w:szCs w:val="21"/>
          <w:highlight w:val="none"/>
        </w:rPr>
      </w:pPr>
      <w:r>
        <w:rPr>
          <w:rFonts w:hint="eastAsia" w:ascii="仿宋" w:hAnsi="仿宋" w:eastAsia="仿宋" w:cs="仿宋"/>
          <w:bCs/>
          <w:color w:val="auto"/>
          <w:spacing w:val="-6"/>
          <w:szCs w:val="21"/>
          <w:highlight w:val="none"/>
        </w:rPr>
        <w:t>磋商小组应当根据综合评分情况，按照评审得分由高到低顺序推荐3名以上成交候选供应商，并编写评审报告。符合《政府采购竞争性磋商采购方式管理暂行办法》（财库[2014]214号）第二十一条第三款情形的，可以推荐2家成交候选供应商。评审得分相同的，按照最后报价由低到高的顺序推荐。评审得分且最后报价相同的，按照技术指标优劣顺序推荐。出现并列第一名时由采购人确认成交供应商或采购人授权磋商小组按抽签方式确认成交供应商。</w:t>
      </w:r>
    </w:p>
    <w:p>
      <w:pPr>
        <w:adjustRightInd w:val="0"/>
        <w:snapToGrid w:val="0"/>
        <w:spacing w:line="288" w:lineRule="auto"/>
        <w:ind w:firstLine="396" w:firstLineChars="200"/>
        <w:rPr>
          <w:rFonts w:ascii="仿宋" w:hAnsi="仿宋" w:eastAsia="仿宋" w:cs="仿宋"/>
          <w:bCs/>
          <w:color w:val="auto"/>
          <w:spacing w:val="-6"/>
          <w:szCs w:val="21"/>
          <w:highlight w:val="none"/>
        </w:rPr>
      </w:pPr>
      <w:r>
        <w:rPr>
          <w:rFonts w:hint="eastAsia" w:ascii="仿宋" w:hAnsi="仿宋" w:eastAsia="仿宋" w:cs="仿宋"/>
          <w:bCs/>
          <w:color w:val="auto"/>
          <w:spacing w:val="-6"/>
          <w:szCs w:val="21"/>
          <w:highlight w:val="none"/>
        </w:rPr>
        <w:t>提供相同品牌产品且通过资格审查、符合性审查的不同供应商参加同一合同项下响应的，按一家供应商计算，评审后得分最高的同品牌供应商获得成交供应商推荐资格；评审得分相同的，由采购人或者采购人委托磋商小组按照磋商文件规定的方式确定一个供应商获得成交供应商推荐资格，磋商文件未规定的采取随机抽取方式确定，其他同品牌供应商不作为成交候选供应商。</w:t>
      </w:r>
    </w:p>
    <w:p>
      <w:pPr>
        <w:adjustRightInd w:val="0"/>
        <w:snapToGrid w:val="0"/>
        <w:spacing w:line="288" w:lineRule="auto"/>
        <w:ind w:firstLine="396" w:firstLineChars="200"/>
        <w:rPr>
          <w:rFonts w:ascii="仿宋" w:hAnsi="仿宋" w:eastAsia="仿宋" w:cs="仿宋"/>
          <w:bCs/>
          <w:color w:val="auto"/>
          <w:spacing w:val="-6"/>
          <w:szCs w:val="21"/>
          <w:highlight w:val="none"/>
        </w:rPr>
      </w:pPr>
      <w:r>
        <w:rPr>
          <w:rFonts w:hint="eastAsia" w:ascii="仿宋" w:hAnsi="仿宋" w:eastAsia="仿宋" w:cs="仿宋"/>
          <w:bCs/>
          <w:color w:val="auto"/>
          <w:spacing w:val="-6"/>
          <w:szCs w:val="21"/>
          <w:highlight w:val="none"/>
        </w:rPr>
        <w:t>非单一产品采购项目，多家供应商提供的核心产品品牌相同的，按前款规定处理。</w:t>
      </w:r>
    </w:p>
    <w:p>
      <w:pPr>
        <w:adjustRightInd w:val="0"/>
        <w:snapToGrid w:val="0"/>
        <w:spacing w:line="288" w:lineRule="auto"/>
        <w:ind w:firstLine="398" w:firstLineChars="200"/>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t>（九）编写评审报告</w:t>
      </w:r>
    </w:p>
    <w:p>
      <w:pPr>
        <w:adjustRightInd w:val="0"/>
        <w:snapToGrid w:val="0"/>
        <w:spacing w:line="288" w:lineRule="auto"/>
        <w:ind w:firstLine="396" w:firstLineChars="200"/>
        <w:rPr>
          <w:rFonts w:ascii="仿宋" w:hAnsi="仿宋" w:eastAsia="仿宋" w:cs="仿宋"/>
          <w:bCs/>
          <w:color w:val="auto"/>
          <w:spacing w:val="-6"/>
          <w:szCs w:val="21"/>
          <w:highlight w:val="none"/>
        </w:rPr>
      </w:pPr>
      <w:r>
        <w:rPr>
          <w:rFonts w:hint="eastAsia" w:ascii="仿宋" w:hAnsi="仿宋" w:eastAsia="仿宋" w:cs="仿宋"/>
          <w:bCs/>
          <w:color w:val="auto"/>
          <w:spacing w:val="-6"/>
          <w:szCs w:val="21"/>
          <w:highlight w:val="none"/>
        </w:rPr>
        <w:t>评审报告应当由磋商小组全体人员签名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名又不书面说明其不同意见和理由的，视为同意评审报告。</w:t>
      </w:r>
    </w:p>
    <w:p>
      <w:pPr>
        <w:adjustRightInd w:val="0"/>
        <w:snapToGrid w:val="0"/>
        <w:spacing w:line="288" w:lineRule="auto"/>
        <w:ind w:firstLine="398" w:firstLineChars="200"/>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t>（十）补充说明</w:t>
      </w:r>
    </w:p>
    <w:p>
      <w:pPr>
        <w:adjustRightInd w:val="0"/>
        <w:snapToGrid w:val="0"/>
        <w:spacing w:line="288" w:lineRule="auto"/>
        <w:ind w:firstLine="396" w:firstLineChars="200"/>
        <w:rPr>
          <w:rFonts w:ascii="仿宋" w:hAnsi="仿宋" w:eastAsia="仿宋" w:cs="仿宋"/>
          <w:b/>
          <w:color w:val="auto"/>
          <w:spacing w:val="-6"/>
          <w:szCs w:val="21"/>
          <w:highlight w:val="none"/>
        </w:rPr>
      </w:pPr>
      <w:r>
        <w:rPr>
          <w:rFonts w:hint="eastAsia" w:ascii="仿宋" w:hAnsi="仿宋" w:eastAsia="仿宋" w:cs="仿宋"/>
          <w:bCs/>
          <w:color w:val="auto"/>
          <w:spacing w:val="-6"/>
          <w:szCs w:val="21"/>
          <w:highlight w:val="none"/>
        </w:rPr>
        <w:t>采用竞争性磋商采购方式采购的政府购买服务项目（含政府和社会资本合作项目），在采购过程中符合要求的供应商（社会资本）只有2家的，竞争性磋商采购活动可以继续进行。</w:t>
      </w:r>
      <w:r>
        <w:rPr>
          <w:rFonts w:hint="eastAsia" w:ascii="仿宋" w:hAnsi="仿宋" w:eastAsia="仿宋" w:cs="仿宋"/>
          <w:b/>
          <w:color w:val="auto"/>
          <w:spacing w:val="-6"/>
          <w:szCs w:val="21"/>
          <w:highlight w:val="none"/>
        </w:rPr>
        <w:br w:type="page"/>
      </w:r>
    </w:p>
    <w:p>
      <w:pPr>
        <w:adjustRightInd w:val="0"/>
        <w:snapToGrid w:val="0"/>
        <w:spacing w:line="288" w:lineRule="auto"/>
        <w:jc w:val="center"/>
        <w:outlineLvl w:val="1"/>
        <w:rPr>
          <w:rFonts w:ascii="仿宋" w:hAnsi="仿宋" w:eastAsia="仿宋" w:cs="仿宋"/>
          <w:b/>
          <w:color w:val="auto"/>
          <w:spacing w:val="-6"/>
          <w:sz w:val="24"/>
          <w:szCs w:val="24"/>
          <w:highlight w:val="none"/>
        </w:rPr>
      </w:pPr>
      <w:r>
        <w:rPr>
          <w:rFonts w:hint="eastAsia" w:ascii="仿宋" w:hAnsi="仿宋" w:eastAsia="仿宋" w:cs="仿宋"/>
          <w:b/>
          <w:color w:val="auto"/>
          <w:spacing w:val="-6"/>
          <w:sz w:val="24"/>
          <w:szCs w:val="24"/>
          <w:highlight w:val="none"/>
        </w:rPr>
        <w:t>七、成交与合同</w:t>
      </w:r>
    </w:p>
    <w:p>
      <w:pPr>
        <w:adjustRightInd w:val="0"/>
        <w:snapToGrid w:val="0"/>
        <w:spacing w:line="288" w:lineRule="auto"/>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t>1.成交</w:t>
      </w:r>
    </w:p>
    <w:p>
      <w:pPr>
        <w:adjustRightInd w:val="0"/>
        <w:snapToGrid w:val="0"/>
        <w:spacing w:line="288" w:lineRule="auto"/>
        <w:ind w:firstLine="396"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1.1 采购代理机构自评审结束之日起2个工作日内将评审报告送交采购人。采购人收到评审报告之日起5个工作日内在评审报告推荐的成交候选供应商中按顺序确定成交供应商，也可以书面授权磋商小组直接确定成交供应商；</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1.2 采购代理机构自成交供应商确定之日起2个工作日内，公告成交结果，并发出成交通知书；</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 xml:space="preserve">1.3 </w:t>
      </w:r>
      <w:r>
        <w:rPr>
          <w:rFonts w:hint="eastAsia" w:ascii="仿宋" w:hAnsi="仿宋" w:eastAsia="仿宋" w:cs="仿宋"/>
          <w:color w:val="auto"/>
          <w:szCs w:val="21"/>
          <w:highlight w:val="none"/>
        </w:rPr>
        <w:t>评审结果公示媒体：浙江政府采购网。</w:t>
      </w:r>
    </w:p>
    <w:p>
      <w:pPr>
        <w:adjustRightInd w:val="0"/>
        <w:snapToGrid w:val="0"/>
        <w:spacing w:line="288" w:lineRule="auto"/>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t>2.合同</w:t>
      </w:r>
    </w:p>
    <w:p>
      <w:pPr>
        <w:adjustRightInd w:val="0"/>
        <w:snapToGrid w:val="0"/>
        <w:spacing w:line="288" w:lineRule="auto"/>
        <w:ind w:firstLine="396"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2.1 采购人与成交供应商应当在成交通知书发出之日起30日内，按照采购文件确定的合同文本以及采购标的、规格型号、采购金额、采购数量、技术和服务要求等事项签订采购合同。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pPr>
        <w:adjustRightInd w:val="0"/>
        <w:snapToGrid w:val="0"/>
        <w:spacing w:line="288" w:lineRule="auto"/>
        <w:ind w:firstLine="396"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2.2 成交后无正当理由拒不与采购人签订采购合同，将被取消成交资格。</w:t>
      </w:r>
    </w:p>
    <w:p>
      <w:pPr>
        <w:adjustRightInd w:val="0"/>
        <w:snapToGrid w:val="0"/>
        <w:spacing w:line="288" w:lineRule="auto"/>
        <w:ind w:firstLine="396"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br w:type="page"/>
      </w:r>
    </w:p>
    <w:p>
      <w:pPr>
        <w:adjustRightInd w:val="0"/>
        <w:snapToGrid w:val="0"/>
        <w:spacing w:line="288" w:lineRule="auto"/>
        <w:jc w:val="center"/>
        <w:outlineLvl w:val="1"/>
        <w:rPr>
          <w:rFonts w:ascii="仿宋" w:hAnsi="仿宋" w:eastAsia="仿宋" w:cs="仿宋"/>
          <w:b/>
          <w:color w:val="auto"/>
          <w:spacing w:val="-6"/>
          <w:sz w:val="24"/>
          <w:szCs w:val="24"/>
          <w:highlight w:val="none"/>
        </w:rPr>
      </w:pPr>
      <w:r>
        <w:rPr>
          <w:rFonts w:hint="eastAsia" w:ascii="仿宋" w:hAnsi="仿宋" w:eastAsia="仿宋" w:cs="仿宋"/>
          <w:b/>
          <w:color w:val="auto"/>
          <w:spacing w:val="-6"/>
          <w:sz w:val="24"/>
          <w:szCs w:val="24"/>
          <w:highlight w:val="none"/>
        </w:rPr>
        <w:t>八、验  收</w:t>
      </w:r>
    </w:p>
    <w:p>
      <w:pPr>
        <w:adjustRightInd w:val="0"/>
        <w:snapToGrid w:val="0"/>
        <w:spacing w:line="288" w:lineRule="auto"/>
        <w:ind w:firstLine="396"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采购人组织对供应商履约的验收。大型或者复杂的采购项目，应当邀请国家认可的质量检测机构参加验收工作。验收方成员应当在验收书上签名，并承担相应的法律责任。如果发现与合同中要求不符，供应商须承担由此发生的一切损失和费用，并接受相应的处理。</w:t>
      </w:r>
    </w:p>
    <w:p>
      <w:pPr>
        <w:adjustRightInd w:val="0"/>
        <w:snapToGrid w:val="0"/>
        <w:spacing w:line="288" w:lineRule="auto"/>
        <w:ind w:firstLine="396"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采购人可以邀请参加本项目的其他供应商或者第三方机构参与验收。参与验收的供应商或者第三方机构的意见作为验收书的参考资料一并存档。</w:t>
      </w:r>
    </w:p>
    <w:p>
      <w:pPr>
        <w:adjustRightInd w:val="0"/>
        <w:snapToGrid w:val="0"/>
        <w:spacing w:line="288" w:lineRule="auto"/>
        <w:ind w:firstLine="396"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w:t>
      </w:r>
      <w:r>
        <w:rPr>
          <w:rFonts w:hint="eastAsia" w:ascii="仿宋" w:hAnsi="仿宋" w:eastAsia="仿宋" w:cs="仿宋"/>
          <w:color w:val="auto"/>
          <w:kern w:val="0"/>
          <w:szCs w:val="21"/>
          <w:highlight w:val="none"/>
        </w:rPr>
        <w:t>及履约保证金返还</w:t>
      </w:r>
      <w:r>
        <w:rPr>
          <w:rFonts w:hint="eastAsia" w:ascii="仿宋" w:hAnsi="仿宋" w:eastAsia="仿宋" w:cs="仿宋"/>
          <w:color w:val="auto"/>
          <w:spacing w:val="-6"/>
          <w:szCs w:val="21"/>
          <w:highlight w:val="none"/>
        </w:rPr>
        <w:t>条件挂钩。履约验收的各项资料应当存档备查。</w:t>
      </w:r>
    </w:p>
    <w:p>
      <w:pPr>
        <w:adjustRightInd w:val="0"/>
        <w:snapToGrid w:val="0"/>
        <w:spacing w:line="288" w:lineRule="auto"/>
        <w:ind w:firstLine="396" w:firstLineChars="200"/>
        <w:rPr>
          <w:color w:val="auto"/>
          <w:highlight w:val="none"/>
        </w:rPr>
      </w:pPr>
      <w:r>
        <w:rPr>
          <w:rFonts w:hint="eastAsia" w:ascii="仿宋" w:hAnsi="仿宋" w:eastAsia="仿宋" w:cs="仿宋"/>
          <w:color w:val="auto"/>
          <w:spacing w:val="-6"/>
          <w:szCs w:val="21"/>
          <w:highlight w:val="none"/>
        </w:rPr>
        <w:t>验收合格的项目，采购人将根据采购合同的约定及时向供应商支付</w:t>
      </w:r>
      <w:r>
        <w:rPr>
          <w:rFonts w:hint="eastAsia" w:ascii="仿宋" w:hAnsi="仿宋" w:eastAsia="仿宋" w:cs="仿宋"/>
          <w:color w:val="auto"/>
          <w:kern w:val="0"/>
          <w:szCs w:val="21"/>
          <w:highlight w:val="none"/>
        </w:rPr>
        <w:t>采购资金、退还履约保证金</w:t>
      </w:r>
      <w:r>
        <w:rPr>
          <w:rFonts w:hint="eastAsia" w:ascii="仿宋" w:hAnsi="仿宋" w:eastAsia="仿宋" w:cs="仿宋"/>
          <w:color w:val="auto"/>
          <w:spacing w:val="-6"/>
          <w:szCs w:val="21"/>
          <w:highlight w:val="none"/>
        </w:rPr>
        <w:t>。验收不合格的项目，采购人将依法及时处理。采购合同的履行、违约责任和解决争议的方式等适用《中华人民共和国民法典》。</w:t>
      </w:r>
    </w:p>
    <w:p>
      <w:pPr>
        <w:adjustRightInd w:val="0"/>
        <w:snapToGrid w:val="0"/>
        <w:spacing w:line="288" w:lineRule="auto"/>
        <w:jc w:val="center"/>
        <w:rPr>
          <w:rFonts w:ascii="仿宋" w:hAnsi="仿宋" w:eastAsia="仿宋" w:cs="仿宋"/>
          <w:b/>
          <w:color w:val="auto"/>
          <w:spacing w:val="-6"/>
          <w:sz w:val="24"/>
          <w:szCs w:val="24"/>
          <w:highlight w:val="none"/>
        </w:rPr>
      </w:pPr>
      <w:r>
        <w:rPr>
          <w:rFonts w:hint="eastAsia" w:ascii="仿宋" w:hAnsi="仿宋" w:eastAsia="仿宋" w:cs="仿宋"/>
          <w:b/>
          <w:color w:val="auto"/>
          <w:spacing w:val="-6"/>
          <w:sz w:val="24"/>
          <w:szCs w:val="24"/>
          <w:highlight w:val="none"/>
        </w:rPr>
        <w:br w:type="page"/>
      </w:r>
    </w:p>
    <w:p>
      <w:pPr>
        <w:adjustRightInd w:val="0"/>
        <w:snapToGrid w:val="0"/>
        <w:spacing w:line="288" w:lineRule="auto"/>
        <w:jc w:val="center"/>
        <w:outlineLvl w:val="0"/>
        <w:rPr>
          <w:rFonts w:ascii="仿宋" w:hAnsi="仿宋" w:eastAsia="仿宋" w:cs="仿宋"/>
          <w:b/>
          <w:color w:val="auto"/>
          <w:spacing w:val="-6"/>
          <w:sz w:val="32"/>
          <w:szCs w:val="32"/>
          <w:highlight w:val="none"/>
        </w:rPr>
      </w:pPr>
      <w:r>
        <w:rPr>
          <w:rFonts w:hint="eastAsia" w:ascii="仿宋" w:hAnsi="仿宋" w:eastAsia="仿宋" w:cs="仿宋"/>
          <w:b/>
          <w:color w:val="auto"/>
          <w:sz w:val="32"/>
          <w:szCs w:val="32"/>
          <w:highlight w:val="none"/>
        </w:rPr>
        <w:t>第四章  评审方法和评审标准</w:t>
      </w:r>
    </w:p>
    <w:p>
      <w:pPr>
        <w:adjustRightInd w:val="0"/>
        <w:snapToGrid w:val="0"/>
        <w:spacing w:line="288" w:lineRule="auto"/>
        <w:outlineLvl w:val="1"/>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t>一、评审方法</w:t>
      </w:r>
    </w:p>
    <w:p>
      <w:pPr>
        <w:adjustRightInd w:val="0"/>
        <w:snapToGrid w:val="0"/>
        <w:spacing w:line="288" w:lineRule="auto"/>
        <w:ind w:firstLine="396"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本次评审采用综合评分法，总分为100分。评分过程中采用四舍五入法，并保留小数2位。</w:t>
      </w:r>
    </w:p>
    <w:p>
      <w:pPr>
        <w:adjustRightInd w:val="0"/>
        <w:snapToGrid w:val="0"/>
        <w:spacing w:line="288" w:lineRule="auto"/>
        <w:ind w:firstLine="396"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供应商评审综合得分=商务分+技术分+价格分</w:t>
      </w:r>
    </w:p>
    <w:p>
      <w:pPr>
        <w:adjustRightInd w:val="0"/>
        <w:snapToGrid w:val="0"/>
        <w:spacing w:line="288" w:lineRule="auto"/>
        <w:ind w:firstLine="396"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商务分、技术分按照磋商小组成员的独立评分结果的算术平均分计算，计算公式为：商务分、技术分=（磋商小组所有成员评分合计数）/（磋商小组组成人员数）。项目评审过程中，不得去掉最后报价中的最高报价和最低报价。</w:t>
      </w:r>
    </w:p>
    <w:p>
      <w:pPr>
        <w:adjustRightInd w:val="0"/>
        <w:snapToGrid w:val="0"/>
        <w:spacing w:line="288" w:lineRule="auto"/>
        <w:outlineLvl w:val="1"/>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t>二、评审标准</w:t>
      </w:r>
    </w:p>
    <w:tbl>
      <w:tblPr>
        <w:tblStyle w:val="27"/>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7"/>
        <w:gridCol w:w="641"/>
        <w:gridCol w:w="7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77"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评审因素</w:t>
            </w:r>
          </w:p>
        </w:tc>
        <w:tc>
          <w:tcPr>
            <w:tcW w:w="641"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分值</w:t>
            </w:r>
          </w:p>
        </w:tc>
        <w:tc>
          <w:tcPr>
            <w:tcW w:w="7810"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28" w:type="dxa"/>
            <w:gridSpan w:val="3"/>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价格分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最后报价</w:t>
            </w:r>
          </w:p>
        </w:tc>
        <w:tc>
          <w:tcPr>
            <w:tcW w:w="6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30</w:t>
            </w:r>
          </w:p>
        </w:tc>
        <w:tc>
          <w:tcPr>
            <w:tcW w:w="781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价格分采用低价优先法计算，即满足磋商文件要求且最后报价最低的供应商的价格为磋商基准价，其价格分为满分。其他供应商的价格分统一按照下列公式计算：</w:t>
            </w:r>
          </w:p>
          <w:p>
            <w:pPr>
              <w:rPr>
                <w:rFonts w:ascii="仿宋" w:hAnsi="仿宋" w:eastAsia="仿宋" w:cs="仿宋"/>
                <w:color w:val="auto"/>
                <w:szCs w:val="21"/>
                <w:highlight w:val="none"/>
              </w:rPr>
            </w:pPr>
            <w:r>
              <w:rPr>
                <w:rFonts w:hint="eastAsia" w:ascii="仿宋" w:hAnsi="仿宋" w:eastAsia="仿宋" w:cs="仿宋"/>
                <w:color w:val="auto"/>
                <w:szCs w:val="21"/>
                <w:highlight w:val="none"/>
              </w:rPr>
              <w:t>磋商报价得分=（磋商基准价/最后报价）*30%*100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28" w:type="dxa"/>
            <w:gridSpan w:val="3"/>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商务分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77" w:type="dxa"/>
            <w:vAlign w:val="center"/>
          </w:tcPr>
          <w:p>
            <w:pPr>
              <w:snapToGrid w:val="0"/>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业绩</w:t>
            </w:r>
          </w:p>
        </w:tc>
        <w:tc>
          <w:tcPr>
            <w:tcW w:w="641" w:type="dxa"/>
            <w:vAlign w:val="center"/>
          </w:tcPr>
          <w:p>
            <w:pPr>
              <w:snapToGrid w:val="0"/>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3</w:t>
            </w:r>
          </w:p>
        </w:tc>
        <w:tc>
          <w:tcPr>
            <w:tcW w:w="7810" w:type="dxa"/>
            <w:vAlign w:val="center"/>
          </w:tcPr>
          <w:p>
            <w:pPr>
              <w:snapToGrid w:val="0"/>
              <w:rPr>
                <w:rFonts w:ascii="仿宋" w:hAnsi="仿宋" w:eastAsia="仿宋" w:cs="仿宋"/>
                <w:color w:val="auto"/>
                <w:szCs w:val="21"/>
                <w:highlight w:val="none"/>
              </w:rPr>
            </w:pPr>
            <w:r>
              <w:rPr>
                <w:rFonts w:hint="eastAsia" w:ascii="仿宋" w:hAnsi="仿宋" w:eastAsia="仿宋" w:cs="仿宋"/>
                <w:b/>
                <w:bCs/>
                <w:color w:val="auto"/>
                <w:szCs w:val="21"/>
                <w:highlight w:val="none"/>
              </w:rPr>
              <w:t>[客观分]</w:t>
            </w:r>
            <w:r>
              <w:rPr>
                <w:rFonts w:hint="eastAsia" w:ascii="仿宋" w:hAnsi="仿宋" w:eastAsia="仿宋" w:cs="仿宋"/>
                <w:color w:val="auto"/>
                <w:szCs w:val="21"/>
                <w:highlight w:val="none"/>
              </w:rPr>
              <w:t>供应商自2021年1月1日以来（以合同签订时间为准）与采购标的同品类产品业绩（最高3分）：1分/份（以提供的合同及对应验收报告（带甲方盖章或签字）复印件为准）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77"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政策功能</w:t>
            </w:r>
          </w:p>
        </w:tc>
        <w:tc>
          <w:tcPr>
            <w:tcW w:w="641" w:type="dxa"/>
            <w:vAlign w:val="center"/>
          </w:tcPr>
          <w:p>
            <w:pPr>
              <w:jc w:val="center"/>
              <w:rPr>
                <w:rFonts w:hint="eastAsia" w:ascii="仿宋" w:hAnsi="仿宋" w:eastAsia="仿宋" w:cs="仿宋"/>
                <w:b/>
                <w:bCs/>
                <w:color w:val="auto"/>
                <w:szCs w:val="21"/>
                <w:highlight w:val="none"/>
                <w:lang w:eastAsia="zh-CN"/>
              </w:rPr>
            </w:pPr>
            <w:r>
              <w:rPr>
                <w:rFonts w:hint="eastAsia" w:ascii="仿宋" w:hAnsi="仿宋" w:eastAsia="仿宋" w:cs="仿宋"/>
                <w:b/>
                <w:bCs/>
                <w:color w:val="auto"/>
                <w:szCs w:val="21"/>
                <w:highlight w:val="none"/>
                <w:lang w:val="en-US" w:eastAsia="zh-CN"/>
              </w:rPr>
              <w:t>1</w:t>
            </w:r>
          </w:p>
        </w:tc>
        <w:tc>
          <w:tcPr>
            <w:tcW w:w="7810" w:type="dxa"/>
            <w:vAlign w:val="center"/>
          </w:tcPr>
          <w:p>
            <w:pPr>
              <w:rPr>
                <w:rFonts w:ascii="仿宋" w:hAnsi="仿宋" w:eastAsia="仿宋" w:cs="仿宋"/>
                <w:color w:val="auto"/>
                <w:szCs w:val="21"/>
                <w:highlight w:val="none"/>
              </w:rPr>
            </w:pPr>
            <w:r>
              <w:rPr>
                <w:rFonts w:hint="eastAsia" w:ascii="仿宋" w:hAnsi="仿宋" w:eastAsia="仿宋" w:cs="仿宋"/>
                <w:b/>
                <w:bCs/>
                <w:color w:val="auto"/>
                <w:szCs w:val="21"/>
                <w:highlight w:val="none"/>
              </w:rPr>
              <w:t>[客观分]</w:t>
            </w:r>
            <w:r>
              <w:rPr>
                <w:rFonts w:hint="eastAsia" w:ascii="仿宋" w:hAnsi="仿宋" w:eastAsia="仿宋" w:cs="仿宋"/>
                <w:color w:val="auto"/>
                <w:szCs w:val="21"/>
                <w:highlight w:val="none"/>
              </w:rPr>
              <w:t>响应产品属于财政部、发展改革委公布的“节能产品政府采购品目清单”范围且具有国家确定的认证机构出具的处于有效期之内的节能产品认证证书（最高</w:t>
            </w:r>
            <w:r>
              <w:rPr>
                <w:rFonts w:hint="eastAsia" w:ascii="仿宋" w:hAnsi="仿宋" w:eastAsia="仿宋" w:cs="仿宋"/>
                <w:color w:val="auto"/>
                <w:szCs w:val="21"/>
                <w:highlight w:val="none"/>
                <w:lang w:val="en-US" w:eastAsia="zh-CN"/>
              </w:rPr>
              <w:t>0.5</w:t>
            </w:r>
            <w:r>
              <w:rPr>
                <w:rFonts w:hint="eastAsia" w:ascii="仿宋" w:hAnsi="仿宋" w:eastAsia="仿宋" w:cs="仿宋"/>
                <w:color w:val="auto"/>
                <w:szCs w:val="21"/>
                <w:highlight w:val="none"/>
              </w:rPr>
              <w:t>分）：0.5分/样（以认证证书复印件为准）</w:t>
            </w:r>
          </w:p>
          <w:p>
            <w:pP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[客观分]</w:t>
            </w:r>
            <w:r>
              <w:rPr>
                <w:rFonts w:hint="eastAsia" w:ascii="仿宋" w:hAnsi="仿宋" w:eastAsia="仿宋" w:cs="仿宋"/>
                <w:color w:val="auto"/>
                <w:szCs w:val="21"/>
                <w:highlight w:val="none"/>
              </w:rPr>
              <w:t>响应产品属于财政部、生态环境部公布的“环境标志产品政府采购品目清单”范围且具有国家确定的认证机构出具的处于有效期之内的环境标志产品认证证书（最高</w:t>
            </w:r>
            <w:r>
              <w:rPr>
                <w:rFonts w:hint="eastAsia" w:ascii="仿宋" w:hAnsi="仿宋" w:eastAsia="仿宋" w:cs="仿宋"/>
                <w:color w:val="auto"/>
                <w:szCs w:val="21"/>
                <w:highlight w:val="none"/>
                <w:lang w:val="en-US" w:eastAsia="zh-CN"/>
              </w:rPr>
              <w:t>0.5</w:t>
            </w:r>
            <w:r>
              <w:rPr>
                <w:rFonts w:hint="eastAsia" w:ascii="仿宋" w:hAnsi="仿宋" w:eastAsia="仿宋" w:cs="仿宋"/>
                <w:color w:val="auto"/>
                <w:szCs w:val="21"/>
                <w:highlight w:val="none"/>
              </w:rPr>
              <w:t>分）：0.5分/样（以认证证书复印件为准）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28" w:type="dxa"/>
            <w:gridSpan w:val="3"/>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技术分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77" w:type="dxa"/>
            <w:vMerge w:val="restart"/>
            <w:vAlign w:val="center"/>
          </w:tcPr>
          <w:p>
            <w:pPr>
              <w:snapToGrid w:val="0"/>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技术方案</w:t>
            </w:r>
          </w:p>
        </w:tc>
        <w:tc>
          <w:tcPr>
            <w:tcW w:w="641" w:type="dxa"/>
            <w:vAlign w:val="center"/>
          </w:tcPr>
          <w:p>
            <w:pPr>
              <w:snapToGrid w:val="0"/>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3</w:t>
            </w:r>
          </w:p>
        </w:tc>
        <w:tc>
          <w:tcPr>
            <w:tcW w:w="7810" w:type="dxa"/>
            <w:vAlign w:val="center"/>
          </w:tcPr>
          <w:p>
            <w:pPr>
              <w:snapToGrid w:val="0"/>
              <w:rPr>
                <w:rFonts w:ascii="仿宋" w:hAnsi="仿宋" w:eastAsia="仿宋" w:cs="仿宋"/>
                <w:b/>
                <w:bCs/>
                <w:color w:val="auto"/>
                <w:szCs w:val="21"/>
                <w:highlight w:val="none"/>
              </w:rPr>
            </w:pPr>
            <w:r>
              <w:rPr>
                <w:rFonts w:hint="eastAsia" w:ascii="仿宋" w:hAnsi="仿宋" w:eastAsia="仿宋" w:cs="仿宋"/>
                <w:b/>
                <w:bCs/>
                <w:color w:val="auto"/>
                <w:szCs w:val="21"/>
                <w:highlight w:val="none"/>
              </w:rPr>
              <w:t>[主观分]设计构想：专业、针对采购需求及实际特点</w:t>
            </w:r>
          </w:p>
          <w:p>
            <w:pPr>
              <w:snapToGrid w:val="0"/>
              <w:rPr>
                <w:rFonts w:ascii="仿宋" w:hAnsi="仿宋" w:eastAsia="仿宋" w:cs="仿宋"/>
                <w:color w:val="auto"/>
                <w:szCs w:val="21"/>
                <w:highlight w:val="none"/>
              </w:rPr>
            </w:pPr>
            <w:r>
              <w:rPr>
                <w:rFonts w:hint="eastAsia" w:ascii="仿宋" w:hAnsi="仿宋" w:eastAsia="仿宋" w:cs="仿宋"/>
                <w:color w:val="auto"/>
                <w:szCs w:val="21"/>
                <w:highlight w:val="none"/>
              </w:rPr>
              <w:t>1.设计定位</w:t>
            </w:r>
            <w:r>
              <w:rPr>
                <w:rFonts w:hint="eastAsia" w:ascii="仿宋" w:hAnsi="仿宋" w:eastAsia="仿宋" w:cs="仿宋"/>
                <w:b/>
                <w:bCs/>
                <w:color w:val="auto"/>
                <w:szCs w:val="21"/>
                <w:highlight w:val="none"/>
              </w:rPr>
              <w:t>（评分范围：1,0.5,0）</w:t>
            </w:r>
          </w:p>
          <w:p>
            <w:pPr>
              <w:snapToGrid w:val="0"/>
              <w:rPr>
                <w:rFonts w:ascii="仿宋" w:hAnsi="仿宋" w:eastAsia="仿宋" w:cs="仿宋"/>
                <w:color w:val="auto"/>
                <w:szCs w:val="21"/>
                <w:highlight w:val="none"/>
              </w:rPr>
            </w:pPr>
            <w:r>
              <w:rPr>
                <w:rFonts w:hint="eastAsia" w:ascii="仿宋" w:hAnsi="仿宋" w:eastAsia="仿宋" w:cs="仿宋"/>
                <w:color w:val="auto"/>
                <w:szCs w:val="21"/>
                <w:highlight w:val="none"/>
              </w:rPr>
              <w:t>2.展陈形式策划</w:t>
            </w:r>
            <w:r>
              <w:rPr>
                <w:rFonts w:hint="eastAsia" w:ascii="仿宋" w:hAnsi="仿宋" w:eastAsia="仿宋" w:cs="仿宋"/>
                <w:b/>
                <w:bCs/>
                <w:color w:val="auto"/>
                <w:szCs w:val="21"/>
                <w:highlight w:val="none"/>
              </w:rPr>
              <w:t>（评分范围：1,0.5,0）</w:t>
            </w:r>
          </w:p>
          <w:p>
            <w:pPr>
              <w:snapToGrid w:val="0"/>
              <w:rPr>
                <w:rFonts w:ascii="仿宋" w:hAnsi="仿宋" w:eastAsia="仿宋" w:cs="仿宋"/>
                <w:b/>
                <w:bCs/>
                <w:color w:val="auto"/>
                <w:sz w:val="18"/>
                <w:szCs w:val="18"/>
                <w:highlight w:val="none"/>
              </w:rPr>
            </w:pPr>
            <w:r>
              <w:rPr>
                <w:rFonts w:hint="eastAsia" w:ascii="仿宋" w:hAnsi="仿宋" w:eastAsia="仿宋" w:cs="仿宋"/>
                <w:color w:val="auto"/>
                <w:szCs w:val="21"/>
                <w:highlight w:val="none"/>
              </w:rPr>
              <w:t>3.设计原则</w:t>
            </w:r>
            <w:r>
              <w:rPr>
                <w:rFonts w:hint="eastAsia" w:ascii="仿宋" w:hAnsi="仿宋" w:eastAsia="仿宋" w:cs="仿宋"/>
                <w:b/>
                <w:bCs/>
                <w:color w:val="auto"/>
                <w:szCs w:val="21"/>
                <w:highlight w:val="none"/>
              </w:rPr>
              <w:t>（评分范围：1,0.5,0）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77" w:type="dxa"/>
            <w:vMerge w:val="continue"/>
            <w:vAlign w:val="center"/>
          </w:tcPr>
          <w:p>
            <w:pPr>
              <w:jc w:val="center"/>
              <w:rPr>
                <w:rFonts w:ascii="仿宋" w:hAnsi="仿宋" w:eastAsia="仿宋" w:cs="仿宋"/>
                <w:b/>
                <w:bCs/>
                <w:color w:val="auto"/>
                <w:szCs w:val="21"/>
                <w:highlight w:val="none"/>
              </w:rPr>
            </w:pPr>
          </w:p>
        </w:tc>
        <w:tc>
          <w:tcPr>
            <w:tcW w:w="641"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3</w:t>
            </w:r>
          </w:p>
        </w:tc>
        <w:tc>
          <w:tcPr>
            <w:tcW w:w="7810" w:type="dxa"/>
            <w:vAlign w:val="center"/>
          </w:tcPr>
          <w:p>
            <w:pP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[主观分]布局设计（提供平面图）：专业、合理、针对采购需求及实际特点</w:t>
            </w:r>
          </w:p>
          <w:p>
            <w:pPr>
              <w:rPr>
                <w:rFonts w:ascii="仿宋" w:hAnsi="仿宋" w:eastAsia="仿宋" w:cs="仿宋"/>
                <w:color w:val="auto"/>
                <w:szCs w:val="21"/>
                <w:highlight w:val="none"/>
              </w:rPr>
            </w:pPr>
            <w:r>
              <w:rPr>
                <w:rFonts w:hint="eastAsia" w:ascii="仿宋" w:hAnsi="仿宋" w:eastAsia="仿宋" w:cs="仿宋"/>
                <w:color w:val="auto"/>
                <w:szCs w:val="21"/>
                <w:highlight w:val="none"/>
              </w:rPr>
              <w:t>1.布局策划（理念、逻辑）</w:t>
            </w:r>
            <w:r>
              <w:rPr>
                <w:rFonts w:hint="eastAsia" w:ascii="仿宋" w:hAnsi="仿宋" w:eastAsia="仿宋" w:cs="仿宋"/>
                <w:b/>
                <w:bCs/>
                <w:color w:val="auto"/>
                <w:szCs w:val="21"/>
                <w:highlight w:val="none"/>
              </w:rPr>
              <w:t>（评分范围：1.5,1,0.5,0）</w:t>
            </w:r>
          </w:p>
          <w:p>
            <w:pPr>
              <w:rPr>
                <w:rFonts w:ascii="仿宋" w:hAnsi="仿宋" w:eastAsia="仿宋" w:cs="仿宋"/>
                <w:b/>
                <w:bCs/>
                <w:color w:val="auto"/>
                <w:sz w:val="18"/>
                <w:szCs w:val="18"/>
                <w:highlight w:val="none"/>
              </w:rPr>
            </w:pPr>
            <w:r>
              <w:rPr>
                <w:rFonts w:hint="eastAsia" w:ascii="仿宋" w:hAnsi="仿宋" w:eastAsia="仿宋" w:cs="仿宋"/>
                <w:color w:val="auto"/>
                <w:szCs w:val="21"/>
                <w:highlight w:val="none"/>
              </w:rPr>
              <w:t>2.人流动线（完整展线、精炼展线）</w:t>
            </w:r>
            <w:r>
              <w:rPr>
                <w:rFonts w:hint="eastAsia" w:ascii="仿宋" w:hAnsi="仿宋" w:eastAsia="仿宋" w:cs="仿宋"/>
                <w:b/>
                <w:bCs/>
                <w:color w:val="auto"/>
                <w:szCs w:val="21"/>
                <w:highlight w:val="none"/>
              </w:rPr>
              <w:t>（评分范围：1.5,1,0.5,0）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77" w:type="dxa"/>
            <w:vMerge w:val="continue"/>
            <w:vAlign w:val="center"/>
          </w:tcPr>
          <w:p>
            <w:pPr>
              <w:jc w:val="center"/>
              <w:rPr>
                <w:rFonts w:ascii="仿宋" w:hAnsi="仿宋" w:eastAsia="仿宋" w:cs="仿宋"/>
                <w:b/>
                <w:bCs/>
                <w:color w:val="auto"/>
                <w:szCs w:val="21"/>
                <w:highlight w:val="none"/>
              </w:rPr>
            </w:pPr>
          </w:p>
        </w:tc>
        <w:tc>
          <w:tcPr>
            <w:tcW w:w="641"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2</w:t>
            </w:r>
          </w:p>
        </w:tc>
        <w:tc>
          <w:tcPr>
            <w:tcW w:w="7810" w:type="dxa"/>
            <w:vAlign w:val="center"/>
          </w:tcPr>
          <w:p>
            <w:pPr>
              <w:rPr>
                <w:rFonts w:ascii="仿宋" w:hAnsi="仿宋" w:eastAsia="仿宋" w:cs="仿宋"/>
                <w:b/>
                <w:bCs/>
                <w:color w:val="auto"/>
                <w:sz w:val="18"/>
                <w:szCs w:val="18"/>
                <w:highlight w:val="none"/>
              </w:rPr>
            </w:pPr>
            <w:r>
              <w:rPr>
                <w:rFonts w:hint="eastAsia" w:ascii="仿宋" w:hAnsi="仿宋" w:eastAsia="仿宋" w:cs="仿宋"/>
                <w:b/>
                <w:bCs/>
                <w:color w:val="auto"/>
                <w:szCs w:val="21"/>
                <w:highlight w:val="none"/>
              </w:rPr>
              <w:t>[主观分]</w:t>
            </w:r>
            <w:r>
              <w:rPr>
                <w:rFonts w:hint="eastAsia" w:ascii="仿宋" w:hAnsi="仿宋" w:eastAsia="仿宋" w:cs="仿宋"/>
                <w:color w:val="auto"/>
                <w:szCs w:val="21"/>
                <w:highlight w:val="none"/>
              </w:rPr>
              <w:t>LED大屏形象墙、前台</w:t>
            </w:r>
            <w:r>
              <w:rPr>
                <w:rFonts w:hint="eastAsia" w:ascii="仿宋" w:hAnsi="仿宋" w:eastAsia="仿宋" w:cs="仿宋"/>
                <w:color w:val="auto"/>
                <w:highlight w:val="none"/>
              </w:rPr>
              <w:t>设计（提供效果图）</w:t>
            </w:r>
            <w:r>
              <w:rPr>
                <w:rFonts w:hint="eastAsia" w:ascii="仿宋" w:hAnsi="仿宋" w:eastAsia="仿宋" w:cs="仿宋"/>
                <w:color w:val="auto"/>
                <w:szCs w:val="21"/>
                <w:highlight w:val="none"/>
              </w:rPr>
              <w:t>：专业、合理、针对采购需求及实际特点</w:t>
            </w:r>
            <w:r>
              <w:rPr>
                <w:rFonts w:hint="eastAsia" w:ascii="仿宋" w:hAnsi="仿宋" w:eastAsia="仿宋" w:cs="仿宋"/>
                <w:b/>
                <w:bCs/>
                <w:color w:val="auto"/>
                <w:szCs w:val="21"/>
                <w:highlight w:val="none"/>
              </w:rPr>
              <w:t>（评分范围：2,1.5,1,0.5,0）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77" w:type="dxa"/>
            <w:vMerge w:val="continue"/>
            <w:vAlign w:val="center"/>
          </w:tcPr>
          <w:p>
            <w:pPr>
              <w:jc w:val="center"/>
              <w:rPr>
                <w:rFonts w:ascii="仿宋" w:hAnsi="仿宋" w:eastAsia="仿宋" w:cs="仿宋"/>
                <w:b/>
                <w:bCs/>
                <w:color w:val="auto"/>
                <w:szCs w:val="21"/>
                <w:highlight w:val="none"/>
              </w:rPr>
            </w:pPr>
          </w:p>
        </w:tc>
        <w:tc>
          <w:tcPr>
            <w:tcW w:w="641"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6</w:t>
            </w:r>
          </w:p>
        </w:tc>
        <w:tc>
          <w:tcPr>
            <w:tcW w:w="7810" w:type="dxa"/>
            <w:vAlign w:val="center"/>
          </w:tcPr>
          <w:p>
            <w:pP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[主观分]算力技术发展史展陈设计</w:t>
            </w:r>
            <w:r>
              <w:rPr>
                <w:rFonts w:hint="eastAsia" w:ascii="仿宋" w:hAnsi="仿宋" w:eastAsia="仿宋" w:cs="仿宋"/>
                <w:b/>
                <w:bCs/>
                <w:color w:val="auto"/>
                <w:highlight w:val="none"/>
              </w:rPr>
              <w:t>（提供效果图）：</w:t>
            </w:r>
            <w:r>
              <w:rPr>
                <w:rFonts w:hint="eastAsia" w:ascii="仿宋" w:hAnsi="仿宋" w:eastAsia="仿宋" w:cs="仿宋"/>
                <w:b/>
                <w:bCs/>
                <w:color w:val="auto"/>
                <w:szCs w:val="21"/>
                <w:highlight w:val="none"/>
              </w:rPr>
              <w:t>专业、合理、针对采购需求及实际特点</w:t>
            </w:r>
          </w:p>
          <w:p>
            <w:pPr>
              <w:rPr>
                <w:rFonts w:ascii="仿宋" w:hAnsi="仿宋" w:eastAsia="仿宋" w:cs="仿宋"/>
                <w:color w:val="auto"/>
                <w:szCs w:val="21"/>
                <w:highlight w:val="none"/>
              </w:rPr>
            </w:pPr>
            <w:r>
              <w:rPr>
                <w:rFonts w:hint="eastAsia" w:ascii="仿宋" w:hAnsi="仿宋" w:eastAsia="仿宋" w:cs="仿宋"/>
                <w:color w:val="auto"/>
                <w:szCs w:val="21"/>
                <w:highlight w:val="none"/>
              </w:rPr>
              <w:t>1.设计风格与展区定位匹配</w:t>
            </w:r>
            <w:r>
              <w:rPr>
                <w:rFonts w:hint="eastAsia" w:ascii="仿宋" w:hAnsi="仿宋" w:eastAsia="仿宋" w:cs="仿宋"/>
                <w:b/>
                <w:bCs/>
                <w:color w:val="auto"/>
                <w:szCs w:val="21"/>
                <w:highlight w:val="none"/>
              </w:rPr>
              <w:t>（评分范围：2,1.5,1,0.5,0）</w:t>
            </w:r>
          </w:p>
          <w:p>
            <w:pPr>
              <w:rPr>
                <w:rFonts w:ascii="仿宋" w:hAnsi="仿宋" w:eastAsia="仿宋" w:cs="仿宋"/>
                <w:color w:val="auto"/>
                <w:szCs w:val="21"/>
                <w:highlight w:val="none"/>
              </w:rPr>
            </w:pPr>
            <w:r>
              <w:rPr>
                <w:rFonts w:hint="eastAsia" w:ascii="仿宋" w:hAnsi="仿宋" w:eastAsia="仿宋" w:cs="仿宋"/>
                <w:color w:val="auto"/>
                <w:szCs w:val="21"/>
                <w:highlight w:val="none"/>
              </w:rPr>
              <w:t>2.展陈内容与展区关键词呼应（重亮点营造和表现）</w:t>
            </w:r>
            <w:r>
              <w:rPr>
                <w:rFonts w:hint="eastAsia" w:ascii="仿宋" w:hAnsi="仿宋" w:eastAsia="仿宋" w:cs="仿宋"/>
                <w:b/>
                <w:bCs/>
                <w:color w:val="auto"/>
                <w:szCs w:val="21"/>
                <w:highlight w:val="none"/>
              </w:rPr>
              <w:t>（评分范围：2,1.5,1,0.5,0）</w:t>
            </w:r>
          </w:p>
          <w:p>
            <w:pPr>
              <w:rPr>
                <w:rFonts w:ascii="仿宋" w:hAnsi="仿宋" w:eastAsia="仿宋" w:cs="仿宋"/>
                <w:color w:val="auto"/>
                <w:szCs w:val="21"/>
                <w:highlight w:val="none"/>
              </w:rPr>
            </w:pPr>
            <w:r>
              <w:rPr>
                <w:rFonts w:hint="eastAsia" w:ascii="仿宋" w:hAnsi="仿宋" w:eastAsia="仿宋" w:cs="仿宋"/>
                <w:color w:val="auto"/>
                <w:szCs w:val="21"/>
                <w:highlight w:val="none"/>
              </w:rPr>
              <w:t>3.视觉元素表达（色调、审美）</w:t>
            </w:r>
            <w:r>
              <w:rPr>
                <w:rFonts w:hint="eastAsia" w:ascii="仿宋" w:hAnsi="仿宋" w:eastAsia="仿宋" w:cs="仿宋"/>
                <w:b/>
                <w:bCs/>
                <w:color w:val="auto"/>
                <w:szCs w:val="21"/>
                <w:highlight w:val="none"/>
              </w:rPr>
              <w:t>（评分范围：2,1.5,1,0.5,0）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77" w:type="dxa"/>
            <w:vMerge w:val="continue"/>
            <w:vAlign w:val="center"/>
          </w:tcPr>
          <w:p>
            <w:pPr>
              <w:jc w:val="center"/>
              <w:rPr>
                <w:rFonts w:ascii="仿宋" w:hAnsi="仿宋" w:eastAsia="仿宋" w:cs="仿宋"/>
                <w:b/>
                <w:bCs/>
                <w:color w:val="auto"/>
                <w:szCs w:val="21"/>
                <w:highlight w:val="none"/>
              </w:rPr>
            </w:pPr>
          </w:p>
        </w:tc>
        <w:tc>
          <w:tcPr>
            <w:tcW w:w="641"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6</w:t>
            </w:r>
          </w:p>
        </w:tc>
        <w:tc>
          <w:tcPr>
            <w:tcW w:w="7810" w:type="dxa"/>
            <w:vAlign w:val="center"/>
          </w:tcPr>
          <w:p>
            <w:pP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[主观分]新型算力中心总体情况展陈设计</w:t>
            </w:r>
            <w:r>
              <w:rPr>
                <w:rFonts w:hint="eastAsia" w:ascii="仿宋" w:hAnsi="仿宋" w:eastAsia="仿宋" w:cs="仿宋"/>
                <w:b/>
                <w:bCs/>
                <w:color w:val="auto"/>
                <w:highlight w:val="none"/>
              </w:rPr>
              <w:t>（提供效果图）：</w:t>
            </w:r>
            <w:r>
              <w:rPr>
                <w:rFonts w:hint="eastAsia" w:ascii="仿宋" w:hAnsi="仿宋" w:eastAsia="仿宋" w:cs="仿宋"/>
                <w:b/>
                <w:bCs/>
                <w:color w:val="auto"/>
                <w:szCs w:val="21"/>
                <w:highlight w:val="none"/>
              </w:rPr>
              <w:t>专业、合理、针对采购需求及实际特点</w:t>
            </w:r>
          </w:p>
          <w:p>
            <w:pPr>
              <w:rPr>
                <w:rFonts w:ascii="仿宋" w:hAnsi="仿宋" w:eastAsia="仿宋" w:cs="仿宋"/>
                <w:color w:val="auto"/>
                <w:szCs w:val="21"/>
                <w:highlight w:val="none"/>
              </w:rPr>
            </w:pPr>
            <w:r>
              <w:rPr>
                <w:rFonts w:hint="eastAsia" w:ascii="仿宋" w:hAnsi="仿宋" w:eastAsia="仿宋" w:cs="仿宋"/>
                <w:color w:val="auto"/>
                <w:szCs w:val="21"/>
                <w:highlight w:val="none"/>
              </w:rPr>
              <w:t>1.设计风格与展区定位匹配</w:t>
            </w:r>
            <w:r>
              <w:rPr>
                <w:rFonts w:hint="eastAsia" w:ascii="仿宋" w:hAnsi="仿宋" w:eastAsia="仿宋" w:cs="仿宋"/>
                <w:b/>
                <w:bCs/>
                <w:color w:val="auto"/>
                <w:szCs w:val="21"/>
                <w:highlight w:val="none"/>
              </w:rPr>
              <w:t>（评分范围：2,1.5,1,0.5,0）</w:t>
            </w:r>
          </w:p>
          <w:p>
            <w:pPr>
              <w:rPr>
                <w:rFonts w:ascii="仿宋" w:hAnsi="仿宋" w:eastAsia="仿宋" w:cs="仿宋"/>
                <w:color w:val="auto"/>
                <w:szCs w:val="21"/>
                <w:highlight w:val="none"/>
              </w:rPr>
            </w:pPr>
            <w:r>
              <w:rPr>
                <w:rFonts w:hint="eastAsia" w:ascii="仿宋" w:hAnsi="仿宋" w:eastAsia="仿宋" w:cs="仿宋"/>
                <w:color w:val="auto"/>
                <w:szCs w:val="21"/>
                <w:highlight w:val="none"/>
              </w:rPr>
              <w:t>2.展陈内容与展区关键词呼应（重亮点营造和表现）</w:t>
            </w:r>
            <w:r>
              <w:rPr>
                <w:rFonts w:hint="eastAsia" w:ascii="仿宋" w:hAnsi="仿宋" w:eastAsia="仿宋" w:cs="仿宋"/>
                <w:b/>
                <w:bCs/>
                <w:color w:val="auto"/>
                <w:szCs w:val="21"/>
                <w:highlight w:val="none"/>
              </w:rPr>
              <w:t>（评分范围：2,1.5,1,0.5,0）</w:t>
            </w:r>
          </w:p>
          <w:p>
            <w:pPr>
              <w:rPr>
                <w:rFonts w:ascii="仿宋" w:hAnsi="仿宋" w:eastAsia="仿宋" w:cs="仿宋"/>
                <w:color w:val="auto"/>
                <w:szCs w:val="21"/>
                <w:highlight w:val="none"/>
              </w:rPr>
            </w:pPr>
            <w:r>
              <w:rPr>
                <w:rFonts w:hint="eastAsia" w:ascii="仿宋" w:hAnsi="仿宋" w:eastAsia="仿宋" w:cs="仿宋"/>
                <w:color w:val="auto"/>
                <w:szCs w:val="21"/>
                <w:highlight w:val="none"/>
              </w:rPr>
              <w:t>3.视觉元素表达（色调、审美）</w:t>
            </w:r>
            <w:r>
              <w:rPr>
                <w:rFonts w:hint="eastAsia" w:ascii="仿宋" w:hAnsi="仿宋" w:eastAsia="仿宋" w:cs="仿宋"/>
                <w:b/>
                <w:bCs/>
                <w:color w:val="auto"/>
                <w:szCs w:val="21"/>
                <w:highlight w:val="none"/>
              </w:rPr>
              <w:t>（评分范围：2,1.5,1,0.5,0）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77" w:type="dxa"/>
            <w:vMerge w:val="continue"/>
            <w:vAlign w:val="center"/>
          </w:tcPr>
          <w:p>
            <w:pPr>
              <w:jc w:val="center"/>
              <w:rPr>
                <w:rFonts w:ascii="仿宋" w:hAnsi="仿宋" w:eastAsia="仿宋" w:cs="仿宋"/>
                <w:b/>
                <w:bCs/>
                <w:color w:val="auto"/>
                <w:szCs w:val="21"/>
                <w:highlight w:val="none"/>
              </w:rPr>
            </w:pPr>
          </w:p>
        </w:tc>
        <w:tc>
          <w:tcPr>
            <w:tcW w:w="641"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6</w:t>
            </w:r>
          </w:p>
        </w:tc>
        <w:tc>
          <w:tcPr>
            <w:tcW w:w="7810" w:type="dxa"/>
            <w:vAlign w:val="center"/>
          </w:tcPr>
          <w:p>
            <w:pP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[主观分]万卡智算集群展陈设计</w:t>
            </w:r>
            <w:r>
              <w:rPr>
                <w:rFonts w:hint="eastAsia" w:ascii="仿宋" w:hAnsi="仿宋" w:eastAsia="仿宋" w:cs="仿宋"/>
                <w:b/>
                <w:bCs/>
                <w:color w:val="auto"/>
                <w:highlight w:val="none"/>
              </w:rPr>
              <w:t>（提供效果图）：</w:t>
            </w:r>
            <w:r>
              <w:rPr>
                <w:rFonts w:hint="eastAsia" w:ascii="仿宋" w:hAnsi="仿宋" w:eastAsia="仿宋" w:cs="仿宋"/>
                <w:b/>
                <w:bCs/>
                <w:color w:val="auto"/>
                <w:szCs w:val="21"/>
                <w:highlight w:val="none"/>
              </w:rPr>
              <w:t>专业、合理、针对采购需求及实际特点</w:t>
            </w:r>
          </w:p>
          <w:p>
            <w:pPr>
              <w:rPr>
                <w:rFonts w:ascii="仿宋" w:hAnsi="仿宋" w:eastAsia="仿宋" w:cs="仿宋"/>
                <w:color w:val="auto"/>
                <w:szCs w:val="21"/>
                <w:highlight w:val="none"/>
              </w:rPr>
            </w:pPr>
            <w:r>
              <w:rPr>
                <w:rFonts w:hint="eastAsia" w:ascii="仿宋" w:hAnsi="仿宋" w:eastAsia="仿宋" w:cs="仿宋"/>
                <w:color w:val="auto"/>
                <w:szCs w:val="21"/>
                <w:highlight w:val="none"/>
              </w:rPr>
              <w:t>1.设计风格与展区定位匹配</w:t>
            </w:r>
            <w:r>
              <w:rPr>
                <w:rFonts w:hint="eastAsia" w:ascii="仿宋" w:hAnsi="仿宋" w:eastAsia="仿宋" w:cs="仿宋"/>
                <w:b/>
                <w:bCs/>
                <w:color w:val="auto"/>
                <w:szCs w:val="21"/>
                <w:highlight w:val="none"/>
              </w:rPr>
              <w:t>（评分范围：2,1.5,1,0.5,0）</w:t>
            </w:r>
          </w:p>
          <w:p>
            <w:pPr>
              <w:rPr>
                <w:rFonts w:ascii="仿宋" w:hAnsi="仿宋" w:eastAsia="仿宋" w:cs="仿宋"/>
                <w:color w:val="auto"/>
                <w:szCs w:val="21"/>
                <w:highlight w:val="none"/>
              </w:rPr>
            </w:pPr>
            <w:r>
              <w:rPr>
                <w:rFonts w:hint="eastAsia" w:ascii="仿宋" w:hAnsi="仿宋" w:eastAsia="仿宋" w:cs="仿宋"/>
                <w:color w:val="auto"/>
                <w:szCs w:val="21"/>
                <w:highlight w:val="none"/>
              </w:rPr>
              <w:t>2.展陈内容与展区关键词呼应（重亮点营造和表现）</w:t>
            </w:r>
            <w:r>
              <w:rPr>
                <w:rFonts w:hint="eastAsia" w:ascii="仿宋" w:hAnsi="仿宋" w:eastAsia="仿宋" w:cs="仿宋"/>
                <w:b/>
                <w:bCs/>
                <w:color w:val="auto"/>
                <w:szCs w:val="21"/>
                <w:highlight w:val="none"/>
              </w:rPr>
              <w:t>（评分范围：2,1.5,1,0.5,0）</w:t>
            </w:r>
          </w:p>
          <w:p>
            <w:pPr>
              <w:rPr>
                <w:rFonts w:ascii="仿宋" w:hAnsi="仿宋" w:eastAsia="仿宋" w:cs="仿宋"/>
                <w:color w:val="auto"/>
                <w:szCs w:val="21"/>
                <w:highlight w:val="none"/>
              </w:rPr>
            </w:pPr>
            <w:r>
              <w:rPr>
                <w:rFonts w:hint="eastAsia" w:ascii="仿宋" w:hAnsi="仿宋" w:eastAsia="仿宋" w:cs="仿宋"/>
                <w:color w:val="auto"/>
                <w:szCs w:val="21"/>
                <w:highlight w:val="none"/>
              </w:rPr>
              <w:t>3.视觉元素表达（色调、审美）</w:t>
            </w:r>
            <w:r>
              <w:rPr>
                <w:rFonts w:hint="eastAsia" w:ascii="仿宋" w:hAnsi="仿宋" w:eastAsia="仿宋" w:cs="仿宋"/>
                <w:b/>
                <w:bCs/>
                <w:color w:val="auto"/>
                <w:szCs w:val="21"/>
                <w:highlight w:val="none"/>
              </w:rPr>
              <w:t>（评分范围：2,1.5,1,0.5,0）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77" w:type="dxa"/>
            <w:vMerge w:val="continue"/>
            <w:vAlign w:val="center"/>
          </w:tcPr>
          <w:p>
            <w:pPr>
              <w:jc w:val="center"/>
              <w:rPr>
                <w:rFonts w:ascii="仿宋" w:hAnsi="仿宋" w:eastAsia="仿宋" w:cs="仿宋"/>
                <w:b/>
                <w:bCs/>
                <w:color w:val="auto"/>
                <w:szCs w:val="21"/>
                <w:highlight w:val="none"/>
              </w:rPr>
            </w:pPr>
          </w:p>
        </w:tc>
        <w:tc>
          <w:tcPr>
            <w:tcW w:w="641"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6</w:t>
            </w:r>
          </w:p>
        </w:tc>
        <w:tc>
          <w:tcPr>
            <w:tcW w:w="7810" w:type="dxa"/>
            <w:vAlign w:val="center"/>
          </w:tcPr>
          <w:p>
            <w:pP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[主观分]高效能计算系统展陈设计</w:t>
            </w:r>
            <w:r>
              <w:rPr>
                <w:rFonts w:hint="eastAsia" w:ascii="仿宋" w:hAnsi="仿宋" w:eastAsia="仿宋" w:cs="仿宋"/>
                <w:b/>
                <w:bCs/>
                <w:color w:val="auto"/>
                <w:highlight w:val="none"/>
              </w:rPr>
              <w:t>（提供效果图）：</w:t>
            </w:r>
            <w:r>
              <w:rPr>
                <w:rFonts w:hint="eastAsia" w:ascii="仿宋" w:hAnsi="仿宋" w:eastAsia="仿宋" w:cs="仿宋"/>
                <w:b/>
                <w:bCs/>
                <w:color w:val="auto"/>
                <w:szCs w:val="21"/>
                <w:highlight w:val="none"/>
              </w:rPr>
              <w:t>专业、合理、针对采购需求及实际特点</w:t>
            </w:r>
          </w:p>
          <w:p>
            <w:pPr>
              <w:rPr>
                <w:rFonts w:ascii="仿宋" w:hAnsi="仿宋" w:eastAsia="仿宋" w:cs="仿宋"/>
                <w:color w:val="auto"/>
                <w:szCs w:val="21"/>
                <w:highlight w:val="none"/>
              </w:rPr>
            </w:pPr>
            <w:r>
              <w:rPr>
                <w:rFonts w:hint="eastAsia" w:ascii="仿宋" w:hAnsi="仿宋" w:eastAsia="仿宋" w:cs="仿宋"/>
                <w:color w:val="auto"/>
                <w:szCs w:val="21"/>
                <w:highlight w:val="none"/>
              </w:rPr>
              <w:t>1.设计风格与展区定位匹配</w:t>
            </w:r>
            <w:r>
              <w:rPr>
                <w:rFonts w:hint="eastAsia" w:ascii="仿宋" w:hAnsi="仿宋" w:eastAsia="仿宋" w:cs="仿宋"/>
                <w:b/>
                <w:bCs/>
                <w:color w:val="auto"/>
                <w:szCs w:val="21"/>
                <w:highlight w:val="none"/>
              </w:rPr>
              <w:t>（评分范围：2,1.5,1,0.5,0）</w:t>
            </w:r>
          </w:p>
          <w:p>
            <w:pPr>
              <w:rPr>
                <w:rFonts w:ascii="仿宋" w:hAnsi="仿宋" w:eastAsia="仿宋" w:cs="仿宋"/>
                <w:color w:val="auto"/>
                <w:szCs w:val="21"/>
                <w:highlight w:val="none"/>
              </w:rPr>
            </w:pPr>
            <w:r>
              <w:rPr>
                <w:rFonts w:hint="eastAsia" w:ascii="仿宋" w:hAnsi="仿宋" w:eastAsia="仿宋" w:cs="仿宋"/>
                <w:color w:val="auto"/>
                <w:szCs w:val="21"/>
                <w:highlight w:val="none"/>
              </w:rPr>
              <w:t>2.展陈内容与展区关键词呼应（重亮点营造和表现）</w:t>
            </w:r>
            <w:r>
              <w:rPr>
                <w:rFonts w:hint="eastAsia" w:ascii="仿宋" w:hAnsi="仿宋" w:eastAsia="仿宋" w:cs="仿宋"/>
                <w:b/>
                <w:bCs/>
                <w:color w:val="auto"/>
                <w:szCs w:val="21"/>
                <w:highlight w:val="none"/>
              </w:rPr>
              <w:t>（评分范围：2,1.5,1,0.5,0）</w:t>
            </w:r>
          </w:p>
          <w:p>
            <w:pPr>
              <w:rPr>
                <w:rFonts w:ascii="仿宋" w:hAnsi="仿宋" w:eastAsia="仿宋" w:cs="仿宋"/>
                <w:color w:val="auto"/>
                <w:szCs w:val="21"/>
                <w:highlight w:val="none"/>
              </w:rPr>
            </w:pPr>
            <w:r>
              <w:rPr>
                <w:rFonts w:hint="eastAsia" w:ascii="仿宋" w:hAnsi="仿宋" w:eastAsia="仿宋" w:cs="仿宋"/>
                <w:color w:val="auto"/>
                <w:szCs w:val="21"/>
                <w:highlight w:val="none"/>
              </w:rPr>
              <w:t>3.视觉元素表达（色调、审美）</w:t>
            </w:r>
            <w:r>
              <w:rPr>
                <w:rFonts w:hint="eastAsia" w:ascii="仿宋" w:hAnsi="仿宋" w:eastAsia="仿宋" w:cs="仿宋"/>
                <w:b/>
                <w:bCs/>
                <w:color w:val="auto"/>
                <w:szCs w:val="21"/>
                <w:highlight w:val="none"/>
              </w:rPr>
              <w:t>（评分范围：2,1.5,1,0.5,0）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77" w:type="dxa"/>
            <w:vMerge w:val="continue"/>
            <w:vAlign w:val="center"/>
          </w:tcPr>
          <w:p>
            <w:pPr>
              <w:jc w:val="center"/>
              <w:rPr>
                <w:rFonts w:ascii="仿宋" w:hAnsi="仿宋" w:eastAsia="仿宋" w:cs="仿宋"/>
                <w:b/>
                <w:bCs/>
                <w:color w:val="auto"/>
                <w:szCs w:val="21"/>
                <w:highlight w:val="none"/>
              </w:rPr>
            </w:pPr>
          </w:p>
        </w:tc>
        <w:tc>
          <w:tcPr>
            <w:tcW w:w="641"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6</w:t>
            </w:r>
          </w:p>
        </w:tc>
        <w:tc>
          <w:tcPr>
            <w:tcW w:w="7810" w:type="dxa"/>
            <w:vAlign w:val="center"/>
          </w:tcPr>
          <w:p>
            <w:pP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[主观分]智能计算赋能创新变革展陈设计</w:t>
            </w:r>
            <w:r>
              <w:rPr>
                <w:rFonts w:hint="eastAsia" w:ascii="仿宋" w:hAnsi="仿宋" w:eastAsia="仿宋" w:cs="仿宋"/>
                <w:b/>
                <w:bCs/>
                <w:color w:val="auto"/>
                <w:highlight w:val="none"/>
              </w:rPr>
              <w:t>（提供效果图）：</w:t>
            </w:r>
            <w:r>
              <w:rPr>
                <w:rFonts w:hint="eastAsia" w:ascii="仿宋" w:hAnsi="仿宋" w:eastAsia="仿宋" w:cs="仿宋"/>
                <w:b/>
                <w:bCs/>
                <w:color w:val="auto"/>
                <w:szCs w:val="21"/>
                <w:highlight w:val="none"/>
              </w:rPr>
              <w:t>专业、合理、针对采购需求及实际特点</w:t>
            </w:r>
          </w:p>
          <w:p>
            <w:pPr>
              <w:rPr>
                <w:rFonts w:ascii="仿宋" w:hAnsi="仿宋" w:eastAsia="仿宋" w:cs="仿宋"/>
                <w:color w:val="auto"/>
                <w:szCs w:val="21"/>
                <w:highlight w:val="none"/>
              </w:rPr>
            </w:pPr>
            <w:r>
              <w:rPr>
                <w:rFonts w:hint="eastAsia" w:ascii="仿宋" w:hAnsi="仿宋" w:eastAsia="仿宋" w:cs="仿宋"/>
                <w:color w:val="auto"/>
                <w:szCs w:val="21"/>
                <w:highlight w:val="none"/>
              </w:rPr>
              <w:t>1.设计风格与展区定位匹配</w:t>
            </w:r>
            <w:r>
              <w:rPr>
                <w:rFonts w:hint="eastAsia" w:ascii="仿宋" w:hAnsi="仿宋" w:eastAsia="仿宋" w:cs="仿宋"/>
                <w:b/>
                <w:bCs/>
                <w:color w:val="auto"/>
                <w:szCs w:val="21"/>
                <w:highlight w:val="none"/>
              </w:rPr>
              <w:t>（评分范围：2,1.5,1,0.5,0）</w:t>
            </w:r>
          </w:p>
          <w:p>
            <w:pPr>
              <w:rPr>
                <w:rFonts w:ascii="仿宋" w:hAnsi="仿宋" w:eastAsia="仿宋" w:cs="仿宋"/>
                <w:color w:val="auto"/>
                <w:szCs w:val="21"/>
                <w:highlight w:val="none"/>
              </w:rPr>
            </w:pPr>
            <w:r>
              <w:rPr>
                <w:rFonts w:hint="eastAsia" w:ascii="仿宋" w:hAnsi="仿宋" w:eastAsia="仿宋" w:cs="仿宋"/>
                <w:color w:val="auto"/>
                <w:szCs w:val="21"/>
                <w:highlight w:val="none"/>
              </w:rPr>
              <w:t>2.展陈内容与展区关键词呼应（重亮点营造和表现）</w:t>
            </w:r>
            <w:r>
              <w:rPr>
                <w:rFonts w:hint="eastAsia" w:ascii="仿宋" w:hAnsi="仿宋" w:eastAsia="仿宋" w:cs="仿宋"/>
                <w:b/>
                <w:bCs/>
                <w:color w:val="auto"/>
                <w:szCs w:val="21"/>
                <w:highlight w:val="none"/>
              </w:rPr>
              <w:t>（评分范围：2,1.5,1,0.5,0）</w:t>
            </w:r>
          </w:p>
          <w:p>
            <w:pPr>
              <w:rPr>
                <w:rFonts w:ascii="仿宋" w:hAnsi="仿宋" w:eastAsia="仿宋" w:cs="仿宋"/>
                <w:color w:val="auto"/>
                <w:szCs w:val="21"/>
                <w:highlight w:val="none"/>
              </w:rPr>
            </w:pPr>
            <w:r>
              <w:rPr>
                <w:rFonts w:hint="eastAsia" w:ascii="仿宋" w:hAnsi="仿宋" w:eastAsia="仿宋" w:cs="仿宋"/>
                <w:color w:val="auto"/>
                <w:szCs w:val="21"/>
                <w:highlight w:val="none"/>
              </w:rPr>
              <w:t>3.视觉元素表达（色调、审美）</w:t>
            </w:r>
            <w:r>
              <w:rPr>
                <w:rFonts w:hint="eastAsia" w:ascii="仿宋" w:hAnsi="仿宋" w:eastAsia="仿宋" w:cs="仿宋"/>
                <w:b/>
                <w:bCs/>
                <w:color w:val="auto"/>
                <w:szCs w:val="21"/>
                <w:highlight w:val="none"/>
              </w:rPr>
              <w:t>（评分范围：2,1.5,1,0.5,0）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77" w:type="dxa"/>
            <w:vMerge w:val="continue"/>
            <w:vAlign w:val="center"/>
          </w:tcPr>
          <w:p>
            <w:pPr>
              <w:jc w:val="center"/>
              <w:rPr>
                <w:rFonts w:ascii="仿宋" w:hAnsi="仿宋" w:eastAsia="仿宋" w:cs="仿宋"/>
                <w:b/>
                <w:bCs/>
                <w:color w:val="auto"/>
                <w:szCs w:val="21"/>
                <w:highlight w:val="none"/>
              </w:rPr>
            </w:pPr>
          </w:p>
        </w:tc>
        <w:tc>
          <w:tcPr>
            <w:tcW w:w="641"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6</w:t>
            </w:r>
          </w:p>
        </w:tc>
        <w:tc>
          <w:tcPr>
            <w:tcW w:w="7810" w:type="dxa"/>
            <w:vAlign w:val="center"/>
          </w:tcPr>
          <w:p>
            <w:pP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[主观分]新型算力中心核心能力及应用全景图展陈设计</w:t>
            </w:r>
            <w:r>
              <w:rPr>
                <w:rFonts w:hint="eastAsia" w:ascii="仿宋" w:hAnsi="仿宋" w:eastAsia="仿宋" w:cs="仿宋"/>
                <w:b/>
                <w:bCs/>
                <w:color w:val="auto"/>
                <w:highlight w:val="none"/>
              </w:rPr>
              <w:t>（提供效果图）：</w:t>
            </w:r>
            <w:r>
              <w:rPr>
                <w:rFonts w:hint="eastAsia" w:ascii="仿宋" w:hAnsi="仿宋" w:eastAsia="仿宋" w:cs="仿宋"/>
                <w:b/>
                <w:bCs/>
                <w:color w:val="auto"/>
                <w:szCs w:val="21"/>
                <w:highlight w:val="none"/>
              </w:rPr>
              <w:t>专业、合理、针对采购需求及实际特点</w:t>
            </w:r>
          </w:p>
          <w:p>
            <w:pPr>
              <w:rPr>
                <w:rFonts w:ascii="仿宋" w:hAnsi="仿宋" w:eastAsia="仿宋" w:cs="仿宋"/>
                <w:color w:val="auto"/>
                <w:szCs w:val="21"/>
                <w:highlight w:val="none"/>
              </w:rPr>
            </w:pPr>
            <w:r>
              <w:rPr>
                <w:rFonts w:hint="eastAsia" w:ascii="仿宋" w:hAnsi="仿宋" w:eastAsia="仿宋" w:cs="仿宋"/>
                <w:color w:val="auto"/>
                <w:szCs w:val="21"/>
                <w:highlight w:val="none"/>
              </w:rPr>
              <w:t>1.设计风格与展区定位匹配</w:t>
            </w:r>
            <w:r>
              <w:rPr>
                <w:rFonts w:hint="eastAsia" w:ascii="仿宋" w:hAnsi="仿宋" w:eastAsia="仿宋" w:cs="仿宋"/>
                <w:b/>
                <w:bCs/>
                <w:color w:val="auto"/>
                <w:szCs w:val="21"/>
                <w:highlight w:val="none"/>
              </w:rPr>
              <w:t>（评分范围：2,1.5,1,0.5,0）</w:t>
            </w:r>
          </w:p>
          <w:p>
            <w:pPr>
              <w:rPr>
                <w:rFonts w:ascii="仿宋" w:hAnsi="仿宋" w:eastAsia="仿宋" w:cs="仿宋"/>
                <w:color w:val="auto"/>
                <w:szCs w:val="21"/>
                <w:highlight w:val="none"/>
              </w:rPr>
            </w:pPr>
            <w:r>
              <w:rPr>
                <w:rFonts w:hint="eastAsia" w:ascii="仿宋" w:hAnsi="仿宋" w:eastAsia="仿宋" w:cs="仿宋"/>
                <w:color w:val="auto"/>
                <w:szCs w:val="21"/>
                <w:highlight w:val="none"/>
              </w:rPr>
              <w:t>2.展陈内容与展区关键词呼应（重亮点营造和表现）</w:t>
            </w:r>
            <w:r>
              <w:rPr>
                <w:rFonts w:hint="eastAsia" w:ascii="仿宋" w:hAnsi="仿宋" w:eastAsia="仿宋" w:cs="仿宋"/>
                <w:b/>
                <w:bCs/>
                <w:color w:val="auto"/>
                <w:szCs w:val="21"/>
                <w:highlight w:val="none"/>
              </w:rPr>
              <w:t>（评分范围：2,1.5,1,0.5,0）</w:t>
            </w:r>
          </w:p>
          <w:p>
            <w:pPr>
              <w:rPr>
                <w:rFonts w:ascii="仿宋" w:hAnsi="仿宋" w:eastAsia="仿宋" w:cs="仿宋"/>
                <w:color w:val="auto"/>
                <w:szCs w:val="21"/>
                <w:highlight w:val="none"/>
              </w:rPr>
            </w:pPr>
            <w:r>
              <w:rPr>
                <w:rFonts w:hint="eastAsia" w:ascii="仿宋" w:hAnsi="仿宋" w:eastAsia="仿宋" w:cs="仿宋"/>
                <w:color w:val="auto"/>
                <w:szCs w:val="21"/>
                <w:highlight w:val="none"/>
              </w:rPr>
              <w:t>3.视觉元素表达（色调、审美）</w:t>
            </w:r>
            <w:r>
              <w:rPr>
                <w:rFonts w:hint="eastAsia" w:ascii="仿宋" w:hAnsi="仿宋" w:eastAsia="仿宋" w:cs="仿宋"/>
                <w:b/>
                <w:bCs/>
                <w:color w:val="auto"/>
                <w:szCs w:val="21"/>
                <w:highlight w:val="none"/>
              </w:rPr>
              <w:t>（评分范围：2,1.5,1,0.5,0）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77" w:type="dxa"/>
            <w:vMerge w:val="continue"/>
            <w:vAlign w:val="center"/>
          </w:tcPr>
          <w:p>
            <w:pPr>
              <w:jc w:val="center"/>
              <w:rPr>
                <w:rFonts w:ascii="仿宋" w:hAnsi="仿宋" w:eastAsia="仿宋" w:cs="仿宋"/>
                <w:b/>
                <w:bCs/>
                <w:color w:val="auto"/>
                <w:szCs w:val="21"/>
                <w:highlight w:val="none"/>
              </w:rPr>
            </w:pPr>
          </w:p>
        </w:tc>
        <w:tc>
          <w:tcPr>
            <w:tcW w:w="641"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2</w:t>
            </w:r>
          </w:p>
        </w:tc>
        <w:tc>
          <w:tcPr>
            <w:tcW w:w="7810" w:type="dxa"/>
            <w:vAlign w:val="center"/>
          </w:tcPr>
          <w:p>
            <w:pPr>
              <w:rPr>
                <w:rFonts w:ascii="仿宋" w:hAnsi="仿宋" w:eastAsia="仿宋" w:cs="仿宋"/>
                <w:color w:val="auto"/>
                <w:szCs w:val="21"/>
                <w:highlight w:val="none"/>
              </w:rPr>
            </w:pPr>
            <w:r>
              <w:rPr>
                <w:rFonts w:hint="eastAsia" w:ascii="仿宋" w:hAnsi="仿宋" w:eastAsia="仿宋" w:cs="仿宋"/>
                <w:b/>
                <w:bCs/>
                <w:color w:val="auto"/>
                <w:szCs w:val="21"/>
                <w:highlight w:val="none"/>
              </w:rPr>
              <w:t>[主观分]</w:t>
            </w:r>
            <w:r>
              <w:rPr>
                <w:rFonts w:hint="eastAsia" w:ascii="仿宋" w:hAnsi="仿宋" w:eastAsia="仿宋" w:cs="仿宋"/>
                <w:color w:val="auto"/>
                <w:szCs w:val="21"/>
                <w:highlight w:val="none"/>
              </w:rPr>
              <w:t>走廊氛围、走廊标识标语策划、设计：专业、合理、针对采购需求及实际特点</w:t>
            </w:r>
            <w:r>
              <w:rPr>
                <w:rFonts w:hint="eastAsia" w:ascii="仿宋" w:hAnsi="仿宋" w:eastAsia="仿宋" w:cs="仿宋"/>
                <w:b/>
                <w:bCs/>
                <w:color w:val="auto"/>
                <w:szCs w:val="21"/>
                <w:highlight w:val="none"/>
              </w:rPr>
              <w:t>（评分范围：2,1.5,1,0.5,0）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77" w:type="dxa"/>
            <w:vMerge w:val="continue"/>
            <w:vAlign w:val="center"/>
          </w:tcPr>
          <w:p>
            <w:pPr>
              <w:jc w:val="center"/>
              <w:rPr>
                <w:rFonts w:ascii="仿宋" w:hAnsi="仿宋" w:eastAsia="仿宋" w:cs="仿宋"/>
                <w:b/>
                <w:bCs/>
                <w:color w:val="auto"/>
                <w:szCs w:val="21"/>
                <w:highlight w:val="none"/>
              </w:rPr>
            </w:pPr>
          </w:p>
        </w:tc>
        <w:tc>
          <w:tcPr>
            <w:tcW w:w="641" w:type="dxa"/>
            <w:vAlign w:val="center"/>
          </w:tcPr>
          <w:p>
            <w:pPr>
              <w:jc w:val="center"/>
              <w:rPr>
                <w:rFonts w:hint="eastAsia" w:ascii="仿宋" w:hAnsi="仿宋" w:eastAsia="仿宋" w:cs="仿宋"/>
                <w:b/>
                <w:bCs/>
                <w:color w:val="auto"/>
                <w:szCs w:val="21"/>
                <w:highlight w:val="none"/>
                <w:lang w:eastAsia="zh-CN"/>
              </w:rPr>
            </w:pPr>
            <w:r>
              <w:rPr>
                <w:rFonts w:hint="eastAsia" w:ascii="仿宋" w:hAnsi="仿宋" w:eastAsia="仿宋" w:cs="仿宋"/>
                <w:b/>
                <w:bCs/>
                <w:color w:val="auto"/>
                <w:szCs w:val="21"/>
                <w:highlight w:val="none"/>
                <w:lang w:val="en-US" w:eastAsia="zh-CN"/>
              </w:rPr>
              <w:t>6</w:t>
            </w:r>
          </w:p>
        </w:tc>
        <w:tc>
          <w:tcPr>
            <w:tcW w:w="7810" w:type="dxa"/>
            <w:vAlign w:val="center"/>
          </w:tcPr>
          <w:p>
            <w:pP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[主观分]视频、互动多媒体影片策划：专业、合理、针对采购需求及实际特点</w:t>
            </w:r>
          </w:p>
          <w:p>
            <w:pPr>
              <w:rPr>
                <w:rFonts w:ascii="仿宋" w:hAnsi="仿宋" w:eastAsia="仿宋" w:cs="仿宋"/>
                <w:color w:val="auto"/>
                <w:szCs w:val="21"/>
                <w:highlight w:val="none"/>
              </w:rPr>
            </w:pPr>
            <w:r>
              <w:rPr>
                <w:rFonts w:hint="eastAsia" w:ascii="仿宋" w:hAnsi="仿宋" w:eastAsia="仿宋" w:cs="仿宋"/>
                <w:color w:val="auto"/>
                <w:szCs w:val="21"/>
                <w:highlight w:val="none"/>
              </w:rPr>
              <w:t>1.新型算力中心展陈内容介绍视频</w:t>
            </w:r>
            <w:r>
              <w:rPr>
                <w:rFonts w:hint="eastAsia" w:ascii="仿宋" w:hAnsi="仿宋" w:eastAsia="仿宋" w:cs="仿宋"/>
                <w:b/>
                <w:bCs/>
                <w:color w:val="auto"/>
                <w:szCs w:val="21"/>
                <w:highlight w:val="none"/>
              </w:rPr>
              <w:t>（评分范围：2,1.5,1,0.5,0）</w:t>
            </w:r>
          </w:p>
          <w:p>
            <w:pPr>
              <w:rPr>
                <w:rFonts w:ascii="仿宋" w:hAnsi="仿宋" w:eastAsia="仿宋" w:cs="仿宋"/>
                <w:color w:val="auto"/>
                <w:szCs w:val="21"/>
                <w:highlight w:val="none"/>
              </w:rPr>
            </w:pPr>
            <w:r>
              <w:rPr>
                <w:rFonts w:hint="eastAsia" w:ascii="仿宋" w:hAnsi="仿宋" w:eastAsia="仿宋" w:cs="仿宋"/>
                <w:color w:val="auto"/>
                <w:szCs w:val="21"/>
                <w:highlight w:val="none"/>
              </w:rPr>
              <w:t>2.国家新一代人工智能公共算力开放创新平台展陈内容介绍视频</w:t>
            </w:r>
            <w:r>
              <w:rPr>
                <w:rFonts w:hint="eastAsia" w:ascii="仿宋" w:hAnsi="仿宋" w:eastAsia="仿宋" w:cs="仿宋"/>
                <w:b/>
                <w:bCs/>
                <w:color w:val="auto"/>
                <w:szCs w:val="21"/>
                <w:highlight w:val="none"/>
              </w:rPr>
              <w:t>（评分范围：2,1.5,1,0.5,0）</w:t>
            </w:r>
          </w:p>
          <w:p>
            <w:pPr>
              <w:rPr>
                <w:rFonts w:ascii="仿宋" w:hAnsi="仿宋" w:eastAsia="仿宋" w:cs="仿宋"/>
                <w:b/>
                <w:bCs/>
                <w:color w:val="auto"/>
                <w:szCs w:val="21"/>
                <w:highlight w:val="none"/>
              </w:rPr>
            </w:pPr>
            <w:r>
              <w:rPr>
                <w:rFonts w:hint="eastAsia" w:ascii="仿宋" w:hAnsi="仿宋" w:eastAsia="仿宋" w:cs="仿宋"/>
                <w:color w:val="auto"/>
                <w:szCs w:val="21"/>
                <w:highlight w:val="none"/>
                <w:lang w:val="en-US" w:eastAsia="zh-CN"/>
              </w:rPr>
              <w:t>3</w:t>
            </w:r>
            <w:r>
              <w:rPr>
                <w:rFonts w:hint="eastAsia" w:ascii="仿宋" w:hAnsi="仿宋" w:eastAsia="仿宋" w:cs="仿宋"/>
                <w:color w:val="auto"/>
                <w:szCs w:val="21"/>
                <w:highlight w:val="none"/>
              </w:rPr>
              <w:t>.智能计算赋能创新变革互动多媒体影片</w:t>
            </w:r>
            <w:r>
              <w:rPr>
                <w:rFonts w:hint="eastAsia" w:ascii="仿宋" w:hAnsi="仿宋" w:eastAsia="仿宋" w:cs="仿宋"/>
                <w:b/>
                <w:bCs/>
                <w:color w:val="auto"/>
                <w:szCs w:val="21"/>
                <w:highlight w:val="none"/>
              </w:rPr>
              <w:t>（评分范围：2,1.5,1,0.5,0）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77"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项目实施</w:t>
            </w:r>
          </w:p>
        </w:tc>
        <w:tc>
          <w:tcPr>
            <w:tcW w:w="641" w:type="dxa"/>
            <w:vAlign w:val="center"/>
          </w:tcPr>
          <w:p>
            <w:pPr>
              <w:jc w:val="center"/>
              <w:rPr>
                <w:rFonts w:hint="eastAsia" w:ascii="仿宋" w:hAnsi="仿宋" w:eastAsia="仿宋" w:cs="仿宋"/>
                <w:b/>
                <w:bCs/>
                <w:color w:val="auto"/>
                <w:szCs w:val="21"/>
                <w:highlight w:val="none"/>
                <w:lang w:eastAsia="zh-CN"/>
              </w:rPr>
            </w:pPr>
            <w:r>
              <w:rPr>
                <w:rFonts w:hint="eastAsia" w:ascii="仿宋" w:hAnsi="仿宋" w:eastAsia="仿宋" w:cs="仿宋"/>
                <w:b/>
                <w:bCs/>
                <w:color w:val="auto"/>
                <w:szCs w:val="21"/>
                <w:highlight w:val="none"/>
                <w:lang w:val="en-US" w:eastAsia="zh-CN"/>
              </w:rPr>
              <w:t>2</w:t>
            </w:r>
          </w:p>
        </w:tc>
        <w:tc>
          <w:tcPr>
            <w:tcW w:w="7810" w:type="dxa"/>
            <w:vAlign w:val="center"/>
          </w:tcPr>
          <w:p>
            <w:pPr>
              <w:rPr>
                <w:rFonts w:ascii="仿宋" w:hAnsi="仿宋" w:eastAsia="仿宋" w:cs="仿宋"/>
                <w:color w:val="auto"/>
                <w:szCs w:val="21"/>
                <w:highlight w:val="none"/>
              </w:rPr>
            </w:pPr>
            <w:r>
              <w:rPr>
                <w:rFonts w:hint="eastAsia" w:ascii="仿宋" w:hAnsi="仿宋" w:eastAsia="仿宋" w:cs="仿宋"/>
                <w:b/>
                <w:bCs/>
                <w:color w:val="auto"/>
                <w:szCs w:val="21"/>
                <w:highlight w:val="none"/>
              </w:rPr>
              <w:t>[主观分]</w:t>
            </w:r>
            <w:r>
              <w:rPr>
                <w:rFonts w:hint="eastAsia" w:ascii="仿宋" w:hAnsi="仿宋" w:eastAsia="仿宋" w:cs="仿宋"/>
                <w:color w:val="auto"/>
                <w:szCs w:val="21"/>
                <w:highlight w:val="none"/>
              </w:rPr>
              <w:t>项目实施方案（总体设想、实施计划、设计与施工协调措施、施工重难点、新技术/新产品/新工艺/新材料应用）:专业、合理、针对采购需求及实际特点、有利于采购标的实现及合同履约</w:t>
            </w:r>
            <w:r>
              <w:rPr>
                <w:rFonts w:hint="eastAsia" w:ascii="仿宋" w:hAnsi="仿宋" w:eastAsia="仿宋" w:cs="仿宋"/>
                <w:b/>
                <w:bCs/>
                <w:color w:val="auto"/>
                <w:szCs w:val="21"/>
                <w:highlight w:val="none"/>
              </w:rPr>
              <w:t>（评分范围：2,1.5,1,0.5,0）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77"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保障措施</w:t>
            </w:r>
          </w:p>
        </w:tc>
        <w:tc>
          <w:tcPr>
            <w:tcW w:w="641" w:type="dxa"/>
            <w:vAlign w:val="center"/>
          </w:tcPr>
          <w:p>
            <w:pPr>
              <w:jc w:val="center"/>
              <w:rPr>
                <w:rFonts w:hint="eastAsia" w:ascii="仿宋" w:hAnsi="仿宋" w:eastAsia="仿宋" w:cs="仿宋"/>
                <w:b/>
                <w:bCs/>
                <w:color w:val="auto"/>
                <w:szCs w:val="21"/>
                <w:highlight w:val="none"/>
                <w:lang w:eastAsia="zh-CN"/>
              </w:rPr>
            </w:pPr>
            <w:r>
              <w:rPr>
                <w:rFonts w:hint="eastAsia" w:ascii="仿宋" w:hAnsi="仿宋" w:eastAsia="仿宋" w:cs="仿宋"/>
                <w:b/>
                <w:bCs/>
                <w:color w:val="auto"/>
                <w:szCs w:val="21"/>
                <w:highlight w:val="none"/>
                <w:lang w:val="en-US" w:eastAsia="zh-CN"/>
              </w:rPr>
              <w:t>2</w:t>
            </w:r>
          </w:p>
        </w:tc>
        <w:tc>
          <w:tcPr>
            <w:tcW w:w="7810" w:type="dxa"/>
            <w:vAlign w:val="center"/>
          </w:tcPr>
          <w:p>
            <w:pPr>
              <w:rPr>
                <w:rFonts w:ascii="仿宋" w:hAnsi="仿宋" w:eastAsia="仿宋" w:cs="仿宋"/>
                <w:color w:val="auto"/>
                <w:szCs w:val="21"/>
                <w:highlight w:val="none"/>
              </w:rPr>
            </w:pPr>
            <w:r>
              <w:rPr>
                <w:rFonts w:hint="eastAsia" w:ascii="仿宋" w:hAnsi="仿宋" w:eastAsia="仿宋" w:cs="仿宋"/>
                <w:b/>
                <w:bCs/>
                <w:color w:val="auto"/>
                <w:szCs w:val="21"/>
                <w:highlight w:val="none"/>
              </w:rPr>
              <w:t>[主观分]</w:t>
            </w:r>
            <w:r>
              <w:rPr>
                <w:rFonts w:hint="eastAsia" w:ascii="仿宋" w:hAnsi="仿宋" w:eastAsia="仿宋" w:cs="仿宋"/>
                <w:color w:val="auto"/>
                <w:szCs w:val="21"/>
                <w:highlight w:val="none"/>
              </w:rPr>
              <w:t>施工各阶段进度及施工用材料、半成品、外购件质量保证措施，安全文明施工及市政、市容、环保、消防等措施，服从采购人协调和统一管理及配合措施、特殊服务承诺：全面、专业、针对采购需求及实际特点、有利于采购标的实现及合同履约</w:t>
            </w:r>
            <w:r>
              <w:rPr>
                <w:rFonts w:hint="eastAsia" w:ascii="仿宋" w:hAnsi="仿宋" w:eastAsia="仿宋" w:cs="仿宋"/>
                <w:b/>
                <w:bCs/>
                <w:color w:val="auto"/>
                <w:szCs w:val="21"/>
                <w:highlight w:val="none"/>
              </w:rPr>
              <w:t>（评分范围：2,1.5,1,0.5,0）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77" w:type="dxa"/>
            <w:vAlign w:val="center"/>
          </w:tcPr>
          <w:p>
            <w:pPr>
              <w:snapToGrid w:val="0"/>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技术培训</w:t>
            </w:r>
          </w:p>
        </w:tc>
        <w:tc>
          <w:tcPr>
            <w:tcW w:w="641" w:type="dxa"/>
            <w:vAlign w:val="center"/>
          </w:tcPr>
          <w:p>
            <w:pPr>
              <w:snapToGrid w:val="0"/>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2</w:t>
            </w:r>
          </w:p>
        </w:tc>
        <w:tc>
          <w:tcPr>
            <w:tcW w:w="7810" w:type="dxa"/>
            <w:vAlign w:val="center"/>
          </w:tcPr>
          <w:p>
            <w:pPr>
              <w:snapToGrid w:val="0"/>
              <w:rPr>
                <w:rFonts w:ascii="仿宋" w:hAnsi="仿宋" w:eastAsia="仿宋" w:cs="仿宋"/>
                <w:color w:val="auto"/>
                <w:szCs w:val="21"/>
                <w:highlight w:val="none"/>
              </w:rPr>
            </w:pPr>
            <w:r>
              <w:rPr>
                <w:rFonts w:hint="eastAsia" w:ascii="仿宋" w:hAnsi="仿宋" w:eastAsia="仿宋" w:cs="仿宋"/>
                <w:b/>
                <w:bCs/>
                <w:color w:val="auto"/>
                <w:szCs w:val="21"/>
                <w:highlight w:val="none"/>
              </w:rPr>
              <w:t>[主观分]</w:t>
            </w:r>
            <w:r>
              <w:rPr>
                <w:rFonts w:hint="eastAsia" w:ascii="仿宋" w:hAnsi="仿宋" w:eastAsia="仿宋" w:cs="仿宋"/>
                <w:color w:val="auto"/>
                <w:szCs w:val="21"/>
                <w:highlight w:val="none"/>
              </w:rPr>
              <w:t>培训计划（包括培训流程、培训方式、培训对象、培训内容、培训日程等）：全面、针对采购需求及实际特点、有利于采购标的实现及合同履约</w:t>
            </w:r>
            <w:r>
              <w:rPr>
                <w:rFonts w:hint="eastAsia" w:ascii="仿宋" w:hAnsi="仿宋" w:eastAsia="仿宋" w:cs="仿宋"/>
                <w:b/>
                <w:bCs/>
                <w:color w:val="auto"/>
                <w:szCs w:val="21"/>
                <w:highlight w:val="none"/>
              </w:rPr>
              <w:t>（评分范围：2,1.5,1,0.5,0）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77" w:type="dxa"/>
            <w:vMerge w:val="restart"/>
            <w:vAlign w:val="center"/>
          </w:tcPr>
          <w:p>
            <w:pPr>
              <w:snapToGrid w:val="0"/>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售后服务</w:t>
            </w:r>
          </w:p>
        </w:tc>
        <w:tc>
          <w:tcPr>
            <w:tcW w:w="641" w:type="dxa"/>
            <w:vAlign w:val="center"/>
          </w:tcPr>
          <w:p>
            <w:pPr>
              <w:snapToGrid w:val="0"/>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2</w:t>
            </w:r>
          </w:p>
        </w:tc>
        <w:tc>
          <w:tcPr>
            <w:tcW w:w="7810" w:type="dxa"/>
            <w:vAlign w:val="center"/>
          </w:tcPr>
          <w:p>
            <w:pPr>
              <w:snapToGrid w:val="0"/>
              <w:rPr>
                <w:rFonts w:ascii="仿宋" w:hAnsi="仿宋" w:eastAsia="仿宋" w:cs="仿宋"/>
                <w:color w:val="auto"/>
                <w:szCs w:val="21"/>
                <w:highlight w:val="none"/>
              </w:rPr>
            </w:pPr>
            <w:r>
              <w:rPr>
                <w:rFonts w:hint="eastAsia" w:ascii="仿宋" w:hAnsi="仿宋" w:eastAsia="仿宋" w:cs="仿宋"/>
                <w:b/>
                <w:bCs/>
                <w:color w:val="auto"/>
                <w:szCs w:val="21"/>
                <w:highlight w:val="none"/>
              </w:rPr>
              <w:t>[主观分]</w:t>
            </w:r>
            <w:r>
              <w:rPr>
                <w:rFonts w:hint="eastAsia" w:ascii="仿宋" w:hAnsi="仿宋" w:eastAsia="仿宋" w:cs="仿宋"/>
                <w:color w:val="auto"/>
                <w:szCs w:val="21"/>
                <w:highlight w:val="none"/>
              </w:rPr>
              <w:t>售后服务方案（包括</w:t>
            </w:r>
            <w:r>
              <w:rPr>
                <w:rFonts w:hint="eastAsia" w:ascii="仿宋" w:hAnsi="仿宋" w:eastAsia="仿宋" w:cs="仿宋"/>
                <w:color w:val="auto"/>
                <w:szCs w:val="21"/>
                <w:highlight w:val="none"/>
                <w:lang w:eastAsia="zh-CN"/>
              </w:rPr>
              <w:t>服务机构、服务内容、服务承诺、响应时间、服务方式、人员配备、应急服务、质保期内重大活动期间现场保障服务承诺等</w:t>
            </w:r>
            <w:r>
              <w:rPr>
                <w:rFonts w:hint="eastAsia" w:ascii="仿宋" w:hAnsi="仿宋" w:eastAsia="仿宋" w:cs="仿宋"/>
                <w:color w:val="auto"/>
                <w:szCs w:val="21"/>
                <w:highlight w:val="none"/>
              </w:rPr>
              <w:t>等）：全面、针对采购需求及实际特点、有利于采购标的实现及合同履约</w:t>
            </w:r>
            <w:r>
              <w:rPr>
                <w:rFonts w:hint="eastAsia" w:ascii="仿宋" w:hAnsi="仿宋" w:eastAsia="仿宋" w:cs="仿宋"/>
                <w:b/>
                <w:bCs/>
                <w:color w:val="auto"/>
                <w:szCs w:val="21"/>
                <w:highlight w:val="none"/>
              </w:rPr>
              <w:t>（评分范围：2,1.5,1,0.5,0）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77" w:type="dxa"/>
            <w:vMerge w:val="continue"/>
            <w:vAlign w:val="center"/>
          </w:tcPr>
          <w:p>
            <w:pPr>
              <w:jc w:val="center"/>
              <w:rPr>
                <w:rFonts w:ascii="仿宋" w:hAnsi="仿宋" w:eastAsia="仿宋" w:cs="仿宋"/>
                <w:b/>
                <w:bCs/>
                <w:color w:val="auto"/>
                <w:szCs w:val="21"/>
                <w:highlight w:val="none"/>
              </w:rPr>
            </w:pPr>
          </w:p>
        </w:tc>
        <w:tc>
          <w:tcPr>
            <w:tcW w:w="641" w:type="dxa"/>
            <w:vAlign w:val="center"/>
          </w:tcPr>
          <w:p>
            <w:pPr>
              <w:snapToGrid w:val="0"/>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1</w:t>
            </w:r>
          </w:p>
        </w:tc>
        <w:tc>
          <w:tcPr>
            <w:tcW w:w="7810" w:type="dxa"/>
            <w:vAlign w:val="center"/>
          </w:tcPr>
          <w:p>
            <w:pPr>
              <w:snapToGrid w:val="0"/>
              <w:rPr>
                <w:rFonts w:ascii="仿宋" w:hAnsi="仿宋" w:eastAsia="仿宋" w:cs="仿宋"/>
                <w:color w:val="auto"/>
                <w:szCs w:val="21"/>
                <w:highlight w:val="none"/>
              </w:rPr>
            </w:pPr>
            <w:r>
              <w:rPr>
                <w:rFonts w:hint="eastAsia" w:ascii="仿宋" w:hAnsi="仿宋" w:eastAsia="仿宋" w:cs="仿宋"/>
                <w:b/>
                <w:bCs/>
                <w:color w:val="auto"/>
                <w:szCs w:val="21"/>
                <w:highlight w:val="none"/>
              </w:rPr>
              <w:t>[主观分]</w:t>
            </w:r>
            <w:r>
              <w:rPr>
                <w:rFonts w:hint="eastAsia" w:ascii="仿宋" w:hAnsi="仿宋" w:eastAsia="仿宋" w:cs="仿宋"/>
                <w:color w:val="auto"/>
                <w:szCs w:val="21"/>
                <w:highlight w:val="none"/>
              </w:rPr>
              <w:t>配件、附件、备品备件准备和保障措施、购买折扣：措施充分、折扣力度大且合理</w:t>
            </w:r>
            <w:r>
              <w:rPr>
                <w:rFonts w:hint="eastAsia" w:ascii="仿宋" w:hAnsi="仿宋" w:eastAsia="仿宋" w:cs="仿宋"/>
                <w:b/>
                <w:bCs/>
                <w:color w:val="auto"/>
                <w:szCs w:val="21"/>
                <w:highlight w:val="none"/>
              </w:rPr>
              <w:t>（评分范围：1,0.5,0）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77" w:type="dxa"/>
            <w:vAlign w:val="center"/>
          </w:tcPr>
          <w:p>
            <w:pPr>
              <w:adjustRightInd w:val="0"/>
              <w:snapToGrid w:val="0"/>
              <w:ind w:left="0" w:leftChars="0" w:right="0" w:rightChars="0" w:firstLine="0" w:firstLineChars="0"/>
              <w:jc w:val="center"/>
              <w:rPr>
                <w:rFonts w:hint="eastAsia" w:ascii="仿宋" w:hAnsi="仿宋" w:eastAsia="仿宋" w:cs="仿宋"/>
                <w:b/>
                <w:bCs/>
                <w:color w:val="auto"/>
                <w:szCs w:val="21"/>
                <w:highlight w:val="none"/>
                <w:lang w:val="en-US" w:eastAsia="zh-CN"/>
              </w:rPr>
            </w:pPr>
            <w:r>
              <w:rPr>
                <w:rFonts w:hint="eastAsia" w:ascii="仿宋" w:hAnsi="仿宋" w:eastAsia="仿宋" w:cs="仿宋"/>
                <w:b/>
                <w:bCs/>
                <w:color w:val="auto"/>
                <w:sz w:val="21"/>
                <w:szCs w:val="21"/>
                <w:highlight w:val="none"/>
                <w:lang w:val="en-US" w:eastAsia="zh-CN"/>
              </w:rPr>
              <w:t>方案讲解</w:t>
            </w:r>
          </w:p>
        </w:tc>
        <w:tc>
          <w:tcPr>
            <w:tcW w:w="641" w:type="dxa"/>
            <w:vAlign w:val="center"/>
          </w:tcPr>
          <w:p>
            <w:pPr>
              <w:jc w:val="center"/>
              <w:rPr>
                <w:rFonts w:hint="eastAsia" w:ascii="仿宋" w:hAnsi="仿宋" w:eastAsia="仿宋" w:cs="仿宋"/>
                <w:b/>
                <w:bCs/>
                <w:color w:val="auto"/>
                <w:szCs w:val="21"/>
                <w:highlight w:val="none"/>
              </w:rPr>
            </w:pPr>
            <w:r>
              <w:rPr>
                <w:rFonts w:hint="eastAsia" w:ascii="仿宋" w:hAnsi="仿宋" w:eastAsia="仿宋" w:cs="仿宋"/>
                <w:b/>
                <w:bCs/>
                <w:color w:val="auto"/>
                <w:szCs w:val="21"/>
                <w:highlight w:val="none"/>
                <w:lang w:val="en-US" w:eastAsia="zh-CN"/>
              </w:rPr>
              <w:t>5</w:t>
            </w:r>
          </w:p>
        </w:tc>
        <w:tc>
          <w:tcPr>
            <w:tcW w:w="7810" w:type="dxa"/>
            <w:vAlign w:val="center"/>
          </w:tcPr>
          <w:p>
            <w:pPr>
              <w:rPr>
                <w:rFonts w:hint="eastAsia" w:ascii="仿宋" w:hAnsi="仿宋" w:eastAsia="仿宋" w:cs="仿宋"/>
                <w:b w:val="0"/>
                <w:bCs w:val="0"/>
                <w:color w:val="auto"/>
                <w:szCs w:val="21"/>
                <w:highlight w:val="none"/>
                <w:lang w:val="en-US" w:eastAsia="zh-CN"/>
              </w:rPr>
            </w:pPr>
            <w:r>
              <w:rPr>
                <w:rFonts w:hint="eastAsia" w:ascii="仿宋" w:hAnsi="仿宋" w:eastAsia="仿宋" w:cs="仿宋"/>
                <w:b/>
                <w:bCs/>
                <w:color w:val="auto"/>
                <w:szCs w:val="21"/>
                <w:highlight w:val="none"/>
                <w:lang w:val="en-US" w:eastAsia="zh-CN"/>
              </w:rPr>
              <w:t>[</w:t>
            </w:r>
            <w:r>
              <w:rPr>
                <w:rFonts w:hint="eastAsia" w:ascii="仿宋" w:hAnsi="仿宋" w:eastAsia="仿宋" w:cs="仿宋"/>
                <w:b/>
                <w:bCs/>
                <w:color w:val="auto"/>
                <w:szCs w:val="21"/>
                <w:highlight w:val="none"/>
              </w:rPr>
              <w:t>主观分</w:t>
            </w:r>
            <w:r>
              <w:rPr>
                <w:rFonts w:hint="eastAsia" w:ascii="仿宋" w:hAnsi="仿宋" w:eastAsia="仿宋" w:cs="仿宋"/>
                <w:b/>
                <w:bCs/>
                <w:color w:val="auto"/>
                <w:szCs w:val="21"/>
                <w:highlight w:val="none"/>
                <w:lang w:val="en-US" w:eastAsia="zh-CN"/>
              </w:rPr>
              <w:t>]</w:t>
            </w:r>
            <w:r>
              <w:rPr>
                <w:rFonts w:hint="eastAsia" w:ascii="仿宋" w:hAnsi="仿宋" w:eastAsia="仿宋" w:cs="仿宋"/>
                <w:b w:val="0"/>
                <w:bCs w:val="0"/>
                <w:color w:val="auto"/>
                <w:szCs w:val="21"/>
                <w:highlight w:val="none"/>
                <w:lang w:val="en-US" w:eastAsia="zh-CN"/>
              </w:rPr>
              <w:t>方案讲解内容：全面、重亮点突出、逻辑思路清晰（未提供讲解不得分）</w:t>
            </w:r>
          </w:p>
          <w:p>
            <w:pPr>
              <w:rPr>
                <w:rFonts w:hint="eastAsia" w:ascii="仿宋" w:hAnsi="仿宋" w:eastAsia="仿宋" w:cs="仿宋"/>
                <w:b/>
                <w:bCs/>
                <w:color w:val="auto"/>
                <w:szCs w:val="21"/>
                <w:highlight w:val="none"/>
                <w:lang w:val="en-US" w:eastAsia="zh-CN"/>
              </w:rPr>
            </w:pPr>
            <w:r>
              <w:rPr>
                <w:rFonts w:hint="eastAsia" w:ascii="仿宋" w:hAnsi="仿宋" w:eastAsia="仿宋" w:cs="仿宋"/>
                <w:b w:val="0"/>
                <w:bCs w:val="0"/>
                <w:color w:val="auto"/>
                <w:szCs w:val="21"/>
                <w:highlight w:val="none"/>
                <w:lang w:val="en-US" w:eastAsia="zh-CN"/>
              </w:rPr>
              <w:t>1.策划、构想</w:t>
            </w:r>
            <w:r>
              <w:rPr>
                <w:rFonts w:hint="eastAsia" w:ascii="仿宋" w:hAnsi="仿宋" w:eastAsia="仿宋" w:cs="仿宋"/>
                <w:b/>
                <w:bCs/>
                <w:color w:val="auto"/>
                <w:szCs w:val="21"/>
                <w:highlight w:val="none"/>
                <w:lang w:eastAsia="zh-CN"/>
              </w:rPr>
              <w:t>（</w:t>
            </w:r>
            <w:r>
              <w:rPr>
                <w:rFonts w:hint="eastAsia" w:ascii="仿宋" w:hAnsi="仿宋" w:eastAsia="仿宋" w:cs="仿宋"/>
                <w:b/>
                <w:bCs/>
                <w:color w:val="auto"/>
                <w:szCs w:val="21"/>
                <w:highlight w:val="none"/>
                <w:lang w:val="en-US" w:eastAsia="zh-CN"/>
              </w:rPr>
              <w:t>评分范围：2,1.5,1,0.5,0）</w:t>
            </w:r>
          </w:p>
          <w:p>
            <w:pPr>
              <w:rPr>
                <w:rFonts w:hint="eastAsia" w:ascii="仿宋" w:hAnsi="仿宋" w:eastAsia="仿宋" w:cs="仿宋"/>
                <w:b/>
                <w:bCs/>
                <w:color w:val="auto"/>
                <w:szCs w:val="21"/>
                <w:highlight w:val="none"/>
              </w:rPr>
            </w:pPr>
            <w:r>
              <w:rPr>
                <w:rFonts w:hint="eastAsia" w:ascii="仿宋" w:hAnsi="仿宋" w:eastAsia="仿宋" w:cs="仿宋"/>
                <w:b w:val="0"/>
                <w:bCs w:val="0"/>
                <w:color w:val="auto"/>
                <w:szCs w:val="21"/>
                <w:highlight w:val="none"/>
                <w:lang w:val="en-US" w:eastAsia="zh-CN"/>
              </w:rPr>
              <w:t>2.布局、展陈设计</w:t>
            </w:r>
            <w:r>
              <w:rPr>
                <w:rFonts w:hint="eastAsia" w:ascii="仿宋" w:hAnsi="仿宋" w:eastAsia="仿宋" w:cs="仿宋"/>
                <w:b/>
                <w:bCs/>
                <w:color w:val="auto"/>
                <w:szCs w:val="21"/>
                <w:highlight w:val="none"/>
                <w:lang w:val="en-US" w:eastAsia="zh-CN"/>
              </w:rPr>
              <w:t>（评分范围：3,2,1,0）</w:t>
            </w:r>
          </w:p>
        </w:tc>
      </w:tr>
    </w:tbl>
    <w:p>
      <w:pPr>
        <w:adjustRightInd w:val="0"/>
        <w:snapToGrid w:val="0"/>
        <w:spacing w:line="288" w:lineRule="auto"/>
        <w:rPr>
          <w:rFonts w:ascii="仿宋" w:hAnsi="仿宋" w:eastAsia="仿宋" w:cs="仿宋"/>
          <w:b/>
          <w:color w:val="auto"/>
          <w:spacing w:val="-6"/>
          <w:szCs w:val="21"/>
          <w:highlight w:val="none"/>
        </w:rPr>
      </w:pPr>
    </w:p>
    <w:p>
      <w:pPr>
        <w:adjustRightInd w:val="0"/>
        <w:snapToGrid w:val="0"/>
        <w:spacing w:line="288" w:lineRule="auto"/>
        <w:jc w:val="left"/>
        <w:rPr>
          <w:rFonts w:ascii="仿宋" w:hAnsi="仿宋" w:eastAsia="仿宋" w:cs="仿宋"/>
          <w:b/>
          <w:color w:val="auto"/>
          <w:sz w:val="18"/>
          <w:szCs w:val="18"/>
          <w:highlight w:val="none"/>
        </w:rPr>
      </w:pPr>
      <w:r>
        <w:rPr>
          <w:rFonts w:hint="eastAsia" w:ascii="仿宋" w:hAnsi="仿宋" w:eastAsia="仿宋" w:cs="仿宋"/>
          <w:b/>
          <w:color w:val="auto"/>
          <w:sz w:val="18"/>
          <w:szCs w:val="18"/>
          <w:highlight w:val="none"/>
        </w:rPr>
        <w:t>说明：</w:t>
      </w:r>
    </w:p>
    <w:p>
      <w:pPr>
        <w:adjustRightInd w:val="0"/>
        <w:snapToGrid w:val="0"/>
        <w:spacing w:line="288" w:lineRule="auto"/>
        <w:jc w:val="left"/>
        <w:rPr>
          <w:rFonts w:ascii="仿宋" w:hAnsi="仿宋" w:eastAsia="仿宋" w:cs="仿宋"/>
          <w:b/>
          <w:color w:val="auto"/>
          <w:sz w:val="18"/>
          <w:szCs w:val="18"/>
          <w:highlight w:val="none"/>
        </w:rPr>
      </w:pPr>
      <w:r>
        <w:rPr>
          <w:rFonts w:hint="eastAsia" w:ascii="仿宋" w:hAnsi="仿宋" w:eastAsia="仿宋" w:cs="仿宋"/>
          <w:b/>
          <w:color w:val="auto"/>
          <w:sz w:val="18"/>
          <w:szCs w:val="18"/>
          <w:highlight w:val="none"/>
        </w:rPr>
        <w:t>1.参照《政府采购促进中小企业发展管理办法》（财库[2020]46号）、《关于进一步加大政府采购支持中小企业力度的通知》（财库[2022]19号）的规定，对符合规定的小微企业报价给予10%的扣除后计算价格得分;</w:t>
      </w:r>
    </w:p>
    <w:p>
      <w:pPr>
        <w:adjustRightInd w:val="0"/>
        <w:snapToGrid w:val="0"/>
        <w:spacing w:line="288" w:lineRule="auto"/>
        <w:rPr>
          <w:rFonts w:ascii="仿宋" w:hAnsi="仿宋" w:eastAsia="仿宋" w:cs="仿宋"/>
          <w:b/>
          <w:bCs/>
          <w:color w:val="auto"/>
          <w:spacing w:val="-6"/>
          <w:sz w:val="18"/>
          <w:szCs w:val="18"/>
          <w:highlight w:val="none"/>
        </w:rPr>
      </w:pPr>
      <w:bookmarkStart w:id="37" w:name="_Hlk81817373"/>
      <w:r>
        <w:rPr>
          <w:rFonts w:hint="eastAsia" w:ascii="仿宋" w:hAnsi="仿宋" w:eastAsia="仿宋" w:cs="仿宋"/>
          <w:b/>
          <w:bCs/>
          <w:color w:val="auto"/>
          <w:spacing w:val="-6"/>
          <w:sz w:val="18"/>
          <w:szCs w:val="18"/>
          <w:highlight w:val="none"/>
        </w:rPr>
        <w:t>2.参照《关于政府采购支持监狱企业发展有关问题的通知》（财库[2014]68号）的规定，</w:t>
      </w:r>
      <w:r>
        <w:rPr>
          <w:rFonts w:hint="eastAsia" w:ascii="仿宋" w:hAnsi="仿宋" w:eastAsia="仿宋" w:cs="仿宋"/>
          <w:color w:val="auto"/>
          <w:kern w:val="0"/>
          <w:sz w:val="18"/>
          <w:szCs w:val="18"/>
          <w:highlight w:val="none"/>
        </w:rPr>
        <w:t>监狱企业参加政府采购活动时，提供由省级以上监狱管理局、戒毒管理局（含新疆生产建设兵团）出具的属于监狱企业的证明文件的，在政府采购活动中视同小微企业，享受预留份额、评审中价格扣除等政府采购促进中小企业发展的政府采购政策；</w:t>
      </w:r>
    </w:p>
    <w:bookmarkEnd w:id="37"/>
    <w:p>
      <w:pPr>
        <w:widowControl/>
        <w:adjustRightInd w:val="0"/>
        <w:snapToGrid w:val="0"/>
        <w:spacing w:line="288" w:lineRule="auto"/>
        <w:jc w:val="left"/>
        <w:rPr>
          <w:rFonts w:ascii="仿宋" w:hAnsi="仿宋" w:eastAsia="仿宋" w:cs="仿宋"/>
          <w:color w:val="auto"/>
          <w:spacing w:val="-6"/>
          <w:sz w:val="18"/>
          <w:szCs w:val="18"/>
          <w:highlight w:val="none"/>
        </w:rPr>
        <w:sectPr>
          <w:footerReference r:id="rId4" w:type="default"/>
          <w:pgSz w:w="11906" w:h="16838"/>
          <w:pgMar w:top="1440" w:right="1247" w:bottom="1440" w:left="1247" w:header="283" w:footer="850" w:gutter="0"/>
          <w:cols w:space="0" w:num="1"/>
          <w:docGrid w:linePitch="381" w:charSpace="0"/>
        </w:sectPr>
      </w:pPr>
      <w:r>
        <w:rPr>
          <w:rFonts w:hint="eastAsia" w:ascii="仿宋" w:hAnsi="仿宋" w:eastAsia="仿宋" w:cs="仿宋"/>
          <w:b/>
          <w:bCs/>
          <w:color w:val="auto"/>
          <w:spacing w:val="-6"/>
          <w:sz w:val="18"/>
          <w:szCs w:val="18"/>
          <w:highlight w:val="none"/>
        </w:rPr>
        <w:t>3.参照《关于促进残疾人就业政府采购政策的通知》（财库[2017]141号）的规定，</w:t>
      </w:r>
      <w:r>
        <w:rPr>
          <w:rFonts w:hint="eastAsia" w:ascii="仿宋" w:hAnsi="仿宋" w:eastAsia="仿宋" w:cs="仿宋"/>
          <w:color w:val="auto"/>
          <w:sz w:val="18"/>
          <w:szCs w:val="18"/>
          <w:highlight w:val="none"/>
        </w:rPr>
        <w:t>符合条件的残疾人福利性单位在参加政府采购活动时，提供财库[2017]141号文件规定的《残疾人福利性单位声明函》的，</w:t>
      </w:r>
      <w:r>
        <w:rPr>
          <w:rFonts w:hint="eastAsia" w:ascii="仿宋" w:hAnsi="仿宋" w:eastAsia="仿宋" w:cs="仿宋"/>
          <w:color w:val="auto"/>
          <w:kern w:val="0"/>
          <w:sz w:val="18"/>
          <w:szCs w:val="18"/>
          <w:highlight w:val="none"/>
        </w:rPr>
        <w:t>在政府采购活动中视同小微企业</w:t>
      </w:r>
      <w:r>
        <w:rPr>
          <w:rFonts w:hint="eastAsia" w:ascii="仿宋" w:hAnsi="仿宋" w:eastAsia="仿宋" w:cs="仿宋"/>
          <w:color w:val="auto"/>
          <w:sz w:val="18"/>
          <w:szCs w:val="18"/>
          <w:highlight w:val="none"/>
        </w:rPr>
        <w:t>，享受预留份额、评审中价格扣除等</w:t>
      </w:r>
      <w:r>
        <w:rPr>
          <w:rFonts w:hint="eastAsia" w:ascii="仿宋" w:hAnsi="仿宋" w:eastAsia="仿宋" w:cs="仿宋"/>
          <w:color w:val="auto"/>
          <w:kern w:val="0"/>
          <w:sz w:val="18"/>
          <w:szCs w:val="18"/>
          <w:highlight w:val="none"/>
        </w:rPr>
        <w:t>政府采购</w:t>
      </w:r>
      <w:r>
        <w:rPr>
          <w:rFonts w:hint="eastAsia" w:ascii="仿宋" w:hAnsi="仿宋" w:eastAsia="仿宋" w:cs="仿宋"/>
          <w:color w:val="auto"/>
          <w:sz w:val="18"/>
          <w:szCs w:val="18"/>
          <w:highlight w:val="none"/>
        </w:rPr>
        <w:t>促进中小企业发展的政府采购政策。</w:t>
      </w:r>
      <w:r>
        <w:rPr>
          <w:rFonts w:hint="eastAsia" w:ascii="仿宋" w:hAnsi="仿宋" w:eastAsia="仿宋" w:cs="仿宋"/>
          <w:color w:val="auto"/>
          <w:spacing w:val="-6"/>
          <w:sz w:val="18"/>
          <w:szCs w:val="18"/>
          <w:highlight w:val="none"/>
        </w:rPr>
        <w:t>残疾人福利性单位属于小微企业的，不重复享受政策</w:t>
      </w:r>
      <w:r>
        <w:rPr>
          <w:rFonts w:hint="eastAsia" w:ascii="仿宋" w:hAnsi="仿宋" w:eastAsia="仿宋" w:cs="仿宋"/>
          <w:color w:val="auto"/>
          <w:spacing w:val="-6"/>
          <w:sz w:val="18"/>
          <w:szCs w:val="18"/>
          <w:highlight w:val="none"/>
          <w:lang w:eastAsia="zh-CN"/>
        </w:rPr>
        <w:t>。</w:t>
      </w:r>
      <w:bookmarkStart w:id="54" w:name="_GoBack"/>
      <w:bookmarkEnd w:id="54"/>
      <w:r>
        <w:rPr>
          <w:rFonts w:hint="eastAsia" w:ascii="仿宋" w:hAnsi="仿宋" w:eastAsia="仿宋" w:cs="仿宋"/>
          <w:color w:val="auto"/>
          <w:spacing w:val="-6"/>
          <w:sz w:val="18"/>
          <w:szCs w:val="18"/>
          <w:highlight w:val="none"/>
        </w:rPr>
        <w:br w:type="page"/>
      </w:r>
    </w:p>
    <w:p>
      <w:pPr>
        <w:adjustRightInd w:val="0"/>
        <w:snapToGrid w:val="0"/>
        <w:spacing w:line="288" w:lineRule="auto"/>
        <w:jc w:val="center"/>
        <w:outlineLvl w:val="0"/>
        <w:rPr>
          <w:rFonts w:ascii="仿宋" w:hAnsi="仿宋" w:eastAsia="仿宋" w:cs="仿宋"/>
          <w:color w:val="auto"/>
          <w:kern w:val="0"/>
          <w:sz w:val="24"/>
          <w:szCs w:val="24"/>
          <w:highlight w:val="none"/>
        </w:rPr>
      </w:pPr>
      <w:r>
        <w:rPr>
          <w:rFonts w:hint="eastAsia" w:ascii="仿宋" w:hAnsi="仿宋" w:eastAsia="仿宋" w:cs="仿宋"/>
          <w:b/>
          <w:color w:val="auto"/>
          <w:sz w:val="32"/>
          <w:szCs w:val="32"/>
          <w:highlight w:val="none"/>
        </w:rPr>
        <w:t>第五章  拟签订的合同文本</w:t>
      </w:r>
    </w:p>
    <w:p>
      <w:pPr>
        <w:spacing w:line="288" w:lineRule="auto"/>
        <w:ind w:firstLine="6325" w:firstLineChars="3000"/>
        <w:rPr>
          <w:rFonts w:ascii="仿宋" w:hAnsi="仿宋" w:eastAsia="仿宋" w:cs="仿宋"/>
          <w:b/>
          <w:color w:val="auto"/>
          <w:szCs w:val="21"/>
          <w:highlight w:val="none"/>
        </w:rPr>
      </w:pPr>
      <w:r>
        <w:rPr>
          <w:rFonts w:hint="eastAsia" w:ascii="仿宋" w:hAnsi="仿宋" w:eastAsia="仿宋" w:cs="仿宋"/>
          <w:b/>
          <w:color w:val="auto"/>
          <w:szCs w:val="21"/>
          <w:highlight w:val="none"/>
        </w:rPr>
        <w:t>合同编号：</w:t>
      </w:r>
    </w:p>
    <w:p>
      <w:pPr>
        <w:adjustRightInd w:val="0"/>
        <w:snapToGrid w:val="0"/>
        <w:spacing w:line="288" w:lineRule="auto"/>
        <w:ind w:firstLine="562" w:firstLineChars="200"/>
        <w:jc w:val="cente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集中采购合同</w:t>
      </w:r>
    </w:p>
    <w:p>
      <w:pPr>
        <w:adjustRightInd w:val="0"/>
        <w:snapToGrid w:val="0"/>
        <w:spacing w:line="288" w:lineRule="auto"/>
        <w:ind w:firstLine="336" w:firstLineChars="200"/>
        <w:jc w:val="center"/>
        <w:rPr>
          <w:rFonts w:ascii="仿宋" w:hAnsi="仿宋" w:eastAsia="仿宋" w:cs="仿宋"/>
          <w:b/>
          <w:bCs/>
          <w:color w:val="auto"/>
          <w:szCs w:val="21"/>
          <w:highlight w:val="none"/>
        </w:rPr>
      </w:pPr>
      <w:r>
        <w:rPr>
          <w:rFonts w:hint="eastAsia" w:ascii="仿宋" w:hAnsi="仿宋" w:eastAsia="仿宋" w:cs="仿宋"/>
          <w:color w:val="auto"/>
          <w:spacing w:val="-6"/>
          <w:sz w:val="18"/>
          <w:szCs w:val="18"/>
          <w:highlight w:val="none"/>
        </w:rPr>
        <w:t>（本合同为合同样稿，最终稿由双方协商后确定，合同实质性内容不得更改；签订合同时删除此行）</w:t>
      </w:r>
    </w:p>
    <w:p>
      <w:pPr>
        <w:adjustRightInd w:val="0"/>
        <w:snapToGrid w:val="0"/>
        <w:spacing w:line="288" w:lineRule="auto"/>
        <w:ind w:firstLine="422" w:firstLineChars="200"/>
        <w:rPr>
          <w:rFonts w:ascii="仿宋" w:hAnsi="仿宋" w:eastAsia="仿宋" w:cs="仿宋"/>
          <w:b/>
          <w:bCs/>
          <w:color w:val="auto"/>
          <w:szCs w:val="21"/>
          <w:highlight w:val="none"/>
        </w:rPr>
      </w:pPr>
      <w:r>
        <w:rPr>
          <w:rFonts w:hint="eastAsia" w:ascii="仿宋" w:hAnsi="仿宋" w:eastAsia="仿宋" w:cs="仿宋"/>
          <w:b/>
          <w:bCs/>
          <w:color w:val="auto"/>
          <w:szCs w:val="21"/>
          <w:highlight w:val="none"/>
        </w:rPr>
        <w:t>项目编号：</w:t>
      </w:r>
      <w:r>
        <w:rPr>
          <w:rFonts w:ascii="仿宋" w:hAnsi="仿宋" w:eastAsia="仿宋" w:cs="仿宋"/>
          <w:b/>
          <w:bCs/>
          <w:color w:val="auto"/>
          <w:szCs w:val="21"/>
          <w:highlight w:val="none"/>
        </w:rPr>
        <w:t xml:space="preserve">                 </w:t>
      </w:r>
    </w:p>
    <w:p>
      <w:pPr>
        <w:adjustRightInd w:val="0"/>
        <w:snapToGrid w:val="0"/>
        <w:spacing w:line="288" w:lineRule="auto"/>
        <w:ind w:firstLine="422" w:firstLineChars="200"/>
        <w:rPr>
          <w:rFonts w:ascii="仿宋" w:hAnsi="仿宋" w:eastAsia="仿宋" w:cs="仿宋"/>
          <w:b/>
          <w:bCs/>
          <w:color w:val="auto"/>
          <w:szCs w:val="21"/>
          <w:highlight w:val="none"/>
        </w:rPr>
      </w:pPr>
      <w:r>
        <w:rPr>
          <w:rFonts w:hint="eastAsia" w:ascii="仿宋" w:hAnsi="仿宋" w:eastAsia="仿宋" w:cs="仿宋"/>
          <w:b/>
          <w:bCs/>
          <w:color w:val="auto"/>
          <w:szCs w:val="21"/>
          <w:highlight w:val="none"/>
        </w:rPr>
        <w:t xml:space="preserve">甲方： </w:t>
      </w:r>
      <w:r>
        <w:rPr>
          <w:rFonts w:ascii="仿宋" w:hAnsi="仿宋" w:eastAsia="仿宋" w:cs="仿宋"/>
          <w:b/>
          <w:bCs/>
          <w:color w:val="auto"/>
          <w:szCs w:val="21"/>
          <w:highlight w:val="none"/>
        </w:rPr>
        <w:t xml:space="preserve">    </w:t>
      </w:r>
      <w:r>
        <w:rPr>
          <w:rFonts w:hint="eastAsia" w:ascii="仿宋" w:hAnsi="仿宋" w:eastAsia="仿宋" w:cs="仿宋"/>
          <w:b/>
          <w:bCs/>
          <w:color w:val="auto"/>
          <w:szCs w:val="21"/>
          <w:highlight w:val="none"/>
        </w:rPr>
        <w:t xml:space="preserve">之江实验室 </w:t>
      </w:r>
      <w:r>
        <w:rPr>
          <w:rFonts w:ascii="仿宋" w:hAnsi="仿宋" w:eastAsia="仿宋" w:cs="仿宋"/>
          <w:b/>
          <w:bCs/>
          <w:color w:val="auto"/>
          <w:szCs w:val="21"/>
          <w:highlight w:val="none"/>
        </w:rPr>
        <w:t xml:space="preserve">     </w:t>
      </w:r>
    </w:p>
    <w:p>
      <w:pPr>
        <w:adjustRightInd w:val="0"/>
        <w:snapToGrid w:val="0"/>
        <w:spacing w:line="288" w:lineRule="auto"/>
        <w:ind w:firstLine="422" w:firstLineChars="200"/>
        <w:rPr>
          <w:rFonts w:ascii="仿宋" w:hAnsi="仿宋" w:eastAsia="仿宋" w:cs="仿宋"/>
          <w:b/>
          <w:bCs/>
          <w:color w:val="auto"/>
          <w:szCs w:val="21"/>
          <w:highlight w:val="none"/>
        </w:rPr>
      </w:pPr>
      <w:r>
        <w:rPr>
          <w:rFonts w:hint="eastAsia" w:ascii="仿宋" w:hAnsi="仿宋" w:eastAsia="仿宋" w:cs="仿宋"/>
          <w:b/>
          <w:bCs/>
          <w:color w:val="auto"/>
          <w:szCs w:val="21"/>
          <w:highlight w:val="none"/>
        </w:rPr>
        <w:t>乙方：</w:t>
      </w:r>
      <w:r>
        <w:rPr>
          <w:rFonts w:ascii="仿宋" w:hAnsi="仿宋" w:eastAsia="仿宋" w:cs="仿宋"/>
          <w:b/>
          <w:bCs/>
          <w:color w:val="auto"/>
          <w:szCs w:val="21"/>
          <w:highlight w:val="none"/>
        </w:rPr>
        <w:t xml:space="preserve">                     </w:t>
      </w:r>
    </w:p>
    <w:p>
      <w:pPr>
        <w:adjustRightInd w:val="0"/>
        <w:snapToGrid w:val="0"/>
        <w:spacing w:line="288" w:lineRule="auto"/>
        <w:ind w:firstLine="422" w:firstLineChars="200"/>
        <w:rPr>
          <w:rFonts w:ascii="仿宋" w:hAnsi="仿宋" w:eastAsia="仿宋" w:cs="仿宋"/>
          <w:b/>
          <w:bCs/>
          <w:color w:val="auto"/>
          <w:szCs w:val="21"/>
          <w:highlight w:val="none"/>
        </w:rPr>
      </w:pPr>
      <w:r>
        <w:rPr>
          <w:rFonts w:hint="eastAsia" w:ascii="仿宋" w:hAnsi="仿宋" w:eastAsia="仿宋" w:cs="仿宋"/>
          <w:b/>
          <w:bCs/>
          <w:color w:val="auto"/>
          <w:szCs w:val="21"/>
          <w:highlight w:val="none"/>
        </w:rPr>
        <w:t>采购代理机构（鉴证方）：</w:t>
      </w:r>
      <w:r>
        <w:rPr>
          <w:rFonts w:ascii="仿宋" w:hAnsi="仿宋" w:eastAsia="仿宋" w:cs="仿宋"/>
          <w:b/>
          <w:bCs/>
          <w:color w:val="auto"/>
          <w:szCs w:val="21"/>
          <w:highlight w:val="none"/>
        </w:rPr>
        <w:t xml:space="preserve">                 </w:t>
      </w:r>
    </w:p>
    <w:p>
      <w:pPr>
        <w:adjustRightInd w:val="0"/>
        <w:snapToGrid w:val="0"/>
        <w:spacing w:line="288" w:lineRule="auto"/>
        <w:ind w:firstLine="420" w:firstLineChars="200"/>
        <w:rPr>
          <w:rFonts w:ascii="仿宋" w:hAnsi="仿宋" w:eastAsia="仿宋" w:cs="仿宋"/>
          <w:color w:val="auto"/>
          <w:szCs w:val="21"/>
          <w:highlight w:val="none"/>
        </w:rPr>
      </w:pPr>
      <w:r>
        <w:rPr>
          <w:rFonts w:ascii="仿宋" w:hAnsi="仿宋" w:eastAsia="仿宋" w:cs="仿宋"/>
          <w:color w:val="auto"/>
          <w:szCs w:val="21"/>
          <w:highlight w:val="none"/>
        </w:rPr>
        <w:t>为保护甲、乙双方的合法权益，根据《中华人民共和国民法典》等相关法律法规，之江实验室特委托</w:t>
      </w:r>
      <w:r>
        <w:rPr>
          <w:rFonts w:hint="eastAsia" w:ascii="仿宋" w:hAnsi="仿宋" w:eastAsia="仿宋" w:cs="仿宋"/>
          <w:color w:val="auto"/>
          <w:szCs w:val="21"/>
          <w:highlight w:val="none"/>
        </w:rPr>
        <w:t xml:space="preserve">【 </w:t>
      </w:r>
      <w:r>
        <w:rPr>
          <w:rFonts w:ascii="仿宋" w:hAnsi="仿宋" w:eastAsia="仿宋" w:cs="仿宋"/>
          <w:color w:val="auto"/>
          <w:szCs w:val="21"/>
          <w:highlight w:val="none"/>
        </w:rPr>
        <w:t xml:space="preserve">           </w:t>
      </w:r>
      <w:r>
        <w:rPr>
          <w:rFonts w:hint="eastAsia" w:ascii="仿宋" w:hAnsi="仿宋" w:eastAsia="仿宋" w:cs="仿宋"/>
          <w:color w:val="auto"/>
          <w:szCs w:val="21"/>
          <w:highlight w:val="none"/>
        </w:rPr>
        <w:t>（采购代理机构名称）】</w:t>
      </w:r>
      <w:r>
        <w:rPr>
          <w:rFonts w:ascii="仿宋" w:hAnsi="仿宋" w:eastAsia="仿宋" w:cs="仿宋"/>
          <w:color w:val="auto"/>
          <w:szCs w:val="21"/>
          <w:highlight w:val="none"/>
        </w:rPr>
        <w:t>经</w:t>
      </w:r>
      <w:r>
        <w:rPr>
          <w:rFonts w:hint="eastAsia" w:ascii="仿宋" w:hAnsi="仿宋" w:eastAsia="仿宋" w:cs="仿宋"/>
          <w:color w:val="auto"/>
          <w:szCs w:val="21"/>
          <w:highlight w:val="none"/>
        </w:rPr>
        <w:t xml:space="preserve">【 </w:t>
      </w:r>
      <w:r>
        <w:rPr>
          <w:rFonts w:ascii="仿宋" w:hAnsi="仿宋" w:eastAsia="仿宋" w:cs="仿宋"/>
          <w:color w:val="auto"/>
          <w:szCs w:val="21"/>
          <w:highlight w:val="none"/>
        </w:rPr>
        <w:t xml:space="preserve">           </w:t>
      </w:r>
      <w:r>
        <w:rPr>
          <w:rFonts w:hint="eastAsia" w:ascii="仿宋" w:hAnsi="仿宋" w:eastAsia="仿宋" w:cs="仿宋"/>
          <w:color w:val="auto"/>
          <w:szCs w:val="21"/>
          <w:highlight w:val="none"/>
        </w:rPr>
        <w:t>（采购方式）】</w:t>
      </w:r>
      <w:r>
        <w:rPr>
          <w:rFonts w:ascii="仿宋" w:hAnsi="仿宋" w:eastAsia="仿宋" w:cs="仿宋"/>
          <w:color w:val="auto"/>
          <w:szCs w:val="21"/>
          <w:highlight w:val="none"/>
        </w:rPr>
        <w:t>确定</w:t>
      </w:r>
      <w:r>
        <w:rPr>
          <w:rFonts w:hint="eastAsia" w:ascii="仿宋" w:hAnsi="仿宋" w:eastAsia="仿宋" w:cs="仿宋"/>
          <w:color w:val="auto"/>
          <w:szCs w:val="21"/>
          <w:highlight w:val="none"/>
        </w:rPr>
        <w:t xml:space="preserve">【 </w:t>
      </w:r>
      <w:r>
        <w:rPr>
          <w:rFonts w:ascii="仿宋" w:hAnsi="仿宋" w:eastAsia="仿宋" w:cs="仿宋"/>
          <w:color w:val="auto"/>
          <w:szCs w:val="21"/>
          <w:highlight w:val="none"/>
        </w:rPr>
        <w:t xml:space="preserve">           </w:t>
      </w:r>
      <w:r>
        <w:rPr>
          <w:rFonts w:hint="eastAsia" w:ascii="仿宋" w:hAnsi="仿宋" w:eastAsia="仿宋" w:cs="仿宋"/>
          <w:color w:val="auto"/>
          <w:szCs w:val="21"/>
          <w:highlight w:val="none"/>
        </w:rPr>
        <w:t>（乙方名称）</w:t>
      </w:r>
      <w:r>
        <w:rPr>
          <w:rFonts w:ascii="仿宋" w:hAnsi="仿宋" w:eastAsia="仿宋" w:cs="仿宋"/>
          <w:color w:val="auto"/>
          <w:szCs w:val="21"/>
          <w:highlight w:val="none"/>
        </w:rPr>
        <w:t>为</w:t>
      </w:r>
      <w:r>
        <w:rPr>
          <w:rFonts w:hint="eastAsia" w:ascii="仿宋" w:hAnsi="仿宋" w:eastAsia="仿宋" w:cs="仿宋"/>
          <w:color w:val="auto"/>
          <w:szCs w:val="21"/>
          <w:highlight w:val="none"/>
        </w:rPr>
        <w:t xml:space="preserve">【 </w:t>
      </w:r>
      <w:r>
        <w:rPr>
          <w:rFonts w:ascii="仿宋" w:hAnsi="仿宋" w:eastAsia="仿宋" w:cs="仿宋"/>
          <w:color w:val="auto"/>
          <w:szCs w:val="21"/>
          <w:highlight w:val="none"/>
        </w:rPr>
        <w:t xml:space="preserve">            </w:t>
      </w:r>
      <w:r>
        <w:rPr>
          <w:rFonts w:hint="eastAsia" w:ascii="仿宋" w:hAnsi="仿宋" w:eastAsia="仿宋" w:cs="仿宋"/>
          <w:color w:val="auto"/>
          <w:szCs w:val="21"/>
          <w:highlight w:val="none"/>
        </w:rPr>
        <w:t>（</w:t>
      </w:r>
      <w:r>
        <w:rPr>
          <w:rFonts w:ascii="仿宋" w:hAnsi="仿宋" w:eastAsia="仿宋" w:cs="仿宋"/>
          <w:color w:val="auto"/>
          <w:szCs w:val="21"/>
          <w:highlight w:val="none"/>
        </w:rPr>
        <w:t>项目</w:t>
      </w:r>
      <w:r>
        <w:rPr>
          <w:rFonts w:hint="eastAsia" w:ascii="仿宋" w:hAnsi="仿宋" w:eastAsia="仿宋" w:cs="仿宋"/>
          <w:color w:val="auto"/>
          <w:szCs w:val="21"/>
          <w:highlight w:val="none"/>
        </w:rPr>
        <w:t>名称）】</w:t>
      </w:r>
      <w:r>
        <w:rPr>
          <w:rFonts w:ascii="仿宋" w:hAnsi="仿宋" w:eastAsia="仿宋" w:cs="仿宋"/>
          <w:color w:val="auto"/>
          <w:szCs w:val="21"/>
          <w:highlight w:val="none"/>
        </w:rPr>
        <w:t>的中标（成交）</w:t>
      </w:r>
      <w:r>
        <w:rPr>
          <w:rFonts w:ascii="仿宋" w:hAnsi="仿宋" w:eastAsia="仿宋" w:cs="仿宋"/>
          <w:color w:val="auto"/>
          <w:szCs w:val="21"/>
          <w:highlight w:val="none"/>
          <w:lang w:eastAsia="zh-Hans"/>
        </w:rPr>
        <w:t>供应商</w:t>
      </w:r>
      <w:r>
        <w:rPr>
          <w:rFonts w:ascii="仿宋" w:hAnsi="仿宋" w:eastAsia="仿宋" w:cs="仿宋"/>
          <w:color w:val="auto"/>
          <w:szCs w:val="21"/>
          <w:highlight w:val="none"/>
        </w:rPr>
        <w:t>。经甲、乙双方协商达成以下条款：</w:t>
      </w:r>
    </w:p>
    <w:p>
      <w:pPr>
        <w:adjustRightInd w:val="0"/>
        <w:snapToGrid w:val="0"/>
        <w:spacing w:line="288" w:lineRule="auto"/>
        <w:ind w:firstLine="422" w:firstLineChars="200"/>
        <w:rPr>
          <w:rFonts w:ascii="仿宋" w:hAnsi="仿宋" w:eastAsia="仿宋" w:cs="仿宋"/>
          <w:b/>
          <w:bCs/>
          <w:color w:val="auto"/>
          <w:szCs w:val="21"/>
          <w:highlight w:val="none"/>
        </w:rPr>
      </w:pPr>
      <w:r>
        <w:rPr>
          <w:rFonts w:hint="eastAsia" w:ascii="仿宋" w:hAnsi="仿宋" w:eastAsia="仿宋" w:cs="仿宋"/>
          <w:b/>
          <w:bCs/>
          <w:color w:val="auto"/>
          <w:szCs w:val="21"/>
          <w:highlight w:val="none"/>
        </w:rPr>
        <w:t>第一条 采购标的、价格</w:t>
      </w:r>
    </w:p>
    <w:tbl>
      <w:tblPr>
        <w:tblStyle w:val="27"/>
        <w:tblW w:w="9449" w:type="dxa"/>
        <w:jc w:val="center"/>
        <w:tblLayout w:type="fixed"/>
        <w:tblCellMar>
          <w:top w:w="0" w:type="dxa"/>
          <w:left w:w="0" w:type="dxa"/>
          <w:bottom w:w="0" w:type="dxa"/>
          <w:right w:w="0" w:type="dxa"/>
        </w:tblCellMar>
      </w:tblPr>
      <w:tblGrid>
        <w:gridCol w:w="575"/>
        <w:gridCol w:w="1199"/>
        <w:gridCol w:w="1503"/>
        <w:gridCol w:w="2243"/>
        <w:gridCol w:w="892"/>
        <w:gridCol w:w="714"/>
        <w:gridCol w:w="1247"/>
        <w:gridCol w:w="1076"/>
      </w:tblGrid>
      <w:tr>
        <w:tblPrEx>
          <w:tblCellMar>
            <w:top w:w="0" w:type="dxa"/>
            <w:left w:w="0" w:type="dxa"/>
            <w:bottom w:w="0" w:type="dxa"/>
            <w:right w:w="0" w:type="dxa"/>
          </w:tblCellMar>
        </w:tblPrEx>
        <w:trPr>
          <w:trHeight w:val="416" w:hRule="atLeast"/>
          <w:jc w:val="center"/>
        </w:trPr>
        <w:tc>
          <w:tcPr>
            <w:tcW w:w="575" w:type="dxa"/>
            <w:tcBorders>
              <w:top w:val="single" w:color="000000" w:sz="6" w:space="0"/>
              <w:left w:val="single" w:color="000000" w:sz="6" w:space="0"/>
              <w:bottom w:val="single" w:color="000000" w:sz="6" w:space="0"/>
              <w:right w:val="single" w:color="000000" w:sz="6" w:space="0"/>
            </w:tcBorders>
            <w:tcMar>
              <w:top w:w="30" w:type="dxa"/>
              <w:left w:w="30" w:type="dxa"/>
              <w:bottom w:w="30" w:type="dxa"/>
              <w:right w:w="30" w:type="dxa"/>
            </w:tcMar>
            <w:vAlign w:val="center"/>
          </w:tcPr>
          <w:p>
            <w:pPr>
              <w:adjustRightInd w:val="0"/>
              <w:snapToGrid w:val="0"/>
              <w:spacing w:line="288"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序号</w:t>
            </w:r>
          </w:p>
        </w:tc>
        <w:tc>
          <w:tcPr>
            <w:tcW w:w="1199" w:type="dxa"/>
            <w:tcBorders>
              <w:top w:val="single" w:color="000000" w:sz="6" w:space="0"/>
              <w:left w:val="single" w:color="000000" w:sz="6" w:space="0"/>
              <w:bottom w:val="single" w:color="000000" w:sz="6" w:space="0"/>
              <w:right w:val="single" w:color="000000" w:sz="6" w:space="0"/>
            </w:tcBorders>
            <w:tcMar>
              <w:top w:w="30" w:type="dxa"/>
              <w:left w:w="30" w:type="dxa"/>
              <w:bottom w:w="30" w:type="dxa"/>
              <w:right w:w="30" w:type="dxa"/>
            </w:tcMar>
            <w:vAlign w:val="center"/>
          </w:tcPr>
          <w:p>
            <w:pPr>
              <w:adjustRightInd w:val="0"/>
              <w:snapToGrid w:val="0"/>
              <w:spacing w:line="288"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货物名称</w:t>
            </w:r>
          </w:p>
        </w:tc>
        <w:tc>
          <w:tcPr>
            <w:tcW w:w="1503" w:type="dxa"/>
            <w:tcBorders>
              <w:top w:val="single" w:color="000000" w:sz="6" w:space="0"/>
              <w:left w:val="single" w:color="000000" w:sz="6" w:space="0"/>
              <w:bottom w:val="single" w:color="000000" w:sz="6" w:space="0"/>
              <w:right w:val="single" w:color="auto" w:sz="4" w:space="0"/>
            </w:tcBorders>
            <w:tcMar>
              <w:top w:w="30" w:type="dxa"/>
              <w:left w:w="30" w:type="dxa"/>
              <w:bottom w:w="30" w:type="dxa"/>
              <w:right w:w="30" w:type="dxa"/>
            </w:tcMar>
            <w:vAlign w:val="center"/>
          </w:tcPr>
          <w:p>
            <w:pPr>
              <w:adjustRightInd w:val="0"/>
              <w:snapToGrid w:val="0"/>
              <w:spacing w:line="288"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品牌、型号</w:t>
            </w:r>
          </w:p>
        </w:tc>
        <w:tc>
          <w:tcPr>
            <w:tcW w:w="2243" w:type="dxa"/>
            <w:tcBorders>
              <w:top w:val="single" w:color="000000" w:sz="6" w:space="0"/>
              <w:left w:val="single" w:color="auto" w:sz="4" w:space="0"/>
              <w:bottom w:val="single" w:color="000000" w:sz="6" w:space="0"/>
              <w:right w:val="single" w:color="000000" w:sz="2" w:space="0"/>
            </w:tcBorders>
            <w:vAlign w:val="center"/>
          </w:tcPr>
          <w:p>
            <w:pPr>
              <w:adjustRightInd w:val="0"/>
              <w:snapToGrid w:val="0"/>
              <w:spacing w:line="288"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技术参数和要求</w:t>
            </w:r>
          </w:p>
        </w:tc>
        <w:tc>
          <w:tcPr>
            <w:tcW w:w="892" w:type="dxa"/>
            <w:tcBorders>
              <w:top w:val="single" w:color="000000" w:sz="6" w:space="0"/>
              <w:left w:val="single" w:color="000000" w:sz="2" w:space="0"/>
              <w:bottom w:val="single" w:color="000000" w:sz="6" w:space="0"/>
              <w:right w:val="single" w:color="auto" w:sz="4" w:space="0"/>
            </w:tcBorders>
            <w:vAlign w:val="center"/>
          </w:tcPr>
          <w:p>
            <w:pPr>
              <w:adjustRightInd w:val="0"/>
              <w:snapToGrid w:val="0"/>
              <w:spacing w:line="288"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数量</w:t>
            </w:r>
          </w:p>
        </w:tc>
        <w:tc>
          <w:tcPr>
            <w:tcW w:w="714" w:type="dxa"/>
            <w:tcBorders>
              <w:top w:val="single" w:color="000000" w:sz="6" w:space="0"/>
              <w:left w:val="single" w:color="auto" w:sz="4" w:space="0"/>
              <w:bottom w:val="single" w:color="000000" w:sz="6" w:space="0"/>
              <w:right w:val="single" w:color="000000" w:sz="6" w:space="0"/>
            </w:tcBorders>
            <w:vAlign w:val="center"/>
          </w:tcPr>
          <w:p>
            <w:pPr>
              <w:adjustRightInd w:val="0"/>
              <w:snapToGrid w:val="0"/>
              <w:spacing w:line="288"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单位</w:t>
            </w:r>
          </w:p>
        </w:tc>
        <w:tc>
          <w:tcPr>
            <w:tcW w:w="1247" w:type="dxa"/>
            <w:tcBorders>
              <w:top w:val="single" w:color="000000" w:sz="6" w:space="0"/>
              <w:left w:val="single" w:color="000000" w:sz="6" w:space="0"/>
              <w:bottom w:val="single" w:color="000000" w:sz="6" w:space="0"/>
              <w:right w:val="single" w:color="000000" w:sz="6" w:space="0"/>
            </w:tcBorders>
            <w:tcMar>
              <w:top w:w="30" w:type="dxa"/>
              <w:left w:w="30" w:type="dxa"/>
              <w:bottom w:w="30" w:type="dxa"/>
              <w:right w:w="30" w:type="dxa"/>
            </w:tcMar>
            <w:vAlign w:val="center"/>
          </w:tcPr>
          <w:p>
            <w:pPr>
              <w:adjustRightInd w:val="0"/>
              <w:snapToGrid w:val="0"/>
              <w:spacing w:line="288"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单价</w:t>
            </w:r>
          </w:p>
          <w:p>
            <w:pPr>
              <w:adjustRightInd w:val="0"/>
              <w:snapToGrid w:val="0"/>
              <w:spacing w:line="288"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（元）</w:t>
            </w:r>
          </w:p>
        </w:tc>
        <w:tc>
          <w:tcPr>
            <w:tcW w:w="1076"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288"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合价</w:t>
            </w:r>
          </w:p>
          <w:p>
            <w:pPr>
              <w:adjustRightInd w:val="0"/>
              <w:snapToGrid w:val="0"/>
              <w:spacing w:line="288"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（元）</w:t>
            </w:r>
          </w:p>
        </w:tc>
      </w:tr>
      <w:tr>
        <w:tblPrEx>
          <w:tblCellMar>
            <w:top w:w="0" w:type="dxa"/>
            <w:left w:w="0" w:type="dxa"/>
            <w:bottom w:w="0" w:type="dxa"/>
            <w:right w:w="0" w:type="dxa"/>
          </w:tblCellMar>
        </w:tblPrEx>
        <w:trPr>
          <w:trHeight w:val="578" w:hRule="atLeast"/>
          <w:jc w:val="center"/>
        </w:trPr>
        <w:tc>
          <w:tcPr>
            <w:tcW w:w="575" w:type="dxa"/>
            <w:tcBorders>
              <w:top w:val="single" w:color="000000" w:sz="6" w:space="0"/>
              <w:left w:val="single" w:color="000000" w:sz="6" w:space="0"/>
              <w:bottom w:val="single" w:color="000000" w:sz="6" w:space="0"/>
              <w:right w:val="single" w:color="000000" w:sz="6" w:space="0"/>
            </w:tcBorders>
            <w:tcMar>
              <w:top w:w="30" w:type="dxa"/>
              <w:left w:w="30" w:type="dxa"/>
              <w:bottom w:w="30" w:type="dxa"/>
              <w:right w:w="30" w:type="dxa"/>
            </w:tcMar>
            <w:vAlign w:val="center"/>
          </w:tcPr>
          <w:p>
            <w:pPr>
              <w:adjustRightInd w:val="0"/>
              <w:snapToGrid w:val="0"/>
              <w:spacing w:line="288"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1</w:t>
            </w:r>
          </w:p>
        </w:tc>
        <w:tc>
          <w:tcPr>
            <w:tcW w:w="1199" w:type="dxa"/>
            <w:tcBorders>
              <w:top w:val="single" w:color="000000" w:sz="6" w:space="0"/>
              <w:left w:val="single" w:color="000000" w:sz="6" w:space="0"/>
              <w:bottom w:val="single" w:color="000000" w:sz="6" w:space="0"/>
              <w:right w:val="single" w:color="000000" w:sz="6" w:space="0"/>
            </w:tcBorders>
            <w:tcMar>
              <w:top w:w="30" w:type="dxa"/>
              <w:left w:w="30" w:type="dxa"/>
              <w:bottom w:w="30" w:type="dxa"/>
              <w:right w:w="30" w:type="dxa"/>
            </w:tcMar>
            <w:vAlign w:val="center"/>
          </w:tcPr>
          <w:p>
            <w:pPr>
              <w:adjustRightInd w:val="0"/>
              <w:snapToGrid w:val="0"/>
              <w:spacing w:line="288" w:lineRule="auto"/>
              <w:rPr>
                <w:rFonts w:ascii="仿宋" w:hAnsi="仿宋" w:eastAsia="仿宋" w:cs="仿宋"/>
                <w:color w:val="auto"/>
                <w:szCs w:val="21"/>
                <w:highlight w:val="none"/>
              </w:rPr>
            </w:pPr>
          </w:p>
        </w:tc>
        <w:tc>
          <w:tcPr>
            <w:tcW w:w="1503" w:type="dxa"/>
            <w:tcBorders>
              <w:top w:val="single" w:color="000000" w:sz="6" w:space="0"/>
              <w:left w:val="single" w:color="000000" w:sz="6" w:space="0"/>
              <w:bottom w:val="single" w:color="000000" w:sz="6" w:space="0"/>
              <w:right w:val="single" w:color="auto" w:sz="4" w:space="0"/>
            </w:tcBorders>
            <w:tcMar>
              <w:top w:w="30" w:type="dxa"/>
              <w:left w:w="30" w:type="dxa"/>
              <w:bottom w:w="30" w:type="dxa"/>
              <w:right w:w="30" w:type="dxa"/>
            </w:tcMar>
            <w:vAlign w:val="center"/>
          </w:tcPr>
          <w:p>
            <w:pPr>
              <w:adjustRightInd w:val="0"/>
              <w:snapToGrid w:val="0"/>
              <w:spacing w:line="288" w:lineRule="auto"/>
              <w:rPr>
                <w:rFonts w:ascii="仿宋" w:hAnsi="仿宋" w:eastAsia="仿宋" w:cs="仿宋"/>
                <w:color w:val="auto"/>
                <w:szCs w:val="21"/>
                <w:highlight w:val="none"/>
              </w:rPr>
            </w:pPr>
          </w:p>
        </w:tc>
        <w:tc>
          <w:tcPr>
            <w:tcW w:w="2243" w:type="dxa"/>
            <w:tcBorders>
              <w:top w:val="single" w:color="000000" w:sz="6" w:space="0"/>
              <w:left w:val="single" w:color="auto" w:sz="4" w:space="0"/>
              <w:bottom w:val="single" w:color="000000" w:sz="6" w:space="0"/>
              <w:right w:val="single" w:color="000000" w:sz="2" w:space="0"/>
            </w:tcBorders>
            <w:vAlign w:val="center"/>
          </w:tcPr>
          <w:p>
            <w:pPr>
              <w:adjustRightInd w:val="0"/>
              <w:snapToGrid w:val="0"/>
              <w:spacing w:line="288" w:lineRule="auto"/>
              <w:rPr>
                <w:rFonts w:ascii="仿宋" w:hAnsi="仿宋" w:eastAsia="仿宋" w:cs="仿宋"/>
                <w:color w:val="auto"/>
                <w:szCs w:val="21"/>
                <w:highlight w:val="none"/>
                <w:lang w:eastAsia="zh-Hans"/>
              </w:rPr>
            </w:pPr>
            <w:r>
              <w:rPr>
                <w:rFonts w:hint="eastAsia" w:ascii="仿宋" w:hAnsi="仿宋" w:eastAsia="仿宋" w:cs="仿宋"/>
                <w:color w:val="auto"/>
                <w:szCs w:val="21"/>
                <w:highlight w:val="none"/>
                <w:lang w:eastAsia="zh-Hans"/>
              </w:rPr>
              <w:t>详见项目招投标文件</w:t>
            </w:r>
          </w:p>
        </w:tc>
        <w:tc>
          <w:tcPr>
            <w:tcW w:w="892" w:type="dxa"/>
            <w:tcBorders>
              <w:top w:val="single" w:color="000000" w:sz="6" w:space="0"/>
              <w:left w:val="single" w:color="000000" w:sz="2" w:space="0"/>
              <w:bottom w:val="single" w:color="000000" w:sz="6" w:space="0"/>
              <w:right w:val="single" w:color="auto" w:sz="4" w:space="0"/>
            </w:tcBorders>
            <w:vAlign w:val="center"/>
          </w:tcPr>
          <w:p>
            <w:pPr>
              <w:adjustRightInd w:val="0"/>
              <w:snapToGrid w:val="0"/>
              <w:spacing w:line="288" w:lineRule="auto"/>
              <w:rPr>
                <w:rFonts w:ascii="仿宋" w:hAnsi="仿宋" w:eastAsia="仿宋" w:cs="仿宋"/>
                <w:color w:val="auto"/>
                <w:szCs w:val="21"/>
                <w:highlight w:val="none"/>
              </w:rPr>
            </w:pPr>
          </w:p>
        </w:tc>
        <w:tc>
          <w:tcPr>
            <w:tcW w:w="714" w:type="dxa"/>
            <w:tcBorders>
              <w:top w:val="single" w:color="000000" w:sz="6" w:space="0"/>
              <w:left w:val="single" w:color="auto" w:sz="4" w:space="0"/>
              <w:bottom w:val="single" w:color="000000" w:sz="6" w:space="0"/>
              <w:right w:val="single" w:color="000000" w:sz="6" w:space="0"/>
            </w:tcBorders>
            <w:vAlign w:val="center"/>
          </w:tcPr>
          <w:p>
            <w:pPr>
              <w:adjustRightInd w:val="0"/>
              <w:snapToGrid w:val="0"/>
              <w:spacing w:line="288" w:lineRule="auto"/>
              <w:rPr>
                <w:rFonts w:ascii="仿宋" w:hAnsi="仿宋" w:eastAsia="仿宋" w:cs="仿宋"/>
                <w:color w:val="auto"/>
                <w:szCs w:val="21"/>
                <w:highlight w:val="none"/>
              </w:rPr>
            </w:pPr>
          </w:p>
        </w:tc>
        <w:tc>
          <w:tcPr>
            <w:tcW w:w="1247" w:type="dxa"/>
            <w:tcBorders>
              <w:top w:val="single" w:color="000000" w:sz="6" w:space="0"/>
              <w:left w:val="single" w:color="000000" w:sz="6" w:space="0"/>
              <w:bottom w:val="single" w:color="000000" w:sz="6" w:space="0"/>
              <w:right w:val="single" w:color="000000" w:sz="6" w:space="0"/>
            </w:tcBorders>
            <w:tcMar>
              <w:top w:w="30" w:type="dxa"/>
              <w:left w:w="30" w:type="dxa"/>
              <w:bottom w:w="30" w:type="dxa"/>
              <w:right w:w="30" w:type="dxa"/>
            </w:tcMar>
            <w:vAlign w:val="center"/>
          </w:tcPr>
          <w:p>
            <w:pPr>
              <w:adjustRightInd w:val="0"/>
              <w:snapToGrid w:val="0"/>
              <w:spacing w:line="288" w:lineRule="auto"/>
              <w:rPr>
                <w:rFonts w:ascii="仿宋" w:hAnsi="仿宋" w:eastAsia="仿宋" w:cs="仿宋"/>
                <w:color w:val="auto"/>
                <w:szCs w:val="21"/>
                <w:highlight w:val="none"/>
              </w:rPr>
            </w:pPr>
          </w:p>
        </w:tc>
        <w:tc>
          <w:tcPr>
            <w:tcW w:w="1076"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288" w:lineRule="auto"/>
              <w:rPr>
                <w:rFonts w:ascii="仿宋" w:hAnsi="仿宋" w:eastAsia="仿宋" w:cs="仿宋"/>
                <w:color w:val="auto"/>
                <w:szCs w:val="21"/>
                <w:highlight w:val="none"/>
              </w:rPr>
            </w:pPr>
          </w:p>
        </w:tc>
      </w:tr>
      <w:tr>
        <w:tblPrEx>
          <w:tblCellMar>
            <w:top w:w="0" w:type="dxa"/>
            <w:left w:w="0" w:type="dxa"/>
            <w:bottom w:w="0" w:type="dxa"/>
            <w:right w:w="0" w:type="dxa"/>
          </w:tblCellMar>
        </w:tblPrEx>
        <w:trPr>
          <w:trHeight w:val="578" w:hRule="atLeast"/>
          <w:jc w:val="center"/>
        </w:trPr>
        <w:tc>
          <w:tcPr>
            <w:tcW w:w="575" w:type="dxa"/>
            <w:tcBorders>
              <w:top w:val="single" w:color="000000" w:sz="6" w:space="0"/>
              <w:left w:val="single" w:color="000000" w:sz="6" w:space="0"/>
              <w:bottom w:val="single" w:color="000000" w:sz="6" w:space="0"/>
              <w:right w:val="single" w:color="000000" w:sz="6" w:space="0"/>
            </w:tcBorders>
            <w:tcMar>
              <w:top w:w="30" w:type="dxa"/>
              <w:left w:w="30" w:type="dxa"/>
              <w:bottom w:w="30" w:type="dxa"/>
              <w:right w:w="30" w:type="dxa"/>
            </w:tcMar>
            <w:vAlign w:val="center"/>
          </w:tcPr>
          <w:p>
            <w:pPr>
              <w:adjustRightInd w:val="0"/>
              <w:snapToGrid w:val="0"/>
              <w:spacing w:line="288"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2</w:t>
            </w:r>
          </w:p>
        </w:tc>
        <w:tc>
          <w:tcPr>
            <w:tcW w:w="1199" w:type="dxa"/>
            <w:tcBorders>
              <w:top w:val="single" w:color="000000" w:sz="6" w:space="0"/>
              <w:left w:val="single" w:color="000000" w:sz="6" w:space="0"/>
              <w:bottom w:val="single" w:color="000000" w:sz="6" w:space="0"/>
              <w:right w:val="single" w:color="000000" w:sz="6" w:space="0"/>
            </w:tcBorders>
            <w:tcMar>
              <w:top w:w="30" w:type="dxa"/>
              <w:left w:w="30" w:type="dxa"/>
              <w:bottom w:w="30" w:type="dxa"/>
              <w:right w:w="30" w:type="dxa"/>
            </w:tcMar>
            <w:vAlign w:val="center"/>
          </w:tcPr>
          <w:p>
            <w:pPr>
              <w:adjustRightInd w:val="0"/>
              <w:snapToGrid w:val="0"/>
              <w:spacing w:line="288" w:lineRule="auto"/>
              <w:rPr>
                <w:rFonts w:ascii="仿宋" w:hAnsi="仿宋" w:eastAsia="仿宋" w:cs="仿宋"/>
                <w:color w:val="auto"/>
                <w:szCs w:val="21"/>
                <w:highlight w:val="none"/>
              </w:rPr>
            </w:pPr>
          </w:p>
        </w:tc>
        <w:tc>
          <w:tcPr>
            <w:tcW w:w="1503" w:type="dxa"/>
            <w:tcBorders>
              <w:top w:val="single" w:color="000000" w:sz="6" w:space="0"/>
              <w:left w:val="single" w:color="000000" w:sz="6" w:space="0"/>
              <w:bottom w:val="single" w:color="000000" w:sz="6" w:space="0"/>
              <w:right w:val="single" w:color="auto" w:sz="4" w:space="0"/>
            </w:tcBorders>
            <w:tcMar>
              <w:top w:w="30" w:type="dxa"/>
              <w:left w:w="30" w:type="dxa"/>
              <w:bottom w:w="30" w:type="dxa"/>
              <w:right w:w="30" w:type="dxa"/>
            </w:tcMar>
            <w:vAlign w:val="center"/>
          </w:tcPr>
          <w:p>
            <w:pPr>
              <w:adjustRightInd w:val="0"/>
              <w:snapToGrid w:val="0"/>
              <w:spacing w:line="288" w:lineRule="auto"/>
              <w:rPr>
                <w:rFonts w:ascii="仿宋" w:hAnsi="仿宋" w:eastAsia="仿宋" w:cs="仿宋"/>
                <w:color w:val="auto"/>
                <w:szCs w:val="21"/>
                <w:highlight w:val="none"/>
              </w:rPr>
            </w:pPr>
          </w:p>
        </w:tc>
        <w:tc>
          <w:tcPr>
            <w:tcW w:w="2243" w:type="dxa"/>
            <w:tcBorders>
              <w:top w:val="single" w:color="000000" w:sz="6" w:space="0"/>
              <w:left w:val="single" w:color="auto" w:sz="4" w:space="0"/>
              <w:bottom w:val="single" w:color="000000" w:sz="6" w:space="0"/>
              <w:right w:val="single" w:color="000000" w:sz="2" w:space="0"/>
            </w:tcBorders>
            <w:vAlign w:val="center"/>
          </w:tcPr>
          <w:p>
            <w:pPr>
              <w:adjustRightInd w:val="0"/>
              <w:snapToGrid w:val="0"/>
              <w:spacing w:line="288" w:lineRule="auto"/>
              <w:rPr>
                <w:rFonts w:ascii="仿宋" w:hAnsi="仿宋" w:eastAsia="仿宋" w:cs="仿宋"/>
                <w:color w:val="auto"/>
                <w:szCs w:val="21"/>
                <w:highlight w:val="none"/>
              </w:rPr>
            </w:pPr>
          </w:p>
        </w:tc>
        <w:tc>
          <w:tcPr>
            <w:tcW w:w="892" w:type="dxa"/>
            <w:tcBorders>
              <w:top w:val="single" w:color="000000" w:sz="6" w:space="0"/>
              <w:left w:val="single" w:color="000000" w:sz="2" w:space="0"/>
              <w:bottom w:val="single" w:color="000000" w:sz="6" w:space="0"/>
              <w:right w:val="single" w:color="auto" w:sz="4" w:space="0"/>
            </w:tcBorders>
            <w:vAlign w:val="center"/>
          </w:tcPr>
          <w:p>
            <w:pPr>
              <w:adjustRightInd w:val="0"/>
              <w:snapToGrid w:val="0"/>
              <w:spacing w:line="288" w:lineRule="auto"/>
              <w:rPr>
                <w:rFonts w:ascii="仿宋" w:hAnsi="仿宋" w:eastAsia="仿宋" w:cs="仿宋"/>
                <w:color w:val="auto"/>
                <w:szCs w:val="21"/>
                <w:highlight w:val="none"/>
              </w:rPr>
            </w:pPr>
          </w:p>
        </w:tc>
        <w:tc>
          <w:tcPr>
            <w:tcW w:w="714" w:type="dxa"/>
            <w:tcBorders>
              <w:top w:val="single" w:color="000000" w:sz="6" w:space="0"/>
              <w:left w:val="single" w:color="auto" w:sz="4" w:space="0"/>
              <w:bottom w:val="single" w:color="000000" w:sz="6" w:space="0"/>
              <w:right w:val="single" w:color="000000" w:sz="6" w:space="0"/>
            </w:tcBorders>
            <w:vAlign w:val="center"/>
          </w:tcPr>
          <w:p>
            <w:pPr>
              <w:adjustRightInd w:val="0"/>
              <w:snapToGrid w:val="0"/>
              <w:spacing w:line="288" w:lineRule="auto"/>
              <w:rPr>
                <w:rFonts w:ascii="仿宋" w:hAnsi="仿宋" w:eastAsia="仿宋" w:cs="仿宋"/>
                <w:color w:val="auto"/>
                <w:szCs w:val="21"/>
                <w:highlight w:val="none"/>
              </w:rPr>
            </w:pPr>
          </w:p>
        </w:tc>
        <w:tc>
          <w:tcPr>
            <w:tcW w:w="1247" w:type="dxa"/>
            <w:tcBorders>
              <w:top w:val="single" w:color="000000" w:sz="6" w:space="0"/>
              <w:left w:val="single" w:color="000000" w:sz="6" w:space="0"/>
              <w:bottom w:val="single" w:color="000000" w:sz="6" w:space="0"/>
              <w:right w:val="single" w:color="000000" w:sz="6" w:space="0"/>
            </w:tcBorders>
            <w:tcMar>
              <w:top w:w="30" w:type="dxa"/>
              <w:left w:w="30" w:type="dxa"/>
              <w:bottom w:w="30" w:type="dxa"/>
              <w:right w:w="30" w:type="dxa"/>
            </w:tcMar>
            <w:vAlign w:val="center"/>
          </w:tcPr>
          <w:p>
            <w:pPr>
              <w:adjustRightInd w:val="0"/>
              <w:snapToGrid w:val="0"/>
              <w:spacing w:line="288" w:lineRule="auto"/>
              <w:rPr>
                <w:rFonts w:ascii="仿宋" w:hAnsi="仿宋" w:eastAsia="仿宋" w:cs="仿宋"/>
                <w:color w:val="auto"/>
                <w:szCs w:val="21"/>
                <w:highlight w:val="none"/>
              </w:rPr>
            </w:pPr>
          </w:p>
        </w:tc>
        <w:tc>
          <w:tcPr>
            <w:tcW w:w="1076"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288" w:lineRule="auto"/>
              <w:rPr>
                <w:rFonts w:ascii="仿宋" w:hAnsi="仿宋" w:eastAsia="仿宋" w:cs="仿宋"/>
                <w:color w:val="auto"/>
                <w:szCs w:val="21"/>
                <w:highlight w:val="none"/>
              </w:rPr>
            </w:pPr>
          </w:p>
        </w:tc>
      </w:tr>
      <w:tr>
        <w:tblPrEx>
          <w:tblCellMar>
            <w:top w:w="0" w:type="dxa"/>
            <w:left w:w="0" w:type="dxa"/>
            <w:bottom w:w="0" w:type="dxa"/>
            <w:right w:w="0" w:type="dxa"/>
          </w:tblCellMar>
        </w:tblPrEx>
        <w:trPr>
          <w:trHeight w:val="564" w:hRule="atLeast"/>
          <w:jc w:val="center"/>
        </w:trPr>
        <w:tc>
          <w:tcPr>
            <w:tcW w:w="575" w:type="dxa"/>
            <w:tcBorders>
              <w:top w:val="single" w:color="000000" w:sz="6" w:space="0"/>
              <w:left w:val="single" w:color="000000" w:sz="6" w:space="0"/>
              <w:bottom w:val="single" w:color="000000" w:sz="6" w:space="0"/>
              <w:right w:val="single" w:color="000000" w:sz="6" w:space="0"/>
            </w:tcBorders>
            <w:tcMar>
              <w:top w:w="30" w:type="dxa"/>
              <w:left w:w="30" w:type="dxa"/>
              <w:bottom w:w="30" w:type="dxa"/>
              <w:right w:w="30" w:type="dxa"/>
            </w:tcMar>
            <w:vAlign w:val="center"/>
          </w:tcPr>
          <w:p>
            <w:pPr>
              <w:adjustRightInd w:val="0"/>
              <w:snapToGrid w:val="0"/>
              <w:spacing w:line="288"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3</w:t>
            </w:r>
          </w:p>
        </w:tc>
        <w:tc>
          <w:tcPr>
            <w:tcW w:w="1199" w:type="dxa"/>
            <w:tcBorders>
              <w:top w:val="single" w:color="000000" w:sz="6" w:space="0"/>
              <w:left w:val="single" w:color="000000" w:sz="6" w:space="0"/>
              <w:bottom w:val="single" w:color="000000" w:sz="6" w:space="0"/>
              <w:right w:val="single" w:color="000000" w:sz="6" w:space="0"/>
            </w:tcBorders>
            <w:tcMar>
              <w:top w:w="30" w:type="dxa"/>
              <w:left w:w="30" w:type="dxa"/>
              <w:bottom w:w="30" w:type="dxa"/>
              <w:right w:w="30" w:type="dxa"/>
            </w:tcMar>
            <w:vAlign w:val="center"/>
          </w:tcPr>
          <w:p>
            <w:pPr>
              <w:adjustRightInd w:val="0"/>
              <w:snapToGrid w:val="0"/>
              <w:spacing w:line="288" w:lineRule="auto"/>
              <w:rPr>
                <w:rFonts w:ascii="仿宋" w:hAnsi="仿宋" w:eastAsia="仿宋" w:cs="仿宋"/>
                <w:color w:val="auto"/>
                <w:szCs w:val="21"/>
                <w:highlight w:val="none"/>
              </w:rPr>
            </w:pPr>
          </w:p>
        </w:tc>
        <w:tc>
          <w:tcPr>
            <w:tcW w:w="1503" w:type="dxa"/>
            <w:tcBorders>
              <w:top w:val="single" w:color="000000" w:sz="6" w:space="0"/>
              <w:left w:val="single" w:color="000000" w:sz="6" w:space="0"/>
              <w:bottom w:val="single" w:color="000000" w:sz="6" w:space="0"/>
              <w:right w:val="single" w:color="auto" w:sz="4" w:space="0"/>
            </w:tcBorders>
            <w:tcMar>
              <w:top w:w="30" w:type="dxa"/>
              <w:left w:w="30" w:type="dxa"/>
              <w:bottom w:w="30" w:type="dxa"/>
              <w:right w:w="30" w:type="dxa"/>
            </w:tcMar>
            <w:vAlign w:val="center"/>
          </w:tcPr>
          <w:p>
            <w:pPr>
              <w:adjustRightInd w:val="0"/>
              <w:snapToGrid w:val="0"/>
              <w:spacing w:line="288" w:lineRule="auto"/>
              <w:rPr>
                <w:rFonts w:ascii="仿宋" w:hAnsi="仿宋" w:eastAsia="仿宋" w:cs="仿宋"/>
                <w:color w:val="auto"/>
                <w:szCs w:val="21"/>
                <w:highlight w:val="none"/>
              </w:rPr>
            </w:pPr>
          </w:p>
        </w:tc>
        <w:tc>
          <w:tcPr>
            <w:tcW w:w="2243" w:type="dxa"/>
            <w:tcBorders>
              <w:top w:val="single" w:color="000000" w:sz="6" w:space="0"/>
              <w:left w:val="single" w:color="auto" w:sz="4" w:space="0"/>
              <w:bottom w:val="single" w:color="000000" w:sz="6" w:space="0"/>
              <w:right w:val="single" w:color="000000" w:sz="2" w:space="0"/>
            </w:tcBorders>
            <w:vAlign w:val="center"/>
          </w:tcPr>
          <w:p>
            <w:pPr>
              <w:adjustRightInd w:val="0"/>
              <w:snapToGrid w:val="0"/>
              <w:spacing w:line="288" w:lineRule="auto"/>
              <w:rPr>
                <w:rFonts w:ascii="仿宋" w:hAnsi="仿宋" w:eastAsia="仿宋" w:cs="仿宋"/>
                <w:color w:val="auto"/>
                <w:szCs w:val="21"/>
                <w:highlight w:val="none"/>
              </w:rPr>
            </w:pPr>
          </w:p>
        </w:tc>
        <w:tc>
          <w:tcPr>
            <w:tcW w:w="892" w:type="dxa"/>
            <w:tcBorders>
              <w:top w:val="single" w:color="000000" w:sz="6" w:space="0"/>
              <w:left w:val="single" w:color="000000" w:sz="2" w:space="0"/>
              <w:bottom w:val="single" w:color="000000" w:sz="6" w:space="0"/>
              <w:right w:val="single" w:color="auto" w:sz="4" w:space="0"/>
            </w:tcBorders>
            <w:vAlign w:val="center"/>
          </w:tcPr>
          <w:p>
            <w:pPr>
              <w:adjustRightInd w:val="0"/>
              <w:snapToGrid w:val="0"/>
              <w:spacing w:line="288" w:lineRule="auto"/>
              <w:rPr>
                <w:rFonts w:ascii="仿宋" w:hAnsi="仿宋" w:eastAsia="仿宋" w:cs="仿宋"/>
                <w:color w:val="auto"/>
                <w:szCs w:val="21"/>
                <w:highlight w:val="none"/>
              </w:rPr>
            </w:pPr>
          </w:p>
        </w:tc>
        <w:tc>
          <w:tcPr>
            <w:tcW w:w="714" w:type="dxa"/>
            <w:tcBorders>
              <w:top w:val="single" w:color="000000" w:sz="6" w:space="0"/>
              <w:left w:val="single" w:color="auto" w:sz="4" w:space="0"/>
              <w:bottom w:val="single" w:color="000000" w:sz="6" w:space="0"/>
              <w:right w:val="single" w:color="000000" w:sz="6" w:space="0"/>
            </w:tcBorders>
            <w:vAlign w:val="center"/>
          </w:tcPr>
          <w:p>
            <w:pPr>
              <w:adjustRightInd w:val="0"/>
              <w:snapToGrid w:val="0"/>
              <w:spacing w:line="288" w:lineRule="auto"/>
              <w:rPr>
                <w:rFonts w:ascii="仿宋" w:hAnsi="仿宋" w:eastAsia="仿宋" w:cs="仿宋"/>
                <w:color w:val="auto"/>
                <w:szCs w:val="21"/>
                <w:highlight w:val="none"/>
              </w:rPr>
            </w:pPr>
          </w:p>
        </w:tc>
        <w:tc>
          <w:tcPr>
            <w:tcW w:w="1247" w:type="dxa"/>
            <w:tcBorders>
              <w:top w:val="single" w:color="000000" w:sz="6" w:space="0"/>
              <w:left w:val="single" w:color="000000" w:sz="6" w:space="0"/>
              <w:bottom w:val="single" w:color="000000" w:sz="6" w:space="0"/>
              <w:right w:val="single" w:color="000000" w:sz="6" w:space="0"/>
            </w:tcBorders>
            <w:tcMar>
              <w:top w:w="30" w:type="dxa"/>
              <w:left w:w="30" w:type="dxa"/>
              <w:bottom w:w="30" w:type="dxa"/>
              <w:right w:w="30" w:type="dxa"/>
            </w:tcMar>
            <w:vAlign w:val="center"/>
          </w:tcPr>
          <w:p>
            <w:pPr>
              <w:adjustRightInd w:val="0"/>
              <w:snapToGrid w:val="0"/>
              <w:spacing w:line="288" w:lineRule="auto"/>
              <w:rPr>
                <w:rFonts w:ascii="仿宋" w:hAnsi="仿宋" w:eastAsia="仿宋" w:cs="仿宋"/>
                <w:color w:val="auto"/>
                <w:szCs w:val="21"/>
                <w:highlight w:val="none"/>
              </w:rPr>
            </w:pPr>
          </w:p>
        </w:tc>
        <w:tc>
          <w:tcPr>
            <w:tcW w:w="1076"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288" w:lineRule="auto"/>
              <w:rPr>
                <w:rFonts w:ascii="仿宋" w:hAnsi="仿宋" w:eastAsia="仿宋" w:cs="仿宋"/>
                <w:color w:val="auto"/>
                <w:szCs w:val="21"/>
                <w:highlight w:val="none"/>
              </w:rPr>
            </w:pPr>
          </w:p>
        </w:tc>
      </w:tr>
      <w:tr>
        <w:tblPrEx>
          <w:tblCellMar>
            <w:top w:w="0" w:type="dxa"/>
            <w:left w:w="0" w:type="dxa"/>
            <w:bottom w:w="0" w:type="dxa"/>
            <w:right w:w="0" w:type="dxa"/>
          </w:tblCellMar>
        </w:tblPrEx>
        <w:trPr>
          <w:trHeight w:val="578" w:hRule="atLeast"/>
          <w:jc w:val="center"/>
        </w:trPr>
        <w:tc>
          <w:tcPr>
            <w:tcW w:w="575" w:type="dxa"/>
            <w:tcBorders>
              <w:top w:val="single" w:color="000000" w:sz="6" w:space="0"/>
              <w:left w:val="single" w:color="000000" w:sz="6" w:space="0"/>
              <w:bottom w:val="single" w:color="000000" w:sz="6" w:space="0"/>
              <w:right w:val="single" w:color="000000" w:sz="6" w:space="0"/>
            </w:tcBorders>
            <w:tcMar>
              <w:top w:w="30" w:type="dxa"/>
              <w:left w:w="30" w:type="dxa"/>
              <w:bottom w:w="30" w:type="dxa"/>
              <w:right w:w="30" w:type="dxa"/>
            </w:tcMar>
            <w:vAlign w:val="center"/>
          </w:tcPr>
          <w:p>
            <w:pPr>
              <w:adjustRightInd w:val="0"/>
              <w:snapToGrid w:val="0"/>
              <w:spacing w:line="288"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w:t>
            </w:r>
          </w:p>
        </w:tc>
        <w:tc>
          <w:tcPr>
            <w:tcW w:w="1199" w:type="dxa"/>
            <w:tcBorders>
              <w:top w:val="single" w:color="000000" w:sz="6" w:space="0"/>
              <w:left w:val="single" w:color="000000" w:sz="6" w:space="0"/>
              <w:bottom w:val="single" w:color="000000" w:sz="6" w:space="0"/>
              <w:right w:val="single" w:color="000000" w:sz="6" w:space="0"/>
            </w:tcBorders>
            <w:tcMar>
              <w:top w:w="30" w:type="dxa"/>
              <w:left w:w="30" w:type="dxa"/>
              <w:bottom w:w="30" w:type="dxa"/>
              <w:right w:w="30" w:type="dxa"/>
            </w:tcMar>
            <w:vAlign w:val="center"/>
          </w:tcPr>
          <w:p>
            <w:pPr>
              <w:adjustRightInd w:val="0"/>
              <w:snapToGrid w:val="0"/>
              <w:spacing w:line="288" w:lineRule="auto"/>
              <w:rPr>
                <w:rFonts w:ascii="仿宋" w:hAnsi="仿宋" w:eastAsia="仿宋" w:cs="仿宋"/>
                <w:color w:val="auto"/>
                <w:szCs w:val="21"/>
                <w:highlight w:val="none"/>
              </w:rPr>
            </w:pPr>
          </w:p>
        </w:tc>
        <w:tc>
          <w:tcPr>
            <w:tcW w:w="1503" w:type="dxa"/>
            <w:tcBorders>
              <w:top w:val="single" w:color="000000" w:sz="6" w:space="0"/>
              <w:left w:val="single" w:color="000000" w:sz="6" w:space="0"/>
              <w:bottom w:val="single" w:color="000000" w:sz="6" w:space="0"/>
              <w:right w:val="single" w:color="auto" w:sz="4" w:space="0"/>
            </w:tcBorders>
            <w:tcMar>
              <w:top w:w="30" w:type="dxa"/>
              <w:left w:w="30" w:type="dxa"/>
              <w:bottom w:w="30" w:type="dxa"/>
              <w:right w:w="30" w:type="dxa"/>
            </w:tcMar>
            <w:vAlign w:val="center"/>
          </w:tcPr>
          <w:p>
            <w:pPr>
              <w:adjustRightInd w:val="0"/>
              <w:snapToGrid w:val="0"/>
              <w:spacing w:line="288" w:lineRule="auto"/>
              <w:rPr>
                <w:rFonts w:ascii="仿宋" w:hAnsi="仿宋" w:eastAsia="仿宋" w:cs="仿宋"/>
                <w:color w:val="auto"/>
                <w:szCs w:val="21"/>
                <w:highlight w:val="none"/>
              </w:rPr>
            </w:pPr>
          </w:p>
        </w:tc>
        <w:tc>
          <w:tcPr>
            <w:tcW w:w="2243" w:type="dxa"/>
            <w:tcBorders>
              <w:top w:val="single" w:color="000000" w:sz="6" w:space="0"/>
              <w:left w:val="single" w:color="auto" w:sz="4" w:space="0"/>
              <w:bottom w:val="single" w:color="000000" w:sz="6" w:space="0"/>
              <w:right w:val="single" w:color="000000" w:sz="2" w:space="0"/>
            </w:tcBorders>
            <w:vAlign w:val="center"/>
          </w:tcPr>
          <w:p>
            <w:pPr>
              <w:adjustRightInd w:val="0"/>
              <w:snapToGrid w:val="0"/>
              <w:spacing w:line="288" w:lineRule="auto"/>
              <w:rPr>
                <w:rFonts w:ascii="仿宋" w:hAnsi="仿宋" w:eastAsia="仿宋" w:cs="仿宋"/>
                <w:color w:val="auto"/>
                <w:szCs w:val="21"/>
                <w:highlight w:val="none"/>
              </w:rPr>
            </w:pPr>
          </w:p>
        </w:tc>
        <w:tc>
          <w:tcPr>
            <w:tcW w:w="892" w:type="dxa"/>
            <w:tcBorders>
              <w:top w:val="single" w:color="000000" w:sz="6" w:space="0"/>
              <w:left w:val="single" w:color="000000" w:sz="2" w:space="0"/>
              <w:bottom w:val="single" w:color="000000" w:sz="6" w:space="0"/>
              <w:right w:val="single" w:color="auto" w:sz="4" w:space="0"/>
            </w:tcBorders>
            <w:vAlign w:val="center"/>
          </w:tcPr>
          <w:p>
            <w:pPr>
              <w:adjustRightInd w:val="0"/>
              <w:snapToGrid w:val="0"/>
              <w:spacing w:line="288" w:lineRule="auto"/>
              <w:rPr>
                <w:rFonts w:ascii="仿宋" w:hAnsi="仿宋" w:eastAsia="仿宋" w:cs="仿宋"/>
                <w:color w:val="auto"/>
                <w:szCs w:val="21"/>
                <w:highlight w:val="none"/>
              </w:rPr>
            </w:pPr>
          </w:p>
        </w:tc>
        <w:tc>
          <w:tcPr>
            <w:tcW w:w="714" w:type="dxa"/>
            <w:tcBorders>
              <w:top w:val="single" w:color="000000" w:sz="6" w:space="0"/>
              <w:left w:val="single" w:color="auto" w:sz="4" w:space="0"/>
              <w:bottom w:val="single" w:color="000000" w:sz="6" w:space="0"/>
              <w:right w:val="single" w:color="000000" w:sz="6" w:space="0"/>
            </w:tcBorders>
            <w:vAlign w:val="center"/>
          </w:tcPr>
          <w:p>
            <w:pPr>
              <w:adjustRightInd w:val="0"/>
              <w:snapToGrid w:val="0"/>
              <w:spacing w:line="288" w:lineRule="auto"/>
              <w:rPr>
                <w:rFonts w:ascii="仿宋" w:hAnsi="仿宋" w:eastAsia="仿宋" w:cs="仿宋"/>
                <w:color w:val="auto"/>
                <w:szCs w:val="21"/>
                <w:highlight w:val="none"/>
              </w:rPr>
            </w:pPr>
          </w:p>
        </w:tc>
        <w:tc>
          <w:tcPr>
            <w:tcW w:w="1247" w:type="dxa"/>
            <w:tcBorders>
              <w:top w:val="single" w:color="000000" w:sz="6" w:space="0"/>
              <w:left w:val="single" w:color="000000" w:sz="6" w:space="0"/>
              <w:bottom w:val="single" w:color="000000" w:sz="6" w:space="0"/>
              <w:right w:val="single" w:color="000000" w:sz="6" w:space="0"/>
            </w:tcBorders>
            <w:tcMar>
              <w:top w:w="30" w:type="dxa"/>
              <w:left w:w="30" w:type="dxa"/>
              <w:bottom w:w="30" w:type="dxa"/>
              <w:right w:w="30" w:type="dxa"/>
            </w:tcMar>
            <w:vAlign w:val="center"/>
          </w:tcPr>
          <w:p>
            <w:pPr>
              <w:adjustRightInd w:val="0"/>
              <w:snapToGrid w:val="0"/>
              <w:spacing w:line="288" w:lineRule="auto"/>
              <w:rPr>
                <w:rFonts w:ascii="仿宋" w:hAnsi="仿宋" w:eastAsia="仿宋" w:cs="仿宋"/>
                <w:color w:val="auto"/>
                <w:szCs w:val="21"/>
                <w:highlight w:val="none"/>
              </w:rPr>
            </w:pPr>
          </w:p>
        </w:tc>
        <w:tc>
          <w:tcPr>
            <w:tcW w:w="1076"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288" w:lineRule="auto"/>
              <w:rPr>
                <w:rFonts w:ascii="仿宋" w:hAnsi="仿宋" w:eastAsia="仿宋" w:cs="仿宋"/>
                <w:color w:val="auto"/>
                <w:szCs w:val="21"/>
                <w:highlight w:val="none"/>
              </w:rPr>
            </w:pPr>
          </w:p>
        </w:tc>
      </w:tr>
      <w:tr>
        <w:tblPrEx>
          <w:tblCellMar>
            <w:top w:w="0" w:type="dxa"/>
            <w:left w:w="0" w:type="dxa"/>
            <w:bottom w:w="0" w:type="dxa"/>
            <w:right w:w="0" w:type="dxa"/>
          </w:tblCellMar>
        </w:tblPrEx>
        <w:trPr>
          <w:trHeight w:val="578" w:hRule="atLeast"/>
          <w:jc w:val="center"/>
        </w:trPr>
        <w:tc>
          <w:tcPr>
            <w:tcW w:w="9449" w:type="dxa"/>
            <w:gridSpan w:val="8"/>
            <w:tcBorders>
              <w:top w:val="single" w:color="000000" w:sz="6" w:space="0"/>
              <w:left w:val="single" w:color="000000" w:sz="6" w:space="0"/>
              <w:bottom w:val="single" w:color="000000" w:sz="6" w:space="0"/>
              <w:right w:val="single" w:color="000000" w:sz="6" w:space="0"/>
            </w:tcBorders>
            <w:tcMar>
              <w:top w:w="30" w:type="dxa"/>
              <w:left w:w="30" w:type="dxa"/>
              <w:bottom w:w="30" w:type="dxa"/>
              <w:right w:w="30" w:type="dxa"/>
            </w:tcMar>
            <w:vAlign w:val="center"/>
          </w:tcPr>
          <w:p>
            <w:pPr>
              <w:adjustRightInd w:val="0"/>
              <w:snapToGrid w:val="0"/>
              <w:spacing w:line="288" w:lineRule="auto"/>
              <w:rPr>
                <w:rFonts w:ascii="仿宋" w:hAnsi="仿宋" w:eastAsia="仿宋" w:cs="仿宋"/>
                <w:color w:val="auto"/>
                <w:szCs w:val="21"/>
                <w:highlight w:val="none"/>
              </w:rPr>
            </w:pPr>
            <w:r>
              <w:rPr>
                <w:rFonts w:hint="eastAsia" w:ascii="仿宋" w:hAnsi="仿宋" w:eastAsia="仿宋" w:cs="仿宋"/>
                <w:color w:val="auto"/>
                <w:szCs w:val="21"/>
                <w:highlight w:val="none"/>
              </w:rPr>
              <w:t xml:space="preserve">合同总价（含税）： </w:t>
            </w:r>
            <w:r>
              <w:rPr>
                <w:rFonts w:ascii="仿宋" w:hAnsi="仿宋" w:eastAsia="仿宋" w:cs="仿宋"/>
                <w:color w:val="auto"/>
                <w:szCs w:val="21"/>
                <w:highlight w:val="none"/>
              </w:rPr>
              <w:t xml:space="preserve">            </w:t>
            </w:r>
            <w:r>
              <w:rPr>
                <w:rFonts w:hint="eastAsia" w:ascii="仿宋" w:hAnsi="仿宋" w:eastAsia="仿宋" w:cs="仿宋"/>
                <w:color w:val="auto"/>
                <w:szCs w:val="21"/>
                <w:highlight w:val="none"/>
              </w:rPr>
              <w:t xml:space="preserve">（小写） </w:t>
            </w:r>
            <w:r>
              <w:rPr>
                <w:rFonts w:ascii="仿宋" w:hAnsi="仿宋" w:eastAsia="仿宋" w:cs="仿宋"/>
                <w:color w:val="auto"/>
                <w:szCs w:val="21"/>
                <w:highlight w:val="none"/>
              </w:rPr>
              <w:t xml:space="preserve">          </w:t>
            </w:r>
            <w:r>
              <w:rPr>
                <w:rFonts w:hint="eastAsia" w:ascii="仿宋" w:hAnsi="仿宋" w:eastAsia="仿宋" w:cs="仿宋"/>
                <w:color w:val="auto"/>
                <w:szCs w:val="21"/>
                <w:highlight w:val="none"/>
              </w:rPr>
              <w:t>（大写）</w:t>
            </w:r>
          </w:p>
        </w:tc>
      </w:tr>
    </w:tbl>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注：合同总价已包括货物金额、包装、运输保险费、装卸费、安装及相关材料费、调试费、软件费、检验费、培训费用及税金等为确保合法、正常使用货物及乙方履行本合同项下约定的所有义务所需支出的全部费用，甲方有权拒付本合同约定合同总价以外的任何费用，且无论国家税率是否调整，合同价款均不予调整。</w:t>
      </w:r>
    </w:p>
    <w:p>
      <w:pPr>
        <w:adjustRightInd w:val="0"/>
        <w:snapToGrid w:val="0"/>
        <w:spacing w:line="288" w:lineRule="auto"/>
        <w:ind w:firstLine="422" w:firstLineChars="200"/>
        <w:rPr>
          <w:rFonts w:ascii="仿宋" w:hAnsi="仿宋" w:eastAsia="仿宋" w:cs="仿宋"/>
          <w:b/>
          <w:bCs/>
          <w:color w:val="auto"/>
          <w:szCs w:val="21"/>
          <w:highlight w:val="none"/>
        </w:rPr>
      </w:pPr>
      <w:r>
        <w:rPr>
          <w:rFonts w:hint="eastAsia" w:ascii="仿宋" w:hAnsi="仿宋" w:eastAsia="仿宋" w:cs="仿宋"/>
          <w:b/>
          <w:bCs/>
          <w:color w:val="auto"/>
          <w:szCs w:val="21"/>
          <w:highlight w:val="none"/>
        </w:rPr>
        <w:t>第二条 交货时间及地点</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乙方负责将货物安全运至甲方指定交货地点：【</w:t>
      </w:r>
      <w:r>
        <w:rPr>
          <w:rFonts w:ascii="仿宋" w:hAnsi="仿宋" w:eastAsia="仿宋" w:cs="仿宋"/>
          <w:color w:val="auto"/>
          <w:szCs w:val="21"/>
          <w:highlight w:val="none"/>
        </w:rPr>
        <w:t xml:space="preserve"> </w:t>
      </w:r>
      <w:r>
        <w:rPr>
          <w:rFonts w:hint="eastAsia" w:ascii="仿宋" w:hAnsi="仿宋" w:eastAsia="仿宋" w:cs="仿宋"/>
          <w:color w:val="auto"/>
          <w:szCs w:val="21"/>
          <w:highlight w:val="none"/>
        </w:rPr>
        <w:t>（填写具体交货地点）】；交货时间为：【</w:t>
      </w:r>
      <w:r>
        <w:rPr>
          <w:rFonts w:ascii="仿宋" w:hAnsi="仿宋" w:eastAsia="仿宋" w:cs="仿宋"/>
          <w:color w:val="auto"/>
          <w:szCs w:val="21"/>
          <w:highlight w:val="none"/>
        </w:rPr>
        <w:t xml:space="preserve"> </w:t>
      </w:r>
      <w:r>
        <w:rPr>
          <w:rFonts w:hint="eastAsia" w:ascii="仿宋" w:hAnsi="仿宋" w:eastAsia="仿宋" w:cs="仿宋"/>
          <w:color w:val="auto"/>
          <w:szCs w:val="21"/>
          <w:highlight w:val="none"/>
        </w:rPr>
        <w:t>（填写具体交货时间）】</w:t>
      </w:r>
      <w:r>
        <w:rPr>
          <w:rFonts w:ascii="仿宋" w:hAnsi="仿宋" w:eastAsia="仿宋" w:cs="仿宋"/>
          <w:color w:val="auto"/>
          <w:szCs w:val="21"/>
          <w:highlight w:val="none"/>
        </w:rPr>
        <w:t xml:space="preserve"> </w:t>
      </w:r>
      <w:r>
        <w:rPr>
          <w:rFonts w:hint="eastAsia" w:ascii="仿宋" w:hAnsi="仿宋" w:eastAsia="仿宋" w:cs="仿宋"/>
          <w:color w:val="auto"/>
          <w:szCs w:val="21"/>
          <w:highlight w:val="none"/>
        </w:rPr>
        <w:t>甲方收货联系人、联系方式：【</w:t>
      </w:r>
      <w:r>
        <w:rPr>
          <w:rFonts w:ascii="仿宋" w:hAnsi="仿宋" w:eastAsia="仿宋" w:cs="仿宋"/>
          <w:color w:val="auto"/>
          <w:szCs w:val="21"/>
          <w:highlight w:val="none"/>
        </w:rPr>
        <w:t xml:space="preserve"> </w:t>
      </w:r>
      <w:r>
        <w:rPr>
          <w:rFonts w:hint="eastAsia" w:ascii="仿宋" w:hAnsi="仿宋" w:eastAsia="仿宋" w:cs="仿宋"/>
          <w:color w:val="auto"/>
          <w:szCs w:val="21"/>
          <w:highlight w:val="none"/>
        </w:rPr>
        <w:t>（填写收货联系人及联系方式）】。</w:t>
      </w:r>
    </w:p>
    <w:p>
      <w:pPr>
        <w:adjustRightInd w:val="0"/>
        <w:snapToGrid w:val="0"/>
        <w:spacing w:line="288" w:lineRule="auto"/>
        <w:ind w:firstLine="422" w:firstLineChars="200"/>
        <w:rPr>
          <w:rFonts w:ascii="仿宋" w:hAnsi="仿宋" w:eastAsia="仿宋" w:cs="仿宋"/>
          <w:b/>
          <w:bCs/>
          <w:color w:val="auto"/>
          <w:szCs w:val="21"/>
          <w:highlight w:val="none"/>
        </w:rPr>
      </w:pPr>
      <w:r>
        <w:rPr>
          <w:rFonts w:hint="eastAsia" w:ascii="仿宋" w:hAnsi="仿宋" w:eastAsia="仿宋" w:cs="仿宋"/>
          <w:b/>
          <w:bCs/>
          <w:color w:val="auto"/>
          <w:szCs w:val="21"/>
          <w:highlight w:val="none"/>
        </w:rPr>
        <w:t>第三条 付款条款</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甲乙双方之间发生的本合同项下的一切价款、费用、金额均以人民币（币种）结算及支付。</w:t>
      </w:r>
      <w:r>
        <w:rPr>
          <w:rFonts w:ascii="仿宋" w:hAnsi="仿宋" w:eastAsia="仿宋" w:cs="仿宋"/>
          <w:color w:val="auto"/>
          <w:szCs w:val="21"/>
          <w:highlight w:val="none"/>
        </w:rPr>
        <w:t>在乙方无任何违约行为的前提下，甲方应按照下列第</w:t>
      </w:r>
      <w:r>
        <w:rPr>
          <w:rFonts w:hint="eastAsia" w:ascii="仿宋" w:hAnsi="仿宋" w:eastAsia="仿宋" w:cs="仿宋"/>
          <w:color w:val="auto"/>
          <w:szCs w:val="21"/>
          <w:highlight w:val="none"/>
        </w:rPr>
        <w:t>【（选择1、2、3中的一种）</w:t>
      </w:r>
      <w:r>
        <w:rPr>
          <w:rFonts w:ascii="仿宋" w:hAnsi="仿宋" w:eastAsia="仿宋" w:cs="仿宋"/>
          <w:color w:val="auto"/>
          <w:szCs w:val="21"/>
          <w:highlight w:val="none"/>
        </w:rPr>
        <w:t xml:space="preserve"> </w:t>
      </w:r>
      <w:r>
        <w:rPr>
          <w:rFonts w:hint="eastAsia" w:ascii="仿宋" w:hAnsi="仿宋" w:eastAsia="仿宋" w:cs="仿宋"/>
          <w:color w:val="auto"/>
          <w:szCs w:val="21"/>
          <w:highlight w:val="none"/>
        </w:rPr>
        <w:t>】</w:t>
      </w:r>
      <w:r>
        <w:rPr>
          <w:rFonts w:ascii="仿宋" w:hAnsi="仿宋" w:eastAsia="仿宋" w:cs="仿宋"/>
          <w:color w:val="auto"/>
          <w:szCs w:val="21"/>
          <w:highlight w:val="none"/>
        </w:rPr>
        <w:t>项约定向乙方支付款项：</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1、</w:t>
      </w:r>
      <w:r>
        <w:rPr>
          <w:rFonts w:ascii="仿宋" w:hAnsi="仿宋" w:eastAsia="仿宋" w:cs="仿宋"/>
          <w:color w:val="auto"/>
          <w:szCs w:val="21"/>
          <w:highlight w:val="none"/>
        </w:rPr>
        <w:t>甲方应于货物验收合格后</w:t>
      </w:r>
      <w:r>
        <w:rPr>
          <w:rFonts w:hint="eastAsia" w:ascii="仿宋" w:hAnsi="仿宋" w:eastAsia="仿宋" w:cs="仿宋"/>
          <w:color w:val="auto"/>
          <w:szCs w:val="21"/>
          <w:highlight w:val="none"/>
        </w:rPr>
        <w:t xml:space="preserve">【 </w:t>
      </w:r>
      <w:r>
        <w:rPr>
          <w:rFonts w:ascii="仿宋" w:hAnsi="仿宋" w:eastAsia="仿宋" w:cs="仿宋"/>
          <w:color w:val="auto"/>
          <w:szCs w:val="21"/>
          <w:highlight w:val="none"/>
        </w:rPr>
        <w:t xml:space="preserve">         </w:t>
      </w:r>
      <w:r>
        <w:rPr>
          <w:rFonts w:hint="eastAsia" w:ascii="仿宋" w:hAnsi="仿宋" w:eastAsia="仿宋" w:cs="仿宋"/>
          <w:color w:val="auto"/>
          <w:szCs w:val="21"/>
          <w:highlight w:val="none"/>
        </w:rPr>
        <w:t>】</w:t>
      </w:r>
      <w:r>
        <w:rPr>
          <w:rFonts w:ascii="仿宋" w:hAnsi="仿宋" w:eastAsia="仿宋" w:cs="仿宋"/>
          <w:color w:val="auto"/>
          <w:szCs w:val="21"/>
          <w:highlight w:val="none"/>
        </w:rPr>
        <w:t>个工作日内将货款全部支付给乙方。</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2、</w:t>
      </w:r>
      <w:r>
        <w:rPr>
          <w:rFonts w:ascii="仿宋" w:hAnsi="仿宋" w:eastAsia="仿宋" w:cs="仿宋"/>
          <w:color w:val="auto"/>
          <w:szCs w:val="21"/>
          <w:highlight w:val="none"/>
        </w:rPr>
        <w:t>向乙方分阶段支付价款：</w:t>
      </w:r>
    </w:p>
    <w:p>
      <w:pPr>
        <w:adjustRightInd w:val="0"/>
        <w:snapToGrid w:val="0"/>
        <w:spacing w:line="288" w:lineRule="auto"/>
        <w:ind w:firstLine="420" w:firstLineChars="200"/>
        <w:rPr>
          <w:rFonts w:ascii="仿宋" w:hAnsi="仿宋" w:eastAsia="仿宋" w:cs="仿宋"/>
          <w:color w:val="auto"/>
          <w:szCs w:val="21"/>
          <w:highlight w:val="none"/>
        </w:rPr>
      </w:pPr>
      <w:r>
        <w:rPr>
          <w:rFonts w:ascii="仿宋" w:hAnsi="仿宋" w:eastAsia="仿宋" w:cs="仿宋"/>
          <w:color w:val="auto"/>
          <w:szCs w:val="21"/>
          <w:highlight w:val="none"/>
        </w:rPr>
        <w:t xml:space="preserve">   a.</w:t>
      </w:r>
      <w:r>
        <w:rPr>
          <w:rFonts w:hint="eastAsia" w:ascii="仿宋" w:hAnsi="仿宋" w:eastAsia="仿宋" w:cs="仿宋"/>
          <w:color w:val="auto"/>
          <w:szCs w:val="21"/>
          <w:highlight w:val="none"/>
        </w:rPr>
        <w:t>【</w:t>
      </w:r>
      <w:r>
        <w:rPr>
          <w:rFonts w:ascii="仿宋" w:hAnsi="仿宋" w:eastAsia="仿宋" w:cs="仿宋"/>
          <w:color w:val="auto"/>
          <w:szCs w:val="21"/>
          <w:highlight w:val="none"/>
        </w:rPr>
        <w:t>自</w:t>
      </w:r>
      <w:r>
        <w:rPr>
          <w:rFonts w:hint="eastAsia" w:ascii="仿宋" w:hAnsi="仿宋" w:eastAsia="仿宋" w:cs="仿宋"/>
          <w:color w:val="auto"/>
          <w:szCs w:val="21"/>
          <w:highlight w:val="none"/>
        </w:rPr>
        <w:t xml:space="preserve"> </w:t>
      </w:r>
      <w:r>
        <w:rPr>
          <w:rFonts w:ascii="仿宋" w:hAnsi="仿宋" w:eastAsia="仿宋" w:cs="仿宋"/>
          <w:color w:val="auto"/>
          <w:szCs w:val="21"/>
          <w:highlight w:val="none"/>
        </w:rPr>
        <w:t xml:space="preserve">           后</w:t>
      </w:r>
      <w:r>
        <w:rPr>
          <w:rFonts w:hint="eastAsia" w:ascii="仿宋" w:hAnsi="仿宋" w:eastAsia="仿宋" w:cs="仿宋"/>
          <w:color w:val="auto"/>
          <w:szCs w:val="21"/>
          <w:highlight w:val="none"/>
        </w:rPr>
        <w:t xml:space="preserve"> </w:t>
      </w:r>
      <w:r>
        <w:rPr>
          <w:rFonts w:ascii="仿宋" w:hAnsi="仿宋" w:eastAsia="仿宋" w:cs="仿宋"/>
          <w:color w:val="auto"/>
          <w:szCs w:val="21"/>
          <w:highlight w:val="none"/>
        </w:rPr>
        <w:t xml:space="preserve">             日内，向乙方支付</w:t>
      </w:r>
      <w:r>
        <w:rPr>
          <w:rFonts w:hint="eastAsia" w:ascii="仿宋" w:hAnsi="仿宋" w:eastAsia="仿宋" w:cs="仿宋"/>
          <w:color w:val="auto"/>
          <w:szCs w:val="21"/>
          <w:highlight w:val="none"/>
        </w:rPr>
        <w:t xml:space="preserve"> </w:t>
      </w:r>
      <w:r>
        <w:rPr>
          <w:rFonts w:ascii="仿宋" w:hAnsi="仿宋" w:eastAsia="仿宋" w:cs="仿宋"/>
          <w:color w:val="auto"/>
          <w:szCs w:val="21"/>
          <w:highlight w:val="none"/>
        </w:rPr>
        <w:t xml:space="preserve">        </w:t>
      </w:r>
      <w:r>
        <w:rPr>
          <w:rFonts w:hint="eastAsia" w:ascii="仿宋" w:hAnsi="仿宋" w:eastAsia="仿宋" w:cs="仿宋"/>
          <w:color w:val="auto"/>
          <w:szCs w:val="21"/>
          <w:highlight w:val="none"/>
        </w:rPr>
        <w:t xml:space="preserve"> </w:t>
      </w:r>
      <w:r>
        <w:rPr>
          <w:rFonts w:ascii="仿宋" w:hAnsi="仿宋" w:eastAsia="仿宋" w:cs="仿宋"/>
          <w:color w:val="auto"/>
          <w:szCs w:val="21"/>
          <w:highlight w:val="none"/>
        </w:rPr>
        <w:t xml:space="preserve">     </w:t>
      </w:r>
      <w:r>
        <w:rPr>
          <w:rFonts w:hint="eastAsia" w:ascii="仿宋" w:hAnsi="仿宋" w:eastAsia="仿宋" w:cs="仿宋"/>
          <w:color w:val="auto"/>
          <w:szCs w:val="21"/>
          <w:highlight w:val="none"/>
        </w:rPr>
        <w:t>】</w:t>
      </w:r>
      <w:r>
        <w:rPr>
          <w:rFonts w:ascii="仿宋" w:hAnsi="仿宋" w:eastAsia="仿宋" w:cs="仿宋"/>
          <w:color w:val="auto"/>
          <w:szCs w:val="21"/>
          <w:highlight w:val="none"/>
        </w:rPr>
        <w:t>；</w:t>
      </w:r>
    </w:p>
    <w:p>
      <w:pPr>
        <w:adjustRightInd w:val="0"/>
        <w:snapToGrid w:val="0"/>
        <w:spacing w:line="288" w:lineRule="auto"/>
        <w:ind w:firstLine="420" w:firstLineChars="200"/>
        <w:rPr>
          <w:rFonts w:ascii="仿宋" w:hAnsi="仿宋" w:eastAsia="仿宋" w:cs="仿宋"/>
          <w:color w:val="auto"/>
          <w:szCs w:val="21"/>
          <w:highlight w:val="none"/>
        </w:rPr>
      </w:pPr>
      <w:r>
        <w:rPr>
          <w:rFonts w:ascii="仿宋" w:hAnsi="仿宋" w:eastAsia="仿宋" w:cs="仿宋"/>
          <w:color w:val="auto"/>
          <w:szCs w:val="21"/>
          <w:highlight w:val="none"/>
        </w:rPr>
        <w:t xml:space="preserve">   b.</w:t>
      </w:r>
      <w:r>
        <w:rPr>
          <w:rFonts w:hint="eastAsia" w:ascii="仿宋" w:hAnsi="仿宋" w:eastAsia="仿宋" w:cs="仿宋"/>
          <w:color w:val="auto"/>
          <w:szCs w:val="21"/>
          <w:highlight w:val="none"/>
        </w:rPr>
        <w:t>【</w:t>
      </w:r>
      <w:r>
        <w:rPr>
          <w:rFonts w:ascii="仿宋" w:hAnsi="仿宋" w:eastAsia="仿宋" w:cs="仿宋"/>
          <w:color w:val="auto"/>
          <w:szCs w:val="21"/>
          <w:highlight w:val="none"/>
        </w:rPr>
        <w:t>自</w:t>
      </w:r>
      <w:r>
        <w:rPr>
          <w:rFonts w:hint="eastAsia" w:ascii="仿宋" w:hAnsi="仿宋" w:eastAsia="仿宋" w:cs="仿宋"/>
          <w:color w:val="auto"/>
          <w:szCs w:val="21"/>
          <w:highlight w:val="none"/>
        </w:rPr>
        <w:t xml:space="preserve"> </w:t>
      </w:r>
      <w:r>
        <w:rPr>
          <w:rFonts w:ascii="仿宋" w:hAnsi="仿宋" w:eastAsia="仿宋" w:cs="仿宋"/>
          <w:color w:val="auto"/>
          <w:szCs w:val="21"/>
          <w:highlight w:val="none"/>
        </w:rPr>
        <w:t xml:space="preserve">           后</w:t>
      </w:r>
      <w:r>
        <w:rPr>
          <w:rFonts w:hint="eastAsia" w:ascii="仿宋" w:hAnsi="仿宋" w:eastAsia="仿宋" w:cs="仿宋"/>
          <w:color w:val="auto"/>
          <w:szCs w:val="21"/>
          <w:highlight w:val="none"/>
        </w:rPr>
        <w:t xml:space="preserve"> </w:t>
      </w:r>
      <w:r>
        <w:rPr>
          <w:rFonts w:ascii="仿宋" w:hAnsi="仿宋" w:eastAsia="仿宋" w:cs="仿宋"/>
          <w:color w:val="auto"/>
          <w:szCs w:val="21"/>
          <w:highlight w:val="none"/>
        </w:rPr>
        <w:t xml:space="preserve">            日内，向乙方支付</w:t>
      </w:r>
      <w:r>
        <w:rPr>
          <w:rFonts w:hint="eastAsia" w:ascii="仿宋" w:hAnsi="仿宋" w:eastAsia="仿宋" w:cs="仿宋"/>
          <w:color w:val="auto"/>
          <w:szCs w:val="21"/>
          <w:highlight w:val="none"/>
        </w:rPr>
        <w:t xml:space="preserve"> </w:t>
      </w:r>
      <w:r>
        <w:rPr>
          <w:rFonts w:ascii="仿宋" w:hAnsi="仿宋" w:eastAsia="仿宋" w:cs="仿宋"/>
          <w:color w:val="auto"/>
          <w:szCs w:val="21"/>
          <w:highlight w:val="none"/>
        </w:rPr>
        <w:t xml:space="preserve">       </w:t>
      </w:r>
      <w:r>
        <w:rPr>
          <w:rFonts w:hint="eastAsia" w:ascii="仿宋" w:hAnsi="仿宋" w:eastAsia="仿宋" w:cs="仿宋"/>
          <w:color w:val="auto"/>
          <w:szCs w:val="21"/>
          <w:highlight w:val="none"/>
        </w:rPr>
        <w:t xml:space="preserve">  </w:t>
      </w:r>
      <w:r>
        <w:rPr>
          <w:rFonts w:ascii="仿宋" w:hAnsi="仿宋" w:eastAsia="仿宋" w:cs="仿宋"/>
          <w:color w:val="auto"/>
          <w:szCs w:val="21"/>
          <w:highlight w:val="none"/>
        </w:rPr>
        <w:t xml:space="preserve">      </w:t>
      </w:r>
      <w:r>
        <w:rPr>
          <w:rFonts w:hint="eastAsia" w:ascii="仿宋" w:hAnsi="仿宋" w:eastAsia="仿宋" w:cs="仿宋"/>
          <w:color w:val="auto"/>
          <w:szCs w:val="21"/>
          <w:highlight w:val="none"/>
        </w:rPr>
        <w:t>】</w:t>
      </w:r>
      <w:r>
        <w:rPr>
          <w:rFonts w:ascii="仿宋" w:hAnsi="仿宋" w:eastAsia="仿宋" w:cs="仿宋"/>
          <w:color w:val="auto"/>
          <w:szCs w:val="21"/>
          <w:highlight w:val="none"/>
        </w:rPr>
        <w:t>；</w:t>
      </w:r>
    </w:p>
    <w:p>
      <w:pPr>
        <w:adjustRightInd w:val="0"/>
        <w:snapToGrid w:val="0"/>
        <w:spacing w:line="288" w:lineRule="auto"/>
        <w:ind w:firstLine="420" w:firstLineChars="200"/>
        <w:rPr>
          <w:rFonts w:ascii="仿宋" w:hAnsi="仿宋" w:eastAsia="仿宋" w:cs="仿宋"/>
          <w:color w:val="auto"/>
          <w:szCs w:val="21"/>
          <w:highlight w:val="none"/>
        </w:rPr>
      </w:pPr>
      <w:r>
        <w:rPr>
          <w:rFonts w:ascii="仿宋" w:hAnsi="仿宋" w:eastAsia="仿宋" w:cs="仿宋"/>
          <w:color w:val="auto"/>
          <w:szCs w:val="21"/>
          <w:highlight w:val="none"/>
        </w:rPr>
        <w:t xml:space="preserve">   c.</w:t>
      </w:r>
      <w:r>
        <w:rPr>
          <w:rFonts w:hint="eastAsia" w:ascii="仿宋" w:hAnsi="仿宋" w:eastAsia="仿宋" w:cs="仿宋"/>
          <w:color w:val="auto"/>
          <w:szCs w:val="21"/>
          <w:highlight w:val="none"/>
        </w:rPr>
        <w:t>【</w:t>
      </w:r>
      <w:r>
        <w:rPr>
          <w:rFonts w:ascii="仿宋" w:hAnsi="仿宋" w:eastAsia="仿宋" w:cs="仿宋"/>
          <w:color w:val="auto"/>
          <w:szCs w:val="21"/>
          <w:highlight w:val="none"/>
        </w:rPr>
        <w:t>自</w:t>
      </w:r>
      <w:r>
        <w:rPr>
          <w:rFonts w:hint="eastAsia" w:ascii="仿宋" w:hAnsi="仿宋" w:eastAsia="仿宋" w:cs="仿宋"/>
          <w:color w:val="auto"/>
          <w:szCs w:val="21"/>
          <w:highlight w:val="none"/>
        </w:rPr>
        <w:t xml:space="preserve"> </w:t>
      </w:r>
      <w:r>
        <w:rPr>
          <w:rFonts w:ascii="仿宋" w:hAnsi="仿宋" w:eastAsia="仿宋" w:cs="仿宋"/>
          <w:color w:val="auto"/>
          <w:szCs w:val="21"/>
          <w:highlight w:val="none"/>
        </w:rPr>
        <w:t xml:space="preserve">           后</w:t>
      </w:r>
      <w:r>
        <w:rPr>
          <w:rFonts w:hint="eastAsia" w:ascii="仿宋" w:hAnsi="仿宋" w:eastAsia="仿宋" w:cs="仿宋"/>
          <w:color w:val="auto"/>
          <w:szCs w:val="21"/>
          <w:highlight w:val="none"/>
        </w:rPr>
        <w:t xml:space="preserve"> </w:t>
      </w:r>
      <w:r>
        <w:rPr>
          <w:rFonts w:ascii="仿宋" w:hAnsi="仿宋" w:eastAsia="仿宋" w:cs="仿宋"/>
          <w:color w:val="auto"/>
          <w:szCs w:val="21"/>
          <w:highlight w:val="none"/>
        </w:rPr>
        <w:t xml:space="preserve">            日内，向乙方支付</w:t>
      </w:r>
      <w:r>
        <w:rPr>
          <w:rFonts w:hint="eastAsia" w:ascii="仿宋" w:hAnsi="仿宋" w:eastAsia="仿宋" w:cs="仿宋"/>
          <w:color w:val="auto"/>
          <w:szCs w:val="21"/>
          <w:highlight w:val="none"/>
        </w:rPr>
        <w:t xml:space="preserve"> </w:t>
      </w:r>
      <w:r>
        <w:rPr>
          <w:rFonts w:ascii="仿宋" w:hAnsi="仿宋" w:eastAsia="仿宋" w:cs="仿宋"/>
          <w:color w:val="auto"/>
          <w:szCs w:val="21"/>
          <w:highlight w:val="none"/>
        </w:rPr>
        <w:t xml:space="preserve">             </w:t>
      </w:r>
      <w:r>
        <w:rPr>
          <w:rFonts w:hint="eastAsia" w:ascii="仿宋" w:hAnsi="仿宋" w:eastAsia="仿宋" w:cs="仿宋"/>
          <w:color w:val="auto"/>
          <w:szCs w:val="21"/>
          <w:highlight w:val="none"/>
        </w:rPr>
        <w:t>】</w:t>
      </w:r>
      <w:r>
        <w:rPr>
          <w:rFonts w:ascii="仿宋" w:hAnsi="仿宋" w:eastAsia="仿宋" w:cs="仿宋"/>
          <w:color w:val="auto"/>
          <w:szCs w:val="21"/>
          <w:highlight w:val="none"/>
        </w:rPr>
        <w:t>。</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3、</w:t>
      </w:r>
      <w:r>
        <w:rPr>
          <w:rFonts w:ascii="仿宋" w:hAnsi="仿宋" w:eastAsia="仿宋" w:cs="仿宋"/>
          <w:color w:val="auto"/>
          <w:szCs w:val="21"/>
          <w:highlight w:val="none"/>
        </w:rPr>
        <w:t>其他支付方式及支付时间：</w:t>
      </w:r>
      <w:r>
        <w:rPr>
          <w:rFonts w:hint="eastAsia" w:ascii="仿宋" w:hAnsi="仿宋" w:eastAsia="仿宋" w:cs="仿宋"/>
          <w:color w:val="auto"/>
          <w:szCs w:val="21"/>
          <w:highlight w:val="none"/>
        </w:rPr>
        <w:t xml:space="preserve">【 </w:t>
      </w:r>
      <w:r>
        <w:rPr>
          <w:rFonts w:ascii="仿宋" w:hAnsi="仿宋" w:eastAsia="仿宋" w:cs="仿宋"/>
          <w:color w:val="auto"/>
          <w:szCs w:val="21"/>
          <w:highlight w:val="none"/>
        </w:rPr>
        <w:t xml:space="preserve">                    </w:t>
      </w:r>
      <w:r>
        <w:rPr>
          <w:rFonts w:hint="eastAsia" w:ascii="仿宋" w:hAnsi="仿宋" w:eastAsia="仿宋" w:cs="仿宋"/>
          <w:color w:val="auto"/>
          <w:szCs w:val="21"/>
          <w:highlight w:val="none"/>
        </w:rPr>
        <w:t>】</w:t>
      </w:r>
    </w:p>
    <w:p>
      <w:pPr>
        <w:adjustRightInd w:val="0"/>
        <w:snapToGrid w:val="0"/>
        <w:spacing w:line="288" w:lineRule="auto"/>
        <w:ind w:firstLine="422" w:firstLineChars="200"/>
        <w:rPr>
          <w:rFonts w:ascii="仿宋" w:hAnsi="仿宋" w:eastAsia="仿宋" w:cs="仿宋"/>
          <w:b/>
          <w:bCs/>
          <w:color w:val="auto"/>
          <w:szCs w:val="21"/>
          <w:highlight w:val="none"/>
        </w:rPr>
      </w:pPr>
      <w:r>
        <w:rPr>
          <w:rFonts w:hint="eastAsia" w:ascii="仿宋" w:hAnsi="仿宋" w:eastAsia="仿宋" w:cs="仿宋"/>
          <w:b/>
          <w:bCs/>
          <w:color w:val="auto"/>
          <w:szCs w:val="21"/>
          <w:highlight w:val="none"/>
        </w:rPr>
        <w:t>第四条</w:t>
      </w:r>
      <w:r>
        <w:rPr>
          <w:rFonts w:ascii="仿宋" w:hAnsi="仿宋" w:eastAsia="仿宋" w:cs="仿宋"/>
          <w:b/>
          <w:bCs/>
          <w:color w:val="auto"/>
          <w:szCs w:val="21"/>
          <w:highlight w:val="none"/>
        </w:rPr>
        <w:t xml:space="preserve"> </w:t>
      </w:r>
      <w:r>
        <w:rPr>
          <w:rFonts w:hint="eastAsia" w:ascii="仿宋" w:hAnsi="仿宋" w:eastAsia="仿宋" w:cs="仿宋"/>
          <w:b/>
          <w:bCs/>
          <w:color w:val="auto"/>
          <w:szCs w:val="21"/>
          <w:highlight w:val="none"/>
        </w:rPr>
        <w:t>履约保证金</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合同签订后【</w:t>
      </w:r>
      <w:r>
        <w:rPr>
          <w:rFonts w:ascii="仿宋" w:hAnsi="仿宋" w:eastAsia="仿宋" w:cs="仿宋"/>
          <w:color w:val="auto"/>
          <w:szCs w:val="21"/>
          <w:highlight w:val="none"/>
        </w:rPr>
        <w:t xml:space="preserve">    </w:t>
      </w:r>
      <w:r>
        <w:rPr>
          <w:rFonts w:hint="eastAsia" w:ascii="仿宋" w:hAnsi="仿宋" w:eastAsia="仿宋" w:cs="仿宋"/>
          <w:color w:val="auto"/>
          <w:szCs w:val="21"/>
          <w:highlight w:val="none"/>
        </w:rPr>
        <w:t>】</w:t>
      </w:r>
      <w:r>
        <w:rPr>
          <w:rFonts w:ascii="仿宋" w:hAnsi="仿宋" w:eastAsia="仿宋" w:cs="仿宋"/>
          <w:color w:val="auto"/>
          <w:szCs w:val="21"/>
          <w:highlight w:val="none"/>
        </w:rPr>
        <w:t>个工作日内，乙方应向甲方缴纳合同总金额</w:t>
      </w:r>
      <w:r>
        <w:rPr>
          <w:rFonts w:hint="eastAsia" w:ascii="仿宋" w:hAnsi="仿宋" w:eastAsia="仿宋" w:cs="仿宋"/>
          <w:color w:val="auto"/>
          <w:szCs w:val="21"/>
          <w:highlight w:val="none"/>
        </w:rPr>
        <w:t xml:space="preserve">【  </w:t>
      </w:r>
      <w:r>
        <w:rPr>
          <w:rFonts w:ascii="仿宋" w:hAnsi="仿宋" w:eastAsia="仿宋" w:cs="仿宋"/>
          <w:color w:val="auto"/>
          <w:szCs w:val="21"/>
          <w:highlight w:val="none"/>
        </w:rPr>
        <w:t xml:space="preserve"> </w:t>
      </w:r>
      <w:r>
        <w:rPr>
          <w:rFonts w:hint="eastAsia" w:ascii="仿宋" w:hAnsi="仿宋" w:eastAsia="仿宋" w:cs="仿宋"/>
          <w:color w:val="auto"/>
          <w:szCs w:val="21"/>
          <w:highlight w:val="none"/>
        </w:rPr>
        <w:t>】</w:t>
      </w:r>
      <w:r>
        <w:rPr>
          <w:rFonts w:ascii="仿宋" w:hAnsi="仿宋" w:eastAsia="仿宋" w:cs="仿宋"/>
          <w:color w:val="auto"/>
          <w:szCs w:val="21"/>
          <w:highlight w:val="none"/>
        </w:rPr>
        <w:t>%作为履约保证金</w:t>
      </w:r>
      <w:r>
        <w:rPr>
          <w:rFonts w:hint="eastAsia" w:ascii="仿宋" w:hAnsi="仿宋" w:eastAsia="仿宋" w:cs="仿宋"/>
          <w:color w:val="auto"/>
          <w:szCs w:val="21"/>
          <w:highlight w:val="none"/>
        </w:rPr>
        <w:t>，履约保证金自【全部货物验收合格】后，由甲方确认乙方合同主要义务履行完毕后无息退还。</w:t>
      </w:r>
    </w:p>
    <w:p>
      <w:pPr>
        <w:adjustRightInd w:val="0"/>
        <w:snapToGrid w:val="0"/>
        <w:spacing w:line="288" w:lineRule="auto"/>
        <w:ind w:firstLine="422" w:firstLineChars="200"/>
        <w:rPr>
          <w:rFonts w:ascii="仿宋" w:hAnsi="仿宋" w:eastAsia="仿宋" w:cs="仿宋"/>
          <w:b/>
          <w:bCs/>
          <w:color w:val="auto"/>
          <w:szCs w:val="21"/>
          <w:highlight w:val="none"/>
        </w:rPr>
      </w:pPr>
      <w:r>
        <w:rPr>
          <w:rFonts w:hint="eastAsia" w:ascii="仿宋" w:hAnsi="仿宋" w:eastAsia="仿宋" w:cs="仿宋"/>
          <w:b/>
          <w:bCs/>
          <w:color w:val="auto"/>
          <w:szCs w:val="21"/>
          <w:highlight w:val="none"/>
        </w:rPr>
        <w:t>第五条</w:t>
      </w:r>
      <w:r>
        <w:rPr>
          <w:rFonts w:ascii="仿宋" w:hAnsi="仿宋" w:eastAsia="仿宋" w:cs="仿宋"/>
          <w:b/>
          <w:bCs/>
          <w:color w:val="auto"/>
          <w:szCs w:val="21"/>
          <w:highlight w:val="none"/>
        </w:rPr>
        <w:t xml:space="preserve"> 质保期</w:t>
      </w:r>
      <w:r>
        <w:rPr>
          <w:rFonts w:hint="eastAsia" w:ascii="仿宋" w:hAnsi="仿宋" w:eastAsia="仿宋" w:cs="仿宋"/>
          <w:b/>
          <w:bCs/>
          <w:color w:val="auto"/>
          <w:szCs w:val="21"/>
          <w:highlight w:val="none"/>
        </w:rPr>
        <w:t>、</w:t>
      </w:r>
      <w:r>
        <w:rPr>
          <w:rFonts w:ascii="仿宋" w:hAnsi="仿宋" w:eastAsia="仿宋" w:cs="仿宋"/>
          <w:b/>
          <w:bCs/>
          <w:color w:val="auto"/>
          <w:szCs w:val="21"/>
          <w:highlight w:val="none"/>
        </w:rPr>
        <w:t>售后服务承诺</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一、货物质保期为：【 （请填写具体质保期）</w:t>
      </w:r>
      <w:r>
        <w:rPr>
          <w:rFonts w:ascii="仿宋" w:hAnsi="仿宋" w:eastAsia="仿宋" w:cs="仿宋"/>
          <w:color w:val="auto"/>
          <w:szCs w:val="21"/>
          <w:highlight w:val="none"/>
        </w:rPr>
        <w:t xml:space="preserve"> </w:t>
      </w:r>
      <w:r>
        <w:rPr>
          <w:rFonts w:hint="eastAsia" w:ascii="仿宋" w:hAnsi="仿宋" w:eastAsia="仿宋" w:cs="仿宋"/>
          <w:color w:val="auto"/>
          <w:szCs w:val="21"/>
          <w:highlight w:val="none"/>
        </w:rPr>
        <w:t>】（合同另有特别约定的以特别约定为准），该期限自本合同项下的全部货物验收合格之日（对于还需要进行安装调试或集成服务的，应自所有相应服务完成并验收合格之日）起开始计算，质量保证期内如货物出现任何质量问题，甲方有权要求乙方予以无条件维修、更换或退货。若甲方选择维修的，乙方应免费提供配件并现场维修，维修或更换部分的货物和材料的质保期自修复或更换合格之日起重新计算。</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二、其他：【 （如还有其他要求请增加，如没有，请填“/”）】</w:t>
      </w:r>
    </w:p>
    <w:p>
      <w:pPr>
        <w:adjustRightInd w:val="0"/>
        <w:snapToGrid w:val="0"/>
        <w:spacing w:line="288" w:lineRule="auto"/>
        <w:ind w:firstLine="422" w:firstLineChars="200"/>
        <w:rPr>
          <w:rFonts w:ascii="仿宋" w:hAnsi="仿宋" w:eastAsia="仿宋" w:cs="仿宋"/>
          <w:b/>
          <w:bCs/>
          <w:color w:val="auto"/>
          <w:szCs w:val="21"/>
          <w:highlight w:val="none"/>
        </w:rPr>
      </w:pPr>
      <w:r>
        <w:rPr>
          <w:rFonts w:hint="eastAsia" w:ascii="仿宋" w:hAnsi="仿宋" w:eastAsia="仿宋" w:cs="仿宋"/>
          <w:b/>
          <w:bCs/>
          <w:color w:val="auto"/>
          <w:szCs w:val="21"/>
          <w:highlight w:val="none"/>
        </w:rPr>
        <w:t>第六条 货物质量标准</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一、</w:t>
      </w:r>
      <w:r>
        <w:rPr>
          <w:rFonts w:ascii="仿宋" w:hAnsi="仿宋" w:eastAsia="仿宋" w:cs="仿宋"/>
          <w:color w:val="auto"/>
          <w:szCs w:val="21"/>
          <w:highlight w:val="none"/>
        </w:rPr>
        <w:t>如甲方在本合同或附件中已指明所购货物品牌型号的，则产品应为甲方所指定品牌型号的原厂商生产的、完整、全新、未使用过的成套成品货物（含零部件、配件、随机工具、技术文件等），货物品质不低于原厂商同类同规格货物品质标准。货物内附质量说明或使用说明的，乙方同时保证货物质量与内附说明一致，保证货物能按照货物内附说明正常运行或使用。</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二、</w:t>
      </w:r>
      <w:r>
        <w:rPr>
          <w:rFonts w:ascii="仿宋" w:hAnsi="仿宋" w:eastAsia="仿宋" w:cs="仿宋"/>
          <w:color w:val="auto"/>
          <w:szCs w:val="21"/>
          <w:highlight w:val="none"/>
        </w:rPr>
        <w:t>除非双方另行约定，</w:t>
      </w:r>
      <w:r>
        <w:rPr>
          <w:rFonts w:hint="eastAsia" w:ascii="仿宋" w:hAnsi="仿宋" w:eastAsia="仿宋" w:cs="仿宋"/>
          <w:color w:val="auto"/>
          <w:szCs w:val="21"/>
          <w:highlight w:val="none"/>
        </w:rPr>
        <w:t>货物应至少符合本合同及招标文件、投标文件约定的技术参数和要求。对于双方未明确的质量要求，</w:t>
      </w:r>
      <w:r>
        <w:rPr>
          <w:rFonts w:ascii="仿宋" w:hAnsi="仿宋" w:eastAsia="仿宋" w:cs="仿宋"/>
          <w:color w:val="auto"/>
          <w:szCs w:val="21"/>
          <w:highlight w:val="none"/>
        </w:rPr>
        <w:t>乙方提供的货物质量应符合同类同规格货物的国家质量标准及行业质量标准，上述质量标准区分等级的，则应符合最高级别的标准；如没有上述标准的，则应具备该类货物通常所应具备的使用功能和质量标准，且能正常运行和使用。</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三、</w:t>
      </w:r>
      <w:r>
        <w:rPr>
          <w:rFonts w:ascii="仿宋" w:hAnsi="仿宋" w:eastAsia="仿宋" w:cs="仿宋"/>
          <w:color w:val="auto"/>
          <w:szCs w:val="21"/>
          <w:highlight w:val="none"/>
        </w:rPr>
        <w:t>乙方保证货物中的软件（若有）应当与本合同及附件中的描述或要求一致，软件质量、功能与附带的说明一致，且已通过乙方（乙方为原厂商时）或原厂商（若乙方非原厂商）质量测试和检验，能正常运行或使用。乙方应当向甲方提供相应的软件使用许可，并按甲方要求提供乙方或软件的原厂商（若乙方非软件的原厂商）正式签发的软件使用许可的授权证明文件。</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四、</w:t>
      </w:r>
      <w:r>
        <w:rPr>
          <w:rFonts w:ascii="仿宋" w:hAnsi="仿宋" w:eastAsia="仿宋" w:cs="仿宋"/>
          <w:color w:val="auto"/>
          <w:szCs w:val="21"/>
          <w:highlight w:val="none"/>
        </w:rPr>
        <w:t>乙方保证货物中的软件不包含任何明显的或主要的缺陷、错误，不包含任何恶意的、破坏性的或可能导致未经授权者侵入、操作、控制计算机或计算机数据的计算机病毒、木马程序、后门程序等程序设计或程序代码。</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五、</w:t>
      </w:r>
      <w:r>
        <w:rPr>
          <w:rFonts w:ascii="仿宋" w:hAnsi="仿宋" w:eastAsia="仿宋" w:cs="仿宋"/>
          <w:color w:val="auto"/>
          <w:szCs w:val="21"/>
          <w:highlight w:val="none"/>
        </w:rPr>
        <w:t>甲方对货物质量的其他要求:</w:t>
      </w:r>
      <w:r>
        <w:rPr>
          <w:rFonts w:hint="eastAsia" w:ascii="仿宋" w:hAnsi="仿宋" w:eastAsia="仿宋" w:cs="仿宋"/>
          <w:color w:val="auto"/>
          <w:szCs w:val="21"/>
          <w:highlight w:val="none"/>
        </w:rPr>
        <w:t>【</w:t>
      </w:r>
      <w:r>
        <w:rPr>
          <w:rFonts w:ascii="仿宋" w:hAnsi="仿宋" w:eastAsia="仿宋" w:cs="仿宋"/>
          <w:color w:val="auto"/>
          <w:szCs w:val="21"/>
          <w:highlight w:val="none"/>
        </w:rPr>
        <w:t xml:space="preserve"> </w:t>
      </w:r>
      <w:r>
        <w:rPr>
          <w:rFonts w:hint="eastAsia" w:ascii="仿宋" w:hAnsi="仿宋" w:eastAsia="仿宋" w:cs="仿宋"/>
          <w:color w:val="auto"/>
          <w:szCs w:val="21"/>
          <w:highlight w:val="none"/>
        </w:rPr>
        <w:t>（如还有其他要求请增加，如没有，请填“/”）</w:t>
      </w:r>
      <w:r>
        <w:rPr>
          <w:rFonts w:ascii="仿宋" w:hAnsi="仿宋" w:eastAsia="仿宋" w:cs="仿宋"/>
          <w:color w:val="auto"/>
          <w:szCs w:val="21"/>
          <w:highlight w:val="none"/>
        </w:rPr>
        <w:t xml:space="preserve">  </w:t>
      </w:r>
      <w:r>
        <w:rPr>
          <w:rFonts w:hint="eastAsia" w:ascii="仿宋" w:hAnsi="仿宋" w:eastAsia="仿宋" w:cs="仿宋"/>
          <w:color w:val="auto"/>
          <w:szCs w:val="21"/>
          <w:highlight w:val="none"/>
        </w:rPr>
        <w:t>】</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六、</w:t>
      </w:r>
      <w:r>
        <w:rPr>
          <w:rFonts w:ascii="仿宋" w:hAnsi="仿宋" w:eastAsia="仿宋" w:cs="仿宋"/>
          <w:color w:val="auto"/>
          <w:szCs w:val="21"/>
          <w:highlight w:val="none"/>
        </w:rPr>
        <w:t>乙方保证提供给甲方的货物符合本条有关货物质量标准的约定，且货物已通过原厂商质量测试和检验，并附带质量合格证书。货物序列号、包装箱号应与出厂批号一致，可追索查阅。若乙方非原厂商应确保进货渠道合法。</w:t>
      </w:r>
    </w:p>
    <w:p>
      <w:pPr>
        <w:adjustRightInd w:val="0"/>
        <w:snapToGrid w:val="0"/>
        <w:spacing w:line="288" w:lineRule="auto"/>
        <w:ind w:firstLine="422" w:firstLineChars="200"/>
        <w:rPr>
          <w:rFonts w:ascii="仿宋" w:hAnsi="仿宋" w:eastAsia="仿宋" w:cs="仿宋"/>
          <w:b/>
          <w:bCs/>
          <w:color w:val="auto"/>
          <w:szCs w:val="21"/>
          <w:highlight w:val="none"/>
        </w:rPr>
      </w:pPr>
      <w:r>
        <w:rPr>
          <w:rFonts w:hint="eastAsia" w:ascii="仿宋" w:hAnsi="仿宋" w:eastAsia="仿宋" w:cs="仿宋"/>
          <w:b/>
          <w:bCs/>
          <w:color w:val="auto"/>
          <w:szCs w:val="21"/>
          <w:highlight w:val="none"/>
        </w:rPr>
        <w:t>第七条 货物交货及安装调试要求</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一、</w:t>
      </w:r>
      <w:r>
        <w:rPr>
          <w:rFonts w:ascii="仿宋" w:hAnsi="仿宋" w:eastAsia="仿宋" w:cs="仿宋"/>
          <w:color w:val="auto"/>
          <w:szCs w:val="21"/>
          <w:highlight w:val="none"/>
        </w:rPr>
        <w:t>乙方应根据货物的不同特性和要求采取防潮、防雨、防锈、防震、防磁等保护措施，以确保货物安全无损地到达交货地点。货物必须洁净完好、无划痕、无凹陷、无褪色、无锈迹，包装外观完好、无破损。</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二、</w:t>
      </w:r>
      <w:r>
        <w:rPr>
          <w:rFonts w:ascii="仿宋" w:hAnsi="仿宋" w:eastAsia="仿宋" w:cs="仿宋"/>
          <w:color w:val="auto"/>
          <w:szCs w:val="21"/>
          <w:highlight w:val="none"/>
        </w:rPr>
        <w:t>上述运输、包装、装卸及运输保险费用均由乙方负担，货物在按照本合同约定所有权转移给甲方前的全部风险由乙方承担。</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三、</w:t>
      </w:r>
      <w:r>
        <w:rPr>
          <w:rFonts w:ascii="仿宋" w:hAnsi="仿宋" w:eastAsia="仿宋" w:cs="仿宋"/>
          <w:color w:val="auto"/>
          <w:szCs w:val="21"/>
          <w:highlight w:val="none"/>
        </w:rPr>
        <w:t>货物交货时应当同时附有技术规格、使用说明、质量检验合格证书、保修卡</w:t>
      </w:r>
      <w:r>
        <w:rPr>
          <w:rFonts w:hint="eastAsia" w:ascii="仿宋" w:hAnsi="仿宋" w:eastAsia="仿宋" w:cs="仿宋"/>
          <w:color w:val="auto"/>
          <w:szCs w:val="21"/>
          <w:highlight w:val="none"/>
        </w:rPr>
        <w:t>及【 （如还有其他文件资料请增加，如没有，请填“/”） 】</w:t>
      </w:r>
      <w:r>
        <w:rPr>
          <w:rFonts w:ascii="仿宋" w:hAnsi="仿宋" w:eastAsia="仿宋" w:cs="仿宋"/>
          <w:color w:val="auto"/>
          <w:szCs w:val="21"/>
          <w:highlight w:val="none"/>
        </w:rPr>
        <w:t>等相关文件或技术资料，文件或技术资料应当清晰、正确和完整。</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四、</w:t>
      </w:r>
      <w:r>
        <w:rPr>
          <w:rFonts w:ascii="仿宋" w:hAnsi="仿宋" w:eastAsia="仿宋" w:cs="仿宋"/>
          <w:color w:val="auto"/>
          <w:szCs w:val="21"/>
          <w:highlight w:val="none"/>
        </w:rPr>
        <w:t>甲方要求变更交货地点、交货时间的，应提前</w:t>
      </w:r>
      <w:r>
        <w:rPr>
          <w:rFonts w:hint="eastAsia" w:ascii="仿宋" w:hAnsi="仿宋" w:eastAsia="仿宋" w:cs="仿宋"/>
          <w:color w:val="auto"/>
          <w:szCs w:val="21"/>
          <w:highlight w:val="none"/>
        </w:rPr>
        <w:t>【  （填写时间要求）</w:t>
      </w:r>
      <w:r>
        <w:rPr>
          <w:rFonts w:ascii="仿宋" w:hAnsi="仿宋" w:eastAsia="仿宋" w:cs="仿宋"/>
          <w:color w:val="auto"/>
          <w:szCs w:val="21"/>
          <w:highlight w:val="none"/>
        </w:rPr>
        <w:t xml:space="preserve"> </w:t>
      </w:r>
      <w:r>
        <w:rPr>
          <w:rFonts w:hint="eastAsia" w:ascii="仿宋" w:hAnsi="仿宋" w:eastAsia="仿宋" w:cs="仿宋"/>
          <w:color w:val="auto"/>
          <w:szCs w:val="21"/>
          <w:highlight w:val="none"/>
        </w:rPr>
        <w:t xml:space="preserve"> 】</w:t>
      </w:r>
      <w:r>
        <w:rPr>
          <w:rFonts w:ascii="仿宋" w:hAnsi="仿宋" w:eastAsia="仿宋" w:cs="仿宋"/>
          <w:color w:val="auto"/>
          <w:szCs w:val="21"/>
          <w:highlight w:val="none"/>
        </w:rPr>
        <w:t>日通知乙方，乙方应当予以同意，由此增加的运输费用由双方协商解决。</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五、</w:t>
      </w:r>
      <w:r>
        <w:rPr>
          <w:rFonts w:ascii="仿宋" w:hAnsi="仿宋" w:eastAsia="仿宋" w:cs="仿宋"/>
          <w:color w:val="auto"/>
          <w:szCs w:val="21"/>
          <w:highlight w:val="none"/>
        </w:rPr>
        <w:t>乙方应当在货物运至约定交货地点前</w:t>
      </w:r>
      <w:r>
        <w:rPr>
          <w:rFonts w:hint="eastAsia" w:ascii="仿宋" w:hAnsi="仿宋" w:eastAsia="仿宋" w:cs="仿宋"/>
          <w:color w:val="auto"/>
          <w:szCs w:val="21"/>
          <w:highlight w:val="none"/>
        </w:rPr>
        <w:t>【  （填写时间要求）</w:t>
      </w:r>
      <w:r>
        <w:rPr>
          <w:rFonts w:ascii="仿宋" w:hAnsi="仿宋" w:eastAsia="仿宋" w:cs="仿宋"/>
          <w:color w:val="auto"/>
          <w:szCs w:val="21"/>
          <w:highlight w:val="none"/>
        </w:rPr>
        <w:t xml:space="preserve"> </w:t>
      </w:r>
      <w:r>
        <w:rPr>
          <w:rFonts w:hint="eastAsia" w:ascii="仿宋" w:hAnsi="仿宋" w:eastAsia="仿宋" w:cs="仿宋"/>
          <w:color w:val="auto"/>
          <w:szCs w:val="21"/>
          <w:highlight w:val="none"/>
        </w:rPr>
        <w:t xml:space="preserve"> 】</w:t>
      </w:r>
      <w:r>
        <w:rPr>
          <w:rFonts w:ascii="仿宋" w:hAnsi="仿宋" w:eastAsia="仿宋" w:cs="仿宋"/>
          <w:color w:val="auto"/>
          <w:szCs w:val="21"/>
          <w:highlight w:val="none"/>
        </w:rPr>
        <w:t>日通知甲方，以便甲方做好接收准备。货物运至约定交货地点后</w:t>
      </w:r>
      <w:r>
        <w:rPr>
          <w:rFonts w:hint="eastAsia" w:ascii="仿宋" w:hAnsi="仿宋" w:eastAsia="仿宋" w:cs="仿宋"/>
          <w:color w:val="auto"/>
          <w:szCs w:val="21"/>
          <w:highlight w:val="none"/>
        </w:rPr>
        <w:t>【  （填写时间要求）</w:t>
      </w:r>
      <w:r>
        <w:rPr>
          <w:rFonts w:ascii="仿宋" w:hAnsi="仿宋" w:eastAsia="仿宋" w:cs="仿宋"/>
          <w:color w:val="auto"/>
          <w:szCs w:val="21"/>
          <w:highlight w:val="none"/>
        </w:rPr>
        <w:t xml:space="preserve"> </w:t>
      </w:r>
      <w:r>
        <w:rPr>
          <w:rFonts w:hint="eastAsia" w:ascii="仿宋" w:hAnsi="仿宋" w:eastAsia="仿宋" w:cs="仿宋"/>
          <w:color w:val="auto"/>
          <w:szCs w:val="21"/>
          <w:highlight w:val="none"/>
        </w:rPr>
        <w:t xml:space="preserve"> 】</w:t>
      </w:r>
      <w:r>
        <w:rPr>
          <w:rFonts w:ascii="仿宋" w:hAnsi="仿宋" w:eastAsia="仿宋" w:cs="仿宋"/>
          <w:color w:val="auto"/>
          <w:szCs w:val="21"/>
          <w:highlight w:val="none"/>
        </w:rPr>
        <w:t>日内甲方对货物进行接收。接收时甲方有权对乙方所交货物的外包装完好程度、产品品牌、型号、数量、产地或生产厂商等是否符合本合同约定进行初验。乙方交付的货物存在损坏或短缺，或货物品牌、型号、配置等不符合约定的，甲方有权拒绝接收相应货物且乙方应按本合同约定承担违约责任。对于被拒绝接收的货物，可暂时存放甲方处，但货物毁损、灭失的风险由乙方承担。初验后应由甲方根据初验结果签署到货证明</w:t>
      </w:r>
      <w:r>
        <w:rPr>
          <w:rFonts w:hint="eastAsia" w:ascii="仿宋" w:hAnsi="仿宋" w:eastAsia="仿宋" w:cs="仿宋"/>
          <w:color w:val="auto"/>
          <w:szCs w:val="21"/>
          <w:highlight w:val="none"/>
        </w:rPr>
        <w:t>。</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六、本合同【  需要/不需要</w:t>
      </w:r>
      <w:r>
        <w:rPr>
          <w:rFonts w:ascii="仿宋" w:hAnsi="仿宋" w:eastAsia="仿宋" w:cs="仿宋"/>
          <w:color w:val="auto"/>
          <w:szCs w:val="21"/>
          <w:highlight w:val="none"/>
        </w:rPr>
        <w:t xml:space="preserve"> </w:t>
      </w:r>
      <w:r>
        <w:rPr>
          <w:rFonts w:hint="eastAsia" w:ascii="仿宋" w:hAnsi="仿宋" w:eastAsia="仿宋" w:cs="仿宋"/>
          <w:color w:val="auto"/>
          <w:szCs w:val="21"/>
          <w:highlight w:val="none"/>
        </w:rPr>
        <w:t>】乙方提供安装调试服务。乙方应在【 （填写时间要求）】完成全部货物现场安装调试并使之符合验收合格的标准。在安装调试过程中，甲方有权采取适当的方式对乙方货物质量标准、规格型号、具体配置、数量以及安装质量和进度等进行检查。甲方检查时发现乙方所供货物不符合合同约定或者乙方安装调试时造成货物损坏的，甲方有权要求乙方无条件换货或退货，乙方不同意换货或退货的，甲方有权单方解除合同，乙方应按本合同约定承担违约责任。</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七、</w:t>
      </w:r>
      <w:r>
        <w:rPr>
          <w:rFonts w:ascii="仿宋" w:hAnsi="仿宋" w:eastAsia="仿宋" w:cs="仿宋"/>
          <w:color w:val="auto"/>
          <w:szCs w:val="21"/>
          <w:highlight w:val="none"/>
        </w:rPr>
        <w:t>若乙方并非原厂商、而本合同约定安装调试服务提供方为原厂商的，则乙方有义务联系、安排、督促、要求原厂商按照本条约定履行安装调试服务义务。原厂商未按照本合同约定履行安装调试服务义务的，视为乙方未履行义务，甲方有权按照本合同“违约责任”条款的约定要求乙方承担相应违约责任。</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八、</w:t>
      </w:r>
      <w:r>
        <w:rPr>
          <w:rFonts w:ascii="仿宋" w:hAnsi="仿宋" w:eastAsia="仿宋" w:cs="仿宋"/>
          <w:color w:val="auto"/>
          <w:szCs w:val="21"/>
          <w:highlight w:val="none"/>
        </w:rPr>
        <w:t>甲方为安装调试提供工作场地、电源等条件，货物安装调试所需的耗材应由安装调试服务提供方提供，安装调试服务提供方在安装调试过程中应当遵守甲方工作场所的工作纪律及相关管理规定。</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九、</w:t>
      </w:r>
      <w:r>
        <w:rPr>
          <w:rFonts w:ascii="仿宋" w:hAnsi="仿宋" w:eastAsia="仿宋" w:cs="仿宋"/>
          <w:color w:val="auto"/>
          <w:szCs w:val="21"/>
          <w:highlight w:val="none"/>
        </w:rPr>
        <w:t>在货物的安装及调试过程中，安装调试服务提供方或其聘请的雇员遭受人身损害或安装调试服务提供方或其聘请的雇员令甲方或第三方遭受人身损害或财产损失，由此引起的一切法律责任由乙方全部承担。若甲方因此为乙方垫付任何款项，甲方有权要求乙方据实立即支付，且有权从应付乙方的价款中将上述款项自行扣除。</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十、</w:t>
      </w:r>
      <w:r>
        <w:rPr>
          <w:rFonts w:ascii="仿宋" w:hAnsi="仿宋" w:eastAsia="仿宋" w:cs="仿宋"/>
          <w:color w:val="auto"/>
          <w:szCs w:val="21"/>
          <w:highlight w:val="none"/>
        </w:rPr>
        <w:t>其他要求：</w:t>
      </w:r>
      <w:r>
        <w:rPr>
          <w:rFonts w:hint="eastAsia" w:ascii="仿宋" w:hAnsi="仿宋" w:eastAsia="仿宋" w:cs="仿宋"/>
          <w:color w:val="auto"/>
          <w:szCs w:val="21"/>
          <w:highlight w:val="none"/>
        </w:rPr>
        <w:t xml:space="preserve">【 </w:t>
      </w:r>
      <w:r>
        <w:rPr>
          <w:rFonts w:ascii="仿宋" w:hAnsi="仿宋" w:eastAsia="仿宋" w:cs="仿宋"/>
          <w:color w:val="auto"/>
          <w:szCs w:val="21"/>
          <w:highlight w:val="none"/>
        </w:rPr>
        <w:t xml:space="preserve"> </w:t>
      </w:r>
      <w:r>
        <w:rPr>
          <w:rFonts w:hint="eastAsia" w:ascii="仿宋" w:hAnsi="仿宋" w:eastAsia="仿宋" w:cs="仿宋"/>
          <w:color w:val="auto"/>
          <w:szCs w:val="21"/>
          <w:highlight w:val="none"/>
        </w:rPr>
        <w:t>（如还有其他要求请增加，如没有，请填“/”）】</w:t>
      </w:r>
      <w:r>
        <w:rPr>
          <w:rFonts w:ascii="仿宋" w:hAnsi="仿宋" w:eastAsia="仿宋" w:cs="仿宋"/>
          <w:color w:val="auto"/>
          <w:szCs w:val="21"/>
          <w:highlight w:val="none"/>
        </w:rPr>
        <w:t xml:space="preserve">  </w:t>
      </w:r>
    </w:p>
    <w:p>
      <w:pPr>
        <w:adjustRightInd w:val="0"/>
        <w:snapToGrid w:val="0"/>
        <w:spacing w:line="288" w:lineRule="auto"/>
        <w:ind w:firstLine="422" w:firstLineChars="200"/>
        <w:rPr>
          <w:rFonts w:ascii="仿宋" w:hAnsi="仿宋" w:eastAsia="仿宋" w:cs="仿宋"/>
          <w:b/>
          <w:bCs/>
          <w:color w:val="auto"/>
          <w:szCs w:val="21"/>
          <w:highlight w:val="none"/>
        </w:rPr>
      </w:pPr>
      <w:r>
        <w:rPr>
          <w:rFonts w:hint="eastAsia" w:ascii="仿宋" w:hAnsi="仿宋" w:eastAsia="仿宋" w:cs="仿宋"/>
          <w:b/>
          <w:bCs/>
          <w:color w:val="auto"/>
          <w:szCs w:val="21"/>
          <w:highlight w:val="none"/>
        </w:rPr>
        <w:t>第八条 验收</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一、验收标准：按本合同采购标的、价格及货物质量标准的约定进行验收。</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二、验收时间：乙方完成本合同第七条约定的安装调试及其他服务工作后，应当在【  （填写时间要求） 日】内（乙方无需提供安装调试及其他服务的应在双方确定的交货时间之日起【  （填写时间要求） 日】内）做好验收的必要准备并向甲方发出可以进行验收的书面通知。甲方自收到可以进行验收的通知之日起【  （填写时间要求） 日】日内开始验收。双方书面另行约定其他验收时间的，按约定时间进行验收。</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三、验收范围包括但不限于：1、型号规格、数量、外观；2、出厂合格证、说明书等约定应交付的证书、资料；3、设备组件及所附技术资料；4、设备功能、性能等参数指标；5、【 （如还有其他内容请增加，如没有，请填“/”） 】。</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四、验收合格的确认：验收合格后甲方签署验收合格证明，此时乙方完成合同交付义务。如验收不合格，乙方应当立即采取措施纠正不符之处，并与甲方协商约定新的验收时间进行验收（简称“重新提交验收”）。若因重新提交验收而超出本合同确定的安装调试时间的（乙方无需安装调试的，若重新提交验收而超过本合同确定的交货时间），视为乙方未完成安装调试义务（乙方无需安装调试的，视为乙方未完成交货义务），乙方应承担逾期交付违约责任。</w:t>
      </w:r>
    </w:p>
    <w:p>
      <w:pPr>
        <w:adjustRightInd w:val="0"/>
        <w:snapToGrid w:val="0"/>
        <w:spacing w:line="288" w:lineRule="auto"/>
        <w:ind w:firstLine="422" w:firstLineChars="200"/>
        <w:rPr>
          <w:rFonts w:ascii="仿宋" w:hAnsi="仿宋" w:eastAsia="仿宋" w:cs="仿宋"/>
          <w:b/>
          <w:bCs/>
          <w:color w:val="auto"/>
          <w:szCs w:val="21"/>
          <w:highlight w:val="none"/>
        </w:rPr>
      </w:pPr>
      <w:r>
        <w:rPr>
          <w:rFonts w:hint="eastAsia" w:ascii="仿宋" w:hAnsi="仿宋" w:eastAsia="仿宋" w:cs="仿宋"/>
          <w:b/>
          <w:bCs/>
          <w:color w:val="auto"/>
          <w:szCs w:val="21"/>
          <w:highlight w:val="none"/>
        </w:rPr>
        <w:t>第九条 知识产权</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一、乙方保证乙方提供的货物及服务（无论乙方是否为该货物或服务的原厂商）不存在任何侵犯第三方知识产权及其他权利的情形。如果第三方声称乙方向甲方提供的货物或服务侵犯其知识产权或其他权利的，</w:t>
      </w:r>
      <w:bookmarkStart w:id="38" w:name="_Hlk536733718"/>
      <w:r>
        <w:rPr>
          <w:rFonts w:hint="eastAsia" w:ascii="仿宋" w:hAnsi="仿宋" w:eastAsia="仿宋" w:cs="仿宋"/>
          <w:color w:val="auto"/>
          <w:szCs w:val="21"/>
          <w:highlight w:val="none"/>
        </w:rPr>
        <w:t>由乙方负责处理并自担费用，知悉上述事项的一方应立即通知合同对方；</w:t>
      </w:r>
      <w:bookmarkEnd w:id="38"/>
      <w:r>
        <w:rPr>
          <w:rFonts w:hint="eastAsia" w:ascii="仿宋" w:hAnsi="仿宋" w:eastAsia="仿宋" w:cs="仿宋"/>
          <w:color w:val="auto"/>
          <w:szCs w:val="21"/>
          <w:highlight w:val="none"/>
        </w:rPr>
        <w:t>如第三方已就此对甲方或乙方提起（包括威胁提起或很可能提起）法律诉讼程序或知识产权等维权行政执法程序（简称“侵权纠纷”），</w:t>
      </w:r>
      <w:bookmarkStart w:id="39" w:name="_Hlk536728548"/>
      <w:r>
        <w:rPr>
          <w:rFonts w:hint="eastAsia" w:ascii="仿宋" w:hAnsi="仿宋" w:eastAsia="仿宋" w:cs="仿宋"/>
          <w:color w:val="auto"/>
          <w:szCs w:val="21"/>
          <w:highlight w:val="none"/>
        </w:rPr>
        <w:t>由乙方负责处理并自担费用，</w:t>
      </w:r>
      <w:bookmarkEnd w:id="39"/>
      <w:r>
        <w:rPr>
          <w:rFonts w:hint="eastAsia" w:ascii="仿宋" w:hAnsi="仿宋" w:eastAsia="仿宋" w:cs="仿宋"/>
          <w:color w:val="auto"/>
          <w:szCs w:val="21"/>
          <w:highlight w:val="none"/>
        </w:rPr>
        <w:t>知悉上述事项的一方应立即通知合同对方，甲方并有权：1、暂停履行对侵权纠纷所涉货物或服务的采购或支付义务，直至侵权纠纷完全解决</w:t>
      </w:r>
      <w:bookmarkStart w:id="40" w:name="_Hlk536728589"/>
      <w:r>
        <w:rPr>
          <w:rFonts w:hint="eastAsia" w:ascii="仿宋" w:hAnsi="仿宋" w:eastAsia="仿宋" w:cs="仿宋"/>
          <w:color w:val="auto"/>
          <w:szCs w:val="21"/>
          <w:highlight w:val="none"/>
        </w:rPr>
        <w:t>至纠纷已按照生效的协议、调解书、裁决等履行完毕时再启动继续履行，就甲方作为当事人的侵权纠纷，乙方无条件按照甲方的要求配合甲方处理，</w:t>
      </w:r>
      <w:bookmarkEnd w:id="40"/>
      <w:r>
        <w:rPr>
          <w:rFonts w:hint="eastAsia" w:ascii="仿宋" w:hAnsi="仿宋" w:eastAsia="仿宋" w:cs="仿宋"/>
          <w:color w:val="auto"/>
          <w:szCs w:val="21"/>
          <w:highlight w:val="none"/>
        </w:rPr>
        <w:t>乙方并应自担费用向甲方提供甲方与该第三方协商、诉讼、和解所需的一切协助（包括但不限于向甲方提供证明侵权不存在的各类证据、派出人员参加协商、诉讼或会谈等）；2、甲方有权选择与该第三方达成和解，并由乙方支付和解协议所约定的全部费用以及甲方因侵权纠纷而遭受的全部损失或费用（包括但不限于诉讼/仲裁费、保全费、执行费、律师费、交通费、通讯费、差旅费、对第三方的损害赔偿金、行政处罚罚款、获取该货物或服务相应使用许可的费用、因停止使用或修改、替换侵权威胁所涉及的货物或服务而遭受的损失等）。如果甲方选择继续参加侵权纠纷法律程序，乙方应当赔偿甲方因侵权纠纷及履行和解协议、生效法律裁判而需支付的费用或遭受的损失（包括但不限于诉讼/仲裁费、保全费、执行费、律师费、交通费、通讯费、差旅费、对第三方的损害赔偿金、行政处罚罚款、获取该货物或服务相应使用许可的费用、因停止使用或修改、替换侵权威胁所涉及的货物或服务而遭受的损失等）。</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二、不论本合同是否解除或终止，本条款持续有效。</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三、其他：【 （如还有其他内容请增加，如没有，请填“/”） 】。</w:t>
      </w:r>
    </w:p>
    <w:p>
      <w:pPr>
        <w:adjustRightInd w:val="0"/>
        <w:snapToGrid w:val="0"/>
        <w:spacing w:line="288" w:lineRule="auto"/>
        <w:ind w:firstLine="422" w:firstLineChars="200"/>
        <w:rPr>
          <w:rFonts w:ascii="仿宋" w:hAnsi="仿宋" w:eastAsia="仿宋" w:cs="仿宋"/>
          <w:b/>
          <w:bCs/>
          <w:color w:val="auto"/>
          <w:szCs w:val="21"/>
          <w:highlight w:val="none"/>
        </w:rPr>
      </w:pPr>
      <w:r>
        <w:rPr>
          <w:rFonts w:hint="eastAsia" w:ascii="仿宋" w:hAnsi="仿宋" w:eastAsia="仿宋" w:cs="仿宋"/>
          <w:b/>
          <w:bCs/>
          <w:color w:val="auto"/>
          <w:szCs w:val="21"/>
          <w:highlight w:val="none"/>
        </w:rPr>
        <w:t>第十条 保密条款</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乙方应当对本合同的内容、甲方为本合同提供的技术要求、规格指标、计划、图纸、模型、样品等信息或资料以及乙方在签订、履行本合同过程中知悉或获得的所有有关甲方的商业秘密、内部资料等信息（即“保密信息”）予以保密，除非该信息是：1、甲方以书面方式明确注明为非保密性质的信息；或2、公众已经知晓的或通过公开渠道可获得的信息，且不是因为乙方违反本保密义务而导致该信息公知公晓的；3、乙方从有权披露该信息的第三方获取的信息，且乙方对该信息无保密义务；4、在本合同谈判前乙方已独立开发的信息。</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在本合同约定的保密期限内，未经甲方书面同意，乙方不得将保密信息用于本合同以外的目的，并不得将其泄漏给任何第三方。乙方的雇员为履行本合同约定而必须接触相关保密信息时，乙方可以将此部分保密信息披露给该雇员，但乙方应当告知该雇员相关的保密义务并和其签署书面保密协议，使其承担不低于本保密条款约定的保密义务。</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司法、执法等机关（简称“有权机关”）或法律法规要求乙方披露保密信息的，乙方应在披露前或披露时尽最大努力为被要求披露的保密信息获取保密措施或保密待遇，并将披露范围严格限定在有权机关或法律法规所要求必须披露的范围之内。在法律许可的范围内，乙方应将此事立即书面通知甲方，使甲方有合理机会采取适当的申诉或保护措施。</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乙方或其雇员（无论该雇员是否已从乙方离职）在本条约定的保密期限内违反保密义务的，乙方应当对甲方因此所遭受的损失承担赔偿责任。如果乙方在本合同有效期内严重违反保密义务，甲方同时还有权提前解除本合同。</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如果甲方有要求，乙方在完成合同后应将甲方为本合同提供的所有资料或物品返还甲方。</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保密期限自本合同生效之日起算，保密期限为：永久，不因本合同的解除或终止而失效。</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其他：【 （如还有其他内容请增加，如没有，请填“/”） 】。</w:t>
      </w:r>
    </w:p>
    <w:p>
      <w:pPr>
        <w:adjustRightInd w:val="0"/>
        <w:snapToGrid w:val="0"/>
        <w:spacing w:line="288" w:lineRule="auto"/>
        <w:ind w:firstLine="422" w:firstLineChars="200"/>
        <w:rPr>
          <w:rFonts w:ascii="仿宋" w:hAnsi="仿宋" w:eastAsia="仿宋" w:cs="仿宋"/>
          <w:b/>
          <w:bCs/>
          <w:color w:val="auto"/>
          <w:szCs w:val="21"/>
          <w:highlight w:val="none"/>
        </w:rPr>
      </w:pPr>
      <w:r>
        <w:rPr>
          <w:rFonts w:hint="eastAsia" w:ascii="仿宋" w:hAnsi="仿宋" w:eastAsia="仿宋" w:cs="仿宋"/>
          <w:b/>
          <w:bCs/>
          <w:color w:val="auto"/>
          <w:szCs w:val="21"/>
          <w:highlight w:val="none"/>
        </w:rPr>
        <w:t>第十一条 承诺与保证</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乙方清楚地知悉甲方的经营范围及合同签字人权限。乙方已阅读本合同所有条款，并对本合同条款的含义及相应的法律后果已全部通晓并充分理解。</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乙方保证具备签署、履行本合同的合法资格和能力，乙方在本合同项下的行为符合法律、行政法规、规章规定，乙方签署本合同或履行乙方在本合同项下的义务不违反乙方订立的任何其他协议，乙方在本合同项下的行为符合乙方的相关规定，且已获得公司（机构、组织）内部有权机构及/或国家有权机关的批准。</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若乙方并非甲方所采购的货物或服务的原厂商，而是作为该原厂商的经销商或代理商与甲方签订本合同的，则对于任何依本合同约定应由或理应由原厂商提供的货物或服务或履行的其他义务（包括但不限于原厂商生产货物、原厂商维护支持服务、</w:t>
      </w:r>
      <w:bookmarkStart w:id="41" w:name="_Hlk536733933"/>
      <w:r>
        <w:rPr>
          <w:rFonts w:hint="eastAsia" w:ascii="仿宋" w:hAnsi="仿宋" w:eastAsia="仿宋" w:cs="仿宋"/>
          <w:color w:val="auto"/>
          <w:szCs w:val="21"/>
          <w:highlight w:val="none"/>
        </w:rPr>
        <w:t>原厂商售后服务、</w:t>
      </w:r>
      <w:bookmarkEnd w:id="41"/>
      <w:r>
        <w:rPr>
          <w:rFonts w:hint="eastAsia" w:ascii="仿宋" w:hAnsi="仿宋" w:eastAsia="仿宋" w:cs="仿宋"/>
          <w:color w:val="auto"/>
          <w:szCs w:val="21"/>
          <w:highlight w:val="none"/>
        </w:rPr>
        <w:t>知识产权及保密方面的义务等），乙方均有义务通过协议、安排、协调、购买、督促、要求等任何方式保证该原厂商按照本合同约定予以提供或履行，原厂商不按照本合同约定予以提供或履行的，视为系乙方的违约行为，甲方有权按照本合同约定要求乙方对该违约行为承担违约责任。</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乙方保证提供给甲方的全部资料、文件和信息均是真实、合法、准确、完整、有效的。</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乙方保证具备销售本合同项下货物及提供本合同项下各项服务的合法资质，并有义务在本合同履行期内持续保持该资质的合法有效性。乙方保证对所销售的货物合法享有所有权或处分权，货物不存在任何权属争议，也不存在任何未书面告知甲方的权利瑕疵或权利负担，包括但不限于被查封、被扣押、被监管、被出租、被留置、存在拖欠购置价款、维修费用、国家税款、损害赔偿金等情形或者货物已为第三人设定担保等。</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其他：【 （如还有其他内容请增加，如没有，请填“/”） 】。</w:t>
      </w:r>
    </w:p>
    <w:p>
      <w:pPr>
        <w:adjustRightInd w:val="0"/>
        <w:snapToGrid w:val="0"/>
        <w:spacing w:line="288" w:lineRule="auto"/>
        <w:ind w:firstLine="422" w:firstLineChars="200"/>
        <w:rPr>
          <w:rFonts w:ascii="仿宋" w:hAnsi="仿宋" w:eastAsia="仿宋" w:cs="仿宋"/>
          <w:b/>
          <w:bCs/>
          <w:color w:val="auto"/>
          <w:szCs w:val="21"/>
          <w:highlight w:val="none"/>
        </w:rPr>
      </w:pPr>
      <w:r>
        <w:rPr>
          <w:rFonts w:hint="eastAsia" w:ascii="仿宋" w:hAnsi="仿宋" w:eastAsia="仿宋" w:cs="仿宋"/>
          <w:b/>
          <w:bCs/>
          <w:color w:val="auto"/>
          <w:szCs w:val="21"/>
          <w:highlight w:val="none"/>
        </w:rPr>
        <w:t>第十二条 其他约定</w:t>
      </w:r>
    </w:p>
    <w:p>
      <w:pPr>
        <w:adjustRightInd w:val="0"/>
        <w:snapToGrid w:val="0"/>
        <w:spacing w:line="288" w:lineRule="auto"/>
        <w:ind w:firstLine="420" w:firstLineChars="200"/>
        <w:rPr>
          <w:rFonts w:ascii="仿宋" w:hAnsi="仿宋" w:eastAsia="仿宋" w:cs="仿宋"/>
          <w:color w:val="auto"/>
          <w:szCs w:val="21"/>
          <w:highlight w:val="none"/>
        </w:rPr>
      </w:pPr>
      <w:bookmarkStart w:id="42" w:name="_Hlk536728215"/>
      <w:bookmarkStart w:id="43" w:name="_Hlk536733518"/>
      <w:r>
        <w:rPr>
          <w:rFonts w:hint="eastAsia" w:ascii="仿宋" w:hAnsi="仿宋" w:eastAsia="仿宋" w:cs="仿宋"/>
          <w:color w:val="auto"/>
          <w:szCs w:val="21"/>
          <w:highlight w:val="none"/>
        </w:rPr>
        <w:t>一、乙方应当按照下列第【 （选择1、2、3中的一种） 】项约定开具</w:t>
      </w:r>
      <w:bookmarkStart w:id="44" w:name="_Hlk536733460"/>
      <w:r>
        <w:rPr>
          <w:rFonts w:hint="eastAsia" w:ascii="仿宋" w:hAnsi="仿宋" w:eastAsia="仿宋" w:cs="仿宋"/>
          <w:color w:val="auto"/>
          <w:szCs w:val="21"/>
          <w:highlight w:val="none"/>
        </w:rPr>
        <w:t>并向甲方提供</w:t>
      </w:r>
      <w:bookmarkEnd w:id="44"/>
      <w:r>
        <w:rPr>
          <w:rFonts w:hint="eastAsia" w:ascii="仿宋" w:hAnsi="仿宋" w:eastAsia="仿宋" w:cs="仿宋"/>
          <w:color w:val="auto"/>
          <w:szCs w:val="21"/>
          <w:highlight w:val="none"/>
        </w:rPr>
        <w:t>发票：</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 xml:space="preserve">1、在甲方支付款项前【 </w:t>
      </w:r>
      <w:r>
        <w:rPr>
          <w:rFonts w:ascii="仿宋" w:hAnsi="仿宋" w:eastAsia="仿宋" w:cs="仿宋"/>
          <w:color w:val="auto"/>
          <w:szCs w:val="21"/>
          <w:highlight w:val="none"/>
        </w:rPr>
        <w:t xml:space="preserve"> </w:t>
      </w:r>
      <w:r>
        <w:rPr>
          <w:rFonts w:hint="eastAsia" w:ascii="仿宋" w:hAnsi="仿宋" w:eastAsia="仿宋" w:cs="仿宋"/>
          <w:color w:val="auto"/>
          <w:szCs w:val="21"/>
          <w:highlight w:val="none"/>
        </w:rPr>
        <w:t>7</w:t>
      </w:r>
      <w:r>
        <w:rPr>
          <w:rFonts w:ascii="仿宋" w:hAnsi="仿宋" w:eastAsia="仿宋" w:cs="仿宋"/>
          <w:color w:val="auto"/>
          <w:szCs w:val="21"/>
          <w:highlight w:val="none"/>
        </w:rPr>
        <w:t xml:space="preserve">  </w:t>
      </w:r>
      <w:r>
        <w:rPr>
          <w:rFonts w:hint="eastAsia" w:ascii="仿宋" w:hAnsi="仿宋" w:eastAsia="仿宋" w:cs="仿宋"/>
          <w:color w:val="auto"/>
          <w:szCs w:val="21"/>
          <w:highlight w:val="none"/>
        </w:rPr>
        <w:t>】个工作日开具并向甲方提供当次支付金额的符合规定的增值税专用发票，</w:t>
      </w:r>
      <w:bookmarkStart w:id="45" w:name="_Hlk536728170"/>
      <w:r>
        <w:rPr>
          <w:rFonts w:hint="eastAsia" w:ascii="仿宋" w:hAnsi="仿宋" w:eastAsia="仿宋" w:cs="仿宋"/>
          <w:color w:val="auto"/>
          <w:szCs w:val="21"/>
          <w:highlight w:val="none"/>
        </w:rPr>
        <w:t>否则甲方有权拒绝付款</w:t>
      </w:r>
      <w:bookmarkEnd w:id="45"/>
      <w:r>
        <w:rPr>
          <w:rFonts w:hint="eastAsia" w:ascii="仿宋" w:hAnsi="仿宋" w:eastAsia="仿宋" w:cs="仿宋"/>
          <w:color w:val="auto"/>
          <w:szCs w:val="21"/>
          <w:highlight w:val="none"/>
        </w:rPr>
        <w:t>。</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 xml:space="preserve">2、在甲方支付全额货款前（如分阶段付款，则为支付尾款前）【 </w:t>
      </w:r>
      <w:r>
        <w:rPr>
          <w:rFonts w:ascii="仿宋" w:hAnsi="仿宋" w:eastAsia="仿宋" w:cs="仿宋"/>
          <w:color w:val="auto"/>
          <w:szCs w:val="21"/>
          <w:highlight w:val="none"/>
        </w:rPr>
        <w:t xml:space="preserve"> </w:t>
      </w:r>
      <w:r>
        <w:rPr>
          <w:rFonts w:hint="eastAsia" w:ascii="仿宋" w:hAnsi="仿宋" w:eastAsia="仿宋" w:cs="仿宋"/>
          <w:color w:val="auto"/>
          <w:szCs w:val="21"/>
          <w:highlight w:val="none"/>
        </w:rPr>
        <w:t>7</w:t>
      </w:r>
      <w:r>
        <w:rPr>
          <w:rFonts w:ascii="仿宋" w:hAnsi="仿宋" w:eastAsia="仿宋" w:cs="仿宋"/>
          <w:color w:val="auto"/>
          <w:szCs w:val="21"/>
          <w:highlight w:val="none"/>
        </w:rPr>
        <w:t xml:space="preserve">  </w:t>
      </w:r>
      <w:r>
        <w:rPr>
          <w:rFonts w:hint="eastAsia" w:ascii="仿宋" w:hAnsi="仿宋" w:eastAsia="仿宋" w:cs="仿宋"/>
          <w:color w:val="auto"/>
          <w:szCs w:val="21"/>
          <w:highlight w:val="none"/>
        </w:rPr>
        <w:t>】个工作日开具合同总额的符合规定的增值税专用发票，否则甲方有权拒绝付款。</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 xml:space="preserve">3、其他约定:【 </w:t>
      </w:r>
      <w:r>
        <w:rPr>
          <w:rFonts w:ascii="仿宋" w:hAnsi="仿宋" w:eastAsia="仿宋" w:cs="仿宋"/>
          <w:color w:val="auto"/>
          <w:szCs w:val="21"/>
          <w:highlight w:val="none"/>
        </w:rPr>
        <w:t xml:space="preserve"> </w:t>
      </w:r>
      <w:r>
        <w:rPr>
          <w:rFonts w:hint="eastAsia" w:ascii="仿宋" w:hAnsi="仿宋" w:eastAsia="仿宋" w:cs="仿宋"/>
          <w:color w:val="auto"/>
          <w:szCs w:val="21"/>
          <w:highlight w:val="none"/>
        </w:rPr>
        <w:t>（如选择第3种请完善此处内容）</w:t>
      </w:r>
      <w:r>
        <w:rPr>
          <w:rFonts w:ascii="仿宋" w:hAnsi="仿宋" w:eastAsia="仿宋" w:cs="仿宋"/>
          <w:color w:val="auto"/>
          <w:szCs w:val="21"/>
          <w:highlight w:val="none"/>
        </w:rPr>
        <w:t xml:space="preserve">   </w:t>
      </w:r>
      <w:r>
        <w:rPr>
          <w:rFonts w:hint="eastAsia" w:ascii="仿宋" w:hAnsi="仿宋" w:eastAsia="仿宋" w:cs="仿宋"/>
          <w:color w:val="auto"/>
          <w:szCs w:val="21"/>
          <w:highlight w:val="none"/>
        </w:rPr>
        <w:t>】</w:t>
      </w:r>
    </w:p>
    <w:p>
      <w:pPr>
        <w:adjustRightInd w:val="0"/>
        <w:snapToGrid w:val="0"/>
        <w:spacing w:line="288" w:lineRule="auto"/>
        <w:ind w:firstLine="420" w:firstLineChars="200"/>
        <w:rPr>
          <w:rFonts w:ascii="仿宋" w:hAnsi="仿宋" w:eastAsia="仿宋" w:cs="仿宋"/>
          <w:color w:val="auto"/>
          <w:szCs w:val="21"/>
          <w:highlight w:val="none"/>
        </w:rPr>
      </w:pPr>
      <w:bookmarkStart w:id="46" w:name="_Hlk536733496"/>
      <w:bookmarkStart w:id="47" w:name="_Hlk536728187"/>
      <w:r>
        <w:rPr>
          <w:rFonts w:hint="eastAsia" w:ascii="仿宋" w:hAnsi="仿宋" w:eastAsia="仿宋" w:cs="仿宋"/>
          <w:color w:val="auto"/>
          <w:szCs w:val="21"/>
          <w:highlight w:val="none"/>
        </w:rPr>
        <w:t>乙方必须提供符合中华人民共和国国家税务规定的全额增值税专用发票，若乙方无法提供增值税专用发票或因乙方原因造成发票无法认证成功，导致甲方无法抵扣进项税额，乙方应全额赔偿甲方因此产生的税额损失。</w:t>
      </w:r>
      <w:bookmarkEnd w:id="46"/>
      <w:bookmarkEnd w:id="47"/>
      <w:r>
        <w:rPr>
          <w:rFonts w:hint="eastAsia" w:ascii="仿宋" w:hAnsi="仿宋" w:eastAsia="仿宋" w:cs="仿宋"/>
          <w:color w:val="auto"/>
          <w:szCs w:val="21"/>
          <w:highlight w:val="none"/>
        </w:rPr>
        <w:t>如乙方依据税收法律法规无法开具（或通过税务机关代开）增值税专用发票，乙方应当开具合法有效的增值税普通发票。如未来乙方登记成为增值税一般纳税人，应及时通知甲方。自乙方登记成为增值税一般纳税人起，乙方应向甲方开具符合规定的增值税专用发票。</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甲方提供的开票信息如下：</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 xml:space="preserve">单位名称：之江实验室 </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 xml:space="preserve">纳税人识别号： </w:t>
      </w:r>
      <w:r>
        <w:rPr>
          <w:rFonts w:ascii="仿宋" w:hAnsi="仿宋" w:eastAsia="仿宋" w:cs="仿宋"/>
          <w:color w:val="auto"/>
          <w:szCs w:val="21"/>
          <w:highlight w:val="none"/>
        </w:rPr>
        <w:t>12330000MB1478604D</w:t>
      </w:r>
      <w:r>
        <w:rPr>
          <w:rFonts w:hint="eastAsia" w:ascii="仿宋" w:hAnsi="仿宋" w:eastAsia="仿宋" w:cs="仿宋"/>
          <w:color w:val="auto"/>
          <w:szCs w:val="21"/>
          <w:highlight w:val="none"/>
        </w:rPr>
        <w:t xml:space="preserve"> </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 xml:space="preserve">银行账户： </w:t>
      </w:r>
      <w:r>
        <w:rPr>
          <w:rFonts w:ascii="仿宋" w:hAnsi="仿宋" w:eastAsia="仿宋" w:cs="仿宋"/>
          <w:color w:val="auto"/>
          <w:szCs w:val="21"/>
          <w:highlight w:val="none"/>
        </w:rPr>
        <w:t>33050161612709088888</w:t>
      </w:r>
      <w:r>
        <w:rPr>
          <w:rFonts w:hint="eastAsia" w:ascii="仿宋" w:hAnsi="仿宋" w:eastAsia="仿宋" w:cs="仿宋"/>
          <w:color w:val="auto"/>
          <w:szCs w:val="21"/>
          <w:highlight w:val="none"/>
        </w:rPr>
        <w:t xml:space="preserve"> </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 xml:space="preserve">开户银行：中国建设银行杭州宝石支行 </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 xml:space="preserve">地址：杭州市文一西路1818号 电话： </w:t>
      </w:r>
      <w:r>
        <w:rPr>
          <w:rFonts w:ascii="仿宋" w:hAnsi="仿宋" w:eastAsia="仿宋" w:cs="仿宋"/>
          <w:color w:val="auto"/>
          <w:szCs w:val="21"/>
          <w:highlight w:val="none"/>
        </w:rPr>
        <w:t>057156390521</w:t>
      </w:r>
      <w:r>
        <w:rPr>
          <w:rFonts w:hint="eastAsia" w:ascii="仿宋" w:hAnsi="仿宋" w:eastAsia="仿宋" w:cs="仿宋"/>
          <w:color w:val="auto"/>
          <w:szCs w:val="21"/>
          <w:highlight w:val="none"/>
        </w:rPr>
        <w:t xml:space="preserve">   </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如乙方向甲方开具的发票无效、虚假、发票类型与合同约定不符，或者乙方发生迟延开具或交付发票的情形，或者乙方出现违反合同约定的其他情形，乙方应当赔偿甲方全部损失，包括但不限于税金、附加税费、罚金、滞纳金。</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如发生需要作废发票或开具红字发票等情形，乙方应当根据甲方要求及时开具发票。</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因乙方未按约及时提供发票导致甲方迟延付款的，不视为甲方逾期付款，乙方不得因此向甲方主张承担逾期付款违约责任。</w:t>
      </w:r>
      <w:bookmarkEnd w:id="42"/>
      <w:bookmarkEnd w:id="43"/>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二、权利保留</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任何一方在本合同项下的权利并不影响和排除其根据法律、法规和其它合同所享有的任何权利。任何对违约或延误行为施以任何宽容、宽限、优惠或延缓行使本合同项下的任何权利，均不能视为对本合同项下权利、权益的放弃或对任何违反本合同行为的许可或认可，也不限制、阻止和妨碍对该权利的继续行使或对其任何其它权利的行使。</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三、通知</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本合同任何一方当事人传递给对方的通知，须按本合同所列的联系人、联系电话、通讯地址等联系方式进行。 一方联系人、联系方式如有变动，应于发生变动之日起三个工作日内以书面形式通知对方，因未及时通知而造成的损失由变动方承担。</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四、税收</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合同双方均同意根据适用的税收法律法规各自缴纳其应承担的本合同或本合同项下的一切税收。甲方除依据本合同“支付条款”支付相应款项外，无义务向乙方额外补偿或支付任何税款。如果依据税收法律法规，甲方应当为乙方代扣代缴任何税款，甲方有权在依据本合同支付相应款项前扣除应代扣的税款；如甲方按照税收法律法规已为乙方代缴了税款，但未能在支付本合同约定款项时扣除相应数额，乙方应当在接到甲方提供的代缴税收证明文件后立即全额偿付甲方已代缴的税款。</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五、不可抗力</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由于发生不可抗力事件（如战争、暴动、严重火灾、水灾、台风、地震、政府行为和禁令等事件），致使合同任一方不能履行合同义务时，遭受不可抗力事件影响的一方负有在合理时间内尽快通知合同对方和采取合理措施减少对方损失的义务。</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遭受不可抗力事件影响的一方在履行前述义务后免除违约责任。但其合同义务不因此免除。经合同双方协商同意，合同履行时间可合理延长，延长时间相当于因事件发生受到影响的时间。</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六、权利义务的转让</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未经甲方事先书面同意，乙方不得通过任何方式出售、转让或转移其在本合同项下的任何权利或义务。</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七、市场宣传</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未经甲方书面同意，乙方不得在市场宣传中使用与甲方的合作案例，不得将甲方作为业务合作伙伴进行宣传，不得使用甲方的名称、标志、商标等。</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八、合同的完整性及解释顺序</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下列文件是</w:t>
      </w:r>
      <w:r>
        <w:rPr>
          <w:rFonts w:ascii="仿宋" w:hAnsi="仿宋" w:eastAsia="仿宋" w:cs="仿宋"/>
          <w:color w:val="auto"/>
          <w:szCs w:val="21"/>
          <w:highlight w:val="none"/>
        </w:rPr>
        <w:t>本</w:t>
      </w:r>
      <w:r>
        <w:rPr>
          <w:rFonts w:hint="eastAsia" w:ascii="仿宋" w:hAnsi="仿宋" w:eastAsia="仿宋" w:cs="仿宋"/>
          <w:color w:val="auto"/>
          <w:szCs w:val="21"/>
          <w:highlight w:val="none"/>
        </w:rPr>
        <w:t>合同不可分割的组成部分，并按下列优先顺序进行解释</w:t>
      </w:r>
      <w:r>
        <w:rPr>
          <w:rFonts w:ascii="仿宋" w:hAnsi="仿宋" w:eastAsia="仿宋" w:cs="仿宋"/>
          <w:color w:val="auto"/>
          <w:szCs w:val="21"/>
          <w:highlight w:val="none"/>
        </w:rPr>
        <w:t>：</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1、本合同及</w:t>
      </w:r>
      <w:r>
        <w:rPr>
          <w:rFonts w:ascii="仿宋" w:hAnsi="仿宋" w:eastAsia="仿宋" w:cs="仿宋"/>
          <w:color w:val="auto"/>
          <w:szCs w:val="21"/>
          <w:highlight w:val="none"/>
        </w:rPr>
        <w:t xml:space="preserve">附件； </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2、</w:t>
      </w:r>
      <w:r>
        <w:rPr>
          <w:rFonts w:ascii="仿宋" w:hAnsi="仿宋" w:eastAsia="仿宋" w:cs="仿宋"/>
          <w:color w:val="auto"/>
          <w:szCs w:val="21"/>
          <w:highlight w:val="none"/>
        </w:rPr>
        <w:t xml:space="preserve">中标通知书（如果有）； </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3、招标（谈判、磋商）文件及附件</w:t>
      </w:r>
      <w:r>
        <w:rPr>
          <w:rFonts w:ascii="仿宋" w:hAnsi="仿宋" w:eastAsia="仿宋" w:cs="仿宋"/>
          <w:color w:val="auto"/>
          <w:szCs w:val="21"/>
          <w:highlight w:val="none"/>
        </w:rPr>
        <w:t>；</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4、</w:t>
      </w:r>
      <w:r>
        <w:rPr>
          <w:rFonts w:ascii="仿宋" w:hAnsi="仿宋" w:eastAsia="仿宋" w:cs="仿宋"/>
          <w:color w:val="auto"/>
          <w:szCs w:val="21"/>
          <w:highlight w:val="none"/>
        </w:rPr>
        <w:t>投标</w:t>
      </w:r>
      <w:r>
        <w:rPr>
          <w:rFonts w:hint="eastAsia" w:ascii="仿宋" w:hAnsi="仿宋" w:eastAsia="仿宋" w:cs="仿宋"/>
          <w:color w:val="auto"/>
          <w:szCs w:val="21"/>
          <w:highlight w:val="none"/>
        </w:rPr>
        <w:t>（响应）文件</w:t>
      </w:r>
      <w:r>
        <w:rPr>
          <w:rFonts w:ascii="仿宋" w:hAnsi="仿宋" w:eastAsia="仿宋" w:cs="仿宋"/>
          <w:color w:val="auto"/>
          <w:szCs w:val="21"/>
          <w:highlight w:val="none"/>
        </w:rPr>
        <w:t>；</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5、投标人所作的其他</w:t>
      </w:r>
      <w:r>
        <w:rPr>
          <w:rFonts w:hint="eastAsia" w:ascii="仿宋" w:hAnsi="仿宋" w:eastAsia="仿宋" w:cs="仿宋"/>
          <w:color w:val="auto"/>
          <w:szCs w:val="21"/>
          <w:highlight w:val="none"/>
          <w:lang w:eastAsia="zh-Hans"/>
        </w:rPr>
        <w:t>书面</w:t>
      </w:r>
      <w:r>
        <w:rPr>
          <w:rFonts w:hint="eastAsia" w:ascii="仿宋" w:hAnsi="仿宋" w:eastAsia="仿宋" w:cs="仿宋"/>
          <w:color w:val="auto"/>
          <w:szCs w:val="21"/>
          <w:highlight w:val="none"/>
        </w:rPr>
        <w:t>承诺；</w:t>
      </w:r>
    </w:p>
    <w:p>
      <w:pPr>
        <w:adjustRightInd w:val="0"/>
        <w:snapToGrid w:val="0"/>
        <w:spacing w:line="288" w:lineRule="auto"/>
        <w:ind w:firstLine="420" w:firstLineChars="200"/>
        <w:rPr>
          <w:rFonts w:ascii="仿宋" w:hAnsi="仿宋" w:eastAsia="仿宋" w:cs="仿宋"/>
          <w:color w:val="auto"/>
          <w:szCs w:val="21"/>
          <w:highlight w:val="none"/>
        </w:rPr>
      </w:pPr>
      <w:r>
        <w:rPr>
          <w:rFonts w:ascii="仿宋" w:hAnsi="仿宋" w:eastAsia="仿宋" w:cs="仿宋"/>
          <w:color w:val="auto"/>
          <w:szCs w:val="21"/>
          <w:highlight w:val="none"/>
        </w:rPr>
        <w:t>在合同履行过程中形成的与合同有关的文件均构成合同文件组成部分。</w:t>
      </w:r>
    </w:p>
    <w:p>
      <w:pPr>
        <w:adjustRightInd w:val="0"/>
        <w:snapToGrid w:val="0"/>
        <w:spacing w:line="288" w:lineRule="auto"/>
        <w:ind w:firstLine="420" w:firstLineChars="200"/>
        <w:rPr>
          <w:rFonts w:ascii="仿宋" w:hAnsi="仿宋" w:eastAsia="仿宋" w:cs="仿宋"/>
          <w:color w:val="auto"/>
          <w:szCs w:val="21"/>
          <w:highlight w:val="none"/>
        </w:rPr>
      </w:pPr>
      <w:r>
        <w:rPr>
          <w:rFonts w:ascii="仿宋" w:hAnsi="仿宋" w:eastAsia="仿宋" w:cs="仿宋"/>
          <w:color w:val="auto"/>
          <w:szCs w:val="21"/>
          <w:highlight w:val="none"/>
        </w:rPr>
        <w:t>上述各项合同文件包括合同当事人就该项合同文件所作出的补充和修改，属于同一类内容的文件，应以最新签署的为准。</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九、合同条款的可分割性</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如果本合同的任何条款被司法机关或其它有权机关宣布为无效、非法或其它形式的不可执行，本合同其它条款仍然有效，双方均应遵照执行。</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十、合同使用文字及效力</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除甲乙双方另行书面约定外，本合同项下所有文件、资料、工作说明书、产品说明书、手册、书信、电传、通知、电子邮件及其他书面文件若包含中文及其他语言文字的，均应以中文或中文含义为准。</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十一、廉洁规定</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乙方及乙方人员应严格遵守国家有关法律法规规定，遵守商业道德和市场规则，禁止商业贿赂，禁止不正当竞争，不得向甲方有关工作人员提供任何形式的回扣、现金、实物、证券、礼券等有价物品或邀请甲方相关工作人员参加旅游、高档宴请等其他可能影响职务行为公正履行的活动。否则，甲方有权将乙方列入不诚信供应商名单并进行公开通报。乙方因违反廉洁规定的行为而获得的非法所得，应返还甲方，因此导致甲方遭受损失的，乙方应赔偿甲方全部损失。</w:t>
      </w:r>
    </w:p>
    <w:p>
      <w:pPr>
        <w:adjustRightInd w:val="0"/>
        <w:snapToGrid w:val="0"/>
        <w:spacing w:line="288" w:lineRule="auto"/>
        <w:ind w:firstLine="422" w:firstLineChars="200"/>
        <w:rPr>
          <w:rFonts w:ascii="仿宋" w:hAnsi="仿宋" w:eastAsia="仿宋" w:cs="仿宋"/>
          <w:b/>
          <w:bCs/>
          <w:color w:val="auto"/>
          <w:szCs w:val="21"/>
          <w:highlight w:val="none"/>
        </w:rPr>
      </w:pPr>
      <w:r>
        <w:rPr>
          <w:rFonts w:hint="eastAsia" w:ascii="仿宋" w:hAnsi="仿宋" w:eastAsia="仿宋" w:cs="仿宋"/>
          <w:b/>
          <w:bCs/>
          <w:color w:val="auto"/>
          <w:szCs w:val="21"/>
          <w:highlight w:val="none"/>
        </w:rPr>
        <w:t>第十三条 违约责任</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一、乙方的违约行为及责任</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乙方交付的货物存在损坏或短缺，或货物品牌、型号、配置性能、货物质量等不符合合同约定的，乙方应当按照甲方要求立即进行整改，予以无条件维修、更换或退货，并承担由此产生的全部费用。在乙方按要求完成整改前，甲方有权拒付相应合同价款。乙方拒绝整改的，甲方有权解除合同，按本合同的约定追究乙方违约责任。乙方因整改未按本合同要求的时间交货或未按本合同约定的期限履行安装调试义务的，视为逾期，甲方有权按照本合同的约定行使权利。</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未按约定交付期限向甲方交付货物或完成安装调试服务、集成服务工作的，乙方应自逾期之日起按照合同总价的【</w:t>
      </w:r>
      <w:r>
        <w:rPr>
          <w:rFonts w:ascii="仿宋" w:hAnsi="仿宋" w:eastAsia="仿宋" w:cs="仿宋"/>
          <w:color w:val="auto"/>
          <w:szCs w:val="21"/>
          <w:highlight w:val="none"/>
        </w:rPr>
        <w:t xml:space="preserve"> </w:t>
      </w:r>
      <w:r>
        <w:rPr>
          <w:rFonts w:hint="eastAsia" w:ascii="仿宋" w:hAnsi="仿宋" w:eastAsia="仿宋" w:cs="仿宋"/>
          <w:color w:val="auto"/>
          <w:szCs w:val="21"/>
          <w:highlight w:val="none"/>
        </w:rPr>
        <w:t>1</w:t>
      </w:r>
      <w:r>
        <w:rPr>
          <w:rFonts w:ascii="仿宋" w:hAnsi="仿宋" w:eastAsia="仿宋" w:cs="仿宋"/>
          <w:color w:val="auto"/>
          <w:szCs w:val="21"/>
          <w:highlight w:val="none"/>
        </w:rPr>
        <w:t xml:space="preserve"> </w:t>
      </w:r>
      <w:r>
        <w:rPr>
          <w:rFonts w:hint="eastAsia" w:ascii="仿宋" w:hAnsi="仿宋" w:eastAsia="仿宋" w:cs="仿宋"/>
          <w:color w:val="auto"/>
          <w:szCs w:val="21"/>
          <w:highlight w:val="none"/>
        </w:rPr>
        <w:t>】‰乘以逾期天数向甲方支付违约金；如果乙方逾期【 30 】日以上仍未交付货物或完成安装调试服务、集成服务的，甲方有权解除本合同，按本合同的约定追究乙方违约责任。</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乙方提供的安装调试服务或集成服务验收不合格，应当重新进行安装调试或集成工作，并与甲方约定新的验收时间进行验收。如果连续经过【</w:t>
      </w:r>
      <w:r>
        <w:rPr>
          <w:rFonts w:ascii="仿宋" w:hAnsi="仿宋" w:eastAsia="仿宋" w:cs="仿宋"/>
          <w:color w:val="auto"/>
          <w:szCs w:val="21"/>
          <w:highlight w:val="none"/>
        </w:rPr>
        <w:t xml:space="preserve"> </w:t>
      </w:r>
      <w:r>
        <w:rPr>
          <w:rFonts w:hint="eastAsia" w:ascii="仿宋" w:hAnsi="仿宋" w:eastAsia="仿宋" w:cs="仿宋"/>
          <w:color w:val="auto"/>
          <w:szCs w:val="21"/>
          <w:highlight w:val="none"/>
        </w:rPr>
        <w:t>2</w:t>
      </w:r>
      <w:r>
        <w:rPr>
          <w:rFonts w:ascii="仿宋" w:hAnsi="仿宋" w:eastAsia="仿宋" w:cs="仿宋"/>
          <w:color w:val="auto"/>
          <w:szCs w:val="21"/>
          <w:highlight w:val="none"/>
        </w:rPr>
        <w:t xml:space="preserve"> </w:t>
      </w:r>
      <w:r>
        <w:rPr>
          <w:rFonts w:hint="eastAsia" w:ascii="仿宋" w:hAnsi="仿宋" w:eastAsia="仿宋" w:cs="仿宋"/>
          <w:color w:val="auto"/>
          <w:szCs w:val="21"/>
          <w:highlight w:val="none"/>
        </w:rPr>
        <w:t>】次验收均不合格或自合同约定的安装调试或集成服务应当完成之日起【</w:t>
      </w:r>
      <w:r>
        <w:rPr>
          <w:rFonts w:ascii="仿宋" w:hAnsi="仿宋" w:eastAsia="仿宋" w:cs="仿宋"/>
          <w:color w:val="auto"/>
          <w:szCs w:val="21"/>
          <w:highlight w:val="none"/>
        </w:rPr>
        <w:t xml:space="preserve"> </w:t>
      </w:r>
      <w:r>
        <w:rPr>
          <w:rFonts w:hint="eastAsia" w:ascii="仿宋" w:hAnsi="仿宋" w:eastAsia="仿宋" w:cs="仿宋"/>
          <w:color w:val="auto"/>
          <w:szCs w:val="21"/>
          <w:highlight w:val="none"/>
        </w:rPr>
        <w:t>30</w:t>
      </w:r>
      <w:r>
        <w:rPr>
          <w:rFonts w:ascii="仿宋" w:hAnsi="仿宋" w:eastAsia="仿宋" w:cs="仿宋"/>
          <w:color w:val="auto"/>
          <w:szCs w:val="21"/>
          <w:highlight w:val="none"/>
        </w:rPr>
        <w:t xml:space="preserve"> </w:t>
      </w:r>
      <w:r>
        <w:rPr>
          <w:rFonts w:hint="eastAsia" w:ascii="仿宋" w:hAnsi="仿宋" w:eastAsia="仿宋" w:cs="仿宋"/>
          <w:color w:val="auto"/>
          <w:szCs w:val="21"/>
          <w:highlight w:val="none"/>
        </w:rPr>
        <w:t>】日内仍不能验收合格的（以最先届至的为准），甲方有权选择行使下列权利：1、解除本合同，乙方向甲方返还甲方已支付的全部价款（对于未支付的价款，甲方不再支付），乙方同时应按合同总价的【</w:t>
      </w:r>
      <w:r>
        <w:rPr>
          <w:rFonts w:ascii="仿宋" w:hAnsi="仿宋" w:eastAsia="仿宋" w:cs="仿宋"/>
          <w:color w:val="auto"/>
          <w:szCs w:val="21"/>
          <w:highlight w:val="none"/>
        </w:rPr>
        <w:t xml:space="preserve"> </w:t>
      </w:r>
      <w:r>
        <w:rPr>
          <w:rFonts w:hint="eastAsia" w:ascii="仿宋" w:hAnsi="仿宋" w:eastAsia="仿宋" w:cs="仿宋"/>
          <w:color w:val="auto"/>
          <w:szCs w:val="21"/>
          <w:highlight w:val="none"/>
        </w:rPr>
        <w:t>30</w:t>
      </w:r>
      <w:r>
        <w:rPr>
          <w:rFonts w:ascii="仿宋" w:hAnsi="仿宋" w:eastAsia="仿宋" w:cs="仿宋"/>
          <w:color w:val="auto"/>
          <w:szCs w:val="21"/>
          <w:highlight w:val="none"/>
        </w:rPr>
        <w:t xml:space="preserve"> </w:t>
      </w:r>
      <w:r>
        <w:rPr>
          <w:rFonts w:hint="eastAsia" w:ascii="仿宋" w:hAnsi="仿宋" w:eastAsia="仿宋" w:cs="仿宋"/>
          <w:color w:val="auto"/>
          <w:szCs w:val="21"/>
          <w:highlight w:val="none"/>
        </w:rPr>
        <w:t>】％向甲方支付违约金，违约金不足以弥补甲方损失的，乙方还应赔偿甲方遭受的全部损失。2、要求重新提供符合合同约定的服务，乙方同时应按合同总价的【</w:t>
      </w:r>
      <w:r>
        <w:rPr>
          <w:rFonts w:ascii="仿宋" w:hAnsi="仿宋" w:eastAsia="仿宋" w:cs="仿宋"/>
          <w:color w:val="auto"/>
          <w:szCs w:val="21"/>
          <w:highlight w:val="none"/>
        </w:rPr>
        <w:t xml:space="preserve"> </w:t>
      </w:r>
      <w:r>
        <w:rPr>
          <w:rFonts w:hint="eastAsia" w:ascii="仿宋" w:hAnsi="仿宋" w:eastAsia="仿宋" w:cs="仿宋"/>
          <w:color w:val="auto"/>
          <w:szCs w:val="21"/>
          <w:highlight w:val="none"/>
        </w:rPr>
        <w:t>5</w:t>
      </w:r>
      <w:r>
        <w:rPr>
          <w:rFonts w:ascii="仿宋" w:hAnsi="仿宋" w:eastAsia="仿宋" w:cs="仿宋"/>
          <w:color w:val="auto"/>
          <w:szCs w:val="21"/>
          <w:highlight w:val="none"/>
        </w:rPr>
        <w:t xml:space="preserve"> </w:t>
      </w:r>
      <w:r>
        <w:rPr>
          <w:rFonts w:hint="eastAsia" w:ascii="仿宋" w:hAnsi="仿宋" w:eastAsia="仿宋" w:cs="仿宋"/>
          <w:color w:val="auto"/>
          <w:szCs w:val="21"/>
          <w:highlight w:val="none"/>
        </w:rPr>
        <w:t>】％向甲方支付违约金，违约金不足以弥补甲方损失的，乙方还应赔偿甲方遭受的全部损失。</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 xml:space="preserve">乙方违反“承诺与保证”条款中任一约定的，甲方有权解除本合同，并按本合同的约定追究乙方违约责任。 </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乙方未按本合同约定履行培训服务、维护支持服务或其他约定义务的，应按照甲方要求承担继续履行、采取补救措施和赔偿损失等违约责任，并按以下约定向甲方支付违约金：对于超过时限不履行义务的，乙方应自逾期之日起按照合同总价的【</w:t>
      </w:r>
      <w:r>
        <w:rPr>
          <w:rFonts w:ascii="仿宋" w:hAnsi="仿宋" w:eastAsia="仿宋" w:cs="仿宋"/>
          <w:color w:val="auto"/>
          <w:szCs w:val="21"/>
          <w:highlight w:val="none"/>
        </w:rPr>
        <w:t xml:space="preserve"> </w:t>
      </w:r>
      <w:r>
        <w:rPr>
          <w:rFonts w:hint="eastAsia" w:ascii="仿宋" w:hAnsi="仿宋" w:eastAsia="仿宋" w:cs="仿宋"/>
          <w:color w:val="auto"/>
          <w:szCs w:val="21"/>
          <w:highlight w:val="none"/>
        </w:rPr>
        <w:t>3 】‰乘以逾期天数向甲方支付违约金；对于其他违约情形的，乙方应就每一违约事件按照合同总价的【</w:t>
      </w:r>
      <w:r>
        <w:rPr>
          <w:rFonts w:ascii="仿宋" w:hAnsi="仿宋" w:eastAsia="仿宋" w:cs="仿宋"/>
          <w:color w:val="auto"/>
          <w:szCs w:val="21"/>
          <w:highlight w:val="none"/>
        </w:rPr>
        <w:t xml:space="preserve"> </w:t>
      </w:r>
      <w:r>
        <w:rPr>
          <w:rFonts w:hint="eastAsia" w:ascii="仿宋" w:hAnsi="仿宋" w:eastAsia="仿宋" w:cs="仿宋"/>
          <w:color w:val="auto"/>
          <w:szCs w:val="21"/>
          <w:highlight w:val="none"/>
        </w:rPr>
        <w:t>5</w:t>
      </w:r>
      <w:r>
        <w:rPr>
          <w:rFonts w:ascii="仿宋" w:hAnsi="仿宋" w:eastAsia="仿宋" w:cs="仿宋"/>
          <w:color w:val="auto"/>
          <w:szCs w:val="21"/>
          <w:highlight w:val="none"/>
        </w:rPr>
        <w:t xml:space="preserve"> </w:t>
      </w:r>
      <w:r>
        <w:rPr>
          <w:rFonts w:hint="eastAsia" w:ascii="仿宋" w:hAnsi="仿宋" w:eastAsia="仿宋" w:cs="仿宋"/>
          <w:color w:val="auto"/>
          <w:szCs w:val="21"/>
          <w:highlight w:val="none"/>
        </w:rPr>
        <w:t>】％向甲方支付违约金。违约金不足以补偿甲方损失的，乙方还应赔偿甲方遭受的全部损失。甲方认为违约行为已对甲方项目工作造成重大不利影响或者经甲方催告后乙方仍未提供支持维护服务、培训服务或其他约定义务的，甲方同时有权解除本合同。</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乙方应当向甲方支付违约金或赔偿金的，应当在甲方发出索赔通知后【</w:t>
      </w:r>
      <w:r>
        <w:rPr>
          <w:rFonts w:ascii="仿宋" w:hAnsi="仿宋" w:eastAsia="仿宋" w:cs="仿宋"/>
          <w:color w:val="auto"/>
          <w:szCs w:val="21"/>
          <w:highlight w:val="none"/>
        </w:rPr>
        <w:t xml:space="preserve"> </w:t>
      </w:r>
      <w:r>
        <w:rPr>
          <w:rFonts w:hint="eastAsia" w:ascii="仿宋" w:hAnsi="仿宋" w:eastAsia="仿宋" w:cs="仿宋"/>
          <w:color w:val="auto"/>
          <w:szCs w:val="21"/>
          <w:highlight w:val="none"/>
        </w:rPr>
        <w:t>7</w:t>
      </w:r>
      <w:r>
        <w:rPr>
          <w:rFonts w:ascii="仿宋" w:hAnsi="仿宋" w:eastAsia="仿宋" w:cs="仿宋"/>
          <w:color w:val="auto"/>
          <w:szCs w:val="21"/>
          <w:highlight w:val="none"/>
        </w:rPr>
        <w:t xml:space="preserve"> </w:t>
      </w:r>
      <w:r>
        <w:rPr>
          <w:rFonts w:hint="eastAsia" w:ascii="仿宋" w:hAnsi="仿宋" w:eastAsia="仿宋" w:cs="仿宋"/>
          <w:color w:val="auto"/>
          <w:szCs w:val="21"/>
          <w:highlight w:val="none"/>
        </w:rPr>
        <w:t>】日之内支付给甲方。如甲方尚有未向乙方支付的款项的，乙方同意甲方有权从未支付款项中扣除相应数额的款项。</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上述所称损失是指直接损失和间接损失，包括但不限于诉讼费</w:t>
      </w:r>
      <w:bookmarkStart w:id="48" w:name="_Hlk536734292"/>
      <w:r>
        <w:rPr>
          <w:rFonts w:hint="eastAsia" w:ascii="仿宋" w:hAnsi="仿宋" w:eastAsia="仿宋" w:cs="仿宋"/>
          <w:color w:val="auto"/>
          <w:szCs w:val="21"/>
          <w:highlight w:val="none"/>
        </w:rPr>
        <w:t>/仲裁费、保全费、执行费</w:t>
      </w:r>
      <w:bookmarkEnd w:id="48"/>
      <w:r>
        <w:rPr>
          <w:rFonts w:hint="eastAsia" w:ascii="仿宋" w:hAnsi="仿宋" w:eastAsia="仿宋" w:cs="仿宋"/>
          <w:color w:val="auto"/>
          <w:szCs w:val="21"/>
          <w:highlight w:val="none"/>
        </w:rPr>
        <w:t>、律师费及调查取证费、鉴定费、公证费、公告费、评估费等相关费用。</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二、甲方的违约行为及责任</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甲方违反本合同约定逾期支付合同价款且经乙方书面催告后仍未及时支付的，甲方应自逾期之日起按照逾期支付合同价款的【</w:t>
      </w:r>
      <w:r>
        <w:rPr>
          <w:rFonts w:ascii="仿宋" w:hAnsi="仿宋" w:eastAsia="仿宋" w:cs="仿宋"/>
          <w:color w:val="auto"/>
          <w:szCs w:val="21"/>
          <w:highlight w:val="none"/>
        </w:rPr>
        <w:t xml:space="preserve"> </w:t>
      </w:r>
      <w:r>
        <w:rPr>
          <w:rFonts w:hint="eastAsia" w:ascii="仿宋" w:hAnsi="仿宋" w:eastAsia="仿宋" w:cs="仿宋"/>
          <w:color w:val="auto"/>
          <w:szCs w:val="21"/>
          <w:highlight w:val="none"/>
        </w:rPr>
        <w:t>1</w:t>
      </w:r>
      <w:r>
        <w:rPr>
          <w:rFonts w:ascii="仿宋" w:hAnsi="仿宋" w:eastAsia="仿宋" w:cs="仿宋"/>
          <w:color w:val="auto"/>
          <w:szCs w:val="21"/>
          <w:highlight w:val="none"/>
        </w:rPr>
        <w:t xml:space="preserve"> </w:t>
      </w:r>
      <w:r>
        <w:rPr>
          <w:rFonts w:hint="eastAsia" w:ascii="仿宋" w:hAnsi="仿宋" w:eastAsia="仿宋" w:cs="仿宋"/>
          <w:color w:val="auto"/>
          <w:szCs w:val="21"/>
          <w:highlight w:val="none"/>
        </w:rPr>
        <w:t xml:space="preserve">】‰乘以逾期天数向乙方支付违约金。 </w:t>
      </w:r>
    </w:p>
    <w:p>
      <w:pPr>
        <w:adjustRightInd w:val="0"/>
        <w:snapToGrid w:val="0"/>
        <w:spacing w:line="288" w:lineRule="auto"/>
        <w:ind w:firstLine="422" w:firstLineChars="200"/>
        <w:rPr>
          <w:rFonts w:ascii="仿宋" w:hAnsi="仿宋" w:eastAsia="仿宋" w:cs="仿宋"/>
          <w:b/>
          <w:bCs/>
          <w:color w:val="auto"/>
          <w:szCs w:val="21"/>
          <w:highlight w:val="none"/>
        </w:rPr>
      </w:pPr>
      <w:r>
        <w:rPr>
          <w:rFonts w:hint="eastAsia" w:ascii="仿宋" w:hAnsi="仿宋" w:eastAsia="仿宋" w:cs="仿宋"/>
          <w:b/>
          <w:bCs/>
          <w:color w:val="auto"/>
          <w:szCs w:val="21"/>
          <w:highlight w:val="none"/>
        </w:rPr>
        <w:t>第十四条 法律适用与争议的解决</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本合同适用中华人民共和国法律。</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凡因本合同引起的或与本合同有关的任何争议，双方可通过协商解决，协商不成，按照以下第【 （选择1、2中一种）】种方式解决：</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1、向甲方住所地有管辖权的人民法院起诉。</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2、将争议提交杭州仲裁委员会并按照申请仲裁时该会现行有效的仲裁规则进行仲裁。仲裁裁决是终局的，对双方均有约束力。</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在诉讼或仲裁期间，本合同不涉及争议的条款仍须履行。</w:t>
      </w:r>
    </w:p>
    <w:p>
      <w:pPr>
        <w:adjustRightInd w:val="0"/>
        <w:snapToGrid w:val="0"/>
        <w:spacing w:line="288" w:lineRule="auto"/>
        <w:ind w:firstLine="422" w:firstLineChars="200"/>
        <w:rPr>
          <w:rFonts w:ascii="仿宋" w:hAnsi="仿宋" w:eastAsia="仿宋" w:cs="仿宋"/>
          <w:b/>
          <w:bCs/>
          <w:color w:val="auto"/>
          <w:szCs w:val="21"/>
          <w:highlight w:val="none"/>
        </w:rPr>
      </w:pPr>
      <w:r>
        <w:rPr>
          <w:rFonts w:hint="eastAsia" w:ascii="仿宋" w:hAnsi="仿宋" w:eastAsia="仿宋" w:cs="仿宋"/>
          <w:b/>
          <w:bCs/>
          <w:color w:val="auto"/>
          <w:szCs w:val="21"/>
          <w:highlight w:val="none"/>
        </w:rPr>
        <w:t xml:space="preserve">第十五条 合同的生效、变更及合同份数 </w:t>
      </w:r>
    </w:p>
    <w:p>
      <w:pPr>
        <w:adjustRightInd w:val="0"/>
        <w:snapToGrid w:val="0"/>
        <w:spacing w:line="288"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 xml:space="preserve">本合同经甲方法定代表人或授权代表签字并盖章、乙方法定代表人（负责人）或授权代表签字或盖章后生效。本合同生效后，未经双方共同协商并达成书面协议，任何一方不得擅自变更本合同约定。本合同正本一式【 </w:t>
      </w:r>
      <w:r>
        <w:rPr>
          <w:rFonts w:ascii="仿宋" w:hAnsi="仿宋" w:eastAsia="仿宋" w:cs="仿宋"/>
          <w:color w:val="auto"/>
          <w:szCs w:val="21"/>
          <w:highlight w:val="none"/>
        </w:rPr>
        <w:t xml:space="preserve">  </w:t>
      </w:r>
      <w:r>
        <w:rPr>
          <w:rFonts w:hint="eastAsia" w:ascii="仿宋" w:hAnsi="仿宋" w:eastAsia="仿宋" w:cs="仿宋"/>
          <w:color w:val="auto"/>
          <w:szCs w:val="21"/>
          <w:highlight w:val="none"/>
        </w:rPr>
        <w:t>】份，甲方执【 贰 】份，乙方执【</w:t>
      </w:r>
      <w:r>
        <w:rPr>
          <w:rFonts w:ascii="仿宋" w:hAnsi="仿宋" w:eastAsia="仿宋" w:cs="仿宋"/>
          <w:color w:val="auto"/>
          <w:szCs w:val="21"/>
          <w:highlight w:val="none"/>
        </w:rPr>
        <w:t xml:space="preserve"> </w:t>
      </w:r>
      <w:r>
        <w:rPr>
          <w:rFonts w:hint="eastAsia" w:ascii="仿宋" w:hAnsi="仿宋" w:eastAsia="仿宋" w:cs="仿宋"/>
          <w:color w:val="auto"/>
          <w:szCs w:val="21"/>
          <w:highlight w:val="none"/>
        </w:rPr>
        <w:t xml:space="preserve"> </w:t>
      </w:r>
      <w:r>
        <w:rPr>
          <w:rFonts w:ascii="仿宋" w:hAnsi="仿宋" w:eastAsia="仿宋" w:cs="仿宋"/>
          <w:color w:val="auto"/>
          <w:szCs w:val="21"/>
          <w:highlight w:val="none"/>
        </w:rPr>
        <w:t xml:space="preserve"> </w:t>
      </w:r>
      <w:r>
        <w:rPr>
          <w:rFonts w:hint="eastAsia" w:ascii="仿宋" w:hAnsi="仿宋" w:eastAsia="仿宋" w:cs="仿宋"/>
          <w:color w:val="auto"/>
          <w:szCs w:val="21"/>
          <w:highlight w:val="none"/>
        </w:rPr>
        <w:t>】份，鉴证方执【</w:t>
      </w:r>
      <w:r>
        <w:rPr>
          <w:rFonts w:ascii="仿宋" w:hAnsi="仿宋" w:eastAsia="仿宋" w:cs="仿宋"/>
          <w:color w:val="auto"/>
          <w:szCs w:val="21"/>
          <w:highlight w:val="none"/>
        </w:rPr>
        <w:t xml:space="preserve"> </w:t>
      </w:r>
      <w:r>
        <w:rPr>
          <w:rFonts w:hint="eastAsia" w:ascii="仿宋" w:hAnsi="仿宋" w:eastAsia="仿宋" w:cs="仿宋"/>
          <w:color w:val="auto"/>
          <w:szCs w:val="21"/>
          <w:highlight w:val="none"/>
        </w:rPr>
        <w:t>壹</w:t>
      </w:r>
      <w:r>
        <w:rPr>
          <w:rFonts w:ascii="仿宋" w:hAnsi="仿宋" w:eastAsia="仿宋" w:cs="仿宋"/>
          <w:color w:val="auto"/>
          <w:szCs w:val="21"/>
          <w:highlight w:val="none"/>
        </w:rPr>
        <w:t xml:space="preserve"> </w:t>
      </w:r>
      <w:r>
        <w:rPr>
          <w:rFonts w:hint="eastAsia" w:ascii="仿宋" w:hAnsi="仿宋" w:eastAsia="仿宋" w:cs="仿宋"/>
          <w:color w:val="auto"/>
          <w:szCs w:val="21"/>
          <w:highlight w:val="none"/>
        </w:rPr>
        <w:t>】份，均具有同等法律效力。</w:t>
      </w:r>
    </w:p>
    <w:p>
      <w:pPr>
        <w:spacing w:line="288" w:lineRule="auto"/>
        <w:ind w:firstLine="422" w:firstLineChars="200"/>
        <w:rPr>
          <w:rFonts w:ascii="仿宋" w:hAnsi="仿宋" w:eastAsia="仿宋" w:cs="仿宋"/>
          <w:b/>
          <w:bCs/>
          <w:color w:val="auto"/>
          <w:szCs w:val="21"/>
          <w:highlight w:val="none"/>
        </w:rPr>
      </w:pPr>
      <w:r>
        <w:rPr>
          <w:rFonts w:hint="eastAsia" w:ascii="仿宋" w:hAnsi="仿宋" w:eastAsia="仿宋" w:cs="仿宋"/>
          <w:b/>
          <w:bCs/>
          <w:color w:val="auto"/>
          <w:szCs w:val="21"/>
          <w:highlight w:val="none"/>
        </w:rPr>
        <w:t>第十六条  双方补充约定的其他事项：【</w:t>
      </w:r>
      <w:r>
        <w:rPr>
          <w:rFonts w:ascii="仿宋" w:hAnsi="仿宋" w:eastAsia="仿宋" w:cs="仿宋"/>
          <w:b/>
          <w:bCs/>
          <w:color w:val="auto"/>
          <w:szCs w:val="21"/>
          <w:highlight w:val="none"/>
        </w:rPr>
        <w:t xml:space="preserve"> </w:t>
      </w:r>
      <w:r>
        <w:rPr>
          <w:rFonts w:hint="eastAsia" w:ascii="仿宋" w:hAnsi="仿宋" w:eastAsia="仿宋" w:cs="仿宋"/>
          <w:b/>
          <w:bCs/>
          <w:color w:val="auto"/>
          <w:szCs w:val="21"/>
          <w:highlight w:val="none"/>
        </w:rPr>
        <w:t xml:space="preserve">         </w:t>
      </w:r>
      <w:r>
        <w:rPr>
          <w:rFonts w:ascii="仿宋" w:hAnsi="仿宋" w:eastAsia="仿宋" w:cs="仿宋"/>
          <w:b/>
          <w:bCs/>
          <w:color w:val="auto"/>
          <w:szCs w:val="21"/>
          <w:highlight w:val="none"/>
        </w:rPr>
        <w:t xml:space="preserve"> </w:t>
      </w:r>
      <w:r>
        <w:rPr>
          <w:rFonts w:hint="eastAsia" w:ascii="仿宋" w:hAnsi="仿宋" w:eastAsia="仿宋" w:cs="仿宋"/>
          <w:b/>
          <w:bCs/>
          <w:color w:val="auto"/>
          <w:szCs w:val="21"/>
          <w:highlight w:val="none"/>
        </w:rPr>
        <w:t>】</w:t>
      </w:r>
    </w:p>
    <w:p>
      <w:pPr>
        <w:adjustRightInd w:val="0"/>
        <w:snapToGrid w:val="0"/>
        <w:spacing w:line="288" w:lineRule="auto"/>
        <w:jc w:val="center"/>
        <w:rPr>
          <w:rFonts w:ascii="仿宋" w:hAnsi="仿宋" w:eastAsia="仿宋" w:cs="仿宋"/>
          <w:b/>
          <w:color w:val="auto"/>
          <w:szCs w:val="21"/>
          <w:highlight w:val="none"/>
        </w:rPr>
      </w:pPr>
      <w:r>
        <w:rPr>
          <w:rFonts w:hint="eastAsia" w:ascii="仿宋" w:hAnsi="仿宋" w:eastAsia="仿宋" w:cs="仿宋"/>
          <w:color w:val="auto"/>
          <w:szCs w:val="21"/>
          <w:highlight w:val="none"/>
        </w:rPr>
        <w:t>（以下无正文）</w:t>
      </w:r>
    </w:p>
    <w:p>
      <w:pPr>
        <w:snapToGrid w:val="0"/>
        <w:spacing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【本页无正文，为签署页】</w:t>
      </w:r>
    </w:p>
    <w:tbl>
      <w:tblPr>
        <w:tblStyle w:val="28"/>
        <w:tblW w:w="962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021"/>
        <w:gridCol w:w="46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5021" w:type="dxa"/>
            <w:tcBorders>
              <w:tl2br w:val="nil"/>
              <w:tr2bl w:val="nil"/>
            </w:tcBorders>
            <w:vAlign w:val="center"/>
          </w:tcPr>
          <w:p>
            <w:pPr>
              <w:rPr>
                <w:rFonts w:ascii="仿宋" w:hAnsi="仿宋" w:eastAsia="仿宋" w:cs="仿宋"/>
                <w:color w:val="auto"/>
                <w:highlight w:val="none"/>
              </w:rPr>
            </w:pPr>
            <w:r>
              <w:rPr>
                <w:rFonts w:hint="eastAsia" w:ascii="仿宋" w:hAnsi="仿宋" w:eastAsia="仿宋" w:cs="仿宋"/>
                <w:color w:val="auto"/>
                <w:highlight w:val="none"/>
              </w:rPr>
              <w:t>甲方（盖章）：</w:t>
            </w:r>
          </w:p>
          <w:p>
            <w:pPr>
              <w:rPr>
                <w:rFonts w:ascii="仿宋" w:hAnsi="仿宋" w:eastAsia="仿宋" w:cs="仿宋"/>
                <w:color w:val="auto"/>
                <w:highlight w:val="none"/>
              </w:rPr>
            </w:pPr>
          </w:p>
          <w:p>
            <w:pPr>
              <w:rPr>
                <w:rFonts w:ascii="仿宋" w:hAnsi="仿宋" w:eastAsia="仿宋" w:cs="仿宋"/>
                <w:color w:val="auto"/>
                <w:highlight w:val="none"/>
              </w:rPr>
            </w:pPr>
          </w:p>
        </w:tc>
        <w:tc>
          <w:tcPr>
            <w:tcW w:w="4607" w:type="dxa"/>
            <w:tcBorders>
              <w:tl2br w:val="nil"/>
              <w:tr2bl w:val="nil"/>
            </w:tcBorders>
            <w:vAlign w:val="center"/>
          </w:tcPr>
          <w:p>
            <w:pPr>
              <w:rPr>
                <w:rFonts w:ascii="仿宋" w:hAnsi="仿宋" w:eastAsia="仿宋" w:cs="仿宋"/>
                <w:color w:val="auto"/>
                <w:highlight w:val="none"/>
              </w:rPr>
            </w:pPr>
            <w:r>
              <w:rPr>
                <w:rFonts w:hint="eastAsia" w:ascii="仿宋" w:hAnsi="仿宋" w:eastAsia="仿宋" w:cs="仿宋"/>
                <w:color w:val="auto"/>
                <w:highlight w:val="none"/>
              </w:rPr>
              <w:t>乙方（盖章）：</w:t>
            </w:r>
          </w:p>
          <w:p>
            <w:pPr>
              <w:rPr>
                <w:rFonts w:ascii="仿宋" w:hAnsi="仿宋" w:eastAsia="仿宋" w:cs="仿宋"/>
                <w:color w:val="auto"/>
                <w:highlight w:val="none"/>
              </w:rPr>
            </w:pPr>
          </w:p>
          <w:p>
            <w:pPr>
              <w:rPr>
                <w:rFonts w:ascii="仿宋" w:hAnsi="仿宋" w:eastAsia="仿宋" w:cs="仿宋"/>
                <w:color w:val="auto"/>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5021" w:type="dxa"/>
            <w:tcBorders>
              <w:tl2br w:val="nil"/>
              <w:tr2bl w:val="nil"/>
            </w:tcBorders>
            <w:vAlign w:val="center"/>
          </w:tcPr>
          <w:p>
            <w:pPr>
              <w:rPr>
                <w:rFonts w:ascii="仿宋" w:hAnsi="仿宋" w:eastAsia="仿宋" w:cs="仿宋"/>
                <w:color w:val="auto"/>
                <w:highlight w:val="none"/>
              </w:rPr>
            </w:pPr>
            <w:r>
              <w:rPr>
                <w:rFonts w:hint="eastAsia" w:ascii="仿宋" w:hAnsi="仿宋" w:eastAsia="仿宋" w:cs="仿宋"/>
                <w:color w:val="auto"/>
                <w:highlight w:val="none"/>
              </w:rPr>
              <w:t>单位名称：之江实验室</w:t>
            </w:r>
          </w:p>
        </w:tc>
        <w:tc>
          <w:tcPr>
            <w:tcW w:w="4607" w:type="dxa"/>
            <w:tcBorders>
              <w:tl2br w:val="nil"/>
              <w:tr2bl w:val="nil"/>
            </w:tcBorders>
            <w:vAlign w:val="center"/>
          </w:tcPr>
          <w:p>
            <w:pPr>
              <w:rPr>
                <w:rFonts w:ascii="仿宋" w:hAnsi="仿宋" w:eastAsia="仿宋" w:cs="仿宋"/>
                <w:color w:val="auto"/>
                <w:highlight w:val="none"/>
              </w:rPr>
            </w:pPr>
            <w:r>
              <w:rPr>
                <w:rFonts w:hint="eastAsia" w:ascii="仿宋" w:hAnsi="仿宋" w:eastAsia="仿宋" w:cs="仿宋"/>
                <w:color w:val="auto"/>
                <w:highlight w:val="none"/>
              </w:rPr>
              <w:t>单位名称：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5021" w:type="dxa"/>
            <w:tcBorders>
              <w:tl2br w:val="nil"/>
              <w:tr2bl w:val="nil"/>
            </w:tcBorders>
            <w:vAlign w:val="center"/>
          </w:tcPr>
          <w:p>
            <w:pPr>
              <w:rPr>
                <w:rFonts w:ascii="仿宋" w:hAnsi="仿宋" w:eastAsia="仿宋" w:cs="仿宋"/>
                <w:color w:val="auto"/>
                <w:highlight w:val="none"/>
              </w:rPr>
            </w:pPr>
            <w:r>
              <w:rPr>
                <w:rFonts w:hint="eastAsia" w:ascii="仿宋" w:hAnsi="仿宋" w:eastAsia="仿宋" w:cs="仿宋"/>
                <w:color w:val="auto"/>
                <w:highlight w:val="none"/>
              </w:rPr>
              <w:t>单位地址：杭州市余杭区中泰街道之江实验室新园区一期</w:t>
            </w:r>
          </w:p>
        </w:tc>
        <w:tc>
          <w:tcPr>
            <w:tcW w:w="4607" w:type="dxa"/>
            <w:tcBorders>
              <w:tl2br w:val="nil"/>
              <w:tr2bl w:val="nil"/>
            </w:tcBorders>
            <w:vAlign w:val="center"/>
          </w:tcPr>
          <w:p>
            <w:pPr>
              <w:rPr>
                <w:rFonts w:ascii="仿宋" w:hAnsi="仿宋" w:eastAsia="仿宋" w:cs="仿宋"/>
                <w:color w:val="auto"/>
                <w:highlight w:val="none"/>
              </w:rPr>
            </w:pPr>
            <w:r>
              <w:rPr>
                <w:rFonts w:hint="eastAsia" w:ascii="仿宋" w:hAnsi="仿宋" w:eastAsia="仿宋" w:cs="仿宋"/>
                <w:color w:val="auto"/>
                <w:highlight w:val="none"/>
              </w:rPr>
              <w:t>单位地址：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5021" w:type="dxa"/>
            <w:tcBorders>
              <w:tl2br w:val="nil"/>
              <w:tr2bl w:val="nil"/>
            </w:tcBorders>
            <w:vAlign w:val="center"/>
          </w:tcPr>
          <w:p>
            <w:pPr>
              <w:rPr>
                <w:rFonts w:ascii="仿宋" w:hAnsi="仿宋" w:eastAsia="仿宋" w:cs="仿宋"/>
                <w:color w:val="auto"/>
                <w:highlight w:val="none"/>
              </w:rPr>
            </w:pPr>
            <w:r>
              <w:rPr>
                <w:rFonts w:hint="eastAsia" w:ascii="仿宋" w:hAnsi="仿宋" w:eastAsia="仿宋" w:cs="仿宋"/>
                <w:color w:val="auto"/>
                <w:highlight w:val="none"/>
              </w:rPr>
              <w:t>法定代表人或授权代表（签字）：</w:t>
            </w:r>
          </w:p>
        </w:tc>
        <w:tc>
          <w:tcPr>
            <w:tcW w:w="4607" w:type="dxa"/>
            <w:tcBorders>
              <w:tl2br w:val="nil"/>
              <w:tr2bl w:val="nil"/>
            </w:tcBorders>
            <w:vAlign w:val="center"/>
          </w:tcPr>
          <w:p>
            <w:pPr>
              <w:rPr>
                <w:rFonts w:ascii="仿宋" w:hAnsi="仿宋" w:eastAsia="仿宋" w:cs="仿宋"/>
                <w:color w:val="auto"/>
                <w:highlight w:val="none"/>
              </w:rPr>
            </w:pPr>
            <w:r>
              <w:rPr>
                <w:rFonts w:hint="eastAsia" w:ascii="仿宋" w:hAnsi="仿宋" w:eastAsia="仿宋" w:cs="仿宋"/>
                <w:color w:val="auto"/>
                <w:highlight w:val="none"/>
              </w:rPr>
              <w:t>法定代表人或授权代表（签字）：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5021" w:type="dxa"/>
            <w:tcBorders>
              <w:tl2br w:val="nil"/>
              <w:tr2bl w:val="nil"/>
            </w:tcBorders>
            <w:vAlign w:val="center"/>
          </w:tcPr>
          <w:p>
            <w:pPr>
              <w:rPr>
                <w:rFonts w:ascii="仿宋" w:hAnsi="仿宋" w:eastAsia="仿宋" w:cs="仿宋"/>
                <w:color w:val="auto"/>
                <w:highlight w:val="none"/>
              </w:rPr>
            </w:pPr>
            <w:r>
              <w:rPr>
                <w:rFonts w:hint="eastAsia" w:ascii="仿宋" w:hAnsi="仿宋" w:eastAsia="仿宋" w:cs="仿宋"/>
                <w:color w:val="auto"/>
                <w:highlight w:val="none"/>
              </w:rPr>
              <w:t>电话：</w:t>
            </w:r>
          </w:p>
        </w:tc>
        <w:tc>
          <w:tcPr>
            <w:tcW w:w="4607" w:type="dxa"/>
            <w:tcBorders>
              <w:tl2br w:val="nil"/>
              <w:tr2bl w:val="nil"/>
            </w:tcBorders>
            <w:vAlign w:val="center"/>
          </w:tcPr>
          <w:p>
            <w:pPr>
              <w:rPr>
                <w:rFonts w:ascii="仿宋" w:hAnsi="仿宋" w:eastAsia="仿宋" w:cs="仿宋"/>
                <w:color w:val="auto"/>
                <w:highlight w:val="none"/>
              </w:rPr>
            </w:pPr>
            <w:r>
              <w:rPr>
                <w:rFonts w:hint="eastAsia" w:ascii="仿宋" w:hAnsi="仿宋" w:eastAsia="仿宋" w:cs="仿宋"/>
                <w:color w:val="auto"/>
                <w:highlight w:val="none"/>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5021" w:type="dxa"/>
            <w:tcBorders>
              <w:tl2br w:val="nil"/>
              <w:tr2bl w:val="nil"/>
            </w:tcBorders>
            <w:vAlign w:val="center"/>
          </w:tcPr>
          <w:p>
            <w:pPr>
              <w:rPr>
                <w:rFonts w:ascii="仿宋" w:hAnsi="仿宋" w:eastAsia="仿宋" w:cs="仿宋"/>
                <w:color w:val="auto"/>
                <w:highlight w:val="none"/>
              </w:rPr>
            </w:pPr>
            <w:r>
              <w:rPr>
                <w:rFonts w:hint="eastAsia" w:ascii="仿宋" w:hAnsi="仿宋" w:eastAsia="仿宋" w:cs="仿宋"/>
                <w:color w:val="auto"/>
                <w:highlight w:val="none"/>
              </w:rPr>
              <w:t>账户名：之江实验室</w:t>
            </w:r>
          </w:p>
        </w:tc>
        <w:tc>
          <w:tcPr>
            <w:tcW w:w="4607" w:type="dxa"/>
            <w:tcBorders>
              <w:tl2br w:val="nil"/>
              <w:tr2bl w:val="nil"/>
            </w:tcBorders>
            <w:vAlign w:val="center"/>
          </w:tcPr>
          <w:p>
            <w:pPr>
              <w:rPr>
                <w:rFonts w:ascii="仿宋" w:hAnsi="仿宋" w:eastAsia="仿宋" w:cs="仿宋"/>
                <w:color w:val="auto"/>
                <w:highlight w:val="none"/>
              </w:rPr>
            </w:pPr>
            <w:r>
              <w:rPr>
                <w:rFonts w:hint="eastAsia" w:ascii="仿宋" w:hAnsi="仿宋" w:eastAsia="仿宋" w:cs="仿宋"/>
                <w:color w:val="auto"/>
                <w:highlight w:val="none"/>
              </w:rPr>
              <w:t>账户名：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5021" w:type="dxa"/>
            <w:tcBorders>
              <w:tl2br w:val="nil"/>
              <w:tr2bl w:val="nil"/>
            </w:tcBorders>
            <w:vAlign w:val="center"/>
          </w:tcPr>
          <w:p>
            <w:pPr>
              <w:rPr>
                <w:rFonts w:ascii="仿宋" w:hAnsi="仿宋" w:eastAsia="仿宋" w:cs="仿宋"/>
                <w:color w:val="auto"/>
                <w:highlight w:val="none"/>
              </w:rPr>
            </w:pPr>
            <w:r>
              <w:rPr>
                <w:rFonts w:hint="eastAsia" w:ascii="仿宋" w:hAnsi="仿宋" w:eastAsia="仿宋" w:cs="仿宋"/>
                <w:color w:val="auto"/>
                <w:highlight w:val="none"/>
              </w:rPr>
              <w:t>开户银行：建行杭州宝石支行</w:t>
            </w:r>
          </w:p>
        </w:tc>
        <w:tc>
          <w:tcPr>
            <w:tcW w:w="4607" w:type="dxa"/>
            <w:tcBorders>
              <w:tl2br w:val="nil"/>
              <w:tr2bl w:val="nil"/>
            </w:tcBorders>
            <w:vAlign w:val="center"/>
          </w:tcPr>
          <w:p>
            <w:pPr>
              <w:rPr>
                <w:rFonts w:ascii="仿宋" w:hAnsi="仿宋" w:eastAsia="仿宋" w:cs="仿宋"/>
                <w:color w:val="auto"/>
                <w:highlight w:val="none"/>
              </w:rPr>
            </w:pPr>
            <w:r>
              <w:rPr>
                <w:rFonts w:hint="eastAsia" w:ascii="仿宋" w:hAnsi="仿宋" w:eastAsia="仿宋" w:cs="仿宋"/>
                <w:color w:val="auto"/>
                <w:highlight w:val="none"/>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5021" w:type="dxa"/>
            <w:tcBorders>
              <w:tl2br w:val="nil"/>
              <w:tr2bl w:val="nil"/>
            </w:tcBorders>
            <w:vAlign w:val="center"/>
          </w:tcPr>
          <w:p>
            <w:pPr>
              <w:rPr>
                <w:rFonts w:ascii="仿宋" w:hAnsi="仿宋" w:eastAsia="仿宋" w:cs="仿宋"/>
                <w:color w:val="auto"/>
                <w:highlight w:val="none"/>
              </w:rPr>
            </w:pPr>
            <w:r>
              <w:rPr>
                <w:rFonts w:hint="eastAsia" w:ascii="仿宋" w:hAnsi="仿宋" w:eastAsia="仿宋" w:cs="仿宋"/>
                <w:color w:val="auto"/>
                <w:highlight w:val="none"/>
              </w:rPr>
              <w:t>账号：33050161612709088888</w:t>
            </w:r>
          </w:p>
        </w:tc>
        <w:tc>
          <w:tcPr>
            <w:tcW w:w="4607" w:type="dxa"/>
            <w:tcBorders>
              <w:tl2br w:val="nil"/>
              <w:tr2bl w:val="nil"/>
            </w:tcBorders>
            <w:vAlign w:val="center"/>
          </w:tcPr>
          <w:p>
            <w:pPr>
              <w:rPr>
                <w:rFonts w:ascii="仿宋" w:hAnsi="仿宋" w:eastAsia="仿宋" w:cs="仿宋"/>
                <w:color w:val="auto"/>
                <w:highlight w:val="none"/>
              </w:rPr>
            </w:pPr>
            <w:r>
              <w:rPr>
                <w:rFonts w:hint="eastAsia" w:ascii="仿宋" w:hAnsi="仿宋" w:eastAsia="仿宋" w:cs="仿宋"/>
                <w:color w:val="auto"/>
                <w:highlight w:val="none"/>
              </w:rPr>
              <w:t>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5021" w:type="dxa"/>
            <w:tcBorders>
              <w:tl2br w:val="nil"/>
              <w:tr2bl w:val="nil"/>
            </w:tcBorders>
            <w:vAlign w:val="center"/>
          </w:tcPr>
          <w:p>
            <w:pPr>
              <w:rPr>
                <w:rFonts w:ascii="仿宋" w:hAnsi="仿宋" w:eastAsia="仿宋" w:cs="仿宋"/>
                <w:color w:val="auto"/>
                <w:highlight w:val="none"/>
              </w:rPr>
            </w:pPr>
            <w:r>
              <w:rPr>
                <w:rFonts w:hint="eastAsia" w:ascii="仿宋" w:hAnsi="仿宋" w:eastAsia="仿宋" w:cs="仿宋"/>
                <w:color w:val="auto"/>
                <w:highlight w:val="none"/>
              </w:rPr>
              <w:t>纳税人识别号：12330000MB1478604D</w:t>
            </w:r>
          </w:p>
        </w:tc>
        <w:tc>
          <w:tcPr>
            <w:tcW w:w="4607" w:type="dxa"/>
            <w:tcBorders>
              <w:tl2br w:val="nil"/>
              <w:tr2bl w:val="nil"/>
            </w:tcBorders>
            <w:vAlign w:val="center"/>
          </w:tcPr>
          <w:p>
            <w:pPr>
              <w:rPr>
                <w:rFonts w:ascii="仿宋" w:hAnsi="仿宋" w:eastAsia="仿宋" w:cs="仿宋"/>
                <w:color w:val="auto"/>
                <w:highlight w:val="none"/>
              </w:rPr>
            </w:pPr>
            <w:r>
              <w:rPr>
                <w:rFonts w:hint="eastAsia" w:ascii="仿宋" w:hAnsi="仿宋" w:eastAsia="仿宋" w:cs="仿宋"/>
                <w:color w:val="auto"/>
                <w:highlight w:val="none"/>
              </w:rPr>
              <w:t>纳税人识别号：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5021" w:type="dxa"/>
            <w:tcBorders>
              <w:tl2br w:val="nil"/>
              <w:tr2bl w:val="nil"/>
            </w:tcBorders>
            <w:vAlign w:val="center"/>
          </w:tcPr>
          <w:p>
            <w:pPr>
              <w:rPr>
                <w:rFonts w:ascii="仿宋" w:hAnsi="仿宋" w:eastAsia="仿宋" w:cs="仿宋"/>
                <w:color w:val="auto"/>
                <w:highlight w:val="none"/>
              </w:rPr>
            </w:pPr>
            <w:r>
              <w:rPr>
                <w:rFonts w:hint="eastAsia" w:ascii="仿宋" w:hAnsi="仿宋" w:eastAsia="仿宋" w:cs="仿宋"/>
                <w:color w:val="auto"/>
                <w:highlight w:val="none"/>
              </w:rPr>
              <w:t>签订日期：    年   月   日</w:t>
            </w:r>
          </w:p>
        </w:tc>
        <w:tc>
          <w:tcPr>
            <w:tcW w:w="4607" w:type="dxa"/>
            <w:tcBorders>
              <w:tl2br w:val="nil"/>
              <w:tr2bl w:val="nil"/>
            </w:tcBorders>
            <w:vAlign w:val="center"/>
          </w:tcPr>
          <w:p>
            <w:pPr>
              <w:rPr>
                <w:rFonts w:ascii="仿宋" w:hAnsi="仿宋" w:eastAsia="仿宋" w:cs="仿宋"/>
                <w:color w:val="auto"/>
                <w:highlight w:val="none"/>
              </w:rPr>
            </w:pPr>
            <w:r>
              <w:rPr>
                <w:rFonts w:hint="eastAsia" w:ascii="仿宋" w:hAnsi="仿宋" w:eastAsia="仿宋" w:cs="仿宋"/>
                <w:color w:val="auto"/>
                <w:highlight w:val="none"/>
              </w:rPr>
              <w:t>签订日期：    年   月   日</w:t>
            </w:r>
          </w:p>
        </w:tc>
      </w:tr>
    </w:tbl>
    <w:p>
      <w:pPr>
        <w:snapToGrid w:val="0"/>
        <w:spacing w:line="360" w:lineRule="auto"/>
        <w:ind w:firstLine="105" w:firstLineChars="50"/>
        <w:rPr>
          <w:rFonts w:ascii="仿宋" w:hAnsi="仿宋" w:eastAsia="仿宋" w:cs="仿宋"/>
          <w:color w:val="auto"/>
          <w:szCs w:val="21"/>
          <w:highlight w:val="none"/>
        </w:rPr>
      </w:pPr>
    </w:p>
    <w:p>
      <w:pPr>
        <w:snapToGrid w:val="0"/>
        <w:spacing w:line="360" w:lineRule="auto"/>
        <w:ind w:firstLine="105" w:firstLineChars="50"/>
        <w:rPr>
          <w:rFonts w:ascii="仿宋" w:hAnsi="仿宋" w:eastAsia="仿宋" w:cs="仿宋"/>
          <w:color w:val="auto"/>
          <w:szCs w:val="21"/>
          <w:highlight w:val="none"/>
        </w:rPr>
      </w:pPr>
      <w:r>
        <w:rPr>
          <w:rFonts w:hint="eastAsia" w:ascii="仿宋" w:hAnsi="仿宋" w:eastAsia="仿宋" w:cs="仿宋"/>
          <w:color w:val="auto"/>
          <w:szCs w:val="21"/>
          <w:highlight w:val="none"/>
        </w:rPr>
        <w:t>鉴证方（盖章）：浙江求是招标代理有限公司</w:t>
      </w:r>
    </w:p>
    <w:p>
      <w:pPr>
        <w:snapToGrid w:val="0"/>
        <w:spacing w:line="360" w:lineRule="auto"/>
        <w:ind w:firstLine="105" w:firstLineChars="50"/>
        <w:rPr>
          <w:rFonts w:ascii="仿宋" w:hAnsi="仿宋" w:eastAsia="仿宋" w:cs="仿宋"/>
          <w:color w:val="auto"/>
          <w:szCs w:val="21"/>
          <w:highlight w:val="none"/>
        </w:rPr>
      </w:pPr>
      <w:r>
        <w:rPr>
          <w:rFonts w:hint="eastAsia" w:ascii="仿宋" w:hAnsi="仿宋" w:eastAsia="仿宋" w:cs="仿宋"/>
          <w:color w:val="auto"/>
          <w:szCs w:val="21"/>
          <w:highlight w:val="none"/>
        </w:rPr>
        <w:t>法定代表人（负责人）或授权代表（签字）：</w:t>
      </w:r>
    </w:p>
    <w:p>
      <w:pPr>
        <w:snapToGrid w:val="0"/>
        <w:spacing w:line="360" w:lineRule="auto"/>
        <w:ind w:firstLine="105" w:firstLineChars="50"/>
        <w:rPr>
          <w:rFonts w:ascii="仿宋" w:hAnsi="仿宋" w:eastAsia="仿宋" w:cs="仿宋"/>
          <w:color w:val="auto"/>
          <w:szCs w:val="21"/>
          <w:highlight w:val="none"/>
        </w:rPr>
      </w:pPr>
      <w:r>
        <w:rPr>
          <w:rFonts w:hint="eastAsia" w:ascii="仿宋" w:hAnsi="仿宋" w:eastAsia="仿宋" w:cs="仿宋"/>
          <w:color w:val="auto"/>
          <w:szCs w:val="21"/>
          <w:highlight w:val="none"/>
        </w:rPr>
        <w:t>电话：0571-87679349</w:t>
      </w:r>
    </w:p>
    <w:p>
      <w:pPr>
        <w:snapToGrid w:val="0"/>
        <w:spacing w:line="360" w:lineRule="auto"/>
        <w:ind w:firstLine="105" w:firstLineChars="50"/>
        <w:rPr>
          <w:rFonts w:ascii="仿宋" w:hAnsi="仿宋" w:eastAsia="仿宋" w:cs="仿宋"/>
          <w:color w:val="auto"/>
          <w:szCs w:val="21"/>
          <w:highlight w:val="none"/>
        </w:rPr>
      </w:pPr>
      <w:r>
        <w:rPr>
          <w:rFonts w:hint="eastAsia" w:ascii="仿宋" w:hAnsi="仿宋" w:eastAsia="仿宋" w:cs="仿宋"/>
          <w:color w:val="auto"/>
          <w:szCs w:val="21"/>
          <w:highlight w:val="none"/>
        </w:rPr>
        <w:t>地址：杭州市西湖区玉古路173号中田大厦21楼</w:t>
      </w:r>
    </w:p>
    <w:p>
      <w:pPr>
        <w:snapToGrid w:val="0"/>
        <w:spacing w:line="360" w:lineRule="auto"/>
        <w:ind w:firstLine="105" w:firstLineChars="50"/>
        <w:rPr>
          <w:rFonts w:ascii="宋体" w:hAnsi="宋体" w:eastAsia="宋体"/>
          <w:color w:val="auto"/>
          <w:sz w:val="24"/>
          <w:szCs w:val="24"/>
          <w:highlight w:val="none"/>
        </w:rPr>
      </w:pPr>
      <w:r>
        <w:rPr>
          <w:rFonts w:hint="eastAsia" w:ascii="仿宋" w:hAnsi="仿宋" w:eastAsia="仿宋" w:cs="仿宋"/>
          <w:color w:val="auto"/>
          <w:szCs w:val="21"/>
          <w:highlight w:val="none"/>
        </w:rPr>
        <w:t>日期：</w:t>
      </w:r>
      <w:r>
        <w:rPr>
          <w:rFonts w:hint="eastAsia" w:ascii="仿宋" w:hAnsi="仿宋" w:eastAsia="仿宋" w:cs="仿宋"/>
          <w:color w:val="auto"/>
          <w:highlight w:val="none"/>
        </w:rPr>
        <w:t xml:space="preserve">    年   月   日</w:t>
      </w:r>
    </w:p>
    <w:p>
      <w:pPr>
        <w:spacing w:line="288" w:lineRule="auto"/>
        <w:rPr>
          <w:rFonts w:ascii="仿宋" w:hAnsi="仿宋" w:eastAsia="仿宋" w:cs="仿宋"/>
          <w:b/>
          <w:color w:val="auto"/>
          <w:szCs w:val="21"/>
          <w:highlight w:val="none"/>
        </w:rPr>
      </w:pPr>
      <w:r>
        <w:rPr>
          <w:rFonts w:hint="eastAsia" w:ascii="仿宋" w:hAnsi="仿宋" w:eastAsia="仿宋" w:cs="仿宋"/>
          <w:b/>
          <w:color w:val="auto"/>
          <w:sz w:val="32"/>
          <w:szCs w:val="32"/>
          <w:highlight w:val="none"/>
        </w:rPr>
        <w:br w:type="page"/>
      </w:r>
      <w:r>
        <w:rPr>
          <w:rFonts w:hint="eastAsia" w:ascii="仿宋" w:hAnsi="仿宋" w:eastAsia="仿宋" w:cs="仿宋"/>
          <w:b/>
          <w:color w:val="auto"/>
          <w:szCs w:val="21"/>
          <w:highlight w:val="none"/>
        </w:rPr>
        <w:t>附件1：《货物配置清单》</w:t>
      </w:r>
    </w:p>
    <w:p>
      <w:pPr>
        <w:widowControl/>
        <w:spacing w:line="360" w:lineRule="auto"/>
        <w:jc w:val="left"/>
        <w:rPr>
          <w:rFonts w:ascii="宋体" w:hAnsi="宋体" w:eastAsia="宋体" w:cs="黑体"/>
          <w:b/>
          <w:color w:val="auto"/>
          <w:sz w:val="24"/>
          <w:szCs w:val="24"/>
          <w:highlight w:val="none"/>
        </w:rPr>
      </w:pPr>
      <w:r>
        <w:rPr>
          <w:rFonts w:ascii="宋体" w:hAnsi="宋体" w:eastAsia="宋体" w:cs="黑体"/>
          <w:b/>
          <w:color w:val="auto"/>
          <w:sz w:val="24"/>
          <w:szCs w:val="24"/>
          <w:highlight w:val="none"/>
        </w:rPr>
        <w:br w:type="page"/>
      </w:r>
    </w:p>
    <w:p>
      <w:pPr>
        <w:rPr>
          <w:color w:val="auto"/>
          <w:highlight w:val="none"/>
        </w:rPr>
      </w:pPr>
      <w:r>
        <w:rPr>
          <w:rFonts w:hint="eastAsia" w:ascii="仿宋" w:hAnsi="仿宋" w:eastAsia="仿宋" w:cs="仿宋"/>
          <w:b/>
          <w:color w:val="auto"/>
          <w:szCs w:val="21"/>
          <w:highlight w:val="none"/>
        </w:rPr>
        <w:t>附件2：《售后服务承诺》</w:t>
      </w:r>
    </w:p>
    <w:p>
      <w:pPr>
        <w:pStyle w:val="2"/>
        <w:rPr>
          <w:color w:val="auto"/>
          <w:highlight w:val="none"/>
        </w:rPr>
      </w:pPr>
      <w:r>
        <w:rPr>
          <w:rFonts w:hint="eastAsia"/>
          <w:color w:val="auto"/>
          <w:highlight w:val="none"/>
        </w:rPr>
        <w:br w:type="page"/>
      </w:r>
    </w:p>
    <w:p>
      <w:pPr>
        <w:adjustRightInd w:val="0"/>
        <w:snapToGrid w:val="0"/>
        <w:spacing w:line="288" w:lineRule="auto"/>
        <w:jc w:val="center"/>
        <w:outlineLvl w:val="0"/>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第六章  响应文件格式</w:t>
      </w:r>
    </w:p>
    <w:p>
      <w:pPr>
        <w:adjustRightInd w:val="0"/>
        <w:snapToGrid w:val="0"/>
        <w:spacing w:line="360" w:lineRule="auto"/>
        <w:rPr>
          <w:rFonts w:ascii="仿宋" w:hAnsi="仿宋" w:eastAsia="仿宋" w:cs="仿宋"/>
          <w:color w:val="auto"/>
          <w:szCs w:val="21"/>
          <w:highlight w:val="none"/>
        </w:rPr>
      </w:pPr>
    </w:p>
    <w:p>
      <w:pPr>
        <w:adjustRightInd w:val="0"/>
        <w:snapToGrid w:val="0"/>
        <w:spacing w:line="360" w:lineRule="auto"/>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目  录</w:t>
      </w:r>
    </w:p>
    <w:p>
      <w:pPr>
        <w:adjustRightInd w:val="0"/>
        <w:snapToGrid w:val="0"/>
        <w:spacing w:line="360" w:lineRule="auto"/>
        <w:rPr>
          <w:rFonts w:ascii="仿宋" w:hAnsi="仿宋" w:eastAsia="仿宋" w:cs="仿宋"/>
          <w:color w:val="auto"/>
          <w:szCs w:val="21"/>
          <w:highlight w:val="none"/>
        </w:rPr>
      </w:pPr>
    </w:p>
    <w:p>
      <w:pPr>
        <w:adjustRightInd w:val="0"/>
        <w:snapToGrid w:val="0"/>
        <w:spacing w:line="360" w:lineRule="auto"/>
        <w:ind w:firstLine="422" w:firstLineChars="200"/>
        <w:rPr>
          <w:rFonts w:ascii="仿宋" w:hAnsi="仿宋" w:eastAsia="仿宋" w:cs="仿宋"/>
          <w:b/>
          <w:bCs/>
          <w:color w:val="auto"/>
          <w:szCs w:val="21"/>
          <w:highlight w:val="none"/>
        </w:rPr>
      </w:pPr>
      <w:bookmarkStart w:id="49" w:name="_Hlk71884160"/>
      <w:r>
        <w:rPr>
          <w:rFonts w:hint="eastAsia" w:ascii="仿宋" w:hAnsi="仿宋" w:eastAsia="仿宋" w:cs="仿宋"/>
          <w:b/>
          <w:bCs/>
          <w:color w:val="auto"/>
          <w:szCs w:val="21"/>
          <w:highlight w:val="none"/>
        </w:rPr>
        <w:t>▲1.资格文件</w:t>
      </w:r>
    </w:p>
    <w:p>
      <w:pPr>
        <w:adjustRightInd w:val="0"/>
        <w:snapToGrid w:val="0"/>
        <w:spacing w:line="360" w:lineRule="auto"/>
        <w:ind w:firstLine="422" w:firstLineChars="200"/>
        <w:rPr>
          <w:rFonts w:ascii="仿宋" w:hAnsi="仿宋" w:eastAsia="仿宋" w:cs="仿宋"/>
          <w:b/>
          <w:bCs/>
          <w:color w:val="auto"/>
          <w:szCs w:val="21"/>
          <w:highlight w:val="none"/>
        </w:rPr>
      </w:pPr>
      <w:r>
        <w:rPr>
          <w:rFonts w:hint="eastAsia" w:ascii="仿宋" w:hAnsi="仿宋" w:eastAsia="仿宋" w:cs="仿宋"/>
          <w:b/>
          <w:bCs/>
          <w:color w:val="auto"/>
          <w:szCs w:val="21"/>
          <w:highlight w:val="none"/>
        </w:rPr>
        <w:t>资格审查要求的资格证明材料（均需加盖公章）：</w:t>
      </w:r>
    </w:p>
    <w:bookmarkEnd w:id="49"/>
    <w:p>
      <w:pPr>
        <w:adjustRightInd w:val="0"/>
        <w:snapToGrid w:val="0"/>
        <w:spacing w:line="360" w:lineRule="auto"/>
        <w:ind w:firstLine="422" w:firstLineChars="200"/>
        <w:rPr>
          <w:rFonts w:ascii="仿宋" w:hAnsi="仿宋" w:eastAsia="仿宋" w:cs="仿宋"/>
          <w:b/>
          <w:bCs/>
          <w:color w:val="auto"/>
          <w:szCs w:val="21"/>
          <w:highlight w:val="none"/>
        </w:rPr>
      </w:pPr>
      <w:r>
        <w:rPr>
          <w:rFonts w:hint="eastAsia" w:ascii="仿宋" w:hAnsi="仿宋" w:eastAsia="仿宋" w:cs="仿宋"/>
          <w:b/>
          <w:bCs/>
          <w:color w:val="auto"/>
          <w:szCs w:val="21"/>
          <w:highlight w:val="none"/>
        </w:rPr>
        <w:t>1）有效的法人或者其他组织的营业执照等证明文件/自然人的身份证明</w:t>
      </w:r>
    </w:p>
    <w:p>
      <w:pPr>
        <w:adjustRightInd w:val="0"/>
        <w:snapToGrid w:val="0"/>
        <w:spacing w:line="360" w:lineRule="auto"/>
        <w:ind w:firstLine="422" w:firstLineChars="200"/>
        <w:rPr>
          <w:rFonts w:ascii="仿宋" w:hAnsi="仿宋" w:eastAsia="仿宋" w:cs="仿宋"/>
          <w:b/>
          <w:bCs/>
          <w:color w:val="auto"/>
          <w:szCs w:val="21"/>
          <w:highlight w:val="none"/>
        </w:rPr>
      </w:pPr>
      <w:bookmarkStart w:id="50" w:name="_Hlk71884127"/>
      <w:r>
        <w:rPr>
          <w:rFonts w:hint="eastAsia" w:ascii="仿宋" w:hAnsi="仿宋" w:eastAsia="仿宋" w:cs="仿宋"/>
          <w:b/>
          <w:bCs/>
          <w:color w:val="auto"/>
          <w:szCs w:val="21"/>
          <w:highlight w:val="none"/>
        </w:rPr>
        <w:t>2）符合参加采购活动应当具备的一般条件的承诺函</w:t>
      </w:r>
    </w:p>
    <w:bookmarkEnd w:id="50"/>
    <w:p>
      <w:pPr>
        <w:adjustRightInd w:val="0"/>
        <w:snapToGrid w:val="0"/>
        <w:spacing w:line="360" w:lineRule="auto"/>
        <w:ind w:firstLine="422" w:firstLineChars="200"/>
        <w:rPr>
          <w:rFonts w:ascii="仿宋" w:hAnsi="仿宋" w:eastAsia="仿宋" w:cs="仿宋"/>
          <w:b/>
          <w:bCs/>
          <w:color w:val="auto"/>
          <w:szCs w:val="21"/>
          <w:highlight w:val="none"/>
        </w:rPr>
      </w:pPr>
      <w:r>
        <w:rPr>
          <w:rFonts w:hint="eastAsia" w:ascii="仿宋" w:hAnsi="仿宋" w:eastAsia="仿宋" w:cs="仿宋"/>
          <w:b/>
          <w:bCs/>
          <w:color w:val="auto"/>
          <w:szCs w:val="21"/>
          <w:highlight w:val="none"/>
        </w:rPr>
        <w:t>2.报价文件</w:t>
      </w:r>
    </w:p>
    <w:p>
      <w:pPr>
        <w:adjustRightInd w:val="0"/>
        <w:snapToGrid w:val="0"/>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1）初次报价一览表</w:t>
      </w:r>
    </w:p>
    <w:p>
      <w:pPr>
        <w:adjustRightInd w:val="0"/>
        <w:snapToGrid w:val="0"/>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2）中小企业声明函（若属于中小企业）</w:t>
      </w:r>
    </w:p>
    <w:p>
      <w:pPr>
        <w:adjustRightInd w:val="0"/>
        <w:snapToGrid w:val="0"/>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3）属于监狱企业的证明文件（若属于监狱企业）</w:t>
      </w:r>
    </w:p>
    <w:p>
      <w:pPr>
        <w:adjustRightInd w:val="0"/>
        <w:snapToGrid w:val="0"/>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4）残疾人福利性单位声明函（若属于残疾人福利性单位）</w:t>
      </w:r>
    </w:p>
    <w:p>
      <w:pPr>
        <w:adjustRightInd w:val="0"/>
        <w:snapToGrid w:val="0"/>
        <w:spacing w:line="360" w:lineRule="auto"/>
        <w:ind w:firstLine="422" w:firstLineChars="200"/>
        <w:rPr>
          <w:rFonts w:ascii="仿宋" w:hAnsi="仿宋" w:eastAsia="仿宋" w:cs="仿宋"/>
          <w:b/>
          <w:bCs/>
          <w:color w:val="auto"/>
          <w:szCs w:val="21"/>
          <w:highlight w:val="none"/>
        </w:rPr>
      </w:pPr>
      <w:r>
        <w:rPr>
          <w:rFonts w:hint="eastAsia" w:ascii="仿宋" w:hAnsi="仿宋" w:eastAsia="仿宋" w:cs="仿宋"/>
          <w:b/>
          <w:bCs/>
          <w:color w:val="auto"/>
          <w:szCs w:val="21"/>
          <w:highlight w:val="none"/>
        </w:rPr>
        <w:t>3.商务和技术文件</w:t>
      </w:r>
    </w:p>
    <w:p>
      <w:pPr>
        <w:adjustRightInd w:val="0"/>
        <w:snapToGrid w:val="0"/>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1）响应函</w:t>
      </w:r>
    </w:p>
    <w:p>
      <w:pPr>
        <w:adjustRightInd w:val="0"/>
        <w:snapToGrid w:val="0"/>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2）法定代表人（单位负责人、自然人本人）身份证明/授权委托书</w:t>
      </w:r>
    </w:p>
    <w:p>
      <w:pPr>
        <w:adjustRightInd w:val="0"/>
        <w:snapToGrid w:val="0"/>
        <w:spacing w:line="360" w:lineRule="auto"/>
        <w:ind w:firstLine="735" w:firstLineChars="350"/>
        <w:rPr>
          <w:rFonts w:ascii="仿宋" w:hAnsi="仿宋" w:eastAsia="仿宋" w:cs="仿宋"/>
          <w:color w:val="auto"/>
          <w:szCs w:val="21"/>
          <w:highlight w:val="none"/>
        </w:rPr>
      </w:pPr>
      <w:r>
        <w:rPr>
          <w:rFonts w:hint="eastAsia" w:ascii="仿宋" w:hAnsi="仿宋" w:eastAsia="仿宋" w:cs="仿宋"/>
          <w:color w:val="auto"/>
          <w:szCs w:val="21"/>
          <w:highlight w:val="none"/>
        </w:rPr>
        <w:t>近三个月供应商授权代表社保缴纳证明</w:t>
      </w:r>
    </w:p>
    <w:p>
      <w:pPr>
        <w:adjustRightInd w:val="0"/>
        <w:snapToGrid w:val="0"/>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3）采购需求偏离表</w:t>
      </w:r>
    </w:p>
    <w:p>
      <w:pPr>
        <w:adjustRightInd w:val="0"/>
        <w:snapToGrid w:val="0"/>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4）供应商类似合同实施情况一览表</w:t>
      </w:r>
    </w:p>
    <w:p>
      <w:pPr>
        <w:adjustRightInd w:val="0"/>
        <w:snapToGrid w:val="0"/>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5）节能、环保产品证明材料</w:t>
      </w:r>
    </w:p>
    <w:p>
      <w:pPr>
        <w:adjustRightInd w:val="0"/>
        <w:snapToGrid w:val="0"/>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6）货物配置清单</w:t>
      </w:r>
    </w:p>
    <w:p>
      <w:pPr>
        <w:adjustRightInd w:val="0"/>
        <w:snapToGrid w:val="0"/>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7）技术方案</w:t>
      </w:r>
    </w:p>
    <w:p>
      <w:pPr>
        <w:adjustRightInd w:val="0"/>
        <w:snapToGrid w:val="0"/>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8）项目实施方案</w:t>
      </w:r>
    </w:p>
    <w:p>
      <w:pPr>
        <w:adjustRightInd w:val="0"/>
        <w:snapToGrid w:val="0"/>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9）保障措施</w:t>
      </w:r>
    </w:p>
    <w:p>
      <w:pPr>
        <w:adjustRightInd w:val="0"/>
        <w:snapToGrid w:val="0"/>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10）培训计划</w:t>
      </w:r>
    </w:p>
    <w:p>
      <w:pPr>
        <w:adjustRightInd w:val="0"/>
        <w:snapToGrid w:val="0"/>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11）售后服务方案</w:t>
      </w:r>
    </w:p>
    <w:p>
      <w:pPr>
        <w:adjustRightInd w:val="0"/>
        <w:snapToGrid w:val="0"/>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12）配件、专用耗材和售后服务优惠表</w:t>
      </w:r>
    </w:p>
    <w:p>
      <w:pPr>
        <w:adjustRightInd w:val="0"/>
        <w:snapToGrid w:val="0"/>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br w:type="page"/>
      </w:r>
    </w:p>
    <w:p>
      <w:pPr>
        <w:spacing w:line="360" w:lineRule="auto"/>
        <w:rPr>
          <w:rFonts w:ascii="仿宋" w:hAnsi="仿宋" w:eastAsia="仿宋" w:cs="仿宋"/>
          <w:color w:val="auto"/>
          <w:spacing w:val="-6"/>
          <w:sz w:val="24"/>
          <w:highlight w:val="none"/>
        </w:rPr>
      </w:pPr>
      <w:r>
        <w:rPr>
          <w:rFonts w:hint="eastAsia" w:ascii="仿宋" w:hAnsi="仿宋" w:eastAsia="仿宋" w:cs="仿宋"/>
          <w:bCs/>
          <w:color w:val="auto"/>
          <w:spacing w:val="-6"/>
          <w:sz w:val="24"/>
          <w:highlight w:val="none"/>
        </w:rPr>
        <w:t>响应文件</w:t>
      </w:r>
      <w:r>
        <w:rPr>
          <w:rFonts w:hint="eastAsia" w:ascii="仿宋" w:hAnsi="仿宋" w:eastAsia="仿宋" w:cs="仿宋"/>
          <w:color w:val="auto"/>
          <w:spacing w:val="-6"/>
          <w:sz w:val="24"/>
          <w:highlight w:val="none"/>
        </w:rPr>
        <w:t>封面</w:t>
      </w:r>
    </w:p>
    <w:p>
      <w:pPr>
        <w:spacing w:line="360" w:lineRule="auto"/>
        <w:jc w:val="right"/>
        <w:rPr>
          <w:rFonts w:ascii="仿宋" w:hAnsi="仿宋" w:eastAsia="仿宋" w:cs="仿宋"/>
          <w:color w:val="auto"/>
          <w:spacing w:val="-6"/>
          <w:sz w:val="24"/>
          <w:highlight w:val="none"/>
        </w:rPr>
      </w:pPr>
    </w:p>
    <w:p>
      <w:pPr>
        <w:spacing w:line="360" w:lineRule="auto"/>
        <w:rPr>
          <w:rFonts w:ascii="仿宋" w:hAnsi="仿宋" w:eastAsia="仿宋" w:cs="仿宋"/>
          <w:color w:val="auto"/>
          <w:spacing w:val="-6"/>
          <w:sz w:val="24"/>
          <w:highlight w:val="none"/>
        </w:rPr>
      </w:pPr>
    </w:p>
    <w:p>
      <w:pPr>
        <w:spacing w:line="360" w:lineRule="auto"/>
        <w:jc w:val="center"/>
        <w:rPr>
          <w:rFonts w:ascii="仿宋" w:hAnsi="仿宋" w:eastAsia="仿宋" w:cs="仿宋"/>
          <w:bCs/>
          <w:color w:val="auto"/>
          <w:spacing w:val="-6"/>
          <w:sz w:val="24"/>
          <w:highlight w:val="none"/>
        </w:rPr>
      </w:pPr>
      <w:r>
        <w:rPr>
          <w:rFonts w:hint="eastAsia" w:ascii="仿宋" w:hAnsi="仿宋" w:eastAsia="仿宋" w:cs="仿宋"/>
          <w:bCs/>
          <w:color w:val="auto"/>
          <w:spacing w:val="-6"/>
          <w:sz w:val="24"/>
          <w:highlight w:val="none"/>
          <w:u w:val="single"/>
        </w:rPr>
        <w:t xml:space="preserve">                    </w:t>
      </w:r>
      <w:bookmarkStart w:id="51" w:name="_Toc26044"/>
      <w:bookmarkStart w:id="52" w:name="_Toc19583"/>
      <w:r>
        <w:rPr>
          <w:rFonts w:hint="eastAsia" w:ascii="仿宋" w:hAnsi="仿宋" w:eastAsia="仿宋" w:cs="仿宋"/>
          <w:bCs/>
          <w:color w:val="auto"/>
          <w:spacing w:val="-6"/>
          <w:sz w:val="24"/>
          <w:highlight w:val="none"/>
        </w:rPr>
        <w:t>（供应商名称）</w:t>
      </w:r>
      <w:bookmarkEnd w:id="51"/>
      <w:bookmarkEnd w:id="52"/>
    </w:p>
    <w:p>
      <w:pPr>
        <w:spacing w:line="360" w:lineRule="auto"/>
        <w:jc w:val="center"/>
        <w:rPr>
          <w:rFonts w:ascii="仿宋" w:hAnsi="仿宋" w:eastAsia="仿宋" w:cs="仿宋"/>
          <w:b/>
          <w:bCs/>
          <w:color w:val="auto"/>
          <w:spacing w:val="-6"/>
          <w:sz w:val="24"/>
          <w:highlight w:val="none"/>
        </w:rPr>
      </w:pPr>
      <w:r>
        <w:rPr>
          <w:rFonts w:hint="eastAsia" w:ascii="仿宋" w:hAnsi="仿宋" w:eastAsia="仿宋" w:cs="仿宋"/>
          <w:b/>
          <w:bCs/>
          <w:color w:val="auto"/>
          <w:spacing w:val="-6"/>
          <w:sz w:val="24"/>
          <w:highlight w:val="none"/>
        </w:rPr>
        <w:t>响 应 文 件</w:t>
      </w:r>
    </w:p>
    <w:p>
      <w:pPr>
        <w:spacing w:line="360" w:lineRule="auto"/>
        <w:rPr>
          <w:rFonts w:ascii="仿宋" w:hAnsi="仿宋" w:eastAsia="仿宋" w:cs="仿宋"/>
          <w:bCs/>
          <w:color w:val="auto"/>
          <w:spacing w:val="-6"/>
          <w:sz w:val="24"/>
          <w:highlight w:val="none"/>
        </w:rPr>
      </w:pPr>
    </w:p>
    <w:p>
      <w:pPr>
        <w:spacing w:line="360" w:lineRule="auto"/>
        <w:rPr>
          <w:rFonts w:ascii="仿宋" w:hAnsi="仿宋" w:eastAsia="仿宋" w:cs="仿宋"/>
          <w:bCs/>
          <w:color w:val="auto"/>
          <w:spacing w:val="-6"/>
          <w:sz w:val="24"/>
          <w:highlight w:val="none"/>
        </w:rPr>
      </w:pPr>
      <w:r>
        <w:rPr>
          <w:rFonts w:hint="eastAsia" w:ascii="仿宋" w:hAnsi="仿宋" w:eastAsia="仿宋" w:cs="仿宋"/>
          <w:bCs/>
          <w:color w:val="auto"/>
          <w:spacing w:val="-6"/>
          <w:sz w:val="24"/>
          <w:highlight w:val="none"/>
        </w:rPr>
        <w:t>采 购 人：之江实验室</w:t>
      </w:r>
    </w:p>
    <w:p>
      <w:pPr>
        <w:spacing w:line="360" w:lineRule="auto"/>
        <w:rPr>
          <w:rFonts w:hint="eastAsia" w:ascii="仿宋" w:hAnsi="仿宋" w:eastAsia="仿宋" w:cs="仿宋"/>
          <w:bCs/>
          <w:color w:val="auto"/>
          <w:spacing w:val="-6"/>
          <w:sz w:val="24"/>
          <w:highlight w:val="none"/>
          <w:lang w:eastAsia="zh-CN"/>
        </w:rPr>
      </w:pPr>
      <w:r>
        <w:rPr>
          <w:rFonts w:hint="eastAsia" w:ascii="仿宋" w:hAnsi="仿宋" w:eastAsia="仿宋" w:cs="仿宋"/>
          <w:bCs/>
          <w:color w:val="auto"/>
          <w:spacing w:val="-6"/>
          <w:sz w:val="24"/>
          <w:highlight w:val="none"/>
        </w:rPr>
        <w:t>项目名称：</w:t>
      </w:r>
      <w:r>
        <w:rPr>
          <w:rFonts w:hint="eastAsia" w:ascii="仿宋" w:hAnsi="仿宋" w:eastAsia="仿宋" w:cs="仿宋"/>
          <w:bCs/>
          <w:color w:val="auto"/>
          <w:spacing w:val="-6"/>
          <w:sz w:val="24"/>
          <w:highlight w:val="none"/>
          <w:lang w:eastAsia="zh-CN"/>
        </w:rPr>
        <w:t>算力中心展厅展陈</w:t>
      </w:r>
    </w:p>
    <w:p>
      <w:pPr>
        <w:spacing w:line="360" w:lineRule="auto"/>
        <w:rPr>
          <w:rFonts w:hint="eastAsia" w:ascii="仿宋" w:hAnsi="仿宋" w:eastAsia="仿宋" w:cs="仿宋"/>
          <w:bCs/>
          <w:color w:val="auto"/>
          <w:spacing w:val="-6"/>
          <w:sz w:val="24"/>
          <w:highlight w:val="none"/>
          <w:lang w:eastAsia="zh-CN"/>
        </w:rPr>
      </w:pPr>
      <w:r>
        <w:rPr>
          <w:rFonts w:hint="eastAsia" w:ascii="仿宋" w:hAnsi="仿宋" w:eastAsia="仿宋" w:cs="仿宋"/>
          <w:bCs/>
          <w:color w:val="auto"/>
          <w:spacing w:val="-6"/>
          <w:sz w:val="24"/>
          <w:highlight w:val="none"/>
        </w:rPr>
        <w:t>项目编号：</w:t>
      </w:r>
      <w:r>
        <w:rPr>
          <w:rFonts w:hint="eastAsia" w:ascii="仿宋" w:hAnsi="仿宋" w:eastAsia="仿宋" w:cs="仿宋"/>
          <w:bCs/>
          <w:color w:val="auto"/>
          <w:spacing w:val="-6"/>
          <w:sz w:val="24"/>
          <w:highlight w:val="none"/>
          <w:lang w:eastAsia="zh-CN"/>
        </w:rPr>
        <w:t>ZJLAB-JZ-CS2024011</w:t>
      </w:r>
    </w:p>
    <w:p>
      <w:pPr>
        <w:spacing w:line="360" w:lineRule="auto"/>
        <w:rPr>
          <w:rFonts w:ascii="仿宋" w:hAnsi="仿宋" w:eastAsia="仿宋" w:cs="仿宋"/>
          <w:bCs/>
          <w:color w:val="auto"/>
          <w:spacing w:val="-6"/>
          <w:sz w:val="24"/>
          <w:highlight w:val="none"/>
        </w:rPr>
      </w:pPr>
      <w:r>
        <w:rPr>
          <w:rFonts w:hint="eastAsia" w:ascii="仿宋" w:hAnsi="仿宋" w:eastAsia="仿宋" w:cs="仿宋"/>
          <w:bCs/>
          <w:color w:val="auto"/>
          <w:spacing w:val="-6"/>
          <w:sz w:val="24"/>
          <w:highlight w:val="none"/>
        </w:rPr>
        <w:t>供应商名称（盖章）：</w:t>
      </w:r>
    </w:p>
    <w:p>
      <w:pPr>
        <w:spacing w:line="360" w:lineRule="auto"/>
        <w:rPr>
          <w:rFonts w:ascii="仿宋" w:hAnsi="仿宋" w:eastAsia="仿宋" w:cs="仿宋"/>
          <w:bCs/>
          <w:color w:val="auto"/>
          <w:spacing w:val="-6"/>
          <w:sz w:val="24"/>
          <w:highlight w:val="none"/>
        </w:rPr>
      </w:pPr>
      <w:r>
        <w:rPr>
          <w:rFonts w:hint="eastAsia" w:ascii="仿宋" w:hAnsi="仿宋" w:eastAsia="仿宋" w:cs="仿宋"/>
          <w:bCs/>
          <w:color w:val="auto"/>
          <w:spacing w:val="-6"/>
          <w:sz w:val="24"/>
          <w:highlight w:val="none"/>
        </w:rPr>
        <w:t>供应商地址：</w:t>
      </w:r>
    </w:p>
    <w:p>
      <w:pPr>
        <w:spacing w:line="360" w:lineRule="auto"/>
        <w:rPr>
          <w:rFonts w:ascii="仿宋" w:hAnsi="仿宋" w:eastAsia="仿宋" w:cs="仿宋"/>
          <w:bCs/>
          <w:color w:val="auto"/>
          <w:spacing w:val="-6"/>
          <w:sz w:val="24"/>
          <w:highlight w:val="none"/>
        </w:rPr>
      </w:pPr>
    </w:p>
    <w:p>
      <w:pPr>
        <w:spacing w:line="360" w:lineRule="auto"/>
        <w:rPr>
          <w:rFonts w:ascii="仿宋" w:hAnsi="仿宋" w:eastAsia="仿宋" w:cs="仿宋"/>
          <w:bCs/>
          <w:color w:val="auto"/>
          <w:spacing w:val="-6"/>
          <w:sz w:val="24"/>
          <w:highlight w:val="none"/>
        </w:rPr>
      </w:pPr>
      <w:r>
        <w:rPr>
          <w:rFonts w:hint="eastAsia" w:ascii="仿宋" w:hAnsi="仿宋" w:eastAsia="仿宋" w:cs="仿宋"/>
          <w:bCs/>
          <w:color w:val="auto"/>
          <w:spacing w:val="-6"/>
          <w:sz w:val="24"/>
          <w:highlight w:val="none"/>
        </w:rPr>
        <w:t>供应商授权代表（签字）：</w:t>
      </w:r>
    </w:p>
    <w:p>
      <w:pPr>
        <w:adjustRightInd w:val="0"/>
        <w:snapToGrid w:val="0"/>
        <w:spacing w:line="360" w:lineRule="auto"/>
        <w:rPr>
          <w:rFonts w:ascii="仿宋" w:hAnsi="仿宋" w:eastAsia="仿宋" w:cs="仿宋"/>
          <w:bCs/>
          <w:color w:val="auto"/>
          <w:spacing w:val="-6"/>
          <w:sz w:val="24"/>
          <w:highlight w:val="none"/>
        </w:rPr>
      </w:pPr>
      <w:r>
        <w:rPr>
          <w:rFonts w:hint="eastAsia" w:ascii="仿宋" w:hAnsi="仿宋" w:eastAsia="仿宋" w:cs="仿宋"/>
          <w:bCs/>
          <w:color w:val="auto"/>
          <w:spacing w:val="-6"/>
          <w:sz w:val="24"/>
          <w:highlight w:val="none"/>
        </w:rPr>
        <w:t>日期：     年   月   日</w:t>
      </w:r>
    </w:p>
    <w:p>
      <w:pPr>
        <w:adjustRightInd w:val="0"/>
        <w:snapToGrid w:val="0"/>
        <w:spacing w:line="360" w:lineRule="auto"/>
        <w:rPr>
          <w:rFonts w:ascii="仿宋" w:hAnsi="仿宋" w:eastAsia="仿宋" w:cs="仿宋"/>
          <w:bCs/>
          <w:color w:val="auto"/>
          <w:spacing w:val="-6"/>
          <w:sz w:val="24"/>
          <w:highlight w:val="none"/>
        </w:rPr>
      </w:pPr>
      <w:r>
        <w:rPr>
          <w:rFonts w:hint="eastAsia" w:ascii="仿宋" w:hAnsi="仿宋" w:eastAsia="仿宋" w:cs="仿宋"/>
          <w:bCs/>
          <w:color w:val="auto"/>
          <w:spacing w:val="-6"/>
          <w:sz w:val="24"/>
          <w:highlight w:val="none"/>
        </w:rPr>
        <w:br w:type="page"/>
      </w:r>
    </w:p>
    <w:p>
      <w:pPr>
        <w:tabs>
          <w:tab w:val="center" w:pos="4706"/>
          <w:tab w:val="left" w:pos="6222"/>
        </w:tabs>
        <w:spacing w:line="360" w:lineRule="auto"/>
        <w:jc w:val="center"/>
        <w:outlineLvl w:val="1"/>
        <w:rPr>
          <w:rFonts w:ascii="仿宋" w:hAnsi="仿宋" w:eastAsia="仿宋" w:cs="仿宋"/>
          <w:b/>
          <w:bCs/>
          <w:color w:val="auto"/>
          <w:spacing w:val="-6"/>
          <w:sz w:val="24"/>
          <w:highlight w:val="none"/>
        </w:rPr>
      </w:pPr>
      <w:r>
        <w:rPr>
          <w:rFonts w:hint="eastAsia" w:ascii="仿宋" w:hAnsi="仿宋" w:eastAsia="仿宋" w:cs="仿宋"/>
          <w:b/>
          <w:bCs/>
          <w:color w:val="auto"/>
          <w:spacing w:val="-6"/>
          <w:sz w:val="24"/>
          <w:highlight w:val="none"/>
        </w:rPr>
        <w:t>评分索引表</w:t>
      </w:r>
    </w:p>
    <w:tbl>
      <w:tblPr>
        <w:tblStyle w:val="2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971"/>
        <w:gridCol w:w="669"/>
        <w:gridCol w:w="3611"/>
        <w:gridCol w:w="912"/>
        <w:gridCol w:w="1162"/>
        <w:gridCol w:w="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2"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序号</w:t>
            </w:r>
          </w:p>
        </w:tc>
        <w:tc>
          <w:tcPr>
            <w:tcW w:w="1971"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评审因素</w:t>
            </w:r>
          </w:p>
        </w:tc>
        <w:tc>
          <w:tcPr>
            <w:tcW w:w="669"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分值</w:t>
            </w:r>
          </w:p>
        </w:tc>
        <w:tc>
          <w:tcPr>
            <w:tcW w:w="3611"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评分标准</w:t>
            </w:r>
          </w:p>
        </w:tc>
        <w:tc>
          <w:tcPr>
            <w:tcW w:w="912"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自评分</w:t>
            </w:r>
          </w:p>
        </w:tc>
        <w:tc>
          <w:tcPr>
            <w:tcW w:w="1162"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自评依据</w:t>
            </w:r>
          </w:p>
        </w:tc>
        <w:tc>
          <w:tcPr>
            <w:tcW w:w="661"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28" w:type="dxa"/>
            <w:gridSpan w:val="7"/>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商务分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2" w:type="dxa"/>
            <w:vAlign w:val="center"/>
          </w:tcPr>
          <w:p>
            <w:pPr>
              <w:jc w:val="center"/>
              <w:rPr>
                <w:rFonts w:ascii="仿宋" w:hAnsi="仿宋" w:eastAsia="仿宋" w:cs="仿宋"/>
                <w:b/>
                <w:bCs/>
                <w:color w:val="auto"/>
                <w:szCs w:val="21"/>
                <w:highlight w:val="none"/>
              </w:rPr>
            </w:pPr>
          </w:p>
        </w:tc>
        <w:tc>
          <w:tcPr>
            <w:tcW w:w="1971" w:type="dxa"/>
            <w:vAlign w:val="center"/>
          </w:tcPr>
          <w:p>
            <w:pPr>
              <w:jc w:val="center"/>
              <w:rPr>
                <w:rFonts w:ascii="仿宋" w:hAnsi="仿宋" w:eastAsia="仿宋" w:cs="仿宋"/>
                <w:b/>
                <w:bCs/>
                <w:color w:val="auto"/>
                <w:szCs w:val="21"/>
                <w:highlight w:val="none"/>
              </w:rPr>
            </w:pPr>
          </w:p>
        </w:tc>
        <w:tc>
          <w:tcPr>
            <w:tcW w:w="669" w:type="dxa"/>
            <w:vAlign w:val="center"/>
          </w:tcPr>
          <w:p>
            <w:pPr>
              <w:jc w:val="center"/>
              <w:rPr>
                <w:rFonts w:ascii="仿宋" w:hAnsi="仿宋" w:eastAsia="仿宋" w:cs="仿宋"/>
                <w:b/>
                <w:bCs/>
                <w:color w:val="auto"/>
                <w:szCs w:val="21"/>
                <w:highlight w:val="none"/>
              </w:rPr>
            </w:pPr>
          </w:p>
        </w:tc>
        <w:tc>
          <w:tcPr>
            <w:tcW w:w="3611" w:type="dxa"/>
            <w:vAlign w:val="center"/>
          </w:tcPr>
          <w:p>
            <w:pPr>
              <w:jc w:val="center"/>
              <w:rPr>
                <w:rFonts w:ascii="仿宋" w:hAnsi="仿宋" w:eastAsia="仿宋" w:cs="仿宋"/>
                <w:b/>
                <w:bCs/>
                <w:color w:val="auto"/>
                <w:szCs w:val="21"/>
                <w:highlight w:val="none"/>
              </w:rPr>
            </w:pPr>
          </w:p>
        </w:tc>
        <w:tc>
          <w:tcPr>
            <w:tcW w:w="912" w:type="dxa"/>
            <w:vAlign w:val="center"/>
          </w:tcPr>
          <w:p>
            <w:pPr>
              <w:jc w:val="center"/>
              <w:rPr>
                <w:rFonts w:ascii="仿宋" w:hAnsi="仿宋" w:eastAsia="仿宋" w:cs="仿宋"/>
                <w:b/>
                <w:bCs/>
                <w:color w:val="auto"/>
                <w:szCs w:val="21"/>
                <w:highlight w:val="none"/>
              </w:rPr>
            </w:pPr>
          </w:p>
        </w:tc>
        <w:tc>
          <w:tcPr>
            <w:tcW w:w="1162" w:type="dxa"/>
            <w:vAlign w:val="center"/>
          </w:tcPr>
          <w:p>
            <w:pPr>
              <w:jc w:val="center"/>
              <w:rPr>
                <w:rFonts w:ascii="仿宋" w:hAnsi="仿宋" w:eastAsia="仿宋" w:cs="仿宋"/>
                <w:b/>
                <w:bCs/>
                <w:color w:val="auto"/>
                <w:szCs w:val="21"/>
                <w:highlight w:val="none"/>
              </w:rPr>
            </w:pPr>
          </w:p>
        </w:tc>
        <w:tc>
          <w:tcPr>
            <w:tcW w:w="661" w:type="dxa"/>
          </w:tcPr>
          <w:p>
            <w:pPr>
              <w:jc w:val="center"/>
              <w:rPr>
                <w:rFonts w:ascii="仿宋" w:hAnsi="仿宋" w:eastAsia="仿宋" w:cs="仿宋"/>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2" w:type="dxa"/>
            <w:vAlign w:val="center"/>
          </w:tcPr>
          <w:p>
            <w:pPr>
              <w:jc w:val="center"/>
              <w:rPr>
                <w:rFonts w:ascii="仿宋" w:hAnsi="仿宋" w:eastAsia="仿宋" w:cs="仿宋"/>
                <w:b/>
                <w:bCs/>
                <w:color w:val="auto"/>
                <w:szCs w:val="21"/>
                <w:highlight w:val="none"/>
              </w:rPr>
            </w:pPr>
          </w:p>
        </w:tc>
        <w:tc>
          <w:tcPr>
            <w:tcW w:w="1971" w:type="dxa"/>
            <w:vAlign w:val="center"/>
          </w:tcPr>
          <w:p>
            <w:pPr>
              <w:jc w:val="center"/>
              <w:rPr>
                <w:rFonts w:ascii="仿宋" w:hAnsi="仿宋" w:eastAsia="仿宋" w:cs="仿宋"/>
                <w:b/>
                <w:bCs/>
                <w:color w:val="auto"/>
                <w:szCs w:val="21"/>
                <w:highlight w:val="none"/>
              </w:rPr>
            </w:pPr>
          </w:p>
        </w:tc>
        <w:tc>
          <w:tcPr>
            <w:tcW w:w="669" w:type="dxa"/>
            <w:vAlign w:val="center"/>
          </w:tcPr>
          <w:p>
            <w:pPr>
              <w:jc w:val="center"/>
              <w:rPr>
                <w:rFonts w:ascii="仿宋" w:hAnsi="仿宋" w:eastAsia="仿宋" w:cs="仿宋"/>
                <w:b/>
                <w:bCs/>
                <w:color w:val="auto"/>
                <w:szCs w:val="21"/>
                <w:highlight w:val="none"/>
              </w:rPr>
            </w:pPr>
          </w:p>
        </w:tc>
        <w:tc>
          <w:tcPr>
            <w:tcW w:w="3611" w:type="dxa"/>
            <w:vAlign w:val="center"/>
          </w:tcPr>
          <w:p>
            <w:pPr>
              <w:jc w:val="center"/>
              <w:rPr>
                <w:rFonts w:ascii="仿宋" w:hAnsi="仿宋" w:eastAsia="仿宋" w:cs="仿宋"/>
                <w:b/>
                <w:bCs/>
                <w:color w:val="auto"/>
                <w:szCs w:val="21"/>
                <w:highlight w:val="none"/>
              </w:rPr>
            </w:pPr>
          </w:p>
        </w:tc>
        <w:tc>
          <w:tcPr>
            <w:tcW w:w="912" w:type="dxa"/>
            <w:vAlign w:val="center"/>
          </w:tcPr>
          <w:p>
            <w:pPr>
              <w:jc w:val="center"/>
              <w:rPr>
                <w:rFonts w:ascii="仿宋" w:hAnsi="仿宋" w:eastAsia="仿宋" w:cs="仿宋"/>
                <w:b/>
                <w:bCs/>
                <w:color w:val="auto"/>
                <w:szCs w:val="21"/>
                <w:highlight w:val="none"/>
              </w:rPr>
            </w:pPr>
          </w:p>
        </w:tc>
        <w:tc>
          <w:tcPr>
            <w:tcW w:w="1162" w:type="dxa"/>
            <w:vAlign w:val="center"/>
          </w:tcPr>
          <w:p>
            <w:pPr>
              <w:jc w:val="center"/>
              <w:rPr>
                <w:rFonts w:ascii="仿宋" w:hAnsi="仿宋" w:eastAsia="仿宋" w:cs="仿宋"/>
                <w:b/>
                <w:bCs/>
                <w:color w:val="auto"/>
                <w:szCs w:val="21"/>
                <w:highlight w:val="none"/>
              </w:rPr>
            </w:pPr>
          </w:p>
        </w:tc>
        <w:tc>
          <w:tcPr>
            <w:tcW w:w="661" w:type="dxa"/>
          </w:tcPr>
          <w:p>
            <w:pPr>
              <w:jc w:val="center"/>
              <w:rPr>
                <w:rFonts w:ascii="仿宋" w:hAnsi="仿宋" w:eastAsia="仿宋" w:cs="仿宋"/>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2" w:type="dxa"/>
            <w:vAlign w:val="center"/>
          </w:tcPr>
          <w:p>
            <w:pPr>
              <w:jc w:val="center"/>
              <w:rPr>
                <w:rFonts w:ascii="仿宋" w:hAnsi="仿宋" w:eastAsia="仿宋" w:cs="仿宋"/>
                <w:b/>
                <w:bCs/>
                <w:color w:val="auto"/>
                <w:szCs w:val="21"/>
                <w:highlight w:val="none"/>
              </w:rPr>
            </w:pPr>
          </w:p>
        </w:tc>
        <w:tc>
          <w:tcPr>
            <w:tcW w:w="1971" w:type="dxa"/>
            <w:vAlign w:val="center"/>
          </w:tcPr>
          <w:p>
            <w:pPr>
              <w:jc w:val="center"/>
              <w:rPr>
                <w:rFonts w:ascii="仿宋" w:hAnsi="仿宋" w:eastAsia="仿宋" w:cs="仿宋"/>
                <w:b/>
                <w:bCs/>
                <w:color w:val="auto"/>
                <w:szCs w:val="21"/>
                <w:highlight w:val="none"/>
              </w:rPr>
            </w:pPr>
          </w:p>
        </w:tc>
        <w:tc>
          <w:tcPr>
            <w:tcW w:w="669" w:type="dxa"/>
            <w:vAlign w:val="center"/>
          </w:tcPr>
          <w:p>
            <w:pPr>
              <w:jc w:val="center"/>
              <w:rPr>
                <w:rFonts w:ascii="仿宋" w:hAnsi="仿宋" w:eastAsia="仿宋" w:cs="仿宋"/>
                <w:b/>
                <w:bCs/>
                <w:color w:val="auto"/>
                <w:szCs w:val="21"/>
                <w:highlight w:val="none"/>
              </w:rPr>
            </w:pPr>
          </w:p>
        </w:tc>
        <w:tc>
          <w:tcPr>
            <w:tcW w:w="3611" w:type="dxa"/>
            <w:vAlign w:val="center"/>
          </w:tcPr>
          <w:p>
            <w:pPr>
              <w:jc w:val="center"/>
              <w:rPr>
                <w:rFonts w:ascii="仿宋" w:hAnsi="仿宋" w:eastAsia="仿宋" w:cs="仿宋"/>
                <w:b/>
                <w:bCs/>
                <w:color w:val="auto"/>
                <w:szCs w:val="21"/>
                <w:highlight w:val="none"/>
              </w:rPr>
            </w:pPr>
          </w:p>
        </w:tc>
        <w:tc>
          <w:tcPr>
            <w:tcW w:w="912" w:type="dxa"/>
            <w:vAlign w:val="center"/>
          </w:tcPr>
          <w:p>
            <w:pPr>
              <w:jc w:val="center"/>
              <w:rPr>
                <w:rFonts w:ascii="仿宋" w:hAnsi="仿宋" w:eastAsia="仿宋" w:cs="仿宋"/>
                <w:b/>
                <w:bCs/>
                <w:color w:val="auto"/>
                <w:szCs w:val="21"/>
                <w:highlight w:val="none"/>
              </w:rPr>
            </w:pPr>
          </w:p>
        </w:tc>
        <w:tc>
          <w:tcPr>
            <w:tcW w:w="1162" w:type="dxa"/>
            <w:vAlign w:val="center"/>
          </w:tcPr>
          <w:p>
            <w:pPr>
              <w:jc w:val="center"/>
              <w:rPr>
                <w:rFonts w:ascii="仿宋" w:hAnsi="仿宋" w:eastAsia="仿宋" w:cs="仿宋"/>
                <w:b/>
                <w:bCs/>
                <w:color w:val="auto"/>
                <w:szCs w:val="21"/>
                <w:highlight w:val="none"/>
              </w:rPr>
            </w:pPr>
          </w:p>
        </w:tc>
        <w:tc>
          <w:tcPr>
            <w:tcW w:w="661" w:type="dxa"/>
          </w:tcPr>
          <w:p>
            <w:pPr>
              <w:jc w:val="center"/>
              <w:rPr>
                <w:rFonts w:ascii="仿宋" w:hAnsi="仿宋" w:eastAsia="仿宋" w:cs="仿宋"/>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2" w:type="dxa"/>
            <w:vAlign w:val="center"/>
          </w:tcPr>
          <w:p>
            <w:pPr>
              <w:jc w:val="center"/>
              <w:rPr>
                <w:rFonts w:ascii="仿宋" w:hAnsi="仿宋" w:eastAsia="仿宋" w:cs="仿宋"/>
                <w:b/>
                <w:bCs/>
                <w:color w:val="auto"/>
                <w:szCs w:val="21"/>
                <w:highlight w:val="none"/>
              </w:rPr>
            </w:pPr>
          </w:p>
        </w:tc>
        <w:tc>
          <w:tcPr>
            <w:tcW w:w="1971" w:type="dxa"/>
            <w:vAlign w:val="center"/>
          </w:tcPr>
          <w:p>
            <w:pPr>
              <w:jc w:val="center"/>
              <w:rPr>
                <w:rFonts w:ascii="仿宋" w:hAnsi="仿宋" w:eastAsia="仿宋" w:cs="仿宋"/>
                <w:b/>
                <w:bCs/>
                <w:color w:val="auto"/>
                <w:szCs w:val="21"/>
                <w:highlight w:val="none"/>
              </w:rPr>
            </w:pPr>
          </w:p>
        </w:tc>
        <w:tc>
          <w:tcPr>
            <w:tcW w:w="669" w:type="dxa"/>
            <w:vAlign w:val="center"/>
          </w:tcPr>
          <w:p>
            <w:pPr>
              <w:jc w:val="center"/>
              <w:rPr>
                <w:rFonts w:ascii="仿宋" w:hAnsi="仿宋" w:eastAsia="仿宋" w:cs="仿宋"/>
                <w:b/>
                <w:bCs/>
                <w:color w:val="auto"/>
                <w:szCs w:val="21"/>
                <w:highlight w:val="none"/>
              </w:rPr>
            </w:pPr>
          </w:p>
        </w:tc>
        <w:tc>
          <w:tcPr>
            <w:tcW w:w="3611" w:type="dxa"/>
            <w:vAlign w:val="center"/>
          </w:tcPr>
          <w:p>
            <w:pPr>
              <w:jc w:val="center"/>
              <w:rPr>
                <w:rFonts w:ascii="仿宋" w:hAnsi="仿宋" w:eastAsia="仿宋" w:cs="仿宋"/>
                <w:b/>
                <w:bCs/>
                <w:color w:val="auto"/>
                <w:szCs w:val="21"/>
                <w:highlight w:val="none"/>
              </w:rPr>
            </w:pPr>
          </w:p>
        </w:tc>
        <w:tc>
          <w:tcPr>
            <w:tcW w:w="912" w:type="dxa"/>
            <w:vAlign w:val="center"/>
          </w:tcPr>
          <w:p>
            <w:pPr>
              <w:jc w:val="center"/>
              <w:rPr>
                <w:rFonts w:ascii="仿宋" w:hAnsi="仿宋" w:eastAsia="仿宋" w:cs="仿宋"/>
                <w:b/>
                <w:bCs/>
                <w:color w:val="auto"/>
                <w:szCs w:val="21"/>
                <w:highlight w:val="none"/>
              </w:rPr>
            </w:pPr>
          </w:p>
        </w:tc>
        <w:tc>
          <w:tcPr>
            <w:tcW w:w="1162" w:type="dxa"/>
            <w:vAlign w:val="center"/>
          </w:tcPr>
          <w:p>
            <w:pPr>
              <w:jc w:val="center"/>
              <w:rPr>
                <w:rFonts w:ascii="仿宋" w:hAnsi="仿宋" w:eastAsia="仿宋" w:cs="仿宋"/>
                <w:b/>
                <w:bCs/>
                <w:color w:val="auto"/>
                <w:szCs w:val="21"/>
                <w:highlight w:val="none"/>
              </w:rPr>
            </w:pPr>
          </w:p>
        </w:tc>
        <w:tc>
          <w:tcPr>
            <w:tcW w:w="661" w:type="dxa"/>
          </w:tcPr>
          <w:p>
            <w:pPr>
              <w:jc w:val="center"/>
              <w:rPr>
                <w:rFonts w:ascii="仿宋" w:hAnsi="仿宋" w:eastAsia="仿宋" w:cs="仿宋"/>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2" w:type="dxa"/>
            <w:vAlign w:val="center"/>
          </w:tcPr>
          <w:p>
            <w:pPr>
              <w:jc w:val="center"/>
              <w:rPr>
                <w:rFonts w:ascii="仿宋" w:hAnsi="仿宋" w:eastAsia="仿宋" w:cs="仿宋"/>
                <w:b/>
                <w:bCs/>
                <w:color w:val="auto"/>
                <w:szCs w:val="21"/>
                <w:highlight w:val="none"/>
              </w:rPr>
            </w:pPr>
          </w:p>
        </w:tc>
        <w:tc>
          <w:tcPr>
            <w:tcW w:w="1971" w:type="dxa"/>
            <w:vAlign w:val="center"/>
          </w:tcPr>
          <w:p>
            <w:pPr>
              <w:jc w:val="center"/>
              <w:rPr>
                <w:rFonts w:ascii="仿宋" w:hAnsi="仿宋" w:eastAsia="仿宋" w:cs="仿宋"/>
                <w:b/>
                <w:bCs/>
                <w:color w:val="auto"/>
                <w:szCs w:val="21"/>
                <w:highlight w:val="none"/>
              </w:rPr>
            </w:pPr>
          </w:p>
        </w:tc>
        <w:tc>
          <w:tcPr>
            <w:tcW w:w="669" w:type="dxa"/>
            <w:vAlign w:val="center"/>
          </w:tcPr>
          <w:p>
            <w:pPr>
              <w:jc w:val="center"/>
              <w:rPr>
                <w:rFonts w:ascii="仿宋" w:hAnsi="仿宋" w:eastAsia="仿宋" w:cs="仿宋"/>
                <w:b/>
                <w:bCs/>
                <w:color w:val="auto"/>
                <w:szCs w:val="21"/>
                <w:highlight w:val="none"/>
              </w:rPr>
            </w:pPr>
          </w:p>
        </w:tc>
        <w:tc>
          <w:tcPr>
            <w:tcW w:w="3611" w:type="dxa"/>
            <w:vAlign w:val="center"/>
          </w:tcPr>
          <w:p>
            <w:pPr>
              <w:jc w:val="center"/>
              <w:rPr>
                <w:rFonts w:ascii="仿宋" w:hAnsi="仿宋" w:eastAsia="仿宋" w:cs="仿宋"/>
                <w:b/>
                <w:bCs/>
                <w:color w:val="auto"/>
                <w:szCs w:val="21"/>
                <w:highlight w:val="none"/>
              </w:rPr>
            </w:pPr>
          </w:p>
        </w:tc>
        <w:tc>
          <w:tcPr>
            <w:tcW w:w="912" w:type="dxa"/>
            <w:vAlign w:val="center"/>
          </w:tcPr>
          <w:p>
            <w:pPr>
              <w:jc w:val="center"/>
              <w:rPr>
                <w:rFonts w:ascii="仿宋" w:hAnsi="仿宋" w:eastAsia="仿宋" w:cs="仿宋"/>
                <w:b/>
                <w:bCs/>
                <w:color w:val="auto"/>
                <w:szCs w:val="21"/>
                <w:highlight w:val="none"/>
              </w:rPr>
            </w:pPr>
          </w:p>
        </w:tc>
        <w:tc>
          <w:tcPr>
            <w:tcW w:w="1162" w:type="dxa"/>
            <w:vAlign w:val="center"/>
          </w:tcPr>
          <w:p>
            <w:pPr>
              <w:jc w:val="center"/>
              <w:rPr>
                <w:rFonts w:ascii="仿宋" w:hAnsi="仿宋" w:eastAsia="仿宋" w:cs="仿宋"/>
                <w:b/>
                <w:bCs/>
                <w:color w:val="auto"/>
                <w:szCs w:val="21"/>
                <w:highlight w:val="none"/>
              </w:rPr>
            </w:pPr>
          </w:p>
        </w:tc>
        <w:tc>
          <w:tcPr>
            <w:tcW w:w="661" w:type="dxa"/>
          </w:tcPr>
          <w:p>
            <w:pPr>
              <w:jc w:val="center"/>
              <w:rPr>
                <w:rFonts w:ascii="仿宋" w:hAnsi="仿宋" w:eastAsia="仿宋" w:cs="仿宋"/>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2" w:type="dxa"/>
            <w:vAlign w:val="center"/>
          </w:tcPr>
          <w:p>
            <w:pPr>
              <w:jc w:val="center"/>
              <w:rPr>
                <w:rFonts w:ascii="仿宋" w:hAnsi="仿宋" w:eastAsia="仿宋" w:cs="仿宋"/>
                <w:b/>
                <w:bCs/>
                <w:color w:val="auto"/>
                <w:szCs w:val="21"/>
                <w:highlight w:val="none"/>
              </w:rPr>
            </w:pPr>
          </w:p>
        </w:tc>
        <w:tc>
          <w:tcPr>
            <w:tcW w:w="1971" w:type="dxa"/>
            <w:vAlign w:val="center"/>
          </w:tcPr>
          <w:p>
            <w:pPr>
              <w:jc w:val="center"/>
              <w:rPr>
                <w:rFonts w:ascii="仿宋" w:hAnsi="仿宋" w:eastAsia="仿宋" w:cs="仿宋"/>
                <w:b/>
                <w:bCs/>
                <w:color w:val="auto"/>
                <w:szCs w:val="21"/>
                <w:highlight w:val="none"/>
              </w:rPr>
            </w:pPr>
          </w:p>
        </w:tc>
        <w:tc>
          <w:tcPr>
            <w:tcW w:w="669" w:type="dxa"/>
            <w:vAlign w:val="center"/>
          </w:tcPr>
          <w:p>
            <w:pPr>
              <w:jc w:val="center"/>
              <w:rPr>
                <w:rFonts w:ascii="仿宋" w:hAnsi="仿宋" w:eastAsia="仿宋" w:cs="仿宋"/>
                <w:b/>
                <w:bCs/>
                <w:color w:val="auto"/>
                <w:szCs w:val="21"/>
                <w:highlight w:val="none"/>
              </w:rPr>
            </w:pPr>
          </w:p>
        </w:tc>
        <w:tc>
          <w:tcPr>
            <w:tcW w:w="3611" w:type="dxa"/>
            <w:vAlign w:val="center"/>
          </w:tcPr>
          <w:p>
            <w:pPr>
              <w:jc w:val="center"/>
              <w:rPr>
                <w:rFonts w:ascii="仿宋" w:hAnsi="仿宋" w:eastAsia="仿宋" w:cs="仿宋"/>
                <w:b/>
                <w:bCs/>
                <w:color w:val="auto"/>
                <w:szCs w:val="21"/>
                <w:highlight w:val="none"/>
              </w:rPr>
            </w:pPr>
          </w:p>
        </w:tc>
        <w:tc>
          <w:tcPr>
            <w:tcW w:w="912" w:type="dxa"/>
            <w:vAlign w:val="center"/>
          </w:tcPr>
          <w:p>
            <w:pPr>
              <w:jc w:val="center"/>
              <w:rPr>
                <w:rFonts w:ascii="仿宋" w:hAnsi="仿宋" w:eastAsia="仿宋" w:cs="仿宋"/>
                <w:b/>
                <w:bCs/>
                <w:color w:val="auto"/>
                <w:szCs w:val="21"/>
                <w:highlight w:val="none"/>
              </w:rPr>
            </w:pPr>
          </w:p>
        </w:tc>
        <w:tc>
          <w:tcPr>
            <w:tcW w:w="1162" w:type="dxa"/>
            <w:vAlign w:val="center"/>
          </w:tcPr>
          <w:p>
            <w:pPr>
              <w:jc w:val="center"/>
              <w:rPr>
                <w:rFonts w:ascii="仿宋" w:hAnsi="仿宋" w:eastAsia="仿宋" w:cs="仿宋"/>
                <w:b/>
                <w:bCs/>
                <w:color w:val="auto"/>
                <w:szCs w:val="21"/>
                <w:highlight w:val="none"/>
              </w:rPr>
            </w:pPr>
          </w:p>
        </w:tc>
        <w:tc>
          <w:tcPr>
            <w:tcW w:w="661" w:type="dxa"/>
          </w:tcPr>
          <w:p>
            <w:pPr>
              <w:jc w:val="center"/>
              <w:rPr>
                <w:rFonts w:ascii="仿宋" w:hAnsi="仿宋" w:eastAsia="仿宋" w:cs="仿宋"/>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28" w:type="dxa"/>
            <w:gridSpan w:val="7"/>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技术分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2" w:type="dxa"/>
            <w:vAlign w:val="center"/>
          </w:tcPr>
          <w:p>
            <w:pPr>
              <w:rPr>
                <w:rFonts w:ascii="仿宋" w:hAnsi="仿宋" w:eastAsia="仿宋" w:cs="仿宋"/>
                <w:b/>
                <w:bCs/>
                <w:color w:val="auto"/>
                <w:szCs w:val="21"/>
                <w:highlight w:val="none"/>
              </w:rPr>
            </w:pPr>
          </w:p>
        </w:tc>
        <w:tc>
          <w:tcPr>
            <w:tcW w:w="1971" w:type="dxa"/>
            <w:vAlign w:val="center"/>
          </w:tcPr>
          <w:p>
            <w:pPr>
              <w:rPr>
                <w:rFonts w:ascii="仿宋" w:hAnsi="仿宋" w:eastAsia="仿宋" w:cs="仿宋"/>
                <w:b/>
                <w:bCs/>
                <w:color w:val="auto"/>
                <w:szCs w:val="21"/>
                <w:highlight w:val="none"/>
              </w:rPr>
            </w:pPr>
          </w:p>
        </w:tc>
        <w:tc>
          <w:tcPr>
            <w:tcW w:w="669" w:type="dxa"/>
            <w:vAlign w:val="center"/>
          </w:tcPr>
          <w:p>
            <w:pPr>
              <w:rPr>
                <w:rFonts w:ascii="仿宋" w:hAnsi="仿宋" w:eastAsia="仿宋" w:cs="仿宋"/>
                <w:b/>
                <w:bCs/>
                <w:color w:val="auto"/>
                <w:szCs w:val="21"/>
                <w:highlight w:val="none"/>
              </w:rPr>
            </w:pPr>
          </w:p>
        </w:tc>
        <w:tc>
          <w:tcPr>
            <w:tcW w:w="3611" w:type="dxa"/>
            <w:vAlign w:val="center"/>
          </w:tcPr>
          <w:p>
            <w:pPr>
              <w:rPr>
                <w:rFonts w:ascii="仿宋" w:hAnsi="仿宋" w:eastAsia="仿宋" w:cs="仿宋"/>
                <w:b/>
                <w:bCs/>
                <w:color w:val="auto"/>
                <w:szCs w:val="21"/>
                <w:highlight w:val="none"/>
              </w:rPr>
            </w:pPr>
          </w:p>
        </w:tc>
        <w:tc>
          <w:tcPr>
            <w:tcW w:w="912" w:type="dxa"/>
            <w:vAlign w:val="center"/>
          </w:tcPr>
          <w:p>
            <w:pPr>
              <w:rPr>
                <w:rFonts w:ascii="仿宋" w:hAnsi="仿宋" w:eastAsia="仿宋" w:cs="仿宋"/>
                <w:b/>
                <w:bCs/>
                <w:color w:val="auto"/>
                <w:szCs w:val="21"/>
                <w:highlight w:val="none"/>
              </w:rPr>
            </w:pPr>
          </w:p>
        </w:tc>
        <w:tc>
          <w:tcPr>
            <w:tcW w:w="1162" w:type="dxa"/>
            <w:vAlign w:val="center"/>
          </w:tcPr>
          <w:p>
            <w:pPr>
              <w:rPr>
                <w:rFonts w:ascii="仿宋" w:hAnsi="仿宋" w:eastAsia="仿宋" w:cs="仿宋"/>
                <w:b/>
                <w:bCs/>
                <w:color w:val="auto"/>
                <w:szCs w:val="21"/>
                <w:highlight w:val="none"/>
              </w:rPr>
            </w:pPr>
          </w:p>
        </w:tc>
        <w:tc>
          <w:tcPr>
            <w:tcW w:w="661" w:type="dxa"/>
          </w:tcPr>
          <w:p>
            <w:pPr>
              <w:rPr>
                <w:rFonts w:ascii="仿宋" w:hAnsi="仿宋" w:eastAsia="仿宋" w:cs="仿宋"/>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2" w:type="dxa"/>
            <w:vAlign w:val="center"/>
          </w:tcPr>
          <w:p>
            <w:pPr>
              <w:rPr>
                <w:rFonts w:ascii="仿宋" w:hAnsi="仿宋" w:eastAsia="仿宋" w:cs="仿宋"/>
                <w:b/>
                <w:bCs/>
                <w:color w:val="auto"/>
                <w:szCs w:val="21"/>
                <w:highlight w:val="none"/>
              </w:rPr>
            </w:pPr>
          </w:p>
        </w:tc>
        <w:tc>
          <w:tcPr>
            <w:tcW w:w="1971" w:type="dxa"/>
            <w:vAlign w:val="center"/>
          </w:tcPr>
          <w:p>
            <w:pPr>
              <w:rPr>
                <w:rFonts w:ascii="仿宋" w:hAnsi="仿宋" w:eastAsia="仿宋" w:cs="仿宋"/>
                <w:b/>
                <w:bCs/>
                <w:color w:val="auto"/>
                <w:szCs w:val="21"/>
                <w:highlight w:val="none"/>
              </w:rPr>
            </w:pPr>
          </w:p>
        </w:tc>
        <w:tc>
          <w:tcPr>
            <w:tcW w:w="669" w:type="dxa"/>
            <w:vAlign w:val="center"/>
          </w:tcPr>
          <w:p>
            <w:pPr>
              <w:rPr>
                <w:rFonts w:ascii="仿宋" w:hAnsi="仿宋" w:eastAsia="仿宋" w:cs="仿宋"/>
                <w:b/>
                <w:bCs/>
                <w:color w:val="auto"/>
                <w:szCs w:val="21"/>
                <w:highlight w:val="none"/>
              </w:rPr>
            </w:pPr>
          </w:p>
        </w:tc>
        <w:tc>
          <w:tcPr>
            <w:tcW w:w="3611" w:type="dxa"/>
            <w:vAlign w:val="center"/>
          </w:tcPr>
          <w:p>
            <w:pPr>
              <w:rPr>
                <w:rFonts w:ascii="仿宋" w:hAnsi="仿宋" w:eastAsia="仿宋" w:cs="仿宋"/>
                <w:b/>
                <w:bCs/>
                <w:color w:val="auto"/>
                <w:szCs w:val="21"/>
                <w:highlight w:val="none"/>
              </w:rPr>
            </w:pPr>
          </w:p>
        </w:tc>
        <w:tc>
          <w:tcPr>
            <w:tcW w:w="912" w:type="dxa"/>
            <w:vAlign w:val="center"/>
          </w:tcPr>
          <w:p>
            <w:pPr>
              <w:rPr>
                <w:rFonts w:ascii="仿宋" w:hAnsi="仿宋" w:eastAsia="仿宋" w:cs="仿宋"/>
                <w:b/>
                <w:bCs/>
                <w:color w:val="auto"/>
                <w:szCs w:val="21"/>
                <w:highlight w:val="none"/>
              </w:rPr>
            </w:pPr>
          </w:p>
        </w:tc>
        <w:tc>
          <w:tcPr>
            <w:tcW w:w="1162" w:type="dxa"/>
            <w:vAlign w:val="center"/>
          </w:tcPr>
          <w:p>
            <w:pPr>
              <w:rPr>
                <w:rFonts w:ascii="仿宋" w:hAnsi="仿宋" w:eastAsia="仿宋" w:cs="仿宋"/>
                <w:b/>
                <w:bCs/>
                <w:color w:val="auto"/>
                <w:szCs w:val="21"/>
                <w:highlight w:val="none"/>
              </w:rPr>
            </w:pPr>
          </w:p>
        </w:tc>
        <w:tc>
          <w:tcPr>
            <w:tcW w:w="661" w:type="dxa"/>
          </w:tcPr>
          <w:p>
            <w:pPr>
              <w:rPr>
                <w:rFonts w:ascii="仿宋" w:hAnsi="仿宋" w:eastAsia="仿宋" w:cs="仿宋"/>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2" w:type="dxa"/>
            <w:vAlign w:val="center"/>
          </w:tcPr>
          <w:p>
            <w:pPr>
              <w:rPr>
                <w:rFonts w:ascii="仿宋" w:hAnsi="仿宋" w:eastAsia="仿宋" w:cs="仿宋"/>
                <w:b/>
                <w:bCs/>
                <w:color w:val="auto"/>
                <w:szCs w:val="21"/>
                <w:highlight w:val="none"/>
              </w:rPr>
            </w:pPr>
          </w:p>
        </w:tc>
        <w:tc>
          <w:tcPr>
            <w:tcW w:w="1971" w:type="dxa"/>
            <w:vAlign w:val="center"/>
          </w:tcPr>
          <w:p>
            <w:pPr>
              <w:rPr>
                <w:rFonts w:ascii="仿宋" w:hAnsi="仿宋" w:eastAsia="仿宋" w:cs="仿宋"/>
                <w:b/>
                <w:bCs/>
                <w:color w:val="auto"/>
                <w:szCs w:val="21"/>
                <w:highlight w:val="none"/>
              </w:rPr>
            </w:pPr>
          </w:p>
        </w:tc>
        <w:tc>
          <w:tcPr>
            <w:tcW w:w="669" w:type="dxa"/>
            <w:vAlign w:val="center"/>
          </w:tcPr>
          <w:p>
            <w:pPr>
              <w:rPr>
                <w:rFonts w:ascii="仿宋" w:hAnsi="仿宋" w:eastAsia="仿宋" w:cs="仿宋"/>
                <w:b/>
                <w:bCs/>
                <w:color w:val="auto"/>
                <w:szCs w:val="21"/>
                <w:highlight w:val="none"/>
              </w:rPr>
            </w:pPr>
          </w:p>
        </w:tc>
        <w:tc>
          <w:tcPr>
            <w:tcW w:w="3611" w:type="dxa"/>
            <w:vAlign w:val="center"/>
          </w:tcPr>
          <w:p>
            <w:pPr>
              <w:rPr>
                <w:rFonts w:ascii="仿宋" w:hAnsi="仿宋" w:eastAsia="仿宋" w:cs="仿宋"/>
                <w:b/>
                <w:bCs/>
                <w:color w:val="auto"/>
                <w:szCs w:val="21"/>
                <w:highlight w:val="none"/>
              </w:rPr>
            </w:pPr>
          </w:p>
        </w:tc>
        <w:tc>
          <w:tcPr>
            <w:tcW w:w="912" w:type="dxa"/>
            <w:vAlign w:val="center"/>
          </w:tcPr>
          <w:p>
            <w:pPr>
              <w:rPr>
                <w:rFonts w:ascii="仿宋" w:hAnsi="仿宋" w:eastAsia="仿宋" w:cs="仿宋"/>
                <w:b/>
                <w:bCs/>
                <w:color w:val="auto"/>
                <w:szCs w:val="21"/>
                <w:highlight w:val="none"/>
              </w:rPr>
            </w:pPr>
          </w:p>
        </w:tc>
        <w:tc>
          <w:tcPr>
            <w:tcW w:w="1162" w:type="dxa"/>
            <w:vAlign w:val="center"/>
          </w:tcPr>
          <w:p>
            <w:pPr>
              <w:rPr>
                <w:rFonts w:ascii="仿宋" w:hAnsi="仿宋" w:eastAsia="仿宋" w:cs="仿宋"/>
                <w:b/>
                <w:bCs/>
                <w:color w:val="auto"/>
                <w:szCs w:val="21"/>
                <w:highlight w:val="none"/>
              </w:rPr>
            </w:pPr>
          </w:p>
        </w:tc>
        <w:tc>
          <w:tcPr>
            <w:tcW w:w="661" w:type="dxa"/>
          </w:tcPr>
          <w:p>
            <w:pPr>
              <w:rPr>
                <w:rFonts w:ascii="仿宋" w:hAnsi="仿宋" w:eastAsia="仿宋" w:cs="仿宋"/>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2" w:type="dxa"/>
            <w:vAlign w:val="center"/>
          </w:tcPr>
          <w:p>
            <w:pPr>
              <w:rPr>
                <w:rFonts w:ascii="仿宋" w:hAnsi="仿宋" w:eastAsia="仿宋" w:cs="仿宋"/>
                <w:b/>
                <w:bCs/>
                <w:color w:val="auto"/>
                <w:szCs w:val="21"/>
                <w:highlight w:val="none"/>
              </w:rPr>
            </w:pPr>
          </w:p>
        </w:tc>
        <w:tc>
          <w:tcPr>
            <w:tcW w:w="1971" w:type="dxa"/>
            <w:vAlign w:val="center"/>
          </w:tcPr>
          <w:p>
            <w:pPr>
              <w:rPr>
                <w:rFonts w:ascii="仿宋" w:hAnsi="仿宋" w:eastAsia="仿宋" w:cs="仿宋"/>
                <w:b/>
                <w:bCs/>
                <w:color w:val="auto"/>
                <w:szCs w:val="21"/>
                <w:highlight w:val="none"/>
              </w:rPr>
            </w:pPr>
          </w:p>
        </w:tc>
        <w:tc>
          <w:tcPr>
            <w:tcW w:w="669" w:type="dxa"/>
            <w:vAlign w:val="center"/>
          </w:tcPr>
          <w:p>
            <w:pPr>
              <w:rPr>
                <w:rFonts w:ascii="仿宋" w:hAnsi="仿宋" w:eastAsia="仿宋" w:cs="仿宋"/>
                <w:b/>
                <w:bCs/>
                <w:color w:val="auto"/>
                <w:szCs w:val="21"/>
                <w:highlight w:val="none"/>
              </w:rPr>
            </w:pPr>
          </w:p>
        </w:tc>
        <w:tc>
          <w:tcPr>
            <w:tcW w:w="3611" w:type="dxa"/>
            <w:vAlign w:val="center"/>
          </w:tcPr>
          <w:p>
            <w:pPr>
              <w:rPr>
                <w:rFonts w:ascii="仿宋" w:hAnsi="仿宋" w:eastAsia="仿宋" w:cs="仿宋"/>
                <w:b/>
                <w:bCs/>
                <w:color w:val="auto"/>
                <w:szCs w:val="21"/>
                <w:highlight w:val="none"/>
              </w:rPr>
            </w:pPr>
          </w:p>
        </w:tc>
        <w:tc>
          <w:tcPr>
            <w:tcW w:w="912" w:type="dxa"/>
            <w:vAlign w:val="center"/>
          </w:tcPr>
          <w:p>
            <w:pPr>
              <w:rPr>
                <w:rFonts w:ascii="仿宋" w:hAnsi="仿宋" w:eastAsia="仿宋" w:cs="仿宋"/>
                <w:b/>
                <w:bCs/>
                <w:color w:val="auto"/>
                <w:szCs w:val="21"/>
                <w:highlight w:val="none"/>
              </w:rPr>
            </w:pPr>
          </w:p>
        </w:tc>
        <w:tc>
          <w:tcPr>
            <w:tcW w:w="1162" w:type="dxa"/>
            <w:vAlign w:val="center"/>
          </w:tcPr>
          <w:p>
            <w:pPr>
              <w:rPr>
                <w:rFonts w:ascii="仿宋" w:hAnsi="仿宋" w:eastAsia="仿宋" w:cs="仿宋"/>
                <w:b/>
                <w:bCs/>
                <w:color w:val="auto"/>
                <w:szCs w:val="21"/>
                <w:highlight w:val="none"/>
              </w:rPr>
            </w:pPr>
          </w:p>
        </w:tc>
        <w:tc>
          <w:tcPr>
            <w:tcW w:w="661" w:type="dxa"/>
          </w:tcPr>
          <w:p>
            <w:pPr>
              <w:rPr>
                <w:rFonts w:ascii="仿宋" w:hAnsi="仿宋" w:eastAsia="仿宋" w:cs="仿宋"/>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2" w:type="dxa"/>
            <w:vAlign w:val="center"/>
          </w:tcPr>
          <w:p>
            <w:pPr>
              <w:rPr>
                <w:rFonts w:ascii="仿宋" w:hAnsi="仿宋" w:eastAsia="仿宋" w:cs="仿宋"/>
                <w:b/>
                <w:bCs/>
                <w:color w:val="auto"/>
                <w:szCs w:val="21"/>
                <w:highlight w:val="none"/>
              </w:rPr>
            </w:pPr>
          </w:p>
        </w:tc>
        <w:tc>
          <w:tcPr>
            <w:tcW w:w="1971" w:type="dxa"/>
            <w:vAlign w:val="center"/>
          </w:tcPr>
          <w:p>
            <w:pPr>
              <w:rPr>
                <w:rFonts w:ascii="仿宋" w:hAnsi="仿宋" w:eastAsia="仿宋" w:cs="仿宋"/>
                <w:b/>
                <w:bCs/>
                <w:color w:val="auto"/>
                <w:szCs w:val="21"/>
                <w:highlight w:val="none"/>
              </w:rPr>
            </w:pPr>
          </w:p>
        </w:tc>
        <w:tc>
          <w:tcPr>
            <w:tcW w:w="669" w:type="dxa"/>
            <w:vAlign w:val="center"/>
          </w:tcPr>
          <w:p>
            <w:pPr>
              <w:rPr>
                <w:rFonts w:ascii="仿宋" w:hAnsi="仿宋" w:eastAsia="仿宋" w:cs="仿宋"/>
                <w:b/>
                <w:bCs/>
                <w:color w:val="auto"/>
                <w:szCs w:val="21"/>
                <w:highlight w:val="none"/>
              </w:rPr>
            </w:pPr>
          </w:p>
        </w:tc>
        <w:tc>
          <w:tcPr>
            <w:tcW w:w="3611" w:type="dxa"/>
            <w:vAlign w:val="center"/>
          </w:tcPr>
          <w:p>
            <w:pPr>
              <w:rPr>
                <w:rFonts w:ascii="仿宋" w:hAnsi="仿宋" w:eastAsia="仿宋" w:cs="仿宋"/>
                <w:b/>
                <w:bCs/>
                <w:color w:val="auto"/>
                <w:szCs w:val="21"/>
                <w:highlight w:val="none"/>
              </w:rPr>
            </w:pPr>
          </w:p>
        </w:tc>
        <w:tc>
          <w:tcPr>
            <w:tcW w:w="912" w:type="dxa"/>
            <w:vAlign w:val="center"/>
          </w:tcPr>
          <w:p>
            <w:pPr>
              <w:rPr>
                <w:rFonts w:ascii="仿宋" w:hAnsi="仿宋" w:eastAsia="仿宋" w:cs="仿宋"/>
                <w:b/>
                <w:bCs/>
                <w:color w:val="auto"/>
                <w:szCs w:val="21"/>
                <w:highlight w:val="none"/>
              </w:rPr>
            </w:pPr>
          </w:p>
        </w:tc>
        <w:tc>
          <w:tcPr>
            <w:tcW w:w="1162" w:type="dxa"/>
            <w:vAlign w:val="center"/>
          </w:tcPr>
          <w:p>
            <w:pPr>
              <w:rPr>
                <w:rFonts w:ascii="仿宋" w:hAnsi="仿宋" w:eastAsia="仿宋" w:cs="仿宋"/>
                <w:b/>
                <w:bCs/>
                <w:color w:val="auto"/>
                <w:szCs w:val="21"/>
                <w:highlight w:val="none"/>
              </w:rPr>
            </w:pPr>
          </w:p>
        </w:tc>
        <w:tc>
          <w:tcPr>
            <w:tcW w:w="661" w:type="dxa"/>
          </w:tcPr>
          <w:p>
            <w:pPr>
              <w:rPr>
                <w:rFonts w:ascii="仿宋" w:hAnsi="仿宋" w:eastAsia="仿宋" w:cs="仿宋"/>
                <w:b/>
                <w:bCs/>
                <w:color w:val="auto"/>
                <w:szCs w:val="21"/>
                <w:highlight w:val="none"/>
              </w:rPr>
            </w:pPr>
          </w:p>
        </w:tc>
      </w:tr>
    </w:tbl>
    <w:p>
      <w:pPr>
        <w:spacing w:line="360" w:lineRule="auto"/>
        <w:rPr>
          <w:rFonts w:ascii="仿宋" w:hAnsi="仿宋" w:eastAsia="仿宋" w:cs="仿宋"/>
          <w:color w:val="auto"/>
          <w:spacing w:val="-6"/>
          <w:sz w:val="18"/>
          <w:szCs w:val="18"/>
          <w:highlight w:val="none"/>
        </w:rPr>
      </w:pPr>
    </w:p>
    <w:p>
      <w:pPr>
        <w:adjustRightInd w:val="0"/>
        <w:snapToGrid w:val="0"/>
        <w:spacing w:line="360" w:lineRule="auto"/>
        <w:rPr>
          <w:rFonts w:ascii="仿宋" w:hAnsi="仿宋" w:eastAsia="仿宋" w:cs="仿宋"/>
          <w:color w:val="auto"/>
          <w:szCs w:val="21"/>
          <w:highlight w:val="none"/>
        </w:rPr>
      </w:pPr>
      <w:r>
        <w:rPr>
          <w:rFonts w:hint="eastAsia" w:ascii="仿宋" w:hAnsi="仿宋" w:eastAsia="仿宋" w:cs="仿宋"/>
          <w:b/>
          <w:bCs/>
          <w:color w:val="auto"/>
          <w:spacing w:val="-6"/>
          <w:sz w:val="18"/>
          <w:szCs w:val="18"/>
          <w:highlight w:val="none"/>
        </w:rPr>
        <w:t>备注：本表仅为方便磋商小组评审使用，不作为判别响应文件是否有效的依据。</w:t>
      </w:r>
      <w:r>
        <w:rPr>
          <w:rFonts w:hint="eastAsia" w:ascii="仿宋" w:hAnsi="仿宋" w:eastAsia="仿宋" w:cs="仿宋"/>
          <w:color w:val="auto"/>
          <w:szCs w:val="21"/>
          <w:highlight w:val="none"/>
        </w:rPr>
        <w:br w:type="page"/>
      </w:r>
    </w:p>
    <w:p>
      <w:pPr>
        <w:adjustRightInd w:val="0"/>
        <w:snapToGrid w:val="0"/>
        <w:spacing w:line="288" w:lineRule="auto"/>
        <w:jc w:val="center"/>
        <w:rPr>
          <w:rFonts w:ascii="仿宋" w:hAnsi="仿宋" w:eastAsia="仿宋" w:cs="仿宋"/>
          <w:b/>
          <w:bCs/>
          <w:color w:val="auto"/>
          <w:sz w:val="84"/>
          <w:szCs w:val="84"/>
          <w:highlight w:val="none"/>
        </w:rPr>
      </w:pPr>
    </w:p>
    <w:p>
      <w:pPr>
        <w:adjustRightInd w:val="0"/>
        <w:snapToGrid w:val="0"/>
        <w:spacing w:line="288" w:lineRule="auto"/>
        <w:jc w:val="center"/>
        <w:rPr>
          <w:rFonts w:ascii="仿宋" w:hAnsi="仿宋" w:eastAsia="仿宋" w:cs="仿宋"/>
          <w:b/>
          <w:bCs/>
          <w:color w:val="auto"/>
          <w:sz w:val="84"/>
          <w:szCs w:val="84"/>
          <w:highlight w:val="none"/>
        </w:rPr>
      </w:pPr>
    </w:p>
    <w:p>
      <w:pPr>
        <w:adjustRightInd w:val="0"/>
        <w:snapToGrid w:val="0"/>
        <w:spacing w:line="288" w:lineRule="auto"/>
        <w:jc w:val="center"/>
        <w:rPr>
          <w:rFonts w:ascii="仿宋" w:hAnsi="仿宋" w:eastAsia="仿宋" w:cs="仿宋"/>
          <w:b/>
          <w:bCs/>
          <w:color w:val="auto"/>
          <w:sz w:val="84"/>
          <w:szCs w:val="84"/>
          <w:highlight w:val="none"/>
        </w:rPr>
      </w:pPr>
    </w:p>
    <w:p>
      <w:pPr>
        <w:adjustRightInd w:val="0"/>
        <w:snapToGrid w:val="0"/>
        <w:spacing w:line="288" w:lineRule="auto"/>
        <w:jc w:val="center"/>
        <w:rPr>
          <w:rFonts w:ascii="仿宋" w:hAnsi="仿宋" w:eastAsia="仿宋" w:cs="仿宋"/>
          <w:b/>
          <w:bCs/>
          <w:color w:val="auto"/>
          <w:sz w:val="84"/>
          <w:szCs w:val="84"/>
          <w:highlight w:val="none"/>
        </w:rPr>
      </w:pPr>
    </w:p>
    <w:p>
      <w:pPr>
        <w:adjustRightInd w:val="0"/>
        <w:snapToGrid w:val="0"/>
        <w:spacing w:line="288" w:lineRule="auto"/>
        <w:jc w:val="center"/>
        <w:outlineLvl w:val="1"/>
        <w:rPr>
          <w:rFonts w:ascii="仿宋" w:hAnsi="仿宋" w:eastAsia="仿宋" w:cs="仿宋"/>
          <w:b/>
          <w:bCs/>
          <w:color w:val="auto"/>
          <w:sz w:val="84"/>
          <w:szCs w:val="84"/>
          <w:highlight w:val="none"/>
        </w:rPr>
      </w:pPr>
      <w:r>
        <w:rPr>
          <w:rFonts w:hint="eastAsia" w:ascii="仿宋" w:hAnsi="仿宋" w:eastAsia="仿宋" w:cs="仿宋"/>
          <w:b/>
          <w:bCs/>
          <w:color w:val="auto"/>
          <w:sz w:val="84"/>
          <w:szCs w:val="84"/>
          <w:highlight w:val="none"/>
        </w:rPr>
        <w:t>资格文件</w:t>
      </w:r>
    </w:p>
    <w:p>
      <w:pPr>
        <w:adjustRightInd w:val="0"/>
        <w:snapToGrid w:val="0"/>
        <w:spacing w:line="288" w:lineRule="auto"/>
        <w:jc w:val="center"/>
        <w:rPr>
          <w:rFonts w:ascii="仿宋" w:hAnsi="仿宋" w:eastAsia="仿宋" w:cs="仿宋"/>
          <w:b/>
          <w:bCs/>
          <w:color w:val="auto"/>
          <w:sz w:val="84"/>
          <w:szCs w:val="84"/>
          <w:highlight w:val="none"/>
        </w:rPr>
      </w:pPr>
    </w:p>
    <w:p>
      <w:pPr>
        <w:adjustRightInd w:val="0"/>
        <w:snapToGrid w:val="0"/>
        <w:spacing w:line="288" w:lineRule="auto"/>
        <w:jc w:val="center"/>
        <w:rPr>
          <w:rFonts w:ascii="仿宋" w:hAnsi="仿宋" w:eastAsia="仿宋" w:cs="仿宋"/>
          <w:b/>
          <w:bCs/>
          <w:color w:val="auto"/>
          <w:sz w:val="24"/>
          <w:szCs w:val="24"/>
          <w:highlight w:val="none"/>
        </w:rPr>
      </w:pPr>
      <w:bookmarkStart w:id="53" w:name="_Hlk94097338"/>
      <w:r>
        <w:rPr>
          <w:rFonts w:hint="eastAsia" w:ascii="仿宋" w:hAnsi="仿宋" w:eastAsia="仿宋" w:cs="仿宋"/>
          <w:b/>
          <w:bCs/>
          <w:color w:val="auto"/>
          <w:sz w:val="24"/>
          <w:szCs w:val="24"/>
          <w:highlight w:val="none"/>
        </w:rPr>
        <w:t>资格审查要求的资格证明材料（均需加盖公章）</w:t>
      </w:r>
      <w:bookmarkEnd w:id="53"/>
    </w:p>
    <w:p>
      <w:pPr>
        <w:adjustRightInd w:val="0"/>
        <w:snapToGrid w:val="0"/>
        <w:spacing w:line="288" w:lineRule="auto"/>
        <w:jc w:val="center"/>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br w:type="page"/>
      </w:r>
    </w:p>
    <w:p>
      <w:pPr>
        <w:adjustRightInd w:val="0"/>
        <w:snapToGrid w:val="0"/>
        <w:spacing w:line="360" w:lineRule="auto"/>
        <w:jc w:val="center"/>
        <w:outlineLvl w:val="2"/>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有效的法人或者其他组织的营业执照等证明文件/自然人的身份证明</w:t>
      </w:r>
    </w:p>
    <w:p>
      <w:pPr>
        <w:adjustRightInd w:val="0"/>
        <w:snapToGrid w:val="0"/>
        <w:spacing w:line="360" w:lineRule="auto"/>
        <w:rPr>
          <w:rFonts w:ascii="仿宋" w:hAnsi="仿宋" w:eastAsia="仿宋" w:cs="仿宋"/>
          <w:color w:val="auto"/>
          <w:szCs w:val="21"/>
          <w:highlight w:val="none"/>
        </w:rPr>
      </w:pPr>
    </w:p>
    <w:p>
      <w:pPr>
        <w:adjustRightInd w:val="0"/>
        <w:snapToGrid w:val="0"/>
        <w:spacing w:line="360" w:lineRule="auto"/>
        <w:rPr>
          <w:rFonts w:ascii="仿宋" w:hAnsi="仿宋" w:eastAsia="仿宋" w:cs="仿宋"/>
          <w:color w:val="auto"/>
          <w:szCs w:val="21"/>
          <w:highlight w:val="none"/>
        </w:rPr>
      </w:pPr>
    </w:p>
    <w:p>
      <w:pPr>
        <w:adjustRightInd w:val="0"/>
        <w:snapToGrid w:val="0"/>
        <w:spacing w:line="360" w:lineRule="auto"/>
        <w:rPr>
          <w:rFonts w:ascii="仿宋" w:hAnsi="仿宋" w:eastAsia="仿宋" w:cs="仿宋"/>
          <w:b/>
          <w:bCs/>
          <w:color w:val="auto"/>
          <w:szCs w:val="21"/>
          <w:highlight w:val="none"/>
        </w:rPr>
      </w:pPr>
    </w:p>
    <w:p>
      <w:pPr>
        <w:adjustRightInd w:val="0"/>
        <w:snapToGrid w:val="0"/>
        <w:spacing w:line="360" w:lineRule="auto"/>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说明：</w:t>
      </w:r>
    </w:p>
    <w:p>
      <w:pPr>
        <w:adjustRightInd w:val="0"/>
        <w:snapToGrid w:val="0"/>
        <w:spacing w:line="360" w:lineRule="auto"/>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1.如供应商是企业（包括合伙企业），提供在工商部门注册的有效“企业法人营业执照”或“营业执照”；</w:t>
      </w:r>
    </w:p>
    <w:p>
      <w:pPr>
        <w:adjustRightInd w:val="0"/>
        <w:snapToGrid w:val="0"/>
        <w:spacing w:line="360" w:lineRule="auto"/>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2.如供应商是事业单位，提供有效的“事业单位法人证书”；</w:t>
      </w:r>
    </w:p>
    <w:p>
      <w:pPr>
        <w:adjustRightInd w:val="0"/>
        <w:snapToGrid w:val="0"/>
        <w:spacing w:line="360" w:lineRule="auto"/>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3.如供应商是非企业专业服务机构，提供执业许可证等证明文件；</w:t>
      </w:r>
    </w:p>
    <w:p>
      <w:pPr>
        <w:adjustRightInd w:val="0"/>
        <w:snapToGrid w:val="0"/>
        <w:spacing w:line="360" w:lineRule="auto"/>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4.如供应商是个体工商户，提供有效的“个体工商户营业执照”；</w:t>
      </w:r>
    </w:p>
    <w:p>
      <w:pPr>
        <w:adjustRightInd w:val="0"/>
        <w:snapToGrid w:val="0"/>
        <w:spacing w:line="360" w:lineRule="auto"/>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5.如供应商是自然人，提供有效的自然人身份证明。</w:t>
      </w:r>
    </w:p>
    <w:p>
      <w:pPr>
        <w:adjustRightInd w:val="0"/>
        <w:snapToGrid w:val="0"/>
        <w:spacing w:line="288" w:lineRule="auto"/>
        <w:rPr>
          <w:color w:val="auto"/>
          <w:szCs w:val="21"/>
          <w:highlight w:val="none"/>
        </w:rPr>
      </w:pPr>
      <w:r>
        <w:rPr>
          <w:rFonts w:hint="eastAsia"/>
          <w:color w:val="auto"/>
          <w:szCs w:val="21"/>
          <w:highlight w:val="none"/>
        </w:rPr>
        <w:br w:type="page"/>
      </w:r>
    </w:p>
    <w:p>
      <w:pPr>
        <w:adjustRightInd w:val="0"/>
        <w:snapToGrid w:val="0"/>
        <w:spacing w:line="360" w:lineRule="auto"/>
        <w:jc w:val="center"/>
        <w:outlineLvl w:val="2"/>
        <w:rPr>
          <w:rFonts w:cs="Times New Roman"/>
          <w:color w:val="auto"/>
          <w:szCs w:val="21"/>
          <w:highlight w:val="none"/>
          <w:shd w:val="clear" w:color="auto" w:fill="FFFFFF"/>
        </w:rPr>
      </w:pPr>
      <w:r>
        <w:rPr>
          <w:rFonts w:hint="eastAsia" w:ascii="仿宋" w:hAnsi="仿宋" w:eastAsia="仿宋" w:cs="仿宋"/>
          <w:b/>
          <w:bCs/>
          <w:color w:val="auto"/>
          <w:sz w:val="24"/>
          <w:szCs w:val="24"/>
          <w:highlight w:val="none"/>
        </w:rPr>
        <w:t>符合参加采购活动应当具备的一般条件的承诺函</w:t>
      </w:r>
    </w:p>
    <w:p>
      <w:pPr>
        <w:adjustRightInd w:val="0"/>
        <w:snapToGrid w:val="0"/>
        <w:spacing w:line="360" w:lineRule="auto"/>
        <w:rPr>
          <w:rFonts w:ascii="仿宋" w:hAnsi="仿宋" w:eastAsia="仿宋" w:cs="仿宋"/>
          <w:color w:val="auto"/>
          <w:spacing w:val="-6"/>
          <w:szCs w:val="21"/>
          <w:highlight w:val="none"/>
        </w:rPr>
      </w:pPr>
      <w:r>
        <w:rPr>
          <w:rFonts w:hint="eastAsia" w:ascii="仿宋" w:hAnsi="仿宋" w:eastAsia="仿宋" w:cs="仿宋"/>
          <w:b/>
          <w:bCs/>
          <w:color w:val="auto"/>
          <w:spacing w:val="-6"/>
          <w:szCs w:val="21"/>
          <w:highlight w:val="none"/>
        </w:rPr>
        <w:t>致：之江实验室、浙江求是招标代理有限公司</w:t>
      </w:r>
    </w:p>
    <w:p>
      <w:pPr>
        <w:adjustRightInd w:val="0"/>
        <w:snapToGrid w:val="0"/>
        <w:spacing w:line="360" w:lineRule="auto"/>
        <w:ind w:firstLine="396"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我方</w:t>
      </w:r>
      <w:r>
        <w:rPr>
          <w:rFonts w:hint="eastAsia" w:ascii="仿宋" w:hAnsi="仿宋" w:eastAsia="仿宋" w:cs="仿宋"/>
          <w:color w:val="auto"/>
          <w:spacing w:val="-6"/>
          <w:szCs w:val="21"/>
          <w:highlight w:val="none"/>
          <w:u w:val="single"/>
        </w:rPr>
        <w:t xml:space="preserve">                    </w:t>
      </w:r>
      <w:r>
        <w:rPr>
          <w:rFonts w:hint="eastAsia" w:ascii="仿宋" w:hAnsi="仿宋" w:eastAsia="仿宋" w:cs="仿宋"/>
          <w:color w:val="auto"/>
          <w:spacing w:val="-6"/>
          <w:szCs w:val="21"/>
          <w:highlight w:val="none"/>
        </w:rPr>
        <w:t>（供应商名称）参加</w:t>
      </w:r>
      <w:r>
        <w:rPr>
          <w:rFonts w:hint="eastAsia" w:ascii="仿宋" w:hAnsi="仿宋" w:eastAsia="仿宋" w:cs="仿宋"/>
          <w:color w:val="auto"/>
          <w:spacing w:val="-6"/>
          <w:szCs w:val="21"/>
          <w:highlight w:val="none"/>
          <w:lang w:eastAsia="zh-CN"/>
        </w:rPr>
        <w:t>算力中心展厅展陈</w:t>
      </w:r>
      <w:r>
        <w:rPr>
          <w:rFonts w:hint="eastAsia" w:ascii="仿宋" w:hAnsi="仿宋" w:eastAsia="仿宋" w:cs="仿宋"/>
          <w:color w:val="auto"/>
          <w:spacing w:val="-6"/>
          <w:szCs w:val="21"/>
          <w:highlight w:val="none"/>
        </w:rPr>
        <w:t>项目的采购活动并承诺如下：</w:t>
      </w:r>
    </w:p>
    <w:p>
      <w:pPr>
        <w:adjustRightInd w:val="0"/>
        <w:snapToGrid w:val="0"/>
        <w:spacing w:line="360" w:lineRule="auto"/>
        <w:ind w:firstLine="396"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一、我方满足《中华人民共和国政府采购法》第二十二条规定：</w:t>
      </w:r>
    </w:p>
    <w:p>
      <w:pPr>
        <w:adjustRightInd w:val="0"/>
        <w:snapToGrid w:val="0"/>
        <w:spacing w:line="360" w:lineRule="auto"/>
        <w:ind w:firstLine="396"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（一）具有独立承担民事责任的能力；</w:t>
      </w:r>
    </w:p>
    <w:p>
      <w:pPr>
        <w:adjustRightInd w:val="0"/>
        <w:snapToGrid w:val="0"/>
        <w:spacing w:line="360" w:lineRule="auto"/>
        <w:ind w:firstLine="396"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（二）具有良好的商业信誉和健全的财务会计制度；</w:t>
      </w:r>
    </w:p>
    <w:p>
      <w:pPr>
        <w:adjustRightInd w:val="0"/>
        <w:snapToGrid w:val="0"/>
        <w:spacing w:line="360" w:lineRule="auto"/>
        <w:ind w:firstLine="396"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（三）具有履行合同所必需的设备和专业技术能力；</w:t>
      </w:r>
    </w:p>
    <w:p>
      <w:pPr>
        <w:adjustRightInd w:val="0"/>
        <w:snapToGrid w:val="0"/>
        <w:spacing w:line="360" w:lineRule="auto"/>
        <w:ind w:firstLine="396"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（四）有依法缴纳税收和社会保障资金的良好记录；</w:t>
      </w:r>
    </w:p>
    <w:p>
      <w:pPr>
        <w:adjustRightInd w:val="0"/>
        <w:snapToGrid w:val="0"/>
        <w:spacing w:line="360" w:lineRule="auto"/>
        <w:ind w:firstLine="396"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（五）参加本项目采购活动前三年内，在经营活动中</w:t>
      </w:r>
      <w:r>
        <w:rPr>
          <w:rFonts w:hint="eastAsia" w:ascii="仿宋" w:hAnsi="仿宋" w:eastAsia="仿宋" w:cs="仿宋"/>
          <w:b/>
          <w:color w:val="auto"/>
          <w:spacing w:val="-6"/>
          <w:szCs w:val="21"/>
          <w:highlight w:val="none"/>
          <w:u w:val="single"/>
        </w:rPr>
        <w:t xml:space="preserve">     </w:t>
      </w:r>
      <w:r>
        <w:rPr>
          <w:rFonts w:hint="eastAsia" w:ascii="仿宋" w:hAnsi="仿宋" w:eastAsia="仿宋" w:cs="仿宋"/>
          <w:b/>
          <w:color w:val="auto"/>
          <w:spacing w:val="-6"/>
          <w:szCs w:val="21"/>
          <w:highlight w:val="none"/>
        </w:rPr>
        <w:t>（填写“有”或“没有”）</w:t>
      </w:r>
      <w:r>
        <w:rPr>
          <w:rFonts w:hint="eastAsia" w:ascii="仿宋" w:hAnsi="仿宋" w:eastAsia="仿宋" w:cs="仿宋"/>
          <w:color w:val="auto"/>
          <w:spacing w:val="-6"/>
          <w:szCs w:val="21"/>
          <w:highlight w:val="none"/>
        </w:rPr>
        <w:t>重大违法记录（重大违法记录是指供应商因违法经营受到刑事处罚或者责令停产停业、吊销许可证或者执照、较大数额罚款等行政处罚）。</w:t>
      </w:r>
    </w:p>
    <w:p>
      <w:pPr>
        <w:adjustRightInd w:val="0"/>
        <w:snapToGrid w:val="0"/>
        <w:spacing w:line="360" w:lineRule="auto"/>
        <w:ind w:firstLine="396"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（六）法律、行政法规规定的其他条件。</w:t>
      </w:r>
    </w:p>
    <w:p>
      <w:pPr>
        <w:adjustRightInd w:val="0"/>
        <w:snapToGrid w:val="0"/>
        <w:spacing w:line="360" w:lineRule="auto"/>
        <w:ind w:firstLine="396"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二、未被信用中国（www.creditchina.gov.cn)、中国政府采购网（www.ccgp.gov.cn）列入失信被执行人、重大税收违法案件当事人名单、政府采购严重违法失信行为记录名单。</w:t>
      </w:r>
    </w:p>
    <w:p>
      <w:pPr>
        <w:adjustRightInd w:val="0"/>
        <w:snapToGrid w:val="0"/>
        <w:spacing w:line="360" w:lineRule="auto"/>
        <w:ind w:firstLine="396"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三、不存在以下情况：</w:t>
      </w:r>
    </w:p>
    <w:p>
      <w:pPr>
        <w:adjustRightInd w:val="0"/>
        <w:snapToGrid w:val="0"/>
        <w:spacing w:line="360" w:lineRule="auto"/>
        <w:ind w:firstLine="396"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1.单位负责人为同一人或者存在直接控股、管理关系的不同供应商参加同一合同项下的采购活动的；</w:t>
      </w:r>
    </w:p>
    <w:p>
      <w:pPr>
        <w:adjustRightInd w:val="0"/>
        <w:snapToGrid w:val="0"/>
        <w:spacing w:line="360" w:lineRule="auto"/>
        <w:ind w:firstLine="396"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2.为采购项目提供整体设计、规范编制或者项目管理、监理、检测等服务后再参加该采购项目的其他采购活动的。</w:t>
      </w:r>
    </w:p>
    <w:p>
      <w:pPr>
        <w:adjustRightInd w:val="0"/>
        <w:snapToGrid w:val="0"/>
        <w:spacing w:line="360" w:lineRule="auto"/>
        <w:ind w:firstLine="396"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四、以上事项如有虚假或隐瞒，我方愿意承担一切后果和责任。</w:t>
      </w:r>
    </w:p>
    <w:p>
      <w:pPr>
        <w:adjustRightInd w:val="0"/>
        <w:snapToGrid w:val="0"/>
        <w:spacing w:line="360" w:lineRule="auto"/>
        <w:rPr>
          <w:rFonts w:ascii="仿宋" w:hAnsi="仿宋" w:eastAsia="仿宋" w:cs="仿宋"/>
          <w:color w:val="auto"/>
          <w:szCs w:val="21"/>
          <w:highlight w:val="none"/>
        </w:rPr>
      </w:pPr>
    </w:p>
    <w:p>
      <w:pPr>
        <w:adjustRightInd w:val="0"/>
        <w:snapToGrid w:val="0"/>
        <w:spacing w:line="360" w:lineRule="auto"/>
        <w:rPr>
          <w:rFonts w:ascii="仿宋" w:hAnsi="仿宋" w:eastAsia="仿宋" w:cs="仿宋"/>
          <w:b/>
          <w:bCs/>
          <w:color w:val="auto"/>
          <w:spacing w:val="-6"/>
          <w:szCs w:val="21"/>
          <w:highlight w:val="none"/>
        </w:rPr>
      </w:pPr>
    </w:p>
    <w:p>
      <w:pPr>
        <w:adjustRightInd w:val="0"/>
        <w:snapToGrid w:val="0"/>
        <w:spacing w:line="360" w:lineRule="auto"/>
        <w:rPr>
          <w:rFonts w:ascii="仿宋" w:hAnsi="仿宋" w:eastAsia="仿宋" w:cs="仿宋"/>
          <w:b/>
          <w:bCs/>
          <w:color w:val="auto"/>
          <w:spacing w:val="-6"/>
          <w:szCs w:val="21"/>
          <w:highlight w:val="none"/>
        </w:rPr>
      </w:pPr>
    </w:p>
    <w:p>
      <w:pPr>
        <w:adjustRightInd w:val="0"/>
        <w:snapToGrid w:val="0"/>
        <w:spacing w:line="360" w:lineRule="auto"/>
        <w:rPr>
          <w:rFonts w:ascii="仿宋" w:hAnsi="仿宋" w:eastAsia="仿宋" w:cs="仿宋"/>
          <w:b/>
          <w:bCs/>
          <w:color w:val="auto"/>
          <w:spacing w:val="-6"/>
          <w:szCs w:val="21"/>
          <w:highlight w:val="none"/>
        </w:rPr>
      </w:pPr>
      <w:r>
        <w:rPr>
          <w:rFonts w:hint="eastAsia" w:ascii="仿宋" w:hAnsi="仿宋" w:eastAsia="仿宋" w:cs="仿宋"/>
          <w:b/>
          <w:bCs/>
          <w:color w:val="auto"/>
          <w:spacing w:val="-6"/>
          <w:szCs w:val="21"/>
          <w:highlight w:val="none"/>
        </w:rPr>
        <w:t>供应商名称（公章）：</w:t>
      </w:r>
    </w:p>
    <w:p>
      <w:pPr>
        <w:adjustRightInd w:val="0"/>
        <w:snapToGrid w:val="0"/>
        <w:spacing w:line="360" w:lineRule="auto"/>
        <w:rPr>
          <w:rFonts w:ascii="仿宋" w:hAnsi="仿宋" w:eastAsia="仿宋" w:cs="仿宋"/>
          <w:b/>
          <w:bCs/>
          <w:color w:val="auto"/>
          <w:spacing w:val="-6"/>
          <w:szCs w:val="21"/>
          <w:highlight w:val="none"/>
        </w:rPr>
      </w:pPr>
      <w:r>
        <w:rPr>
          <w:rFonts w:hint="eastAsia" w:ascii="仿宋" w:hAnsi="仿宋" w:eastAsia="仿宋" w:cs="仿宋"/>
          <w:b/>
          <w:bCs/>
          <w:color w:val="auto"/>
          <w:spacing w:val="-6"/>
          <w:szCs w:val="21"/>
          <w:highlight w:val="none"/>
        </w:rPr>
        <w:t>供应商授权代表（签字）：</w:t>
      </w:r>
    </w:p>
    <w:p>
      <w:pPr>
        <w:adjustRightInd w:val="0"/>
        <w:snapToGrid w:val="0"/>
        <w:spacing w:line="360" w:lineRule="auto"/>
        <w:rPr>
          <w:rFonts w:ascii="仿宋" w:hAnsi="仿宋" w:eastAsia="仿宋" w:cs="仿宋"/>
          <w:b/>
          <w:bCs/>
          <w:color w:val="auto"/>
          <w:spacing w:val="-6"/>
          <w:szCs w:val="21"/>
          <w:highlight w:val="none"/>
        </w:rPr>
      </w:pPr>
      <w:r>
        <w:rPr>
          <w:rFonts w:hint="eastAsia" w:ascii="仿宋" w:hAnsi="仿宋" w:eastAsia="仿宋" w:cs="仿宋"/>
          <w:b/>
          <w:bCs/>
          <w:color w:val="auto"/>
          <w:spacing w:val="-6"/>
          <w:szCs w:val="21"/>
          <w:highlight w:val="none"/>
        </w:rPr>
        <w:t>日期：     年   月   日</w:t>
      </w:r>
    </w:p>
    <w:p>
      <w:pPr>
        <w:rPr>
          <w:rFonts w:ascii="仿宋" w:hAnsi="仿宋" w:eastAsia="仿宋" w:cs="仿宋"/>
          <w:b/>
          <w:bCs/>
          <w:color w:val="auto"/>
          <w:spacing w:val="-6"/>
          <w:szCs w:val="21"/>
          <w:highlight w:val="none"/>
        </w:rPr>
      </w:pPr>
      <w:r>
        <w:rPr>
          <w:rFonts w:hint="eastAsia" w:ascii="仿宋" w:hAnsi="仿宋" w:eastAsia="仿宋" w:cs="仿宋"/>
          <w:b/>
          <w:bCs/>
          <w:color w:val="auto"/>
          <w:spacing w:val="-6"/>
          <w:szCs w:val="21"/>
          <w:highlight w:val="none"/>
        </w:rPr>
        <w:br w:type="page"/>
      </w:r>
    </w:p>
    <w:p>
      <w:pPr>
        <w:adjustRightInd w:val="0"/>
        <w:snapToGrid w:val="0"/>
        <w:spacing w:line="288" w:lineRule="auto"/>
        <w:jc w:val="center"/>
        <w:rPr>
          <w:rFonts w:ascii="仿宋" w:hAnsi="仿宋" w:eastAsia="仿宋" w:cs="仿宋"/>
          <w:b/>
          <w:bCs/>
          <w:color w:val="auto"/>
          <w:sz w:val="84"/>
          <w:szCs w:val="84"/>
          <w:highlight w:val="none"/>
        </w:rPr>
      </w:pPr>
    </w:p>
    <w:p>
      <w:pPr>
        <w:adjustRightInd w:val="0"/>
        <w:snapToGrid w:val="0"/>
        <w:spacing w:line="288" w:lineRule="auto"/>
        <w:jc w:val="center"/>
        <w:rPr>
          <w:rFonts w:ascii="仿宋" w:hAnsi="仿宋" w:eastAsia="仿宋" w:cs="仿宋"/>
          <w:b/>
          <w:bCs/>
          <w:color w:val="auto"/>
          <w:sz w:val="84"/>
          <w:szCs w:val="84"/>
          <w:highlight w:val="none"/>
        </w:rPr>
      </w:pPr>
    </w:p>
    <w:p>
      <w:pPr>
        <w:adjustRightInd w:val="0"/>
        <w:snapToGrid w:val="0"/>
        <w:spacing w:line="288" w:lineRule="auto"/>
        <w:jc w:val="center"/>
        <w:rPr>
          <w:rFonts w:ascii="仿宋" w:hAnsi="仿宋" w:eastAsia="仿宋" w:cs="仿宋"/>
          <w:b/>
          <w:bCs/>
          <w:color w:val="auto"/>
          <w:sz w:val="84"/>
          <w:szCs w:val="84"/>
          <w:highlight w:val="none"/>
        </w:rPr>
      </w:pPr>
    </w:p>
    <w:p>
      <w:pPr>
        <w:adjustRightInd w:val="0"/>
        <w:snapToGrid w:val="0"/>
        <w:spacing w:line="288" w:lineRule="auto"/>
        <w:jc w:val="center"/>
        <w:rPr>
          <w:rFonts w:ascii="仿宋" w:hAnsi="仿宋" w:eastAsia="仿宋" w:cs="仿宋"/>
          <w:b/>
          <w:bCs/>
          <w:color w:val="auto"/>
          <w:sz w:val="84"/>
          <w:szCs w:val="84"/>
          <w:highlight w:val="none"/>
        </w:rPr>
      </w:pPr>
    </w:p>
    <w:p>
      <w:pPr>
        <w:pStyle w:val="12"/>
        <w:spacing w:line="360" w:lineRule="auto"/>
        <w:ind w:firstLine="0"/>
        <w:jc w:val="center"/>
        <w:outlineLvl w:val="1"/>
        <w:rPr>
          <w:rFonts w:ascii="仿宋" w:hAnsi="仿宋" w:eastAsia="仿宋" w:cs="仿宋"/>
          <w:b/>
          <w:bCs/>
          <w:color w:val="auto"/>
          <w:sz w:val="84"/>
          <w:szCs w:val="84"/>
          <w:highlight w:val="none"/>
        </w:rPr>
      </w:pPr>
      <w:r>
        <w:rPr>
          <w:rFonts w:hint="eastAsia" w:ascii="仿宋" w:hAnsi="仿宋" w:eastAsia="仿宋" w:cs="仿宋"/>
          <w:b/>
          <w:bCs/>
          <w:color w:val="auto"/>
          <w:sz w:val="84"/>
          <w:szCs w:val="84"/>
          <w:highlight w:val="none"/>
        </w:rPr>
        <w:t>报价文件</w:t>
      </w:r>
    </w:p>
    <w:p>
      <w:pPr>
        <w:pStyle w:val="12"/>
        <w:spacing w:line="360" w:lineRule="auto"/>
        <w:ind w:firstLine="0"/>
        <w:jc w:val="center"/>
        <w:rPr>
          <w:rFonts w:ascii="仿宋" w:hAnsi="仿宋" w:eastAsia="仿宋" w:cs="仿宋"/>
          <w:b/>
          <w:bCs/>
          <w:color w:val="auto"/>
          <w:sz w:val="84"/>
          <w:szCs w:val="84"/>
          <w:highlight w:val="none"/>
        </w:rPr>
      </w:pPr>
      <w:r>
        <w:rPr>
          <w:rFonts w:hint="eastAsia" w:ascii="仿宋" w:hAnsi="仿宋" w:eastAsia="仿宋" w:cs="仿宋"/>
          <w:b/>
          <w:bCs/>
          <w:color w:val="auto"/>
          <w:sz w:val="84"/>
          <w:szCs w:val="84"/>
          <w:highlight w:val="none"/>
        </w:rPr>
        <w:br w:type="page"/>
      </w:r>
    </w:p>
    <w:p>
      <w:pPr>
        <w:spacing w:line="360" w:lineRule="auto"/>
        <w:jc w:val="center"/>
        <w:outlineLvl w:val="2"/>
        <w:rPr>
          <w:rFonts w:ascii="仿宋" w:hAnsi="仿宋" w:eastAsia="仿宋" w:cs="仿宋"/>
          <w:b/>
          <w:color w:val="auto"/>
          <w:spacing w:val="-6"/>
          <w:sz w:val="24"/>
          <w:highlight w:val="none"/>
        </w:rPr>
      </w:pPr>
      <w:r>
        <w:rPr>
          <w:rFonts w:hint="eastAsia" w:ascii="仿宋" w:hAnsi="仿宋" w:eastAsia="仿宋" w:cs="仿宋"/>
          <w:b/>
          <w:color w:val="auto"/>
          <w:spacing w:val="-6"/>
          <w:sz w:val="24"/>
          <w:highlight w:val="none"/>
        </w:rPr>
        <w:t>初次报价一览表</w:t>
      </w:r>
    </w:p>
    <w:p>
      <w:pPr>
        <w:spacing w:line="360" w:lineRule="auto"/>
        <w:rPr>
          <w:rFonts w:ascii="仿宋" w:hAnsi="仿宋" w:eastAsia="仿宋" w:cs="仿宋"/>
          <w:bCs/>
          <w:color w:val="auto"/>
          <w:spacing w:val="-6"/>
          <w:szCs w:val="21"/>
          <w:highlight w:val="none"/>
        </w:rPr>
      </w:pPr>
      <w:r>
        <w:rPr>
          <w:rFonts w:hint="eastAsia" w:ascii="仿宋" w:hAnsi="仿宋" w:eastAsia="仿宋" w:cs="仿宋"/>
          <w:bCs/>
          <w:color w:val="auto"/>
          <w:spacing w:val="-6"/>
          <w:szCs w:val="21"/>
          <w:highlight w:val="none"/>
        </w:rPr>
        <w:t>采 购 人：之江实验室</w:t>
      </w:r>
    </w:p>
    <w:p>
      <w:pPr>
        <w:spacing w:line="360" w:lineRule="auto"/>
        <w:rPr>
          <w:rFonts w:hint="eastAsia" w:ascii="仿宋" w:hAnsi="仿宋" w:eastAsia="仿宋" w:cs="仿宋"/>
          <w:color w:val="auto"/>
          <w:spacing w:val="-6"/>
          <w:szCs w:val="21"/>
          <w:highlight w:val="none"/>
          <w:lang w:eastAsia="zh-CN"/>
        </w:rPr>
      </w:pPr>
      <w:r>
        <w:rPr>
          <w:rFonts w:hint="eastAsia" w:ascii="仿宋" w:hAnsi="仿宋" w:eastAsia="仿宋" w:cs="仿宋"/>
          <w:bCs/>
          <w:color w:val="auto"/>
          <w:spacing w:val="-6"/>
          <w:szCs w:val="21"/>
          <w:highlight w:val="none"/>
        </w:rPr>
        <w:t>项目名称：</w:t>
      </w:r>
      <w:r>
        <w:rPr>
          <w:rFonts w:hint="eastAsia" w:ascii="仿宋" w:hAnsi="仿宋" w:eastAsia="仿宋" w:cs="仿宋"/>
          <w:bCs/>
          <w:color w:val="auto"/>
          <w:spacing w:val="-6"/>
          <w:szCs w:val="21"/>
          <w:highlight w:val="none"/>
          <w:lang w:eastAsia="zh-CN"/>
        </w:rPr>
        <w:t>算力中心展厅展陈</w:t>
      </w:r>
    </w:p>
    <w:p>
      <w:pPr>
        <w:spacing w:line="360" w:lineRule="auto"/>
        <w:rPr>
          <w:rFonts w:hint="eastAsia" w:ascii="仿宋" w:hAnsi="仿宋" w:eastAsia="仿宋" w:cs="仿宋"/>
          <w:color w:val="auto"/>
          <w:spacing w:val="-6"/>
          <w:szCs w:val="21"/>
          <w:highlight w:val="none"/>
          <w:lang w:eastAsia="zh-CN"/>
        </w:rPr>
      </w:pPr>
      <w:r>
        <w:rPr>
          <w:rFonts w:hint="eastAsia" w:ascii="仿宋" w:hAnsi="仿宋" w:eastAsia="仿宋" w:cs="仿宋"/>
          <w:color w:val="auto"/>
          <w:spacing w:val="-6"/>
          <w:szCs w:val="21"/>
          <w:highlight w:val="none"/>
        </w:rPr>
        <w:t>项目编号：</w:t>
      </w:r>
      <w:r>
        <w:rPr>
          <w:rFonts w:hint="eastAsia" w:ascii="仿宋" w:hAnsi="仿宋" w:eastAsia="仿宋" w:cs="仿宋"/>
          <w:color w:val="auto"/>
          <w:spacing w:val="-6"/>
          <w:szCs w:val="21"/>
          <w:highlight w:val="none"/>
          <w:lang w:eastAsia="zh-CN"/>
        </w:rPr>
        <w:t>ZJLAB-JZ-CS2024011</w:t>
      </w:r>
    </w:p>
    <w:tbl>
      <w:tblPr>
        <w:tblStyle w:val="27"/>
        <w:tblW w:w="962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7"/>
        <w:gridCol w:w="1785"/>
        <w:gridCol w:w="688"/>
        <w:gridCol w:w="1652"/>
        <w:gridCol w:w="734"/>
        <w:gridCol w:w="981"/>
        <w:gridCol w:w="1285"/>
        <w:gridCol w:w="1808"/>
        <w:gridCol w:w="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340" w:hRule="atLeast"/>
          <w:jc w:val="center"/>
        </w:trPr>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highlight w:val="none"/>
              </w:rPr>
            </w:pPr>
            <w:r>
              <w:rPr>
                <w:rFonts w:hint="eastAsia" w:ascii="仿宋" w:hAnsi="仿宋" w:eastAsia="仿宋" w:cs="仿宋"/>
                <w:b/>
                <w:bCs/>
                <w:color w:val="auto"/>
                <w:highlight w:val="none"/>
              </w:rPr>
              <w:t>序号</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highlight w:val="none"/>
              </w:rPr>
            </w:pPr>
            <w:r>
              <w:rPr>
                <w:rFonts w:hint="eastAsia" w:ascii="仿宋" w:hAnsi="仿宋" w:eastAsia="仿宋" w:cs="仿宋"/>
                <w:b/>
                <w:bCs/>
                <w:color w:val="auto"/>
                <w:highlight w:val="none"/>
              </w:rPr>
              <w:t>名称</w:t>
            </w:r>
          </w:p>
        </w:tc>
        <w:tc>
          <w:tcPr>
            <w:tcW w:w="68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highlight w:val="none"/>
              </w:rPr>
            </w:pPr>
            <w:r>
              <w:rPr>
                <w:rFonts w:hint="eastAsia" w:ascii="仿宋" w:hAnsi="仿宋" w:eastAsia="仿宋" w:cs="仿宋"/>
                <w:b/>
                <w:bCs/>
                <w:color w:val="auto"/>
                <w:highlight w:val="none"/>
              </w:rPr>
              <w:t>品牌</w:t>
            </w:r>
          </w:p>
        </w:tc>
        <w:tc>
          <w:tcPr>
            <w:tcW w:w="165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highlight w:val="none"/>
              </w:rPr>
            </w:pPr>
            <w:r>
              <w:rPr>
                <w:rFonts w:hint="eastAsia" w:ascii="仿宋" w:hAnsi="仿宋" w:eastAsia="仿宋" w:cs="仿宋"/>
                <w:b/>
                <w:bCs/>
                <w:color w:val="auto"/>
                <w:highlight w:val="none"/>
              </w:rPr>
              <w:t>规格型号</w:t>
            </w:r>
          </w:p>
        </w:tc>
        <w:tc>
          <w:tcPr>
            <w:tcW w:w="73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highlight w:val="none"/>
              </w:rPr>
            </w:pPr>
            <w:r>
              <w:rPr>
                <w:rFonts w:hint="eastAsia" w:ascii="仿宋" w:hAnsi="仿宋" w:eastAsia="仿宋" w:cs="仿宋"/>
                <w:b/>
                <w:bCs/>
                <w:color w:val="auto"/>
                <w:highlight w:val="none"/>
              </w:rPr>
              <w:t>产地</w:t>
            </w:r>
          </w:p>
        </w:tc>
        <w:tc>
          <w:tcPr>
            <w:tcW w:w="98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highlight w:val="none"/>
              </w:rPr>
            </w:pPr>
            <w:r>
              <w:rPr>
                <w:rFonts w:hint="eastAsia" w:ascii="仿宋" w:hAnsi="仿宋" w:eastAsia="仿宋" w:cs="仿宋"/>
                <w:b/>
                <w:bCs/>
                <w:color w:val="auto"/>
                <w:highlight w:val="none"/>
              </w:rPr>
              <w:t>数量</w:t>
            </w: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highlight w:val="none"/>
              </w:rPr>
            </w:pPr>
            <w:r>
              <w:rPr>
                <w:rFonts w:hint="eastAsia" w:ascii="仿宋" w:hAnsi="仿宋" w:eastAsia="仿宋" w:cs="仿宋"/>
                <w:b/>
                <w:bCs/>
                <w:color w:val="auto"/>
                <w:highlight w:val="none"/>
              </w:rPr>
              <w:t>单价（元）</w:t>
            </w:r>
          </w:p>
        </w:tc>
        <w:tc>
          <w:tcPr>
            <w:tcW w:w="18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highlight w:val="none"/>
              </w:rPr>
            </w:pPr>
            <w:r>
              <w:rPr>
                <w:rFonts w:hint="eastAsia" w:ascii="仿宋" w:hAnsi="仿宋" w:eastAsia="仿宋" w:cs="仿宋"/>
                <w:b/>
                <w:bCs/>
                <w:color w:val="auto"/>
                <w:highlight w:val="none"/>
              </w:rPr>
              <w:t>金额（元）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340" w:hRule="atLeast"/>
          <w:jc w:val="center"/>
        </w:trPr>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highlight w:val="none"/>
              </w:rPr>
            </w:pP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highlight w:val="none"/>
              </w:rPr>
            </w:pPr>
          </w:p>
        </w:tc>
        <w:tc>
          <w:tcPr>
            <w:tcW w:w="68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highlight w:val="none"/>
              </w:rPr>
            </w:pPr>
          </w:p>
        </w:tc>
        <w:tc>
          <w:tcPr>
            <w:tcW w:w="165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highlight w:val="none"/>
              </w:rPr>
            </w:pPr>
          </w:p>
        </w:tc>
        <w:tc>
          <w:tcPr>
            <w:tcW w:w="73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highlight w:val="none"/>
              </w:rPr>
            </w:pPr>
          </w:p>
        </w:tc>
        <w:tc>
          <w:tcPr>
            <w:tcW w:w="98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highlight w:val="none"/>
              </w:rPr>
            </w:pP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highlight w:val="none"/>
              </w:rPr>
            </w:pPr>
          </w:p>
        </w:tc>
        <w:tc>
          <w:tcPr>
            <w:tcW w:w="18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340" w:hRule="atLeast"/>
          <w:jc w:val="center"/>
        </w:trPr>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highlight w:val="none"/>
              </w:rPr>
            </w:pP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highlight w:val="none"/>
              </w:rPr>
            </w:pPr>
          </w:p>
        </w:tc>
        <w:tc>
          <w:tcPr>
            <w:tcW w:w="68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highlight w:val="none"/>
              </w:rPr>
            </w:pPr>
          </w:p>
        </w:tc>
        <w:tc>
          <w:tcPr>
            <w:tcW w:w="165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highlight w:val="none"/>
              </w:rPr>
            </w:pPr>
          </w:p>
        </w:tc>
        <w:tc>
          <w:tcPr>
            <w:tcW w:w="73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highlight w:val="none"/>
              </w:rPr>
            </w:pPr>
          </w:p>
        </w:tc>
        <w:tc>
          <w:tcPr>
            <w:tcW w:w="98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highlight w:val="none"/>
              </w:rPr>
            </w:pP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highlight w:val="none"/>
              </w:rPr>
            </w:pPr>
          </w:p>
        </w:tc>
        <w:tc>
          <w:tcPr>
            <w:tcW w:w="18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340" w:hRule="atLeast"/>
          <w:jc w:val="center"/>
        </w:trPr>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highlight w:val="none"/>
              </w:rPr>
            </w:pP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highlight w:val="none"/>
              </w:rPr>
            </w:pPr>
          </w:p>
        </w:tc>
        <w:tc>
          <w:tcPr>
            <w:tcW w:w="68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highlight w:val="none"/>
              </w:rPr>
            </w:pPr>
          </w:p>
        </w:tc>
        <w:tc>
          <w:tcPr>
            <w:tcW w:w="165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highlight w:val="none"/>
              </w:rPr>
            </w:pPr>
          </w:p>
        </w:tc>
        <w:tc>
          <w:tcPr>
            <w:tcW w:w="73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highlight w:val="none"/>
              </w:rPr>
            </w:pPr>
          </w:p>
        </w:tc>
        <w:tc>
          <w:tcPr>
            <w:tcW w:w="98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highlight w:val="none"/>
              </w:rPr>
            </w:pP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highlight w:val="none"/>
              </w:rPr>
            </w:pPr>
          </w:p>
        </w:tc>
        <w:tc>
          <w:tcPr>
            <w:tcW w:w="18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340" w:hRule="atLeast"/>
          <w:jc w:val="center"/>
        </w:trPr>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highlight w:val="none"/>
              </w:rPr>
            </w:pP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highlight w:val="none"/>
              </w:rPr>
            </w:pPr>
          </w:p>
        </w:tc>
        <w:tc>
          <w:tcPr>
            <w:tcW w:w="68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highlight w:val="none"/>
              </w:rPr>
            </w:pPr>
          </w:p>
        </w:tc>
        <w:tc>
          <w:tcPr>
            <w:tcW w:w="165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highlight w:val="none"/>
              </w:rPr>
            </w:pPr>
          </w:p>
        </w:tc>
        <w:tc>
          <w:tcPr>
            <w:tcW w:w="73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highlight w:val="none"/>
              </w:rPr>
            </w:pPr>
          </w:p>
        </w:tc>
        <w:tc>
          <w:tcPr>
            <w:tcW w:w="98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highlight w:val="none"/>
              </w:rPr>
            </w:pP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highlight w:val="none"/>
              </w:rPr>
            </w:pPr>
          </w:p>
        </w:tc>
        <w:tc>
          <w:tcPr>
            <w:tcW w:w="18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340" w:hRule="atLeast"/>
          <w:jc w:val="center"/>
        </w:trPr>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highlight w:val="none"/>
              </w:rPr>
            </w:pP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highlight w:val="none"/>
              </w:rPr>
            </w:pPr>
          </w:p>
        </w:tc>
        <w:tc>
          <w:tcPr>
            <w:tcW w:w="68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highlight w:val="none"/>
              </w:rPr>
            </w:pPr>
          </w:p>
        </w:tc>
        <w:tc>
          <w:tcPr>
            <w:tcW w:w="165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highlight w:val="none"/>
              </w:rPr>
            </w:pPr>
          </w:p>
        </w:tc>
        <w:tc>
          <w:tcPr>
            <w:tcW w:w="73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highlight w:val="none"/>
              </w:rPr>
            </w:pPr>
          </w:p>
        </w:tc>
        <w:tc>
          <w:tcPr>
            <w:tcW w:w="98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highlight w:val="none"/>
              </w:rPr>
            </w:pP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highlight w:val="none"/>
              </w:rPr>
            </w:pPr>
          </w:p>
        </w:tc>
        <w:tc>
          <w:tcPr>
            <w:tcW w:w="18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9628"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仿宋" w:hAnsi="仿宋" w:eastAsia="仿宋" w:cs="仿宋"/>
                <w:b/>
                <w:bCs/>
                <w:color w:val="auto"/>
                <w:szCs w:val="21"/>
                <w:highlight w:val="none"/>
              </w:rPr>
            </w:pPr>
          </w:p>
          <w:p>
            <w:pPr>
              <w:adjustRightInd w:val="0"/>
              <w:snapToGrid w:val="0"/>
              <w:spacing w:line="288" w:lineRule="auto"/>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响应总价（人民币元）</w:t>
            </w:r>
          </w:p>
          <w:p>
            <w:pPr>
              <w:adjustRightInd w:val="0"/>
              <w:snapToGrid w:val="0"/>
              <w:spacing w:line="288" w:lineRule="auto"/>
              <w:rPr>
                <w:rFonts w:ascii="仿宋" w:hAnsi="仿宋" w:eastAsia="仿宋" w:cs="仿宋"/>
                <w:b/>
                <w:bCs/>
                <w:color w:val="auto"/>
                <w:szCs w:val="21"/>
                <w:highlight w:val="none"/>
              </w:rPr>
            </w:pPr>
          </w:p>
          <w:p>
            <w:pPr>
              <w:adjustRightInd w:val="0"/>
              <w:snapToGrid w:val="0"/>
              <w:spacing w:line="288" w:lineRule="auto"/>
              <w:rPr>
                <w:rFonts w:ascii="仿宋" w:hAnsi="仿宋" w:eastAsia="仿宋" w:cs="仿宋"/>
                <w:b/>
                <w:bCs/>
                <w:color w:val="auto"/>
                <w:szCs w:val="21"/>
                <w:highlight w:val="none"/>
              </w:rPr>
            </w:pPr>
            <w:r>
              <w:rPr>
                <w:rFonts w:hint="eastAsia" w:ascii="仿宋" w:hAnsi="仿宋" w:eastAsia="仿宋" w:cs="仿宋"/>
                <w:b/>
                <w:bCs/>
                <w:color w:val="auto"/>
                <w:szCs w:val="21"/>
                <w:highlight w:val="none"/>
              </w:rPr>
              <w:t>小写：_________________________</w:t>
            </w:r>
          </w:p>
          <w:p>
            <w:pPr>
              <w:adjustRightInd w:val="0"/>
              <w:snapToGrid w:val="0"/>
              <w:spacing w:line="288" w:lineRule="auto"/>
              <w:rPr>
                <w:rFonts w:ascii="仿宋" w:hAnsi="仿宋" w:eastAsia="仿宋" w:cs="仿宋"/>
                <w:b/>
                <w:bCs/>
                <w:color w:val="auto"/>
                <w:szCs w:val="21"/>
                <w:highlight w:val="none"/>
              </w:rPr>
            </w:pPr>
          </w:p>
          <w:p>
            <w:pPr>
              <w:adjustRightInd w:val="0"/>
              <w:snapToGrid w:val="0"/>
              <w:spacing w:line="288" w:lineRule="auto"/>
              <w:rPr>
                <w:rFonts w:ascii="仿宋" w:hAnsi="仿宋" w:eastAsia="仿宋" w:cs="仿宋"/>
                <w:b/>
                <w:bCs/>
                <w:color w:val="auto"/>
                <w:szCs w:val="21"/>
                <w:highlight w:val="none"/>
              </w:rPr>
            </w:pPr>
            <w:r>
              <w:rPr>
                <w:rFonts w:hint="eastAsia" w:ascii="仿宋" w:hAnsi="仿宋" w:eastAsia="仿宋" w:cs="仿宋"/>
                <w:b/>
                <w:bCs/>
                <w:color w:val="auto"/>
                <w:szCs w:val="21"/>
                <w:highlight w:val="none"/>
              </w:rPr>
              <w:t>大写：_________________________</w:t>
            </w:r>
          </w:p>
          <w:p>
            <w:pPr>
              <w:adjustRightInd w:val="0"/>
              <w:snapToGrid w:val="0"/>
              <w:spacing w:line="288" w:lineRule="auto"/>
              <w:rPr>
                <w:rFonts w:ascii="仿宋" w:hAnsi="仿宋" w:eastAsia="仿宋" w:cs="仿宋"/>
                <w:b/>
                <w:bCs/>
                <w:color w:val="auto"/>
                <w:szCs w:val="21"/>
                <w:highlight w:val="none"/>
              </w:rPr>
            </w:pPr>
          </w:p>
        </w:tc>
      </w:tr>
    </w:tbl>
    <w:p>
      <w:pPr>
        <w:adjustRightInd w:val="0"/>
        <w:snapToGrid w:val="0"/>
        <w:spacing w:line="360" w:lineRule="auto"/>
        <w:rPr>
          <w:rFonts w:ascii="仿宋" w:hAnsi="仿宋" w:eastAsia="仿宋" w:cs="仿宋"/>
          <w:color w:val="auto"/>
          <w:spacing w:val="-6"/>
          <w:szCs w:val="21"/>
          <w:highlight w:val="none"/>
        </w:rPr>
      </w:pPr>
    </w:p>
    <w:p>
      <w:pPr>
        <w:adjustRightInd w:val="0"/>
        <w:snapToGrid w:val="0"/>
        <w:spacing w:line="360" w:lineRule="auto"/>
        <w:rPr>
          <w:rFonts w:ascii="仿宋" w:hAnsi="仿宋" w:eastAsia="仿宋" w:cs="仿宋"/>
          <w:b/>
          <w:bCs/>
          <w:color w:val="auto"/>
          <w:spacing w:val="-6"/>
          <w:sz w:val="18"/>
          <w:szCs w:val="18"/>
          <w:highlight w:val="none"/>
        </w:rPr>
      </w:pPr>
      <w:r>
        <w:rPr>
          <w:rFonts w:hint="eastAsia" w:ascii="仿宋" w:hAnsi="仿宋" w:eastAsia="仿宋" w:cs="仿宋"/>
          <w:b/>
          <w:bCs/>
          <w:color w:val="auto"/>
          <w:spacing w:val="-6"/>
          <w:sz w:val="18"/>
          <w:szCs w:val="18"/>
          <w:highlight w:val="none"/>
        </w:rPr>
        <w:t>说明：</w:t>
      </w:r>
    </w:p>
    <w:p>
      <w:pPr>
        <w:adjustRightInd w:val="0"/>
        <w:snapToGrid w:val="0"/>
        <w:spacing w:line="360" w:lineRule="auto"/>
        <w:rPr>
          <w:rFonts w:ascii="仿宋" w:hAnsi="仿宋" w:eastAsia="仿宋" w:cs="仿宋"/>
          <w:b/>
          <w:bCs/>
          <w:color w:val="auto"/>
          <w:spacing w:val="-6"/>
          <w:sz w:val="18"/>
          <w:szCs w:val="18"/>
          <w:highlight w:val="none"/>
        </w:rPr>
      </w:pPr>
      <w:r>
        <w:rPr>
          <w:rFonts w:hint="eastAsia" w:ascii="仿宋" w:hAnsi="仿宋" w:eastAsia="仿宋" w:cs="仿宋"/>
          <w:b/>
          <w:bCs/>
          <w:color w:val="auto"/>
          <w:spacing w:val="-6"/>
          <w:sz w:val="18"/>
          <w:szCs w:val="18"/>
          <w:highlight w:val="none"/>
        </w:rPr>
        <w:t>1.此表在不改变格式要求的情况下可自行增行；</w:t>
      </w:r>
    </w:p>
    <w:p>
      <w:pPr>
        <w:adjustRightInd w:val="0"/>
        <w:snapToGrid w:val="0"/>
        <w:spacing w:line="360" w:lineRule="auto"/>
        <w:jc w:val="left"/>
        <w:rPr>
          <w:rFonts w:ascii="仿宋" w:hAnsi="仿宋" w:eastAsia="仿宋" w:cs="仿宋"/>
          <w:b/>
          <w:bCs/>
          <w:color w:val="auto"/>
          <w:spacing w:val="-6"/>
          <w:sz w:val="18"/>
          <w:szCs w:val="18"/>
          <w:highlight w:val="none"/>
        </w:rPr>
      </w:pPr>
      <w:r>
        <w:rPr>
          <w:rFonts w:hint="eastAsia" w:ascii="仿宋" w:hAnsi="仿宋" w:eastAsia="仿宋" w:cs="仿宋"/>
          <w:b/>
          <w:bCs/>
          <w:color w:val="auto"/>
          <w:spacing w:val="-6"/>
          <w:sz w:val="18"/>
          <w:szCs w:val="18"/>
          <w:highlight w:val="none"/>
        </w:rPr>
        <w:t>2.有关本项目实施所涉及的一切费用均计入报价；</w:t>
      </w:r>
    </w:p>
    <w:p>
      <w:pPr>
        <w:pStyle w:val="12"/>
        <w:spacing w:line="360" w:lineRule="auto"/>
        <w:ind w:firstLine="0"/>
        <w:rPr>
          <w:rFonts w:ascii="仿宋" w:hAnsi="仿宋" w:eastAsia="仿宋" w:cs="仿宋"/>
          <w:b/>
          <w:bCs/>
          <w:color w:val="auto"/>
          <w:szCs w:val="18"/>
          <w:highlight w:val="none"/>
        </w:rPr>
      </w:pPr>
      <w:r>
        <w:rPr>
          <w:rFonts w:hint="eastAsia" w:ascii="仿宋" w:hAnsi="仿宋" w:eastAsia="仿宋" w:cs="仿宋"/>
          <w:b/>
          <w:bCs/>
          <w:color w:val="auto"/>
          <w:spacing w:val="-6"/>
          <w:szCs w:val="18"/>
          <w:highlight w:val="none"/>
        </w:rPr>
        <w:t>3.以上表格要求细分项目及报价。</w:t>
      </w:r>
    </w:p>
    <w:p>
      <w:pPr>
        <w:adjustRightInd w:val="0"/>
        <w:snapToGrid w:val="0"/>
        <w:spacing w:line="360" w:lineRule="auto"/>
        <w:rPr>
          <w:rFonts w:ascii="仿宋" w:hAnsi="仿宋" w:eastAsia="仿宋" w:cs="仿宋"/>
          <w:color w:val="auto"/>
          <w:szCs w:val="21"/>
          <w:highlight w:val="none"/>
        </w:rPr>
      </w:pPr>
    </w:p>
    <w:p>
      <w:pPr>
        <w:adjustRightInd w:val="0"/>
        <w:snapToGrid w:val="0"/>
        <w:spacing w:line="360" w:lineRule="auto"/>
        <w:rPr>
          <w:rFonts w:ascii="仿宋" w:hAnsi="仿宋" w:eastAsia="仿宋" w:cs="仿宋"/>
          <w:b/>
          <w:bCs/>
          <w:color w:val="auto"/>
          <w:spacing w:val="-6"/>
          <w:szCs w:val="21"/>
          <w:highlight w:val="none"/>
        </w:rPr>
      </w:pPr>
    </w:p>
    <w:p>
      <w:pPr>
        <w:adjustRightInd w:val="0"/>
        <w:snapToGrid w:val="0"/>
        <w:spacing w:line="360" w:lineRule="auto"/>
        <w:rPr>
          <w:rFonts w:ascii="仿宋" w:hAnsi="仿宋" w:eastAsia="仿宋" w:cs="仿宋"/>
          <w:b/>
          <w:bCs/>
          <w:color w:val="auto"/>
          <w:spacing w:val="-6"/>
          <w:szCs w:val="21"/>
          <w:highlight w:val="none"/>
        </w:rPr>
      </w:pPr>
    </w:p>
    <w:p>
      <w:pPr>
        <w:adjustRightInd w:val="0"/>
        <w:snapToGrid w:val="0"/>
        <w:spacing w:line="360" w:lineRule="auto"/>
        <w:rPr>
          <w:rFonts w:ascii="仿宋" w:hAnsi="仿宋" w:eastAsia="仿宋" w:cs="仿宋"/>
          <w:b/>
          <w:bCs/>
          <w:color w:val="auto"/>
          <w:spacing w:val="-6"/>
          <w:szCs w:val="21"/>
          <w:highlight w:val="none"/>
        </w:rPr>
      </w:pPr>
      <w:r>
        <w:rPr>
          <w:rFonts w:hint="eastAsia" w:ascii="仿宋" w:hAnsi="仿宋" w:eastAsia="仿宋" w:cs="仿宋"/>
          <w:b/>
          <w:bCs/>
          <w:color w:val="auto"/>
          <w:spacing w:val="-6"/>
          <w:szCs w:val="21"/>
          <w:highlight w:val="none"/>
        </w:rPr>
        <w:t>供应商名称（公章）：</w:t>
      </w:r>
    </w:p>
    <w:p>
      <w:pPr>
        <w:adjustRightInd w:val="0"/>
        <w:snapToGrid w:val="0"/>
        <w:spacing w:line="360" w:lineRule="auto"/>
        <w:rPr>
          <w:rFonts w:ascii="仿宋" w:hAnsi="仿宋" w:eastAsia="仿宋" w:cs="仿宋"/>
          <w:b/>
          <w:bCs/>
          <w:color w:val="auto"/>
          <w:spacing w:val="-6"/>
          <w:szCs w:val="21"/>
          <w:highlight w:val="none"/>
        </w:rPr>
      </w:pPr>
      <w:r>
        <w:rPr>
          <w:rFonts w:hint="eastAsia" w:ascii="仿宋" w:hAnsi="仿宋" w:eastAsia="仿宋" w:cs="仿宋"/>
          <w:b/>
          <w:bCs/>
          <w:color w:val="auto"/>
          <w:spacing w:val="-6"/>
          <w:szCs w:val="21"/>
          <w:highlight w:val="none"/>
        </w:rPr>
        <w:t>供应商授权代表（签字）：</w:t>
      </w:r>
    </w:p>
    <w:p>
      <w:pPr>
        <w:adjustRightInd w:val="0"/>
        <w:snapToGrid w:val="0"/>
        <w:spacing w:line="360" w:lineRule="auto"/>
        <w:rPr>
          <w:rFonts w:ascii="仿宋" w:hAnsi="仿宋" w:eastAsia="仿宋" w:cs="仿宋"/>
          <w:b/>
          <w:bCs/>
          <w:color w:val="auto"/>
          <w:spacing w:val="-6"/>
          <w:szCs w:val="21"/>
          <w:highlight w:val="none"/>
        </w:rPr>
      </w:pPr>
      <w:r>
        <w:rPr>
          <w:rFonts w:hint="eastAsia" w:ascii="仿宋" w:hAnsi="仿宋" w:eastAsia="仿宋" w:cs="仿宋"/>
          <w:b/>
          <w:bCs/>
          <w:color w:val="auto"/>
          <w:spacing w:val="-6"/>
          <w:szCs w:val="21"/>
          <w:highlight w:val="none"/>
        </w:rPr>
        <w:t>日期：     年   月   日</w:t>
      </w:r>
    </w:p>
    <w:p>
      <w:pPr>
        <w:adjustRightInd w:val="0"/>
        <w:snapToGrid w:val="0"/>
        <w:spacing w:line="360" w:lineRule="auto"/>
        <w:rPr>
          <w:rFonts w:ascii="仿宋" w:hAnsi="仿宋" w:eastAsia="仿宋" w:cs="仿宋"/>
          <w:b/>
          <w:bCs/>
          <w:color w:val="auto"/>
          <w:spacing w:val="-6"/>
          <w:szCs w:val="21"/>
          <w:highlight w:val="none"/>
        </w:rPr>
      </w:pPr>
      <w:r>
        <w:rPr>
          <w:rFonts w:hint="eastAsia" w:ascii="仿宋" w:hAnsi="仿宋" w:eastAsia="仿宋" w:cs="仿宋"/>
          <w:b/>
          <w:bCs/>
          <w:color w:val="auto"/>
          <w:spacing w:val="-6"/>
          <w:szCs w:val="21"/>
          <w:highlight w:val="none"/>
        </w:rPr>
        <w:br w:type="page"/>
      </w:r>
    </w:p>
    <w:p>
      <w:pPr>
        <w:spacing w:line="360" w:lineRule="auto"/>
        <w:jc w:val="center"/>
        <w:outlineLvl w:val="2"/>
        <w:rPr>
          <w:rFonts w:ascii="仿宋" w:hAnsi="仿宋" w:eastAsia="仿宋" w:cs="仿宋"/>
          <w:b/>
          <w:color w:val="auto"/>
          <w:spacing w:val="-6"/>
          <w:sz w:val="24"/>
          <w:highlight w:val="none"/>
        </w:rPr>
      </w:pPr>
      <w:r>
        <w:rPr>
          <w:rFonts w:hint="eastAsia" w:ascii="仿宋" w:hAnsi="仿宋" w:eastAsia="仿宋" w:cs="仿宋"/>
          <w:b/>
          <w:color w:val="auto"/>
          <w:spacing w:val="-6"/>
          <w:sz w:val="24"/>
          <w:highlight w:val="none"/>
        </w:rPr>
        <w:t>中小企业声明函</w:t>
      </w:r>
    </w:p>
    <w:p>
      <w:pPr>
        <w:adjustRightInd w:val="0"/>
        <w:snapToGrid w:val="0"/>
        <w:spacing w:line="360" w:lineRule="auto"/>
        <w:jc w:val="center"/>
        <w:rPr>
          <w:rFonts w:ascii="仿宋" w:hAnsi="仿宋" w:eastAsia="仿宋" w:cs="仿宋"/>
          <w:b/>
          <w:color w:val="auto"/>
          <w:sz w:val="18"/>
          <w:szCs w:val="18"/>
          <w:highlight w:val="none"/>
        </w:rPr>
      </w:pPr>
      <w:r>
        <w:rPr>
          <w:rFonts w:hint="eastAsia" w:ascii="仿宋" w:hAnsi="仿宋" w:eastAsia="仿宋" w:cs="仿宋"/>
          <w:b/>
          <w:color w:val="auto"/>
          <w:spacing w:val="-6"/>
          <w:sz w:val="18"/>
          <w:szCs w:val="18"/>
          <w:highlight w:val="none"/>
        </w:rPr>
        <w:t>（若属于中小企业）</w:t>
      </w:r>
    </w:p>
    <w:p>
      <w:pPr>
        <w:adjustRightInd w:val="0"/>
        <w:snapToGrid w:val="0"/>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本公司郑重声明，根据《政府采购促进中小企业发展管理办法》（财库[2020]46号）的规定，本公司参加</w:t>
      </w:r>
      <w:r>
        <w:rPr>
          <w:rFonts w:hint="eastAsia" w:ascii="仿宋" w:hAnsi="仿宋" w:eastAsia="仿宋" w:cs="仿宋"/>
          <w:bCs/>
          <w:color w:val="auto"/>
          <w:spacing w:val="-6"/>
          <w:szCs w:val="21"/>
          <w:highlight w:val="none"/>
        </w:rPr>
        <w:t>之江实验室</w:t>
      </w:r>
      <w:r>
        <w:rPr>
          <w:rFonts w:hint="eastAsia" w:ascii="仿宋" w:hAnsi="仿宋" w:eastAsia="仿宋" w:cs="仿宋"/>
          <w:color w:val="auto"/>
          <w:szCs w:val="21"/>
          <w:highlight w:val="none"/>
        </w:rPr>
        <w:t>的</w:t>
      </w:r>
      <w:r>
        <w:rPr>
          <w:rFonts w:hint="eastAsia" w:ascii="仿宋" w:hAnsi="仿宋" w:eastAsia="仿宋" w:cs="仿宋"/>
          <w:bCs/>
          <w:color w:val="auto"/>
          <w:spacing w:val="-6"/>
          <w:szCs w:val="21"/>
          <w:highlight w:val="none"/>
          <w:lang w:eastAsia="zh-CN"/>
        </w:rPr>
        <w:t>算力中心展厅展陈</w:t>
      </w:r>
      <w:r>
        <w:rPr>
          <w:rFonts w:hint="eastAsia" w:ascii="仿宋" w:hAnsi="仿宋" w:eastAsia="仿宋" w:cs="仿宋"/>
          <w:color w:val="auto"/>
          <w:szCs w:val="21"/>
          <w:highlight w:val="none"/>
        </w:rPr>
        <w:t>采购活动，提供的货物全部由符合政策要求的中小企业制造。相关企业的具体情况如下：</w:t>
      </w:r>
    </w:p>
    <w:p>
      <w:pPr>
        <w:adjustRightInd w:val="0"/>
        <w:snapToGrid w:val="0"/>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1.</w:t>
      </w:r>
      <w:r>
        <w:rPr>
          <w:rFonts w:hint="eastAsia" w:ascii="仿宋" w:hAnsi="仿宋" w:eastAsia="仿宋" w:cs="仿宋"/>
          <w:color w:val="auto"/>
          <w:szCs w:val="21"/>
          <w:highlight w:val="none"/>
          <w:u w:val="single"/>
        </w:rPr>
        <w:t xml:space="preserve">              </w:t>
      </w:r>
      <w:r>
        <w:rPr>
          <w:rFonts w:hint="eastAsia" w:ascii="仿宋" w:hAnsi="仿宋" w:eastAsia="仿宋" w:cs="仿宋"/>
          <w:b/>
          <w:bCs/>
          <w:color w:val="auto"/>
          <w:szCs w:val="21"/>
          <w:highlight w:val="none"/>
        </w:rPr>
        <w:t>（标的名称）</w:t>
      </w:r>
      <w:r>
        <w:rPr>
          <w:rFonts w:hint="eastAsia" w:ascii="仿宋" w:hAnsi="仿宋" w:eastAsia="仿宋" w:cs="仿宋"/>
          <w:color w:val="auto"/>
          <w:szCs w:val="21"/>
          <w:highlight w:val="none"/>
        </w:rPr>
        <w:t>，属于工业；制造商为</w:t>
      </w:r>
      <w:r>
        <w:rPr>
          <w:rFonts w:hint="eastAsia" w:ascii="仿宋" w:hAnsi="仿宋" w:eastAsia="仿宋" w:cs="仿宋"/>
          <w:color w:val="auto"/>
          <w:szCs w:val="21"/>
          <w:highlight w:val="none"/>
          <w:u w:val="single"/>
        </w:rPr>
        <w:t xml:space="preserve">              </w:t>
      </w:r>
      <w:r>
        <w:rPr>
          <w:rFonts w:hint="eastAsia" w:ascii="仿宋" w:hAnsi="仿宋" w:eastAsia="仿宋" w:cs="仿宋"/>
          <w:b/>
          <w:bCs/>
          <w:color w:val="auto"/>
          <w:szCs w:val="21"/>
          <w:highlight w:val="none"/>
        </w:rPr>
        <w:t>（企业名称）</w:t>
      </w:r>
      <w:r>
        <w:rPr>
          <w:rFonts w:hint="eastAsia" w:ascii="仿宋" w:hAnsi="仿宋" w:eastAsia="仿宋" w:cs="仿宋"/>
          <w:color w:val="auto"/>
          <w:szCs w:val="21"/>
          <w:highlight w:val="none"/>
        </w:rPr>
        <w:t>，从业人员</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人，营业收入为</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万元，资产总额为</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万元，属于</w:t>
      </w:r>
      <w:r>
        <w:rPr>
          <w:rFonts w:hint="eastAsia" w:ascii="MS Gothic" w:hAnsi="MS Gothic" w:eastAsia="仿宋" w:cs="仿宋"/>
          <w:color w:val="auto"/>
          <w:kern w:val="0"/>
          <w:szCs w:val="21"/>
          <w:highlight w:val="none"/>
        </w:rPr>
        <w:t>☐</w:t>
      </w:r>
      <w:r>
        <w:rPr>
          <w:rFonts w:hint="eastAsia" w:ascii="仿宋" w:hAnsi="仿宋" w:eastAsia="仿宋" w:cs="仿宋"/>
          <w:iCs/>
          <w:color w:val="auto"/>
          <w:szCs w:val="21"/>
          <w:highlight w:val="none"/>
        </w:rPr>
        <w:t>中型企业</w:t>
      </w:r>
      <w:r>
        <w:rPr>
          <w:rFonts w:hint="eastAsia" w:ascii="仿宋" w:hAnsi="仿宋" w:eastAsia="仿宋" w:cs="仿宋"/>
          <w:color w:val="auto"/>
          <w:kern w:val="0"/>
          <w:szCs w:val="21"/>
          <w:highlight w:val="none"/>
        </w:rPr>
        <w:t>☐</w:t>
      </w:r>
      <w:r>
        <w:rPr>
          <w:rFonts w:hint="eastAsia" w:ascii="仿宋" w:hAnsi="仿宋" w:eastAsia="仿宋" w:cs="仿宋"/>
          <w:iCs/>
          <w:color w:val="auto"/>
          <w:szCs w:val="21"/>
          <w:highlight w:val="none"/>
        </w:rPr>
        <w:t>小型企业</w:t>
      </w:r>
      <w:r>
        <w:rPr>
          <w:rFonts w:hint="eastAsia" w:ascii="仿宋" w:hAnsi="仿宋" w:eastAsia="仿宋" w:cs="仿宋"/>
          <w:color w:val="auto"/>
          <w:kern w:val="0"/>
          <w:szCs w:val="21"/>
          <w:highlight w:val="none"/>
        </w:rPr>
        <w:t>☐</w:t>
      </w:r>
      <w:r>
        <w:rPr>
          <w:rFonts w:hint="eastAsia" w:ascii="仿宋" w:hAnsi="仿宋" w:eastAsia="仿宋" w:cs="仿宋"/>
          <w:iCs/>
          <w:color w:val="auto"/>
          <w:szCs w:val="21"/>
          <w:highlight w:val="none"/>
        </w:rPr>
        <w:t>微型企业</w:t>
      </w:r>
      <w:r>
        <w:rPr>
          <w:rFonts w:hint="eastAsia" w:ascii="仿宋" w:hAnsi="仿宋" w:eastAsia="仿宋" w:cs="仿宋"/>
          <w:b/>
          <w:bCs/>
          <w:iCs/>
          <w:color w:val="auto"/>
          <w:szCs w:val="21"/>
          <w:highlight w:val="none"/>
        </w:rPr>
        <w:t>（如实勾选）；</w:t>
      </w:r>
    </w:p>
    <w:p>
      <w:pPr>
        <w:adjustRightInd w:val="0"/>
        <w:snapToGrid w:val="0"/>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2.</w:t>
      </w:r>
      <w:r>
        <w:rPr>
          <w:rFonts w:hint="eastAsia" w:ascii="仿宋" w:hAnsi="仿宋" w:eastAsia="仿宋" w:cs="仿宋"/>
          <w:color w:val="auto"/>
          <w:szCs w:val="21"/>
          <w:highlight w:val="none"/>
          <w:u w:val="single"/>
        </w:rPr>
        <w:t xml:space="preserve">              </w:t>
      </w:r>
      <w:r>
        <w:rPr>
          <w:rFonts w:hint="eastAsia" w:ascii="仿宋" w:hAnsi="仿宋" w:eastAsia="仿宋" w:cs="仿宋"/>
          <w:b/>
          <w:bCs/>
          <w:color w:val="auto"/>
          <w:szCs w:val="21"/>
          <w:highlight w:val="none"/>
        </w:rPr>
        <w:t>（标的名称）</w:t>
      </w:r>
      <w:r>
        <w:rPr>
          <w:rFonts w:hint="eastAsia" w:ascii="仿宋" w:hAnsi="仿宋" w:eastAsia="仿宋" w:cs="仿宋"/>
          <w:color w:val="auto"/>
          <w:szCs w:val="21"/>
          <w:highlight w:val="none"/>
        </w:rPr>
        <w:t>，属于工业；制造商为</w:t>
      </w:r>
      <w:r>
        <w:rPr>
          <w:rFonts w:hint="eastAsia" w:ascii="仿宋" w:hAnsi="仿宋" w:eastAsia="仿宋" w:cs="仿宋"/>
          <w:color w:val="auto"/>
          <w:szCs w:val="21"/>
          <w:highlight w:val="none"/>
          <w:u w:val="single"/>
        </w:rPr>
        <w:t xml:space="preserve">              </w:t>
      </w:r>
      <w:r>
        <w:rPr>
          <w:rFonts w:hint="eastAsia" w:ascii="仿宋" w:hAnsi="仿宋" w:eastAsia="仿宋" w:cs="仿宋"/>
          <w:b/>
          <w:bCs/>
          <w:color w:val="auto"/>
          <w:szCs w:val="21"/>
          <w:highlight w:val="none"/>
        </w:rPr>
        <w:t>（企业名称）</w:t>
      </w:r>
      <w:r>
        <w:rPr>
          <w:rFonts w:hint="eastAsia" w:ascii="仿宋" w:hAnsi="仿宋" w:eastAsia="仿宋" w:cs="仿宋"/>
          <w:color w:val="auto"/>
          <w:szCs w:val="21"/>
          <w:highlight w:val="none"/>
        </w:rPr>
        <w:t>，从业人员</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人，营业收入为</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万元，资产总额为</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万元，属于</w:t>
      </w:r>
      <w:r>
        <w:rPr>
          <w:rFonts w:hint="eastAsia" w:ascii="MS Gothic" w:hAnsi="MS Gothic" w:eastAsia="仿宋" w:cs="仿宋"/>
          <w:color w:val="auto"/>
          <w:kern w:val="0"/>
          <w:szCs w:val="21"/>
          <w:highlight w:val="none"/>
        </w:rPr>
        <w:t>☐</w:t>
      </w:r>
      <w:r>
        <w:rPr>
          <w:rFonts w:hint="eastAsia" w:ascii="仿宋" w:hAnsi="仿宋" w:eastAsia="仿宋" w:cs="仿宋"/>
          <w:iCs/>
          <w:color w:val="auto"/>
          <w:szCs w:val="21"/>
          <w:highlight w:val="none"/>
        </w:rPr>
        <w:t>中型企业</w:t>
      </w:r>
      <w:r>
        <w:rPr>
          <w:rFonts w:hint="eastAsia" w:ascii="仿宋" w:hAnsi="仿宋" w:eastAsia="仿宋" w:cs="仿宋"/>
          <w:color w:val="auto"/>
          <w:kern w:val="0"/>
          <w:szCs w:val="21"/>
          <w:highlight w:val="none"/>
        </w:rPr>
        <w:t>☐</w:t>
      </w:r>
      <w:r>
        <w:rPr>
          <w:rFonts w:hint="eastAsia" w:ascii="仿宋" w:hAnsi="仿宋" w:eastAsia="仿宋" w:cs="仿宋"/>
          <w:iCs/>
          <w:color w:val="auto"/>
          <w:szCs w:val="21"/>
          <w:highlight w:val="none"/>
        </w:rPr>
        <w:t>小型企业</w:t>
      </w:r>
      <w:r>
        <w:rPr>
          <w:rFonts w:hint="eastAsia" w:ascii="仿宋" w:hAnsi="仿宋" w:eastAsia="仿宋" w:cs="仿宋"/>
          <w:color w:val="auto"/>
          <w:kern w:val="0"/>
          <w:szCs w:val="21"/>
          <w:highlight w:val="none"/>
        </w:rPr>
        <w:t>☐</w:t>
      </w:r>
      <w:r>
        <w:rPr>
          <w:rFonts w:hint="eastAsia" w:ascii="仿宋" w:hAnsi="仿宋" w:eastAsia="仿宋" w:cs="仿宋"/>
          <w:iCs/>
          <w:color w:val="auto"/>
          <w:szCs w:val="21"/>
          <w:highlight w:val="none"/>
        </w:rPr>
        <w:t>微型企业</w:t>
      </w:r>
      <w:r>
        <w:rPr>
          <w:rFonts w:hint="eastAsia" w:ascii="仿宋" w:hAnsi="仿宋" w:eastAsia="仿宋" w:cs="仿宋"/>
          <w:b/>
          <w:bCs/>
          <w:iCs/>
          <w:color w:val="auto"/>
          <w:szCs w:val="21"/>
          <w:highlight w:val="none"/>
        </w:rPr>
        <w:t>（如实勾选）；</w:t>
      </w:r>
    </w:p>
    <w:p>
      <w:pPr>
        <w:adjustRightInd w:val="0"/>
        <w:snapToGrid w:val="0"/>
        <w:spacing w:line="360" w:lineRule="auto"/>
        <w:ind w:firstLine="422" w:firstLineChars="200"/>
        <w:rPr>
          <w:rFonts w:ascii="仿宋" w:hAnsi="仿宋" w:eastAsia="仿宋" w:cs="仿宋"/>
          <w:b/>
          <w:bCs/>
          <w:color w:val="auto"/>
          <w:szCs w:val="21"/>
          <w:highlight w:val="none"/>
        </w:rPr>
      </w:pPr>
      <w:r>
        <w:rPr>
          <w:rFonts w:hint="eastAsia" w:ascii="仿宋" w:hAnsi="仿宋" w:eastAsia="仿宋" w:cs="仿宋"/>
          <w:b/>
          <w:bCs/>
          <w:color w:val="auto"/>
          <w:szCs w:val="21"/>
          <w:highlight w:val="none"/>
        </w:rPr>
        <w:t>……（根据采购内容自行增行）</w:t>
      </w:r>
    </w:p>
    <w:p>
      <w:pPr>
        <w:adjustRightInd w:val="0"/>
        <w:snapToGrid w:val="0"/>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以上企业，不属于大企业的分支机构，不存在控股股东为大企业的情形，也不存在与大企业的负责人为同一人的情形。</w:t>
      </w:r>
    </w:p>
    <w:p>
      <w:pPr>
        <w:adjustRightInd w:val="0"/>
        <w:snapToGrid w:val="0"/>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本企业对上述声明内容的真实性负责。如有虚假，将依法承担相应责任。</w:t>
      </w:r>
    </w:p>
    <w:p>
      <w:pPr>
        <w:adjustRightInd w:val="0"/>
        <w:snapToGrid w:val="0"/>
        <w:spacing w:line="360" w:lineRule="auto"/>
        <w:ind w:firstLine="420" w:firstLineChars="200"/>
        <w:rPr>
          <w:rFonts w:ascii="仿宋" w:hAnsi="仿宋" w:eastAsia="仿宋" w:cs="仿宋"/>
          <w:color w:val="auto"/>
          <w:szCs w:val="21"/>
          <w:highlight w:val="none"/>
        </w:rPr>
      </w:pPr>
    </w:p>
    <w:p>
      <w:pPr>
        <w:adjustRightInd w:val="0"/>
        <w:snapToGrid w:val="0"/>
        <w:spacing w:line="360" w:lineRule="auto"/>
        <w:ind w:firstLine="420" w:firstLineChars="200"/>
        <w:rPr>
          <w:rFonts w:ascii="仿宋" w:hAnsi="仿宋" w:eastAsia="仿宋" w:cs="仿宋"/>
          <w:color w:val="auto"/>
          <w:szCs w:val="21"/>
          <w:highlight w:val="none"/>
        </w:rPr>
      </w:pPr>
    </w:p>
    <w:p>
      <w:pPr>
        <w:adjustRightInd w:val="0"/>
        <w:snapToGrid w:val="0"/>
        <w:spacing w:line="360" w:lineRule="auto"/>
        <w:ind w:firstLine="420" w:firstLineChars="200"/>
        <w:rPr>
          <w:rFonts w:ascii="仿宋" w:hAnsi="仿宋" w:eastAsia="仿宋" w:cs="仿宋"/>
          <w:color w:val="auto"/>
          <w:szCs w:val="21"/>
          <w:highlight w:val="none"/>
        </w:rPr>
      </w:pPr>
    </w:p>
    <w:p>
      <w:pPr>
        <w:adjustRightInd w:val="0"/>
        <w:snapToGrid w:val="0"/>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企业名称（盖章）：</w:t>
      </w:r>
    </w:p>
    <w:p>
      <w:pPr>
        <w:adjustRightInd w:val="0"/>
        <w:snapToGrid w:val="0"/>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日期：</w:t>
      </w:r>
    </w:p>
    <w:p>
      <w:pPr>
        <w:adjustRightInd w:val="0"/>
        <w:snapToGrid w:val="0"/>
        <w:spacing w:line="360" w:lineRule="auto"/>
        <w:ind w:firstLine="420" w:firstLineChars="200"/>
        <w:rPr>
          <w:rFonts w:ascii="仿宋" w:hAnsi="仿宋" w:eastAsia="仿宋" w:cs="仿宋"/>
          <w:color w:val="auto"/>
          <w:szCs w:val="21"/>
          <w:highlight w:val="none"/>
        </w:rPr>
      </w:pPr>
    </w:p>
    <w:p>
      <w:pPr>
        <w:adjustRightInd w:val="0"/>
        <w:snapToGrid w:val="0"/>
        <w:spacing w:line="360" w:lineRule="auto"/>
        <w:ind w:firstLine="361" w:firstLineChars="200"/>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注：</w:t>
      </w:r>
    </w:p>
    <w:p>
      <w:pPr>
        <w:adjustRightInd w:val="0"/>
        <w:snapToGrid w:val="0"/>
        <w:spacing w:line="360" w:lineRule="auto"/>
        <w:ind w:firstLine="361" w:firstLineChars="200"/>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1.中小企业参加采购活动，应当出具财库[2020]46号文件规定的《中小企业声明函》，否则不得享受相关中小企业扶持政策;</w:t>
      </w:r>
    </w:p>
    <w:p>
      <w:pPr>
        <w:adjustRightInd w:val="0"/>
        <w:snapToGrid w:val="0"/>
        <w:spacing w:line="360" w:lineRule="auto"/>
        <w:ind w:firstLine="361" w:firstLineChars="200"/>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2.从业人员、营业收入、资产总额填报上一年度数据，无上一年度数据的新成立企业可不填报;</w:t>
      </w:r>
    </w:p>
    <w:p>
      <w:pPr>
        <w:adjustRightInd w:val="0"/>
        <w:snapToGrid w:val="0"/>
        <w:spacing w:line="360" w:lineRule="auto"/>
        <w:ind w:firstLine="361" w:firstLineChars="200"/>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3.《中小企业声明函》填写不全的，视为未提供《中小企业声明函》（从业人员、营业收入、资产总额在中小企业划型标准规定中不涉及的除外），不享受价格优惠;</w:t>
      </w:r>
    </w:p>
    <w:p>
      <w:pPr>
        <w:adjustRightInd w:val="0"/>
        <w:snapToGrid w:val="0"/>
        <w:spacing w:line="360" w:lineRule="auto"/>
        <w:ind w:firstLine="361" w:firstLineChars="200"/>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4.供应商提供《中小企业声明函》内容不实的，属于提供虚假材料谋取成交，参照《中华人民共和国政府采购法》等国家有关规定追究相应责任;</w:t>
      </w:r>
    </w:p>
    <w:p>
      <w:pPr>
        <w:adjustRightInd w:val="0"/>
        <w:snapToGrid w:val="0"/>
        <w:spacing w:line="360" w:lineRule="auto"/>
        <w:ind w:firstLine="361" w:firstLineChars="200"/>
        <w:rPr>
          <w:rFonts w:ascii="仿宋" w:hAnsi="仿宋" w:eastAsia="仿宋" w:cs="仿宋"/>
          <w:color w:val="auto"/>
          <w:sz w:val="18"/>
          <w:szCs w:val="18"/>
          <w:highlight w:val="none"/>
        </w:rPr>
      </w:pPr>
      <w:r>
        <w:rPr>
          <w:rFonts w:hint="eastAsia" w:ascii="仿宋" w:hAnsi="仿宋" w:eastAsia="仿宋" w:cs="仿宋"/>
          <w:b/>
          <w:bCs/>
          <w:color w:val="auto"/>
          <w:sz w:val="18"/>
          <w:szCs w:val="18"/>
          <w:highlight w:val="none"/>
        </w:rPr>
        <w:t>5.本项目仅以《中小企业声明函》作为评判供应商是否属于中小企业的唯一依据。</w:t>
      </w:r>
    </w:p>
    <w:p>
      <w:pPr>
        <w:widowControl/>
        <w:adjustRightInd w:val="0"/>
        <w:snapToGrid w:val="0"/>
        <w:spacing w:line="288" w:lineRule="auto"/>
        <w:ind w:firstLine="495" w:firstLineChars="236"/>
        <w:jc w:val="left"/>
        <w:rPr>
          <w:rFonts w:ascii="仿宋" w:hAnsi="仿宋" w:eastAsia="仿宋" w:cs="仿宋"/>
          <w:color w:val="auto"/>
          <w:szCs w:val="21"/>
          <w:highlight w:val="none"/>
        </w:rPr>
      </w:pPr>
      <w:r>
        <w:rPr>
          <w:rFonts w:hint="eastAsia" w:ascii="仿宋" w:hAnsi="仿宋" w:eastAsia="仿宋" w:cs="仿宋"/>
          <w:color w:val="auto"/>
          <w:szCs w:val="21"/>
          <w:highlight w:val="none"/>
        </w:rPr>
        <w:br w:type="page"/>
      </w:r>
    </w:p>
    <w:p>
      <w:pPr>
        <w:spacing w:line="360" w:lineRule="auto"/>
        <w:jc w:val="center"/>
        <w:outlineLvl w:val="2"/>
        <w:rPr>
          <w:rFonts w:ascii="仿宋" w:hAnsi="仿宋" w:eastAsia="仿宋" w:cs="仿宋"/>
          <w:b/>
          <w:color w:val="auto"/>
          <w:spacing w:val="-6"/>
          <w:sz w:val="24"/>
          <w:highlight w:val="none"/>
        </w:rPr>
      </w:pPr>
      <w:r>
        <w:rPr>
          <w:rFonts w:hint="eastAsia" w:ascii="仿宋" w:hAnsi="仿宋" w:eastAsia="仿宋" w:cs="仿宋"/>
          <w:b/>
          <w:color w:val="auto"/>
          <w:spacing w:val="-6"/>
          <w:sz w:val="24"/>
          <w:highlight w:val="none"/>
        </w:rPr>
        <w:t>属于监狱企业的证明文件</w:t>
      </w:r>
    </w:p>
    <w:p>
      <w:pPr>
        <w:adjustRightInd w:val="0"/>
        <w:snapToGrid w:val="0"/>
        <w:spacing w:line="360" w:lineRule="auto"/>
        <w:jc w:val="center"/>
        <w:rPr>
          <w:rFonts w:ascii="仿宋" w:hAnsi="仿宋" w:eastAsia="仿宋" w:cs="仿宋"/>
          <w:b/>
          <w:color w:val="auto"/>
          <w:spacing w:val="-6"/>
          <w:sz w:val="18"/>
          <w:szCs w:val="18"/>
          <w:highlight w:val="none"/>
        </w:rPr>
      </w:pPr>
      <w:r>
        <w:rPr>
          <w:rFonts w:hint="eastAsia" w:ascii="仿宋" w:hAnsi="仿宋" w:eastAsia="仿宋" w:cs="仿宋"/>
          <w:b/>
          <w:color w:val="auto"/>
          <w:spacing w:val="-6"/>
          <w:sz w:val="18"/>
          <w:szCs w:val="18"/>
          <w:highlight w:val="none"/>
        </w:rPr>
        <w:t>（若属于监狱企业）</w:t>
      </w:r>
    </w:p>
    <w:p>
      <w:pPr>
        <w:adjustRightInd w:val="0"/>
        <w:snapToGrid w:val="0"/>
        <w:spacing w:line="360" w:lineRule="auto"/>
        <w:rPr>
          <w:rFonts w:ascii="仿宋" w:hAnsi="仿宋" w:eastAsia="仿宋" w:cs="仿宋"/>
          <w:color w:val="auto"/>
          <w:szCs w:val="21"/>
          <w:highlight w:val="none"/>
        </w:rPr>
      </w:pPr>
    </w:p>
    <w:p>
      <w:pPr>
        <w:adjustRightInd w:val="0"/>
        <w:snapToGrid w:val="0"/>
        <w:spacing w:line="360" w:lineRule="auto"/>
        <w:rPr>
          <w:rFonts w:ascii="仿宋" w:hAnsi="仿宋" w:eastAsia="仿宋" w:cs="仿宋"/>
          <w:b/>
          <w:bCs/>
          <w:color w:val="auto"/>
          <w:kern w:val="0"/>
          <w:sz w:val="18"/>
          <w:szCs w:val="18"/>
          <w:highlight w:val="none"/>
        </w:rPr>
      </w:pPr>
      <w:r>
        <w:rPr>
          <w:rFonts w:hint="eastAsia" w:ascii="仿宋" w:hAnsi="仿宋" w:eastAsia="仿宋" w:cs="仿宋"/>
          <w:b/>
          <w:bCs/>
          <w:color w:val="auto"/>
          <w:sz w:val="18"/>
          <w:szCs w:val="18"/>
          <w:highlight w:val="none"/>
        </w:rPr>
        <w:t>说明：</w:t>
      </w:r>
      <w:r>
        <w:rPr>
          <w:rFonts w:hint="eastAsia" w:ascii="仿宋" w:hAnsi="仿宋" w:eastAsia="仿宋" w:cs="仿宋"/>
          <w:b/>
          <w:bCs/>
          <w:color w:val="auto"/>
          <w:kern w:val="0"/>
          <w:sz w:val="18"/>
          <w:szCs w:val="18"/>
          <w:highlight w:val="none"/>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在政府采购活动中，监狱企业视同小型、微型企业，享受预留份额、评审中价格扣除等政府采购促进中小企业发展的政府采购政策。</w:t>
      </w:r>
    </w:p>
    <w:p>
      <w:pPr>
        <w:widowControl/>
        <w:adjustRightInd w:val="0"/>
        <w:snapToGrid w:val="0"/>
        <w:spacing w:line="288" w:lineRule="auto"/>
        <w:jc w:val="left"/>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br w:type="page"/>
      </w:r>
    </w:p>
    <w:p>
      <w:pPr>
        <w:spacing w:line="360" w:lineRule="auto"/>
        <w:jc w:val="center"/>
        <w:outlineLvl w:val="2"/>
        <w:rPr>
          <w:rFonts w:ascii="仿宋" w:hAnsi="仿宋" w:eastAsia="仿宋" w:cs="仿宋"/>
          <w:b/>
          <w:color w:val="auto"/>
          <w:spacing w:val="-6"/>
          <w:sz w:val="24"/>
          <w:highlight w:val="none"/>
        </w:rPr>
      </w:pPr>
      <w:r>
        <w:rPr>
          <w:rFonts w:hint="eastAsia" w:ascii="仿宋" w:hAnsi="仿宋" w:eastAsia="仿宋" w:cs="仿宋"/>
          <w:b/>
          <w:color w:val="auto"/>
          <w:spacing w:val="-6"/>
          <w:sz w:val="24"/>
          <w:highlight w:val="none"/>
        </w:rPr>
        <w:t>残疾人福利性单位声明函</w:t>
      </w:r>
    </w:p>
    <w:p>
      <w:pPr>
        <w:adjustRightInd w:val="0"/>
        <w:snapToGrid w:val="0"/>
        <w:spacing w:line="360" w:lineRule="auto"/>
        <w:jc w:val="center"/>
        <w:rPr>
          <w:rFonts w:ascii="仿宋" w:hAnsi="仿宋" w:eastAsia="仿宋" w:cs="仿宋"/>
          <w:b/>
          <w:color w:val="auto"/>
          <w:spacing w:val="6"/>
          <w:szCs w:val="21"/>
          <w:highlight w:val="none"/>
        </w:rPr>
      </w:pPr>
      <w:r>
        <w:rPr>
          <w:rFonts w:hint="eastAsia" w:ascii="仿宋" w:hAnsi="仿宋" w:eastAsia="仿宋" w:cs="仿宋"/>
          <w:b/>
          <w:color w:val="auto"/>
          <w:spacing w:val="-6"/>
          <w:sz w:val="18"/>
          <w:szCs w:val="18"/>
          <w:highlight w:val="none"/>
        </w:rPr>
        <w:t>（若属于残疾人福利性单位）</w:t>
      </w:r>
    </w:p>
    <w:p>
      <w:pPr>
        <w:adjustRightInd w:val="0"/>
        <w:snapToGrid w:val="0"/>
        <w:spacing w:line="360" w:lineRule="auto"/>
        <w:ind w:firstLine="444"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本单位郑重声明，根据《财政部 民政部 中国残疾人联合会关于促进残疾人就业政府采购政策的通知》（财库[</w:t>
      </w:r>
      <w:r>
        <w:rPr>
          <w:rFonts w:hint="eastAsia" w:ascii="仿宋" w:hAnsi="仿宋" w:eastAsia="仿宋" w:cs="仿宋"/>
          <w:color w:val="auto"/>
          <w:szCs w:val="21"/>
          <w:highlight w:val="none"/>
        </w:rPr>
        <w:t>2017]141</w:t>
      </w:r>
      <w:r>
        <w:rPr>
          <w:rFonts w:hint="eastAsia" w:ascii="仿宋" w:hAnsi="仿宋" w:eastAsia="仿宋" w:cs="仿宋"/>
          <w:color w:val="auto"/>
          <w:spacing w:val="6"/>
          <w:szCs w:val="21"/>
          <w:highlight w:val="none"/>
        </w:rPr>
        <w:t>号）的规定，</w:t>
      </w:r>
      <w:r>
        <w:rPr>
          <w:rFonts w:hint="eastAsia" w:ascii="仿宋" w:hAnsi="仿宋" w:eastAsia="仿宋" w:cs="仿宋"/>
          <w:b/>
          <w:bCs/>
          <w:color w:val="auto"/>
          <w:spacing w:val="6"/>
          <w:szCs w:val="21"/>
          <w:highlight w:val="none"/>
        </w:rPr>
        <w:t>本单位为符合条件的残疾人福利性单位</w:t>
      </w:r>
      <w:r>
        <w:rPr>
          <w:rFonts w:hint="eastAsia" w:ascii="仿宋" w:hAnsi="仿宋" w:eastAsia="仿宋" w:cs="仿宋"/>
          <w:color w:val="auto"/>
          <w:spacing w:val="6"/>
          <w:szCs w:val="21"/>
          <w:highlight w:val="none"/>
        </w:rPr>
        <w:t>，且本单位参加</w:t>
      </w:r>
      <w:r>
        <w:rPr>
          <w:rFonts w:hint="eastAsia" w:ascii="仿宋" w:hAnsi="仿宋" w:eastAsia="仿宋" w:cs="仿宋"/>
          <w:bCs/>
          <w:color w:val="auto"/>
          <w:spacing w:val="-6"/>
          <w:szCs w:val="21"/>
          <w:highlight w:val="none"/>
        </w:rPr>
        <w:t>之江实验室</w:t>
      </w:r>
      <w:r>
        <w:rPr>
          <w:rFonts w:hint="eastAsia" w:ascii="仿宋" w:hAnsi="仿宋" w:eastAsia="仿宋" w:cs="仿宋"/>
          <w:color w:val="auto"/>
          <w:spacing w:val="6"/>
          <w:szCs w:val="21"/>
          <w:highlight w:val="none"/>
        </w:rPr>
        <w:t>的</w:t>
      </w:r>
      <w:r>
        <w:rPr>
          <w:rFonts w:hint="eastAsia" w:ascii="仿宋" w:hAnsi="仿宋" w:eastAsia="仿宋" w:cs="仿宋"/>
          <w:color w:val="auto"/>
          <w:spacing w:val="6"/>
          <w:szCs w:val="21"/>
          <w:highlight w:val="none"/>
          <w:lang w:eastAsia="zh-CN"/>
        </w:rPr>
        <w:t>算力中心展厅展陈</w:t>
      </w:r>
      <w:r>
        <w:rPr>
          <w:rFonts w:hint="eastAsia" w:ascii="仿宋" w:hAnsi="仿宋" w:eastAsia="仿宋" w:cs="仿宋"/>
          <w:color w:val="auto"/>
          <w:spacing w:val="6"/>
          <w:szCs w:val="21"/>
          <w:highlight w:val="none"/>
        </w:rPr>
        <w:t>项目采购活动提供本单位制造的货物，或者提供其他残疾人福利性单位制造的货物（不包括使用非残疾人福利性单位注册商标的货物）。</w:t>
      </w:r>
    </w:p>
    <w:p>
      <w:pPr>
        <w:adjustRightInd w:val="0"/>
        <w:snapToGrid w:val="0"/>
        <w:spacing w:line="360" w:lineRule="auto"/>
        <w:ind w:firstLine="444"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本单位对上述声明的真实性负责。如有虚假，将依法承担相应责任。</w:t>
      </w:r>
    </w:p>
    <w:p>
      <w:pPr>
        <w:tabs>
          <w:tab w:val="left" w:pos="4860"/>
        </w:tabs>
        <w:adjustRightInd w:val="0"/>
        <w:snapToGrid w:val="0"/>
        <w:spacing w:line="360" w:lineRule="auto"/>
        <w:ind w:firstLine="444" w:firstLineChars="200"/>
        <w:rPr>
          <w:rFonts w:ascii="仿宋" w:hAnsi="仿宋" w:eastAsia="仿宋" w:cs="仿宋"/>
          <w:color w:val="auto"/>
          <w:spacing w:val="6"/>
          <w:szCs w:val="21"/>
          <w:highlight w:val="none"/>
        </w:rPr>
      </w:pPr>
    </w:p>
    <w:p>
      <w:pPr>
        <w:tabs>
          <w:tab w:val="left" w:pos="4860"/>
        </w:tabs>
        <w:adjustRightInd w:val="0"/>
        <w:snapToGrid w:val="0"/>
        <w:spacing w:line="360" w:lineRule="auto"/>
        <w:ind w:firstLine="444" w:firstLineChars="200"/>
        <w:rPr>
          <w:rFonts w:ascii="仿宋" w:hAnsi="仿宋" w:eastAsia="仿宋" w:cs="仿宋"/>
          <w:color w:val="auto"/>
          <w:spacing w:val="6"/>
          <w:szCs w:val="21"/>
          <w:highlight w:val="none"/>
        </w:rPr>
      </w:pPr>
    </w:p>
    <w:p>
      <w:pPr>
        <w:tabs>
          <w:tab w:val="left" w:pos="4860"/>
        </w:tabs>
        <w:adjustRightInd w:val="0"/>
        <w:snapToGrid w:val="0"/>
        <w:spacing w:line="360" w:lineRule="auto"/>
        <w:ind w:firstLine="444" w:firstLineChars="200"/>
        <w:rPr>
          <w:rFonts w:ascii="仿宋" w:hAnsi="仿宋" w:eastAsia="仿宋" w:cs="仿宋"/>
          <w:color w:val="auto"/>
          <w:spacing w:val="6"/>
          <w:szCs w:val="21"/>
          <w:highlight w:val="none"/>
        </w:rPr>
      </w:pPr>
    </w:p>
    <w:p>
      <w:pPr>
        <w:tabs>
          <w:tab w:val="left" w:pos="4860"/>
        </w:tabs>
        <w:adjustRightInd w:val="0"/>
        <w:snapToGrid w:val="0"/>
        <w:spacing w:line="360" w:lineRule="auto"/>
        <w:ind w:firstLine="444"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单位名称（盖章）：</w:t>
      </w:r>
    </w:p>
    <w:p>
      <w:pPr>
        <w:tabs>
          <w:tab w:val="left" w:pos="4860"/>
        </w:tabs>
        <w:adjustRightInd w:val="0"/>
        <w:snapToGrid w:val="0"/>
        <w:spacing w:line="360" w:lineRule="auto"/>
        <w:ind w:firstLine="444"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日期：</w:t>
      </w:r>
    </w:p>
    <w:p>
      <w:pPr>
        <w:adjustRightInd w:val="0"/>
        <w:snapToGrid w:val="0"/>
        <w:spacing w:line="360" w:lineRule="auto"/>
        <w:ind w:firstLine="420" w:firstLineChars="200"/>
        <w:rPr>
          <w:rFonts w:ascii="仿宋" w:hAnsi="仿宋" w:eastAsia="仿宋" w:cs="仿宋"/>
          <w:color w:val="auto"/>
          <w:szCs w:val="21"/>
          <w:highlight w:val="none"/>
        </w:rPr>
      </w:pPr>
    </w:p>
    <w:p>
      <w:pPr>
        <w:adjustRightInd w:val="0"/>
        <w:snapToGrid w:val="0"/>
        <w:spacing w:line="360" w:lineRule="auto"/>
        <w:ind w:firstLine="361" w:firstLineChars="200"/>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说明：</w:t>
      </w:r>
    </w:p>
    <w:p>
      <w:pPr>
        <w:pStyle w:val="23"/>
        <w:shd w:val="clear" w:color="auto" w:fill="FFFFFF"/>
        <w:adjustRightInd w:val="0"/>
        <w:snapToGrid w:val="0"/>
        <w:spacing w:before="0" w:beforeAutospacing="0" w:after="0" w:afterAutospacing="0" w:line="360" w:lineRule="auto"/>
        <w:ind w:firstLine="361" w:firstLineChars="200"/>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1.享受政府采购支持政策的残疾人福利性单位应当同时满足以下条件：</w:t>
      </w:r>
    </w:p>
    <w:p>
      <w:pPr>
        <w:pStyle w:val="23"/>
        <w:shd w:val="clear" w:color="auto" w:fill="FFFFFF"/>
        <w:adjustRightInd w:val="0"/>
        <w:snapToGrid w:val="0"/>
        <w:spacing w:before="0" w:beforeAutospacing="0" w:after="0" w:afterAutospacing="0" w:line="360" w:lineRule="auto"/>
        <w:ind w:firstLine="361" w:firstLineChars="200"/>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（一）安置的残疾人占本单位在职职工人数的比例不低于25%（含25%），并且安置的残疾人人数不少于10人（含10人）；</w:t>
      </w:r>
    </w:p>
    <w:p>
      <w:pPr>
        <w:pStyle w:val="23"/>
        <w:shd w:val="clear" w:color="auto" w:fill="FFFFFF"/>
        <w:adjustRightInd w:val="0"/>
        <w:snapToGrid w:val="0"/>
        <w:spacing w:before="0" w:beforeAutospacing="0" w:after="0" w:afterAutospacing="0" w:line="360" w:lineRule="auto"/>
        <w:ind w:firstLine="361" w:firstLineChars="200"/>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（二）依法与安置的每位残疾人签订了一年以上（含一年）的劳动合同或服务协议；</w:t>
      </w:r>
    </w:p>
    <w:p>
      <w:pPr>
        <w:pStyle w:val="23"/>
        <w:shd w:val="clear" w:color="auto" w:fill="FFFFFF"/>
        <w:adjustRightInd w:val="0"/>
        <w:snapToGrid w:val="0"/>
        <w:spacing w:before="0" w:beforeAutospacing="0" w:after="0" w:afterAutospacing="0" w:line="360" w:lineRule="auto"/>
        <w:ind w:firstLine="361" w:firstLineChars="200"/>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（三）为安置的每位残疾人按月足额缴纳了基本养老保险、基本医疗保险、失业保险、工伤保险和生育保险等社会保险费；</w:t>
      </w:r>
    </w:p>
    <w:p>
      <w:pPr>
        <w:pStyle w:val="23"/>
        <w:shd w:val="clear" w:color="auto" w:fill="FFFFFF"/>
        <w:adjustRightInd w:val="0"/>
        <w:snapToGrid w:val="0"/>
        <w:spacing w:before="0" w:beforeAutospacing="0" w:after="0" w:afterAutospacing="0" w:line="360" w:lineRule="auto"/>
        <w:ind w:firstLine="361" w:firstLineChars="200"/>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（四）通过银行等金融机构向安置的每位残疾人，按月支付了不低于单位所在区县适用的经省级人民政府批准的月最低工资标准的工资；</w:t>
      </w:r>
    </w:p>
    <w:p>
      <w:pPr>
        <w:pStyle w:val="23"/>
        <w:shd w:val="clear" w:color="auto" w:fill="FFFFFF"/>
        <w:adjustRightInd w:val="0"/>
        <w:snapToGrid w:val="0"/>
        <w:spacing w:before="0" w:beforeAutospacing="0" w:after="0" w:afterAutospacing="0" w:line="360" w:lineRule="auto"/>
        <w:ind w:firstLine="361" w:firstLineChars="200"/>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（五）提供本单位制造的货物、承担的工程或者服务（以下简称产品），或者提供其他残疾人福利性单位制造的货物（不包括使用非残疾人福利性单位注册商标的货物）。</w:t>
      </w:r>
    </w:p>
    <w:p>
      <w:pPr>
        <w:pStyle w:val="23"/>
        <w:shd w:val="clear" w:color="auto" w:fill="FFFFFF"/>
        <w:adjustRightInd w:val="0"/>
        <w:snapToGrid w:val="0"/>
        <w:spacing w:before="0" w:beforeAutospacing="0" w:after="0" w:afterAutospacing="0" w:line="360" w:lineRule="auto"/>
        <w:ind w:firstLine="361" w:firstLineChars="200"/>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23"/>
        <w:shd w:val="clear" w:color="auto" w:fill="FFFFFF"/>
        <w:adjustRightInd w:val="0"/>
        <w:snapToGrid w:val="0"/>
        <w:spacing w:before="0" w:beforeAutospacing="0" w:after="0" w:afterAutospacing="0" w:line="360" w:lineRule="auto"/>
        <w:ind w:firstLine="361" w:firstLineChars="200"/>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2.符合条件的残疾人福利性单位在参加政府采购活动时，应当提供财库[2017]141号文件规定的《残疾人福利性单位声明函》，并对声明的真实性负责;</w:t>
      </w:r>
    </w:p>
    <w:p>
      <w:pPr>
        <w:pStyle w:val="23"/>
        <w:shd w:val="clear" w:color="auto" w:fill="FFFFFF"/>
        <w:adjustRightInd w:val="0"/>
        <w:snapToGrid w:val="0"/>
        <w:spacing w:before="0" w:beforeAutospacing="0" w:after="0" w:afterAutospacing="0" w:line="360" w:lineRule="auto"/>
        <w:ind w:firstLine="361" w:firstLineChars="200"/>
        <w:rPr>
          <w:color w:val="auto"/>
          <w:highlight w:val="none"/>
        </w:rPr>
      </w:pPr>
      <w:r>
        <w:rPr>
          <w:rFonts w:hint="eastAsia" w:ascii="仿宋" w:hAnsi="仿宋" w:eastAsia="仿宋" w:cs="仿宋"/>
          <w:b/>
          <w:bCs/>
          <w:color w:val="auto"/>
          <w:sz w:val="18"/>
          <w:szCs w:val="18"/>
          <w:highlight w:val="none"/>
        </w:rPr>
        <w:t>3.在政府采购活动中，残疾人福利性单位视同小型、微型企业，享受预留份额、评审中价格扣除等促进中小企业发展的政府采购政策。残疾人福利性单位属于小型、微型企业的，不重复享受政策。</w:t>
      </w:r>
    </w:p>
    <w:p>
      <w:pPr>
        <w:adjustRightInd w:val="0"/>
        <w:snapToGrid w:val="0"/>
        <w:spacing w:line="360" w:lineRule="auto"/>
        <w:rPr>
          <w:rFonts w:ascii="仿宋" w:hAnsi="仿宋" w:eastAsia="仿宋" w:cs="仿宋"/>
          <w:b/>
          <w:bCs/>
          <w:color w:val="auto"/>
          <w:spacing w:val="-6"/>
          <w:szCs w:val="21"/>
          <w:highlight w:val="none"/>
        </w:rPr>
      </w:pPr>
      <w:r>
        <w:rPr>
          <w:rFonts w:hint="eastAsia" w:ascii="仿宋" w:hAnsi="仿宋" w:eastAsia="仿宋" w:cs="仿宋"/>
          <w:b/>
          <w:bCs/>
          <w:color w:val="auto"/>
          <w:spacing w:val="-6"/>
          <w:szCs w:val="21"/>
          <w:highlight w:val="none"/>
        </w:rPr>
        <w:br w:type="page"/>
      </w:r>
    </w:p>
    <w:p>
      <w:pPr>
        <w:adjustRightInd w:val="0"/>
        <w:snapToGrid w:val="0"/>
        <w:spacing w:line="288" w:lineRule="auto"/>
        <w:jc w:val="center"/>
        <w:rPr>
          <w:rFonts w:ascii="仿宋" w:hAnsi="仿宋" w:eastAsia="仿宋" w:cs="仿宋"/>
          <w:b/>
          <w:bCs/>
          <w:color w:val="auto"/>
          <w:sz w:val="84"/>
          <w:szCs w:val="84"/>
          <w:highlight w:val="none"/>
        </w:rPr>
      </w:pPr>
    </w:p>
    <w:p>
      <w:pPr>
        <w:adjustRightInd w:val="0"/>
        <w:snapToGrid w:val="0"/>
        <w:spacing w:line="288" w:lineRule="auto"/>
        <w:jc w:val="center"/>
        <w:rPr>
          <w:rFonts w:ascii="仿宋" w:hAnsi="仿宋" w:eastAsia="仿宋" w:cs="仿宋"/>
          <w:b/>
          <w:bCs/>
          <w:color w:val="auto"/>
          <w:sz w:val="84"/>
          <w:szCs w:val="84"/>
          <w:highlight w:val="none"/>
        </w:rPr>
      </w:pPr>
    </w:p>
    <w:p>
      <w:pPr>
        <w:adjustRightInd w:val="0"/>
        <w:snapToGrid w:val="0"/>
        <w:spacing w:line="288" w:lineRule="auto"/>
        <w:jc w:val="center"/>
        <w:rPr>
          <w:rFonts w:ascii="仿宋" w:hAnsi="仿宋" w:eastAsia="仿宋" w:cs="仿宋"/>
          <w:b/>
          <w:bCs/>
          <w:color w:val="auto"/>
          <w:sz w:val="84"/>
          <w:szCs w:val="84"/>
          <w:highlight w:val="none"/>
        </w:rPr>
      </w:pPr>
    </w:p>
    <w:p>
      <w:pPr>
        <w:adjustRightInd w:val="0"/>
        <w:snapToGrid w:val="0"/>
        <w:spacing w:line="288" w:lineRule="auto"/>
        <w:jc w:val="center"/>
        <w:rPr>
          <w:rFonts w:ascii="仿宋" w:hAnsi="仿宋" w:eastAsia="仿宋" w:cs="仿宋"/>
          <w:b/>
          <w:bCs/>
          <w:color w:val="auto"/>
          <w:sz w:val="84"/>
          <w:szCs w:val="84"/>
          <w:highlight w:val="none"/>
        </w:rPr>
      </w:pPr>
    </w:p>
    <w:p>
      <w:pPr>
        <w:pStyle w:val="12"/>
        <w:ind w:firstLine="0"/>
        <w:jc w:val="center"/>
        <w:outlineLvl w:val="1"/>
        <w:rPr>
          <w:rFonts w:ascii="仿宋" w:hAnsi="仿宋" w:eastAsia="仿宋" w:cs="仿宋"/>
          <w:b/>
          <w:bCs/>
          <w:color w:val="auto"/>
          <w:sz w:val="84"/>
          <w:szCs w:val="84"/>
          <w:highlight w:val="none"/>
        </w:rPr>
      </w:pPr>
      <w:r>
        <w:rPr>
          <w:rFonts w:hint="eastAsia" w:ascii="仿宋" w:hAnsi="仿宋" w:eastAsia="仿宋" w:cs="仿宋"/>
          <w:b/>
          <w:bCs/>
          <w:color w:val="auto"/>
          <w:sz w:val="84"/>
          <w:szCs w:val="84"/>
          <w:highlight w:val="none"/>
        </w:rPr>
        <w:t>商务和技术文件</w:t>
      </w:r>
    </w:p>
    <w:p>
      <w:pPr>
        <w:pStyle w:val="12"/>
        <w:ind w:firstLine="0"/>
        <w:jc w:val="center"/>
        <w:rPr>
          <w:rFonts w:ascii="仿宋" w:hAnsi="仿宋" w:eastAsia="仿宋" w:cs="仿宋"/>
          <w:b/>
          <w:bCs/>
          <w:color w:val="auto"/>
          <w:sz w:val="84"/>
          <w:szCs w:val="84"/>
          <w:highlight w:val="none"/>
        </w:rPr>
      </w:pPr>
      <w:r>
        <w:rPr>
          <w:rFonts w:hint="eastAsia" w:ascii="仿宋" w:hAnsi="仿宋" w:eastAsia="仿宋" w:cs="仿宋"/>
          <w:b/>
          <w:bCs/>
          <w:color w:val="auto"/>
          <w:sz w:val="84"/>
          <w:szCs w:val="84"/>
          <w:highlight w:val="none"/>
        </w:rPr>
        <w:br w:type="page"/>
      </w:r>
    </w:p>
    <w:p>
      <w:pPr>
        <w:spacing w:line="360" w:lineRule="auto"/>
        <w:jc w:val="center"/>
        <w:outlineLvl w:val="2"/>
        <w:rPr>
          <w:color w:val="auto"/>
          <w:szCs w:val="21"/>
          <w:highlight w:val="none"/>
        </w:rPr>
      </w:pPr>
      <w:r>
        <w:rPr>
          <w:rFonts w:hint="eastAsia" w:ascii="仿宋" w:hAnsi="仿宋" w:eastAsia="仿宋" w:cs="仿宋"/>
          <w:b/>
          <w:color w:val="auto"/>
          <w:spacing w:val="-6"/>
          <w:sz w:val="24"/>
          <w:highlight w:val="none"/>
        </w:rPr>
        <w:t>响应函</w:t>
      </w:r>
    </w:p>
    <w:p>
      <w:pPr>
        <w:adjustRightInd w:val="0"/>
        <w:snapToGrid w:val="0"/>
        <w:spacing w:line="360" w:lineRule="auto"/>
        <w:rPr>
          <w:rFonts w:ascii="仿宋" w:hAnsi="仿宋" w:eastAsia="仿宋" w:cs="仿宋"/>
          <w:color w:val="auto"/>
          <w:spacing w:val="-6"/>
          <w:szCs w:val="21"/>
          <w:highlight w:val="none"/>
        </w:rPr>
      </w:pPr>
      <w:r>
        <w:rPr>
          <w:rFonts w:hint="eastAsia" w:ascii="仿宋" w:hAnsi="仿宋" w:eastAsia="仿宋" w:cs="仿宋"/>
          <w:b/>
          <w:bCs/>
          <w:color w:val="auto"/>
          <w:szCs w:val="21"/>
          <w:highlight w:val="none"/>
        </w:rPr>
        <w:t>致：之江实验室、浙江求是招标代理有限公司</w:t>
      </w:r>
    </w:p>
    <w:p>
      <w:pPr>
        <w:adjustRightInd w:val="0"/>
        <w:snapToGrid w:val="0"/>
        <w:spacing w:line="360" w:lineRule="auto"/>
        <w:ind w:firstLine="396" w:firstLineChars="200"/>
        <w:rPr>
          <w:rFonts w:ascii="仿宋" w:hAnsi="仿宋" w:eastAsia="仿宋" w:cs="仿宋"/>
          <w:color w:val="auto"/>
          <w:szCs w:val="21"/>
          <w:highlight w:val="none"/>
        </w:rPr>
      </w:pPr>
      <w:r>
        <w:rPr>
          <w:rFonts w:hint="eastAsia" w:ascii="仿宋" w:hAnsi="仿宋" w:eastAsia="仿宋" w:cs="仿宋"/>
          <w:color w:val="auto"/>
          <w:spacing w:val="-6"/>
          <w:szCs w:val="21"/>
          <w:highlight w:val="none"/>
        </w:rPr>
        <w:t>我方参加</w:t>
      </w:r>
      <w:r>
        <w:rPr>
          <w:rFonts w:hint="eastAsia" w:ascii="仿宋" w:hAnsi="仿宋" w:eastAsia="仿宋" w:cs="仿宋"/>
          <w:bCs/>
          <w:color w:val="auto"/>
          <w:spacing w:val="-6"/>
          <w:szCs w:val="21"/>
          <w:highlight w:val="none"/>
        </w:rPr>
        <w:t>之江实验室</w:t>
      </w:r>
      <w:r>
        <w:rPr>
          <w:rFonts w:hint="eastAsia" w:ascii="仿宋" w:hAnsi="仿宋" w:eastAsia="仿宋" w:cs="仿宋"/>
          <w:bCs/>
          <w:color w:val="auto"/>
          <w:spacing w:val="-6"/>
          <w:szCs w:val="21"/>
          <w:highlight w:val="none"/>
          <w:lang w:eastAsia="zh-CN"/>
        </w:rPr>
        <w:t>算力中心展厅展陈</w:t>
      </w:r>
      <w:r>
        <w:rPr>
          <w:rFonts w:hint="eastAsia" w:ascii="仿宋" w:hAnsi="仿宋" w:eastAsia="仿宋" w:cs="仿宋"/>
          <w:color w:val="auto"/>
          <w:spacing w:val="-6"/>
          <w:szCs w:val="21"/>
          <w:highlight w:val="none"/>
        </w:rPr>
        <w:t>项目</w:t>
      </w:r>
      <w:r>
        <w:rPr>
          <w:rFonts w:hint="eastAsia" w:ascii="仿宋" w:hAnsi="仿宋" w:eastAsia="仿宋" w:cs="仿宋"/>
          <w:bCs/>
          <w:color w:val="auto"/>
          <w:spacing w:val="-6"/>
          <w:szCs w:val="21"/>
          <w:highlight w:val="none"/>
        </w:rPr>
        <w:t>[</w:t>
      </w:r>
      <w:r>
        <w:rPr>
          <w:rFonts w:hint="eastAsia" w:ascii="仿宋" w:hAnsi="仿宋" w:eastAsia="仿宋" w:cs="仿宋"/>
          <w:color w:val="auto"/>
          <w:spacing w:val="-6"/>
          <w:szCs w:val="21"/>
          <w:highlight w:val="none"/>
        </w:rPr>
        <w:t>项目编号</w:t>
      </w:r>
      <w:r>
        <w:rPr>
          <w:rFonts w:hint="eastAsia" w:ascii="仿宋" w:hAnsi="仿宋" w:eastAsia="仿宋" w:cs="仿宋"/>
          <w:bCs/>
          <w:color w:val="auto"/>
          <w:spacing w:val="-6"/>
          <w:szCs w:val="21"/>
          <w:highlight w:val="none"/>
        </w:rPr>
        <w:t>：</w:t>
      </w:r>
      <w:r>
        <w:rPr>
          <w:rFonts w:hint="eastAsia" w:ascii="仿宋" w:hAnsi="仿宋" w:eastAsia="仿宋" w:cs="仿宋"/>
          <w:bCs/>
          <w:color w:val="auto"/>
          <w:spacing w:val="-6"/>
          <w:szCs w:val="21"/>
          <w:highlight w:val="none"/>
          <w:lang w:eastAsia="zh-CN"/>
        </w:rPr>
        <w:t>ZJLAB-JZ-CS2024011</w:t>
      </w:r>
      <w:r>
        <w:rPr>
          <w:rFonts w:hint="eastAsia" w:ascii="仿宋" w:hAnsi="仿宋" w:eastAsia="仿宋" w:cs="仿宋"/>
          <w:bCs/>
          <w:color w:val="auto"/>
          <w:spacing w:val="-6"/>
          <w:szCs w:val="21"/>
          <w:highlight w:val="none"/>
        </w:rPr>
        <w:t>]</w:t>
      </w:r>
      <w:r>
        <w:rPr>
          <w:rFonts w:hint="eastAsia" w:ascii="仿宋" w:hAnsi="仿宋" w:eastAsia="仿宋" w:cs="仿宋"/>
          <w:color w:val="auto"/>
          <w:spacing w:val="-6"/>
          <w:szCs w:val="21"/>
          <w:highlight w:val="none"/>
        </w:rPr>
        <w:t>，为此，我方提交响应文件正本一份、副本___份。宣布同意如下：</w:t>
      </w:r>
    </w:p>
    <w:p>
      <w:pPr>
        <w:adjustRightInd w:val="0"/>
        <w:snapToGrid w:val="0"/>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1.我方已详细审查全部“磋商文件”，包括修改文件（如有）以及全部参考资料和有关附件，已经了解我方对于磋商文件、采购过程、成交结果有依法进行询问、质疑的权利及相关渠道和要求。</w:t>
      </w:r>
    </w:p>
    <w:p>
      <w:pPr>
        <w:adjustRightInd w:val="0"/>
        <w:snapToGrid w:val="0"/>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2.我方在磋商响应之前已经与贵方进行了充分的沟通，完全理解并接受磋商文件的各项规定和要求，对磋商文件的合理性、合法性不再有异议。</w:t>
      </w:r>
    </w:p>
    <w:p>
      <w:pPr>
        <w:adjustRightInd w:val="0"/>
        <w:snapToGrid w:val="0"/>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3.响应有效期自提交响应文件的截止之日起</w:t>
      </w:r>
      <w:r>
        <w:rPr>
          <w:rFonts w:hint="eastAsia" w:ascii="仿宋" w:hAnsi="仿宋" w:eastAsia="仿宋" w:cs="仿宋"/>
          <w:b/>
          <w:bCs/>
          <w:color w:val="auto"/>
          <w:szCs w:val="21"/>
          <w:highlight w:val="none"/>
          <w:u w:val="single"/>
        </w:rPr>
        <w:t xml:space="preserve"> 90 </w:t>
      </w:r>
      <w:r>
        <w:rPr>
          <w:rFonts w:hint="eastAsia" w:ascii="仿宋" w:hAnsi="仿宋" w:eastAsia="仿宋" w:cs="仿宋"/>
          <w:color w:val="auto"/>
          <w:szCs w:val="21"/>
          <w:highlight w:val="none"/>
        </w:rPr>
        <w:t>天。</w:t>
      </w:r>
    </w:p>
    <w:p>
      <w:pPr>
        <w:adjustRightInd w:val="0"/>
        <w:snapToGrid w:val="0"/>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4.如成交，本响应文件至本项目合同履行完毕止均保持有效，我方将按“磋商文件”及相关采购法律、法规的规定履行合同责任和义务。关于代理服务费，我方承诺按照磋商文件的规定履行并承担相应的责任。</w:t>
      </w:r>
    </w:p>
    <w:p>
      <w:pPr>
        <w:adjustRightInd w:val="0"/>
        <w:snapToGrid w:val="0"/>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5.我方同意按照贵方要求提供与磋商有关的一切数据或资料。</w:t>
      </w:r>
    </w:p>
    <w:p>
      <w:pPr>
        <w:adjustRightInd w:val="0"/>
        <w:snapToGrid w:val="0"/>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6.与本磋商有关的一切正式往来信函联系：</w:t>
      </w:r>
    </w:p>
    <w:tbl>
      <w:tblPr>
        <w:tblStyle w:val="28"/>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8"/>
        <w:gridCol w:w="7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88"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联系人</w:t>
            </w:r>
          </w:p>
        </w:tc>
        <w:tc>
          <w:tcPr>
            <w:tcW w:w="7340" w:type="dxa"/>
            <w:vAlign w:val="center"/>
          </w:tcPr>
          <w:p>
            <w:pPr>
              <w:jc w:val="cente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88"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职务</w:t>
            </w:r>
          </w:p>
        </w:tc>
        <w:tc>
          <w:tcPr>
            <w:tcW w:w="7340" w:type="dxa"/>
            <w:vAlign w:val="center"/>
          </w:tcPr>
          <w:p>
            <w:pPr>
              <w:jc w:val="cente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88"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手机</w:t>
            </w:r>
          </w:p>
        </w:tc>
        <w:tc>
          <w:tcPr>
            <w:tcW w:w="7340" w:type="dxa"/>
            <w:vAlign w:val="center"/>
          </w:tcPr>
          <w:p>
            <w:pPr>
              <w:jc w:val="cente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88"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电子邮箱</w:t>
            </w:r>
          </w:p>
        </w:tc>
        <w:tc>
          <w:tcPr>
            <w:tcW w:w="7340" w:type="dxa"/>
            <w:vAlign w:val="center"/>
          </w:tcPr>
          <w:p>
            <w:pPr>
              <w:jc w:val="cente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88"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地址</w:t>
            </w:r>
          </w:p>
        </w:tc>
        <w:tc>
          <w:tcPr>
            <w:tcW w:w="7340" w:type="dxa"/>
            <w:vAlign w:val="center"/>
          </w:tcPr>
          <w:p>
            <w:pPr>
              <w:jc w:val="cente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88"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开户银行</w:t>
            </w:r>
          </w:p>
        </w:tc>
        <w:tc>
          <w:tcPr>
            <w:tcW w:w="7340" w:type="dxa"/>
            <w:vAlign w:val="center"/>
          </w:tcPr>
          <w:p>
            <w:pPr>
              <w:jc w:val="cente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88"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银行账号</w:t>
            </w:r>
          </w:p>
        </w:tc>
        <w:tc>
          <w:tcPr>
            <w:tcW w:w="7340" w:type="dxa"/>
            <w:vAlign w:val="center"/>
          </w:tcPr>
          <w:p>
            <w:pPr>
              <w:jc w:val="center"/>
              <w:rPr>
                <w:rFonts w:ascii="仿宋" w:hAnsi="仿宋" w:eastAsia="仿宋" w:cs="仿宋"/>
                <w:color w:val="auto"/>
                <w:szCs w:val="21"/>
                <w:highlight w:val="none"/>
              </w:rPr>
            </w:pPr>
          </w:p>
        </w:tc>
      </w:tr>
    </w:tbl>
    <w:p>
      <w:pPr>
        <w:adjustRightInd w:val="0"/>
        <w:snapToGrid w:val="0"/>
        <w:spacing w:line="360" w:lineRule="auto"/>
        <w:rPr>
          <w:rFonts w:ascii="仿宋" w:hAnsi="仿宋" w:eastAsia="仿宋" w:cs="仿宋"/>
          <w:color w:val="auto"/>
          <w:szCs w:val="21"/>
          <w:highlight w:val="none"/>
        </w:rPr>
      </w:pPr>
    </w:p>
    <w:p>
      <w:pPr>
        <w:adjustRightInd w:val="0"/>
        <w:snapToGrid w:val="0"/>
        <w:spacing w:line="360" w:lineRule="auto"/>
        <w:rPr>
          <w:rFonts w:ascii="仿宋" w:hAnsi="仿宋" w:eastAsia="仿宋" w:cs="仿宋"/>
          <w:color w:val="auto"/>
          <w:szCs w:val="21"/>
          <w:highlight w:val="none"/>
        </w:rPr>
      </w:pPr>
    </w:p>
    <w:p>
      <w:pPr>
        <w:adjustRightInd w:val="0"/>
        <w:snapToGrid w:val="0"/>
        <w:spacing w:line="360" w:lineRule="auto"/>
        <w:rPr>
          <w:rFonts w:ascii="仿宋" w:hAnsi="仿宋" w:eastAsia="仿宋" w:cs="仿宋"/>
          <w:b/>
          <w:bCs/>
          <w:color w:val="auto"/>
          <w:spacing w:val="-6"/>
          <w:szCs w:val="21"/>
          <w:highlight w:val="none"/>
        </w:rPr>
      </w:pPr>
    </w:p>
    <w:p>
      <w:pPr>
        <w:adjustRightInd w:val="0"/>
        <w:snapToGrid w:val="0"/>
        <w:spacing w:line="360" w:lineRule="auto"/>
        <w:rPr>
          <w:rFonts w:ascii="仿宋" w:hAnsi="仿宋" w:eastAsia="仿宋" w:cs="仿宋"/>
          <w:b/>
          <w:bCs/>
          <w:color w:val="auto"/>
          <w:spacing w:val="-6"/>
          <w:szCs w:val="21"/>
          <w:highlight w:val="none"/>
        </w:rPr>
      </w:pPr>
      <w:r>
        <w:rPr>
          <w:rFonts w:hint="eastAsia" w:ascii="仿宋" w:hAnsi="仿宋" w:eastAsia="仿宋" w:cs="仿宋"/>
          <w:b/>
          <w:bCs/>
          <w:color w:val="auto"/>
          <w:spacing w:val="-6"/>
          <w:szCs w:val="21"/>
          <w:highlight w:val="none"/>
        </w:rPr>
        <w:t>供应商名称（公章）：</w:t>
      </w:r>
    </w:p>
    <w:p>
      <w:pPr>
        <w:adjustRightInd w:val="0"/>
        <w:snapToGrid w:val="0"/>
        <w:spacing w:line="360" w:lineRule="auto"/>
        <w:rPr>
          <w:rFonts w:ascii="仿宋" w:hAnsi="仿宋" w:eastAsia="仿宋" w:cs="仿宋"/>
          <w:b/>
          <w:bCs/>
          <w:color w:val="auto"/>
          <w:spacing w:val="-6"/>
          <w:szCs w:val="21"/>
          <w:highlight w:val="none"/>
        </w:rPr>
      </w:pPr>
      <w:r>
        <w:rPr>
          <w:rFonts w:hint="eastAsia" w:ascii="仿宋" w:hAnsi="仿宋" w:eastAsia="仿宋" w:cs="仿宋"/>
          <w:b/>
          <w:bCs/>
          <w:color w:val="auto"/>
          <w:spacing w:val="-6"/>
          <w:szCs w:val="21"/>
          <w:highlight w:val="none"/>
        </w:rPr>
        <w:t>供应商授权代表（签字）：</w:t>
      </w:r>
    </w:p>
    <w:p>
      <w:pPr>
        <w:adjustRightInd w:val="0"/>
        <w:snapToGrid w:val="0"/>
        <w:spacing w:line="360" w:lineRule="auto"/>
        <w:rPr>
          <w:rFonts w:ascii="仿宋" w:hAnsi="仿宋" w:eastAsia="仿宋" w:cs="仿宋"/>
          <w:b/>
          <w:bCs/>
          <w:color w:val="auto"/>
          <w:spacing w:val="-6"/>
          <w:szCs w:val="21"/>
          <w:highlight w:val="none"/>
        </w:rPr>
      </w:pPr>
      <w:r>
        <w:rPr>
          <w:rFonts w:hint="eastAsia" w:ascii="仿宋" w:hAnsi="仿宋" w:eastAsia="仿宋" w:cs="仿宋"/>
          <w:b/>
          <w:bCs/>
          <w:color w:val="auto"/>
          <w:spacing w:val="-6"/>
          <w:szCs w:val="21"/>
          <w:highlight w:val="none"/>
        </w:rPr>
        <w:t>日期：     年   月   日</w:t>
      </w:r>
    </w:p>
    <w:p>
      <w:pPr>
        <w:adjustRightInd w:val="0"/>
        <w:snapToGrid w:val="0"/>
        <w:spacing w:line="360" w:lineRule="auto"/>
        <w:rPr>
          <w:rFonts w:ascii="仿宋" w:hAnsi="仿宋" w:eastAsia="仿宋" w:cs="仿宋"/>
          <w:b/>
          <w:bCs/>
          <w:color w:val="auto"/>
          <w:spacing w:val="-6"/>
          <w:szCs w:val="21"/>
          <w:highlight w:val="none"/>
        </w:rPr>
      </w:pPr>
      <w:r>
        <w:rPr>
          <w:rFonts w:hint="eastAsia" w:ascii="仿宋" w:hAnsi="仿宋" w:eastAsia="仿宋" w:cs="仿宋"/>
          <w:b/>
          <w:bCs/>
          <w:color w:val="auto"/>
          <w:spacing w:val="-6"/>
          <w:szCs w:val="21"/>
          <w:highlight w:val="none"/>
        </w:rPr>
        <w:br w:type="page"/>
      </w:r>
    </w:p>
    <w:p>
      <w:pPr>
        <w:adjustRightInd w:val="0"/>
        <w:snapToGrid w:val="0"/>
        <w:spacing w:line="360" w:lineRule="auto"/>
        <w:jc w:val="center"/>
        <w:outlineLvl w:val="2"/>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法定代表人（单位负责人、自然人本人）身份证明</w:t>
      </w:r>
    </w:p>
    <w:p>
      <w:pPr>
        <w:adjustRightInd w:val="0"/>
        <w:snapToGrid w:val="0"/>
        <w:spacing w:line="360" w:lineRule="auto"/>
        <w:jc w:val="center"/>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[适用于法定代表人（单位负责人、自然人本人）</w:t>
      </w:r>
      <w:r>
        <w:rPr>
          <w:rFonts w:hint="eastAsia" w:ascii="仿宋" w:hAnsi="仿宋" w:eastAsia="仿宋" w:cs="仿宋"/>
          <w:b/>
          <w:bCs/>
          <w:color w:val="auto"/>
          <w:spacing w:val="-6"/>
          <w:sz w:val="18"/>
          <w:szCs w:val="18"/>
          <w:highlight w:val="none"/>
        </w:rPr>
        <w:t>代表供应商参与磋商]</w:t>
      </w:r>
    </w:p>
    <w:p>
      <w:pPr>
        <w:adjustRightInd w:val="0"/>
        <w:snapToGrid w:val="0"/>
        <w:spacing w:line="360" w:lineRule="auto"/>
        <w:jc w:val="left"/>
        <w:rPr>
          <w:rFonts w:ascii="仿宋" w:hAnsi="仿宋" w:eastAsia="仿宋" w:cs="仿宋"/>
          <w:color w:val="auto"/>
          <w:szCs w:val="21"/>
          <w:highlight w:val="none"/>
        </w:rPr>
      </w:pPr>
      <w:r>
        <w:rPr>
          <w:rFonts w:hint="eastAsia" w:ascii="仿宋" w:hAnsi="仿宋" w:eastAsia="仿宋" w:cs="仿宋"/>
          <w:bCs/>
          <w:color w:val="auto"/>
          <w:szCs w:val="21"/>
          <w:highlight w:val="none"/>
        </w:rPr>
        <w:t>身份证件复印件</w:t>
      </w:r>
    </w:p>
    <w:tbl>
      <w:tblPr>
        <w:tblStyle w:val="11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9" w:hRule="atLeast"/>
        </w:trPr>
        <w:tc>
          <w:tcPr>
            <w:tcW w:w="4814" w:type="dxa"/>
          </w:tcPr>
          <w:p>
            <w:pPr>
              <w:adjustRightInd w:val="0"/>
              <w:snapToGrid w:val="0"/>
              <w:spacing w:line="288" w:lineRule="auto"/>
              <w:rPr>
                <w:rFonts w:ascii="仿宋" w:hAnsi="仿宋" w:eastAsia="仿宋" w:cs="仿宋"/>
                <w:bCs/>
                <w:color w:val="auto"/>
                <w:szCs w:val="21"/>
                <w:highlight w:val="none"/>
              </w:rPr>
            </w:pPr>
            <w:r>
              <w:rPr>
                <w:rFonts w:hint="eastAsia" w:ascii="仿宋" w:hAnsi="仿宋" w:eastAsia="仿宋" w:cs="仿宋"/>
                <w:bCs/>
                <w:color w:val="auto"/>
                <w:szCs w:val="21"/>
                <w:highlight w:val="none"/>
              </w:rPr>
              <w:t>正面：</w:t>
            </w:r>
          </w:p>
        </w:tc>
        <w:tc>
          <w:tcPr>
            <w:tcW w:w="4814" w:type="dxa"/>
          </w:tcPr>
          <w:p>
            <w:pPr>
              <w:adjustRightInd w:val="0"/>
              <w:snapToGrid w:val="0"/>
              <w:spacing w:line="288" w:lineRule="auto"/>
              <w:rPr>
                <w:rFonts w:ascii="仿宋" w:hAnsi="仿宋" w:eastAsia="仿宋" w:cs="仿宋"/>
                <w:bCs/>
                <w:color w:val="auto"/>
                <w:szCs w:val="21"/>
                <w:highlight w:val="none"/>
              </w:rPr>
            </w:pPr>
            <w:r>
              <w:rPr>
                <w:rFonts w:hint="eastAsia" w:ascii="仿宋" w:hAnsi="仿宋" w:eastAsia="仿宋" w:cs="仿宋"/>
                <w:bCs/>
                <w:color w:val="auto"/>
                <w:szCs w:val="21"/>
                <w:highlight w:val="none"/>
              </w:rPr>
              <w:t>反面：</w:t>
            </w:r>
          </w:p>
        </w:tc>
      </w:tr>
    </w:tbl>
    <w:p>
      <w:pPr>
        <w:rPr>
          <w:rFonts w:ascii="仿宋" w:hAnsi="仿宋" w:eastAsia="仿宋" w:cs="仿宋"/>
          <w:b/>
          <w:bCs/>
          <w:color w:val="auto"/>
          <w:szCs w:val="21"/>
          <w:highlight w:val="none"/>
        </w:rPr>
      </w:pPr>
      <w:r>
        <w:rPr>
          <w:rFonts w:hint="eastAsia" w:ascii="仿宋" w:hAnsi="仿宋" w:eastAsia="仿宋" w:cs="仿宋"/>
          <w:b/>
          <w:bCs/>
          <w:color w:val="auto"/>
          <w:szCs w:val="21"/>
          <w:highlight w:val="none"/>
        </w:rPr>
        <w:br w:type="page"/>
      </w:r>
    </w:p>
    <w:p>
      <w:pPr>
        <w:adjustRightInd w:val="0"/>
        <w:snapToGrid w:val="0"/>
        <w:spacing w:line="360" w:lineRule="auto"/>
        <w:jc w:val="center"/>
        <w:outlineLvl w:val="2"/>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授权委托书</w:t>
      </w:r>
    </w:p>
    <w:p>
      <w:pPr>
        <w:adjustRightInd w:val="0"/>
        <w:snapToGrid w:val="0"/>
        <w:spacing w:line="360" w:lineRule="auto"/>
        <w:jc w:val="center"/>
        <w:rPr>
          <w:rFonts w:ascii="仿宋" w:hAnsi="仿宋" w:eastAsia="仿宋" w:cs="仿宋"/>
          <w:b/>
          <w:bCs/>
          <w:color w:val="auto"/>
          <w:spacing w:val="-6"/>
          <w:sz w:val="18"/>
          <w:szCs w:val="18"/>
          <w:highlight w:val="none"/>
        </w:rPr>
      </w:pPr>
      <w:r>
        <w:rPr>
          <w:rFonts w:hint="eastAsia" w:ascii="仿宋" w:hAnsi="仿宋" w:eastAsia="仿宋" w:cs="仿宋"/>
          <w:b/>
          <w:bCs/>
          <w:color w:val="auto"/>
          <w:sz w:val="18"/>
          <w:szCs w:val="18"/>
          <w:highlight w:val="none"/>
        </w:rPr>
        <w:t>[适用于供应商授权代表不是法定代表人（单位负责人、自然人本人）</w:t>
      </w:r>
      <w:r>
        <w:rPr>
          <w:rFonts w:hint="eastAsia" w:ascii="仿宋" w:hAnsi="仿宋" w:eastAsia="仿宋" w:cs="仿宋"/>
          <w:b/>
          <w:bCs/>
          <w:color w:val="auto"/>
          <w:spacing w:val="-6"/>
          <w:sz w:val="18"/>
          <w:szCs w:val="18"/>
          <w:highlight w:val="none"/>
        </w:rPr>
        <w:t>代表供应商参与磋商]</w:t>
      </w:r>
    </w:p>
    <w:p>
      <w:pPr>
        <w:adjustRightInd w:val="0"/>
        <w:snapToGrid w:val="0"/>
        <w:spacing w:line="360" w:lineRule="auto"/>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t>致：之江实验室、浙江求是招标代理有限公司</w:t>
      </w:r>
    </w:p>
    <w:p>
      <w:pPr>
        <w:adjustRightInd w:val="0"/>
        <w:snapToGrid w:val="0"/>
        <w:spacing w:line="360" w:lineRule="auto"/>
        <w:ind w:firstLine="396"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现授权委托：</w:t>
      </w:r>
      <w:r>
        <w:rPr>
          <w:rFonts w:hint="eastAsia" w:ascii="仿宋" w:hAnsi="仿宋" w:eastAsia="仿宋" w:cs="仿宋"/>
          <w:color w:val="auto"/>
          <w:spacing w:val="-6"/>
          <w:szCs w:val="21"/>
          <w:highlight w:val="none"/>
          <w:u w:val="single"/>
        </w:rPr>
        <w:t xml:space="preserve">            </w:t>
      </w:r>
      <w:r>
        <w:rPr>
          <w:rFonts w:hint="eastAsia" w:ascii="仿宋" w:hAnsi="仿宋" w:eastAsia="仿宋" w:cs="仿宋"/>
          <w:color w:val="auto"/>
          <w:spacing w:val="-6"/>
          <w:szCs w:val="21"/>
          <w:highlight w:val="none"/>
        </w:rPr>
        <w:t>（授权代表姓名）（身份证号码：</w:t>
      </w:r>
      <w:r>
        <w:rPr>
          <w:rFonts w:hint="eastAsia" w:ascii="仿宋" w:hAnsi="仿宋" w:eastAsia="仿宋" w:cs="仿宋"/>
          <w:color w:val="auto"/>
          <w:spacing w:val="-6"/>
          <w:szCs w:val="21"/>
          <w:highlight w:val="none"/>
          <w:u w:val="single"/>
        </w:rPr>
        <w:t xml:space="preserve">            </w:t>
      </w:r>
      <w:r>
        <w:rPr>
          <w:rFonts w:hint="eastAsia" w:ascii="仿宋" w:hAnsi="仿宋" w:eastAsia="仿宋" w:cs="仿宋"/>
          <w:color w:val="auto"/>
          <w:spacing w:val="-6"/>
          <w:szCs w:val="21"/>
          <w:highlight w:val="none"/>
        </w:rPr>
        <w:t>，手机：</w:t>
      </w:r>
      <w:r>
        <w:rPr>
          <w:rFonts w:hint="eastAsia" w:ascii="仿宋" w:hAnsi="仿宋" w:eastAsia="仿宋" w:cs="仿宋"/>
          <w:color w:val="auto"/>
          <w:spacing w:val="-6"/>
          <w:szCs w:val="21"/>
          <w:highlight w:val="none"/>
          <w:u w:val="single"/>
        </w:rPr>
        <w:t xml:space="preserve">            </w:t>
      </w:r>
      <w:r>
        <w:rPr>
          <w:rFonts w:hint="eastAsia" w:ascii="仿宋" w:hAnsi="仿宋" w:eastAsia="仿宋" w:cs="仿宋"/>
          <w:color w:val="auto"/>
          <w:spacing w:val="-6"/>
          <w:szCs w:val="21"/>
          <w:highlight w:val="none"/>
        </w:rPr>
        <w:t>）以我方的名义参加</w:t>
      </w:r>
      <w:r>
        <w:rPr>
          <w:rFonts w:hint="eastAsia" w:ascii="仿宋" w:hAnsi="仿宋" w:eastAsia="仿宋" w:cs="仿宋"/>
          <w:bCs/>
          <w:color w:val="auto"/>
          <w:spacing w:val="-6"/>
          <w:szCs w:val="21"/>
          <w:highlight w:val="none"/>
        </w:rPr>
        <w:t>之江实验室</w:t>
      </w:r>
      <w:r>
        <w:rPr>
          <w:rFonts w:hint="eastAsia" w:ascii="仿宋" w:hAnsi="仿宋" w:eastAsia="仿宋" w:cs="仿宋"/>
          <w:bCs/>
          <w:color w:val="auto"/>
          <w:spacing w:val="-6"/>
          <w:szCs w:val="21"/>
          <w:highlight w:val="none"/>
          <w:lang w:eastAsia="zh-CN"/>
        </w:rPr>
        <w:t>算力中心展厅展陈</w:t>
      </w:r>
      <w:r>
        <w:rPr>
          <w:rFonts w:hint="eastAsia" w:ascii="仿宋" w:hAnsi="仿宋" w:eastAsia="仿宋" w:cs="仿宋"/>
          <w:color w:val="auto"/>
          <w:spacing w:val="-6"/>
          <w:szCs w:val="21"/>
          <w:highlight w:val="none"/>
        </w:rPr>
        <w:t>项目</w:t>
      </w:r>
      <w:r>
        <w:rPr>
          <w:rFonts w:hint="eastAsia" w:ascii="仿宋" w:hAnsi="仿宋" w:eastAsia="仿宋" w:cs="仿宋"/>
          <w:bCs/>
          <w:color w:val="auto"/>
          <w:spacing w:val="-6"/>
          <w:szCs w:val="21"/>
          <w:highlight w:val="none"/>
        </w:rPr>
        <w:t>[项目编号：</w:t>
      </w:r>
      <w:r>
        <w:rPr>
          <w:rFonts w:hint="eastAsia" w:ascii="仿宋" w:hAnsi="仿宋" w:eastAsia="仿宋" w:cs="仿宋"/>
          <w:bCs/>
          <w:color w:val="auto"/>
          <w:spacing w:val="-6"/>
          <w:szCs w:val="21"/>
          <w:highlight w:val="none"/>
          <w:lang w:eastAsia="zh-CN"/>
        </w:rPr>
        <w:t>ZJLAB-JZ-CS2024011</w:t>
      </w:r>
      <w:r>
        <w:rPr>
          <w:rFonts w:hint="eastAsia" w:ascii="仿宋" w:hAnsi="仿宋" w:eastAsia="仿宋" w:cs="仿宋"/>
          <w:bCs/>
          <w:color w:val="auto"/>
          <w:spacing w:val="-6"/>
          <w:szCs w:val="21"/>
          <w:highlight w:val="none"/>
        </w:rPr>
        <w:t>]的采购</w:t>
      </w:r>
      <w:r>
        <w:rPr>
          <w:rFonts w:hint="eastAsia" w:ascii="仿宋" w:hAnsi="仿宋" w:eastAsia="仿宋" w:cs="仿宋"/>
          <w:color w:val="auto"/>
          <w:spacing w:val="-6"/>
          <w:szCs w:val="21"/>
          <w:highlight w:val="none"/>
        </w:rPr>
        <w:t>活动，并代表我方全权办理针对上述项目的响应、评审、签约等具体事务和签署相关文件。</w:t>
      </w:r>
    </w:p>
    <w:p>
      <w:pPr>
        <w:adjustRightInd w:val="0"/>
        <w:snapToGrid w:val="0"/>
        <w:spacing w:line="360" w:lineRule="auto"/>
        <w:ind w:firstLine="396"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我方对被授权人的签名负全部责任。</w:t>
      </w:r>
    </w:p>
    <w:p>
      <w:pPr>
        <w:adjustRightInd w:val="0"/>
        <w:snapToGrid w:val="0"/>
        <w:spacing w:line="360" w:lineRule="auto"/>
        <w:ind w:firstLine="396"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在撤销授权的书面通知以前，本授权书一直有效。被授权人在授权书有效期内签署的所有文件不因授权的撤销而失效。</w:t>
      </w:r>
    </w:p>
    <w:p>
      <w:pPr>
        <w:adjustRightInd w:val="0"/>
        <w:snapToGrid w:val="0"/>
        <w:spacing w:line="360" w:lineRule="auto"/>
        <w:ind w:firstLine="396" w:firstLineChars="200"/>
        <w:rPr>
          <w:rFonts w:ascii="仿宋" w:hAnsi="仿宋" w:eastAsia="仿宋" w:cs="仿宋"/>
          <w:b/>
          <w:bCs/>
          <w:color w:val="auto"/>
          <w:szCs w:val="21"/>
          <w:highlight w:val="none"/>
        </w:rPr>
      </w:pPr>
      <w:r>
        <w:rPr>
          <w:rFonts w:hint="eastAsia" w:ascii="仿宋" w:hAnsi="仿宋" w:eastAsia="仿宋" w:cs="仿宋"/>
          <w:color w:val="auto"/>
          <w:spacing w:val="-6"/>
          <w:szCs w:val="21"/>
          <w:highlight w:val="none"/>
        </w:rPr>
        <w:t>被授权人无转委托权，特此告知。</w:t>
      </w:r>
    </w:p>
    <w:p>
      <w:pPr>
        <w:adjustRightInd w:val="0"/>
        <w:snapToGrid w:val="0"/>
        <w:spacing w:line="360" w:lineRule="auto"/>
        <w:rPr>
          <w:rFonts w:ascii="仿宋" w:hAnsi="仿宋" w:eastAsia="仿宋" w:cs="仿宋"/>
          <w:color w:val="auto"/>
          <w:szCs w:val="21"/>
          <w:highlight w:val="none"/>
        </w:rPr>
      </w:pPr>
    </w:p>
    <w:p>
      <w:pPr>
        <w:adjustRightInd w:val="0"/>
        <w:snapToGrid w:val="0"/>
        <w:spacing w:line="360" w:lineRule="auto"/>
        <w:rPr>
          <w:rFonts w:ascii="仿宋" w:hAnsi="仿宋" w:eastAsia="仿宋" w:cs="仿宋"/>
          <w:b/>
          <w:bCs/>
          <w:color w:val="auto"/>
          <w:spacing w:val="-6"/>
          <w:szCs w:val="21"/>
          <w:highlight w:val="none"/>
        </w:rPr>
      </w:pPr>
    </w:p>
    <w:p>
      <w:pPr>
        <w:adjustRightInd w:val="0"/>
        <w:snapToGrid w:val="0"/>
        <w:spacing w:line="360" w:lineRule="auto"/>
        <w:rPr>
          <w:rFonts w:ascii="仿宋" w:hAnsi="仿宋" w:eastAsia="仿宋" w:cs="仿宋"/>
          <w:b/>
          <w:bCs/>
          <w:color w:val="auto"/>
          <w:spacing w:val="-6"/>
          <w:szCs w:val="21"/>
          <w:highlight w:val="none"/>
        </w:rPr>
      </w:pPr>
    </w:p>
    <w:p>
      <w:pPr>
        <w:adjustRightInd w:val="0"/>
        <w:snapToGrid w:val="0"/>
        <w:spacing w:line="360" w:lineRule="auto"/>
        <w:rPr>
          <w:rFonts w:ascii="仿宋" w:hAnsi="仿宋" w:eastAsia="仿宋" w:cs="仿宋"/>
          <w:b/>
          <w:bCs/>
          <w:color w:val="auto"/>
          <w:spacing w:val="-6"/>
          <w:szCs w:val="21"/>
          <w:highlight w:val="none"/>
        </w:rPr>
      </w:pPr>
      <w:r>
        <w:rPr>
          <w:rFonts w:hint="eastAsia" w:ascii="仿宋" w:hAnsi="仿宋" w:eastAsia="仿宋" w:cs="仿宋"/>
          <w:b/>
          <w:bCs/>
          <w:color w:val="auto"/>
          <w:spacing w:val="-6"/>
          <w:szCs w:val="21"/>
          <w:highlight w:val="none"/>
        </w:rPr>
        <w:t>供应商名称（公章）：</w:t>
      </w:r>
    </w:p>
    <w:p>
      <w:pPr>
        <w:adjustRightInd w:val="0"/>
        <w:snapToGrid w:val="0"/>
        <w:spacing w:line="360" w:lineRule="auto"/>
        <w:rPr>
          <w:rFonts w:ascii="仿宋" w:hAnsi="仿宋" w:eastAsia="仿宋" w:cs="仿宋"/>
          <w:b/>
          <w:bCs/>
          <w:color w:val="auto"/>
          <w:spacing w:val="-6"/>
          <w:szCs w:val="21"/>
          <w:highlight w:val="none"/>
        </w:rPr>
      </w:pPr>
      <w:r>
        <w:rPr>
          <w:rFonts w:hint="eastAsia" w:ascii="仿宋" w:hAnsi="仿宋" w:eastAsia="仿宋" w:cs="仿宋"/>
          <w:b/>
          <w:bCs/>
          <w:color w:val="auto"/>
          <w:spacing w:val="-6"/>
          <w:szCs w:val="21"/>
          <w:highlight w:val="none"/>
        </w:rPr>
        <w:t>日期：     年   月   日</w:t>
      </w:r>
    </w:p>
    <w:p>
      <w:pPr>
        <w:adjustRightInd w:val="0"/>
        <w:snapToGrid w:val="0"/>
        <w:spacing w:line="360" w:lineRule="auto"/>
        <w:rPr>
          <w:rFonts w:ascii="仿宋" w:hAnsi="仿宋" w:eastAsia="仿宋" w:cs="仿宋"/>
          <w:b/>
          <w:bCs/>
          <w:color w:val="auto"/>
          <w:spacing w:val="-6"/>
          <w:szCs w:val="21"/>
          <w:highlight w:val="none"/>
        </w:rPr>
      </w:pPr>
      <w:r>
        <w:rPr>
          <w:rFonts w:hint="eastAsia" w:ascii="仿宋" w:hAnsi="仿宋" w:eastAsia="仿宋" w:cs="仿宋"/>
          <w:b/>
          <w:bCs/>
          <w:color w:val="auto"/>
          <w:spacing w:val="-6"/>
          <w:szCs w:val="21"/>
          <w:highlight w:val="none"/>
        </w:rPr>
        <w:br w:type="page"/>
      </w:r>
    </w:p>
    <w:p>
      <w:pPr>
        <w:spacing w:line="360" w:lineRule="auto"/>
        <w:jc w:val="center"/>
        <w:outlineLvl w:val="3"/>
        <w:rPr>
          <w:rFonts w:ascii="仿宋" w:hAnsi="仿宋" w:eastAsia="仿宋" w:cs="仿宋"/>
          <w:b/>
          <w:color w:val="auto"/>
          <w:spacing w:val="-6"/>
          <w:sz w:val="24"/>
          <w:highlight w:val="none"/>
        </w:rPr>
      </w:pPr>
      <w:r>
        <w:rPr>
          <w:rFonts w:hint="eastAsia" w:ascii="仿宋" w:hAnsi="仿宋" w:eastAsia="仿宋" w:cs="仿宋"/>
          <w:b/>
          <w:color w:val="auto"/>
          <w:spacing w:val="-6"/>
          <w:sz w:val="24"/>
          <w:highlight w:val="none"/>
        </w:rPr>
        <w:t>近三个月供应商授权代表社保缴纳证明</w:t>
      </w:r>
    </w:p>
    <w:p>
      <w:pPr>
        <w:pStyle w:val="12"/>
        <w:spacing w:line="360" w:lineRule="auto"/>
        <w:ind w:firstLine="0"/>
        <w:rPr>
          <w:rFonts w:ascii="仿宋" w:hAnsi="仿宋" w:eastAsia="仿宋" w:cs="仿宋"/>
          <w:b/>
          <w:bCs/>
          <w:color w:val="auto"/>
          <w:sz w:val="21"/>
          <w:szCs w:val="21"/>
          <w:highlight w:val="none"/>
        </w:rPr>
      </w:pPr>
    </w:p>
    <w:p>
      <w:pPr>
        <w:pStyle w:val="12"/>
        <w:spacing w:line="360" w:lineRule="auto"/>
        <w:ind w:firstLine="0"/>
        <w:rPr>
          <w:rFonts w:ascii="仿宋" w:hAnsi="仿宋" w:eastAsia="仿宋" w:cs="仿宋"/>
          <w:b/>
          <w:bCs/>
          <w:color w:val="auto"/>
          <w:sz w:val="21"/>
          <w:szCs w:val="21"/>
          <w:highlight w:val="none"/>
        </w:rPr>
      </w:pPr>
      <w:r>
        <w:rPr>
          <w:rFonts w:hint="eastAsia" w:ascii="仿宋" w:hAnsi="仿宋" w:eastAsia="仿宋" w:cs="仿宋"/>
          <w:b/>
          <w:bCs/>
          <w:color w:val="auto"/>
          <w:szCs w:val="18"/>
          <w:highlight w:val="none"/>
        </w:rPr>
        <w:t>说明：供应商委派不在本单位缴纳社保的人员作为授权代表的，在响应文件中说明具体原因、授权代表缴纳社保单位并附列该授权代表缴纳社保清单（近三个月）。</w:t>
      </w:r>
    </w:p>
    <w:p>
      <w:pPr>
        <w:pStyle w:val="12"/>
        <w:spacing w:line="360" w:lineRule="auto"/>
        <w:jc w:val="cente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br w:type="page"/>
      </w:r>
    </w:p>
    <w:p>
      <w:pPr>
        <w:spacing w:line="360" w:lineRule="auto"/>
        <w:jc w:val="center"/>
        <w:outlineLvl w:val="2"/>
        <w:rPr>
          <w:rFonts w:ascii="仿宋" w:hAnsi="仿宋" w:eastAsia="仿宋" w:cs="仿宋"/>
          <w:b/>
          <w:color w:val="auto"/>
          <w:spacing w:val="-6"/>
          <w:sz w:val="24"/>
          <w:highlight w:val="none"/>
        </w:rPr>
      </w:pPr>
      <w:r>
        <w:rPr>
          <w:rFonts w:hint="eastAsia" w:ascii="仿宋" w:hAnsi="仿宋" w:eastAsia="仿宋" w:cs="仿宋"/>
          <w:b/>
          <w:color w:val="auto"/>
          <w:spacing w:val="-6"/>
          <w:sz w:val="24"/>
          <w:highlight w:val="none"/>
        </w:rPr>
        <w:t>采购需求偏离表</w:t>
      </w:r>
    </w:p>
    <w:p>
      <w:pPr>
        <w:adjustRightInd w:val="0"/>
        <w:snapToGrid w:val="0"/>
        <w:spacing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采 购 人：之江实验室</w:t>
      </w:r>
    </w:p>
    <w:p>
      <w:pPr>
        <w:spacing w:line="360" w:lineRule="auto"/>
        <w:rPr>
          <w:rFonts w:hint="eastAsia" w:ascii="仿宋" w:hAnsi="仿宋" w:eastAsia="仿宋" w:cs="仿宋"/>
          <w:color w:val="auto"/>
          <w:spacing w:val="-6"/>
          <w:szCs w:val="21"/>
          <w:highlight w:val="none"/>
          <w:lang w:eastAsia="zh-CN"/>
        </w:rPr>
      </w:pPr>
      <w:r>
        <w:rPr>
          <w:rFonts w:hint="eastAsia" w:ascii="仿宋" w:hAnsi="仿宋" w:eastAsia="仿宋" w:cs="仿宋"/>
          <w:bCs/>
          <w:color w:val="auto"/>
          <w:spacing w:val="-6"/>
          <w:szCs w:val="21"/>
          <w:highlight w:val="none"/>
        </w:rPr>
        <w:t>项目名称：</w:t>
      </w:r>
      <w:r>
        <w:rPr>
          <w:rFonts w:hint="eastAsia" w:ascii="仿宋" w:hAnsi="仿宋" w:eastAsia="仿宋" w:cs="仿宋"/>
          <w:bCs/>
          <w:color w:val="auto"/>
          <w:spacing w:val="-6"/>
          <w:szCs w:val="21"/>
          <w:highlight w:val="none"/>
          <w:lang w:eastAsia="zh-CN"/>
        </w:rPr>
        <w:t>算力中心展厅展陈</w:t>
      </w:r>
    </w:p>
    <w:p>
      <w:pPr>
        <w:spacing w:line="360" w:lineRule="auto"/>
        <w:rPr>
          <w:rFonts w:hint="eastAsia" w:ascii="仿宋" w:hAnsi="仿宋" w:eastAsia="仿宋" w:cs="仿宋"/>
          <w:color w:val="auto"/>
          <w:spacing w:val="-6"/>
          <w:szCs w:val="21"/>
          <w:highlight w:val="none"/>
          <w:lang w:eastAsia="zh-CN"/>
        </w:rPr>
      </w:pPr>
      <w:r>
        <w:rPr>
          <w:rFonts w:hint="eastAsia" w:ascii="仿宋" w:hAnsi="仿宋" w:eastAsia="仿宋" w:cs="仿宋"/>
          <w:color w:val="auto"/>
          <w:spacing w:val="-6"/>
          <w:szCs w:val="21"/>
          <w:highlight w:val="none"/>
        </w:rPr>
        <w:t>项目编号：</w:t>
      </w:r>
      <w:r>
        <w:rPr>
          <w:rFonts w:hint="eastAsia" w:ascii="仿宋" w:hAnsi="仿宋" w:eastAsia="仿宋" w:cs="仿宋"/>
          <w:color w:val="auto"/>
          <w:spacing w:val="-6"/>
          <w:szCs w:val="21"/>
          <w:highlight w:val="none"/>
          <w:lang w:eastAsia="zh-CN"/>
        </w:rPr>
        <w:t>ZJLAB-JZ-CS2024011</w:t>
      </w:r>
    </w:p>
    <w:tbl>
      <w:tblPr>
        <w:tblStyle w:val="28"/>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3480"/>
        <w:gridCol w:w="2911"/>
        <w:gridCol w:w="2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0"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序号</w:t>
            </w:r>
          </w:p>
        </w:tc>
        <w:tc>
          <w:tcPr>
            <w:tcW w:w="3480"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磋商文件要求</w:t>
            </w:r>
          </w:p>
        </w:tc>
        <w:tc>
          <w:tcPr>
            <w:tcW w:w="2911"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响应规格</w:t>
            </w:r>
          </w:p>
        </w:tc>
        <w:tc>
          <w:tcPr>
            <w:tcW w:w="2407"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是否偏离（提供说明）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28" w:type="dxa"/>
            <w:gridSpan w:val="4"/>
            <w:vAlign w:val="center"/>
          </w:tcPr>
          <w:p>
            <w:pPr>
              <w:rPr>
                <w:rFonts w:ascii="仿宋" w:hAnsi="仿宋" w:eastAsia="仿宋" w:cs="仿宋"/>
                <w:color w:val="auto"/>
                <w:szCs w:val="21"/>
                <w:highlight w:val="none"/>
              </w:rPr>
            </w:pPr>
            <w:r>
              <w:rPr>
                <w:rFonts w:hint="eastAsia" w:ascii="仿宋" w:hAnsi="仿宋" w:eastAsia="仿宋" w:cs="仿宋"/>
                <w:b/>
                <w:bCs/>
                <w:color w:val="auto"/>
                <w:szCs w:val="21"/>
                <w:highlight w:val="none"/>
              </w:rPr>
              <w:t>采购资金的支付方式、时间、条件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0"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1</w:t>
            </w:r>
          </w:p>
        </w:tc>
        <w:tc>
          <w:tcPr>
            <w:tcW w:w="3480" w:type="dxa"/>
            <w:vAlign w:val="center"/>
          </w:tcPr>
          <w:p>
            <w:pPr>
              <w:rPr>
                <w:rFonts w:ascii="仿宋" w:hAnsi="仿宋" w:eastAsia="仿宋" w:cs="仿宋"/>
                <w:color w:val="auto"/>
                <w:szCs w:val="21"/>
                <w:highlight w:val="none"/>
              </w:rPr>
            </w:pPr>
          </w:p>
        </w:tc>
        <w:tc>
          <w:tcPr>
            <w:tcW w:w="2911" w:type="dxa"/>
            <w:vAlign w:val="center"/>
          </w:tcPr>
          <w:p>
            <w:pPr>
              <w:rPr>
                <w:rFonts w:ascii="仿宋" w:hAnsi="仿宋" w:eastAsia="仿宋" w:cs="仿宋"/>
                <w:color w:val="auto"/>
                <w:szCs w:val="21"/>
                <w:highlight w:val="none"/>
              </w:rPr>
            </w:pPr>
          </w:p>
        </w:tc>
        <w:tc>
          <w:tcPr>
            <w:tcW w:w="2407" w:type="dxa"/>
            <w:vAlign w:val="center"/>
          </w:tcPr>
          <w:p>
            <w:pP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0"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2</w:t>
            </w:r>
          </w:p>
        </w:tc>
        <w:tc>
          <w:tcPr>
            <w:tcW w:w="3480" w:type="dxa"/>
            <w:vAlign w:val="center"/>
          </w:tcPr>
          <w:p>
            <w:pPr>
              <w:rPr>
                <w:rFonts w:ascii="仿宋" w:hAnsi="仿宋" w:eastAsia="仿宋" w:cs="仿宋"/>
                <w:color w:val="auto"/>
                <w:szCs w:val="21"/>
                <w:highlight w:val="none"/>
              </w:rPr>
            </w:pPr>
          </w:p>
        </w:tc>
        <w:tc>
          <w:tcPr>
            <w:tcW w:w="2911" w:type="dxa"/>
            <w:vAlign w:val="center"/>
          </w:tcPr>
          <w:p>
            <w:pPr>
              <w:rPr>
                <w:rFonts w:ascii="仿宋" w:hAnsi="仿宋" w:eastAsia="仿宋" w:cs="仿宋"/>
                <w:color w:val="auto"/>
                <w:szCs w:val="21"/>
                <w:highlight w:val="none"/>
              </w:rPr>
            </w:pPr>
          </w:p>
        </w:tc>
        <w:tc>
          <w:tcPr>
            <w:tcW w:w="2407" w:type="dxa"/>
            <w:vAlign w:val="center"/>
          </w:tcPr>
          <w:p>
            <w:pP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0"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w:t>
            </w:r>
          </w:p>
        </w:tc>
        <w:tc>
          <w:tcPr>
            <w:tcW w:w="3480" w:type="dxa"/>
            <w:vAlign w:val="center"/>
          </w:tcPr>
          <w:p>
            <w:pPr>
              <w:rPr>
                <w:rFonts w:ascii="仿宋" w:hAnsi="仿宋" w:eastAsia="仿宋" w:cs="仿宋"/>
                <w:color w:val="auto"/>
                <w:szCs w:val="21"/>
                <w:highlight w:val="none"/>
              </w:rPr>
            </w:pPr>
          </w:p>
        </w:tc>
        <w:tc>
          <w:tcPr>
            <w:tcW w:w="2911" w:type="dxa"/>
            <w:vAlign w:val="center"/>
          </w:tcPr>
          <w:p>
            <w:pPr>
              <w:rPr>
                <w:rFonts w:ascii="仿宋" w:hAnsi="仿宋" w:eastAsia="仿宋" w:cs="仿宋"/>
                <w:color w:val="auto"/>
                <w:szCs w:val="21"/>
                <w:highlight w:val="none"/>
              </w:rPr>
            </w:pPr>
          </w:p>
        </w:tc>
        <w:tc>
          <w:tcPr>
            <w:tcW w:w="2407" w:type="dxa"/>
            <w:vAlign w:val="center"/>
          </w:tcPr>
          <w:p>
            <w:pP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28" w:type="dxa"/>
            <w:gridSpan w:val="4"/>
            <w:vAlign w:val="center"/>
          </w:tcPr>
          <w:p>
            <w:pPr>
              <w:rPr>
                <w:rFonts w:ascii="仿宋" w:hAnsi="仿宋" w:eastAsia="仿宋" w:cs="仿宋"/>
                <w:color w:val="auto"/>
                <w:szCs w:val="21"/>
                <w:highlight w:val="none"/>
              </w:rPr>
            </w:pPr>
            <w:r>
              <w:rPr>
                <w:rFonts w:hint="eastAsia" w:ascii="仿宋" w:hAnsi="仿宋" w:eastAsia="仿宋" w:cs="仿宋"/>
                <w:b/>
                <w:bCs/>
                <w:color w:val="auto"/>
                <w:szCs w:val="21"/>
                <w:highlight w:val="none"/>
              </w:rPr>
              <w:t>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0"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1</w:t>
            </w:r>
          </w:p>
        </w:tc>
        <w:tc>
          <w:tcPr>
            <w:tcW w:w="3480" w:type="dxa"/>
            <w:vAlign w:val="center"/>
          </w:tcPr>
          <w:p>
            <w:pPr>
              <w:rPr>
                <w:rFonts w:ascii="仿宋" w:hAnsi="仿宋" w:eastAsia="仿宋" w:cs="仿宋"/>
                <w:color w:val="auto"/>
                <w:szCs w:val="21"/>
                <w:highlight w:val="none"/>
              </w:rPr>
            </w:pPr>
          </w:p>
        </w:tc>
        <w:tc>
          <w:tcPr>
            <w:tcW w:w="2911" w:type="dxa"/>
            <w:vAlign w:val="center"/>
          </w:tcPr>
          <w:p>
            <w:pPr>
              <w:rPr>
                <w:rFonts w:ascii="仿宋" w:hAnsi="仿宋" w:eastAsia="仿宋" w:cs="仿宋"/>
                <w:color w:val="auto"/>
                <w:szCs w:val="21"/>
                <w:highlight w:val="none"/>
              </w:rPr>
            </w:pPr>
          </w:p>
        </w:tc>
        <w:tc>
          <w:tcPr>
            <w:tcW w:w="2407" w:type="dxa"/>
            <w:vAlign w:val="center"/>
          </w:tcPr>
          <w:p>
            <w:pP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0"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2</w:t>
            </w:r>
          </w:p>
        </w:tc>
        <w:tc>
          <w:tcPr>
            <w:tcW w:w="3480" w:type="dxa"/>
            <w:vAlign w:val="center"/>
          </w:tcPr>
          <w:p>
            <w:pPr>
              <w:rPr>
                <w:rFonts w:ascii="仿宋" w:hAnsi="仿宋" w:eastAsia="仿宋" w:cs="仿宋"/>
                <w:color w:val="auto"/>
                <w:szCs w:val="21"/>
                <w:highlight w:val="none"/>
              </w:rPr>
            </w:pPr>
          </w:p>
        </w:tc>
        <w:tc>
          <w:tcPr>
            <w:tcW w:w="2911" w:type="dxa"/>
            <w:vAlign w:val="center"/>
          </w:tcPr>
          <w:p>
            <w:pPr>
              <w:rPr>
                <w:rFonts w:ascii="仿宋" w:hAnsi="仿宋" w:eastAsia="仿宋" w:cs="仿宋"/>
                <w:color w:val="auto"/>
                <w:szCs w:val="21"/>
                <w:highlight w:val="none"/>
              </w:rPr>
            </w:pPr>
          </w:p>
        </w:tc>
        <w:tc>
          <w:tcPr>
            <w:tcW w:w="2407" w:type="dxa"/>
            <w:vAlign w:val="center"/>
          </w:tcPr>
          <w:p>
            <w:pP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0"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w:t>
            </w:r>
          </w:p>
        </w:tc>
        <w:tc>
          <w:tcPr>
            <w:tcW w:w="3480" w:type="dxa"/>
            <w:vAlign w:val="center"/>
          </w:tcPr>
          <w:p>
            <w:pPr>
              <w:rPr>
                <w:rFonts w:ascii="仿宋" w:hAnsi="仿宋" w:eastAsia="仿宋" w:cs="仿宋"/>
                <w:color w:val="auto"/>
                <w:szCs w:val="21"/>
                <w:highlight w:val="none"/>
              </w:rPr>
            </w:pPr>
          </w:p>
        </w:tc>
        <w:tc>
          <w:tcPr>
            <w:tcW w:w="2911" w:type="dxa"/>
            <w:vAlign w:val="center"/>
          </w:tcPr>
          <w:p>
            <w:pPr>
              <w:rPr>
                <w:rFonts w:ascii="仿宋" w:hAnsi="仿宋" w:eastAsia="仿宋" w:cs="仿宋"/>
                <w:color w:val="auto"/>
                <w:szCs w:val="21"/>
                <w:highlight w:val="none"/>
              </w:rPr>
            </w:pPr>
          </w:p>
        </w:tc>
        <w:tc>
          <w:tcPr>
            <w:tcW w:w="2407" w:type="dxa"/>
            <w:vAlign w:val="center"/>
          </w:tcPr>
          <w:p>
            <w:pP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28" w:type="dxa"/>
            <w:gridSpan w:val="4"/>
            <w:vAlign w:val="center"/>
          </w:tcPr>
          <w:p>
            <w:pPr>
              <w:rPr>
                <w:rFonts w:ascii="仿宋" w:hAnsi="仿宋" w:eastAsia="仿宋" w:cs="仿宋"/>
                <w:color w:val="auto"/>
                <w:szCs w:val="21"/>
                <w:highlight w:val="none"/>
              </w:rPr>
            </w:pPr>
            <w:r>
              <w:rPr>
                <w:rFonts w:hint="eastAsia" w:ascii="仿宋" w:hAnsi="仿宋" w:eastAsia="仿宋" w:cs="仿宋"/>
                <w:b/>
                <w:bCs/>
                <w:color w:val="auto"/>
                <w:szCs w:val="21"/>
                <w:highlight w:val="none"/>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0"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1</w:t>
            </w:r>
          </w:p>
        </w:tc>
        <w:tc>
          <w:tcPr>
            <w:tcW w:w="3480" w:type="dxa"/>
            <w:vAlign w:val="center"/>
          </w:tcPr>
          <w:p>
            <w:pPr>
              <w:rPr>
                <w:rFonts w:ascii="仿宋" w:hAnsi="仿宋" w:eastAsia="仿宋" w:cs="仿宋"/>
                <w:color w:val="auto"/>
                <w:szCs w:val="21"/>
                <w:highlight w:val="none"/>
              </w:rPr>
            </w:pPr>
          </w:p>
        </w:tc>
        <w:tc>
          <w:tcPr>
            <w:tcW w:w="2911" w:type="dxa"/>
            <w:vAlign w:val="center"/>
          </w:tcPr>
          <w:p>
            <w:pPr>
              <w:rPr>
                <w:rFonts w:ascii="仿宋" w:hAnsi="仿宋" w:eastAsia="仿宋" w:cs="仿宋"/>
                <w:color w:val="auto"/>
                <w:szCs w:val="21"/>
                <w:highlight w:val="none"/>
              </w:rPr>
            </w:pPr>
          </w:p>
        </w:tc>
        <w:tc>
          <w:tcPr>
            <w:tcW w:w="2407" w:type="dxa"/>
            <w:vAlign w:val="center"/>
          </w:tcPr>
          <w:p>
            <w:pP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0"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2</w:t>
            </w:r>
          </w:p>
        </w:tc>
        <w:tc>
          <w:tcPr>
            <w:tcW w:w="3480" w:type="dxa"/>
            <w:vAlign w:val="center"/>
          </w:tcPr>
          <w:p>
            <w:pPr>
              <w:rPr>
                <w:rFonts w:ascii="仿宋" w:hAnsi="仿宋" w:eastAsia="仿宋" w:cs="仿宋"/>
                <w:color w:val="auto"/>
                <w:szCs w:val="21"/>
                <w:highlight w:val="none"/>
              </w:rPr>
            </w:pPr>
          </w:p>
        </w:tc>
        <w:tc>
          <w:tcPr>
            <w:tcW w:w="2911" w:type="dxa"/>
            <w:vAlign w:val="center"/>
          </w:tcPr>
          <w:p>
            <w:pPr>
              <w:rPr>
                <w:rFonts w:ascii="仿宋" w:hAnsi="仿宋" w:eastAsia="仿宋" w:cs="仿宋"/>
                <w:color w:val="auto"/>
                <w:szCs w:val="21"/>
                <w:highlight w:val="none"/>
              </w:rPr>
            </w:pPr>
          </w:p>
        </w:tc>
        <w:tc>
          <w:tcPr>
            <w:tcW w:w="2407" w:type="dxa"/>
            <w:vAlign w:val="center"/>
          </w:tcPr>
          <w:p>
            <w:pP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0"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w:t>
            </w:r>
          </w:p>
        </w:tc>
        <w:tc>
          <w:tcPr>
            <w:tcW w:w="3480" w:type="dxa"/>
            <w:vAlign w:val="center"/>
          </w:tcPr>
          <w:p>
            <w:pPr>
              <w:rPr>
                <w:rFonts w:ascii="仿宋" w:hAnsi="仿宋" w:eastAsia="仿宋" w:cs="仿宋"/>
                <w:color w:val="auto"/>
                <w:szCs w:val="21"/>
                <w:highlight w:val="none"/>
              </w:rPr>
            </w:pPr>
          </w:p>
        </w:tc>
        <w:tc>
          <w:tcPr>
            <w:tcW w:w="2911" w:type="dxa"/>
            <w:vAlign w:val="center"/>
          </w:tcPr>
          <w:p>
            <w:pPr>
              <w:rPr>
                <w:rFonts w:ascii="仿宋" w:hAnsi="仿宋" w:eastAsia="仿宋" w:cs="仿宋"/>
                <w:color w:val="auto"/>
                <w:szCs w:val="21"/>
                <w:highlight w:val="none"/>
              </w:rPr>
            </w:pPr>
          </w:p>
        </w:tc>
        <w:tc>
          <w:tcPr>
            <w:tcW w:w="2407" w:type="dxa"/>
            <w:vAlign w:val="center"/>
          </w:tcPr>
          <w:p>
            <w:pP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28" w:type="dxa"/>
            <w:gridSpan w:val="4"/>
            <w:vAlign w:val="center"/>
          </w:tcPr>
          <w:p>
            <w:pPr>
              <w:rPr>
                <w:rFonts w:ascii="仿宋" w:hAnsi="仿宋" w:eastAsia="仿宋" w:cs="仿宋"/>
                <w:color w:val="auto"/>
                <w:szCs w:val="21"/>
                <w:highlight w:val="none"/>
              </w:rPr>
            </w:pPr>
            <w:r>
              <w:rPr>
                <w:rFonts w:hint="eastAsia" w:ascii="仿宋" w:hAnsi="仿宋" w:eastAsia="仿宋" w:cs="仿宋"/>
                <w:b/>
                <w:bCs/>
                <w:color w:val="auto"/>
                <w:szCs w:val="21"/>
                <w:highlight w:val="none"/>
              </w:rPr>
              <w:t>合同条款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0"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1</w:t>
            </w:r>
          </w:p>
        </w:tc>
        <w:tc>
          <w:tcPr>
            <w:tcW w:w="3480" w:type="dxa"/>
            <w:vAlign w:val="center"/>
          </w:tcPr>
          <w:p>
            <w:pPr>
              <w:rPr>
                <w:rFonts w:ascii="仿宋" w:hAnsi="仿宋" w:eastAsia="仿宋" w:cs="仿宋"/>
                <w:color w:val="auto"/>
                <w:szCs w:val="21"/>
                <w:highlight w:val="none"/>
              </w:rPr>
            </w:pPr>
          </w:p>
        </w:tc>
        <w:tc>
          <w:tcPr>
            <w:tcW w:w="2911" w:type="dxa"/>
            <w:vAlign w:val="center"/>
          </w:tcPr>
          <w:p>
            <w:pPr>
              <w:rPr>
                <w:rFonts w:ascii="仿宋" w:hAnsi="仿宋" w:eastAsia="仿宋" w:cs="仿宋"/>
                <w:color w:val="auto"/>
                <w:szCs w:val="21"/>
                <w:highlight w:val="none"/>
              </w:rPr>
            </w:pPr>
          </w:p>
        </w:tc>
        <w:tc>
          <w:tcPr>
            <w:tcW w:w="2407" w:type="dxa"/>
            <w:vAlign w:val="center"/>
          </w:tcPr>
          <w:p>
            <w:pP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0"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2</w:t>
            </w:r>
          </w:p>
        </w:tc>
        <w:tc>
          <w:tcPr>
            <w:tcW w:w="3480" w:type="dxa"/>
            <w:vAlign w:val="center"/>
          </w:tcPr>
          <w:p>
            <w:pPr>
              <w:rPr>
                <w:rFonts w:ascii="仿宋" w:hAnsi="仿宋" w:eastAsia="仿宋" w:cs="仿宋"/>
                <w:color w:val="auto"/>
                <w:szCs w:val="21"/>
                <w:highlight w:val="none"/>
              </w:rPr>
            </w:pPr>
          </w:p>
        </w:tc>
        <w:tc>
          <w:tcPr>
            <w:tcW w:w="2911" w:type="dxa"/>
            <w:vAlign w:val="center"/>
          </w:tcPr>
          <w:p>
            <w:pPr>
              <w:rPr>
                <w:rFonts w:ascii="仿宋" w:hAnsi="仿宋" w:eastAsia="仿宋" w:cs="仿宋"/>
                <w:color w:val="auto"/>
                <w:szCs w:val="21"/>
                <w:highlight w:val="none"/>
              </w:rPr>
            </w:pPr>
          </w:p>
        </w:tc>
        <w:tc>
          <w:tcPr>
            <w:tcW w:w="2407" w:type="dxa"/>
            <w:vAlign w:val="center"/>
          </w:tcPr>
          <w:p>
            <w:pP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0"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w:t>
            </w:r>
          </w:p>
        </w:tc>
        <w:tc>
          <w:tcPr>
            <w:tcW w:w="3480" w:type="dxa"/>
            <w:vAlign w:val="center"/>
          </w:tcPr>
          <w:p>
            <w:pPr>
              <w:rPr>
                <w:rFonts w:ascii="仿宋" w:hAnsi="仿宋" w:eastAsia="仿宋" w:cs="仿宋"/>
                <w:color w:val="auto"/>
                <w:szCs w:val="21"/>
                <w:highlight w:val="none"/>
              </w:rPr>
            </w:pPr>
          </w:p>
        </w:tc>
        <w:tc>
          <w:tcPr>
            <w:tcW w:w="2911" w:type="dxa"/>
            <w:vAlign w:val="center"/>
          </w:tcPr>
          <w:p>
            <w:pPr>
              <w:rPr>
                <w:rFonts w:ascii="仿宋" w:hAnsi="仿宋" w:eastAsia="仿宋" w:cs="仿宋"/>
                <w:color w:val="auto"/>
                <w:szCs w:val="21"/>
                <w:highlight w:val="none"/>
              </w:rPr>
            </w:pPr>
          </w:p>
        </w:tc>
        <w:tc>
          <w:tcPr>
            <w:tcW w:w="2407" w:type="dxa"/>
            <w:vAlign w:val="center"/>
          </w:tcPr>
          <w:p>
            <w:pPr>
              <w:rPr>
                <w:rFonts w:ascii="仿宋" w:hAnsi="仿宋" w:eastAsia="仿宋" w:cs="仿宋"/>
                <w:color w:val="auto"/>
                <w:szCs w:val="21"/>
                <w:highlight w:val="none"/>
              </w:rPr>
            </w:pPr>
          </w:p>
        </w:tc>
      </w:tr>
    </w:tbl>
    <w:p>
      <w:pPr>
        <w:adjustRightInd w:val="0"/>
        <w:snapToGrid w:val="0"/>
        <w:spacing w:line="360" w:lineRule="auto"/>
        <w:rPr>
          <w:rFonts w:ascii="仿宋" w:hAnsi="仿宋" w:eastAsia="仿宋" w:cs="仿宋"/>
          <w:color w:val="auto"/>
          <w:szCs w:val="21"/>
          <w:highlight w:val="none"/>
        </w:rPr>
      </w:pPr>
    </w:p>
    <w:p>
      <w:pPr>
        <w:adjustRightInd w:val="0"/>
        <w:snapToGrid w:val="0"/>
        <w:spacing w:line="360" w:lineRule="auto"/>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说明：</w:t>
      </w:r>
    </w:p>
    <w:p>
      <w:pPr>
        <w:adjustRightInd w:val="0"/>
        <w:snapToGrid w:val="0"/>
        <w:spacing w:line="360" w:lineRule="auto"/>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1.逐项按照磋商文件要求填写响应规格；</w:t>
      </w:r>
    </w:p>
    <w:p>
      <w:pPr>
        <w:adjustRightInd w:val="0"/>
        <w:snapToGrid w:val="0"/>
        <w:spacing w:line="360" w:lineRule="auto"/>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2.偏离说明是指对磋商文件要求存在不同之处的解释说明，偏离系指正偏离（高于采购需求）、负偏离（低于采购需求）、无偏离（满足采购需求）；</w:t>
      </w:r>
    </w:p>
    <w:p>
      <w:pPr>
        <w:adjustRightInd w:val="0"/>
        <w:snapToGrid w:val="0"/>
        <w:spacing w:line="360" w:lineRule="auto"/>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3.如不填写或未如实填写，自行承担响应风险。</w:t>
      </w:r>
    </w:p>
    <w:p>
      <w:pPr>
        <w:adjustRightInd w:val="0"/>
        <w:snapToGrid w:val="0"/>
        <w:spacing w:line="360" w:lineRule="auto"/>
        <w:rPr>
          <w:rFonts w:ascii="仿宋" w:hAnsi="仿宋" w:eastAsia="仿宋" w:cs="仿宋"/>
          <w:color w:val="auto"/>
          <w:szCs w:val="21"/>
          <w:highlight w:val="none"/>
        </w:rPr>
      </w:pPr>
    </w:p>
    <w:p>
      <w:pPr>
        <w:adjustRightInd w:val="0"/>
        <w:snapToGrid w:val="0"/>
        <w:spacing w:line="360" w:lineRule="auto"/>
        <w:rPr>
          <w:rFonts w:ascii="仿宋" w:hAnsi="仿宋" w:eastAsia="仿宋" w:cs="仿宋"/>
          <w:color w:val="auto"/>
          <w:szCs w:val="21"/>
          <w:highlight w:val="none"/>
        </w:rPr>
      </w:pPr>
    </w:p>
    <w:p>
      <w:pPr>
        <w:adjustRightInd w:val="0"/>
        <w:snapToGrid w:val="0"/>
        <w:spacing w:line="360" w:lineRule="auto"/>
        <w:rPr>
          <w:rFonts w:ascii="仿宋" w:hAnsi="仿宋" w:eastAsia="仿宋" w:cs="仿宋"/>
          <w:color w:val="auto"/>
          <w:szCs w:val="21"/>
          <w:highlight w:val="none"/>
        </w:rPr>
      </w:pPr>
    </w:p>
    <w:p>
      <w:pPr>
        <w:adjustRightInd w:val="0"/>
        <w:snapToGrid w:val="0"/>
        <w:spacing w:line="360" w:lineRule="auto"/>
        <w:rPr>
          <w:rFonts w:ascii="仿宋" w:hAnsi="仿宋" w:eastAsia="仿宋" w:cs="仿宋"/>
          <w:b/>
          <w:bCs/>
          <w:color w:val="auto"/>
          <w:spacing w:val="-6"/>
          <w:szCs w:val="21"/>
          <w:highlight w:val="none"/>
        </w:rPr>
      </w:pPr>
      <w:r>
        <w:rPr>
          <w:rFonts w:hint="eastAsia" w:ascii="仿宋" w:hAnsi="仿宋" w:eastAsia="仿宋" w:cs="仿宋"/>
          <w:b/>
          <w:bCs/>
          <w:color w:val="auto"/>
          <w:spacing w:val="-6"/>
          <w:szCs w:val="21"/>
          <w:highlight w:val="none"/>
        </w:rPr>
        <w:t>供应商名称（公章）：</w:t>
      </w:r>
    </w:p>
    <w:p>
      <w:pPr>
        <w:adjustRightInd w:val="0"/>
        <w:snapToGrid w:val="0"/>
        <w:spacing w:line="360" w:lineRule="auto"/>
        <w:rPr>
          <w:rFonts w:ascii="仿宋" w:hAnsi="仿宋" w:eastAsia="仿宋" w:cs="仿宋"/>
          <w:b/>
          <w:bCs/>
          <w:color w:val="auto"/>
          <w:spacing w:val="-6"/>
          <w:szCs w:val="21"/>
          <w:highlight w:val="none"/>
        </w:rPr>
      </w:pPr>
      <w:r>
        <w:rPr>
          <w:rFonts w:hint="eastAsia" w:ascii="仿宋" w:hAnsi="仿宋" w:eastAsia="仿宋" w:cs="仿宋"/>
          <w:b/>
          <w:bCs/>
          <w:color w:val="auto"/>
          <w:spacing w:val="-6"/>
          <w:szCs w:val="21"/>
          <w:highlight w:val="none"/>
        </w:rPr>
        <w:t>供应商授权代表（签字）：</w:t>
      </w:r>
    </w:p>
    <w:p>
      <w:pPr>
        <w:adjustRightInd w:val="0"/>
        <w:snapToGrid w:val="0"/>
        <w:spacing w:line="360" w:lineRule="auto"/>
        <w:rPr>
          <w:rFonts w:ascii="仿宋" w:hAnsi="仿宋" w:eastAsia="仿宋" w:cs="仿宋"/>
          <w:b/>
          <w:bCs/>
          <w:color w:val="auto"/>
          <w:spacing w:val="-6"/>
          <w:szCs w:val="21"/>
          <w:highlight w:val="none"/>
        </w:rPr>
      </w:pPr>
      <w:r>
        <w:rPr>
          <w:rFonts w:hint="eastAsia" w:ascii="仿宋" w:hAnsi="仿宋" w:eastAsia="仿宋" w:cs="仿宋"/>
          <w:b/>
          <w:bCs/>
          <w:color w:val="auto"/>
          <w:spacing w:val="-6"/>
          <w:szCs w:val="21"/>
          <w:highlight w:val="none"/>
        </w:rPr>
        <w:t>日期：     年   月   日</w:t>
      </w:r>
    </w:p>
    <w:p>
      <w:pPr>
        <w:pStyle w:val="12"/>
        <w:spacing w:line="360" w:lineRule="auto"/>
        <w:ind w:firstLine="0"/>
        <w:rPr>
          <w:rFonts w:ascii="仿宋" w:hAnsi="仿宋" w:eastAsia="仿宋" w:cs="仿宋"/>
          <w:b/>
          <w:bCs/>
          <w:color w:val="auto"/>
          <w:spacing w:val="-6"/>
          <w:sz w:val="21"/>
          <w:szCs w:val="21"/>
          <w:highlight w:val="none"/>
        </w:rPr>
      </w:pPr>
      <w:r>
        <w:rPr>
          <w:rFonts w:hint="eastAsia" w:ascii="仿宋" w:hAnsi="仿宋" w:eastAsia="仿宋" w:cs="仿宋"/>
          <w:b/>
          <w:bCs/>
          <w:color w:val="auto"/>
          <w:spacing w:val="-6"/>
          <w:sz w:val="21"/>
          <w:szCs w:val="21"/>
          <w:highlight w:val="none"/>
        </w:rPr>
        <w:br w:type="page"/>
      </w:r>
    </w:p>
    <w:p>
      <w:pPr>
        <w:spacing w:line="360" w:lineRule="auto"/>
        <w:jc w:val="center"/>
        <w:outlineLvl w:val="2"/>
        <w:rPr>
          <w:rFonts w:ascii="仿宋" w:hAnsi="仿宋" w:eastAsia="仿宋" w:cs="仿宋"/>
          <w:b/>
          <w:color w:val="auto"/>
          <w:spacing w:val="-6"/>
          <w:sz w:val="24"/>
          <w:highlight w:val="none"/>
        </w:rPr>
      </w:pPr>
      <w:r>
        <w:rPr>
          <w:rFonts w:hint="eastAsia" w:ascii="仿宋" w:hAnsi="仿宋" w:eastAsia="仿宋" w:cs="仿宋"/>
          <w:b/>
          <w:color w:val="auto"/>
          <w:spacing w:val="-6"/>
          <w:sz w:val="24"/>
          <w:highlight w:val="none"/>
        </w:rPr>
        <w:t>供应商类似合同实施情况一览表</w:t>
      </w:r>
    </w:p>
    <w:tbl>
      <w:tblPr>
        <w:tblStyle w:val="27"/>
        <w:tblW w:w="96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0"/>
        <w:gridCol w:w="1133"/>
        <w:gridCol w:w="1441"/>
        <w:gridCol w:w="683"/>
        <w:gridCol w:w="1153"/>
        <w:gridCol w:w="829"/>
        <w:gridCol w:w="1556"/>
        <w:gridCol w:w="19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序号</w:t>
            </w: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采购单位</w:t>
            </w: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项目名称</w:t>
            </w:r>
          </w:p>
        </w:tc>
        <w:tc>
          <w:tcPr>
            <w:tcW w:w="6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数量</w:t>
            </w:r>
          </w:p>
        </w:tc>
        <w:tc>
          <w:tcPr>
            <w:tcW w:w="115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合同金额</w:t>
            </w:r>
          </w:p>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（万元）</w:t>
            </w: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附件页码</w:t>
            </w:r>
          </w:p>
        </w:tc>
        <w:tc>
          <w:tcPr>
            <w:tcW w:w="155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合同签订时间</w:t>
            </w:r>
          </w:p>
        </w:tc>
        <w:tc>
          <w:tcPr>
            <w:tcW w:w="19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采购单位联系人</w:t>
            </w:r>
          </w:p>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c>
          <w:tcPr>
            <w:tcW w:w="6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c>
          <w:tcPr>
            <w:tcW w:w="115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c>
          <w:tcPr>
            <w:tcW w:w="155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c>
          <w:tcPr>
            <w:tcW w:w="19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c>
          <w:tcPr>
            <w:tcW w:w="6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c>
          <w:tcPr>
            <w:tcW w:w="115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c>
          <w:tcPr>
            <w:tcW w:w="155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c>
          <w:tcPr>
            <w:tcW w:w="19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c>
          <w:tcPr>
            <w:tcW w:w="6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c>
          <w:tcPr>
            <w:tcW w:w="115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c>
          <w:tcPr>
            <w:tcW w:w="155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c>
          <w:tcPr>
            <w:tcW w:w="19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c>
          <w:tcPr>
            <w:tcW w:w="6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c>
          <w:tcPr>
            <w:tcW w:w="115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c>
          <w:tcPr>
            <w:tcW w:w="155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c>
          <w:tcPr>
            <w:tcW w:w="19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c>
          <w:tcPr>
            <w:tcW w:w="6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c>
          <w:tcPr>
            <w:tcW w:w="115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c>
          <w:tcPr>
            <w:tcW w:w="155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c>
          <w:tcPr>
            <w:tcW w:w="1983"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color w:val="auto"/>
                <w:szCs w:val="21"/>
                <w:highlight w:val="none"/>
              </w:rPr>
            </w:pPr>
          </w:p>
        </w:tc>
      </w:tr>
    </w:tbl>
    <w:p>
      <w:pPr>
        <w:pStyle w:val="21"/>
        <w:spacing w:line="360" w:lineRule="auto"/>
        <w:ind w:left="420" w:hanging="420"/>
        <w:rPr>
          <w:rFonts w:ascii="仿宋" w:hAnsi="仿宋" w:eastAsia="仿宋" w:cs="仿宋"/>
          <w:color w:val="auto"/>
          <w:sz w:val="21"/>
          <w:szCs w:val="21"/>
          <w:highlight w:val="none"/>
        </w:rPr>
      </w:pPr>
    </w:p>
    <w:p>
      <w:pPr>
        <w:spacing w:line="360" w:lineRule="auto"/>
        <w:rPr>
          <w:rFonts w:ascii="仿宋" w:hAnsi="仿宋" w:eastAsia="仿宋" w:cs="仿宋"/>
          <w:b/>
          <w:color w:val="auto"/>
          <w:spacing w:val="-6"/>
          <w:sz w:val="18"/>
          <w:szCs w:val="18"/>
          <w:highlight w:val="none"/>
        </w:rPr>
      </w:pPr>
      <w:r>
        <w:rPr>
          <w:rFonts w:hint="eastAsia" w:ascii="仿宋" w:hAnsi="仿宋" w:eastAsia="仿宋" w:cs="仿宋"/>
          <w:b/>
          <w:color w:val="auto"/>
          <w:spacing w:val="-6"/>
          <w:sz w:val="18"/>
          <w:szCs w:val="18"/>
          <w:highlight w:val="none"/>
        </w:rPr>
        <w:t>说明：</w:t>
      </w:r>
    </w:p>
    <w:p>
      <w:pPr>
        <w:spacing w:line="360" w:lineRule="auto"/>
        <w:rPr>
          <w:rFonts w:ascii="仿宋" w:hAnsi="仿宋" w:eastAsia="仿宋" w:cs="仿宋"/>
          <w:b/>
          <w:color w:val="auto"/>
          <w:spacing w:val="-6"/>
          <w:sz w:val="18"/>
          <w:szCs w:val="18"/>
          <w:highlight w:val="none"/>
        </w:rPr>
      </w:pPr>
      <w:r>
        <w:rPr>
          <w:rFonts w:hint="eastAsia" w:ascii="仿宋" w:hAnsi="仿宋" w:eastAsia="仿宋" w:cs="仿宋"/>
          <w:b/>
          <w:color w:val="auto"/>
          <w:spacing w:val="-6"/>
          <w:sz w:val="18"/>
          <w:szCs w:val="18"/>
          <w:highlight w:val="none"/>
        </w:rPr>
        <w:t>1.供应商须提供上述业绩合同及对应验收报告复印件；</w:t>
      </w:r>
    </w:p>
    <w:p>
      <w:pPr>
        <w:spacing w:line="360" w:lineRule="auto"/>
        <w:rPr>
          <w:rFonts w:ascii="仿宋" w:hAnsi="仿宋" w:eastAsia="仿宋" w:cs="仿宋"/>
          <w:b/>
          <w:color w:val="auto"/>
          <w:spacing w:val="-6"/>
          <w:sz w:val="18"/>
          <w:szCs w:val="18"/>
          <w:highlight w:val="none"/>
        </w:rPr>
      </w:pPr>
      <w:r>
        <w:rPr>
          <w:rFonts w:hint="eastAsia" w:ascii="仿宋" w:hAnsi="仿宋" w:eastAsia="仿宋" w:cs="仿宋"/>
          <w:b/>
          <w:color w:val="auto"/>
          <w:spacing w:val="-6"/>
          <w:sz w:val="18"/>
          <w:szCs w:val="18"/>
          <w:highlight w:val="none"/>
        </w:rPr>
        <w:t>2.所有合同复印件应清晰，应能体现合同签订时间、双方签字盖章等内容；</w:t>
      </w:r>
    </w:p>
    <w:p>
      <w:pPr>
        <w:adjustRightInd w:val="0"/>
        <w:snapToGrid w:val="0"/>
        <w:spacing w:line="360" w:lineRule="auto"/>
        <w:rPr>
          <w:rFonts w:ascii="仿宋" w:hAnsi="仿宋" w:eastAsia="仿宋" w:cs="仿宋"/>
          <w:color w:val="auto"/>
          <w:sz w:val="18"/>
          <w:szCs w:val="18"/>
          <w:highlight w:val="none"/>
        </w:rPr>
      </w:pPr>
      <w:r>
        <w:rPr>
          <w:rFonts w:hint="eastAsia" w:ascii="仿宋" w:hAnsi="仿宋" w:eastAsia="仿宋" w:cs="仿宋"/>
          <w:b/>
          <w:color w:val="auto"/>
          <w:spacing w:val="-6"/>
          <w:sz w:val="18"/>
          <w:szCs w:val="18"/>
          <w:highlight w:val="none"/>
        </w:rPr>
        <w:t>3.供应商应在不涉及商业秘密的前提下尽可能提供详细的合同复印件内容。</w:t>
      </w:r>
    </w:p>
    <w:p>
      <w:pPr>
        <w:adjustRightInd w:val="0"/>
        <w:snapToGrid w:val="0"/>
        <w:spacing w:line="360" w:lineRule="auto"/>
        <w:rPr>
          <w:rFonts w:ascii="仿宋" w:hAnsi="仿宋" w:eastAsia="仿宋" w:cs="仿宋"/>
          <w:color w:val="auto"/>
          <w:szCs w:val="21"/>
          <w:highlight w:val="none"/>
        </w:rPr>
      </w:pPr>
    </w:p>
    <w:p>
      <w:pPr>
        <w:adjustRightInd w:val="0"/>
        <w:snapToGrid w:val="0"/>
        <w:spacing w:line="360" w:lineRule="auto"/>
        <w:rPr>
          <w:rFonts w:ascii="仿宋" w:hAnsi="仿宋" w:eastAsia="仿宋" w:cs="仿宋"/>
          <w:color w:val="auto"/>
          <w:szCs w:val="21"/>
          <w:highlight w:val="none"/>
        </w:rPr>
      </w:pPr>
    </w:p>
    <w:p>
      <w:pPr>
        <w:adjustRightInd w:val="0"/>
        <w:snapToGrid w:val="0"/>
        <w:spacing w:line="360" w:lineRule="auto"/>
        <w:rPr>
          <w:rFonts w:ascii="仿宋" w:hAnsi="仿宋" w:eastAsia="仿宋" w:cs="仿宋"/>
          <w:b/>
          <w:bCs/>
          <w:color w:val="auto"/>
          <w:spacing w:val="-6"/>
          <w:szCs w:val="21"/>
          <w:highlight w:val="none"/>
        </w:rPr>
      </w:pPr>
    </w:p>
    <w:p>
      <w:pPr>
        <w:adjustRightInd w:val="0"/>
        <w:snapToGrid w:val="0"/>
        <w:spacing w:line="360" w:lineRule="auto"/>
        <w:rPr>
          <w:rFonts w:ascii="仿宋" w:hAnsi="仿宋" w:eastAsia="仿宋" w:cs="仿宋"/>
          <w:b/>
          <w:bCs/>
          <w:color w:val="auto"/>
          <w:spacing w:val="-6"/>
          <w:szCs w:val="21"/>
          <w:highlight w:val="none"/>
        </w:rPr>
      </w:pPr>
      <w:r>
        <w:rPr>
          <w:rFonts w:hint="eastAsia" w:ascii="仿宋" w:hAnsi="仿宋" w:eastAsia="仿宋" w:cs="仿宋"/>
          <w:b/>
          <w:bCs/>
          <w:color w:val="auto"/>
          <w:spacing w:val="-6"/>
          <w:szCs w:val="21"/>
          <w:highlight w:val="none"/>
        </w:rPr>
        <w:t>供应商名称（公章）：</w:t>
      </w:r>
    </w:p>
    <w:p>
      <w:pPr>
        <w:adjustRightInd w:val="0"/>
        <w:snapToGrid w:val="0"/>
        <w:spacing w:line="360" w:lineRule="auto"/>
        <w:rPr>
          <w:rFonts w:ascii="仿宋" w:hAnsi="仿宋" w:eastAsia="仿宋" w:cs="仿宋"/>
          <w:b/>
          <w:bCs/>
          <w:color w:val="auto"/>
          <w:spacing w:val="-6"/>
          <w:szCs w:val="21"/>
          <w:highlight w:val="none"/>
        </w:rPr>
      </w:pPr>
      <w:r>
        <w:rPr>
          <w:rFonts w:hint="eastAsia" w:ascii="仿宋" w:hAnsi="仿宋" w:eastAsia="仿宋" w:cs="仿宋"/>
          <w:b/>
          <w:bCs/>
          <w:color w:val="auto"/>
          <w:spacing w:val="-6"/>
          <w:szCs w:val="21"/>
          <w:highlight w:val="none"/>
        </w:rPr>
        <w:t>供应商授权代表（签字）：</w:t>
      </w:r>
    </w:p>
    <w:p>
      <w:pPr>
        <w:adjustRightInd w:val="0"/>
        <w:snapToGrid w:val="0"/>
        <w:spacing w:line="360" w:lineRule="auto"/>
        <w:rPr>
          <w:rFonts w:ascii="仿宋" w:hAnsi="仿宋" w:eastAsia="仿宋" w:cs="仿宋"/>
          <w:b/>
          <w:bCs/>
          <w:color w:val="auto"/>
          <w:spacing w:val="-6"/>
          <w:szCs w:val="21"/>
          <w:highlight w:val="none"/>
        </w:rPr>
      </w:pPr>
      <w:r>
        <w:rPr>
          <w:rFonts w:hint="eastAsia" w:ascii="仿宋" w:hAnsi="仿宋" w:eastAsia="仿宋" w:cs="仿宋"/>
          <w:b/>
          <w:bCs/>
          <w:color w:val="auto"/>
          <w:spacing w:val="-6"/>
          <w:szCs w:val="21"/>
          <w:highlight w:val="none"/>
        </w:rPr>
        <w:t>日期：     年   月   日</w:t>
      </w:r>
    </w:p>
    <w:p>
      <w:pPr>
        <w:rPr>
          <w:rFonts w:ascii="仿宋" w:hAnsi="仿宋" w:eastAsia="仿宋" w:cs="仿宋"/>
          <w:b/>
          <w:bCs/>
          <w:color w:val="auto"/>
          <w:spacing w:val="-6"/>
          <w:szCs w:val="21"/>
          <w:highlight w:val="none"/>
        </w:rPr>
      </w:pPr>
      <w:r>
        <w:rPr>
          <w:rFonts w:hint="eastAsia" w:ascii="仿宋" w:hAnsi="仿宋" w:eastAsia="仿宋" w:cs="仿宋"/>
          <w:b/>
          <w:bCs/>
          <w:color w:val="auto"/>
          <w:spacing w:val="-6"/>
          <w:szCs w:val="21"/>
          <w:highlight w:val="none"/>
        </w:rPr>
        <w:br w:type="page"/>
      </w:r>
    </w:p>
    <w:p>
      <w:pPr>
        <w:adjustRightInd w:val="0"/>
        <w:snapToGrid w:val="0"/>
        <w:spacing w:line="360" w:lineRule="auto"/>
        <w:jc w:val="center"/>
        <w:outlineLvl w:val="2"/>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节能、环保产品证明材料</w:t>
      </w:r>
    </w:p>
    <w:p>
      <w:pPr>
        <w:pStyle w:val="12"/>
        <w:spacing w:line="360" w:lineRule="auto"/>
        <w:ind w:firstLine="0"/>
        <w:rPr>
          <w:rFonts w:ascii="仿宋" w:hAnsi="仿宋" w:eastAsia="仿宋" w:cs="仿宋"/>
          <w:b/>
          <w:bCs/>
          <w:color w:val="auto"/>
          <w:spacing w:val="-6"/>
          <w:szCs w:val="18"/>
          <w:highlight w:val="none"/>
        </w:rPr>
      </w:pPr>
      <w:r>
        <w:rPr>
          <w:rFonts w:hint="eastAsia" w:ascii="仿宋" w:hAnsi="仿宋" w:eastAsia="仿宋" w:cs="仿宋"/>
          <w:b/>
          <w:bCs/>
          <w:color w:val="auto"/>
          <w:spacing w:val="-6"/>
          <w:szCs w:val="18"/>
          <w:highlight w:val="none"/>
        </w:rPr>
        <w:t>说明：</w:t>
      </w:r>
    </w:p>
    <w:p>
      <w:pPr>
        <w:pStyle w:val="12"/>
        <w:spacing w:line="360" w:lineRule="auto"/>
        <w:ind w:firstLine="0"/>
        <w:rPr>
          <w:rFonts w:ascii="仿宋" w:hAnsi="仿宋" w:eastAsia="仿宋" w:cs="仿宋"/>
          <w:b/>
          <w:bCs/>
          <w:color w:val="auto"/>
          <w:spacing w:val="-6"/>
          <w:szCs w:val="18"/>
          <w:highlight w:val="none"/>
        </w:rPr>
      </w:pPr>
      <w:r>
        <w:rPr>
          <w:rFonts w:hint="eastAsia" w:ascii="仿宋" w:hAnsi="仿宋" w:eastAsia="仿宋" w:cs="仿宋"/>
          <w:b/>
          <w:bCs/>
          <w:color w:val="auto"/>
          <w:spacing w:val="-6"/>
          <w:szCs w:val="18"/>
          <w:highlight w:val="none"/>
        </w:rPr>
        <w:t>1.响应产品属于财政部、发展改革委公布的“节能产品政府采购品目清单”范围且由国家确定的认证机构出具的处于有效期之内的节能产品认证证书复印件</w:t>
      </w:r>
    </w:p>
    <w:p>
      <w:pPr>
        <w:pStyle w:val="12"/>
        <w:spacing w:line="360" w:lineRule="auto"/>
        <w:ind w:firstLine="0"/>
        <w:rPr>
          <w:rFonts w:ascii="仿宋" w:hAnsi="仿宋" w:eastAsia="仿宋" w:cs="仿宋"/>
          <w:b/>
          <w:bCs/>
          <w:color w:val="auto"/>
          <w:spacing w:val="-6"/>
          <w:sz w:val="21"/>
          <w:szCs w:val="21"/>
          <w:highlight w:val="none"/>
        </w:rPr>
      </w:pPr>
      <w:r>
        <w:rPr>
          <w:rFonts w:hint="eastAsia" w:ascii="仿宋" w:hAnsi="仿宋" w:eastAsia="仿宋" w:cs="仿宋"/>
          <w:b/>
          <w:bCs/>
          <w:color w:val="auto"/>
          <w:spacing w:val="-6"/>
          <w:szCs w:val="18"/>
          <w:highlight w:val="none"/>
        </w:rPr>
        <w:t>2.响应产品属于财政部、生态环境部公布的“环境标志产品政府采购品目清单”范围且由国家确定的认证机构出具的处于有效期之内的环境标志产品认证证书复印件</w:t>
      </w:r>
    </w:p>
    <w:p>
      <w:pPr>
        <w:pStyle w:val="12"/>
        <w:spacing w:line="360" w:lineRule="auto"/>
        <w:ind w:firstLine="0"/>
        <w:rPr>
          <w:rFonts w:ascii="仿宋" w:hAnsi="仿宋" w:eastAsia="仿宋" w:cs="仿宋"/>
          <w:b/>
          <w:bCs/>
          <w:color w:val="auto"/>
          <w:spacing w:val="-6"/>
          <w:sz w:val="21"/>
          <w:szCs w:val="21"/>
          <w:highlight w:val="none"/>
        </w:rPr>
      </w:pPr>
      <w:r>
        <w:rPr>
          <w:rFonts w:hint="eastAsia" w:ascii="仿宋" w:hAnsi="仿宋" w:eastAsia="仿宋" w:cs="仿宋"/>
          <w:b/>
          <w:bCs/>
          <w:color w:val="auto"/>
          <w:spacing w:val="-6"/>
          <w:sz w:val="21"/>
          <w:szCs w:val="21"/>
          <w:highlight w:val="none"/>
        </w:rPr>
        <w:br w:type="page"/>
      </w:r>
    </w:p>
    <w:p>
      <w:pPr>
        <w:pStyle w:val="39"/>
        <w:spacing w:line="360" w:lineRule="auto"/>
        <w:jc w:val="center"/>
        <w:outlineLvl w:val="2"/>
        <w:rPr>
          <w:rFonts w:ascii="仿宋" w:hAnsi="仿宋" w:eastAsia="仿宋" w:cs="仿宋"/>
          <w:b/>
          <w:bCs/>
          <w:iCs/>
          <w:color w:val="auto"/>
          <w:spacing w:val="-6"/>
          <w:kern w:val="2"/>
          <w:highlight w:val="none"/>
        </w:rPr>
      </w:pPr>
      <w:r>
        <w:rPr>
          <w:rFonts w:hint="eastAsia" w:ascii="仿宋" w:hAnsi="仿宋" w:eastAsia="仿宋" w:cs="仿宋"/>
          <w:b/>
          <w:bCs/>
          <w:iCs/>
          <w:color w:val="auto"/>
          <w:spacing w:val="-6"/>
          <w:kern w:val="2"/>
          <w:highlight w:val="none"/>
        </w:rPr>
        <w:t>货物配置清单</w:t>
      </w:r>
    </w:p>
    <w:tbl>
      <w:tblPr>
        <w:tblStyle w:val="27"/>
        <w:tblW w:w="96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8"/>
        <w:gridCol w:w="1841"/>
        <w:gridCol w:w="1011"/>
        <w:gridCol w:w="1010"/>
        <w:gridCol w:w="1266"/>
        <w:gridCol w:w="756"/>
        <w:gridCol w:w="1011"/>
        <w:gridCol w:w="20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序号</w:t>
            </w: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货物名称</w:t>
            </w: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厂家</w:t>
            </w:r>
          </w:p>
        </w:tc>
        <w:tc>
          <w:tcPr>
            <w:tcW w:w="10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品牌</w:t>
            </w:r>
          </w:p>
        </w:tc>
        <w:tc>
          <w:tcPr>
            <w:tcW w:w="12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规格型号</w:t>
            </w: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产地</w:t>
            </w: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数量</w:t>
            </w:r>
          </w:p>
        </w:tc>
        <w:tc>
          <w:tcPr>
            <w:tcW w:w="202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配置（可另附页）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Cs w:val="21"/>
                <w:highlight w:val="none"/>
              </w:rPr>
            </w:pP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Cs w:val="21"/>
                <w:highlight w:val="none"/>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10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12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202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Cs w:val="21"/>
                <w:highlight w:val="none"/>
              </w:rPr>
            </w:pP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Cs w:val="21"/>
                <w:highlight w:val="none"/>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10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12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202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Cs w:val="21"/>
                <w:highlight w:val="none"/>
              </w:rPr>
            </w:pP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Cs w:val="21"/>
                <w:highlight w:val="none"/>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10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12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202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Cs w:val="21"/>
                <w:highlight w:val="none"/>
              </w:rPr>
            </w:pP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Cs w:val="21"/>
                <w:highlight w:val="none"/>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10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12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202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Cs w:val="21"/>
                <w:highlight w:val="none"/>
              </w:rPr>
            </w:pP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Cs w:val="21"/>
                <w:highlight w:val="none"/>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10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12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202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Cs w:val="21"/>
                <w:highlight w:val="none"/>
              </w:rPr>
            </w:pP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Cs w:val="21"/>
                <w:highlight w:val="none"/>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10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12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202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Cs w:val="21"/>
                <w:highlight w:val="none"/>
              </w:rPr>
            </w:pP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Cs w:val="21"/>
                <w:highlight w:val="none"/>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10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12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202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Cs w:val="21"/>
                <w:highlight w:val="none"/>
              </w:rPr>
            </w:pP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Cs w:val="21"/>
                <w:highlight w:val="none"/>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10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12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202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Cs w:val="21"/>
                <w:highlight w:val="none"/>
              </w:rPr>
            </w:pP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Cs w:val="21"/>
                <w:highlight w:val="none"/>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10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12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202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r>
    </w:tbl>
    <w:p>
      <w:pPr>
        <w:spacing w:line="360" w:lineRule="auto"/>
        <w:rPr>
          <w:rFonts w:ascii="仿宋" w:hAnsi="仿宋" w:eastAsia="仿宋" w:cs="仿宋"/>
          <w:b/>
          <w:color w:val="auto"/>
          <w:spacing w:val="-6"/>
          <w:sz w:val="24"/>
          <w:highlight w:val="none"/>
        </w:rPr>
      </w:pPr>
    </w:p>
    <w:p>
      <w:pPr>
        <w:spacing w:line="360" w:lineRule="auto"/>
        <w:rPr>
          <w:rFonts w:ascii="仿宋" w:hAnsi="仿宋" w:eastAsia="仿宋" w:cs="仿宋"/>
          <w:b/>
          <w:color w:val="auto"/>
          <w:spacing w:val="-6"/>
          <w:sz w:val="24"/>
          <w:highlight w:val="none"/>
        </w:rPr>
      </w:pPr>
    </w:p>
    <w:p>
      <w:pPr>
        <w:pStyle w:val="39"/>
        <w:spacing w:line="360" w:lineRule="auto"/>
        <w:rPr>
          <w:rFonts w:ascii="仿宋" w:hAnsi="仿宋" w:eastAsia="仿宋" w:cs="仿宋"/>
          <w:b/>
          <w:color w:val="auto"/>
          <w:spacing w:val="-6"/>
          <w:highlight w:val="none"/>
        </w:rPr>
      </w:pPr>
    </w:p>
    <w:p>
      <w:pPr>
        <w:spacing w:line="360" w:lineRule="auto"/>
        <w:rPr>
          <w:rFonts w:ascii="仿宋" w:hAnsi="仿宋" w:eastAsia="仿宋" w:cs="仿宋"/>
          <w:b/>
          <w:bCs/>
          <w:color w:val="auto"/>
          <w:spacing w:val="-6"/>
          <w:sz w:val="24"/>
          <w:highlight w:val="none"/>
        </w:rPr>
      </w:pPr>
      <w:r>
        <w:rPr>
          <w:rFonts w:hint="eastAsia" w:ascii="仿宋" w:hAnsi="仿宋" w:eastAsia="仿宋" w:cs="仿宋"/>
          <w:b/>
          <w:bCs/>
          <w:color w:val="auto"/>
          <w:spacing w:val="-6"/>
          <w:sz w:val="24"/>
          <w:highlight w:val="none"/>
        </w:rPr>
        <w:t>供应商名称（公章）：</w:t>
      </w:r>
    </w:p>
    <w:p>
      <w:pPr>
        <w:spacing w:line="360" w:lineRule="auto"/>
        <w:rPr>
          <w:rFonts w:ascii="仿宋" w:hAnsi="仿宋" w:eastAsia="仿宋" w:cs="仿宋"/>
          <w:b/>
          <w:bCs/>
          <w:color w:val="auto"/>
          <w:spacing w:val="-6"/>
          <w:sz w:val="24"/>
          <w:highlight w:val="none"/>
        </w:rPr>
      </w:pPr>
      <w:r>
        <w:rPr>
          <w:rFonts w:hint="eastAsia" w:ascii="仿宋" w:hAnsi="仿宋" w:eastAsia="仿宋" w:cs="仿宋"/>
          <w:b/>
          <w:bCs/>
          <w:color w:val="auto"/>
          <w:spacing w:val="-6"/>
          <w:sz w:val="24"/>
          <w:highlight w:val="none"/>
        </w:rPr>
        <w:t>供应商授权代表（签字）：</w:t>
      </w:r>
    </w:p>
    <w:p>
      <w:pPr>
        <w:spacing w:line="360" w:lineRule="auto"/>
        <w:rPr>
          <w:rFonts w:ascii="仿宋" w:hAnsi="仿宋" w:eastAsia="仿宋" w:cs="仿宋"/>
          <w:b/>
          <w:bCs/>
          <w:iCs/>
          <w:color w:val="auto"/>
          <w:spacing w:val="-6"/>
          <w:sz w:val="24"/>
          <w:highlight w:val="none"/>
        </w:rPr>
      </w:pPr>
      <w:r>
        <w:rPr>
          <w:rFonts w:hint="eastAsia" w:ascii="仿宋" w:hAnsi="仿宋" w:eastAsia="仿宋" w:cs="仿宋"/>
          <w:b/>
          <w:bCs/>
          <w:color w:val="auto"/>
          <w:spacing w:val="-6"/>
          <w:sz w:val="24"/>
          <w:highlight w:val="none"/>
        </w:rPr>
        <w:t>日期：     年   月   日</w:t>
      </w:r>
    </w:p>
    <w:p>
      <w:pPr>
        <w:spacing w:line="360" w:lineRule="auto"/>
        <w:jc w:val="left"/>
        <w:rPr>
          <w:rFonts w:ascii="宋体" w:hAnsi="宋体" w:cs="宋体"/>
          <w:b/>
          <w:color w:val="auto"/>
          <w:spacing w:val="-6"/>
          <w:sz w:val="24"/>
          <w:highlight w:val="none"/>
        </w:rPr>
      </w:pPr>
      <w:r>
        <w:rPr>
          <w:rFonts w:hint="eastAsia" w:ascii="宋体" w:hAnsi="宋体" w:cs="宋体"/>
          <w:b/>
          <w:color w:val="auto"/>
          <w:spacing w:val="-6"/>
          <w:sz w:val="24"/>
          <w:highlight w:val="none"/>
        </w:rPr>
        <w:br w:type="page"/>
      </w:r>
    </w:p>
    <w:p>
      <w:pPr>
        <w:spacing w:line="360" w:lineRule="auto"/>
        <w:jc w:val="center"/>
        <w:outlineLvl w:val="2"/>
        <w:rPr>
          <w:rFonts w:ascii="仿宋" w:hAnsi="仿宋" w:eastAsia="仿宋" w:cs="仿宋"/>
          <w:b/>
          <w:color w:val="auto"/>
          <w:spacing w:val="-6"/>
          <w:sz w:val="24"/>
          <w:highlight w:val="none"/>
        </w:rPr>
      </w:pPr>
      <w:r>
        <w:rPr>
          <w:rFonts w:hint="eastAsia" w:ascii="仿宋" w:hAnsi="仿宋" w:eastAsia="仿宋" w:cs="仿宋"/>
          <w:b/>
          <w:color w:val="auto"/>
          <w:spacing w:val="-6"/>
          <w:sz w:val="24"/>
          <w:highlight w:val="none"/>
        </w:rPr>
        <w:t>技术方案</w:t>
      </w:r>
    </w:p>
    <w:p>
      <w:pPr>
        <w:spacing w:line="360" w:lineRule="auto"/>
        <w:rPr>
          <w:rFonts w:ascii="仿宋" w:hAnsi="仿宋" w:eastAsia="仿宋" w:cs="仿宋"/>
          <w:b/>
          <w:color w:val="auto"/>
          <w:spacing w:val="-6"/>
          <w:sz w:val="18"/>
          <w:szCs w:val="18"/>
          <w:highlight w:val="none"/>
        </w:rPr>
      </w:pPr>
      <w:r>
        <w:rPr>
          <w:rFonts w:hint="eastAsia" w:ascii="仿宋" w:hAnsi="仿宋" w:eastAsia="仿宋" w:cs="仿宋"/>
          <w:b/>
          <w:color w:val="auto"/>
          <w:spacing w:val="-6"/>
          <w:sz w:val="18"/>
          <w:szCs w:val="18"/>
          <w:highlight w:val="none"/>
        </w:rPr>
        <w:t>根据评分标准提供和编写（格式自拟），包括但不仅限于：</w:t>
      </w:r>
    </w:p>
    <w:p>
      <w:pPr>
        <w:spacing w:line="360" w:lineRule="auto"/>
        <w:rPr>
          <w:rFonts w:ascii="仿宋" w:hAnsi="仿宋" w:eastAsia="仿宋" w:cs="仿宋"/>
          <w:b/>
          <w:color w:val="auto"/>
          <w:spacing w:val="-6"/>
          <w:sz w:val="18"/>
          <w:szCs w:val="18"/>
          <w:highlight w:val="none"/>
        </w:rPr>
      </w:pPr>
      <w:r>
        <w:rPr>
          <w:rFonts w:hint="eastAsia" w:ascii="仿宋" w:hAnsi="仿宋" w:eastAsia="仿宋" w:cs="仿宋"/>
          <w:b/>
          <w:color w:val="auto"/>
          <w:spacing w:val="-6"/>
          <w:sz w:val="18"/>
          <w:szCs w:val="18"/>
          <w:highlight w:val="none"/>
        </w:rPr>
        <w:t>1.设计构想</w:t>
      </w:r>
    </w:p>
    <w:p>
      <w:pPr>
        <w:spacing w:line="360" w:lineRule="auto"/>
        <w:ind w:firstLine="169" w:firstLineChars="100"/>
        <w:rPr>
          <w:rFonts w:ascii="仿宋" w:hAnsi="仿宋" w:eastAsia="仿宋" w:cs="仿宋"/>
          <w:b/>
          <w:color w:val="auto"/>
          <w:spacing w:val="-6"/>
          <w:sz w:val="18"/>
          <w:szCs w:val="18"/>
          <w:highlight w:val="none"/>
        </w:rPr>
      </w:pPr>
      <w:r>
        <w:rPr>
          <w:rFonts w:hint="eastAsia" w:ascii="仿宋" w:hAnsi="仿宋" w:eastAsia="仿宋" w:cs="仿宋"/>
          <w:b/>
          <w:color w:val="auto"/>
          <w:spacing w:val="-6"/>
          <w:sz w:val="18"/>
          <w:szCs w:val="18"/>
          <w:highlight w:val="none"/>
        </w:rPr>
        <w:t>1.1 设计定位</w:t>
      </w:r>
    </w:p>
    <w:p>
      <w:pPr>
        <w:spacing w:line="360" w:lineRule="auto"/>
        <w:ind w:firstLine="169" w:firstLineChars="100"/>
        <w:rPr>
          <w:rFonts w:ascii="仿宋" w:hAnsi="仿宋" w:eastAsia="仿宋" w:cs="仿宋"/>
          <w:b/>
          <w:color w:val="auto"/>
          <w:spacing w:val="-6"/>
          <w:sz w:val="18"/>
          <w:szCs w:val="18"/>
          <w:highlight w:val="none"/>
        </w:rPr>
      </w:pPr>
      <w:r>
        <w:rPr>
          <w:rFonts w:hint="eastAsia" w:ascii="仿宋" w:hAnsi="仿宋" w:eastAsia="仿宋" w:cs="仿宋"/>
          <w:b/>
          <w:color w:val="auto"/>
          <w:spacing w:val="-6"/>
          <w:sz w:val="18"/>
          <w:szCs w:val="18"/>
          <w:highlight w:val="none"/>
        </w:rPr>
        <w:t>1.2 展陈形式策划</w:t>
      </w:r>
    </w:p>
    <w:p>
      <w:pPr>
        <w:spacing w:line="360" w:lineRule="auto"/>
        <w:ind w:firstLine="169" w:firstLineChars="100"/>
        <w:rPr>
          <w:rFonts w:ascii="仿宋" w:hAnsi="仿宋" w:eastAsia="仿宋" w:cs="仿宋"/>
          <w:b/>
          <w:color w:val="auto"/>
          <w:spacing w:val="-6"/>
          <w:sz w:val="18"/>
          <w:szCs w:val="18"/>
          <w:highlight w:val="none"/>
        </w:rPr>
      </w:pPr>
      <w:r>
        <w:rPr>
          <w:rFonts w:hint="eastAsia" w:ascii="仿宋" w:hAnsi="仿宋" w:eastAsia="仿宋" w:cs="仿宋"/>
          <w:b/>
          <w:color w:val="auto"/>
          <w:spacing w:val="-6"/>
          <w:sz w:val="18"/>
          <w:szCs w:val="18"/>
          <w:highlight w:val="none"/>
        </w:rPr>
        <w:t>1.3 设计原则</w:t>
      </w:r>
    </w:p>
    <w:p>
      <w:pPr>
        <w:spacing w:line="360" w:lineRule="auto"/>
        <w:rPr>
          <w:rFonts w:ascii="仿宋" w:hAnsi="仿宋" w:eastAsia="仿宋" w:cs="仿宋"/>
          <w:b/>
          <w:color w:val="auto"/>
          <w:spacing w:val="-6"/>
          <w:sz w:val="18"/>
          <w:szCs w:val="18"/>
          <w:highlight w:val="none"/>
        </w:rPr>
      </w:pPr>
      <w:r>
        <w:rPr>
          <w:rFonts w:hint="eastAsia" w:ascii="仿宋" w:hAnsi="仿宋" w:eastAsia="仿宋" w:cs="仿宋"/>
          <w:b/>
          <w:color w:val="auto"/>
          <w:spacing w:val="-6"/>
          <w:sz w:val="18"/>
          <w:szCs w:val="18"/>
          <w:highlight w:val="none"/>
        </w:rPr>
        <w:t>2.布局设计平面图</w:t>
      </w:r>
    </w:p>
    <w:p>
      <w:pPr>
        <w:spacing w:line="360" w:lineRule="auto"/>
        <w:rPr>
          <w:rFonts w:ascii="仿宋" w:hAnsi="仿宋" w:eastAsia="仿宋" w:cs="仿宋"/>
          <w:b/>
          <w:color w:val="auto"/>
          <w:spacing w:val="-6"/>
          <w:sz w:val="18"/>
          <w:szCs w:val="18"/>
          <w:highlight w:val="none"/>
        </w:rPr>
      </w:pPr>
      <w:r>
        <w:rPr>
          <w:rFonts w:hint="eastAsia" w:ascii="仿宋" w:hAnsi="仿宋" w:eastAsia="仿宋" w:cs="仿宋"/>
          <w:b/>
          <w:color w:val="auto"/>
          <w:spacing w:val="-6"/>
          <w:sz w:val="18"/>
          <w:szCs w:val="18"/>
          <w:highlight w:val="none"/>
        </w:rPr>
        <w:t>3.LED大屏形象墙、前台设计效果图</w:t>
      </w:r>
    </w:p>
    <w:p>
      <w:pPr>
        <w:spacing w:line="360" w:lineRule="auto"/>
        <w:rPr>
          <w:rFonts w:ascii="仿宋" w:hAnsi="仿宋" w:eastAsia="仿宋" w:cs="仿宋"/>
          <w:b/>
          <w:color w:val="auto"/>
          <w:spacing w:val="-6"/>
          <w:sz w:val="18"/>
          <w:szCs w:val="18"/>
          <w:highlight w:val="none"/>
        </w:rPr>
      </w:pPr>
      <w:r>
        <w:rPr>
          <w:rFonts w:hint="eastAsia" w:ascii="仿宋" w:hAnsi="仿宋" w:eastAsia="仿宋" w:cs="仿宋"/>
          <w:b/>
          <w:color w:val="auto"/>
          <w:spacing w:val="-6"/>
          <w:sz w:val="18"/>
          <w:szCs w:val="18"/>
          <w:highlight w:val="none"/>
        </w:rPr>
        <w:t>4.算力技术发展史展陈设计效果图</w:t>
      </w:r>
    </w:p>
    <w:p>
      <w:pPr>
        <w:spacing w:line="360" w:lineRule="auto"/>
        <w:rPr>
          <w:rFonts w:ascii="仿宋" w:hAnsi="仿宋" w:eastAsia="仿宋" w:cs="仿宋"/>
          <w:b/>
          <w:color w:val="auto"/>
          <w:spacing w:val="-6"/>
          <w:sz w:val="18"/>
          <w:szCs w:val="18"/>
          <w:highlight w:val="none"/>
        </w:rPr>
      </w:pPr>
      <w:r>
        <w:rPr>
          <w:rFonts w:hint="eastAsia" w:ascii="仿宋" w:hAnsi="仿宋" w:eastAsia="仿宋" w:cs="仿宋"/>
          <w:b/>
          <w:color w:val="auto"/>
          <w:spacing w:val="-6"/>
          <w:sz w:val="18"/>
          <w:szCs w:val="18"/>
          <w:highlight w:val="none"/>
        </w:rPr>
        <w:t>5.新型算力中心总体情况展陈设计效果图</w:t>
      </w:r>
    </w:p>
    <w:p>
      <w:pPr>
        <w:spacing w:line="360" w:lineRule="auto"/>
        <w:rPr>
          <w:rFonts w:ascii="仿宋" w:hAnsi="仿宋" w:eastAsia="仿宋" w:cs="仿宋"/>
          <w:b/>
          <w:color w:val="auto"/>
          <w:spacing w:val="-6"/>
          <w:sz w:val="18"/>
          <w:szCs w:val="18"/>
          <w:highlight w:val="none"/>
        </w:rPr>
      </w:pPr>
      <w:r>
        <w:rPr>
          <w:rFonts w:hint="eastAsia" w:ascii="仿宋" w:hAnsi="仿宋" w:eastAsia="仿宋" w:cs="仿宋"/>
          <w:b/>
          <w:color w:val="auto"/>
          <w:spacing w:val="-6"/>
          <w:sz w:val="18"/>
          <w:szCs w:val="18"/>
          <w:highlight w:val="none"/>
        </w:rPr>
        <w:t>6.万卡智算集群展陈设计效果图</w:t>
      </w:r>
    </w:p>
    <w:p>
      <w:pPr>
        <w:spacing w:line="360" w:lineRule="auto"/>
        <w:rPr>
          <w:rFonts w:ascii="仿宋" w:hAnsi="仿宋" w:eastAsia="仿宋" w:cs="仿宋"/>
          <w:b/>
          <w:color w:val="auto"/>
          <w:spacing w:val="-6"/>
          <w:sz w:val="18"/>
          <w:szCs w:val="18"/>
          <w:highlight w:val="none"/>
        </w:rPr>
      </w:pPr>
      <w:r>
        <w:rPr>
          <w:rFonts w:hint="eastAsia" w:ascii="仿宋" w:hAnsi="仿宋" w:eastAsia="仿宋" w:cs="仿宋"/>
          <w:b/>
          <w:color w:val="auto"/>
          <w:spacing w:val="-6"/>
          <w:sz w:val="18"/>
          <w:szCs w:val="18"/>
          <w:highlight w:val="none"/>
        </w:rPr>
        <w:t>7.高效能计算系统展陈设计效果图</w:t>
      </w:r>
    </w:p>
    <w:p>
      <w:pPr>
        <w:spacing w:line="360" w:lineRule="auto"/>
        <w:rPr>
          <w:rFonts w:ascii="仿宋" w:hAnsi="仿宋" w:eastAsia="仿宋" w:cs="仿宋"/>
          <w:b/>
          <w:color w:val="auto"/>
          <w:spacing w:val="-6"/>
          <w:sz w:val="18"/>
          <w:szCs w:val="18"/>
          <w:highlight w:val="none"/>
        </w:rPr>
      </w:pPr>
      <w:r>
        <w:rPr>
          <w:rFonts w:hint="eastAsia" w:ascii="仿宋" w:hAnsi="仿宋" w:eastAsia="仿宋" w:cs="仿宋"/>
          <w:b/>
          <w:color w:val="auto"/>
          <w:spacing w:val="-6"/>
          <w:sz w:val="18"/>
          <w:szCs w:val="18"/>
          <w:highlight w:val="none"/>
        </w:rPr>
        <w:t>8.智能计算赋能创新变革展陈设计效果图</w:t>
      </w:r>
    </w:p>
    <w:p>
      <w:pPr>
        <w:spacing w:line="360" w:lineRule="auto"/>
        <w:rPr>
          <w:rFonts w:ascii="仿宋" w:hAnsi="仿宋" w:eastAsia="仿宋" w:cs="仿宋"/>
          <w:b/>
          <w:color w:val="auto"/>
          <w:spacing w:val="-6"/>
          <w:sz w:val="18"/>
          <w:szCs w:val="18"/>
          <w:highlight w:val="none"/>
        </w:rPr>
      </w:pPr>
      <w:r>
        <w:rPr>
          <w:rFonts w:hint="eastAsia" w:ascii="仿宋" w:hAnsi="仿宋" w:eastAsia="仿宋" w:cs="仿宋"/>
          <w:b/>
          <w:color w:val="auto"/>
          <w:spacing w:val="-6"/>
          <w:sz w:val="18"/>
          <w:szCs w:val="18"/>
          <w:highlight w:val="none"/>
        </w:rPr>
        <w:t>9.新型算力中心核心能力及应用全景图展陈设计效果图</w:t>
      </w:r>
    </w:p>
    <w:p>
      <w:pPr>
        <w:spacing w:line="360" w:lineRule="auto"/>
        <w:rPr>
          <w:rFonts w:ascii="仿宋" w:hAnsi="仿宋" w:eastAsia="仿宋" w:cs="仿宋"/>
          <w:b/>
          <w:color w:val="auto"/>
          <w:spacing w:val="-6"/>
          <w:sz w:val="18"/>
          <w:szCs w:val="18"/>
          <w:highlight w:val="none"/>
        </w:rPr>
      </w:pPr>
      <w:r>
        <w:rPr>
          <w:rFonts w:hint="eastAsia" w:ascii="仿宋" w:hAnsi="仿宋" w:eastAsia="仿宋" w:cs="仿宋"/>
          <w:b/>
          <w:color w:val="auto"/>
          <w:spacing w:val="-6"/>
          <w:sz w:val="18"/>
          <w:szCs w:val="18"/>
          <w:highlight w:val="none"/>
        </w:rPr>
        <w:t>10.走廊氛围、走廊标识标语策划、设计</w:t>
      </w:r>
    </w:p>
    <w:p>
      <w:pPr>
        <w:spacing w:line="360" w:lineRule="auto"/>
        <w:rPr>
          <w:rFonts w:ascii="仿宋" w:hAnsi="仿宋" w:eastAsia="仿宋" w:cs="仿宋"/>
          <w:b/>
          <w:color w:val="auto"/>
          <w:spacing w:val="-6"/>
          <w:sz w:val="24"/>
          <w:szCs w:val="24"/>
          <w:highlight w:val="none"/>
        </w:rPr>
      </w:pPr>
      <w:r>
        <w:rPr>
          <w:rFonts w:hint="eastAsia" w:ascii="仿宋" w:hAnsi="仿宋" w:eastAsia="仿宋" w:cs="仿宋"/>
          <w:b/>
          <w:color w:val="auto"/>
          <w:spacing w:val="-6"/>
          <w:sz w:val="18"/>
          <w:szCs w:val="18"/>
          <w:highlight w:val="none"/>
        </w:rPr>
        <w:t>11.视频、互动多媒体影片策划</w:t>
      </w:r>
    </w:p>
    <w:p>
      <w:pPr>
        <w:spacing w:line="360" w:lineRule="auto"/>
        <w:jc w:val="center"/>
        <w:rPr>
          <w:rFonts w:ascii="仿宋" w:hAnsi="仿宋" w:eastAsia="仿宋" w:cs="仿宋"/>
          <w:b/>
          <w:color w:val="auto"/>
          <w:spacing w:val="-6"/>
          <w:sz w:val="24"/>
          <w:highlight w:val="none"/>
        </w:rPr>
      </w:pPr>
    </w:p>
    <w:p>
      <w:pPr>
        <w:spacing w:line="360" w:lineRule="auto"/>
        <w:jc w:val="center"/>
        <w:rPr>
          <w:rFonts w:ascii="仿宋" w:hAnsi="仿宋" w:eastAsia="仿宋" w:cs="仿宋"/>
          <w:b/>
          <w:color w:val="auto"/>
          <w:spacing w:val="-6"/>
          <w:sz w:val="24"/>
          <w:highlight w:val="none"/>
        </w:rPr>
      </w:pPr>
    </w:p>
    <w:p>
      <w:pPr>
        <w:spacing w:line="360" w:lineRule="auto"/>
        <w:jc w:val="center"/>
        <w:rPr>
          <w:rFonts w:ascii="仿宋" w:hAnsi="仿宋" w:eastAsia="仿宋" w:cs="仿宋"/>
          <w:b/>
          <w:color w:val="auto"/>
          <w:spacing w:val="-6"/>
          <w:sz w:val="24"/>
          <w:highlight w:val="none"/>
        </w:rPr>
      </w:pPr>
    </w:p>
    <w:p>
      <w:pPr>
        <w:spacing w:line="360" w:lineRule="auto"/>
        <w:jc w:val="center"/>
        <w:outlineLvl w:val="2"/>
        <w:rPr>
          <w:rFonts w:ascii="仿宋" w:hAnsi="仿宋" w:eastAsia="仿宋" w:cs="仿宋"/>
          <w:b/>
          <w:color w:val="auto"/>
          <w:spacing w:val="-6"/>
          <w:sz w:val="24"/>
          <w:highlight w:val="none"/>
        </w:rPr>
      </w:pPr>
      <w:r>
        <w:rPr>
          <w:rFonts w:hint="eastAsia" w:ascii="仿宋" w:hAnsi="仿宋" w:eastAsia="仿宋" w:cs="仿宋"/>
          <w:b/>
          <w:color w:val="auto"/>
          <w:spacing w:val="-6"/>
          <w:sz w:val="24"/>
          <w:highlight w:val="none"/>
        </w:rPr>
        <w:t>项目实施方案</w:t>
      </w:r>
    </w:p>
    <w:p>
      <w:pPr>
        <w:spacing w:line="360" w:lineRule="auto"/>
        <w:rPr>
          <w:rFonts w:ascii="仿宋" w:hAnsi="仿宋" w:eastAsia="仿宋" w:cs="仿宋"/>
          <w:b/>
          <w:color w:val="auto"/>
          <w:spacing w:val="-6"/>
          <w:sz w:val="18"/>
          <w:szCs w:val="18"/>
          <w:highlight w:val="none"/>
        </w:rPr>
      </w:pPr>
      <w:r>
        <w:rPr>
          <w:rFonts w:hint="eastAsia" w:ascii="仿宋" w:hAnsi="仿宋" w:eastAsia="仿宋" w:cs="仿宋"/>
          <w:b/>
          <w:color w:val="auto"/>
          <w:spacing w:val="-6"/>
          <w:sz w:val="18"/>
          <w:szCs w:val="18"/>
          <w:highlight w:val="none"/>
        </w:rPr>
        <w:t>根据评分标准提供和编写（格式自拟），包括但不仅限于总体设想、实施计划、设计与施工协调措施、施工重难点、新技术/新产品/新工艺/新材料应用。</w:t>
      </w:r>
    </w:p>
    <w:p>
      <w:pPr>
        <w:spacing w:line="360" w:lineRule="auto"/>
        <w:jc w:val="center"/>
        <w:rPr>
          <w:rFonts w:ascii="仿宋" w:hAnsi="仿宋" w:eastAsia="仿宋" w:cs="仿宋"/>
          <w:b/>
          <w:color w:val="auto"/>
          <w:spacing w:val="-6"/>
          <w:sz w:val="24"/>
          <w:highlight w:val="none"/>
        </w:rPr>
      </w:pPr>
    </w:p>
    <w:p>
      <w:pPr>
        <w:spacing w:line="360" w:lineRule="auto"/>
        <w:jc w:val="center"/>
        <w:rPr>
          <w:rFonts w:ascii="仿宋" w:hAnsi="仿宋" w:eastAsia="仿宋" w:cs="仿宋"/>
          <w:b/>
          <w:color w:val="auto"/>
          <w:spacing w:val="-6"/>
          <w:sz w:val="24"/>
          <w:highlight w:val="none"/>
        </w:rPr>
      </w:pPr>
    </w:p>
    <w:p>
      <w:pPr>
        <w:spacing w:line="360" w:lineRule="auto"/>
        <w:jc w:val="center"/>
        <w:rPr>
          <w:rFonts w:ascii="仿宋" w:hAnsi="仿宋" w:eastAsia="仿宋" w:cs="仿宋"/>
          <w:b/>
          <w:color w:val="auto"/>
          <w:spacing w:val="-6"/>
          <w:sz w:val="24"/>
          <w:highlight w:val="none"/>
        </w:rPr>
      </w:pPr>
    </w:p>
    <w:p>
      <w:pPr>
        <w:spacing w:line="360" w:lineRule="auto"/>
        <w:jc w:val="center"/>
        <w:outlineLvl w:val="2"/>
        <w:rPr>
          <w:rFonts w:ascii="仿宋" w:hAnsi="仿宋" w:eastAsia="仿宋" w:cs="仿宋"/>
          <w:b/>
          <w:color w:val="auto"/>
          <w:spacing w:val="-6"/>
          <w:sz w:val="24"/>
          <w:highlight w:val="none"/>
        </w:rPr>
      </w:pPr>
      <w:r>
        <w:rPr>
          <w:rFonts w:hint="eastAsia" w:ascii="仿宋" w:hAnsi="仿宋" w:eastAsia="仿宋" w:cs="仿宋"/>
          <w:b/>
          <w:color w:val="auto"/>
          <w:spacing w:val="-6"/>
          <w:sz w:val="24"/>
          <w:highlight w:val="none"/>
        </w:rPr>
        <w:t>保障措施</w:t>
      </w:r>
    </w:p>
    <w:p>
      <w:pPr>
        <w:spacing w:line="360" w:lineRule="auto"/>
        <w:rPr>
          <w:rFonts w:ascii="仿宋" w:hAnsi="仿宋" w:eastAsia="仿宋" w:cs="仿宋"/>
          <w:b/>
          <w:color w:val="auto"/>
          <w:spacing w:val="-6"/>
          <w:sz w:val="18"/>
          <w:szCs w:val="18"/>
          <w:highlight w:val="none"/>
        </w:rPr>
      </w:pPr>
      <w:r>
        <w:rPr>
          <w:rFonts w:hint="eastAsia" w:ascii="仿宋" w:hAnsi="仿宋" w:eastAsia="仿宋" w:cs="仿宋"/>
          <w:b/>
          <w:color w:val="auto"/>
          <w:spacing w:val="-6"/>
          <w:sz w:val="18"/>
          <w:szCs w:val="18"/>
          <w:highlight w:val="none"/>
        </w:rPr>
        <w:t>根据评分标准提供和编写（格式自拟），包括但不仅限于：</w:t>
      </w:r>
    </w:p>
    <w:p>
      <w:pPr>
        <w:spacing w:line="360" w:lineRule="auto"/>
        <w:rPr>
          <w:rFonts w:ascii="仿宋" w:hAnsi="仿宋" w:eastAsia="仿宋" w:cs="仿宋"/>
          <w:b/>
          <w:color w:val="auto"/>
          <w:spacing w:val="-6"/>
          <w:sz w:val="18"/>
          <w:szCs w:val="18"/>
          <w:highlight w:val="none"/>
        </w:rPr>
      </w:pPr>
      <w:r>
        <w:rPr>
          <w:rFonts w:hint="eastAsia" w:ascii="仿宋" w:hAnsi="仿宋" w:eastAsia="仿宋" w:cs="仿宋"/>
          <w:b/>
          <w:color w:val="auto"/>
          <w:spacing w:val="-6"/>
          <w:sz w:val="18"/>
          <w:szCs w:val="18"/>
          <w:highlight w:val="none"/>
        </w:rPr>
        <w:t>1.施工各阶段进度及施工用材料、半成品、外购件质量保证措施</w:t>
      </w:r>
    </w:p>
    <w:p>
      <w:pPr>
        <w:spacing w:line="360" w:lineRule="auto"/>
        <w:rPr>
          <w:rFonts w:ascii="仿宋" w:hAnsi="仿宋" w:eastAsia="仿宋" w:cs="仿宋"/>
          <w:b/>
          <w:color w:val="auto"/>
          <w:spacing w:val="-6"/>
          <w:sz w:val="18"/>
          <w:szCs w:val="18"/>
          <w:highlight w:val="none"/>
        </w:rPr>
      </w:pPr>
      <w:r>
        <w:rPr>
          <w:rFonts w:hint="eastAsia" w:ascii="仿宋" w:hAnsi="仿宋" w:eastAsia="仿宋" w:cs="仿宋"/>
          <w:b/>
          <w:color w:val="auto"/>
          <w:spacing w:val="-6"/>
          <w:sz w:val="18"/>
          <w:szCs w:val="18"/>
          <w:highlight w:val="none"/>
        </w:rPr>
        <w:t>2.安全文明施工及市政、市容、环保、消防等措施</w:t>
      </w:r>
    </w:p>
    <w:p>
      <w:pPr>
        <w:spacing w:line="360" w:lineRule="auto"/>
        <w:rPr>
          <w:rFonts w:ascii="仿宋" w:hAnsi="仿宋" w:eastAsia="仿宋" w:cs="仿宋"/>
          <w:b/>
          <w:color w:val="auto"/>
          <w:spacing w:val="-6"/>
          <w:sz w:val="18"/>
          <w:szCs w:val="18"/>
          <w:highlight w:val="none"/>
        </w:rPr>
      </w:pPr>
      <w:r>
        <w:rPr>
          <w:rFonts w:hint="eastAsia" w:ascii="仿宋" w:hAnsi="仿宋" w:eastAsia="仿宋" w:cs="仿宋"/>
          <w:b/>
          <w:color w:val="auto"/>
          <w:spacing w:val="-6"/>
          <w:sz w:val="18"/>
          <w:szCs w:val="18"/>
          <w:highlight w:val="none"/>
        </w:rPr>
        <w:t>3.服从采购人协调和统一管理及配合措施、特殊服务承诺</w:t>
      </w:r>
    </w:p>
    <w:p>
      <w:pPr>
        <w:rPr>
          <w:rFonts w:ascii="仿宋" w:hAnsi="仿宋" w:eastAsia="仿宋" w:cs="仿宋"/>
          <w:b/>
          <w:color w:val="auto"/>
          <w:spacing w:val="-6"/>
          <w:sz w:val="24"/>
          <w:szCs w:val="24"/>
          <w:highlight w:val="none"/>
        </w:rPr>
      </w:pPr>
      <w:r>
        <w:rPr>
          <w:rFonts w:hint="eastAsia" w:ascii="仿宋" w:hAnsi="仿宋" w:eastAsia="仿宋" w:cs="仿宋"/>
          <w:b/>
          <w:color w:val="auto"/>
          <w:spacing w:val="-6"/>
          <w:sz w:val="24"/>
          <w:szCs w:val="24"/>
          <w:highlight w:val="none"/>
        </w:rPr>
        <w:br w:type="page"/>
      </w:r>
    </w:p>
    <w:p>
      <w:pPr>
        <w:spacing w:line="360" w:lineRule="auto"/>
        <w:jc w:val="center"/>
        <w:outlineLvl w:val="2"/>
        <w:rPr>
          <w:rFonts w:ascii="仿宋" w:hAnsi="仿宋" w:eastAsia="仿宋" w:cs="仿宋"/>
          <w:b/>
          <w:color w:val="auto"/>
          <w:spacing w:val="-6"/>
          <w:sz w:val="24"/>
          <w:szCs w:val="24"/>
          <w:highlight w:val="none"/>
        </w:rPr>
      </w:pPr>
      <w:r>
        <w:rPr>
          <w:rFonts w:hint="eastAsia" w:ascii="仿宋" w:hAnsi="仿宋" w:eastAsia="仿宋" w:cs="仿宋"/>
          <w:b/>
          <w:color w:val="auto"/>
          <w:spacing w:val="-6"/>
          <w:sz w:val="24"/>
          <w:szCs w:val="24"/>
          <w:highlight w:val="none"/>
        </w:rPr>
        <w:t>培训计划</w:t>
      </w:r>
    </w:p>
    <w:p>
      <w:pPr>
        <w:spacing w:line="360" w:lineRule="auto"/>
        <w:rPr>
          <w:rFonts w:ascii="仿宋" w:hAnsi="仿宋" w:eastAsia="仿宋" w:cs="仿宋"/>
          <w:b/>
          <w:color w:val="auto"/>
          <w:spacing w:val="-6"/>
          <w:sz w:val="18"/>
          <w:szCs w:val="18"/>
          <w:highlight w:val="none"/>
        </w:rPr>
      </w:pPr>
      <w:r>
        <w:rPr>
          <w:rFonts w:hint="eastAsia" w:ascii="仿宋" w:hAnsi="仿宋" w:eastAsia="仿宋" w:cs="仿宋"/>
          <w:b/>
          <w:color w:val="auto"/>
          <w:spacing w:val="-6"/>
          <w:sz w:val="18"/>
          <w:szCs w:val="18"/>
          <w:highlight w:val="none"/>
        </w:rPr>
        <w:t>根据评分标准提供和编写（格式自拟），包括但不仅限于培训流程、培训方式、培训对象、培训内容、培训日程等。</w:t>
      </w:r>
    </w:p>
    <w:p>
      <w:pPr>
        <w:spacing w:line="360" w:lineRule="auto"/>
        <w:rPr>
          <w:rFonts w:ascii="仿宋" w:hAnsi="仿宋" w:eastAsia="仿宋" w:cs="仿宋"/>
          <w:b/>
          <w:color w:val="auto"/>
          <w:spacing w:val="-6"/>
          <w:sz w:val="24"/>
          <w:highlight w:val="none"/>
        </w:rPr>
      </w:pPr>
    </w:p>
    <w:p>
      <w:pPr>
        <w:spacing w:line="360" w:lineRule="auto"/>
        <w:rPr>
          <w:rFonts w:ascii="仿宋" w:hAnsi="仿宋" w:eastAsia="仿宋" w:cs="仿宋"/>
          <w:b/>
          <w:color w:val="auto"/>
          <w:spacing w:val="-6"/>
          <w:sz w:val="24"/>
          <w:highlight w:val="none"/>
        </w:rPr>
      </w:pPr>
    </w:p>
    <w:p>
      <w:pPr>
        <w:pStyle w:val="39"/>
        <w:spacing w:line="360" w:lineRule="auto"/>
        <w:rPr>
          <w:rFonts w:ascii="仿宋" w:hAnsi="仿宋" w:eastAsia="仿宋" w:cs="仿宋"/>
          <w:color w:val="auto"/>
          <w:highlight w:val="none"/>
        </w:rPr>
      </w:pPr>
    </w:p>
    <w:p>
      <w:pPr>
        <w:spacing w:line="360" w:lineRule="auto"/>
        <w:jc w:val="center"/>
        <w:outlineLvl w:val="2"/>
        <w:rPr>
          <w:rFonts w:ascii="仿宋" w:hAnsi="仿宋" w:eastAsia="仿宋" w:cs="仿宋"/>
          <w:b/>
          <w:color w:val="auto"/>
          <w:spacing w:val="-6"/>
          <w:sz w:val="24"/>
          <w:highlight w:val="none"/>
        </w:rPr>
      </w:pPr>
      <w:r>
        <w:rPr>
          <w:rFonts w:hint="eastAsia" w:ascii="仿宋" w:hAnsi="仿宋" w:eastAsia="仿宋" w:cs="仿宋"/>
          <w:b/>
          <w:color w:val="auto"/>
          <w:spacing w:val="-6"/>
          <w:sz w:val="24"/>
          <w:highlight w:val="none"/>
        </w:rPr>
        <w:t>售后服务方案</w:t>
      </w:r>
    </w:p>
    <w:p>
      <w:pPr>
        <w:spacing w:line="360" w:lineRule="auto"/>
        <w:rPr>
          <w:rFonts w:ascii="仿宋" w:hAnsi="仿宋" w:eastAsia="仿宋" w:cs="仿宋"/>
          <w:b/>
          <w:color w:val="auto"/>
          <w:spacing w:val="-6"/>
          <w:sz w:val="18"/>
          <w:szCs w:val="18"/>
          <w:highlight w:val="none"/>
        </w:rPr>
      </w:pPr>
      <w:r>
        <w:rPr>
          <w:rFonts w:hint="eastAsia" w:ascii="仿宋" w:hAnsi="仿宋" w:eastAsia="仿宋" w:cs="仿宋"/>
          <w:b/>
          <w:color w:val="auto"/>
          <w:spacing w:val="-6"/>
          <w:sz w:val="18"/>
          <w:szCs w:val="18"/>
          <w:highlight w:val="none"/>
        </w:rPr>
        <w:t>根据评分标准提供和编写（格式自拟），包括但不仅限于：</w:t>
      </w:r>
    </w:p>
    <w:p>
      <w:pPr>
        <w:spacing w:line="360" w:lineRule="auto"/>
        <w:rPr>
          <w:rFonts w:ascii="仿宋" w:hAnsi="仿宋" w:eastAsia="仿宋" w:cs="仿宋"/>
          <w:b/>
          <w:color w:val="auto"/>
          <w:spacing w:val="-6"/>
          <w:sz w:val="18"/>
          <w:szCs w:val="18"/>
          <w:highlight w:val="none"/>
        </w:rPr>
      </w:pPr>
      <w:r>
        <w:rPr>
          <w:rFonts w:hint="eastAsia" w:ascii="仿宋" w:hAnsi="仿宋" w:eastAsia="仿宋" w:cs="仿宋"/>
          <w:b/>
          <w:color w:val="auto"/>
          <w:spacing w:val="-6"/>
          <w:sz w:val="18"/>
          <w:szCs w:val="18"/>
          <w:highlight w:val="none"/>
        </w:rPr>
        <w:t>1.</w:t>
      </w:r>
      <w:r>
        <w:rPr>
          <w:rFonts w:hint="eastAsia" w:ascii="仿宋" w:hAnsi="仿宋" w:eastAsia="仿宋" w:cs="仿宋"/>
          <w:b/>
          <w:color w:val="auto"/>
          <w:spacing w:val="-6"/>
          <w:sz w:val="18"/>
          <w:szCs w:val="18"/>
          <w:highlight w:val="none"/>
          <w:lang w:eastAsia="zh-CN"/>
        </w:rPr>
        <w:t>服务机构、服务内容、服务承诺、响应时间、服务方式、人员配备、应急服务、质保期内重大活动期间现场保障服务承诺等</w:t>
      </w:r>
      <w:r>
        <w:rPr>
          <w:rFonts w:hint="eastAsia" w:ascii="仿宋" w:hAnsi="仿宋" w:eastAsia="仿宋" w:cs="仿宋"/>
          <w:b/>
          <w:color w:val="auto"/>
          <w:spacing w:val="-6"/>
          <w:sz w:val="18"/>
          <w:szCs w:val="18"/>
          <w:highlight w:val="none"/>
        </w:rPr>
        <w:t>等</w:t>
      </w:r>
    </w:p>
    <w:p>
      <w:pPr>
        <w:spacing w:line="360" w:lineRule="auto"/>
        <w:rPr>
          <w:rFonts w:ascii="仿宋" w:hAnsi="仿宋" w:eastAsia="仿宋" w:cs="仿宋"/>
          <w:b/>
          <w:color w:val="auto"/>
          <w:spacing w:val="-6"/>
          <w:sz w:val="18"/>
          <w:szCs w:val="18"/>
          <w:highlight w:val="none"/>
        </w:rPr>
      </w:pPr>
      <w:r>
        <w:rPr>
          <w:rFonts w:hint="eastAsia" w:ascii="仿宋" w:hAnsi="仿宋" w:eastAsia="仿宋" w:cs="仿宋"/>
          <w:b/>
          <w:color w:val="auto"/>
          <w:spacing w:val="-6"/>
          <w:sz w:val="18"/>
          <w:szCs w:val="18"/>
          <w:highlight w:val="none"/>
        </w:rPr>
        <w:t>2.配件、附件、备品备件准备和保障措施</w:t>
      </w:r>
    </w:p>
    <w:p>
      <w:pPr>
        <w:rPr>
          <w:rFonts w:ascii="宋体" w:hAnsi="宋体" w:eastAsia="宋体" w:cs="宋体"/>
          <w:b/>
          <w:color w:val="auto"/>
          <w:spacing w:val="-6"/>
          <w:sz w:val="24"/>
          <w:highlight w:val="none"/>
        </w:rPr>
      </w:pPr>
      <w:r>
        <w:rPr>
          <w:rFonts w:hint="eastAsia" w:ascii="宋体" w:hAnsi="宋体" w:eastAsia="宋体" w:cs="宋体"/>
          <w:b/>
          <w:color w:val="auto"/>
          <w:spacing w:val="-6"/>
          <w:sz w:val="24"/>
          <w:highlight w:val="none"/>
        </w:rPr>
        <w:br w:type="page"/>
      </w:r>
    </w:p>
    <w:p>
      <w:pPr>
        <w:pStyle w:val="39"/>
        <w:spacing w:line="360" w:lineRule="auto"/>
        <w:jc w:val="center"/>
        <w:outlineLvl w:val="2"/>
        <w:rPr>
          <w:rFonts w:ascii="仿宋" w:hAnsi="仿宋" w:eastAsia="仿宋" w:cs="仿宋"/>
          <w:b/>
          <w:bCs/>
          <w:iCs/>
          <w:color w:val="auto"/>
          <w:spacing w:val="-6"/>
          <w:highlight w:val="none"/>
        </w:rPr>
      </w:pPr>
      <w:r>
        <w:rPr>
          <w:rFonts w:hint="eastAsia" w:ascii="仿宋" w:hAnsi="仿宋" w:eastAsia="仿宋" w:cs="仿宋"/>
          <w:b/>
          <w:bCs/>
          <w:iCs/>
          <w:color w:val="auto"/>
          <w:spacing w:val="-6"/>
          <w:highlight w:val="none"/>
        </w:rPr>
        <w:t>配件、专用耗材和售后服务优惠表</w:t>
      </w:r>
    </w:p>
    <w:p>
      <w:pPr>
        <w:pStyle w:val="39"/>
        <w:spacing w:line="360" w:lineRule="auto"/>
        <w:jc w:val="center"/>
        <w:rPr>
          <w:rFonts w:ascii="仿宋" w:hAnsi="仿宋" w:eastAsia="仿宋" w:cs="仿宋"/>
          <w:b/>
          <w:bCs/>
          <w:iCs/>
          <w:color w:val="auto"/>
          <w:spacing w:val="-6"/>
          <w:sz w:val="21"/>
          <w:szCs w:val="21"/>
          <w:highlight w:val="none"/>
        </w:rPr>
      </w:pPr>
      <w:r>
        <w:rPr>
          <w:rFonts w:hint="eastAsia" w:ascii="仿宋" w:hAnsi="仿宋" w:eastAsia="仿宋" w:cs="仿宋"/>
          <w:b/>
          <w:bCs/>
          <w:iCs/>
          <w:color w:val="auto"/>
          <w:spacing w:val="-6"/>
          <w:sz w:val="21"/>
          <w:szCs w:val="21"/>
          <w:highlight w:val="none"/>
        </w:rPr>
        <w:t>（价格保持三年以上）</w:t>
      </w:r>
    </w:p>
    <w:tbl>
      <w:tblPr>
        <w:tblStyle w:val="27"/>
        <w:tblW w:w="96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8"/>
        <w:gridCol w:w="3862"/>
        <w:gridCol w:w="1686"/>
        <w:gridCol w:w="1483"/>
        <w:gridCol w:w="188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序号</w:t>
            </w:r>
          </w:p>
        </w:tc>
        <w:tc>
          <w:tcPr>
            <w:tcW w:w="38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pacing w:val="-6"/>
                <w:szCs w:val="21"/>
                <w:highlight w:val="none"/>
              </w:rPr>
              <w:t>配件和售后服务内容</w:t>
            </w:r>
          </w:p>
        </w:tc>
        <w:tc>
          <w:tcPr>
            <w:tcW w:w="168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适用货物</w:t>
            </w:r>
          </w:p>
        </w:tc>
        <w:tc>
          <w:tcPr>
            <w:tcW w:w="148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市场单价（元）</w:t>
            </w:r>
          </w:p>
        </w:tc>
        <w:tc>
          <w:tcPr>
            <w:tcW w:w="188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购买折扣数（%）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Cs w:val="21"/>
                <w:highlight w:val="none"/>
              </w:rPr>
            </w:pPr>
          </w:p>
        </w:tc>
        <w:tc>
          <w:tcPr>
            <w:tcW w:w="38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Cs w:val="21"/>
                <w:highlight w:val="none"/>
              </w:rPr>
            </w:pPr>
          </w:p>
        </w:tc>
        <w:tc>
          <w:tcPr>
            <w:tcW w:w="168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148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188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Cs w:val="21"/>
                <w:highlight w:val="none"/>
              </w:rPr>
            </w:pPr>
          </w:p>
        </w:tc>
        <w:tc>
          <w:tcPr>
            <w:tcW w:w="38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Cs w:val="21"/>
                <w:highlight w:val="none"/>
              </w:rPr>
            </w:pPr>
          </w:p>
        </w:tc>
        <w:tc>
          <w:tcPr>
            <w:tcW w:w="168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148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188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Cs w:val="21"/>
                <w:highlight w:val="none"/>
              </w:rPr>
            </w:pPr>
          </w:p>
        </w:tc>
        <w:tc>
          <w:tcPr>
            <w:tcW w:w="38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Cs w:val="21"/>
                <w:highlight w:val="none"/>
              </w:rPr>
            </w:pPr>
          </w:p>
        </w:tc>
        <w:tc>
          <w:tcPr>
            <w:tcW w:w="168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148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188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Cs w:val="21"/>
                <w:highlight w:val="none"/>
              </w:rPr>
            </w:pPr>
          </w:p>
        </w:tc>
        <w:tc>
          <w:tcPr>
            <w:tcW w:w="38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Cs w:val="21"/>
                <w:highlight w:val="none"/>
              </w:rPr>
            </w:pPr>
          </w:p>
        </w:tc>
        <w:tc>
          <w:tcPr>
            <w:tcW w:w="168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148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188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Cs w:val="21"/>
                <w:highlight w:val="none"/>
              </w:rPr>
            </w:pPr>
          </w:p>
        </w:tc>
        <w:tc>
          <w:tcPr>
            <w:tcW w:w="38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Cs w:val="21"/>
                <w:highlight w:val="none"/>
              </w:rPr>
            </w:pPr>
          </w:p>
        </w:tc>
        <w:tc>
          <w:tcPr>
            <w:tcW w:w="168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148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188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Cs w:val="21"/>
                <w:highlight w:val="none"/>
              </w:rPr>
            </w:pPr>
          </w:p>
        </w:tc>
        <w:tc>
          <w:tcPr>
            <w:tcW w:w="38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Cs w:val="21"/>
                <w:highlight w:val="none"/>
              </w:rPr>
            </w:pPr>
          </w:p>
        </w:tc>
        <w:tc>
          <w:tcPr>
            <w:tcW w:w="168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148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188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Cs w:val="21"/>
                <w:highlight w:val="none"/>
              </w:rPr>
            </w:pPr>
          </w:p>
        </w:tc>
        <w:tc>
          <w:tcPr>
            <w:tcW w:w="38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Cs w:val="21"/>
                <w:highlight w:val="none"/>
              </w:rPr>
            </w:pPr>
          </w:p>
        </w:tc>
        <w:tc>
          <w:tcPr>
            <w:tcW w:w="168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148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188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Cs w:val="21"/>
                <w:highlight w:val="none"/>
              </w:rPr>
            </w:pPr>
          </w:p>
        </w:tc>
        <w:tc>
          <w:tcPr>
            <w:tcW w:w="38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Cs w:val="21"/>
                <w:highlight w:val="none"/>
              </w:rPr>
            </w:pPr>
          </w:p>
        </w:tc>
        <w:tc>
          <w:tcPr>
            <w:tcW w:w="168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148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188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Cs w:val="21"/>
                <w:highlight w:val="none"/>
              </w:rPr>
            </w:pPr>
          </w:p>
        </w:tc>
        <w:tc>
          <w:tcPr>
            <w:tcW w:w="38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Cs w:val="21"/>
                <w:highlight w:val="none"/>
              </w:rPr>
            </w:pPr>
          </w:p>
        </w:tc>
        <w:tc>
          <w:tcPr>
            <w:tcW w:w="168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148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188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9628" w:type="dxa"/>
            <w:gridSpan w:val="5"/>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说明：</w:t>
            </w:r>
          </w:p>
          <w:p>
            <w:pPr>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1.折扣数90%即9折</w:t>
            </w:r>
          </w:p>
          <w:p>
            <w:pPr>
              <w:rPr>
                <w:rFonts w:ascii="仿宋" w:hAnsi="仿宋" w:eastAsia="仿宋" w:cs="仿宋"/>
                <w:b/>
                <w:bCs/>
                <w:color w:val="auto"/>
                <w:szCs w:val="21"/>
                <w:highlight w:val="none"/>
              </w:rPr>
            </w:pPr>
            <w:r>
              <w:rPr>
                <w:rFonts w:hint="eastAsia" w:ascii="仿宋" w:hAnsi="仿宋" w:eastAsia="仿宋" w:cs="仿宋"/>
                <w:b/>
                <w:bCs/>
                <w:color w:val="auto"/>
                <w:sz w:val="18"/>
                <w:szCs w:val="18"/>
                <w:highlight w:val="none"/>
              </w:rPr>
              <w:t>2.列出易损件清单（包括名称、安装部位、更换周期和价格）</w:t>
            </w:r>
          </w:p>
        </w:tc>
      </w:tr>
    </w:tbl>
    <w:p>
      <w:pPr>
        <w:rPr>
          <w:rFonts w:ascii="仿宋" w:hAnsi="仿宋" w:eastAsia="仿宋" w:cs="仿宋"/>
          <w:b/>
          <w:color w:val="auto"/>
          <w:spacing w:val="-6"/>
          <w:sz w:val="24"/>
          <w:highlight w:val="none"/>
        </w:rPr>
      </w:pPr>
      <w:r>
        <w:rPr>
          <w:rFonts w:hint="eastAsia" w:ascii="仿宋" w:hAnsi="仿宋" w:eastAsia="仿宋" w:cs="仿宋"/>
          <w:b/>
          <w:color w:val="auto"/>
          <w:spacing w:val="-6"/>
          <w:sz w:val="24"/>
          <w:highlight w:val="none"/>
        </w:rPr>
        <w:br w:type="page"/>
      </w:r>
    </w:p>
    <w:p>
      <w:pPr>
        <w:spacing w:line="360" w:lineRule="auto"/>
        <w:outlineLvl w:val="1"/>
        <w:rPr>
          <w:rFonts w:ascii="仿宋" w:hAnsi="仿宋" w:eastAsia="仿宋" w:cs="仿宋"/>
          <w:b/>
          <w:color w:val="auto"/>
          <w:spacing w:val="-6"/>
          <w:sz w:val="24"/>
          <w:highlight w:val="none"/>
        </w:rPr>
      </w:pPr>
      <w:r>
        <w:rPr>
          <w:rFonts w:hint="eastAsia" w:ascii="仿宋" w:hAnsi="仿宋" w:eastAsia="仿宋" w:cs="仿宋"/>
          <w:b/>
          <w:color w:val="auto"/>
          <w:spacing w:val="-6"/>
          <w:sz w:val="24"/>
          <w:highlight w:val="none"/>
        </w:rPr>
        <w:t>附件1</w:t>
      </w:r>
    </w:p>
    <w:p>
      <w:pPr>
        <w:adjustRightInd w:val="0"/>
        <w:snapToGrid w:val="0"/>
        <w:spacing w:line="360" w:lineRule="auto"/>
        <w:jc w:val="center"/>
        <w:outlineLvl w:val="2"/>
        <w:rPr>
          <w:rFonts w:ascii="仿宋" w:hAnsi="仿宋" w:eastAsia="仿宋" w:cs="仿宋"/>
          <w:color w:val="auto"/>
          <w:sz w:val="24"/>
          <w:szCs w:val="24"/>
          <w:highlight w:val="none"/>
          <w:u w:val="single"/>
        </w:rPr>
      </w:pPr>
      <w:r>
        <w:rPr>
          <w:rFonts w:hint="eastAsia" w:ascii="仿宋" w:hAnsi="仿宋" w:eastAsia="仿宋" w:cs="仿宋"/>
          <w:b/>
          <w:bCs/>
          <w:color w:val="auto"/>
          <w:sz w:val="24"/>
          <w:szCs w:val="24"/>
          <w:highlight w:val="none"/>
        </w:rPr>
        <w:t>业务专用章使用说明函</w:t>
      </w:r>
    </w:p>
    <w:p>
      <w:pPr>
        <w:snapToGrid w:val="0"/>
        <w:spacing w:line="360" w:lineRule="auto"/>
        <w:rPr>
          <w:rFonts w:ascii="仿宋" w:hAnsi="仿宋" w:eastAsia="仿宋" w:cs="仿宋"/>
          <w:color w:val="auto"/>
          <w:szCs w:val="21"/>
          <w:highlight w:val="none"/>
        </w:rPr>
      </w:pPr>
      <w:r>
        <w:rPr>
          <w:rFonts w:hint="eastAsia" w:ascii="仿宋" w:hAnsi="仿宋" w:eastAsia="仿宋" w:cs="仿宋"/>
          <w:b/>
          <w:bCs/>
          <w:color w:val="auto"/>
          <w:spacing w:val="-6"/>
          <w:szCs w:val="21"/>
          <w:highlight w:val="none"/>
        </w:rPr>
        <w:t>之江实验室、浙江求是招标代理有限公司</w:t>
      </w:r>
    </w:p>
    <w:p>
      <w:pPr>
        <w:snapToGrid w:val="0"/>
        <w:spacing w:line="360" w:lineRule="auto"/>
        <w:ind w:firstLine="424" w:firstLineChars="202"/>
        <w:rPr>
          <w:rFonts w:ascii="仿宋" w:hAnsi="仿宋" w:eastAsia="仿宋" w:cs="仿宋"/>
          <w:color w:val="auto"/>
          <w:szCs w:val="21"/>
          <w:highlight w:val="none"/>
        </w:rPr>
      </w:pPr>
      <w:r>
        <w:rPr>
          <w:rFonts w:hint="eastAsia" w:ascii="仿宋" w:hAnsi="仿宋" w:eastAsia="仿宋" w:cs="仿宋"/>
          <w:color w:val="auto"/>
          <w:kern w:val="0"/>
          <w:szCs w:val="21"/>
          <w:highlight w:val="none"/>
          <w:lang w:val="zh-CN"/>
        </w:rPr>
        <w:t>我方</w:t>
      </w:r>
      <w:r>
        <w:rPr>
          <w:rFonts w:hint="eastAsia" w:ascii="仿宋" w:hAnsi="仿宋" w:eastAsia="仿宋" w:cs="仿宋"/>
          <w:color w:val="auto"/>
          <w:spacing w:val="-6"/>
          <w:szCs w:val="21"/>
          <w:highlight w:val="none"/>
          <w:u w:val="single"/>
        </w:rPr>
        <w:t xml:space="preserve">                    </w:t>
      </w:r>
      <w:r>
        <w:rPr>
          <w:rFonts w:hint="eastAsia" w:ascii="仿宋" w:hAnsi="仿宋" w:eastAsia="仿宋" w:cs="仿宋"/>
          <w:color w:val="auto"/>
          <w:spacing w:val="-6"/>
          <w:szCs w:val="21"/>
          <w:highlight w:val="none"/>
        </w:rPr>
        <w:t>（供应商名称）</w:t>
      </w:r>
      <w:r>
        <w:rPr>
          <w:rFonts w:hint="eastAsia" w:ascii="仿宋" w:hAnsi="仿宋" w:eastAsia="仿宋" w:cs="仿宋"/>
          <w:color w:val="auto"/>
          <w:szCs w:val="21"/>
          <w:highlight w:val="none"/>
        </w:rPr>
        <w:t>是中华人民共和国依法登记注册的合法企业，</w:t>
      </w:r>
      <w:r>
        <w:rPr>
          <w:rFonts w:hint="eastAsia" w:ascii="仿宋" w:hAnsi="仿宋" w:eastAsia="仿宋" w:cs="仿宋"/>
          <w:bCs/>
          <w:color w:val="auto"/>
          <w:szCs w:val="21"/>
          <w:highlight w:val="none"/>
        </w:rPr>
        <w:t>在参加</w:t>
      </w:r>
      <w:r>
        <w:rPr>
          <w:rFonts w:hint="eastAsia" w:ascii="仿宋" w:hAnsi="仿宋" w:eastAsia="仿宋" w:cs="仿宋"/>
          <w:color w:val="auto"/>
          <w:szCs w:val="21"/>
          <w:highlight w:val="none"/>
        </w:rPr>
        <w:t>你方组织的</w:t>
      </w:r>
      <w:r>
        <w:rPr>
          <w:rFonts w:hint="eastAsia" w:ascii="仿宋" w:hAnsi="仿宋" w:eastAsia="仿宋" w:cs="仿宋"/>
          <w:color w:val="auto"/>
          <w:szCs w:val="21"/>
          <w:highlight w:val="none"/>
          <w:lang w:eastAsia="zh-CN"/>
        </w:rPr>
        <w:t>算力中心展厅展陈</w:t>
      </w:r>
      <w:r>
        <w:rPr>
          <w:rFonts w:hint="eastAsia" w:ascii="仿宋" w:hAnsi="仿宋" w:eastAsia="仿宋" w:cs="仿宋"/>
          <w:color w:val="auto"/>
          <w:szCs w:val="21"/>
          <w:highlight w:val="none"/>
        </w:rPr>
        <w:t>项目[项目编号：</w:t>
      </w:r>
      <w:r>
        <w:rPr>
          <w:rFonts w:hint="eastAsia" w:ascii="仿宋" w:hAnsi="仿宋" w:eastAsia="仿宋" w:cs="仿宋"/>
          <w:color w:val="auto"/>
          <w:szCs w:val="21"/>
          <w:highlight w:val="none"/>
          <w:lang w:eastAsia="zh-CN"/>
        </w:rPr>
        <w:t>ZJLAB-JZ-CS2024011</w:t>
      </w:r>
      <w:r>
        <w:rPr>
          <w:rFonts w:hint="eastAsia" w:ascii="仿宋" w:hAnsi="仿宋" w:eastAsia="仿宋" w:cs="仿宋"/>
          <w:bCs/>
          <w:color w:val="auto"/>
          <w:spacing w:val="-6"/>
          <w:szCs w:val="21"/>
          <w:highlight w:val="none"/>
        </w:rPr>
        <w:t>]采购</w:t>
      </w:r>
      <w:r>
        <w:rPr>
          <w:rFonts w:hint="eastAsia" w:ascii="仿宋" w:hAnsi="仿宋" w:eastAsia="仿宋" w:cs="仿宋"/>
          <w:bCs/>
          <w:color w:val="auto"/>
          <w:szCs w:val="21"/>
          <w:highlight w:val="none"/>
        </w:rPr>
        <w:t>活动中作如下说明：</w:t>
      </w:r>
      <w:r>
        <w:rPr>
          <w:rFonts w:hint="eastAsia" w:ascii="仿宋" w:hAnsi="仿宋" w:eastAsia="仿宋" w:cs="仿宋"/>
          <w:color w:val="auto"/>
          <w:szCs w:val="21"/>
          <w:highlight w:val="none"/>
        </w:rPr>
        <w:t>我方所使用的“XX专用章”与法定名称章具有同等的法律效力，对使用“XX专用章”的行为予以完全承认，并愿意承担相应责任。</w:t>
      </w:r>
    </w:p>
    <w:p>
      <w:pPr>
        <w:snapToGrid w:val="0"/>
        <w:spacing w:line="360" w:lineRule="auto"/>
        <w:ind w:firstLine="424" w:firstLineChars="202"/>
        <w:rPr>
          <w:rFonts w:ascii="仿宋" w:hAnsi="仿宋" w:eastAsia="仿宋" w:cs="仿宋"/>
          <w:color w:val="auto"/>
          <w:szCs w:val="21"/>
          <w:highlight w:val="none"/>
        </w:rPr>
      </w:pPr>
      <w:r>
        <w:rPr>
          <w:rFonts w:hint="eastAsia" w:ascii="仿宋" w:hAnsi="仿宋" w:eastAsia="仿宋" w:cs="仿宋"/>
          <w:color w:val="auto"/>
          <w:szCs w:val="21"/>
          <w:highlight w:val="none"/>
        </w:rPr>
        <w:t>特此说明。</w:t>
      </w:r>
    </w:p>
    <w:p>
      <w:pPr>
        <w:snapToGrid w:val="0"/>
        <w:spacing w:line="360" w:lineRule="auto"/>
        <w:ind w:firstLine="424" w:firstLineChars="202"/>
        <w:rPr>
          <w:rFonts w:ascii="仿宋" w:hAnsi="仿宋" w:eastAsia="仿宋" w:cs="仿宋"/>
          <w:color w:val="auto"/>
          <w:szCs w:val="21"/>
          <w:highlight w:val="none"/>
        </w:rPr>
      </w:pPr>
    </w:p>
    <w:p>
      <w:pPr>
        <w:snapToGrid w:val="0"/>
        <w:spacing w:line="360" w:lineRule="auto"/>
        <w:rPr>
          <w:rFonts w:ascii="仿宋" w:hAnsi="仿宋" w:eastAsia="仿宋" w:cs="仿宋"/>
          <w:b/>
          <w:bCs/>
          <w:color w:val="auto"/>
          <w:szCs w:val="21"/>
          <w:highlight w:val="none"/>
        </w:rPr>
      </w:pPr>
      <w:r>
        <w:rPr>
          <w:rFonts w:hint="eastAsia" w:ascii="仿宋" w:hAnsi="仿宋" w:eastAsia="仿宋" w:cs="仿宋"/>
          <w:b/>
          <w:bCs/>
          <w:color w:val="auto"/>
          <w:szCs w:val="21"/>
          <w:highlight w:val="none"/>
        </w:rPr>
        <w:t>供应商（法定名称章）：</w:t>
      </w:r>
    </w:p>
    <w:p>
      <w:pPr>
        <w:snapToGrid w:val="0"/>
        <w:spacing w:line="360" w:lineRule="auto"/>
        <w:rPr>
          <w:rFonts w:ascii="仿宋" w:hAnsi="仿宋" w:eastAsia="仿宋" w:cs="仿宋"/>
          <w:b/>
          <w:bCs/>
          <w:color w:val="auto"/>
          <w:szCs w:val="21"/>
          <w:highlight w:val="none"/>
        </w:rPr>
      </w:pPr>
      <w:r>
        <w:rPr>
          <w:rFonts w:hint="eastAsia" w:ascii="仿宋" w:hAnsi="仿宋" w:eastAsia="仿宋" w:cs="仿宋"/>
          <w:b/>
          <w:bCs/>
          <w:color w:val="auto"/>
          <w:spacing w:val="-6"/>
          <w:szCs w:val="21"/>
          <w:highlight w:val="none"/>
        </w:rPr>
        <w:t>日期：     年   月   日</w:t>
      </w:r>
    </w:p>
    <w:p>
      <w:pPr>
        <w:snapToGrid w:val="0"/>
        <w:spacing w:line="360" w:lineRule="auto"/>
        <w:rPr>
          <w:rFonts w:ascii="仿宋" w:hAnsi="仿宋" w:eastAsia="仿宋" w:cs="仿宋"/>
          <w:b/>
          <w:bCs/>
          <w:color w:val="auto"/>
          <w:szCs w:val="21"/>
          <w:highlight w:val="none"/>
        </w:rPr>
      </w:pPr>
    </w:p>
    <w:p>
      <w:pPr>
        <w:snapToGrid w:val="0"/>
        <w:spacing w:line="360" w:lineRule="auto"/>
        <w:rPr>
          <w:rFonts w:ascii="仿宋" w:hAnsi="仿宋" w:eastAsia="仿宋" w:cs="仿宋"/>
          <w:b/>
          <w:bCs/>
          <w:color w:val="auto"/>
          <w:szCs w:val="21"/>
          <w:highlight w:val="none"/>
        </w:rPr>
      </w:pPr>
      <w:r>
        <w:rPr>
          <w:rFonts w:hint="eastAsia" w:ascii="仿宋" w:hAnsi="仿宋" w:eastAsia="仿宋" w:cs="仿宋"/>
          <w:b/>
          <w:bCs/>
          <w:color w:val="auto"/>
          <w:szCs w:val="21"/>
          <w:highlight w:val="none"/>
        </w:rPr>
        <w:t>附：</w:t>
      </w:r>
    </w:p>
    <w:p>
      <w:pPr>
        <w:snapToGrid w:val="0"/>
        <w:spacing w:line="360" w:lineRule="auto"/>
        <w:ind w:firstLine="843" w:firstLineChars="400"/>
        <w:rPr>
          <w:rFonts w:ascii="仿宋" w:hAnsi="仿宋" w:eastAsia="仿宋" w:cs="仿宋"/>
          <w:b/>
          <w:bCs/>
          <w:color w:val="auto"/>
          <w:szCs w:val="21"/>
          <w:highlight w:val="none"/>
        </w:rPr>
      </w:pPr>
      <w:r>
        <w:rPr>
          <w:rFonts w:hint="eastAsia" w:ascii="仿宋" w:hAnsi="仿宋" w:eastAsia="仿宋" w:cs="仿宋"/>
          <w:b/>
          <w:bCs/>
          <w:color w:val="auto"/>
          <w:szCs w:val="21"/>
          <w:highlight w:val="none"/>
        </w:rPr>
        <w:t>供应商法定名称章（印模）                 供应商“XX专用章”（印模）</w:t>
      </w:r>
    </w:p>
    <w:p>
      <w:pPr>
        <w:snapToGrid w:val="0"/>
        <w:spacing w:line="288" w:lineRule="auto"/>
        <w:rPr>
          <w:rFonts w:ascii="仿宋" w:hAnsi="仿宋" w:eastAsia="仿宋" w:cs="仿宋"/>
          <w:color w:val="auto"/>
          <w:szCs w:val="21"/>
          <w:highlight w:val="none"/>
        </w:rPr>
      </w:pPr>
      <w:r>
        <w:rPr>
          <w:rFonts w:hint="eastAsia" w:ascii="仿宋" w:hAnsi="仿宋" w:eastAsia="仿宋" w:cs="仿宋"/>
          <w:b/>
          <w:bCs/>
          <w:color w:val="auto"/>
          <w:szCs w:val="21"/>
          <w:highlight w:val="none"/>
        </w:rPr>
        <mc:AlternateContent>
          <mc:Choice Requires="wps">
            <w:drawing>
              <wp:inline distT="0" distB="0" distL="0" distR="0">
                <wp:extent cx="2647950" cy="2253615"/>
                <wp:effectExtent l="5080" t="4445" r="13970" b="15240"/>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inline>
            </w:drawing>
          </mc:Choice>
          <mc:Fallback>
            <w:pict>
              <v:rect id="Rectangle 16" o:spid="_x0000_s1026" o:spt="1" style="height:177.45pt;width:208.5pt;" fillcolor="#FFFFFF" filled="t" stroked="t" coordsize="21600,21600" o:gfxdata="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BVSUy1AAAAAUBAAAPAAAAAAAAAAEAIAAAACIA&#10;AABkcnMvZG93bnJldi54bWxQSwECFAAUAAAACACHTuJABYrTpg0CAAAmBAAADgAAAAAAAAABACAA&#10;AAAjAQAAZHJzL2Uyb0RvYy54bWxQSwUGAAAAAAYABgBZAQAAogUAAAAA&#10;">
                <v:fill on="t" focussize="0,0"/>
                <v:stroke color="#000000" miterlimit="2" joinstyle="miter"/>
                <v:imagedata o:title=""/>
                <o:lock v:ext="edit" aspectratio="f"/>
                <w10:wrap type="none"/>
                <w10:anchorlock/>
              </v:rect>
            </w:pict>
          </mc:Fallback>
        </mc:AlternateContent>
      </w:r>
      <w:r>
        <w:rPr>
          <w:rFonts w:hint="eastAsia" w:ascii="仿宋" w:hAnsi="仿宋" w:eastAsia="仿宋" w:cs="仿宋"/>
          <w:b/>
          <w:bCs/>
          <w:color w:val="auto"/>
          <w:szCs w:val="21"/>
          <w:highlight w:val="none"/>
        </w:rPr>
        <w:t xml:space="preserve"> </w:t>
      </w:r>
      <w:r>
        <w:rPr>
          <w:rFonts w:hint="eastAsia" w:ascii="仿宋" w:hAnsi="仿宋" w:eastAsia="仿宋" w:cs="仿宋"/>
          <w:b/>
          <w:bCs/>
          <w:color w:val="auto"/>
          <w:szCs w:val="21"/>
          <w:highlight w:val="none"/>
        </w:rPr>
        <mc:AlternateContent>
          <mc:Choice Requires="wps">
            <w:drawing>
              <wp:inline distT="0" distB="0" distL="0" distR="0">
                <wp:extent cx="2647950" cy="2253615"/>
                <wp:effectExtent l="5080" t="4445" r="13970" b="15240"/>
                <wp:docPr id="3"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inline>
            </w:drawing>
          </mc:Choice>
          <mc:Fallback>
            <w:pict>
              <v:rect id="Rectangle 16" o:spid="_x0000_s1026" o:spt="1" style="height:177.45pt;width:208.5pt;" fillcolor="#FFFFFF" filled="t" stroked="t" coordsize="21600,21600" o:gfxdata="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BVSUy1AAAAAUBAAAPAAAAAAAAAAEAIAAAACIA&#10;AABkcnMvZG93bnJldi54bWxQSwECFAAUAAAACACHTuJAed3Yzw0CAAAmBAAADgAAAAAAAAABACAA&#10;AAAjAQAAZHJzL2Uyb0RvYy54bWxQSwUGAAAAAAYABgBZAQAAogUAAAAA&#10;">
                <v:fill on="t" focussize="0,0"/>
                <v:stroke color="#000000" miterlimit="2" joinstyle="miter"/>
                <v:imagedata o:title=""/>
                <o:lock v:ext="edit" aspectratio="f"/>
                <w10:wrap type="none"/>
                <w10:anchorlock/>
              </v:rect>
            </w:pict>
          </mc:Fallback>
        </mc:AlternateContent>
      </w:r>
    </w:p>
    <w:p>
      <w:pPr>
        <w:pStyle w:val="12"/>
        <w:spacing w:line="360" w:lineRule="auto"/>
        <w:ind w:firstLine="0"/>
        <w:rPr>
          <w:rFonts w:ascii="仿宋" w:hAnsi="仿宋" w:eastAsia="仿宋" w:cs="仿宋"/>
          <w:b/>
          <w:bCs/>
          <w:color w:val="auto"/>
          <w:sz w:val="21"/>
          <w:szCs w:val="21"/>
          <w:highlight w:val="none"/>
        </w:rPr>
      </w:pPr>
    </w:p>
    <w:sectPr>
      <w:pgSz w:w="11906" w:h="16838"/>
      <w:pgMar w:top="1440" w:right="1247" w:bottom="1440" w:left="1247" w:header="283" w:footer="850" w:gutter="0"/>
      <w:cols w:space="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pple-system">
    <w:altName w:val="Malgun Gothic Semilight"/>
    <w:panose1 w:val="020B0604020202020204"/>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Microsoft YaHei UI">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Arial Unicode MS">
    <w:altName w:val="Arial"/>
    <w:panose1 w:val="020B0604020202020204"/>
    <w:charset w:val="80"/>
    <w:family w:val="swiss"/>
    <w:pitch w:val="default"/>
    <w:sig w:usb0="00000000" w:usb1="00000000" w:usb2="0000003F" w:usb3="00000000" w:csb0="003F01FF" w:csb1="00000000"/>
  </w:font>
  <w:font w:name="Helvetica Neue Light">
    <w:altName w:val="Corbel Light"/>
    <w:panose1 w:val="02000403000000020004"/>
    <w:charset w:val="00"/>
    <w:family w:val="auto"/>
    <w:pitch w:val="default"/>
    <w:sig w:usb0="00000000" w:usb1="00000000" w:usb2="00000002" w:usb3="00000000" w:csb0="00000007" w:csb1="00000000"/>
  </w:font>
  <w:font w:name="ヒラギノ角ゴ Pro W3">
    <w:altName w:val="MS Gothic"/>
    <w:panose1 w:val="020B0300000000000000"/>
    <w:charset w:val="80"/>
    <w:family w:val="swiss"/>
    <w:pitch w:val="default"/>
    <w:sig w:usb0="00000000" w:usb1="00000000" w:usb2="00000012" w:usb3="00000000" w:csb0="0002000D" w:csb1="0000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Malgun Gothic Semilight">
    <w:panose1 w:val="020B0502040204020203"/>
    <w:charset w:val="86"/>
    <w:family w:val="auto"/>
    <w:pitch w:val="default"/>
    <w:sig w:usb0="900002AF" w:usb1="01D77CFB" w:usb2="00000012" w:usb3="00000000" w:csb0="203E01BD" w:csb1="D7FF0000"/>
  </w:font>
  <w:font w:name="Arial">
    <w:panose1 w:val="020B0604020202020204"/>
    <w:charset w:val="00"/>
    <w:family w:val="auto"/>
    <w:pitch w:val="default"/>
    <w:sig w:usb0="E0002EFF" w:usb1="C000785B" w:usb2="00000009" w:usb3="00000000" w:csb0="400001FF" w:csb1="FFFF0000"/>
  </w:font>
  <w:font w:name="Corbel Light">
    <w:panose1 w:val="020B0303020204020204"/>
    <w:charset w:val="00"/>
    <w:family w:val="auto"/>
    <w:pitch w:val="default"/>
    <w:sig w:usb0="A00002EF" w:usb1="4000A4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rPr>
                              <w:rFonts w:ascii="仿宋" w:hAnsi="仿宋" w:eastAsia="仿宋" w:cs="仿宋"/>
                              <w:b/>
                              <w:bCs/>
                            </w:rPr>
                          </w:pPr>
                          <w:r>
                            <w:rPr>
                              <w:rFonts w:hint="eastAsia" w:ascii="仿宋" w:hAnsi="仿宋" w:eastAsia="仿宋" w:cs="仿宋"/>
                              <w:b/>
                              <w:bCs/>
                            </w:rPr>
                            <w:t xml:space="preserve">第 </w:t>
                          </w:r>
                          <w:r>
                            <w:rPr>
                              <w:rFonts w:hint="eastAsia" w:ascii="仿宋" w:hAnsi="仿宋" w:eastAsia="仿宋" w:cs="仿宋"/>
                              <w:b/>
                              <w:bCs/>
                            </w:rPr>
                            <w:fldChar w:fldCharType="begin"/>
                          </w:r>
                          <w:r>
                            <w:rPr>
                              <w:rFonts w:hint="eastAsia" w:ascii="仿宋" w:hAnsi="仿宋" w:eastAsia="仿宋" w:cs="仿宋"/>
                              <w:b/>
                              <w:bCs/>
                            </w:rPr>
                            <w:instrText xml:space="preserve"> PAGE  \* MERGEFORMAT </w:instrText>
                          </w:r>
                          <w:r>
                            <w:rPr>
                              <w:rFonts w:hint="eastAsia" w:ascii="仿宋" w:hAnsi="仿宋" w:eastAsia="仿宋" w:cs="仿宋"/>
                              <w:b/>
                              <w:bCs/>
                            </w:rPr>
                            <w:fldChar w:fldCharType="separate"/>
                          </w:r>
                          <w:r>
                            <w:rPr>
                              <w:rFonts w:hint="eastAsia" w:ascii="仿宋" w:hAnsi="仿宋" w:eastAsia="仿宋" w:cs="仿宋"/>
                              <w:b/>
                              <w:bCs/>
                            </w:rPr>
                            <w:t>2</w:t>
                          </w:r>
                          <w:r>
                            <w:rPr>
                              <w:rFonts w:hint="eastAsia" w:ascii="仿宋" w:hAnsi="仿宋" w:eastAsia="仿宋" w:cs="仿宋"/>
                              <w:b/>
                              <w:bCs/>
                            </w:rPr>
                            <w:fldChar w:fldCharType="end"/>
                          </w:r>
                          <w:r>
                            <w:rPr>
                              <w:rFonts w:hint="eastAsia" w:ascii="仿宋" w:hAnsi="仿宋" w:eastAsia="仿宋" w:cs="仿宋"/>
                              <w:b/>
                              <w:bCs/>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18"/>
                      <w:rPr>
                        <w:rFonts w:ascii="仿宋" w:hAnsi="仿宋" w:eastAsia="仿宋" w:cs="仿宋"/>
                        <w:b/>
                        <w:bCs/>
                      </w:rPr>
                    </w:pPr>
                    <w:r>
                      <w:rPr>
                        <w:rFonts w:hint="eastAsia" w:ascii="仿宋" w:hAnsi="仿宋" w:eastAsia="仿宋" w:cs="仿宋"/>
                        <w:b/>
                        <w:bCs/>
                      </w:rPr>
                      <w:t xml:space="preserve">第 </w:t>
                    </w:r>
                    <w:r>
                      <w:rPr>
                        <w:rFonts w:hint="eastAsia" w:ascii="仿宋" w:hAnsi="仿宋" w:eastAsia="仿宋" w:cs="仿宋"/>
                        <w:b/>
                        <w:bCs/>
                      </w:rPr>
                      <w:fldChar w:fldCharType="begin"/>
                    </w:r>
                    <w:r>
                      <w:rPr>
                        <w:rFonts w:hint="eastAsia" w:ascii="仿宋" w:hAnsi="仿宋" w:eastAsia="仿宋" w:cs="仿宋"/>
                        <w:b/>
                        <w:bCs/>
                      </w:rPr>
                      <w:instrText xml:space="preserve"> PAGE  \* MERGEFORMAT </w:instrText>
                    </w:r>
                    <w:r>
                      <w:rPr>
                        <w:rFonts w:hint="eastAsia" w:ascii="仿宋" w:hAnsi="仿宋" w:eastAsia="仿宋" w:cs="仿宋"/>
                        <w:b/>
                        <w:bCs/>
                      </w:rPr>
                      <w:fldChar w:fldCharType="separate"/>
                    </w:r>
                    <w:r>
                      <w:rPr>
                        <w:rFonts w:hint="eastAsia" w:ascii="仿宋" w:hAnsi="仿宋" w:eastAsia="仿宋" w:cs="仿宋"/>
                        <w:b/>
                        <w:bCs/>
                      </w:rPr>
                      <w:t>2</w:t>
                    </w:r>
                    <w:r>
                      <w:rPr>
                        <w:rFonts w:hint="eastAsia" w:ascii="仿宋" w:hAnsi="仿宋" w:eastAsia="仿宋" w:cs="仿宋"/>
                        <w:b/>
                        <w:bCs/>
                      </w:rPr>
                      <w:fldChar w:fldCharType="end"/>
                    </w:r>
                    <w:r>
                      <w:rPr>
                        <w:rFonts w:hint="eastAsia" w:ascii="仿宋" w:hAnsi="仿宋" w:eastAsia="仿宋" w:cs="仿宋"/>
                        <w:b/>
                        <w:bCs/>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rPr>
      <w:drawing>
        <wp:inline distT="0" distB="0" distL="114300" distR="114300">
          <wp:extent cx="5906770" cy="676910"/>
          <wp:effectExtent l="0" t="0" r="11430" b="8890"/>
          <wp:docPr id="2" name="图片 2" descr="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页眉"/>
                  <pic:cNvPicPr>
                    <a:picLocks noChangeAspect="1"/>
                  </pic:cNvPicPr>
                </pic:nvPicPr>
                <pic:blipFill>
                  <a:blip r:embed="rId1"/>
                  <a:stretch>
                    <a:fillRect/>
                  </a:stretch>
                </pic:blipFill>
                <pic:spPr>
                  <a:xfrm>
                    <a:off x="0" y="0"/>
                    <a:ext cx="5906770" cy="6769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tentative="0">
      <w:start w:val="1"/>
      <w:numFmt w:val="decimal"/>
      <w:pStyle w:val="7"/>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420"/>
  <w:drawingGridHorizontalSpacing w:val="98"/>
  <w:drawingGridVerticalSpacing w:val="145"/>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I4YTY2NzNjYzhhMDBjYjhiZDFjNDRhZjk5ZjcyM2MifQ=="/>
  </w:docVars>
  <w:rsids>
    <w:rsidRoot w:val="00172A27"/>
    <w:rsid w:val="000009E4"/>
    <w:rsid w:val="0000114F"/>
    <w:rsid w:val="0000436F"/>
    <w:rsid w:val="00006469"/>
    <w:rsid w:val="00006CFD"/>
    <w:rsid w:val="000116E4"/>
    <w:rsid w:val="00013608"/>
    <w:rsid w:val="00013B07"/>
    <w:rsid w:val="00014530"/>
    <w:rsid w:val="00015995"/>
    <w:rsid w:val="00016D69"/>
    <w:rsid w:val="00037CC3"/>
    <w:rsid w:val="00037F12"/>
    <w:rsid w:val="000404C3"/>
    <w:rsid w:val="0004184A"/>
    <w:rsid w:val="00042FA2"/>
    <w:rsid w:val="00043D3F"/>
    <w:rsid w:val="0004610A"/>
    <w:rsid w:val="00046C0F"/>
    <w:rsid w:val="00047FBE"/>
    <w:rsid w:val="000505CC"/>
    <w:rsid w:val="000536E0"/>
    <w:rsid w:val="00057E8D"/>
    <w:rsid w:val="0006261A"/>
    <w:rsid w:val="00065AAC"/>
    <w:rsid w:val="00066C2F"/>
    <w:rsid w:val="00067CDC"/>
    <w:rsid w:val="00074377"/>
    <w:rsid w:val="000765FF"/>
    <w:rsid w:val="00080197"/>
    <w:rsid w:val="00080E86"/>
    <w:rsid w:val="000814E9"/>
    <w:rsid w:val="00082DB5"/>
    <w:rsid w:val="00082FB1"/>
    <w:rsid w:val="00085C8D"/>
    <w:rsid w:val="00085FCC"/>
    <w:rsid w:val="00091AA5"/>
    <w:rsid w:val="00091FF9"/>
    <w:rsid w:val="000922B3"/>
    <w:rsid w:val="000949E6"/>
    <w:rsid w:val="0009761D"/>
    <w:rsid w:val="000A108A"/>
    <w:rsid w:val="000A68FB"/>
    <w:rsid w:val="000A74CF"/>
    <w:rsid w:val="000A7D0F"/>
    <w:rsid w:val="000B1B92"/>
    <w:rsid w:val="000B5BC8"/>
    <w:rsid w:val="000C1DE2"/>
    <w:rsid w:val="000C1EF8"/>
    <w:rsid w:val="000C3537"/>
    <w:rsid w:val="000C587E"/>
    <w:rsid w:val="000C67A6"/>
    <w:rsid w:val="000D0B38"/>
    <w:rsid w:val="000D107B"/>
    <w:rsid w:val="000D4121"/>
    <w:rsid w:val="000D763B"/>
    <w:rsid w:val="000E0B46"/>
    <w:rsid w:val="000E12A8"/>
    <w:rsid w:val="000E6420"/>
    <w:rsid w:val="000F4562"/>
    <w:rsid w:val="00103101"/>
    <w:rsid w:val="00106A4D"/>
    <w:rsid w:val="001137C8"/>
    <w:rsid w:val="00117EF1"/>
    <w:rsid w:val="001203D7"/>
    <w:rsid w:val="00120781"/>
    <w:rsid w:val="00130294"/>
    <w:rsid w:val="001358FA"/>
    <w:rsid w:val="00137FB9"/>
    <w:rsid w:val="00145597"/>
    <w:rsid w:val="001466D3"/>
    <w:rsid w:val="001472FE"/>
    <w:rsid w:val="00147E13"/>
    <w:rsid w:val="00154E6E"/>
    <w:rsid w:val="00160F71"/>
    <w:rsid w:val="00162355"/>
    <w:rsid w:val="00162B7F"/>
    <w:rsid w:val="001639E5"/>
    <w:rsid w:val="00164553"/>
    <w:rsid w:val="00164E88"/>
    <w:rsid w:val="00166D36"/>
    <w:rsid w:val="00167EC3"/>
    <w:rsid w:val="0017064E"/>
    <w:rsid w:val="00170DD1"/>
    <w:rsid w:val="00172304"/>
    <w:rsid w:val="00172A27"/>
    <w:rsid w:val="0018079E"/>
    <w:rsid w:val="00182FEC"/>
    <w:rsid w:val="00183AD9"/>
    <w:rsid w:val="00191976"/>
    <w:rsid w:val="00197EDA"/>
    <w:rsid w:val="001A1C51"/>
    <w:rsid w:val="001A2D63"/>
    <w:rsid w:val="001A2F81"/>
    <w:rsid w:val="001B01EC"/>
    <w:rsid w:val="001B03B6"/>
    <w:rsid w:val="001B1958"/>
    <w:rsid w:val="001B2E94"/>
    <w:rsid w:val="001B63B2"/>
    <w:rsid w:val="001B6AE4"/>
    <w:rsid w:val="001B6C0D"/>
    <w:rsid w:val="001C1474"/>
    <w:rsid w:val="001C2000"/>
    <w:rsid w:val="001C2933"/>
    <w:rsid w:val="001C4075"/>
    <w:rsid w:val="001D157A"/>
    <w:rsid w:val="001D2D58"/>
    <w:rsid w:val="001D7868"/>
    <w:rsid w:val="001E1516"/>
    <w:rsid w:val="001E3085"/>
    <w:rsid w:val="001F36AC"/>
    <w:rsid w:val="001F7274"/>
    <w:rsid w:val="002004E1"/>
    <w:rsid w:val="00200536"/>
    <w:rsid w:val="00201125"/>
    <w:rsid w:val="00201321"/>
    <w:rsid w:val="00204F17"/>
    <w:rsid w:val="00210339"/>
    <w:rsid w:val="00211660"/>
    <w:rsid w:val="00213589"/>
    <w:rsid w:val="00221BD1"/>
    <w:rsid w:val="00223595"/>
    <w:rsid w:val="00224BD6"/>
    <w:rsid w:val="002265A9"/>
    <w:rsid w:val="00230DA7"/>
    <w:rsid w:val="002336BD"/>
    <w:rsid w:val="00236327"/>
    <w:rsid w:val="00236937"/>
    <w:rsid w:val="002402D1"/>
    <w:rsid w:val="002435F2"/>
    <w:rsid w:val="00243D1E"/>
    <w:rsid w:val="0025569A"/>
    <w:rsid w:val="00255E9B"/>
    <w:rsid w:val="00255F77"/>
    <w:rsid w:val="0025659F"/>
    <w:rsid w:val="002570E8"/>
    <w:rsid w:val="00257110"/>
    <w:rsid w:val="002607CF"/>
    <w:rsid w:val="00262884"/>
    <w:rsid w:val="00263BCE"/>
    <w:rsid w:val="00264D84"/>
    <w:rsid w:val="00267917"/>
    <w:rsid w:val="00272073"/>
    <w:rsid w:val="00275FBD"/>
    <w:rsid w:val="00283AE2"/>
    <w:rsid w:val="00283EB5"/>
    <w:rsid w:val="00296AB0"/>
    <w:rsid w:val="002A7085"/>
    <w:rsid w:val="002A799A"/>
    <w:rsid w:val="002B0296"/>
    <w:rsid w:val="002B1048"/>
    <w:rsid w:val="002B4AE9"/>
    <w:rsid w:val="002C3342"/>
    <w:rsid w:val="002D2EAF"/>
    <w:rsid w:val="002D3A28"/>
    <w:rsid w:val="002E3494"/>
    <w:rsid w:val="002E3E0B"/>
    <w:rsid w:val="002E4545"/>
    <w:rsid w:val="002E46E3"/>
    <w:rsid w:val="002F13BD"/>
    <w:rsid w:val="002F14C6"/>
    <w:rsid w:val="002F55DD"/>
    <w:rsid w:val="002F5909"/>
    <w:rsid w:val="002F75BD"/>
    <w:rsid w:val="00302870"/>
    <w:rsid w:val="00303255"/>
    <w:rsid w:val="00304616"/>
    <w:rsid w:val="00304855"/>
    <w:rsid w:val="00305DE7"/>
    <w:rsid w:val="0030628A"/>
    <w:rsid w:val="00306563"/>
    <w:rsid w:val="00306AB0"/>
    <w:rsid w:val="003117B9"/>
    <w:rsid w:val="00311A4B"/>
    <w:rsid w:val="00312BBF"/>
    <w:rsid w:val="00317A81"/>
    <w:rsid w:val="00320EE9"/>
    <w:rsid w:val="00321487"/>
    <w:rsid w:val="00327618"/>
    <w:rsid w:val="0033301D"/>
    <w:rsid w:val="00336349"/>
    <w:rsid w:val="00336F68"/>
    <w:rsid w:val="00336FDD"/>
    <w:rsid w:val="00341604"/>
    <w:rsid w:val="00347CBA"/>
    <w:rsid w:val="003502B4"/>
    <w:rsid w:val="00352E2F"/>
    <w:rsid w:val="003560E6"/>
    <w:rsid w:val="00357CF0"/>
    <w:rsid w:val="00363F3D"/>
    <w:rsid w:val="003665F6"/>
    <w:rsid w:val="0036728D"/>
    <w:rsid w:val="00371425"/>
    <w:rsid w:val="00371E29"/>
    <w:rsid w:val="0037508B"/>
    <w:rsid w:val="0038111B"/>
    <w:rsid w:val="00381C15"/>
    <w:rsid w:val="00382F41"/>
    <w:rsid w:val="0038494C"/>
    <w:rsid w:val="003868F7"/>
    <w:rsid w:val="00392BF4"/>
    <w:rsid w:val="003940F4"/>
    <w:rsid w:val="003959FD"/>
    <w:rsid w:val="003961ED"/>
    <w:rsid w:val="0039799B"/>
    <w:rsid w:val="003A0ADB"/>
    <w:rsid w:val="003A188A"/>
    <w:rsid w:val="003A1BED"/>
    <w:rsid w:val="003A1C79"/>
    <w:rsid w:val="003A2DAB"/>
    <w:rsid w:val="003A3152"/>
    <w:rsid w:val="003A454D"/>
    <w:rsid w:val="003A45ED"/>
    <w:rsid w:val="003A4659"/>
    <w:rsid w:val="003A7992"/>
    <w:rsid w:val="003A7D03"/>
    <w:rsid w:val="003B064C"/>
    <w:rsid w:val="003B13A5"/>
    <w:rsid w:val="003B3605"/>
    <w:rsid w:val="003B5B05"/>
    <w:rsid w:val="003B6DAB"/>
    <w:rsid w:val="003C3454"/>
    <w:rsid w:val="003C4781"/>
    <w:rsid w:val="003C5468"/>
    <w:rsid w:val="003C7A4A"/>
    <w:rsid w:val="003D1ED8"/>
    <w:rsid w:val="003D26B2"/>
    <w:rsid w:val="003D3515"/>
    <w:rsid w:val="003D6E1E"/>
    <w:rsid w:val="003E24B1"/>
    <w:rsid w:val="003E60E1"/>
    <w:rsid w:val="003F52EA"/>
    <w:rsid w:val="004011A4"/>
    <w:rsid w:val="00403B44"/>
    <w:rsid w:val="00403FBB"/>
    <w:rsid w:val="00405332"/>
    <w:rsid w:val="0041002E"/>
    <w:rsid w:val="00413B01"/>
    <w:rsid w:val="004142D4"/>
    <w:rsid w:val="004173F4"/>
    <w:rsid w:val="0043170C"/>
    <w:rsid w:val="004327AE"/>
    <w:rsid w:val="00433671"/>
    <w:rsid w:val="004430E8"/>
    <w:rsid w:val="0045480E"/>
    <w:rsid w:val="00456743"/>
    <w:rsid w:val="00456DA5"/>
    <w:rsid w:val="00457EA2"/>
    <w:rsid w:val="00461FD3"/>
    <w:rsid w:val="00462180"/>
    <w:rsid w:val="00463860"/>
    <w:rsid w:val="00463AF9"/>
    <w:rsid w:val="004644FC"/>
    <w:rsid w:val="00464B58"/>
    <w:rsid w:val="00464D58"/>
    <w:rsid w:val="004719AB"/>
    <w:rsid w:val="0047231B"/>
    <w:rsid w:val="0047725C"/>
    <w:rsid w:val="004840CF"/>
    <w:rsid w:val="0048470A"/>
    <w:rsid w:val="00484EC1"/>
    <w:rsid w:val="004866A5"/>
    <w:rsid w:val="00491047"/>
    <w:rsid w:val="004914C8"/>
    <w:rsid w:val="0049330E"/>
    <w:rsid w:val="004934D4"/>
    <w:rsid w:val="004967FF"/>
    <w:rsid w:val="00497365"/>
    <w:rsid w:val="004977E3"/>
    <w:rsid w:val="00497B33"/>
    <w:rsid w:val="004A0913"/>
    <w:rsid w:val="004A1C68"/>
    <w:rsid w:val="004A2732"/>
    <w:rsid w:val="004A2B24"/>
    <w:rsid w:val="004A4BA1"/>
    <w:rsid w:val="004A62EE"/>
    <w:rsid w:val="004A758D"/>
    <w:rsid w:val="004A7612"/>
    <w:rsid w:val="004B1139"/>
    <w:rsid w:val="004B7ECD"/>
    <w:rsid w:val="004C0ACF"/>
    <w:rsid w:val="004C38B7"/>
    <w:rsid w:val="004C4AEA"/>
    <w:rsid w:val="004C5359"/>
    <w:rsid w:val="004D0781"/>
    <w:rsid w:val="004D2BC8"/>
    <w:rsid w:val="004D3156"/>
    <w:rsid w:val="004D3FD1"/>
    <w:rsid w:val="004D6D2F"/>
    <w:rsid w:val="004D71C3"/>
    <w:rsid w:val="004E373B"/>
    <w:rsid w:val="004E40A7"/>
    <w:rsid w:val="004E764E"/>
    <w:rsid w:val="004F1F7A"/>
    <w:rsid w:val="004F749F"/>
    <w:rsid w:val="005000B3"/>
    <w:rsid w:val="005004BC"/>
    <w:rsid w:val="0050432A"/>
    <w:rsid w:val="0051415E"/>
    <w:rsid w:val="0051461C"/>
    <w:rsid w:val="00516C2B"/>
    <w:rsid w:val="00517F0F"/>
    <w:rsid w:val="00520566"/>
    <w:rsid w:val="00520844"/>
    <w:rsid w:val="00520CCA"/>
    <w:rsid w:val="0052332C"/>
    <w:rsid w:val="005238C8"/>
    <w:rsid w:val="0052419B"/>
    <w:rsid w:val="00525513"/>
    <w:rsid w:val="00530E18"/>
    <w:rsid w:val="00533573"/>
    <w:rsid w:val="0053482D"/>
    <w:rsid w:val="005349E7"/>
    <w:rsid w:val="00536EA4"/>
    <w:rsid w:val="00543979"/>
    <w:rsid w:val="0055295C"/>
    <w:rsid w:val="005541E6"/>
    <w:rsid w:val="005552F4"/>
    <w:rsid w:val="00555329"/>
    <w:rsid w:val="005579AA"/>
    <w:rsid w:val="0056031C"/>
    <w:rsid w:val="00561927"/>
    <w:rsid w:val="00563576"/>
    <w:rsid w:val="00565695"/>
    <w:rsid w:val="005666C3"/>
    <w:rsid w:val="00567903"/>
    <w:rsid w:val="0057327B"/>
    <w:rsid w:val="005735F1"/>
    <w:rsid w:val="005762C1"/>
    <w:rsid w:val="00577861"/>
    <w:rsid w:val="00584B0A"/>
    <w:rsid w:val="00585951"/>
    <w:rsid w:val="00592BC6"/>
    <w:rsid w:val="00593624"/>
    <w:rsid w:val="005936D5"/>
    <w:rsid w:val="0059376A"/>
    <w:rsid w:val="005938EE"/>
    <w:rsid w:val="00594309"/>
    <w:rsid w:val="00595A42"/>
    <w:rsid w:val="00597EA9"/>
    <w:rsid w:val="005A2031"/>
    <w:rsid w:val="005A603C"/>
    <w:rsid w:val="005A6A8A"/>
    <w:rsid w:val="005B2265"/>
    <w:rsid w:val="005B7D64"/>
    <w:rsid w:val="005C25EA"/>
    <w:rsid w:val="005D0C62"/>
    <w:rsid w:val="005D4D28"/>
    <w:rsid w:val="005D5F6E"/>
    <w:rsid w:val="005E2D92"/>
    <w:rsid w:val="005E632D"/>
    <w:rsid w:val="005E74BA"/>
    <w:rsid w:val="005F1144"/>
    <w:rsid w:val="005F14E1"/>
    <w:rsid w:val="005F2651"/>
    <w:rsid w:val="005F531A"/>
    <w:rsid w:val="005F5528"/>
    <w:rsid w:val="005F65C8"/>
    <w:rsid w:val="005F70AB"/>
    <w:rsid w:val="005F7DB1"/>
    <w:rsid w:val="0060269F"/>
    <w:rsid w:val="00602E5E"/>
    <w:rsid w:val="0060397B"/>
    <w:rsid w:val="006070EC"/>
    <w:rsid w:val="006072E8"/>
    <w:rsid w:val="00611AFB"/>
    <w:rsid w:val="006135DB"/>
    <w:rsid w:val="006143BF"/>
    <w:rsid w:val="006153AB"/>
    <w:rsid w:val="006175EF"/>
    <w:rsid w:val="006279EA"/>
    <w:rsid w:val="006314E7"/>
    <w:rsid w:val="00635BD5"/>
    <w:rsid w:val="00640CB4"/>
    <w:rsid w:val="00641772"/>
    <w:rsid w:val="00642A44"/>
    <w:rsid w:val="00657DC0"/>
    <w:rsid w:val="00660BB7"/>
    <w:rsid w:val="00664079"/>
    <w:rsid w:val="006642C4"/>
    <w:rsid w:val="00664DAA"/>
    <w:rsid w:val="00664F3B"/>
    <w:rsid w:val="006713B5"/>
    <w:rsid w:val="00674C38"/>
    <w:rsid w:val="006763DA"/>
    <w:rsid w:val="00681FEB"/>
    <w:rsid w:val="006823E7"/>
    <w:rsid w:val="0068459B"/>
    <w:rsid w:val="00685148"/>
    <w:rsid w:val="006900EA"/>
    <w:rsid w:val="0069103C"/>
    <w:rsid w:val="00691AD4"/>
    <w:rsid w:val="00693005"/>
    <w:rsid w:val="00693820"/>
    <w:rsid w:val="00696E42"/>
    <w:rsid w:val="00697054"/>
    <w:rsid w:val="00697CA8"/>
    <w:rsid w:val="006A43F9"/>
    <w:rsid w:val="006A4806"/>
    <w:rsid w:val="006A4E30"/>
    <w:rsid w:val="006B4735"/>
    <w:rsid w:val="006B60FC"/>
    <w:rsid w:val="006C0103"/>
    <w:rsid w:val="006C1090"/>
    <w:rsid w:val="006C3E32"/>
    <w:rsid w:val="006C5E79"/>
    <w:rsid w:val="006C7249"/>
    <w:rsid w:val="006D584E"/>
    <w:rsid w:val="006D5DA2"/>
    <w:rsid w:val="006E0F3D"/>
    <w:rsid w:val="006F1A49"/>
    <w:rsid w:val="006F4883"/>
    <w:rsid w:val="006F6B94"/>
    <w:rsid w:val="00701FAE"/>
    <w:rsid w:val="00710E91"/>
    <w:rsid w:val="00712B38"/>
    <w:rsid w:val="00716277"/>
    <w:rsid w:val="0071668C"/>
    <w:rsid w:val="0071784C"/>
    <w:rsid w:val="00722B86"/>
    <w:rsid w:val="00725627"/>
    <w:rsid w:val="007258CF"/>
    <w:rsid w:val="00726EB1"/>
    <w:rsid w:val="00732E62"/>
    <w:rsid w:val="007359D0"/>
    <w:rsid w:val="00735C25"/>
    <w:rsid w:val="0073691D"/>
    <w:rsid w:val="00737B87"/>
    <w:rsid w:val="00742745"/>
    <w:rsid w:val="007433C8"/>
    <w:rsid w:val="0074775E"/>
    <w:rsid w:val="00756626"/>
    <w:rsid w:val="007572BE"/>
    <w:rsid w:val="00763093"/>
    <w:rsid w:val="00764B19"/>
    <w:rsid w:val="00765853"/>
    <w:rsid w:val="0076760A"/>
    <w:rsid w:val="00774D1E"/>
    <w:rsid w:val="007765A6"/>
    <w:rsid w:val="00777132"/>
    <w:rsid w:val="0078494B"/>
    <w:rsid w:val="00784A57"/>
    <w:rsid w:val="007851E4"/>
    <w:rsid w:val="00785B83"/>
    <w:rsid w:val="00785D4D"/>
    <w:rsid w:val="0078688E"/>
    <w:rsid w:val="00787700"/>
    <w:rsid w:val="007910A8"/>
    <w:rsid w:val="00791D7E"/>
    <w:rsid w:val="0079274B"/>
    <w:rsid w:val="00792E7D"/>
    <w:rsid w:val="00796DBA"/>
    <w:rsid w:val="007A1535"/>
    <w:rsid w:val="007A2697"/>
    <w:rsid w:val="007A3332"/>
    <w:rsid w:val="007A4000"/>
    <w:rsid w:val="007A6DC4"/>
    <w:rsid w:val="007A7660"/>
    <w:rsid w:val="007A7E00"/>
    <w:rsid w:val="007B2A33"/>
    <w:rsid w:val="007B3510"/>
    <w:rsid w:val="007B70E0"/>
    <w:rsid w:val="007D0155"/>
    <w:rsid w:val="007D0409"/>
    <w:rsid w:val="007D0DB5"/>
    <w:rsid w:val="007D299D"/>
    <w:rsid w:val="007D3533"/>
    <w:rsid w:val="007D5A95"/>
    <w:rsid w:val="007D736C"/>
    <w:rsid w:val="007D7DBA"/>
    <w:rsid w:val="007E0063"/>
    <w:rsid w:val="007E13AE"/>
    <w:rsid w:val="007E5D59"/>
    <w:rsid w:val="007E6466"/>
    <w:rsid w:val="007E6782"/>
    <w:rsid w:val="007E74B9"/>
    <w:rsid w:val="007E7D3E"/>
    <w:rsid w:val="007F3874"/>
    <w:rsid w:val="007F46A2"/>
    <w:rsid w:val="007F5783"/>
    <w:rsid w:val="007F58B9"/>
    <w:rsid w:val="007F73C5"/>
    <w:rsid w:val="007F7402"/>
    <w:rsid w:val="008051C0"/>
    <w:rsid w:val="008062F5"/>
    <w:rsid w:val="00810B33"/>
    <w:rsid w:val="00814392"/>
    <w:rsid w:val="008143E7"/>
    <w:rsid w:val="008147B0"/>
    <w:rsid w:val="0081666D"/>
    <w:rsid w:val="00816F86"/>
    <w:rsid w:val="00826BEC"/>
    <w:rsid w:val="008309E3"/>
    <w:rsid w:val="0083275D"/>
    <w:rsid w:val="008331E4"/>
    <w:rsid w:val="0083518C"/>
    <w:rsid w:val="00835258"/>
    <w:rsid w:val="00836C7B"/>
    <w:rsid w:val="00837A11"/>
    <w:rsid w:val="008400F7"/>
    <w:rsid w:val="00845785"/>
    <w:rsid w:val="0084629B"/>
    <w:rsid w:val="008470A5"/>
    <w:rsid w:val="008524BA"/>
    <w:rsid w:val="00854FBA"/>
    <w:rsid w:val="00857B69"/>
    <w:rsid w:val="00860FD0"/>
    <w:rsid w:val="008629F4"/>
    <w:rsid w:val="0087038D"/>
    <w:rsid w:val="008800E3"/>
    <w:rsid w:val="008807C0"/>
    <w:rsid w:val="00887F0C"/>
    <w:rsid w:val="00893A32"/>
    <w:rsid w:val="008A1A9C"/>
    <w:rsid w:val="008A541E"/>
    <w:rsid w:val="008B0ED1"/>
    <w:rsid w:val="008B3188"/>
    <w:rsid w:val="008B336F"/>
    <w:rsid w:val="008B56D2"/>
    <w:rsid w:val="008B7147"/>
    <w:rsid w:val="008C23E0"/>
    <w:rsid w:val="008C3D8A"/>
    <w:rsid w:val="008C3FF0"/>
    <w:rsid w:val="008C56F5"/>
    <w:rsid w:val="008C6787"/>
    <w:rsid w:val="008C7394"/>
    <w:rsid w:val="008C7810"/>
    <w:rsid w:val="008D0FB0"/>
    <w:rsid w:val="008D2DB0"/>
    <w:rsid w:val="008D3747"/>
    <w:rsid w:val="008D6BE2"/>
    <w:rsid w:val="008E0100"/>
    <w:rsid w:val="008E7989"/>
    <w:rsid w:val="008E7DD4"/>
    <w:rsid w:val="008F3F87"/>
    <w:rsid w:val="008F3FFA"/>
    <w:rsid w:val="0090229C"/>
    <w:rsid w:val="00903112"/>
    <w:rsid w:val="0090469F"/>
    <w:rsid w:val="0090555B"/>
    <w:rsid w:val="00912B21"/>
    <w:rsid w:val="00917842"/>
    <w:rsid w:val="009207E0"/>
    <w:rsid w:val="00921DF6"/>
    <w:rsid w:val="009239E0"/>
    <w:rsid w:val="00924893"/>
    <w:rsid w:val="00926422"/>
    <w:rsid w:val="009302F3"/>
    <w:rsid w:val="00934006"/>
    <w:rsid w:val="009369AF"/>
    <w:rsid w:val="00937328"/>
    <w:rsid w:val="0093779E"/>
    <w:rsid w:val="00940228"/>
    <w:rsid w:val="00945580"/>
    <w:rsid w:val="00950D6E"/>
    <w:rsid w:val="009548AD"/>
    <w:rsid w:val="0096020D"/>
    <w:rsid w:val="009652E1"/>
    <w:rsid w:val="009700EA"/>
    <w:rsid w:val="00975C50"/>
    <w:rsid w:val="00976106"/>
    <w:rsid w:val="009816FF"/>
    <w:rsid w:val="009837EC"/>
    <w:rsid w:val="009845F3"/>
    <w:rsid w:val="00990633"/>
    <w:rsid w:val="00991551"/>
    <w:rsid w:val="00994B9D"/>
    <w:rsid w:val="009A2069"/>
    <w:rsid w:val="009A24DD"/>
    <w:rsid w:val="009A506D"/>
    <w:rsid w:val="009A55BF"/>
    <w:rsid w:val="009A73F9"/>
    <w:rsid w:val="009B0065"/>
    <w:rsid w:val="009B2CDC"/>
    <w:rsid w:val="009B4FED"/>
    <w:rsid w:val="009B6FEB"/>
    <w:rsid w:val="009C428B"/>
    <w:rsid w:val="009C5F48"/>
    <w:rsid w:val="009C62B5"/>
    <w:rsid w:val="009D4E08"/>
    <w:rsid w:val="009D5CF6"/>
    <w:rsid w:val="009D79D9"/>
    <w:rsid w:val="009E0D54"/>
    <w:rsid w:val="009E2C98"/>
    <w:rsid w:val="009E5DE6"/>
    <w:rsid w:val="009E6E7D"/>
    <w:rsid w:val="009F00CA"/>
    <w:rsid w:val="009F6E40"/>
    <w:rsid w:val="00A01CA9"/>
    <w:rsid w:val="00A02B70"/>
    <w:rsid w:val="00A02EC0"/>
    <w:rsid w:val="00A11D23"/>
    <w:rsid w:val="00A12BFB"/>
    <w:rsid w:val="00A131C6"/>
    <w:rsid w:val="00A14643"/>
    <w:rsid w:val="00A153E2"/>
    <w:rsid w:val="00A208BD"/>
    <w:rsid w:val="00A20C0F"/>
    <w:rsid w:val="00A24843"/>
    <w:rsid w:val="00A272A5"/>
    <w:rsid w:val="00A31583"/>
    <w:rsid w:val="00A31B9C"/>
    <w:rsid w:val="00A32353"/>
    <w:rsid w:val="00A32B99"/>
    <w:rsid w:val="00A33534"/>
    <w:rsid w:val="00A34503"/>
    <w:rsid w:val="00A36534"/>
    <w:rsid w:val="00A365B5"/>
    <w:rsid w:val="00A37F7F"/>
    <w:rsid w:val="00A41840"/>
    <w:rsid w:val="00A436D8"/>
    <w:rsid w:val="00A500FC"/>
    <w:rsid w:val="00A50DF7"/>
    <w:rsid w:val="00A5356D"/>
    <w:rsid w:val="00A56E2F"/>
    <w:rsid w:val="00A63F72"/>
    <w:rsid w:val="00A65BE8"/>
    <w:rsid w:val="00A66EBD"/>
    <w:rsid w:val="00A739E7"/>
    <w:rsid w:val="00A75C85"/>
    <w:rsid w:val="00A8478E"/>
    <w:rsid w:val="00A85D86"/>
    <w:rsid w:val="00A91A61"/>
    <w:rsid w:val="00A91F9F"/>
    <w:rsid w:val="00A93BEF"/>
    <w:rsid w:val="00AA1EC4"/>
    <w:rsid w:val="00AA26BF"/>
    <w:rsid w:val="00AA4EEB"/>
    <w:rsid w:val="00AA6158"/>
    <w:rsid w:val="00AB197A"/>
    <w:rsid w:val="00AB538C"/>
    <w:rsid w:val="00AB6351"/>
    <w:rsid w:val="00AC0C26"/>
    <w:rsid w:val="00AC2AE1"/>
    <w:rsid w:val="00AC729C"/>
    <w:rsid w:val="00AD15D6"/>
    <w:rsid w:val="00AD4215"/>
    <w:rsid w:val="00AD454A"/>
    <w:rsid w:val="00AD7AC4"/>
    <w:rsid w:val="00AE109C"/>
    <w:rsid w:val="00AE2D51"/>
    <w:rsid w:val="00AE5218"/>
    <w:rsid w:val="00AE6143"/>
    <w:rsid w:val="00AE6479"/>
    <w:rsid w:val="00AE65DE"/>
    <w:rsid w:val="00AF0A8C"/>
    <w:rsid w:val="00AF0D11"/>
    <w:rsid w:val="00AF2EB1"/>
    <w:rsid w:val="00AF4159"/>
    <w:rsid w:val="00AF47F0"/>
    <w:rsid w:val="00AF4C17"/>
    <w:rsid w:val="00AF57C7"/>
    <w:rsid w:val="00AF7D17"/>
    <w:rsid w:val="00AF7E39"/>
    <w:rsid w:val="00B016AA"/>
    <w:rsid w:val="00B11414"/>
    <w:rsid w:val="00B2224D"/>
    <w:rsid w:val="00B26485"/>
    <w:rsid w:val="00B27103"/>
    <w:rsid w:val="00B27134"/>
    <w:rsid w:val="00B27466"/>
    <w:rsid w:val="00B31493"/>
    <w:rsid w:val="00B408F4"/>
    <w:rsid w:val="00B41A65"/>
    <w:rsid w:val="00B44146"/>
    <w:rsid w:val="00B5172B"/>
    <w:rsid w:val="00B5208F"/>
    <w:rsid w:val="00B54056"/>
    <w:rsid w:val="00B54F8A"/>
    <w:rsid w:val="00B608E3"/>
    <w:rsid w:val="00B6179A"/>
    <w:rsid w:val="00B63121"/>
    <w:rsid w:val="00B64886"/>
    <w:rsid w:val="00B6513B"/>
    <w:rsid w:val="00B66247"/>
    <w:rsid w:val="00B6671E"/>
    <w:rsid w:val="00B709E0"/>
    <w:rsid w:val="00B71159"/>
    <w:rsid w:val="00B724F3"/>
    <w:rsid w:val="00B76833"/>
    <w:rsid w:val="00B76BE5"/>
    <w:rsid w:val="00B83888"/>
    <w:rsid w:val="00B852B1"/>
    <w:rsid w:val="00B85628"/>
    <w:rsid w:val="00B90814"/>
    <w:rsid w:val="00B90B33"/>
    <w:rsid w:val="00B91B56"/>
    <w:rsid w:val="00B962D4"/>
    <w:rsid w:val="00B96B37"/>
    <w:rsid w:val="00BA396F"/>
    <w:rsid w:val="00BA4D43"/>
    <w:rsid w:val="00BA74CC"/>
    <w:rsid w:val="00BB0B3D"/>
    <w:rsid w:val="00BB5F21"/>
    <w:rsid w:val="00BB5FAE"/>
    <w:rsid w:val="00BC1A71"/>
    <w:rsid w:val="00BC48DB"/>
    <w:rsid w:val="00BC4928"/>
    <w:rsid w:val="00BC74E1"/>
    <w:rsid w:val="00BC78C9"/>
    <w:rsid w:val="00BD2CA3"/>
    <w:rsid w:val="00BD2EE6"/>
    <w:rsid w:val="00BD5352"/>
    <w:rsid w:val="00BD7446"/>
    <w:rsid w:val="00BE0F12"/>
    <w:rsid w:val="00BE21D5"/>
    <w:rsid w:val="00BE5332"/>
    <w:rsid w:val="00BF3D5C"/>
    <w:rsid w:val="00C01687"/>
    <w:rsid w:val="00C02080"/>
    <w:rsid w:val="00C02627"/>
    <w:rsid w:val="00C03DE1"/>
    <w:rsid w:val="00C049FB"/>
    <w:rsid w:val="00C07B07"/>
    <w:rsid w:val="00C10A57"/>
    <w:rsid w:val="00C111CD"/>
    <w:rsid w:val="00C11B1B"/>
    <w:rsid w:val="00C12647"/>
    <w:rsid w:val="00C12F52"/>
    <w:rsid w:val="00C2067F"/>
    <w:rsid w:val="00C21AEB"/>
    <w:rsid w:val="00C25898"/>
    <w:rsid w:val="00C266F1"/>
    <w:rsid w:val="00C270E3"/>
    <w:rsid w:val="00C31323"/>
    <w:rsid w:val="00C32230"/>
    <w:rsid w:val="00C343E2"/>
    <w:rsid w:val="00C3722B"/>
    <w:rsid w:val="00C373A3"/>
    <w:rsid w:val="00C41A90"/>
    <w:rsid w:val="00C41BEC"/>
    <w:rsid w:val="00C44455"/>
    <w:rsid w:val="00C5397C"/>
    <w:rsid w:val="00C57474"/>
    <w:rsid w:val="00C6026E"/>
    <w:rsid w:val="00C61007"/>
    <w:rsid w:val="00C61726"/>
    <w:rsid w:val="00C641CA"/>
    <w:rsid w:val="00C6577C"/>
    <w:rsid w:val="00C667C1"/>
    <w:rsid w:val="00C674A0"/>
    <w:rsid w:val="00C71F89"/>
    <w:rsid w:val="00C72C1E"/>
    <w:rsid w:val="00C72F15"/>
    <w:rsid w:val="00C74B9A"/>
    <w:rsid w:val="00C77FD8"/>
    <w:rsid w:val="00C855AA"/>
    <w:rsid w:val="00C87192"/>
    <w:rsid w:val="00C96C41"/>
    <w:rsid w:val="00C97128"/>
    <w:rsid w:val="00CA086A"/>
    <w:rsid w:val="00CA1738"/>
    <w:rsid w:val="00CA1B4D"/>
    <w:rsid w:val="00CA245C"/>
    <w:rsid w:val="00CA3FFB"/>
    <w:rsid w:val="00CA4FE5"/>
    <w:rsid w:val="00CA575F"/>
    <w:rsid w:val="00CA5D7B"/>
    <w:rsid w:val="00CA6539"/>
    <w:rsid w:val="00CA6AE9"/>
    <w:rsid w:val="00CB1761"/>
    <w:rsid w:val="00CB3645"/>
    <w:rsid w:val="00CB3776"/>
    <w:rsid w:val="00CB4BED"/>
    <w:rsid w:val="00CC100D"/>
    <w:rsid w:val="00CC1CB3"/>
    <w:rsid w:val="00CC2501"/>
    <w:rsid w:val="00CC370C"/>
    <w:rsid w:val="00CC37F5"/>
    <w:rsid w:val="00CC4070"/>
    <w:rsid w:val="00CC477F"/>
    <w:rsid w:val="00CC4A5C"/>
    <w:rsid w:val="00CC5DA0"/>
    <w:rsid w:val="00CD1574"/>
    <w:rsid w:val="00CD15DC"/>
    <w:rsid w:val="00CD4CE1"/>
    <w:rsid w:val="00CD674E"/>
    <w:rsid w:val="00CD6C86"/>
    <w:rsid w:val="00CD6CAD"/>
    <w:rsid w:val="00CD7100"/>
    <w:rsid w:val="00CE1BC2"/>
    <w:rsid w:val="00CE3C16"/>
    <w:rsid w:val="00CE6FB6"/>
    <w:rsid w:val="00CE7AD9"/>
    <w:rsid w:val="00CF3576"/>
    <w:rsid w:val="00CF4740"/>
    <w:rsid w:val="00CF6826"/>
    <w:rsid w:val="00CF7A2E"/>
    <w:rsid w:val="00D00847"/>
    <w:rsid w:val="00D03363"/>
    <w:rsid w:val="00D04AA5"/>
    <w:rsid w:val="00D14CB3"/>
    <w:rsid w:val="00D20C5C"/>
    <w:rsid w:val="00D23BB6"/>
    <w:rsid w:val="00D24377"/>
    <w:rsid w:val="00D25F8C"/>
    <w:rsid w:val="00D26829"/>
    <w:rsid w:val="00D279B4"/>
    <w:rsid w:val="00D304E2"/>
    <w:rsid w:val="00D33AD3"/>
    <w:rsid w:val="00D37935"/>
    <w:rsid w:val="00D421C7"/>
    <w:rsid w:val="00D42928"/>
    <w:rsid w:val="00D430E2"/>
    <w:rsid w:val="00D43116"/>
    <w:rsid w:val="00D4494B"/>
    <w:rsid w:val="00D45D1A"/>
    <w:rsid w:val="00D467F5"/>
    <w:rsid w:val="00D46A25"/>
    <w:rsid w:val="00D50AE7"/>
    <w:rsid w:val="00D52B0A"/>
    <w:rsid w:val="00D52E58"/>
    <w:rsid w:val="00D549A2"/>
    <w:rsid w:val="00D55CF5"/>
    <w:rsid w:val="00D55F9D"/>
    <w:rsid w:val="00D573C6"/>
    <w:rsid w:val="00D601FB"/>
    <w:rsid w:val="00D618F4"/>
    <w:rsid w:val="00D642C9"/>
    <w:rsid w:val="00D66FB7"/>
    <w:rsid w:val="00D72413"/>
    <w:rsid w:val="00D7265F"/>
    <w:rsid w:val="00D737DF"/>
    <w:rsid w:val="00D769DE"/>
    <w:rsid w:val="00D76D20"/>
    <w:rsid w:val="00D81C37"/>
    <w:rsid w:val="00D82CD2"/>
    <w:rsid w:val="00D938B2"/>
    <w:rsid w:val="00D944DF"/>
    <w:rsid w:val="00DA023F"/>
    <w:rsid w:val="00DA249D"/>
    <w:rsid w:val="00DA739D"/>
    <w:rsid w:val="00DB1340"/>
    <w:rsid w:val="00DB18EF"/>
    <w:rsid w:val="00DB23D8"/>
    <w:rsid w:val="00DB3FB2"/>
    <w:rsid w:val="00DB4B8D"/>
    <w:rsid w:val="00DB52B1"/>
    <w:rsid w:val="00DB696D"/>
    <w:rsid w:val="00DB7068"/>
    <w:rsid w:val="00DC4D9B"/>
    <w:rsid w:val="00DD013F"/>
    <w:rsid w:val="00DD17D3"/>
    <w:rsid w:val="00DD3FB1"/>
    <w:rsid w:val="00DD4E42"/>
    <w:rsid w:val="00DD5814"/>
    <w:rsid w:val="00DD6C53"/>
    <w:rsid w:val="00DE123F"/>
    <w:rsid w:val="00DE2C67"/>
    <w:rsid w:val="00DE45BC"/>
    <w:rsid w:val="00DE464D"/>
    <w:rsid w:val="00DE5236"/>
    <w:rsid w:val="00DE5638"/>
    <w:rsid w:val="00DE7182"/>
    <w:rsid w:val="00DF02C6"/>
    <w:rsid w:val="00DF11F5"/>
    <w:rsid w:val="00DF26D8"/>
    <w:rsid w:val="00DF3656"/>
    <w:rsid w:val="00DF3A80"/>
    <w:rsid w:val="00DF4586"/>
    <w:rsid w:val="00DF5B5D"/>
    <w:rsid w:val="00DF5D92"/>
    <w:rsid w:val="00DF65B2"/>
    <w:rsid w:val="00DF73F4"/>
    <w:rsid w:val="00E001D9"/>
    <w:rsid w:val="00E03ACF"/>
    <w:rsid w:val="00E03B2B"/>
    <w:rsid w:val="00E03DEE"/>
    <w:rsid w:val="00E04498"/>
    <w:rsid w:val="00E04709"/>
    <w:rsid w:val="00E048FB"/>
    <w:rsid w:val="00E0701D"/>
    <w:rsid w:val="00E1306D"/>
    <w:rsid w:val="00E136E8"/>
    <w:rsid w:val="00E151D8"/>
    <w:rsid w:val="00E15522"/>
    <w:rsid w:val="00E159C7"/>
    <w:rsid w:val="00E215AB"/>
    <w:rsid w:val="00E22BDB"/>
    <w:rsid w:val="00E261F0"/>
    <w:rsid w:val="00E3394F"/>
    <w:rsid w:val="00E3640D"/>
    <w:rsid w:val="00E370BD"/>
    <w:rsid w:val="00E379E2"/>
    <w:rsid w:val="00E402DD"/>
    <w:rsid w:val="00E4041E"/>
    <w:rsid w:val="00E43AF2"/>
    <w:rsid w:val="00E43B06"/>
    <w:rsid w:val="00E45A9D"/>
    <w:rsid w:val="00E46D21"/>
    <w:rsid w:val="00E507E2"/>
    <w:rsid w:val="00E51D4F"/>
    <w:rsid w:val="00E55076"/>
    <w:rsid w:val="00E5522B"/>
    <w:rsid w:val="00E554E7"/>
    <w:rsid w:val="00E62869"/>
    <w:rsid w:val="00E63216"/>
    <w:rsid w:val="00E70FDF"/>
    <w:rsid w:val="00E71E33"/>
    <w:rsid w:val="00E73AEE"/>
    <w:rsid w:val="00E74ABE"/>
    <w:rsid w:val="00E8199F"/>
    <w:rsid w:val="00E81C2D"/>
    <w:rsid w:val="00E826D9"/>
    <w:rsid w:val="00E849B4"/>
    <w:rsid w:val="00E84C89"/>
    <w:rsid w:val="00E85DFB"/>
    <w:rsid w:val="00E8633D"/>
    <w:rsid w:val="00E87852"/>
    <w:rsid w:val="00E90F4F"/>
    <w:rsid w:val="00E920B9"/>
    <w:rsid w:val="00E92C09"/>
    <w:rsid w:val="00E9413C"/>
    <w:rsid w:val="00E94676"/>
    <w:rsid w:val="00E96BF3"/>
    <w:rsid w:val="00EA0C3B"/>
    <w:rsid w:val="00EA1755"/>
    <w:rsid w:val="00EA18DE"/>
    <w:rsid w:val="00EA4F01"/>
    <w:rsid w:val="00EA6C57"/>
    <w:rsid w:val="00EB0A8D"/>
    <w:rsid w:val="00EB32D8"/>
    <w:rsid w:val="00EB7AB1"/>
    <w:rsid w:val="00EC2397"/>
    <w:rsid w:val="00EC4F83"/>
    <w:rsid w:val="00ED15BD"/>
    <w:rsid w:val="00ED1947"/>
    <w:rsid w:val="00ED1C7D"/>
    <w:rsid w:val="00ED22B7"/>
    <w:rsid w:val="00ED487B"/>
    <w:rsid w:val="00ED558D"/>
    <w:rsid w:val="00EE04AC"/>
    <w:rsid w:val="00EE20BA"/>
    <w:rsid w:val="00EE2E85"/>
    <w:rsid w:val="00EE32C7"/>
    <w:rsid w:val="00EE370B"/>
    <w:rsid w:val="00EE3A4F"/>
    <w:rsid w:val="00EE6014"/>
    <w:rsid w:val="00EE69E7"/>
    <w:rsid w:val="00EF2298"/>
    <w:rsid w:val="00EF23EC"/>
    <w:rsid w:val="00EF4317"/>
    <w:rsid w:val="00EF50C5"/>
    <w:rsid w:val="00EF560F"/>
    <w:rsid w:val="00F06AEE"/>
    <w:rsid w:val="00F10C79"/>
    <w:rsid w:val="00F13AE7"/>
    <w:rsid w:val="00F14F28"/>
    <w:rsid w:val="00F15F50"/>
    <w:rsid w:val="00F20358"/>
    <w:rsid w:val="00F23FE1"/>
    <w:rsid w:val="00F244B7"/>
    <w:rsid w:val="00F24546"/>
    <w:rsid w:val="00F249B5"/>
    <w:rsid w:val="00F25AE9"/>
    <w:rsid w:val="00F25FC8"/>
    <w:rsid w:val="00F26F38"/>
    <w:rsid w:val="00F27C4E"/>
    <w:rsid w:val="00F30E12"/>
    <w:rsid w:val="00F33F8B"/>
    <w:rsid w:val="00F343CD"/>
    <w:rsid w:val="00F37864"/>
    <w:rsid w:val="00F431A3"/>
    <w:rsid w:val="00F43AE5"/>
    <w:rsid w:val="00F44EFF"/>
    <w:rsid w:val="00F45A96"/>
    <w:rsid w:val="00F45C23"/>
    <w:rsid w:val="00F5041F"/>
    <w:rsid w:val="00F529D3"/>
    <w:rsid w:val="00F5535C"/>
    <w:rsid w:val="00F55A1E"/>
    <w:rsid w:val="00F55A6D"/>
    <w:rsid w:val="00F56BE9"/>
    <w:rsid w:val="00F612B8"/>
    <w:rsid w:val="00F61515"/>
    <w:rsid w:val="00F63B33"/>
    <w:rsid w:val="00F65007"/>
    <w:rsid w:val="00F65257"/>
    <w:rsid w:val="00F66744"/>
    <w:rsid w:val="00F7137A"/>
    <w:rsid w:val="00F75F0C"/>
    <w:rsid w:val="00F76A54"/>
    <w:rsid w:val="00F827AA"/>
    <w:rsid w:val="00F85469"/>
    <w:rsid w:val="00F855E3"/>
    <w:rsid w:val="00F857AF"/>
    <w:rsid w:val="00F86F0B"/>
    <w:rsid w:val="00F87AC8"/>
    <w:rsid w:val="00F87B12"/>
    <w:rsid w:val="00F90BB7"/>
    <w:rsid w:val="00F91A27"/>
    <w:rsid w:val="00F94E51"/>
    <w:rsid w:val="00F9692B"/>
    <w:rsid w:val="00FA15C6"/>
    <w:rsid w:val="00FA3C67"/>
    <w:rsid w:val="00FA4722"/>
    <w:rsid w:val="00FA4BE6"/>
    <w:rsid w:val="00FA52DE"/>
    <w:rsid w:val="00FA5F22"/>
    <w:rsid w:val="00FB4062"/>
    <w:rsid w:val="00FC0078"/>
    <w:rsid w:val="00FC59A5"/>
    <w:rsid w:val="00FD1F23"/>
    <w:rsid w:val="00FD3E41"/>
    <w:rsid w:val="00FD4A9E"/>
    <w:rsid w:val="00FD55B1"/>
    <w:rsid w:val="00FD6717"/>
    <w:rsid w:val="00FE0D9E"/>
    <w:rsid w:val="00FE1EE7"/>
    <w:rsid w:val="00FE5A7E"/>
    <w:rsid w:val="00FF3198"/>
    <w:rsid w:val="010033FE"/>
    <w:rsid w:val="01285229"/>
    <w:rsid w:val="013D7560"/>
    <w:rsid w:val="01C823B0"/>
    <w:rsid w:val="01F81427"/>
    <w:rsid w:val="02047FBB"/>
    <w:rsid w:val="03410895"/>
    <w:rsid w:val="035D3C6D"/>
    <w:rsid w:val="03F93561"/>
    <w:rsid w:val="04504404"/>
    <w:rsid w:val="047A1D89"/>
    <w:rsid w:val="04DC39B0"/>
    <w:rsid w:val="04E71358"/>
    <w:rsid w:val="05294128"/>
    <w:rsid w:val="0582296A"/>
    <w:rsid w:val="05A56432"/>
    <w:rsid w:val="05B40FC4"/>
    <w:rsid w:val="05D34727"/>
    <w:rsid w:val="060E3BE6"/>
    <w:rsid w:val="06522E17"/>
    <w:rsid w:val="06887ED4"/>
    <w:rsid w:val="07110777"/>
    <w:rsid w:val="078129CB"/>
    <w:rsid w:val="0847502E"/>
    <w:rsid w:val="087450ED"/>
    <w:rsid w:val="087E4055"/>
    <w:rsid w:val="08931933"/>
    <w:rsid w:val="0AEC2CF7"/>
    <w:rsid w:val="0B4A1776"/>
    <w:rsid w:val="0C786503"/>
    <w:rsid w:val="0C791D52"/>
    <w:rsid w:val="0CB3271C"/>
    <w:rsid w:val="0D1A04C9"/>
    <w:rsid w:val="0D696CDD"/>
    <w:rsid w:val="0DA4465B"/>
    <w:rsid w:val="0DF71B03"/>
    <w:rsid w:val="0E6A0A85"/>
    <w:rsid w:val="0E724B7A"/>
    <w:rsid w:val="0E7F4AF5"/>
    <w:rsid w:val="0E9274A3"/>
    <w:rsid w:val="0F0F7240"/>
    <w:rsid w:val="0F5B3807"/>
    <w:rsid w:val="0F837824"/>
    <w:rsid w:val="0FDE1D79"/>
    <w:rsid w:val="100B1029"/>
    <w:rsid w:val="10757130"/>
    <w:rsid w:val="108E4986"/>
    <w:rsid w:val="10EE3100"/>
    <w:rsid w:val="11196D8A"/>
    <w:rsid w:val="112B34AD"/>
    <w:rsid w:val="11AC4C4F"/>
    <w:rsid w:val="11FF5827"/>
    <w:rsid w:val="1206789D"/>
    <w:rsid w:val="125F66E1"/>
    <w:rsid w:val="132D50DB"/>
    <w:rsid w:val="13C73D4D"/>
    <w:rsid w:val="141A4950"/>
    <w:rsid w:val="143053A8"/>
    <w:rsid w:val="15FD3687"/>
    <w:rsid w:val="164F5E22"/>
    <w:rsid w:val="18090C43"/>
    <w:rsid w:val="18334292"/>
    <w:rsid w:val="185E3FA1"/>
    <w:rsid w:val="18602D95"/>
    <w:rsid w:val="18FB5F15"/>
    <w:rsid w:val="193C1F42"/>
    <w:rsid w:val="19741E59"/>
    <w:rsid w:val="1A9370B2"/>
    <w:rsid w:val="1B1D7143"/>
    <w:rsid w:val="1B321622"/>
    <w:rsid w:val="1B9760D0"/>
    <w:rsid w:val="1BDD05DF"/>
    <w:rsid w:val="1C0A74BA"/>
    <w:rsid w:val="1CAB02CB"/>
    <w:rsid w:val="1D454D54"/>
    <w:rsid w:val="1D7262CA"/>
    <w:rsid w:val="1DBF5753"/>
    <w:rsid w:val="1DE262DC"/>
    <w:rsid w:val="1E0146D3"/>
    <w:rsid w:val="1E511B62"/>
    <w:rsid w:val="1E852624"/>
    <w:rsid w:val="1ECD7669"/>
    <w:rsid w:val="1F5F5554"/>
    <w:rsid w:val="1F7023BF"/>
    <w:rsid w:val="1F9C38D3"/>
    <w:rsid w:val="1FC5305B"/>
    <w:rsid w:val="201F04E0"/>
    <w:rsid w:val="2020271A"/>
    <w:rsid w:val="20767551"/>
    <w:rsid w:val="20935983"/>
    <w:rsid w:val="20E36BE8"/>
    <w:rsid w:val="21DB64E2"/>
    <w:rsid w:val="221C4C30"/>
    <w:rsid w:val="22285421"/>
    <w:rsid w:val="22A70B6C"/>
    <w:rsid w:val="23345AF3"/>
    <w:rsid w:val="236F2015"/>
    <w:rsid w:val="23C14303"/>
    <w:rsid w:val="23F44FED"/>
    <w:rsid w:val="23FF4622"/>
    <w:rsid w:val="251A03D4"/>
    <w:rsid w:val="252537D9"/>
    <w:rsid w:val="253A3F0A"/>
    <w:rsid w:val="25E1670A"/>
    <w:rsid w:val="263138ED"/>
    <w:rsid w:val="267A3F1D"/>
    <w:rsid w:val="26871E3E"/>
    <w:rsid w:val="26A563E9"/>
    <w:rsid w:val="27413564"/>
    <w:rsid w:val="27432BC1"/>
    <w:rsid w:val="27450568"/>
    <w:rsid w:val="27456259"/>
    <w:rsid w:val="27817650"/>
    <w:rsid w:val="27F0275A"/>
    <w:rsid w:val="28580092"/>
    <w:rsid w:val="286C112F"/>
    <w:rsid w:val="28BC23D4"/>
    <w:rsid w:val="28D839EF"/>
    <w:rsid w:val="290B6CD8"/>
    <w:rsid w:val="292A2F83"/>
    <w:rsid w:val="2939779C"/>
    <w:rsid w:val="29701A36"/>
    <w:rsid w:val="299577CA"/>
    <w:rsid w:val="2AA10ED5"/>
    <w:rsid w:val="2ADA0518"/>
    <w:rsid w:val="2B16690B"/>
    <w:rsid w:val="2BEA5FEC"/>
    <w:rsid w:val="2C1239E9"/>
    <w:rsid w:val="2C703778"/>
    <w:rsid w:val="2C921974"/>
    <w:rsid w:val="2CAD3BC8"/>
    <w:rsid w:val="2DBE14C9"/>
    <w:rsid w:val="2E976BE6"/>
    <w:rsid w:val="2ECE660F"/>
    <w:rsid w:val="2EFC1CD2"/>
    <w:rsid w:val="2F075522"/>
    <w:rsid w:val="2F6A64D8"/>
    <w:rsid w:val="304A6AB1"/>
    <w:rsid w:val="30505885"/>
    <w:rsid w:val="305C7B66"/>
    <w:rsid w:val="30616EA9"/>
    <w:rsid w:val="30C3697E"/>
    <w:rsid w:val="31411D80"/>
    <w:rsid w:val="31564D8A"/>
    <w:rsid w:val="31A44D82"/>
    <w:rsid w:val="31CA3881"/>
    <w:rsid w:val="32216A28"/>
    <w:rsid w:val="32A72C2E"/>
    <w:rsid w:val="32BE120D"/>
    <w:rsid w:val="32F565DC"/>
    <w:rsid w:val="330C0EF9"/>
    <w:rsid w:val="33506DE6"/>
    <w:rsid w:val="336E3E1E"/>
    <w:rsid w:val="339B75A0"/>
    <w:rsid w:val="33F12F87"/>
    <w:rsid w:val="340720D9"/>
    <w:rsid w:val="34201FDC"/>
    <w:rsid w:val="343C3722"/>
    <w:rsid w:val="344615D8"/>
    <w:rsid w:val="34B232EC"/>
    <w:rsid w:val="34D947D2"/>
    <w:rsid w:val="34F66CF8"/>
    <w:rsid w:val="35490CA1"/>
    <w:rsid w:val="359C7565"/>
    <w:rsid w:val="35A54CED"/>
    <w:rsid w:val="35BA6D42"/>
    <w:rsid w:val="3636339D"/>
    <w:rsid w:val="363D592A"/>
    <w:rsid w:val="367D0EB3"/>
    <w:rsid w:val="369C4662"/>
    <w:rsid w:val="36CA6186"/>
    <w:rsid w:val="37094637"/>
    <w:rsid w:val="37241DC5"/>
    <w:rsid w:val="374E2800"/>
    <w:rsid w:val="37534CA7"/>
    <w:rsid w:val="37C24F61"/>
    <w:rsid w:val="37D824F1"/>
    <w:rsid w:val="37DD152D"/>
    <w:rsid w:val="381205A1"/>
    <w:rsid w:val="38E63F74"/>
    <w:rsid w:val="3A3D72BD"/>
    <w:rsid w:val="3A4B2361"/>
    <w:rsid w:val="3A4D64E1"/>
    <w:rsid w:val="3AD277B2"/>
    <w:rsid w:val="3AFF08AF"/>
    <w:rsid w:val="3B0C4DFA"/>
    <w:rsid w:val="3B6376A1"/>
    <w:rsid w:val="3B972F43"/>
    <w:rsid w:val="3BA41466"/>
    <w:rsid w:val="3C4D26C6"/>
    <w:rsid w:val="3CA509FD"/>
    <w:rsid w:val="3CF952BD"/>
    <w:rsid w:val="3D044EFC"/>
    <w:rsid w:val="3E5B06EE"/>
    <w:rsid w:val="3E613C89"/>
    <w:rsid w:val="3E6946AD"/>
    <w:rsid w:val="3E9405EA"/>
    <w:rsid w:val="3EB60CB3"/>
    <w:rsid w:val="3EC436F9"/>
    <w:rsid w:val="3ED94309"/>
    <w:rsid w:val="3EE55B27"/>
    <w:rsid w:val="3F542473"/>
    <w:rsid w:val="3F740895"/>
    <w:rsid w:val="3FB93DC6"/>
    <w:rsid w:val="3FBF15D8"/>
    <w:rsid w:val="402A691C"/>
    <w:rsid w:val="407709BB"/>
    <w:rsid w:val="419206F9"/>
    <w:rsid w:val="41923CE9"/>
    <w:rsid w:val="420008D8"/>
    <w:rsid w:val="422E66F3"/>
    <w:rsid w:val="4275164D"/>
    <w:rsid w:val="428466B6"/>
    <w:rsid w:val="428C334B"/>
    <w:rsid w:val="4299675E"/>
    <w:rsid w:val="42C23058"/>
    <w:rsid w:val="430A3262"/>
    <w:rsid w:val="435A5D3A"/>
    <w:rsid w:val="43C82356"/>
    <w:rsid w:val="444A7AD3"/>
    <w:rsid w:val="45376FB8"/>
    <w:rsid w:val="46101B39"/>
    <w:rsid w:val="46347CD3"/>
    <w:rsid w:val="46A824B9"/>
    <w:rsid w:val="46BB170B"/>
    <w:rsid w:val="47510906"/>
    <w:rsid w:val="478E14A3"/>
    <w:rsid w:val="48585204"/>
    <w:rsid w:val="48822C3B"/>
    <w:rsid w:val="493967D4"/>
    <w:rsid w:val="495D70F7"/>
    <w:rsid w:val="49F729E8"/>
    <w:rsid w:val="4A770A85"/>
    <w:rsid w:val="4A9F4A61"/>
    <w:rsid w:val="4AD667EA"/>
    <w:rsid w:val="4ADE17C6"/>
    <w:rsid w:val="4AEB6DCA"/>
    <w:rsid w:val="4B7074E5"/>
    <w:rsid w:val="4B716301"/>
    <w:rsid w:val="4B7D5F80"/>
    <w:rsid w:val="4BAD07D2"/>
    <w:rsid w:val="4BD731C8"/>
    <w:rsid w:val="4BF40741"/>
    <w:rsid w:val="4C07320B"/>
    <w:rsid w:val="4C5E019B"/>
    <w:rsid w:val="4CF02C57"/>
    <w:rsid w:val="4DCB371F"/>
    <w:rsid w:val="4E160B72"/>
    <w:rsid w:val="4E261644"/>
    <w:rsid w:val="4F64249F"/>
    <w:rsid w:val="4F6E1200"/>
    <w:rsid w:val="4FA8247F"/>
    <w:rsid w:val="4FDA78DF"/>
    <w:rsid w:val="4FEE189E"/>
    <w:rsid w:val="503C3882"/>
    <w:rsid w:val="50490BBD"/>
    <w:rsid w:val="51254139"/>
    <w:rsid w:val="512C54A2"/>
    <w:rsid w:val="513967B4"/>
    <w:rsid w:val="51A20623"/>
    <w:rsid w:val="51AB4A8A"/>
    <w:rsid w:val="520873E0"/>
    <w:rsid w:val="526D4CD2"/>
    <w:rsid w:val="52CC1E8B"/>
    <w:rsid w:val="5318262C"/>
    <w:rsid w:val="53434014"/>
    <w:rsid w:val="53790D91"/>
    <w:rsid w:val="53924608"/>
    <w:rsid w:val="53AA4A26"/>
    <w:rsid w:val="53F038EA"/>
    <w:rsid w:val="54E14AC0"/>
    <w:rsid w:val="565634BB"/>
    <w:rsid w:val="56D86E7D"/>
    <w:rsid w:val="57B3435E"/>
    <w:rsid w:val="57DA30AC"/>
    <w:rsid w:val="58710FF0"/>
    <w:rsid w:val="588E7DA0"/>
    <w:rsid w:val="59107848"/>
    <w:rsid w:val="59AA785D"/>
    <w:rsid w:val="59BA69E3"/>
    <w:rsid w:val="59BB537F"/>
    <w:rsid w:val="59CD3A40"/>
    <w:rsid w:val="5A0C28E3"/>
    <w:rsid w:val="5A2F4845"/>
    <w:rsid w:val="5A637455"/>
    <w:rsid w:val="5A661DF4"/>
    <w:rsid w:val="5ACF0178"/>
    <w:rsid w:val="5B153D15"/>
    <w:rsid w:val="5BEE33B3"/>
    <w:rsid w:val="5BF454B6"/>
    <w:rsid w:val="5C3E17F9"/>
    <w:rsid w:val="5C537D21"/>
    <w:rsid w:val="5CAB1757"/>
    <w:rsid w:val="5D122C53"/>
    <w:rsid w:val="5D2434FA"/>
    <w:rsid w:val="5D3A6920"/>
    <w:rsid w:val="5D7259C1"/>
    <w:rsid w:val="5D8135CC"/>
    <w:rsid w:val="5DD002C5"/>
    <w:rsid w:val="5DD2424E"/>
    <w:rsid w:val="5E94265A"/>
    <w:rsid w:val="5EDB2A5E"/>
    <w:rsid w:val="5FE0338C"/>
    <w:rsid w:val="600446EC"/>
    <w:rsid w:val="600D2EE6"/>
    <w:rsid w:val="612C1BE2"/>
    <w:rsid w:val="61861393"/>
    <w:rsid w:val="621760F6"/>
    <w:rsid w:val="62246B60"/>
    <w:rsid w:val="626F4C5B"/>
    <w:rsid w:val="62B96C2B"/>
    <w:rsid w:val="62D936C0"/>
    <w:rsid w:val="644F1ACD"/>
    <w:rsid w:val="64DC2F10"/>
    <w:rsid w:val="65855DCB"/>
    <w:rsid w:val="65A90788"/>
    <w:rsid w:val="6615079D"/>
    <w:rsid w:val="67DB5CE7"/>
    <w:rsid w:val="67EA4C64"/>
    <w:rsid w:val="67F870E6"/>
    <w:rsid w:val="67FF1998"/>
    <w:rsid w:val="680D1D99"/>
    <w:rsid w:val="687B2D18"/>
    <w:rsid w:val="68C3073C"/>
    <w:rsid w:val="69105F80"/>
    <w:rsid w:val="69431270"/>
    <w:rsid w:val="69A302A1"/>
    <w:rsid w:val="6A7F4F75"/>
    <w:rsid w:val="6A98582C"/>
    <w:rsid w:val="6ACA16F9"/>
    <w:rsid w:val="6AE953CA"/>
    <w:rsid w:val="6B16774A"/>
    <w:rsid w:val="6B1C3BBC"/>
    <w:rsid w:val="6BBE755E"/>
    <w:rsid w:val="6C8E019A"/>
    <w:rsid w:val="6CB25C95"/>
    <w:rsid w:val="6CF17848"/>
    <w:rsid w:val="6D586ED4"/>
    <w:rsid w:val="6D794524"/>
    <w:rsid w:val="6E3C4C05"/>
    <w:rsid w:val="6E413A79"/>
    <w:rsid w:val="6ECE2681"/>
    <w:rsid w:val="6EF1204B"/>
    <w:rsid w:val="6F2C0457"/>
    <w:rsid w:val="6F344606"/>
    <w:rsid w:val="6FAD4FAE"/>
    <w:rsid w:val="6FC67DCD"/>
    <w:rsid w:val="706B019F"/>
    <w:rsid w:val="717905D4"/>
    <w:rsid w:val="71A8110E"/>
    <w:rsid w:val="71CE267F"/>
    <w:rsid w:val="72340F9C"/>
    <w:rsid w:val="729460F2"/>
    <w:rsid w:val="73BC060D"/>
    <w:rsid w:val="73BD1248"/>
    <w:rsid w:val="75242584"/>
    <w:rsid w:val="75596AF8"/>
    <w:rsid w:val="7639719F"/>
    <w:rsid w:val="76FA44FA"/>
    <w:rsid w:val="774152C9"/>
    <w:rsid w:val="78017878"/>
    <w:rsid w:val="783D4B19"/>
    <w:rsid w:val="783E1B34"/>
    <w:rsid w:val="78782DF9"/>
    <w:rsid w:val="78BF1597"/>
    <w:rsid w:val="78F12411"/>
    <w:rsid w:val="793070F8"/>
    <w:rsid w:val="794015D3"/>
    <w:rsid w:val="79D825C1"/>
    <w:rsid w:val="7A800367"/>
    <w:rsid w:val="7ADD6187"/>
    <w:rsid w:val="7B2D4CEE"/>
    <w:rsid w:val="7B5D131E"/>
    <w:rsid w:val="7BC44ABA"/>
    <w:rsid w:val="7C5344F5"/>
    <w:rsid w:val="7CEA3B7A"/>
    <w:rsid w:val="7DAC6D94"/>
    <w:rsid w:val="7DB41B16"/>
    <w:rsid w:val="7DEB79E2"/>
    <w:rsid w:val="7DFC5027"/>
    <w:rsid w:val="7E002D54"/>
    <w:rsid w:val="7E026C41"/>
    <w:rsid w:val="7E491194"/>
    <w:rsid w:val="7E633CEB"/>
    <w:rsid w:val="7EF6737D"/>
    <w:rsid w:val="7F7A55E9"/>
    <w:rsid w:val="7FAE1B20"/>
    <w:rsid w:val="7FFE3B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name="Body Text First Indent"/>
    <w:lsdException w:qFormat="1" w:uiPriority="99"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43"/>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4">
    <w:name w:val="heading 2"/>
    <w:basedOn w:val="1"/>
    <w:next w:val="1"/>
    <w:link w:val="44"/>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5">
    <w:name w:val="heading 3"/>
    <w:basedOn w:val="1"/>
    <w:next w:val="1"/>
    <w:link w:val="45"/>
    <w:qFormat/>
    <w:uiPriority w:val="9"/>
    <w:pPr>
      <w:keepNext/>
      <w:keepLines/>
      <w:spacing w:before="260" w:after="260" w:line="416" w:lineRule="auto"/>
      <w:outlineLvl w:val="2"/>
    </w:pPr>
    <w:rPr>
      <w:rFonts w:ascii="Times New Roman" w:hAnsi="Times New Roman" w:eastAsia="宋体" w:cs="Times New Roman"/>
      <w:b/>
      <w:bCs/>
      <w:sz w:val="32"/>
      <w:szCs w:val="32"/>
    </w:rPr>
  </w:style>
  <w:style w:type="paragraph" w:styleId="6">
    <w:name w:val="heading 4"/>
    <w:basedOn w:val="1"/>
    <w:next w:val="1"/>
    <w:unhideWhenUsed/>
    <w:qFormat/>
    <w:uiPriority w:val="0"/>
    <w:pPr>
      <w:keepNext/>
      <w:keepLines/>
      <w:spacing w:before="280" w:after="290" w:line="376" w:lineRule="auto"/>
      <w:outlineLvl w:val="3"/>
    </w:pPr>
    <w:rPr>
      <w:rFonts w:asciiTheme="majorHAnsi" w:hAnsiTheme="majorHAnsi" w:eastAsiaTheme="majorEastAsia" w:cstheme="majorBidi"/>
      <w:b/>
      <w:bCs/>
      <w:sz w:val="24"/>
      <w:szCs w:val="28"/>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87"/>
    <w:unhideWhenUsed/>
    <w:qFormat/>
    <w:uiPriority w:val="99"/>
    <w:pPr>
      <w:spacing w:after="120"/>
    </w:pPr>
    <w:rPr>
      <w:rFonts w:ascii="Times New Roman" w:hAnsi="Times New Roman" w:eastAsia="宋体" w:cs="Times New Roman"/>
      <w:sz w:val="28"/>
      <w:szCs w:val="24"/>
    </w:rPr>
  </w:style>
  <w:style w:type="paragraph" w:styleId="7">
    <w:name w:val="List Number"/>
    <w:basedOn w:val="1"/>
    <w:qFormat/>
    <w:uiPriority w:val="0"/>
    <w:pPr>
      <w:widowControl/>
      <w:numPr>
        <w:ilvl w:val="0"/>
        <w:numId w:val="1"/>
      </w:numPr>
      <w:tabs>
        <w:tab w:val="left" w:pos="454"/>
        <w:tab w:val="clear" w:pos="720"/>
      </w:tabs>
      <w:spacing w:after="156" w:afterLines="50"/>
      <w:ind w:left="454" w:hanging="284"/>
      <w:jc w:val="left"/>
    </w:pPr>
    <w:rPr>
      <w:rFonts w:ascii="Times New Roman" w:hAnsi="Times New Roman" w:eastAsia="宋体" w:cs="Times New Roman"/>
      <w:kern w:val="0"/>
      <w:sz w:val="24"/>
      <w:szCs w:val="20"/>
    </w:rPr>
  </w:style>
  <w:style w:type="paragraph" w:styleId="8">
    <w:name w:val="Normal Indent"/>
    <w:basedOn w:val="1"/>
    <w:link w:val="52"/>
    <w:qFormat/>
    <w:uiPriority w:val="0"/>
    <w:pPr>
      <w:ind w:firstLine="420"/>
    </w:pPr>
    <w:rPr>
      <w:rFonts w:eastAsia="宋体"/>
    </w:rPr>
  </w:style>
  <w:style w:type="paragraph" w:styleId="9">
    <w:name w:val="caption"/>
    <w:basedOn w:val="1"/>
    <w:next w:val="1"/>
    <w:qFormat/>
    <w:uiPriority w:val="0"/>
    <w:pPr>
      <w:spacing w:before="152" w:after="160"/>
    </w:pPr>
    <w:rPr>
      <w:rFonts w:ascii="Arial" w:hAnsi="Arial" w:eastAsia="黑体" w:cs="Arial"/>
      <w:sz w:val="20"/>
      <w:szCs w:val="20"/>
    </w:rPr>
  </w:style>
  <w:style w:type="paragraph" w:styleId="10">
    <w:name w:val="Document Map"/>
    <w:basedOn w:val="1"/>
    <w:link w:val="49"/>
    <w:unhideWhenUsed/>
    <w:qFormat/>
    <w:uiPriority w:val="99"/>
    <w:rPr>
      <w:rFonts w:ascii="宋体"/>
      <w:sz w:val="18"/>
      <w:szCs w:val="18"/>
    </w:rPr>
  </w:style>
  <w:style w:type="paragraph" w:styleId="11">
    <w:name w:val="annotation text"/>
    <w:basedOn w:val="1"/>
    <w:link w:val="84"/>
    <w:unhideWhenUsed/>
    <w:qFormat/>
    <w:uiPriority w:val="99"/>
    <w:pPr>
      <w:jc w:val="left"/>
    </w:pPr>
  </w:style>
  <w:style w:type="paragraph" w:styleId="12">
    <w:name w:val="Body Text Indent"/>
    <w:basedOn w:val="1"/>
    <w:next w:val="13"/>
    <w:link w:val="76"/>
    <w:qFormat/>
    <w:uiPriority w:val="0"/>
    <w:pPr>
      <w:spacing w:line="200" w:lineRule="atLeast"/>
      <w:ind w:firstLine="301"/>
    </w:pPr>
    <w:rPr>
      <w:rFonts w:ascii="宋体" w:hAnsi="Courier New"/>
      <w:spacing w:val="-4"/>
      <w:sz w:val="18"/>
    </w:rPr>
  </w:style>
  <w:style w:type="paragraph" w:styleId="13">
    <w:name w:val="Body Text First Indent 2"/>
    <w:basedOn w:val="12"/>
    <w:next w:val="1"/>
    <w:link w:val="92"/>
    <w:unhideWhenUsed/>
    <w:qFormat/>
    <w:uiPriority w:val="99"/>
    <w:pPr>
      <w:ind w:firstLine="420"/>
    </w:pPr>
  </w:style>
  <w:style w:type="paragraph" w:styleId="14">
    <w:name w:val="List 2"/>
    <w:basedOn w:val="1"/>
    <w:unhideWhenUsed/>
    <w:qFormat/>
    <w:uiPriority w:val="99"/>
    <w:pPr>
      <w:ind w:left="100" w:leftChars="200" w:hanging="200" w:hangingChars="200"/>
      <w:contextualSpacing/>
    </w:pPr>
    <w:rPr>
      <w:rFonts w:ascii="Times New Roman" w:hAnsi="Times New Roman" w:eastAsia="宋体" w:cs="Times New Roman"/>
      <w:sz w:val="28"/>
      <w:szCs w:val="24"/>
    </w:rPr>
  </w:style>
  <w:style w:type="paragraph" w:styleId="15">
    <w:name w:val="Plain Text"/>
    <w:basedOn w:val="1"/>
    <w:link w:val="61"/>
    <w:qFormat/>
    <w:uiPriority w:val="99"/>
    <w:pPr>
      <w:spacing w:before="156" w:beforeLines="50" w:after="156" w:afterLines="50" w:line="400" w:lineRule="atLeast"/>
    </w:pPr>
    <w:rPr>
      <w:rFonts w:ascii="宋体" w:hAnsi="Courier New"/>
      <w:sz w:val="24"/>
      <w:szCs w:val="24"/>
    </w:rPr>
  </w:style>
  <w:style w:type="paragraph" w:styleId="16">
    <w:name w:val="Date"/>
    <w:basedOn w:val="1"/>
    <w:next w:val="1"/>
    <w:link w:val="90"/>
    <w:qFormat/>
    <w:uiPriority w:val="0"/>
    <w:pPr>
      <w:ind w:left="2500" w:leftChars="2500"/>
    </w:pPr>
    <w:rPr>
      <w:rFonts w:ascii="Times New Roman" w:hAnsi="Times New Roman" w:eastAsia="楷体_GB2312" w:cs="Times New Roman"/>
      <w:sz w:val="32"/>
      <w:szCs w:val="20"/>
    </w:rPr>
  </w:style>
  <w:style w:type="paragraph" w:styleId="17">
    <w:name w:val="Balloon Text"/>
    <w:basedOn w:val="1"/>
    <w:link w:val="88"/>
    <w:qFormat/>
    <w:uiPriority w:val="0"/>
    <w:rPr>
      <w:rFonts w:ascii="Times New Roman" w:hAnsi="Times New Roman" w:eastAsia="宋体" w:cs="Times New Roman"/>
      <w:sz w:val="18"/>
      <w:szCs w:val="18"/>
    </w:rPr>
  </w:style>
  <w:style w:type="paragraph" w:styleId="18">
    <w:name w:val="footer"/>
    <w:basedOn w:val="1"/>
    <w:link w:val="42"/>
    <w:unhideWhenUsed/>
    <w:qFormat/>
    <w:uiPriority w:val="99"/>
    <w:pPr>
      <w:tabs>
        <w:tab w:val="center" w:pos="4153"/>
        <w:tab w:val="right" w:pos="8306"/>
      </w:tabs>
      <w:snapToGrid w:val="0"/>
      <w:jc w:val="left"/>
    </w:pPr>
    <w:rPr>
      <w:sz w:val="18"/>
      <w:szCs w:val="18"/>
    </w:rPr>
  </w:style>
  <w:style w:type="paragraph" w:styleId="19">
    <w:name w:val="header"/>
    <w:basedOn w:val="1"/>
    <w:link w:val="41"/>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semiHidden/>
    <w:unhideWhenUsed/>
    <w:qFormat/>
    <w:uiPriority w:val="39"/>
    <w:pPr>
      <w:spacing w:before="240" w:after="240"/>
    </w:pPr>
    <w:rPr>
      <w:rFonts w:ascii="Times New Roman" w:hAnsi="Times New Roman" w:eastAsia="仿宋"/>
      <w:sz w:val="36"/>
      <w:szCs w:val="24"/>
    </w:rPr>
  </w:style>
  <w:style w:type="paragraph" w:styleId="21">
    <w:name w:val="List"/>
    <w:basedOn w:val="1"/>
    <w:qFormat/>
    <w:uiPriority w:val="0"/>
    <w:pPr>
      <w:ind w:left="200" w:hanging="200" w:hangingChars="200"/>
    </w:pPr>
    <w:rPr>
      <w:rFonts w:ascii="Times New Roman" w:hAnsi="Times New Roman" w:eastAsia="宋体" w:cs="Times New Roman"/>
      <w:sz w:val="28"/>
      <w:szCs w:val="24"/>
    </w:rPr>
  </w:style>
  <w:style w:type="paragraph" w:styleId="22">
    <w:name w:val="Body Text 2"/>
    <w:basedOn w:val="1"/>
    <w:link w:val="78"/>
    <w:qFormat/>
    <w:uiPriority w:val="0"/>
    <w:pPr>
      <w:widowControl/>
      <w:snapToGrid w:val="0"/>
      <w:spacing w:before="50" w:after="156" w:afterLines="50" w:line="400" w:lineRule="atLeast"/>
      <w:jc w:val="left"/>
    </w:pPr>
    <w:rPr>
      <w:rFonts w:hint="eastAsia" w:ascii="宋体" w:hAnsi="宋体" w:eastAsia="宋体" w:cs="Times New Roman"/>
      <w:color w:val="000000"/>
      <w:sz w:val="24"/>
      <w:szCs w:val="24"/>
    </w:rPr>
  </w:style>
  <w:style w:type="paragraph" w:styleId="23">
    <w:name w:val="Normal (Web)"/>
    <w:basedOn w:val="1"/>
    <w:qFormat/>
    <w:uiPriority w:val="99"/>
    <w:pPr>
      <w:widowControl/>
      <w:spacing w:before="100" w:beforeAutospacing="1" w:after="100" w:afterAutospacing="1"/>
      <w:ind w:firstLine="420"/>
      <w:jc w:val="left"/>
    </w:pPr>
    <w:rPr>
      <w:rFonts w:ascii="宋体" w:hAnsi="宋体" w:eastAsia="宋体" w:cs="Times New Roman"/>
      <w:kern w:val="0"/>
      <w:sz w:val="20"/>
      <w:szCs w:val="20"/>
    </w:rPr>
  </w:style>
  <w:style w:type="paragraph" w:styleId="24">
    <w:name w:val="Title"/>
    <w:basedOn w:val="1"/>
    <w:next w:val="1"/>
    <w:qFormat/>
    <w:uiPriority w:val="0"/>
    <w:pPr>
      <w:spacing w:line="520" w:lineRule="exact"/>
      <w:jc w:val="center"/>
      <w:outlineLvl w:val="3"/>
    </w:pPr>
    <w:rPr>
      <w:rFonts w:ascii="Cambria" w:hAnsi="Cambria"/>
      <w:b/>
      <w:bCs/>
      <w:kern w:val="0"/>
      <w:sz w:val="28"/>
      <w:szCs w:val="32"/>
    </w:rPr>
  </w:style>
  <w:style w:type="paragraph" w:styleId="25">
    <w:name w:val="annotation subject"/>
    <w:basedOn w:val="11"/>
    <w:next w:val="11"/>
    <w:link w:val="62"/>
    <w:unhideWhenUsed/>
    <w:qFormat/>
    <w:uiPriority w:val="99"/>
    <w:rPr>
      <w:b/>
      <w:bCs/>
      <w:sz w:val="28"/>
      <w:szCs w:val="24"/>
    </w:rPr>
  </w:style>
  <w:style w:type="paragraph" w:styleId="26">
    <w:name w:val="Body Text First Indent"/>
    <w:basedOn w:val="2"/>
    <w:semiHidden/>
    <w:unhideWhenUsed/>
    <w:qFormat/>
    <w:uiPriority w:val="99"/>
    <w:pPr>
      <w:ind w:firstLine="420" w:firstLineChars="100"/>
    </w:pPr>
  </w:style>
  <w:style w:type="table" w:styleId="28">
    <w:name w:val="Table Grid"/>
    <w:basedOn w:val="2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qFormat/>
    <w:uiPriority w:val="0"/>
    <w:rPr>
      <w:b/>
      <w:bCs/>
    </w:rPr>
  </w:style>
  <w:style w:type="character" w:styleId="31">
    <w:name w:val="page number"/>
    <w:basedOn w:val="29"/>
    <w:qFormat/>
    <w:uiPriority w:val="0"/>
  </w:style>
  <w:style w:type="character" w:styleId="32">
    <w:name w:val="FollowedHyperlink"/>
    <w:unhideWhenUsed/>
    <w:qFormat/>
    <w:uiPriority w:val="99"/>
    <w:rPr>
      <w:color w:val="5579A7"/>
      <w:u w:val="none"/>
    </w:rPr>
  </w:style>
  <w:style w:type="character" w:styleId="33">
    <w:name w:val="HTML Definition"/>
    <w:unhideWhenUsed/>
    <w:qFormat/>
    <w:uiPriority w:val="99"/>
    <w:rPr>
      <w:i/>
    </w:rPr>
  </w:style>
  <w:style w:type="character" w:styleId="34">
    <w:name w:val="Hyperlink"/>
    <w:qFormat/>
    <w:uiPriority w:val="0"/>
    <w:rPr>
      <w:color w:val="5579A7"/>
      <w:u w:val="none"/>
    </w:rPr>
  </w:style>
  <w:style w:type="character" w:styleId="35">
    <w:name w:val="HTML Code"/>
    <w:unhideWhenUsed/>
    <w:qFormat/>
    <w:uiPriority w:val="99"/>
    <w:rPr>
      <w:rFonts w:ascii="-apple-system" w:hAnsi="-apple-system" w:eastAsia="-apple-system" w:cs="-apple-system"/>
      <w:sz w:val="21"/>
      <w:szCs w:val="21"/>
    </w:rPr>
  </w:style>
  <w:style w:type="character" w:styleId="36">
    <w:name w:val="annotation reference"/>
    <w:unhideWhenUsed/>
    <w:qFormat/>
    <w:uiPriority w:val="99"/>
    <w:rPr>
      <w:sz w:val="21"/>
      <w:szCs w:val="21"/>
    </w:rPr>
  </w:style>
  <w:style w:type="character" w:styleId="37">
    <w:name w:val="HTML Keyboard"/>
    <w:unhideWhenUsed/>
    <w:qFormat/>
    <w:uiPriority w:val="99"/>
    <w:rPr>
      <w:rFonts w:hint="default" w:ascii="-apple-system" w:hAnsi="-apple-system" w:eastAsia="-apple-system" w:cs="-apple-system"/>
      <w:sz w:val="21"/>
      <w:szCs w:val="21"/>
    </w:rPr>
  </w:style>
  <w:style w:type="character" w:styleId="38">
    <w:name w:val="HTML Sample"/>
    <w:unhideWhenUsed/>
    <w:qFormat/>
    <w:uiPriority w:val="99"/>
    <w:rPr>
      <w:rFonts w:hint="default" w:ascii="-apple-system" w:hAnsi="-apple-system" w:eastAsia="-apple-system" w:cs="-apple-system"/>
      <w:sz w:val="21"/>
      <w:szCs w:val="21"/>
    </w:rPr>
  </w:style>
  <w:style w:type="paragraph" w:customStyle="1" w:styleId="39">
    <w:name w:val="Default"/>
    <w:next w:val="40"/>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40">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41">
    <w:name w:val="页眉 字符"/>
    <w:basedOn w:val="29"/>
    <w:link w:val="19"/>
    <w:qFormat/>
    <w:uiPriority w:val="99"/>
    <w:rPr>
      <w:sz w:val="18"/>
      <w:szCs w:val="18"/>
    </w:rPr>
  </w:style>
  <w:style w:type="character" w:customStyle="1" w:styleId="42">
    <w:name w:val="页脚 字符"/>
    <w:basedOn w:val="29"/>
    <w:link w:val="18"/>
    <w:qFormat/>
    <w:uiPriority w:val="99"/>
    <w:rPr>
      <w:sz w:val="18"/>
      <w:szCs w:val="18"/>
    </w:rPr>
  </w:style>
  <w:style w:type="character" w:customStyle="1" w:styleId="43">
    <w:name w:val="标题 1 字符"/>
    <w:basedOn w:val="29"/>
    <w:link w:val="3"/>
    <w:qFormat/>
    <w:uiPriority w:val="9"/>
    <w:rPr>
      <w:rFonts w:ascii="Times New Roman" w:hAnsi="Times New Roman" w:eastAsia="宋体" w:cs="Times New Roman"/>
      <w:b/>
      <w:bCs/>
      <w:kern w:val="44"/>
      <w:sz w:val="44"/>
      <w:szCs w:val="44"/>
    </w:rPr>
  </w:style>
  <w:style w:type="character" w:customStyle="1" w:styleId="44">
    <w:name w:val="标题 2 字符"/>
    <w:basedOn w:val="29"/>
    <w:link w:val="4"/>
    <w:qFormat/>
    <w:uiPriority w:val="9"/>
    <w:rPr>
      <w:rFonts w:ascii="Cambria" w:hAnsi="Cambria" w:eastAsia="宋体" w:cs="Times New Roman"/>
      <w:b/>
      <w:bCs/>
      <w:sz w:val="32"/>
      <w:szCs w:val="32"/>
    </w:rPr>
  </w:style>
  <w:style w:type="character" w:customStyle="1" w:styleId="45">
    <w:name w:val="标题 3 字符"/>
    <w:basedOn w:val="29"/>
    <w:link w:val="5"/>
    <w:qFormat/>
    <w:uiPriority w:val="9"/>
    <w:rPr>
      <w:rFonts w:ascii="Times New Roman" w:hAnsi="Times New Roman" w:eastAsia="宋体" w:cs="Times New Roman"/>
      <w:b/>
      <w:bCs/>
      <w:sz w:val="32"/>
      <w:szCs w:val="32"/>
    </w:rPr>
  </w:style>
  <w:style w:type="character" w:customStyle="1" w:styleId="46">
    <w:name w:val="jbox-icon-none"/>
    <w:qFormat/>
    <w:uiPriority w:val="0"/>
    <w:rPr>
      <w:vanish/>
    </w:rPr>
  </w:style>
  <w:style w:type="character" w:customStyle="1" w:styleId="47">
    <w:name w:val="z-窗体底端 字符"/>
    <w:link w:val="48"/>
    <w:qFormat/>
    <w:uiPriority w:val="99"/>
    <w:rPr>
      <w:rFonts w:ascii="Arial" w:hAnsi="Arial"/>
      <w:vanish/>
      <w:sz w:val="16"/>
      <w:szCs w:val="16"/>
    </w:rPr>
  </w:style>
  <w:style w:type="paragraph" w:customStyle="1" w:styleId="48">
    <w:name w:val="z-窗体底端1"/>
    <w:basedOn w:val="1"/>
    <w:next w:val="1"/>
    <w:link w:val="47"/>
    <w:unhideWhenUsed/>
    <w:qFormat/>
    <w:uiPriority w:val="99"/>
    <w:pPr>
      <w:widowControl/>
      <w:pBdr>
        <w:top w:val="single" w:color="auto" w:sz="6" w:space="1"/>
      </w:pBdr>
      <w:jc w:val="center"/>
    </w:pPr>
    <w:rPr>
      <w:rFonts w:ascii="Arial" w:hAnsi="Arial"/>
      <w:vanish/>
      <w:sz w:val="16"/>
      <w:szCs w:val="16"/>
    </w:rPr>
  </w:style>
  <w:style w:type="character" w:customStyle="1" w:styleId="49">
    <w:name w:val="文档结构图 字符"/>
    <w:link w:val="10"/>
    <w:qFormat/>
    <w:uiPriority w:val="99"/>
    <w:rPr>
      <w:rFonts w:ascii="宋体"/>
      <w:sz w:val="18"/>
      <w:szCs w:val="18"/>
    </w:rPr>
  </w:style>
  <w:style w:type="character" w:customStyle="1" w:styleId="50">
    <w:name w:val="black601"/>
    <w:qFormat/>
    <w:uiPriority w:val="0"/>
    <w:rPr>
      <w:color w:val="666666"/>
    </w:rPr>
  </w:style>
  <w:style w:type="character" w:customStyle="1" w:styleId="51">
    <w:name w:val="hour_pm"/>
    <w:basedOn w:val="29"/>
    <w:qFormat/>
    <w:uiPriority w:val="0"/>
  </w:style>
  <w:style w:type="character" w:customStyle="1" w:styleId="52">
    <w:name w:val="正文缩进 字符"/>
    <w:link w:val="8"/>
    <w:qFormat/>
    <w:uiPriority w:val="0"/>
    <w:rPr>
      <w:rFonts w:eastAsia="宋体"/>
    </w:rPr>
  </w:style>
  <w:style w:type="character" w:customStyle="1" w:styleId="53">
    <w:name w:val="标题 1 Char Char"/>
    <w:qFormat/>
    <w:uiPriority w:val="0"/>
    <w:rPr>
      <w:rFonts w:eastAsia="宋体"/>
      <w:b/>
      <w:spacing w:val="-2"/>
      <w:sz w:val="24"/>
      <w:lang w:val="en-US" w:eastAsia="zh-CN" w:bidi="ar-SA"/>
    </w:rPr>
  </w:style>
  <w:style w:type="character" w:customStyle="1" w:styleId="54">
    <w:name w:val="jbox-icon-info"/>
    <w:basedOn w:val="29"/>
    <w:qFormat/>
    <w:uiPriority w:val="0"/>
  </w:style>
  <w:style w:type="character" w:customStyle="1" w:styleId="55">
    <w:name w:val="hover9"/>
    <w:qFormat/>
    <w:uiPriority w:val="0"/>
    <w:rPr>
      <w:shd w:val="clear" w:color="auto" w:fill="EEEEEE"/>
    </w:rPr>
  </w:style>
  <w:style w:type="character" w:customStyle="1" w:styleId="56">
    <w:name w:val="maywed421"/>
    <w:qFormat/>
    <w:uiPriority w:val="0"/>
    <w:rPr>
      <w:color w:val="366FB6"/>
      <w:u w:val="none"/>
    </w:rPr>
  </w:style>
  <w:style w:type="character" w:customStyle="1" w:styleId="57">
    <w:name w:val="old"/>
    <w:qFormat/>
    <w:uiPriority w:val="0"/>
    <w:rPr>
      <w:color w:val="999999"/>
    </w:rPr>
  </w:style>
  <w:style w:type="character" w:customStyle="1" w:styleId="58">
    <w:name w:val="jbox-icon-warning"/>
    <w:basedOn w:val="29"/>
    <w:qFormat/>
    <w:uiPriority w:val="0"/>
  </w:style>
  <w:style w:type="character" w:customStyle="1" w:styleId="59">
    <w:name w:val="z-窗体顶端 字符"/>
    <w:link w:val="60"/>
    <w:qFormat/>
    <w:uiPriority w:val="99"/>
    <w:rPr>
      <w:rFonts w:ascii="Arial" w:hAnsi="Arial"/>
      <w:vanish/>
      <w:sz w:val="16"/>
      <w:szCs w:val="16"/>
    </w:rPr>
  </w:style>
  <w:style w:type="paragraph" w:customStyle="1" w:styleId="60">
    <w:name w:val="z-窗体顶端1"/>
    <w:basedOn w:val="1"/>
    <w:next w:val="1"/>
    <w:link w:val="59"/>
    <w:unhideWhenUsed/>
    <w:qFormat/>
    <w:uiPriority w:val="99"/>
    <w:pPr>
      <w:widowControl/>
      <w:pBdr>
        <w:bottom w:val="single" w:color="auto" w:sz="6" w:space="1"/>
      </w:pBdr>
      <w:jc w:val="center"/>
    </w:pPr>
    <w:rPr>
      <w:rFonts w:ascii="Arial" w:hAnsi="Arial"/>
      <w:vanish/>
      <w:sz w:val="16"/>
      <w:szCs w:val="16"/>
    </w:rPr>
  </w:style>
  <w:style w:type="character" w:customStyle="1" w:styleId="61">
    <w:name w:val="纯文本 字符1"/>
    <w:link w:val="15"/>
    <w:qFormat/>
    <w:uiPriority w:val="99"/>
    <w:rPr>
      <w:rFonts w:ascii="宋体" w:hAnsi="Courier New"/>
      <w:sz w:val="24"/>
      <w:szCs w:val="24"/>
    </w:rPr>
  </w:style>
  <w:style w:type="character" w:customStyle="1" w:styleId="62">
    <w:name w:val="批注主题 字符"/>
    <w:link w:val="25"/>
    <w:qFormat/>
    <w:uiPriority w:val="99"/>
    <w:rPr>
      <w:b/>
      <w:bCs/>
      <w:sz w:val="28"/>
      <w:szCs w:val="24"/>
    </w:rPr>
  </w:style>
  <w:style w:type="character" w:customStyle="1" w:styleId="63">
    <w:name w:val="jbox-icon-loading"/>
    <w:basedOn w:val="29"/>
    <w:qFormat/>
    <w:uiPriority w:val="0"/>
  </w:style>
  <w:style w:type="character" w:customStyle="1" w:styleId="64">
    <w:name w:val="正文文本缩进 字符"/>
    <w:qFormat/>
    <w:uiPriority w:val="0"/>
    <w:rPr>
      <w:rFonts w:ascii="宋体" w:hAnsi="Courier New"/>
      <w:spacing w:val="-4"/>
      <w:kern w:val="2"/>
      <w:sz w:val="18"/>
    </w:rPr>
  </w:style>
  <w:style w:type="character" w:customStyle="1" w:styleId="65">
    <w:name w:val="正文文本缩进 字符1"/>
    <w:qFormat/>
    <w:uiPriority w:val="0"/>
    <w:rPr>
      <w:rFonts w:ascii="宋体" w:hAnsi="Courier New"/>
      <w:spacing w:val="-4"/>
      <w:kern w:val="2"/>
      <w:sz w:val="18"/>
    </w:rPr>
  </w:style>
  <w:style w:type="character" w:customStyle="1" w:styleId="66">
    <w:name w:val="纯文本 字符"/>
    <w:qFormat/>
    <w:uiPriority w:val="99"/>
    <w:rPr>
      <w:rFonts w:ascii="宋体" w:hAnsi="Courier New"/>
      <w:kern w:val="2"/>
      <w:sz w:val="24"/>
      <w:szCs w:val="24"/>
    </w:rPr>
  </w:style>
  <w:style w:type="character" w:customStyle="1" w:styleId="67">
    <w:name w:val="jbox-icon-question"/>
    <w:basedOn w:val="29"/>
    <w:qFormat/>
    <w:uiPriority w:val="0"/>
  </w:style>
  <w:style w:type="character" w:customStyle="1" w:styleId="68">
    <w:name w:val="jbox-icon"/>
    <w:basedOn w:val="29"/>
    <w:qFormat/>
    <w:uiPriority w:val="0"/>
  </w:style>
  <w:style w:type="character" w:customStyle="1" w:styleId="69">
    <w:name w:val="纯文本 字符2"/>
    <w:qFormat/>
    <w:uiPriority w:val="99"/>
    <w:rPr>
      <w:rFonts w:ascii="宋体" w:hAnsi="Courier New"/>
      <w:kern w:val="2"/>
      <w:sz w:val="24"/>
      <w:szCs w:val="24"/>
    </w:rPr>
  </w:style>
  <w:style w:type="character" w:customStyle="1" w:styleId="70">
    <w:name w:val="hour_am"/>
    <w:basedOn w:val="29"/>
    <w:qFormat/>
    <w:uiPriority w:val="0"/>
  </w:style>
  <w:style w:type="character" w:customStyle="1" w:styleId="71">
    <w:name w:val="jbox-icon-success"/>
    <w:basedOn w:val="29"/>
    <w:qFormat/>
    <w:uiPriority w:val="0"/>
  </w:style>
  <w:style w:type="character" w:customStyle="1" w:styleId="72">
    <w:name w:val="批注文字 字符"/>
    <w:qFormat/>
    <w:uiPriority w:val="99"/>
    <w:rPr>
      <w:kern w:val="2"/>
      <w:sz w:val="28"/>
      <w:szCs w:val="24"/>
    </w:rPr>
  </w:style>
  <w:style w:type="character" w:customStyle="1" w:styleId="73">
    <w:name w:val="纯文本 Char1"/>
    <w:qFormat/>
    <w:uiPriority w:val="0"/>
    <w:rPr>
      <w:rFonts w:ascii="宋体" w:hAnsi="Courier New"/>
      <w:kern w:val="2"/>
      <w:sz w:val="21"/>
    </w:rPr>
  </w:style>
  <w:style w:type="character" w:customStyle="1" w:styleId="74">
    <w:name w:val="纯文本 Char"/>
    <w:qFormat/>
    <w:uiPriority w:val="99"/>
    <w:rPr>
      <w:rFonts w:ascii="宋体" w:hAnsi="Courier New"/>
      <w:kern w:val="2"/>
      <w:sz w:val="24"/>
      <w:szCs w:val="24"/>
    </w:rPr>
  </w:style>
  <w:style w:type="character" w:customStyle="1" w:styleId="75">
    <w:name w:val="sub_title s0"/>
    <w:basedOn w:val="29"/>
    <w:qFormat/>
    <w:uiPriority w:val="0"/>
  </w:style>
  <w:style w:type="character" w:customStyle="1" w:styleId="76">
    <w:name w:val="正文文本缩进 字符2"/>
    <w:link w:val="12"/>
    <w:qFormat/>
    <w:uiPriority w:val="0"/>
    <w:rPr>
      <w:rFonts w:ascii="宋体" w:hAnsi="Courier New"/>
      <w:spacing w:val="-4"/>
      <w:sz w:val="18"/>
    </w:rPr>
  </w:style>
  <w:style w:type="character" w:customStyle="1" w:styleId="77">
    <w:name w:val="jbox-icon-error"/>
    <w:basedOn w:val="29"/>
    <w:qFormat/>
    <w:uiPriority w:val="0"/>
  </w:style>
  <w:style w:type="character" w:customStyle="1" w:styleId="78">
    <w:name w:val="正文文本 2 字符"/>
    <w:basedOn w:val="29"/>
    <w:link w:val="22"/>
    <w:qFormat/>
    <w:uiPriority w:val="0"/>
    <w:rPr>
      <w:rFonts w:ascii="宋体" w:hAnsi="宋体" w:eastAsia="宋体" w:cs="Times New Roman"/>
      <w:color w:val="000000"/>
      <w:sz w:val="24"/>
      <w:szCs w:val="24"/>
    </w:rPr>
  </w:style>
  <w:style w:type="paragraph" w:customStyle="1" w:styleId="79">
    <w:name w:val="默认段落字体 Para Char Char Char Char Char Char Char Char Char1 Char Char Char Char"/>
    <w:basedOn w:val="1"/>
    <w:qFormat/>
    <w:uiPriority w:val="0"/>
    <w:rPr>
      <w:rFonts w:ascii="Tahoma" w:hAnsi="Tahoma" w:eastAsia="宋体" w:cs="Times New Roman"/>
      <w:sz w:val="24"/>
      <w:szCs w:val="20"/>
    </w:rPr>
  </w:style>
  <w:style w:type="paragraph" w:customStyle="1" w:styleId="80">
    <w:name w:val="xl25"/>
    <w:basedOn w:val="1"/>
    <w:qFormat/>
    <w:uiPriority w:val="0"/>
    <w:pPr>
      <w:widowControl/>
      <w:spacing w:before="100" w:beforeAutospacing="1" w:after="100" w:afterAutospacing="1"/>
      <w:jc w:val="center"/>
      <w:textAlignment w:val="center"/>
    </w:pPr>
    <w:rPr>
      <w:rFonts w:hint="eastAsia" w:ascii="楷体_GB2312" w:hAnsi="宋体" w:eastAsia="楷体_GB2312" w:cs="Times New Roman"/>
      <w:kern w:val="0"/>
      <w:sz w:val="24"/>
      <w:szCs w:val="24"/>
    </w:rPr>
  </w:style>
  <w:style w:type="paragraph" w:customStyle="1" w:styleId="81">
    <w:name w:val="Char Char Char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character" w:customStyle="1" w:styleId="82">
    <w:name w:val="z-窗体顶端 字符1"/>
    <w:basedOn w:val="29"/>
    <w:semiHidden/>
    <w:qFormat/>
    <w:uiPriority w:val="99"/>
    <w:rPr>
      <w:rFonts w:ascii="Arial" w:hAnsi="Arial" w:cs="Arial"/>
      <w:vanish/>
      <w:sz w:val="16"/>
      <w:szCs w:val="16"/>
    </w:rPr>
  </w:style>
  <w:style w:type="paragraph" w:customStyle="1" w:styleId="83">
    <w:name w:val="正文段"/>
    <w:basedOn w:val="1"/>
    <w:qFormat/>
    <w:uiPriority w:val="0"/>
    <w:pPr>
      <w:widowControl/>
      <w:snapToGrid w:val="0"/>
      <w:spacing w:after="156" w:afterLines="50"/>
      <w:ind w:firstLine="200" w:firstLineChars="200"/>
    </w:pPr>
    <w:rPr>
      <w:rFonts w:ascii="Times New Roman" w:hAnsi="Times New Roman" w:eastAsia="宋体" w:cs="Times New Roman"/>
      <w:kern w:val="0"/>
      <w:sz w:val="24"/>
      <w:szCs w:val="20"/>
    </w:rPr>
  </w:style>
  <w:style w:type="character" w:customStyle="1" w:styleId="84">
    <w:name w:val="批注文字 字符1"/>
    <w:basedOn w:val="29"/>
    <w:link w:val="11"/>
    <w:semiHidden/>
    <w:qFormat/>
    <w:uiPriority w:val="99"/>
  </w:style>
  <w:style w:type="character" w:customStyle="1" w:styleId="85">
    <w:name w:val="批注主题 字符1"/>
    <w:basedOn w:val="84"/>
    <w:semiHidden/>
    <w:qFormat/>
    <w:uiPriority w:val="99"/>
    <w:rPr>
      <w:b/>
      <w:bCs/>
    </w:rPr>
  </w:style>
  <w:style w:type="character" w:customStyle="1" w:styleId="86">
    <w:name w:val="文档结构图 字符1"/>
    <w:basedOn w:val="29"/>
    <w:semiHidden/>
    <w:qFormat/>
    <w:uiPriority w:val="99"/>
    <w:rPr>
      <w:rFonts w:ascii="Microsoft YaHei UI" w:eastAsia="Microsoft YaHei UI"/>
      <w:sz w:val="18"/>
      <w:szCs w:val="18"/>
    </w:rPr>
  </w:style>
  <w:style w:type="character" w:customStyle="1" w:styleId="87">
    <w:name w:val="正文文本 字符"/>
    <w:basedOn w:val="29"/>
    <w:link w:val="2"/>
    <w:qFormat/>
    <w:uiPriority w:val="99"/>
    <w:rPr>
      <w:rFonts w:ascii="Times New Roman" w:hAnsi="Times New Roman" w:eastAsia="宋体" w:cs="Times New Roman"/>
      <w:sz w:val="28"/>
      <w:szCs w:val="24"/>
    </w:rPr>
  </w:style>
  <w:style w:type="character" w:customStyle="1" w:styleId="88">
    <w:name w:val="批注框文本 字符"/>
    <w:basedOn w:val="29"/>
    <w:link w:val="17"/>
    <w:qFormat/>
    <w:uiPriority w:val="0"/>
    <w:rPr>
      <w:rFonts w:ascii="Times New Roman" w:hAnsi="Times New Roman" w:eastAsia="宋体" w:cs="Times New Roman"/>
      <w:sz w:val="18"/>
      <w:szCs w:val="18"/>
    </w:rPr>
  </w:style>
  <w:style w:type="character" w:customStyle="1" w:styleId="89">
    <w:name w:val="正文文本缩进 字符3"/>
    <w:basedOn w:val="29"/>
    <w:semiHidden/>
    <w:qFormat/>
    <w:uiPriority w:val="99"/>
  </w:style>
  <w:style w:type="character" w:customStyle="1" w:styleId="90">
    <w:name w:val="日期 字符"/>
    <w:basedOn w:val="29"/>
    <w:link w:val="16"/>
    <w:qFormat/>
    <w:uiPriority w:val="0"/>
    <w:rPr>
      <w:rFonts w:ascii="Times New Roman" w:hAnsi="Times New Roman" w:eastAsia="楷体_GB2312" w:cs="Times New Roman"/>
      <w:sz w:val="32"/>
      <w:szCs w:val="20"/>
    </w:rPr>
  </w:style>
  <w:style w:type="character" w:customStyle="1" w:styleId="91">
    <w:name w:val="纯文本 字符3"/>
    <w:basedOn w:val="29"/>
    <w:semiHidden/>
    <w:qFormat/>
    <w:uiPriority w:val="99"/>
    <w:rPr>
      <w:rFonts w:hAnsi="Courier New" w:cs="Courier New" w:asciiTheme="minorEastAsia"/>
    </w:rPr>
  </w:style>
  <w:style w:type="character" w:customStyle="1" w:styleId="92">
    <w:name w:val="正文文本首行缩进 2 字符"/>
    <w:basedOn w:val="89"/>
    <w:link w:val="13"/>
    <w:qFormat/>
    <w:uiPriority w:val="99"/>
    <w:rPr>
      <w:rFonts w:ascii="宋体" w:hAnsi="Courier New"/>
      <w:spacing w:val="-4"/>
      <w:sz w:val="18"/>
    </w:rPr>
  </w:style>
  <w:style w:type="character" w:customStyle="1" w:styleId="93">
    <w:name w:val="z-窗体底端 字符1"/>
    <w:basedOn w:val="29"/>
    <w:semiHidden/>
    <w:qFormat/>
    <w:uiPriority w:val="99"/>
    <w:rPr>
      <w:rFonts w:ascii="Arial" w:hAnsi="Arial" w:cs="Arial"/>
      <w:vanish/>
      <w:sz w:val="16"/>
      <w:szCs w:val="16"/>
    </w:rPr>
  </w:style>
  <w:style w:type="paragraph" w:customStyle="1" w:styleId="94">
    <w:name w:val="此正文"/>
    <w:basedOn w:val="1"/>
    <w:qFormat/>
    <w:uiPriority w:val="0"/>
    <w:pPr>
      <w:spacing w:line="360" w:lineRule="auto"/>
      <w:ind w:firstLine="200" w:firstLineChars="200"/>
    </w:pPr>
    <w:rPr>
      <w:rFonts w:ascii="Times New Roman" w:hAnsi="Times New Roman" w:eastAsia="宋体" w:cs="Times New Roman"/>
      <w:sz w:val="24"/>
      <w:szCs w:val="24"/>
    </w:rPr>
  </w:style>
  <w:style w:type="paragraph" w:customStyle="1" w:styleId="95">
    <w:name w:val="表内文字"/>
    <w:basedOn w:val="1"/>
    <w:qFormat/>
    <w:uiPriority w:val="0"/>
    <w:pPr>
      <w:tabs>
        <w:tab w:val="left" w:pos="1418"/>
      </w:tabs>
      <w:spacing w:line="360" w:lineRule="auto"/>
      <w:jc w:val="center"/>
    </w:pPr>
    <w:rPr>
      <w:rFonts w:hint="eastAsia" w:ascii="仿宋_GB2312" w:hAnsi="Times New Roman" w:eastAsia="仿宋_GB2312" w:cs="Times New Roman"/>
      <w:spacing w:val="-20"/>
      <w:kern w:val="0"/>
      <w:sz w:val="24"/>
      <w:szCs w:val="24"/>
    </w:rPr>
  </w:style>
  <w:style w:type="paragraph" w:customStyle="1" w:styleId="96">
    <w:name w:val="正文 A"/>
    <w:qFormat/>
    <w:uiPriority w:val="0"/>
    <w:pPr>
      <w:widowControl w:val="0"/>
      <w:jc w:val="both"/>
    </w:pPr>
    <w:rPr>
      <w:rFonts w:hint="eastAsia" w:ascii="Arial Unicode MS" w:hAnsi="Arial Unicode MS" w:eastAsia="Times New Roman" w:cs="Arial Unicode MS"/>
      <w:color w:val="000000"/>
      <w:kern w:val="2"/>
      <w:sz w:val="28"/>
      <w:szCs w:val="28"/>
      <w:u w:color="000000"/>
      <w:lang w:val="en-US" w:eastAsia="zh-CN" w:bidi="ar-SA"/>
    </w:rPr>
  </w:style>
  <w:style w:type="paragraph" w:customStyle="1" w:styleId="97">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98">
    <w:name w:val="正文1"/>
    <w:qFormat/>
    <w:uiPriority w:val="0"/>
    <w:pPr>
      <w:suppressAutoHyphens/>
      <w:spacing w:after="180" w:line="312" w:lineRule="auto"/>
    </w:pPr>
    <w:rPr>
      <w:rFonts w:ascii="Helvetica Neue Light" w:hAnsi="Helvetica Neue Light" w:eastAsia="ヒラギノ角ゴ Pro W3" w:cs="Times New Roman"/>
      <w:color w:val="000000"/>
      <w:sz w:val="18"/>
      <w:lang w:val="en-US" w:eastAsia="zh-CN" w:bidi="ar-SA"/>
    </w:rPr>
  </w:style>
  <w:style w:type="paragraph" w:customStyle="1" w:styleId="99">
    <w:name w:val="Char Char Char Char1"/>
    <w:basedOn w:val="1"/>
    <w:qFormat/>
    <w:uiPriority w:val="0"/>
    <w:rPr>
      <w:rFonts w:ascii="Tahoma" w:hAnsi="Tahoma" w:eastAsia="宋体" w:cs="Times New Roman"/>
      <w:sz w:val="24"/>
      <w:szCs w:val="20"/>
    </w:rPr>
  </w:style>
  <w:style w:type="paragraph" w:customStyle="1" w:styleId="100">
    <w:name w:val="彩色列表 - 强调文字颜色 11"/>
    <w:basedOn w:val="1"/>
    <w:qFormat/>
    <w:uiPriority w:val="34"/>
    <w:pPr>
      <w:ind w:firstLine="420" w:firstLineChars="200"/>
    </w:pPr>
    <w:rPr>
      <w:rFonts w:ascii="Calibri" w:hAnsi="Calibri" w:eastAsia="宋体" w:cs="Times New Roman"/>
    </w:rPr>
  </w:style>
  <w:style w:type="paragraph" w:customStyle="1" w:styleId="101">
    <w:name w:val="Proposals body"/>
    <w:basedOn w:val="1"/>
    <w:next w:val="1"/>
    <w:qFormat/>
    <w:uiPriority w:val="0"/>
    <w:pPr>
      <w:widowControl/>
      <w:spacing w:line="460" w:lineRule="exact"/>
      <w:jc w:val="left"/>
    </w:pPr>
    <w:rPr>
      <w:rFonts w:ascii="仿宋_GB2312" w:hAnsi="Times New Roman" w:eastAsia="仿宋_GB2312" w:cs="Times New Roman"/>
      <w:snapToGrid w:val="0"/>
      <w:kern w:val="0"/>
      <w:sz w:val="24"/>
      <w:szCs w:val="24"/>
    </w:rPr>
  </w:style>
  <w:style w:type="paragraph" w:customStyle="1" w:styleId="102">
    <w:name w:val="正文2"/>
    <w:basedOn w:val="1"/>
    <w:link w:val="111"/>
    <w:qFormat/>
    <w:uiPriority w:val="0"/>
    <w:pPr>
      <w:spacing w:before="156" w:line="360" w:lineRule="auto"/>
      <w:ind w:firstLine="510" w:firstLineChars="200"/>
    </w:pPr>
    <w:rPr>
      <w:rFonts w:ascii="Times New Roman" w:hAnsi="Times New Roman" w:eastAsia="宋体" w:cs="Times New Roman"/>
      <w:sz w:val="24"/>
      <w:szCs w:val="20"/>
    </w:rPr>
  </w:style>
  <w:style w:type="paragraph" w:customStyle="1" w:styleId="103">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sz w:val="21"/>
      <w:szCs w:val="22"/>
      <w:lang w:val="en-US" w:eastAsia="zh-CN" w:bidi="ar-SA"/>
    </w:rPr>
  </w:style>
  <w:style w:type="paragraph" w:customStyle="1" w:styleId="104">
    <w:name w:val="无间距"/>
    <w:qFormat/>
    <w:uiPriority w:val="0"/>
    <w:pPr>
      <w:widowControl w:val="0"/>
      <w:jc w:val="both"/>
    </w:pPr>
    <w:rPr>
      <w:rFonts w:ascii="Calibri" w:hAnsi="Calibri" w:eastAsia="宋体" w:cs="Times New Roman"/>
      <w:kern w:val="2"/>
      <w:sz w:val="21"/>
      <w:szCs w:val="22"/>
      <w:lang w:val="en-US" w:eastAsia="zh-CN" w:bidi="ar-SA"/>
    </w:rPr>
  </w:style>
  <w:style w:type="paragraph" w:styleId="105">
    <w:name w:val="List Paragraph"/>
    <w:basedOn w:val="1"/>
    <w:qFormat/>
    <w:uiPriority w:val="34"/>
    <w:pPr>
      <w:ind w:left="720"/>
      <w:contextualSpacing/>
    </w:pPr>
    <w:rPr>
      <w:rFonts w:ascii="Times New Roman" w:hAnsi="Times New Roman" w:eastAsia="宋体" w:cs="Times New Roman"/>
      <w:sz w:val="28"/>
      <w:szCs w:val="20"/>
    </w:rPr>
  </w:style>
  <w:style w:type="paragraph" w:customStyle="1" w:styleId="106">
    <w:name w:val="List Paragraph1"/>
    <w:basedOn w:val="1"/>
    <w:qFormat/>
    <w:uiPriority w:val="0"/>
    <w:pPr>
      <w:ind w:firstLine="420" w:firstLineChars="200"/>
    </w:pPr>
    <w:rPr>
      <w:rFonts w:ascii="Times New Roman" w:hAnsi="Times New Roman" w:eastAsia="宋体" w:cs="Times New Roman"/>
      <w:szCs w:val="24"/>
    </w:rPr>
  </w:style>
  <w:style w:type="paragraph" w:customStyle="1" w:styleId="107">
    <w:name w:val="标题 10"/>
    <w:basedOn w:val="4"/>
    <w:qFormat/>
    <w:uiPriority w:val="0"/>
    <w:pPr>
      <w:jc w:val="center"/>
    </w:pPr>
    <w:rPr>
      <w:kern w:val="0"/>
    </w:rPr>
  </w:style>
  <w:style w:type="character" w:customStyle="1" w:styleId="108">
    <w:name w:val="未处理的提及1"/>
    <w:semiHidden/>
    <w:unhideWhenUsed/>
    <w:qFormat/>
    <w:uiPriority w:val="99"/>
    <w:rPr>
      <w:color w:val="605E5C"/>
      <w:shd w:val="clear" w:color="auto" w:fill="E1DFDD"/>
    </w:rPr>
  </w:style>
  <w:style w:type="character" w:customStyle="1" w:styleId="109">
    <w:name w:val="未处理的提及2"/>
    <w:basedOn w:val="29"/>
    <w:semiHidden/>
    <w:unhideWhenUsed/>
    <w:qFormat/>
    <w:uiPriority w:val="99"/>
    <w:rPr>
      <w:color w:val="605E5C"/>
      <w:shd w:val="clear" w:color="auto" w:fill="E1DFDD"/>
    </w:rPr>
  </w:style>
  <w:style w:type="character" w:customStyle="1" w:styleId="110">
    <w:name w:val="未处理的提及3"/>
    <w:basedOn w:val="29"/>
    <w:semiHidden/>
    <w:unhideWhenUsed/>
    <w:qFormat/>
    <w:uiPriority w:val="99"/>
    <w:rPr>
      <w:color w:val="605E5C"/>
      <w:shd w:val="clear" w:color="auto" w:fill="E1DFDD"/>
    </w:rPr>
  </w:style>
  <w:style w:type="character" w:customStyle="1" w:styleId="111">
    <w:name w:val="正文2 Char Char"/>
    <w:link w:val="102"/>
    <w:qFormat/>
    <w:uiPriority w:val="0"/>
    <w:rPr>
      <w:kern w:val="2"/>
      <w:sz w:val="24"/>
    </w:rPr>
  </w:style>
  <w:style w:type="paragraph" w:customStyle="1" w:styleId="112">
    <w:name w:val="正文_0"/>
    <w:basedOn w:val="1"/>
    <w:qFormat/>
    <w:uiPriority w:val="0"/>
  </w:style>
  <w:style w:type="paragraph" w:customStyle="1" w:styleId="113">
    <w:name w:val="样式 正文文本"/>
    <w:basedOn w:val="1"/>
    <w:qFormat/>
    <w:uiPriority w:val="0"/>
    <w:pPr>
      <w:adjustRightInd w:val="0"/>
      <w:snapToGrid w:val="0"/>
      <w:spacing w:line="400" w:lineRule="exact"/>
      <w:ind w:firstLine="200" w:firstLineChars="200"/>
    </w:pPr>
    <w:rPr>
      <w:rFonts w:ascii="Arial" w:hAnsi="Arial" w:cs="宋体"/>
      <w:color w:val="000000"/>
    </w:rPr>
  </w:style>
  <w:style w:type="character" w:customStyle="1" w:styleId="114">
    <w:name w:val="占位符文本1"/>
    <w:basedOn w:val="29"/>
    <w:semiHidden/>
    <w:qFormat/>
    <w:uiPriority w:val="99"/>
    <w:rPr>
      <w:color w:val="808080"/>
    </w:rPr>
  </w:style>
  <w:style w:type="table" w:customStyle="1" w:styleId="115">
    <w:name w:val="网格型1"/>
    <w:basedOn w:val="27"/>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6">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407F55-FFC1-DE4C-B13A-DFF239A5866C}">
  <ds:schemaRefs/>
</ds:datastoreItem>
</file>

<file path=docProps/app.xml><?xml version="1.0" encoding="utf-8"?>
<Properties xmlns="http://schemas.openxmlformats.org/officeDocument/2006/extended-properties" xmlns:vt="http://schemas.openxmlformats.org/officeDocument/2006/docPropsVTypes">
  <Template>Normal.dotm</Template>
  <Pages>72</Pages>
  <Words>7358</Words>
  <Characters>41945</Characters>
  <Lines>349</Lines>
  <Paragraphs>98</Paragraphs>
  <TotalTime>26</TotalTime>
  <ScaleCrop>false</ScaleCrop>
  <LinksUpToDate>false</LinksUpToDate>
  <CharactersWithSpaces>49205</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2024-04-25T08:08:00Z</dcterms:created>
  <dc:creator>hj j</dc:creator>
  <cp:lastModifiedBy>孙伟健</cp:lastModifiedBy>
  <dcterms:modified xsi:type="dcterms:W3CDTF">2024-05-06T00:12:28Z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B363B45C01FF4C5A8AB2573BD522DAF7</vt:lpwstr>
  </property>
</Properties>
</file>