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
          <w:b/>
          <w:color w:val="auto"/>
          <w:spacing w:val="-6"/>
          <w:sz w:val="84"/>
          <w:szCs w:val="84"/>
          <w:highlight w:val="none"/>
        </w:rPr>
      </w:pPr>
    </w:p>
    <w:p>
      <w:pPr>
        <w:adjustRightInd w:val="0"/>
        <w:snapToGrid w:val="0"/>
        <w:jc w:val="center"/>
        <w:rPr>
          <w:rFonts w:ascii="仿宋" w:hAnsi="仿宋" w:eastAsia="仿宋" w:cs="仿宋"/>
          <w:b/>
          <w:color w:val="auto"/>
          <w:spacing w:val="-6"/>
          <w:sz w:val="84"/>
          <w:szCs w:val="84"/>
          <w:highlight w:val="none"/>
        </w:rPr>
      </w:pPr>
    </w:p>
    <w:p>
      <w:pPr>
        <w:adjustRightInd w:val="0"/>
        <w:snapToGrid w:val="0"/>
        <w:spacing w:line="360" w:lineRule="auto"/>
        <w:jc w:val="center"/>
        <w:rPr>
          <w:rFonts w:ascii="仿宋" w:hAnsi="仿宋" w:eastAsia="仿宋" w:cs="仿宋"/>
          <w:b/>
          <w:color w:val="auto"/>
          <w:spacing w:val="-6"/>
          <w:sz w:val="84"/>
          <w:szCs w:val="84"/>
          <w:highlight w:val="none"/>
        </w:rPr>
      </w:pPr>
      <w:r>
        <w:rPr>
          <w:rFonts w:hint="eastAsia" w:ascii="仿宋" w:hAnsi="仿宋" w:eastAsia="仿宋" w:cs="仿宋"/>
          <w:b/>
          <w:color w:val="auto"/>
          <w:spacing w:val="-6"/>
          <w:sz w:val="84"/>
          <w:szCs w:val="84"/>
          <w:highlight w:val="none"/>
        </w:rPr>
        <w:t>之江实验室</w:t>
      </w:r>
    </w:p>
    <w:p>
      <w:pPr>
        <w:adjustRightInd w:val="0"/>
        <w:snapToGrid w:val="0"/>
        <w:spacing w:line="360" w:lineRule="auto"/>
        <w:jc w:val="center"/>
        <w:rPr>
          <w:rFonts w:hint="eastAsia" w:ascii="仿宋" w:hAnsi="仿宋" w:eastAsia="仿宋" w:cs="仿宋"/>
          <w:b/>
          <w:color w:val="auto"/>
          <w:spacing w:val="-6"/>
          <w:sz w:val="72"/>
          <w:szCs w:val="72"/>
          <w:highlight w:val="none"/>
          <w:lang w:eastAsia="zh-CN"/>
        </w:rPr>
      </w:pPr>
      <w:r>
        <w:rPr>
          <w:rFonts w:hint="eastAsia" w:ascii="仿宋" w:hAnsi="仿宋" w:eastAsia="仿宋" w:cs="仿宋"/>
          <w:b/>
          <w:color w:val="auto"/>
          <w:spacing w:val="-6"/>
          <w:sz w:val="72"/>
          <w:szCs w:val="72"/>
          <w:highlight w:val="none"/>
          <w:lang w:eastAsia="zh-CN"/>
        </w:rPr>
        <w:t>算力中心展厅展陈</w:t>
      </w:r>
    </w:p>
    <w:p>
      <w:pPr>
        <w:adjustRightInd w:val="0"/>
        <w:snapToGrid w:val="0"/>
        <w:spacing w:line="360" w:lineRule="auto"/>
        <w:jc w:val="center"/>
        <w:rPr>
          <w:rFonts w:ascii="仿宋" w:hAnsi="仿宋" w:eastAsia="仿宋" w:cs="仿宋"/>
          <w:b/>
          <w:color w:val="auto"/>
          <w:spacing w:val="-6"/>
          <w:sz w:val="72"/>
          <w:szCs w:val="72"/>
          <w:highlight w:val="none"/>
        </w:rPr>
      </w:pPr>
    </w:p>
    <w:p>
      <w:pPr>
        <w:adjustRightInd w:val="0"/>
        <w:snapToGrid w:val="0"/>
        <w:spacing w:line="288" w:lineRule="auto"/>
        <w:jc w:val="center"/>
        <w:rPr>
          <w:rFonts w:ascii="仿宋" w:hAnsi="仿宋" w:eastAsia="仿宋" w:cs="仿宋"/>
          <w:b/>
          <w:color w:val="auto"/>
          <w:spacing w:val="-6"/>
          <w:sz w:val="72"/>
          <w:szCs w:val="72"/>
          <w:highlight w:val="none"/>
        </w:rPr>
      </w:pPr>
      <w:r>
        <w:rPr>
          <w:rFonts w:hint="eastAsia" w:ascii="仿宋" w:hAnsi="仿宋" w:eastAsia="仿宋" w:cs="仿宋"/>
          <w:b/>
          <w:color w:val="auto"/>
          <w:spacing w:val="-6"/>
          <w:sz w:val="72"/>
          <w:szCs w:val="72"/>
          <w:highlight w:val="none"/>
        </w:rPr>
        <w:t>竞争性磋商文件</w:t>
      </w:r>
    </w:p>
    <w:p>
      <w:pPr>
        <w:adjustRightInd w:val="0"/>
        <w:snapToGrid w:val="0"/>
        <w:spacing w:line="360" w:lineRule="auto"/>
        <w:jc w:val="center"/>
        <w:rPr>
          <w:rFonts w:ascii="仿宋" w:hAnsi="仿宋" w:eastAsia="仿宋" w:cs="仿宋"/>
          <w:b/>
          <w:color w:val="auto"/>
          <w:spacing w:val="-6"/>
          <w:sz w:val="72"/>
          <w:szCs w:val="72"/>
          <w:highlight w:val="none"/>
        </w:rPr>
      </w:pPr>
    </w:p>
    <w:p>
      <w:pPr>
        <w:adjustRightInd w:val="0"/>
        <w:snapToGrid w:val="0"/>
        <w:spacing w:line="360" w:lineRule="auto"/>
        <w:jc w:val="center"/>
        <w:rPr>
          <w:rFonts w:ascii="仿宋" w:hAnsi="仿宋" w:eastAsia="仿宋" w:cs="仿宋"/>
          <w:b/>
          <w:color w:val="auto"/>
          <w:spacing w:val="-6"/>
          <w:sz w:val="72"/>
          <w:szCs w:val="72"/>
          <w:highlight w:val="none"/>
        </w:rPr>
      </w:pPr>
    </w:p>
    <w:p>
      <w:pPr>
        <w:adjustRightInd w:val="0"/>
        <w:snapToGrid w:val="0"/>
        <w:spacing w:line="360" w:lineRule="auto"/>
        <w:ind w:firstLine="1735" w:firstLineChars="6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项目名称：</w:t>
      </w:r>
      <w:r>
        <w:rPr>
          <w:rFonts w:hint="eastAsia" w:ascii="仿宋" w:hAnsi="仿宋" w:eastAsia="仿宋" w:cs="仿宋"/>
          <w:b/>
          <w:color w:val="auto"/>
          <w:spacing w:val="-6"/>
          <w:sz w:val="30"/>
          <w:szCs w:val="30"/>
          <w:highlight w:val="none"/>
          <w:lang w:eastAsia="zh-CN"/>
        </w:rPr>
        <w:t>算力中心展厅展陈</w:t>
      </w:r>
    </w:p>
    <w:p>
      <w:pPr>
        <w:adjustRightInd w:val="0"/>
        <w:snapToGrid w:val="0"/>
        <w:spacing w:line="360" w:lineRule="auto"/>
        <w:ind w:firstLine="1735" w:firstLineChars="600"/>
        <w:rPr>
          <w:rFonts w:hint="eastAsia" w:ascii="仿宋" w:hAnsi="仿宋" w:eastAsia="仿宋" w:cs="仿宋"/>
          <w:b/>
          <w:color w:val="auto"/>
          <w:spacing w:val="-6"/>
          <w:sz w:val="30"/>
          <w:szCs w:val="30"/>
          <w:highlight w:val="none"/>
          <w:lang w:eastAsia="zh-CN"/>
        </w:rPr>
      </w:pPr>
      <w:r>
        <w:rPr>
          <w:rFonts w:hint="eastAsia" w:ascii="仿宋" w:hAnsi="仿宋" w:eastAsia="仿宋" w:cs="仿宋"/>
          <w:b/>
          <w:color w:val="auto"/>
          <w:spacing w:val="-6"/>
          <w:sz w:val="30"/>
          <w:szCs w:val="30"/>
          <w:highlight w:val="none"/>
        </w:rPr>
        <w:t>项目编号：</w:t>
      </w:r>
      <w:r>
        <w:rPr>
          <w:rFonts w:hint="eastAsia" w:ascii="仿宋" w:hAnsi="仿宋" w:eastAsia="仿宋" w:cs="仿宋"/>
          <w:b/>
          <w:color w:val="auto"/>
          <w:spacing w:val="-6"/>
          <w:sz w:val="30"/>
          <w:szCs w:val="30"/>
          <w:highlight w:val="none"/>
          <w:lang w:eastAsia="zh-CN"/>
        </w:rPr>
        <w:t>ZJLAB-JZ-CS2024011</w:t>
      </w:r>
    </w:p>
    <w:p>
      <w:pPr>
        <w:adjustRightInd w:val="0"/>
        <w:snapToGrid w:val="0"/>
        <w:spacing w:line="360" w:lineRule="auto"/>
        <w:ind w:firstLine="1735" w:firstLineChars="6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采 购 人：之江实验室</w:t>
      </w:r>
    </w:p>
    <w:p>
      <w:pPr>
        <w:adjustRightInd w:val="0"/>
        <w:snapToGrid w:val="0"/>
        <w:spacing w:line="360" w:lineRule="auto"/>
        <w:ind w:firstLine="1735" w:firstLineChars="600"/>
        <w:rPr>
          <w:rFonts w:ascii="仿宋" w:hAnsi="仿宋" w:eastAsia="仿宋" w:cs="仿宋"/>
          <w:b/>
          <w:color w:val="auto"/>
          <w:spacing w:val="-6"/>
          <w:sz w:val="30"/>
          <w:szCs w:val="30"/>
          <w:highlight w:val="none"/>
        </w:rPr>
        <w:sectPr>
          <w:headerReference r:id="rId3" w:type="default"/>
          <w:type w:val="continuous"/>
          <w:pgSz w:w="11906" w:h="16838"/>
          <w:pgMar w:top="1440" w:right="1247" w:bottom="1440" w:left="1247" w:header="283" w:footer="850" w:gutter="0"/>
          <w:cols w:space="0" w:num="1"/>
          <w:docGrid w:linePitch="381" w:charSpace="0"/>
        </w:sectPr>
      </w:pPr>
      <w:r>
        <w:rPr>
          <w:rFonts w:hint="eastAsia" w:ascii="仿宋" w:hAnsi="仿宋" w:eastAsia="仿宋" w:cs="仿宋"/>
          <w:b/>
          <w:color w:val="auto"/>
          <w:spacing w:val="-6"/>
          <w:sz w:val="30"/>
          <w:szCs w:val="30"/>
          <w:highlight w:val="none"/>
        </w:rPr>
        <w:t>采购代理机构：浙江求是招标代理有限公司</w:t>
      </w:r>
    </w:p>
    <w:p>
      <w:pPr>
        <w:adjustRightInd w:val="0"/>
        <w:snapToGrid w:val="0"/>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p>
    <w:p>
      <w:pPr>
        <w:adjustRightInd w:val="0"/>
        <w:snapToGrid w:val="0"/>
        <w:ind w:firstLine="578" w:firstLineChars="200"/>
        <w:rPr>
          <w:rFonts w:ascii="仿宋" w:hAnsi="仿宋" w:eastAsia="仿宋" w:cs="仿宋"/>
          <w:b/>
          <w:color w:val="auto"/>
          <w:spacing w:val="-6"/>
          <w:sz w:val="30"/>
          <w:szCs w:val="30"/>
          <w:highlight w:val="none"/>
        </w:rPr>
      </w:pP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第一章  采购邀请</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第二章  采购需求</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第三章  供应商须知</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第四章  评审方法和评审标准</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第五章  拟签订的合同文本</w:t>
      </w:r>
    </w:p>
    <w:p>
      <w:pPr>
        <w:adjustRightInd w:val="0"/>
        <w:snapToGrid w:val="0"/>
        <w:spacing w:line="360"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t>第六章  响应文件格式</w:t>
      </w:r>
    </w:p>
    <w:p>
      <w:pPr>
        <w:adjustRightInd w:val="0"/>
        <w:snapToGrid w:val="0"/>
        <w:spacing w:line="288" w:lineRule="auto"/>
        <w:ind w:firstLine="578" w:firstLineChars="200"/>
        <w:rPr>
          <w:rFonts w:ascii="仿宋" w:hAnsi="仿宋" w:eastAsia="仿宋" w:cs="仿宋"/>
          <w:b/>
          <w:color w:val="auto"/>
          <w:spacing w:val="-6"/>
          <w:sz w:val="30"/>
          <w:szCs w:val="30"/>
          <w:highlight w:val="none"/>
        </w:rPr>
      </w:pPr>
      <w:r>
        <w:rPr>
          <w:rFonts w:hint="eastAsia" w:ascii="仿宋" w:hAnsi="仿宋" w:eastAsia="仿宋" w:cs="仿宋"/>
          <w:b/>
          <w:color w:val="auto"/>
          <w:spacing w:val="-6"/>
          <w:sz w:val="30"/>
          <w:szCs w:val="30"/>
          <w:highlight w:val="none"/>
        </w:rPr>
        <w:br w:type="page"/>
      </w:r>
    </w:p>
    <w:p>
      <w:pPr>
        <w:adjustRightInd w:val="0"/>
        <w:snapToGrid w:val="0"/>
        <w:spacing w:line="288" w:lineRule="auto"/>
        <w:jc w:val="center"/>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第一章  采购邀请</w:t>
      </w: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color w:val="auto"/>
                <w:szCs w:val="21"/>
                <w:highlight w:val="none"/>
              </w:rPr>
            </w:pPr>
            <w:bookmarkStart w:id="0" w:name="_Toc35393790"/>
            <w:bookmarkStart w:id="1" w:name="_Toc28359002"/>
            <w:bookmarkStart w:id="2" w:name="_Toc35393621"/>
            <w:bookmarkStart w:id="3" w:name="_Toc28359079"/>
            <w:bookmarkStart w:id="4" w:name="_Hlk24379207"/>
            <w:r>
              <w:rPr>
                <w:rFonts w:hint="eastAsia" w:ascii="仿宋" w:hAnsi="仿宋" w:eastAsia="仿宋" w:cs="仿宋"/>
                <w:b/>
                <w:color w:val="auto"/>
                <w:szCs w:val="21"/>
                <w:highlight w:val="none"/>
              </w:rPr>
              <w:t>项目概况</w:t>
            </w:r>
          </w:p>
          <w:p>
            <w:pPr>
              <w:adjustRightInd w:val="0"/>
              <w:snapToGrid w:val="0"/>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lang w:eastAsia="zh-CN"/>
              </w:rPr>
              <w:t>算力中心展厅展陈</w:t>
            </w:r>
            <w:r>
              <w:rPr>
                <w:rFonts w:hint="eastAsia" w:ascii="仿宋" w:hAnsi="仿宋" w:eastAsia="仿宋" w:cs="仿宋"/>
                <w:b/>
                <w:color w:val="auto"/>
                <w:szCs w:val="21"/>
                <w:highlight w:val="none"/>
              </w:rPr>
              <w:t>采购项目的潜在供应商应在微信（关注“浙江求是招标代理有限公司”企业公众号）获取采购文件，并于</w:t>
            </w:r>
            <w:r>
              <w:rPr>
                <w:rFonts w:hint="eastAsia" w:ascii="仿宋" w:hAnsi="仿宋" w:eastAsia="仿宋" w:cs="仿宋"/>
                <w:b/>
                <w:color w:val="auto"/>
                <w:szCs w:val="21"/>
                <w:highlight w:val="none"/>
                <w:lang w:eastAsia="zh-CN"/>
              </w:rPr>
              <w:t>2024年05月11日</w:t>
            </w:r>
            <w:r>
              <w:rPr>
                <w:rFonts w:hint="eastAsia" w:ascii="仿宋" w:hAnsi="仿宋" w:eastAsia="仿宋" w:cs="仿宋"/>
                <w:b/>
                <w:color w:val="auto"/>
                <w:szCs w:val="21"/>
                <w:highlight w:val="none"/>
              </w:rPr>
              <w:t>下午14:00:00（北京时间）前提交响应文件。</w:t>
            </w:r>
          </w:p>
        </w:tc>
      </w:tr>
    </w:tbl>
    <w:p>
      <w:pPr>
        <w:adjustRightInd w:val="0"/>
        <w:snapToGrid w:val="0"/>
        <w:spacing w:line="288" w:lineRule="auto"/>
        <w:rPr>
          <w:rFonts w:ascii="仿宋" w:hAnsi="仿宋" w:eastAsia="仿宋" w:cs="仿宋"/>
          <w:b/>
          <w:color w:val="auto"/>
          <w:szCs w:val="21"/>
          <w:highlight w:val="none"/>
        </w:rPr>
      </w:pP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ZJLAB-JZ-CS2024011</w:t>
      </w:r>
    </w:p>
    <w:p>
      <w:pPr>
        <w:adjustRightInd w:val="0"/>
        <w:snapToGrid w:val="0"/>
        <w:spacing w:line="288"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算力中心展厅展陈</w:t>
      </w:r>
    </w:p>
    <w:bookmarkEnd w:id="4"/>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采购方式：竞争性磋商</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采购需求：</w:t>
      </w:r>
    </w:p>
    <w:tbl>
      <w:tblPr>
        <w:tblStyle w:val="27"/>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71"/>
        <w:gridCol w:w="766"/>
        <w:gridCol w:w="3165"/>
        <w:gridCol w:w="1547"/>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1" w:type="dxa"/>
            <w:tcBorders>
              <w:left w:val="single" w:color="auto" w:sz="4" w:space="0"/>
              <w:right w:val="single" w:color="auto" w:sz="4" w:space="0"/>
            </w:tcBorders>
            <w:vAlign w:val="center"/>
          </w:tcPr>
          <w:p>
            <w:pPr>
              <w:jc w:val="center"/>
              <w:rPr>
                <w:rFonts w:ascii="仿宋" w:hAnsi="仿宋" w:eastAsia="仿宋" w:cs="仿宋"/>
                <w:b/>
                <w:bCs/>
                <w:color w:val="auto"/>
                <w:szCs w:val="21"/>
                <w:highlight w:val="none"/>
              </w:rPr>
            </w:pPr>
            <w:bookmarkStart w:id="5" w:name="_Toc28359080"/>
            <w:bookmarkStart w:id="6" w:name="_Toc35393791"/>
            <w:bookmarkStart w:id="7" w:name="_Toc28359003"/>
            <w:bookmarkStart w:id="8" w:name="_Toc35393622"/>
            <w:r>
              <w:rPr>
                <w:rFonts w:hint="eastAsia" w:ascii="仿宋" w:hAnsi="仿宋" w:eastAsia="仿宋" w:cs="仿宋"/>
                <w:b/>
                <w:bCs/>
                <w:color w:val="auto"/>
                <w:szCs w:val="21"/>
                <w:highlight w:val="none"/>
              </w:rPr>
              <w:t>名称</w:t>
            </w:r>
          </w:p>
        </w:tc>
        <w:tc>
          <w:tcPr>
            <w:tcW w:w="766"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3165" w:type="dxa"/>
            <w:tcBorders>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简要技术需求</w:t>
            </w:r>
          </w:p>
        </w:tc>
        <w:tc>
          <w:tcPr>
            <w:tcW w:w="154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是否允许采购进口产品</w:t>
            </w:r>
          </w:p>
        </w:tc>
        <w:tc>
          <w:tcPr>
            <w:tcW w:w="1266"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预算金额（万元）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71" w:type="dxa"/>
            <w:tcBorders>
              <w:left w:val="single" w:color="auto" w:sz="4" w:space="0"/>
              <w:right w:val="single" w:color="auto" w:sz="4"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算力中心展厅展陈</w:t>
            </w:r>
          </w:p>
        </w:tc>
        <w:tc>
          <w:tcPr>
            <w:tcW w:w="766"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1项</w:t>
            </w:r>
          </w:p>
        </w:tc>
        <w:tc>
          <w:tcPr>
            <w:tcW w:w="3165" w:type="dxa"/>
            <w:tcBorders>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“交钥匙”项目</w:t>
            </w:r>
          </w:p>
        </w:tc>
        <w:tc>
          <w:tcPr>
            <w:tcW w:w="154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否</w:t>
            </w:r>
          </w:p>
        </w:tc>
        <w:tc>
          <w:tcPr>
            <w:tcW w:w="1266" w:type="dxa"/>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244</w:t>
            </w:r>
          </w:p>
        </w:tc>
      </w:tr>
    </w:tbl>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合同履约期限：合同签订后30个自然日内</w:t>
      </w:r>
    </w:p>
    <w:p>
      <w:pPr>
        <w:adjustRightInd w:val="0"/>
        <w:snapToGrid w:val="0"/>
        <w:spacing w:line="288" w:lineRule="auto"/>
        <w:ind w:firstLine="420" w:firstLineChars="200"/>
        <w:rPr>
          <w:rFonts w:ascii="仿宋" w:hAnsi="仿宋" w:eastAsia="仿宋" w:cs="仿宋"/>
          <w:b/>
          <w:color w:val="auto"/>
          <w:szCs w:val="21"/>
          <w:highlight w:val="none"/>
        </w:rPr>
      </w:pPr>
      <w:r>
        <w:rPr>
          <w:rFonts w:hint="eastAsia" w:ascii="仿宋" w:hAnsi="仿宋" w:eastAsia="仿宋" w:cs="仿宋"/>
          <w:bCs/>
          <w:color w:val="auto"/>
          <w:szCs w:val="21"/>
          <w:highlight w:val="none"/>
        </w:rPr>
        <w:t>本项目（否）接受联合体响应。</w:t>
      </w: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仿宋" w:hAnsi="仿宋" w:eastAsia="仿宋" w:cs="仿宋"/>
          <w:color w:val="auto"/>
          <w:szCs w:val="21"/>
          <w:highlight w:val="none"/>
        </w:rPr>
      </w:pPr>
      <w:bookmarkStart w:id="9" w:name="_Toc28359081"/>
      <w:bookmarkStart w:id="10" w:name="_Toc28359004"/>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2.落实政府采购政策需满足的资格要求：无</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pPr>
        <w:adjustRightInd w:val="0"/>
        <w:snapToGrid w:val="0"/>
        <w:spacing w:line="288" w:lineRule="auto"/>
        <w:rPr>
          <w:rFonts w:ascii="仿宋" w:hAnsi="仿宋" w:eastAsia="仿宋" w:cs="仿宋"/>
          <w:b/>
          <w:color w:val="auto"/>
          <w:szCs w:val="21"/>
          <w:highlight w:val="none"/>
        </w:rPr>
      </w:pPr>
      <w:bookmarkStart w:id="11" w:name="_Toc35393623"/>
      <w:bookmarkStart w:id="12" w:name="_Toc35393792"/>
      <w:r>
        <w:rPr>
          <w:rFonts w:hint="eastAsia" w:ascii="仿宋" w:hAnsi="仿宋" w:eastAsia="仿宋" w:cs="仿宋"/>
          <w:b/>
          <w:color w:val="auto"/>
          <w:szCs w:val="21"/>
          <w:highlight w:val="none"/>
        </w:rPr>
        <w:t>三、</w:t>
      </w:r>
      <w:bookmarkEnd w:id="9"/>
      <w:bookmarkEnd w:id="10"/>
      <w:bookmarkEnd w:id="11"/>
      <w:bookmarkEnd w:id="12"/>
      <w:r>
        <w:rPr>
          <w:rFonts w:hint="eastAsia" w:ascii="仿宋" w:hAnsi="仿宋" w:eastAsia="仿宋" w:cs="仿宋"/>
          <w:b/>
          <w:color w:val="auto"/>
          <w:szCs w:val="21"/>
          <w:highlight w:val="none"/>
        </w:rPr>
        <w:t>获取采购文件</w:t>
      </w:r>
    </w:p>
    <w:p>
      <w:pPr>
        <w:adjustRightInd w:val="0"/>
        <w:snapToGrid w:val="0"/>
        <w:spacing w:line="288" w:lineRule="auto"/>
        <w:ind w:firstLine="420" w:firstLineChars="200"/>
        <w:rPr>
          <w:rFonts w:ascii="仿宋" w:hAnsi="仿宋" w:eastAsia="仿宋" w:cs="仿宋"/>
          <w:color w:val="auto"/>
          <w:szCs w:val="21"/>
          <w:highlight w:val="none"/>
        </w:rPr>
      </w:pPr>
      <w:bookmarkStart w:id="13" w:name="_Toc35393793"/>
      <w:bookmarkStart w:id="14" w:name="_Toc28359005"/>
      <w:bookmarkStart w:id="15" w:name="_Toc35393624"/>
      <w:bookmarkStart w:id="16" w:name="_Toc28359082"/>
      <w:r>
        <w:rPr>
          <w:rFonts w:hint="eastAsia" w:ascii="仿宋" w:hAnsi="仿宋" w:eastAsia="仿宋" w:cs="仿宋"/>
          <w:color w:val="auto"/>
          <w:szCs w:val="21"/>
          <w:highlight w:val="none"/>
        </w:rPr>
        <w:t>时间：2024年</w:t>
      </w:r>
      <w:r>
        <w:rPr>
          <w:rFonts w:hint="eastAsia" w:ascii="仿宋" w:hAnsi="仿宋" w:eastAsia="仿宋" w:cs="仿宋"/>
          <w:color w:val="auto"/>
          <w:szCs w:val="21"/>
          <w:highlight w:val="none"/>
          <w:lang w:val="en-US" w:eastAsia="zh-CN"/>
        </w:rPr>
        <w:t>04</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日至2024年</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日（北京时间，双休日及法定节假日除外），上午：8:30-11:30、下午：13:00-17:00。</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备注：获取磋商文件截止时间之后潜在供应商依然可以获取磋商文件，对磋商文件有质疑的应在规定的质疑期限内提出。</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地点：微信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方式：关注“浙江求是招标代理有限公司”企业公众号，文件获取申请函详见采购公告附件，获取文件联系人：於路莹 联系方式：0571-87666112 电子邮箱：bm@qszb.net。</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售价：¥500.0元（人民币）</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收款单位（户名）：浙江求是招标代理有限公司</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开户银行：工行浙大支行</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银行账号：1202024609900033043</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财务联系方式：0571-87666113</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开票信息请发送邮件至caiwu@qszb.net（提供项目名称或编号、开票资料、收件信息并注明专普票）</w:t>
      </w: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四、</w:t>
      </w:r>
      <w:bookmarkEnd w:id="13"/>
      <w:bookmarkEnd w:id="14"/>
      <w:bookmarkEnd w:id="15"/>
      <w:bookmarkEnd w:id="16"/>
      <w:r>
        <w:rPr>
          <w:rFonts w:hint="eastAsia" w:ascii="仿宋" w:hAnsi="仿宋" w:eastAsia="仿宋" w:cs="仿宋"/>
          <w:b/>
          <w:color w:val="auto"/>
          <w:szCs w:val="21"/>
          <w:highlight w:val="none"/>
        </w:rPr>
        <w:t>响应文件提交</w:t>
      </w:r>
    </w:p>
    <w:p>
      <w:pPr>
        <w:adjustRightInd w:val="0"/>
        <w:snapToGrid w:val="0"/>
        <w:spacing w:line="288" w:lineRule="auto"/>
        <w:ind w:firstLine="420" w:firstLineChars="200"/>
        <w:rPr>
          <w:rFonts w:ascii="仿宋" w:hAnsi="仿宋" w:eastAsia="仿宋" w:cs="仿宋"/>
          <w:bCs/>
          <w:color w:val="auto"/>
          <w:szCs w:val="21"/>
          <w:highlight w:val="none"/>
        </w:rPr>
      </w:pPr>
      <w:bookmarkStart w:id="17" w:name="_Hlk81212057"/>
      <w:r>
        <w:rPr>
          <w:rFonts w:hint="eastAsia" w:ascii="仿宋" w:hAnsi="仿宋" w:eastAsia="仿宋" w:cs="仿宋"/>
          <w:bCs/>
          <w:color w:val="auto"/>
          <w:szCs w:val="21"/>
          <w:highlight w:val="none"/>
        </w:rPr>
        <w:t>截止时间：</w:t>
      </w:r>
      <w:r>
        <w:rPr>
          <w:rFonts w:hint="eastAsia" w:ascii="仿宋" w:hAnsi="仿宋" w:eastAsia="仿宋" w:cs="仿宋"/>
          <w:bCs/>
          <w:color w:val="auto"/>
          <w:szCs w:val="21"/>
          <w:highlight w:val="none"/>
          <w:lang w:eastAsia="zh-CN"/>
        </w:rPr>
        <w:t>2024年05月11日</w:t>
      </w:r>
      <w:r>
        <w:rPr>
          <w:rFonts w:hint="eastAsia" w:ascii="仿宋" w:hAnsi="仿宋" w:eastAsia="仿宋" w:cs="仿宋"/>
          <w:bCs/>
          <w:color w:val="auto"/>
          <w:szCs w:val="21"/>
          <w:highlight w:val="none"/>
        </w:rPr>
        <w:t>下午14:00:00（北京时间）</w:t>
      </w:r>
    </w:p>
    <w:p>
      <w:pPr>
        <w:adjustRightInd w:val="0"/>
        <w:snapToGrid w:val="0"/>
        <w:spacing w:line="288" w:lineRule="auto"/>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地点：</w:t>
      </w:r>
      <w:r>
        <w:rPr>
          <w:rFonts w:hint="eastAsia" w:ascii="仿宋" w:hAnsi="仿宋" w:eastAsia="仿宋" w:cs="仿宋"/>
          <w:bCs/>
          <w:color w:val="auto"/>
          <w:szCs w:val="21"/>
          <w:highlight w:val="none"/>
          <w:lang w:eastAsia="zh-CN"/>
        </w:rPr>
        <w:t>杭州市西湖区玉古路173号中田大厦21楼求是招标会议室4</w:t>
      </w:r>
    </w:p>
    <w:p>
      <w:pPr>
        <w:adjustRightInd w:val="0"/>
        <w:snapToGrid w:val="0"/>
        <w:spacing w:line="288" w:lineRule="auto"/>
        <w:ind w:firstLine="422" w:firstLineChars="200"/>
        <w:rPr>
          <w:rFonts w:ascii="仿宋" w:hAnsi="仿宋" w:eastAsia="仿宋" w:cs="仿宋"/>
          <w:bCs/>
          <w:color w:val="auto"/>
          <w:szCs w:val="21"/>
          <w:highlight w:val="none"/>
        </w:rPr>
      </w:pPr>
      <w:r>
        <w:rPr>
          <w:rFonts w:hint="eastAsia" w:ascii="仿宋" w:hAnsi="仿宋" w:eastAsia="仿宋" w:cs="仿宋"/>
          <w:b/>
          <w:color w:val="auto"/>
          <w:szCs w:val="21"/>
          <w:highlight w:val="none"/>
        </w:rPr>
        <w:t>备注：逾期送达或未按照磋商文件要求密封的响应文件采购代理机构将予以拒收</w:t>
      </w:r>
    </w:p>
    <w:bookmarkEnd w:id="17"/>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五、响应文件开启</w:t>
      </w:r>
    </w:p>
    <w:p>
      <w:pPr>
        <w:adjustRightInd w:val="0"/>
        <w:snapToGrid w:val="0"/>
        <w:spacing w:line="288"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开启时间：</w:t>
      </w:r>
      <w:r>
        <w:rPr>
          <w:rFonts w:hint="eastAsia" w:ascii="仿宋" w:hAnsi="仿宋" w:eastAsia="仿宋" w:cs="仿宋"/>
          <w:bCs/>
          <w:color w:val="auto"/>
          <w:szCs w:val="21"/>
          <w:highlight w:val="none"/>
          <w:lang w:eastAsia="zh-CN"/>
        </w:rPr>
        <w:t>2024年05月11日</w:t>
      </w:r>
      <w:r>
        <w:rPr>
          <w:rFonts w:hint="eastAsia" w:ascii="仿宋" w:hAnsi="仿宋" w:eastAsia="仿宋" w:cs="仿宋"/>
          <w:bCs/>
          <w:color w:val="auto"/>
          <w:szCs w:val="21"/>
          <w:highlight w:val="none"/>
        </w:rPr>
        <w:t>下午14:00:00（北京时间）</w:t>
      </w:r>
    </w:p>
    <w:p>
      <w:pPr>
        <w:adjustRightInd w:val="0"/>
        <w:snapToGrid w:val="0"/>
        <w:spacing w:line="288" w:lineRule="auto"/>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地点：</w:t>
      </w:r>
      <w:r>
        <w:rPr>
          <w:rFonts w:hint="eastAsia" w:ascii="仿宋" w:hAnsi="仿宋" w:eastAsia="仿宋" w:cs="仿宋"/>
          <w:bCs/>
          <w:color w:val="auto"/>
          <w:szCs w:val="21"/>
          <w:highlight w:val="none"/>
          <w:lang w:eastAsia="zh-CN"/>
        </w:rPr>
        <w:t>杭州市西湖区玉古路173号中田大厦21楼求是招标会议室4</w:t>
      </w:r>
    </w:p>
    <w:p>
      <w:pPr>
        <w:adjustRightInd w:val="0"/>
        <w:snapToGrid w:val="0"/>
        <w:spacing w:line="288" w:lineRule="auto"/>
        <w:rPr>
          <w:rFonts w:ascii="仿宋" w:hAnsi="仿宋" w:eastAsia="仿宋" w:cs="仿宋"/>
          <w:b/>
          <w:color w:val="auto"/>
          <w:szCs w:val="21"/>
          <w:highlight w:val="none"/>
        </w:rPr>
      </w:pPr>
      <w:bookmarkStart w:id="18" w:name="_Toc35393795"/>
      <w:bookmarkStart w:id="19" w:name="_Toc35393626"/>
      <w:r>
        <w:rPr>
          <w:rFonts w:hint="eastAsia" w:ascii="仿宋" w:hAnsi="仿宋" w:eastAsia="仿宋" w:cs="仿宋"/>
          <w:b/>
          <w:color w:val="auto"/>
          <w:szCs w:val="21"/>
          <w:highlight w:val="none"/>
        </w:rPr>
        <w:t>六、公告期限</w:t>
      </w:r>
    </w:p>
    <w:p>
      <w:pPr>
        <w:adjustRightInd w:val="0"/>
        <w:snapToGrid w:val="0"/>
        <w:spacing w:line="288"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自本公告发布之日起3个工作日。</w:t>
      </w:r>
    </w:p>
    <w:p>
      <w:pPr>
        <w:adjustRightInd w:val="0"/>
        <w:snapToGrid w:val="0"/>
        <w:spacing w:line="288" w:lineRule="auto"/>
        <w:rPr>
          <w:rFonts w:ascii="仿宋" w:hAnsi="仿宋" w:eastAsia="仿宋" w:cs="仿宋"/>
          <w:b/>
          <w:color w:val="auto"/>
          <w:szCs w:val="21"/>
          <w:highlight w:val="none"/>
        </w:rPr>
      </w:pPr>
      <w:r>
        <w:rPr>
          <w:rFonts w:hint="eastAsia" w:ascii="仿宋" w:hAnsi="仿宋" w:eastAsia="仿宋" w:cs="仿宋"/>
          <w:b/>
          <w:color w:val="auto"/>
          <w:szCs w:val="21"/>
          <w:highlight w:val="none"/>
        </w:rPr>
        <w:t>七、其他补充事宜</w:t>
      </w:r>
      <w:bookmarkEnd w:id="18"/>
      <w:bookmarkEnd w:id="19"/>
    </w:p>
    <w:p>
      <w:pPr>
        <w:adjustRightInd w:val="0"/>
        <w:snapToGrid w:val="0"/>
        <w:spacing w:line="288" w:lineRule="auto"/>
        <w:ind w:firstLine="420" w:firstLineChars="200"/>
        <w:rPr>
          <w:rFonts w:ascii="仿宋" w:hAnsi="仿宋" w:eastAsia="仿宋" w:cs="仿宋"/>
          <w:color w:val="auto"/>
          <w:szCs w:val="21"/>
          <w:highlight w:val="none"/>
        </w:rPr>
      </w:pPr>
      <w:bookmarkStart w:id="20" w:name="_Hlk92271331"/>
      <w:bookmarkStart w:id="21" w:name="_Hlk92271231"/>
      <w:r>
        <w:rPr>
          <w:rFonts w:hint="eastAsia" w:ascii="仿宋" w:hAnsi="仿宋" w:eastAsia="仿宋" w:cs="仿宋"/>
          <w:color w:val="auto"/>
          <w:szCs w:val="21"/>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函范本请到浙江政府采购网下载专区下载。</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2.其他事项：（1）需要落实的政府采购政策：包括节约资源、保护环境、促进中小企业发展等，具体详见磋商文件第三章“9.采购项目需要落实的政府采购政策”；▲</w:t>
      </w:r>
      <w:bookmarkStart w:id="22" w:name="_Hlk92271072"/>
      <w:r>
        <w:rPr>
          <w:rFonts w:hint="eastAsia" w:ascii="仿宋" w:hAnsi="仿宋" w:eastAsia="仿宋" w:cs="仿宋"/>
          <w:color w:val="auto"/>
          <w:szCs w:val="21"/>
          <w:highlight w:val="none"/>
        </w:rPr>
        <w:t>（2）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22"/>
    </w:p>
    <w:bookmarkEnd w:id="20"/>
    <w:bookmarkEnd w:id="21"/>
    <w:p>
      <w:pPr>
        <w:adjustRightInd w:val="0"/>
        <w:snapToGrid w:val="0"/>
        <w:spacing w:line="288" w:lineRule="auto"/>
        <w:rPr>
          <w:rFonts w:ascii="仿宋" w:hAnsi="仿宋" w:eastAsia="仿宋" w:cs="仿宋"/>
          <w:b/>
          <w:color w:val="auto"/>
          <w:szCs w:val="21"/>
          <w:highlight w:val="none"/>
        </w:rPr>
      </w:pPr>
      <w:bookmarkStart w:id="23" w:name="_Toc35393627"/>
      <w:bookmarkStart w:id="24" w:name="_Toc35393796"/>
      <w:bookmarkStart w:id="25" w:name="_Toc28359085"/>
      <w:bookmarkStart w:id="26" w:name="_Toc28359008"/>
      <w:r>
        <w:rPr>
          <w:rFonts w:hint="eastAsia" w:ascii="仿宋" w:hAnsi="仿宋" w:eastAsia="仿宋" w:cs="仿宋"/>
          <w:b/>
          <w:color w:val="auto"/>
          <w:szCs w:val="21"/>
          <w:highlight w:val="none"/>
        </w:rPr>
        <w:t>八、</w:t>
      </w:r>
      <w:bookmarkEnd w:id="23"/>
      <w:bookmarkEnd w:id="24"/>
      <w:bookmarkEnd w:id="25"/>
      <w:bookmarkEnd w:id="26"/>
      <w:r>
        <w:rPr>
          <w:rFonts w:hint="eastAsia" w:ascii="仿宋" w:hAnsi="仿宋" w:eastAsia="仿宋" w:cs="仿宋"/>
          <w:b/>
          <w:color w:val="auto"/>
          <w:szCs w:val="21"/>
          <w:highlight w:val="none"/>
        </w:rPr>
        <w:t>凡对本次采购提出询问、质疑，请按以下方式联系。</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名称：之江实验室</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地址：杭州市余杭区中泰街道之江实验室新园区一期西区1号楼13楼</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项目联系人（询问）：周立超</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项目联系方式（询问）：1</w:t>
      </w:r>
      <w:r>
        <w:rPr>
          <w:rFonts w:ascii="仿宋" w:hAnsi="仿宋" w:eastAsia="仿宋" w:cs="仿宋"/>
          <w:color w:val="auto"/>
          <w:szCs w:val="21"/>
          <w:highlight w:val="none"/>
        </w:rPr>
        <w:t>8368841670</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联系人（询问）：俞老师</w:t>
      </w:r>
    </w:p>
    <w:p>
      <w:pPr>
        <w:adjustRightInd w:val="0"/>
        <w:snapToGrid w:val="0"/>
        <w:spacing w:line="288"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联系方式（询问）：0571-56393505</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质疑、投诉联系人：钟老师</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联系方法：0571-56390603</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纪检监督联系人：饶老师</w:t>
      </w:r>
    </w:p>
    <w:p>
      <w:pPr>
        <w:adjustRightInd w:val="0"/>
        <w:snapToGrid w:val="0"/>
        <w:spacing w:line="288" w:lineRule="auto"/>
        <w:ind w:firstLine="630" w:firstLineChars="300"/>
        <w:rPr>
          <w:color w:val="auto"/>
          <w:highlight w:val="none"/>
        </w:rPr>
      </w:pPr>
      <w:r>
        <w:rPr>
          <w:rFonts w:hint="eastAsia" w:ascii="仿宋" w:hAnsi="仿宋" w:eastAsia="仿宋" w:cs="仿宋"/>
          <w:color w:val="auto"/>
          <w:szCs w:val="21"/>
          <w:highlight w:val="none"/>
        </w:rPr>
        <w:t>联系方法：0571-58005087</w:t>
      </w:r>
    </w:p>
    <w:p>
      <w:pPr>
        <w:adjustRightInd w:val="0"/>
        <w:snapToGrid w:val="0"/>
        <w:spacing w:line="288" w:lineRule="auto"/>
        <w:ind w:firstLine="420" w:firstLineChars="200"/>
        <w:rPr>
          <w:rFonts w:ascii="仿宋" w:hAnsi="仿宋" w:eastAsia="仿宋" w:cs="仿宋"/>
          <w:color w:val="auto"/>
          <w:szCs w:val="21"/>
          <w:highlight w:val="none"/>
        </w:rPr>
      </w:pP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名称：浙江求是招标代理有限公司</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地址：杭州市西湖区玉古路173号中田大厦21楼</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传真：/</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项目联系人（询问）：杨立凯、元俊仁、符佳慧</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项目联系方式（询问）：0571-87679349</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质疑联系人：刘璐</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质疑联系方式：0571-81110356</w:t>
      </w:r>
    </w:p>
    <w:p>
      <w:pPr>
        <w:adjustRightInd w:val="0"/>
        <w:snapToGrid w:val="0"/>
        <w:spacing w:line="288" w:lineRule="auto"/>
        <w:ind w:firstLine="630" w:firstLineChars="300"/>
        <w:rPr>
          <w:rFonts w:ascii="仿宋" w:hAnsi="仿宋" w:eastAsia="仿宋" w:cs="仿宋"/>
          <w:color w:val="auto"/>
          <w:szCs w:val="21"/>
          <w:highlight w:val="none"/>
        </w:rPr>
      </w:pPr>
      <w:r>
        <w:rPr>
          <w:rFonts w:hint="eastAsia" w:ascii="仿宋" w:hAnsi="仿宋" w:eastAsia="仿宋" w:cs="仿宋"/>
          <w:color w:val="auto"/>
          <w:szCs w:val="21"/>
          <w:highlight w:val="none"/>
        </w:rPr>
        <w:t>质疑邮箱：jdkh@qszb.net</w:t>
      </w:r>
    </w:p>
    <w:p>
      <w:pPr>
        <w:adjustRightInd w:val="0"/>
        <w:snapToGrid w:val="0"/>
        <w:spacing w:line="288" w:lineRule="auto"/>
        <w:jc w:val="center"/>
        <w:outlineLvl w:val="0"/>
        <w:rPr>
          <w:rFonts w:ascii="仿宋" w:hAnsi="仿宋" w:eastAsia="仿宋" w:cs="仿宋"/>
          <w:b/>
          <w:bCs/>
          <w:color w:val="auto"/>
          <w:sz w:val="32"/>
          <w:szCs w:val="32"/>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32"/>
          <w:szCs w:val="32"/>
          <w:highlight w:val="none"/>
        </w:rPr>
        <w:t xml:space="preserve">第二章  </w:t>
      </w:r>
      <w:r>
        <w:rPr>
          <w:rFonts w:hint="eastAsia" w:ascii="仿宋" w:hAnsi="仿宋" w:eastAsia="仿宋" w:cs="仿宋"/>
          <w:b/>
          <w:bCs/>
          <w:color w:val="auto"/>
          <w:sz w:val="32"/>
          <w:szCs w:val="32"/>
          <w:highlight w:val="none"/>
        </w:rPr>
        <w:t>采购需求</w:t>
      </w: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一、为落实政府采购政策需满足的要求</w:t>
      </w:r>
    </w:p>
    <w:tbl>
      <w:tblPr>
        <w:tblStyle w:val="2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50"/>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8" w:type="dxa"/>
            <w:vAlign w:val="center"/>
          </w:tcPr>
          <w:p>
            <w:pPr>
              <w:jc w:val="center"/>
              <w:rPr>
                <w:rFonts w:ascii="仿宋" w:hAnsi="仿宋" w:eastAsia="仿宋" w:cs="仿宋"/>
                <w:b/>
                <w:bCs/>
                <w:color w:val="auto"/>
                <w:szCs w:val="21"/>
                <w:highlight w:val="none"/>
              </w:rPr>
            </w:pPr>
            <w:bookmarkStart w:id="27" w:name="_Hlk45005599"/>
            <w:r>
              <w:rPr>
                <w:rFonts w:hint="eastAsia" w:ascii="仿宋" w:hAnsi="仿宋" w:eastAsia="仿宋" w:cs="仿宋"/>
                <w:b/>
                <w:bCs/>
                <w:color w:val="auto"/>
                <w:szCs w:val="21"/>
                <w:highlight w:val="none"/>
              </w:rPr>
              <w:t>序号</w:t>
            </w:r>
          </w:p>
        </w:tc>
        <w:tc>
          <w:tcPr>
            <w:tcW w:w="315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政策名称</w:t>
            </w:r>
          </w:p>
        </w:tc>
        <w:tc>
          <w:tcPr>
            <w:tcW w:w="5635"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315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政府采购进口产品</w:t>
            </w:r>
          </w:p>
        </w:tc>
        <w:tc>
          <w:tcPr>
            <w:tcW w:w="5635"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不允许采购进口产品（部件除外）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315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政府强制采购节能产品</w:t>
            </w:r>
          </w:p>
        </w:tc>
        <w:tc>
          <w:tcPr>
            <w:tcW w:w="5635"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315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政府优先采购节能、环保产品</w:t>
            </w:r>
          </w:p>
        </w:tc>
        <w:tc>
          <w:tcPr>
            <w:tcW w:w="5635"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提供材料详见磋商文件第六章“商务和技术文件”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315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政府采购支持创新发展</w:t>
            </w:r>
          </w:p>
        </w:tc>
        <w:tc>
          <w:tcPr>
            <w:tcW w:w="5635"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315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政府采购促进中小企业发展</w:t>
            </w:r>
          </w:p>
        </w:tc>
        <w:tc>
          <w:tcPr>
            <w:tcW w:w="5635"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提供材料详见磋商文件第六章“报价文件”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本项目属性为货物，采购标的对应的中小企业划分标准所属行业为</w:t>
            </w:r>
            <w:r>
              <w:rPr>
                <w:rFonts w:hint="eastAsia" w:ascii="仿宋" w:hAnsi="仿宋" w:eastAsia="仿宋" w:cs="仿宋"/>
                <w:b/>
                <w:bCs/>
                <w:color w:val="auto"/>
                <w:szCs w:val="21"/>
                <w:highlight w:val="none"/>
              </w:rPr>
              <w:t>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315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政府采购支持监狱企业发展</w:t>
            </w:r>
          </w:p>
        </w:tc>
        <w:tc>
          <w:tcPr>
            <w:tcW w:w="5635"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视同小微企业，提供材料详见磋商文件第六章“报价文件”。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8"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7</w:t>
            </w:r>
          </w:p>
        </w:tc>
        <w:tc>
          <w:tcPr>
            <w:tcW w:w="315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政府采购促进残疾人就业</w:t>
            </w:r>
          </w:p>
        </w:tc>
        <w:tc>
          <w:tcPr>
            <w:tcW w:w="5635"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视同小微企业，提供材料详见磋商文件第六章“报价文件”。</w:t>
            </w:r>
          </w:p>
        </w:tc>
      </w:tr>
      <w:bookmarkEnd w:id="27"/>
    </w:tbl>
    <w:p>
      <w:pPr>
        <w:adjustRightInd w:val="0"/>
        <w:snapToGrid w:val="0"/>
        <w:spacing w:line="288" w:lineRule="auto"/>
        <w:rPr>
          <w:rFonts w:ascii="仿宋" w:hAnsi="仿宋" w:eastAsia="仿宋" w:cs="仿宋"/>
          <w:b/>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二、采购资金的支付方式、时间、条件</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7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支付方式</w:t>
            </w:r>
          </w:p>
        </w:tc>
        <w:tc>
          <w:tcPr>
            <w:tcW w:w="7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支付时间及条件</w:t>
            </w:r>
          </w:p>
        </w:tc>
        <w:tc>
          <w:tcPr>
            <w:tcW w:w="7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highlight w:val="none"/>
              </w:rPr>
            </w:pPr>
            <w:r>
              <w:rPr>
                <w:rFonts w:hint="eastAsia" w:ascii="仿宋" w:hAnsi="仿宋" w:eastAsia="仿宋" w:cs="仿宋"/>
                <w:color w:val="auto"/>
                <w:szCs w:val="21"/>
                <w:highlight w:val="none"/>
              </w:rPr>
              <w:t>在成交供应商无任何违约行为的前提下，采购人向成交供应商分阶段支付价款：</w:t>
            </w:r>
          </w:p>
          <w:p>
            <w:pPr>
              <w:rPr>
                <w:rFonts w:ascii="仿宋" w:hAnsi="仿宋" w:eastAsia="仿宋" w:cs="仿宋"/>
                <w:color w:val="auto"/>
                <w:highlight w:val="none"/>
              </w:rPr>
            </w:pPr>
            <w:r>
              <w:rPr>
                <w:rFonts w:hint="eastAsia" w:ascii="仿宋" w:hAnsi="仿宋" w:eastAsia="仿宋" w:cs="仿宋"/>
                <w:color w:val="auto"/>
                <w:highlight w:val="none"/>
              </w:rPr>
              <w:t>1.自合同签订生效后15个工作日内，向成交供应商支付合同总金额</w:t>
            </w:r>
            <w:r>
              <w:rPr>
                <w:rFonts w:ascii="仿宋" w:hAnsi="仿宋" w:eastAsia="仿宋" w:cs="仿宋"/>
                <w:color w:val="auto"/>
                <w:highlight w:val="none"/>
              </w:rPr>
              <w:t>40</w:t>
            </w:r>
            <w:r>
              <w:rPr>
                <w:rFonts w:hint="eastAsia" w:ascii="仿宋" w:hAnsi="仿宋" w:eastAsia="仿宋" w:cs="仿宋"/>
                <w:color w:val="auto"/>
                <w:highlight w:val="none"/>
              </w:rPr>
              <w:t>%；</w:t>
            </w:r>
          </w:p>
          <w:p>
            <w:pPr>
              <w:rPr>
                <w:rFonts w:ascii="仿宋" w:hAnsi="仿宋" w:eastAsia="仿宋" w:cs="仿宋"/>
                <w:color w:val="auto"/>
                <w:highlight w:val="none"/>
              </w:rPr>
            </w:pPr>
            <w:r>
              <w:rPr>
                <w:rFonts w:hint="eastAsia" w:ascii="仿宋" w:hAnsi="仿宋" w:eastAsia="仿宋" w:cs="仿宋"/>
                <w:color w:val="auto"/>
                <w:highlight w:val="none"/>
              </w:rPr>
              <w:t>2.自货物验收合格后15个工作日内，向成交供应商支付合同总金额</w:t>
            </w:r>
            <w:r>
              <w:rPr>
                <w:rFonts w:ascii="仿宋" w:hAnsi="仿宋" w:eastAsia="仿宋" w:cs="仿宋"/>
                <w:color w:val="auto"/>
                <w:highlight w:val="none"/>
              </w:rPr>
              <w:t>60</w:t>
            </w:r>
            <w:r>
              <w:rPr>
                <w:rFonts w:hint="eastAsia" w:ascii="仿宋" w:hAnsi="仿宋" w:eastAsia="仿宋" w:cs="仿宋"/>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履约保证金</w:t>
            </w:r>
          </w:p>
        </w:tc>
        <w:tc>
          <w:tcPr>
            <w:tcW w:w="786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合同签订后5个工作日内，成交供应商向采购人缴纳合同总金额1%作为履约保证金，履约保证金自验收合格后，由采购人确认成交供应商合同主要义务履行完毕后无息退还。</w:t>
            </w:r>
          </w:p>
        </w:tc>
      </w:tr>
    </w:tbl>
    <w:p>
      <w:pPr>
        <w:adjustRightInd w:val="0"/>
        <w:snapToGrid w:val="0"/>
        <w:spacing w:line="288" w:lineRule="auto"/>
        <w:rPr>
          <w:rFonts w:ascii="仿宋" w:hAnsi="仿宋" w:eastAsia="仿宋" w:cs="仿宋"/>
          <w:color w:val="auto"/>
          <w:spacing w:val="-4"/>
          <w:szCs w:val="21"/>
          <w:highlight w:val="none"/>
        </w:rPr>
      </w:pPr>
    </w:p>
    <w:p>
      <w:pPr>
        <w:adjustRightInd w:val="0"/>
        <w:snapToGrid w:val="0"/>
        <w:spacing w:line="288" w:lineRule="auto"/>
        <w:outlineLvl w:val="1"/>
        <w:rPr>
          <w:rFonts w:ascii="仿宋" w:hAnsi="仿宋" w:eastAsia="仿宋" w:cs="仿宋"/>
          <w:b/>
          <w:color w:val="auto"/>
          <w:szCs w:val="21"/>
          <w:highlight w:val="none"/>
        </w:rPr>
      </w:pPr>
      <w:r>
        <w:rPr>
          <w:rFonts w:hint="eastAsia" w:ascii="仿宋" w:hAnsi="仿宋" w:eastAsia="仿宋" w:cs="仿宋"/>
          <w:b/>
          <w:color w:val="auto"/>
          <w:szCs w:val="21"/>
          <w:highlight w:val="none"/>
        </w:rPr>
        <w:t>三、服务要求（技术要求里另有注明的以技术要求为准）</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1"/>
        <w:gridCol w:w="6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交付时间</w:t>
            </w:r>
          </w:p>
        </w:tc>
        <w:tc>
          <w:tcPr>
            <w:tcW w:w="6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合同签订后</w:t>
            </w:r>
            <w:r>
              <w:rPr>
                <w:rFonts w:ascii="仿宋" w:hAnsi="仿宋" w:eastAsia="仿宋" w:cs="仿宋"/>
                <w:color w:val="auto"/>
                <w:szCs w:val="21"/>
                <w:highlight w:val="none"/>
              </w:rPr>
              <w:t>30</w:t>
            </w:r>
            <w:r>
              <w:rPr>
                <w:rFonts w:hint="eastAsia" w:ascii="仿宋" w:hAnsi="仿宋" w:eastAsia="仿宋" w:cs="仿宋"/>
                <w:color w:val="auto"/>
                <w:szCs w:val="21"/>
                <w:highlight w:val="none"/>
              </w:rPr>
              <w:t>个自然日内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交付地点</w:t>
            </w:r>
          </w:p>
        </w:tc>
        <w:tc>
          <w:tcPr>
            <w:tcW w:w="6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免费保修期</w:t>
            </w:r>
          </w:p>
        </w:tc>
        <w:tc>
          <w:tcPr>
            <w:tcW w:w="6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自最终验收合格之日起三年，如质保期届满仍有质量和服务问题未解决，质保期延续至经采购人确认无任何质量和服务问题止。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服务标准、期限、效率</w:t>
            </w:r>
          </w:p>
        </w:tc>
        <w:tc>
          <w:tcPr>
            <w:tcW w:w="6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1.质量保证</w:t>
            </w:r>
          </w:p>
          <w:p>
            <w:pPr>
              <w:rPr>
                <w:rFonts w:ascii="仿宋" w:hAnsi="仿宋" w:eastAsia="仿宋" w:cs="仿宋"/>
                <w:color w:val="auto"/>
                <w:highlight w:val="none"/>
              </w:rPr>
            </w:pPr>
            <w:r>
              <w:rPr>
                <w:rFonts w:hint="eastAsia" w:ascii="仿宋" w:hAnsi="仿宋" w:eastAsia="仿宋" w:cs="仿宋"/>
                <w:color w:val="auto"/>
                <w:highlight w:val="none"/>
              </w:rPr>
              <w:t>▲1.1 响应产品为原厂商生产的、完整、全新、未使用过的（不接受二手和翻新），且不得低于国家相关技术标准和质量要求的出厂原装合格产品；</w:t>
            </w:r>
          </w:p>
          <w:p>
            <w:pPr>
              <w:rPr>
                <w:rFonts w:ascii="仿宋" w:hAnsi="仿宋" w:eastAsia="仿宋" w:cs="仿宋"/>
                <w:color w:val="auto"/>
                <w:highlight w:val="none"/>
              </w:rPr>
            </w:pPr>
            <w:r>
              <w:rPr>
                <w:rFonts w:hint="eastAsia" w:ascii="仿宋" w:hAnsi="仿宋" w:eastAsia="仿宋" w:cs="仿宋"/>
                <w:color w:val="auto"/>
                <w:highlight w:val="none"/>
              </w:rPr>
              <w:t>1.2 供应商在响应文件中附上列有技术参数且完整的产品制造商产品彩页或产品说明书；</w:t>
            </w:r>
          </w:p>
          <w:p>
            <w:pPr>
              <w:rPr>
                <w:rFonts w:ascii="仿宋" w:hAnsi="仿宋" w:eastAsia="仿宋" w:cs="仿宋"/>
                <w:color w:val="auto"/>
                <w:highlight w:val="none"/>
              </w:rPr>
            </w:pPr>
            <w:r>
              <w:rPr>
                <w:rFonts w:hint="eastAsia" w:ascii="仿宋" w:hAnsi="仿宋" w:eastAsia="仿宋" w:cs="仿宋"/>
                <w:color w:val="auto"/>
                <w:highlight w:val="none"/>
              </w:rPr>
              <w:t>1.3 如磋商文件中遗漏必备的设备、配件或服务，供应商须在响应文件中指出并提出解决方案供采购人参考；</w:t>
            </w:r>
          </w:p>
          <w:p>
            <w:pPr>
              <w:rPr>
                <w:rFonts w:ascii="仿宋" w:hAnsi="仿宋" w:eastAsia="仿宋" w:cs="仿宋"/>
                <w:color w:val="auto"/>
                <w:highlight w:val="none"/>
              </w:rPr>
            </w:pPr>
            <w:r>
              <w:rPr>
                <w:rFonts w:hint="eastAsia" w:ascii="仿宋" w:hAnsi="仿宋" w:eastAsia="仿宋" w:cs="仿宋"/>
                <w:color w:val="auto"/>
                <w:highlight w:val="none"/>
              </w:rPr>
              <w:t>1.4 成交供应商须保证采购人产品需求的完整性，如项目实施过程中因缺少必备的设备、配件或服务导致采购人产品无法正常运行的，成交供应商须补足，费用包含在响应报价中。</w:t>
            </w:r>
          </w:p>
          <w:p>
            <w:pPr>
              <w:rPr>
                <w:rFonts w:ascii="仿宋" w:hAnsi="仿宋" w:eastAsia="仿宋" w:cs="仿宋"/>
                <w:color w:val="auto"/>
                <w:highlight w:val="none"/>
              </w:rPr>
            </w:pPr>
            <w:r>
              <w:rPr>
                <w:rFonts w:hint="eastAsia" w:ascii="仿宋" w:hAnsi="仿宋" w:eastAsia="仿宋" w:cs="仿宋"/>
                <w:color w:val="auto"/>
                <w:highlight w:val="none"/>
              </w:rPr>
              <w:t>2.售后服务</w:t>
            </w:r>
          </w:p>
          <w:p>
            <w:pPr>
              <w:rPr>
                <w:rFonts w:ascii="仿宋" w:hAnsi="仿宋" w:eastAsia="仿宋" w:cs="仿宋"/>
                <w:color w:val="auto"/>
                <w:highlight w:val="none"/>
              </w:rPr>
            </w:pPr>
            <w:r>
              <w:rPr>
                <w:rFonts w:hint="eastAsia" w:ascii="仿宋" w:hAnsi="仿宋" w:eastAsia="仿宋" w:cs="仿宋"/>
                <w:color w:val="auto"/>
                <w:highlight w:val="none"/>
              </w:rPr>
              <w:t>2.1 质保期内：为采购人的设备提供免费维护、保养及免费更换损坏的和有缺陷的零部件，因故障而影响工作的情况每发生一次，其质保期相应延长</w:t>
            </w:r>
            <w:r>
              <w:rPr>
                <w:rFonts w:ascii="仿宋" w:hAnsi="仿宋" w:eastAsia="仿宋" w:cs="仿宋"/>
                <w:color w:val="auto"/>
                <w:highlight w:val="none"/>
              </w:rPr>
              <w:t>30</w:t>
            </w:r>
            <w:r>
              <w:rPr>
                <w:rFonts w:hint="eastAsia" w:ascii="仿宋" w:hAnsi="仿宋" w:eastAsia="仿宋" w:cs="仿宋"/>
                <w:color w:val="auto"/>
                <w:highlight w:val="none"/>
              </w:rPr>
              <w:t>天，质保期满前1个月内免费全面检查一次并形成正式报告，如发现潜在问题负责排除；</w:t>
            </w:r>
          </w:p>
          <w:p>
            <w:pPr>
              <w:rPr>
                <w:rFonts w:ascii="仿宋" w:hAnsi="仿宋" w:eastAsia="仿宋" w:cs="仿宋"/>
                <w:color w:val="auto"/>
                <w:highlight w:val="none"/>
              </w:rPr>
            </w:pPr>
            <w:r>
              <w:rPr>
                <w:rFonts w:hint="eastAsia" w:ascii="仿宋" w:hAnsi="仿宋" w:eastAsia="仿宋" w:cs="仿宋"/>
                <w:color w:val="auto"/>
                <w:highlight w:val="none"/>
              </w:rPr>
              <w:t>2.2 质保期外：对设备提供终身优惠的技术支持及技术跟踪服务，仅按优惠收取相应的成本费，免</w:t>
            </w:r>
            <w:r>
              <w:rPr>
                <w:rFonts w:ascii="仿宋" w:hAnsi="仿宋" w:eastAsia="仿宋" w:cs="仿宋"/>
                <w:color w:val="auto"/>
                <w:highlight w:val="none"/>
              </w:rPr>
              <w:t>2</w:t>
            </w:r>
            <w:r>
              <w:rPr>
                <w:rFonts w:hint="eastAsia" w:ascii="仿宋" w:hAnsi="仿宋" w:eastAsia="仿宋" w:cs="仿宋"/>
                <w:color w:val="auto"/>
                <w:highlight w:val="none"/>
              </w:rPr>
              <w:t>年人工费、差旅费等其他一切费用；</w:t>
            </w:r>
          </w:p>
          <w:p>
            <w:pPr>
              <w:rPr>
                <w:rFonts w:ascii="仿宋" w:hAnsi="仿宋" w:eastAsia="仿宋" w:cs="仿宋"/>
                <w:color w:val="auto"/>
                <w:highlight w:val="none"/>
              </w:rPr>
            </w:pPr>
            <w:r>
              <w:rPr>
                <w:rFonts w:hint="eastAsia" w:ascii="仿宋" w:hAnsi="仿宋" w:eastAsia="仿宋" w:cs="仿宋"/>
                <w:color w:val="auto"/>
                <w:highlight w:val="none"/>
              </w:rPr>
              <w:t>2.3 成交供应商保证完成涉及设备操作软件、功能或相关程序的终身免费升级，且在接到采购人通知后在规定时间内完成；</w:t>
            </w:r>
          </w:p>
          <w:p>
            <w:pPr>
              <w:rPr>
                <w:rFonts w:ascii="仿宋" w:hAnsi="仿宋" w:eastAsia="仿宋" w:cs="仿宋"/>
                <w:color w:val="auto"/>
                <w:highlight w:val="none"/>
              </w:rPr>
            </w:pPr>
            <w:r>
              <w:rPr>
                <w:rFonts w:hint="eastAsia" w:ascii="仿宋" w:hAnsi="仿宋" w:eastAsia="仿宋" w:cs="仿宋"/>
                <w:color w:val="auto"/>
                <w:highlight w:val="none"/>
              </w:rPr>
              <w:t>3.书面验收合格后（含质保期外）发生相应问题的响应时间</w:t>
            </w:r>
          </w:p>
          <w:p>
            <w:pPr>
              <w:rPr>
                <w:rFonts w:ascii="仿宋" w:hAnsi="仿宋" w:eastAsia="仿宋" w:cs="仿宋"/>
                <w:color w:val="auto"/>
                <w:highlight w:val="none"/>
              </w:rPr>
            </w:pPr>
            <w:r>
              <w:rPr>
                <w:rFonts w:hint="eastAsia" w:ascii="仿宋" w:hAnsi="仿宋" w:eastAsia="仿宋" w:cs="仿宋"/>
                <w:color w:val="auto"/>
                <w:highlight w:val="none"/>
              </w:rPr>
              <w:t>3.1 维修响应时间：提供每周7*24h电话维修服务，电话响应时间为</w:t>
            </w:r>
            <w:r>
              <w:rPr>
                <w:rFonts w:ascii="仿宋" w:hAnsi="仿宋" w:eastAsia="仿宋" w:cs="仿宋"/>
                <w:color w:val="auto"/>
                <w:highlight w:val="none"/>
              </w:rPr>
              <w:t>1</w:t>
            </w:r>
            <w:r>
              <w:rPr>
                <w:rFonts w:hint="eastAsia" w:ascii="仿宋" w:hAnsi="仿宋" w:eastAsia="仿宋" w:cs="仿宋"/>
                <w:color w:val="auto"/>
                <w:highlight w:val="none"/>
              </w:rPr>
              <w:t>小时内；</w:t>
            </w:r>
          </w:p>
          <w:p>
            <w:pPr>
              <w:rPr>
                <w:rFonts w:ascii="仿宋" w:hAnsi="仿宋" w:eastAsia="仿宋" w:cs="仿宋"/>
                <w:color w:val="auto"/>
                <w:highlight w:val="none"/>
              </w:rPr>
            </w:pPr>
            <w:r>
              <w:rPr>
                <w:rFonts w:hint="eastAsia" w:ascii="仿宋" w:hAnsi="仿宋" w:eastAsia="仿宋" w:cs="仿宋"/>
                <w:color w:val="auto"/>
                <w:highlight w:val="none"/>
              </w:rPr>
              <w:t>3.2 上门维修响应时间：</w:t>
            </w:r>
            <w:r>
              <w:rPr>
                <w:rFonts w:ascii="仿宋" w:hAnsi="仿宋" w:eastAsia="仿宋" w:cs="仿宋"/>
                <w:color w:val="auto"/>
                <w:highlight w:val="none"/>
              </w:rPr>
              <w:t>1</w:t>
            </w:r>
            <w:r>
              <w:rPr>
                <w:rFonts w:hint="eastAsia" w:ascii="仿宋" w:hAnsi="仿宋" w:eastAsia="仿宋" w:cs="仿宋"/>
                <w:color w:val="auto"/>
                <w:highlight w:val="none"/>
              </w:rPr>
              <w:t>小时内无法依靠电话服务解决故障的在</w:t>
            </w:r>
            <w:r>
              <w:rPr>
                <w:rFonts w:ascii="仿宋" w:hAnsi="仿宋" w:eastAsia="仿宋" w:cs="仿宋"/>
                <w:color w:val="auto"/>
                <w:highlight w:val="none"/>
              </w:rPr>
              <w:t>6</w:t>
            </w:r>
            <w:r>
              <w:rPr>
                <w:rFonts w:hint="eastAsia" w:ascii="仿宋" w:hAnsi="仿宋" w:eastAsia="仿宋" w:cs="仿宋"/>
                <w:color w:val="auto"/>
                <w:highlight w:val="none"/>
              </w:rPr>
              <w:t>小时内到达采购人现场；</w:t>
            </w:r>
          </w:p>
          <w:p>
            <w:pPr>
              <w:rPr>
                <w:rFonts w:ascii="仿宋" w:hAnsi="仿宋" w:eastAsia="仿宋" w:cs="仿宋"/>
                <w:color w:val="auto"/>
                <w:highlight w:val="none"/>
              </w:rPr>
            </w:pPr>
            <w:r>
              <w:rPr>
                <w:rFonts w:hint="eastAsia" w:ascii="仿宋" w:hAnsi="仿宋" w:eastAsia="仿宋" w:cs="仿宋"/>
                <w:color w:val="auto"/>
                <w:highlight w:val="none"/>
              </w:rPr>
              <w:t>3.3 解决问题时间：不超过</w:t>
            </w:r>
            <w:r>
              <w:rPr>
                <w:rFonts w:ascii="仿宋" w:hAnsi="仿宋" w:eastAsia="仿宋" w:cs="仿宋"/>
                <w:color w:val="auto"/>
                <w:highlight w:val="none"/>
              </w:rPr>
              <w:t>3</w:t>
            </w:r>
            <w:r>
              <w:rPr>
                <w:rFonts w:hint="eastAsia" w:ascii="仿宋" w:hAnsi="仿宋" w:eastAsia="仿宋" w:cs="仿宋"/>
                <w:color w:val="auto"/>
                <w:highlight w:val="none"/>
              </w:rPr>
              <w:t>个工作日（特殊情况另行协商）；</w:t>
            </w:r>
          </w:p>
          <w:p>
            <w:pPr>
              <w:rPr>
                <w:rFonts w:hint="eastAsia" w:ascii="仿宋" w:hAnsi="仿宋" w:eastAsia="仿宋" w:cs="仿宋"/>
                <w:color w:val="auto"/>
                <w:highlight w:val="none"/>
                <w:lang w:eastAsia="zh-CN"/>
              </w:rPr>
            </w:pPr>
            <w:r>
              <w:rPr>
                <w:rFonts w:hint="eastAsia" w:ascii="仿宋" w:hAnsi="仿宋" w:eastAsia="仿宋" w:cs="仿宋"/>
                <w:color w:val="auto"/>
                <w:highlight w:val="none"/>
              </w:rPr>
              <w:t>3.4 重大问题或其它无法立刻解决的问题应在采购人要求时间内解决或提出明确的解决方案直至采购人满意（如设备返厂维修期间提供满足使用要求的备用机、退货等处理）</w:t>
            </w:r>
            <w:r>
              <w:rPr>
                <w:rFonts w:hint="eastAsia" w:ascii="仿宋" w:hAnsi="仿宋" w:eastAsia="仿宋" w:cs="仿宋"/>
                <w:color w:val="auto"/>
                <w:highlight w:val="none"/>
                <w:lang w:eastAsia="zh-CN"/>
              </w:rPr>
              <w:t>；</w:t>
            </w:r>
          </w:p>
          <w:p>
            <w:pPr>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 xml:space="preserve">4.质保期内重大活动期间提供现场保障服务每年≥5场次，重大活动前根据采购人要求安排相对固定技术人员在规定时间内进行设备检测和调试，重大活动当天安排与检测和调试相同技术人员在规定时间内到现场提供技术保障服务，所需费用包含在响应总价中。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其他技术、服务要求</w:t>
            </w:r>
          </w:p>
        </w:tc>
        <w:tc>
          <w:tcPr>
            <w:tcW w:w="6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1.技术支持：成交供应商应及时免费提供合同货物软件的升级，免费提供合同货物新功能和应用的资料；</w:t>
            </w:r>
          </w:p>
          <w:p>
            <w:pPr>
              <w:rPr>
                <w:rFonts w:ascii="仿宋" w:hAnsi="仿宋" w:eastAsia="仿宋" w:cs="仿宋"/>
                <w:color w:val="auto"/>
                <w:highlight w:val="none"/>
              </w:rPr>
            </w:pPr>
            <w:r>
              <w:rPr>
                <w:rFonts w:hint="eastAsia" w:ascii="仿宋" w:hAnsi="仿宋" w:eastAsia="仿宋" w:cs="仿宋"/>
                <w:color w:val="auto"/>
                <w:highlight w:val="none"/>
              </w:rPr>
              <w:t>2.培训</w:t>
            </w:r>
          </w:p>
          <w:p>
            <w:pPr>
              <w:rPr>
                <w:rFonts w:ascii="仿宋" w:hAnsi="仿宋" w:eastAsia="仿宋" w:cs="仿宋"/>
                <w:color w:val="auto"/>
                <w:highlight w:val="none"/>
              </w:rPr>
            </w:pPr>
            <w:r>
              <w:rPr>
                <w:rFonts w:hint="eastAsia" w:ascii="仿宋" w:hAnsi="仿宋" w:eastAsia="仿宋" w:cs="仿宋"/>
                <w:color w:val="auto"/>
                <w:highlight w:val="none"/>
              </w:rPr>
              <w:t>2.1 成交供应商应免费对采购人人员进行设备操作、保养、维修等培训，并作为验收合格的前提条件；</w:t>
            </w:r>
          </w:p>
          <w:p>
            <w:pPr>
              <w:rPr>
                <w:rFonts w:ascii="仿宋" w:hAnsi="仿宋" w:eastAsia="仿宋" w:cs="仿宋"/>
                <w:color w:val="auto"/>
                <w:highlight w:val="none"/>
              </w:rPr>
            </w:pPr>
            <w:r>
              <w:rPr>
                <w:rFonts w:hint="eastAsia" w:ascii="仿宋" w:hAnsi="仿宋" w:eastAsia="仿宋" w:cs="仿宋"/>
                <w:color w:val="auto"/>
                <w:highlight w:val="none"/>
              </w:rPr>
              <w:t>2.2 成交供应商应提供相应的培训计划。</w:t>
            </w:r>
          </w:p>
          <w:p>
            <w:pPr>
              <w:rPr>
                <w:rFonts w:ascii="仿宋" w:hAnsi="仿宋" w:eastAsia="仿宋" w:cs="仿宋"/>
                <w:color w:val="auto"/>
                <w:highlight w:val="none"/>
              </w:rPr>
            </w:pPr>
            <w:r>
              <w:rPr>
                <w:rFonts w:hint="eastAsia" w:ascii="仿宋" w:hAnsi="仿宋" w:eastAsia="仿宋" w:cs="仿宋"/>
                <w:color w:val="auto"/>
                <w:highlight w:val="none"/>
              </w:rPr>
              <w:t>3.安装调试（若需要安装调试）</w:t>
            </w:r>
          </w:p>
          <w:p>
            <w:pPr>
              <w:rPr>
                <w:rFonts w:ascii="仿宋" w:hAnsi="仿宋" w:eastAsia="仿宋" w:cs="仿宋"/>
                <w:color w:val="auto"/>
                <w:highlight w:val="none"/>
              </w:rPr>
            </w:pPr>
            <w:r>
              <w:rPr>
                <w:rFonts w:hint="eastAsia" w:ascii="仿宋" w:hAnsi="仿宋" w:eastAsia="仿宋" w:cs="仿宋"/>
                <w:color w:val="auto"/>
                <w:highlight w:val="none"/>
              </w:rPr>
              <w:t>3.1 安装地点：采购人指定地点；</w:t>
            </w:r>
          </w:p>
          <w:p>
            <w:pPr>
              <w:rPr>
                <w:rFonts w:ascii="仿宋" w:hAnsi="仿宋" w:eastAsia="仿宋" w:cs="仿宋"/>
                <w:color w:val="auto"/>
                <w:highlight w:val="none"/>
              </w:rPr>
            </w:pPr>
            <w:r>
              <w:rPr>
                <w:rFonts w:hint="eastAsia" w:ascii="仿宋" w:hAnsi="仿宋" w:eastAsia="仿宋" w:cs="仿宋"/>
                <w:color w:val="auto"/>
                <w:highlight w:val="none"/>
              </w:rPr>
              <w:t>3.2 安装完成时间：由成交供应商自行把控在规定的时间内完成安装和调试；</w:t>
            </w:r>
          </w:p>
          <w:p>
            <w:pPr>
              <w:rPr>
                <w:rFonts w:ascii="仿宋" w:hAnsi="仿宋" w:eastAsia="仿宋" w:cs="仿宋"/>
                <w:color w:val="auto"/>
                <w:highlight w:val="none"/>
              </w:rPr>
            </w:pPr>
            <w:r>
              <w:rPr>
                <w:rFonts w:hint="eastAsia" w:ascii="仿宋" w:hAnsi="仿宋" w:eastAsia="仿宋" w:cs="仿宋"/>
                <w:color w:val="auto"/>
                <w:highlight w:val="none"/>
              </w:rPr>
              <w:t>3.3 如成交供应商委托国内代理（或其他机构）负责安装或配合安装应在签约时指明，相应的合同责任由成交供应商承担；</w:t>
            </w:r>
          </w:p>
          <w:p>
            <w:pPr>
              <w:rPr>
                <w:rFonts w:ascii="仿宋" w:hAnsi="仿宋" w:eastAsia="仿宋" w:cs="仿宋"/>
                <w:color w:val="auto"/>
                <w:highlight w:val="none"/>
              </w:rPr>
            </w:pPr>
            <w:r>
              <w:rPr>
                <w:rFonts w:hint="eastAsia" w:ascii="仿宋" w:hAnsi="仿宋" w:eastAsia="仿宋" w:cs="仿宋"/>
                <w:color w:val="auto"/>
                <w:highlight w:val="none"/>
              </w:rPr>
              <w:t>3.4 安装标准：符合合同约定及我国国家有关技术规范要求和技术标准，所有的软件和硬件必须保证同时安装到位；</w:t>
            </w:r>
          </w:p>
          <w:p>
            <w:pPr>
              <w:rPr>
                <w:rFonts w:ascii="仿宋" w:hAnsi="仿宋" w:eastAsia="仿宋" w:cs="仿宋"/>
                <w:color w:val="auto"/>
                <w:highlight w:val="none"/>
              </w:rPr>
            </w:pPr>
            <w:r>
              <w:rPr>
                <w:rFonts w:hint="eastAsia" w:ascii="仿宋" w:hAnsi="仿宋" w:eastAsia="仿宋" w:cs="仿宋"/>
                <w:color w:val="auto"/>
                <w:highlight w:val="none"/>
              </w:rPr>
              <w:t>4.供货时提供有关的全套技术文件（如产品说明书、参数标准、质量保证书、保修证明、操作维修保养说明、相关配套使用手册等）；</w:t>
            </w:r>
          </w:p>
          <w:p>
            <w:pPr>
              <w:rPr>
                <w:rFonts w:ascii="仿宋" w:hAnsi="仿宋" w:eastAsia="仿宋" w:cs="仿宋"/>
                <w:color w:val="auto"/>
                <w:szCs w:val="21"/>
                <w:highlight w:val="none"/>
              </w:rPr>
            </w:pPr>
            <w:r>
              <w:rPr>
                <w:rFonts w:hint="eastAsia" w:ascii="仿宋" w:hAnsi="仿宋" w:eastAsia="仿宋" w:cs="仿宋"/>
                <w:color w:val="auto"/>
                <w:highlight w:val="none"/>
              </w:rPr>
              <w:t>5.保证所提供的货物或与该货物有关的一切权利均不会侵犯任何第三方的知识产权。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验收标准</w:t>
            </w:r>
          </w:p>
        </w:tc>
        <w:tc>
          <w:tcPr>
            <w:tcW w:w="696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1.验收由成交供应商安装调试并提示后由采购人组织实施；</w:t>
            </w:r>
          </w:p>
          <w:p>
            <w:pPr>
              <w:rPr>
                <w:rFonts w:ascii="仿宋" w:hAnsi="仿宋" w:eastAsia="仿宋" w:cs="仿宋"/>
                <w:color w:val="auto"/>
                <w:highlight w:val="none"/>
              </w:rPr>
            </w:pPr>
            <w:r>
              <w:rPr>
                <w:rFonts w:hint="eastAsia" w:ascii="仿宋" w:hAnsi="仿宋" w:eastAsia="仿宋" w:cs="仿宋"/>
                <w:color w:val="auto"/>
                <w:highlight w:val="none"/>
              </w:rPr>
              <w:t>2.验收依据</w:t>
            </w:r>
          </w:p>
          <w:p>
            <w:pPr>
              <w:rPr>
                <w:rFonts w:ascii="仿宋" w:hAnsi="仿宋" w:eastAsia="仿宋" w:cs="仿宋"/>
                <w:color w:val="auto"/>
                <w:highlight w:val="none"/>
              </w:rPr>
            </w:pPr>
            <w:r>
              <w:rPr>
                <w:rFonts w:hint="eastAsia" w:ascii="仿宋" w:hAnsi="仿宋" w:eastAsia="仿宋" w:cs="仿宋"/>
                <w:color w:val="auto"/>
                <w:highlight w:val="none"/>
              </w:rPr>
              <w:t>2.1 合同、磋商文件、响应文件；</w:t>
            </w:r>
          </w:p>
          <w:p>
            <w:pPr>
              <w:rPr>
                <w:rFonts w:ascii="仿宋" w:hAnsi="仿宋" w:eastAsia="仿宋" w:cs="仿宋"/>
                <w:color w:val="auto"/>
                <w:highlight w:val="none"/>
              </w:rPr>
            </w:pPr>
            <w:r>
              <w:rPr>
                <w:rFonts w:hint="eastAsia" w:ascii="仿宋" w:hAnsi="仿宋" w:eastAsia="仿宋" w:cs="仿宋"/>
                <w:color w:val="auto"/>
                <w:highlight w:val="none"/>
              </w:rPr>
              <w:t>2.2 成交供应商提供的技术规格、参数标准、经采购人认可的合同货物的有效检验文件；</w:t>
            </w:r>
          </w:p>
          <w:p>
            <w:pPr>
              <w:rPr>
                <w:rFonts w:ascii="仿宋" w:hAnsi="仿宋" w:eastAsia="仿宋" w:cs="仿宋"/>
                <w:color w:val="auto"/>
                <w:highlight w:val="none"/>
              </w:rPr>
            </w:pPr>
            <w:r>
              <w:rPr>
                <w:rFonts w:hint="eastAsia" w:ascii="仿宋" w:hAnsi="仿宋" w:eastAsia="仿宋" w:cs="仿宋"/>
                <w:color w:val="auto"/>
                <w:highlight w:val="none"/>
              </w:rPr>
              <w:t>2.3 成交供应商响应文件中提供的经采购人认可的合同货物的验收标准（符合中国有关的国家、地方、行业标准）和检测办法及相应检测手段。</w:t>
            </w:r>
          </w:p>
          <w:p>
            <w:pPr>
              <w:rPr>
                <w:rFonts w:ascii="仿宋" w:hAnsi="仿宋" w:eastAsia="仿宋" w:cs="仿宋"/>
                <w:color w:val="auto"/>
                <w:highlight w:val="none"/>
              </w:rPr>
            </w:pPr>
            <w:r>
              <w:rPr>
                <w:rFonts w:hint="eastAsia" w:ascii="仿宋" w:hAnsi="仿宋" w:eastAsia="仿宋" w:cs="仿宋"/>
                <w:color w:val="auto"/>
                <w:highlight w:val="none"/>
              </w:rPr>
              <w:t>3.成交供应商应派员在所供货物到采购人指定地点时进行到货初步验收，有需要时能联系产品制造商到场共同验收，若发现任何损坏及质量问题，成交供应商负责妥善处理直至采购人满意，由此产生的费用由成交供应商承担；</w:t>
            </w:r>
          </w:p>
          <w:p>
            <w:pPr>
              <w:rPr>
                <w:rFonts w:ascii="仿宋" w:hAnsi="仿宋" w:eastAsia="仿宋" w:cs="仿宋"/>
                <w:color w:val="auto"/>
                <w:highlight w:val="none"/>
              </w:rPr>
            </w:pPr>
            <w:r>
              <w:rPr>
                <w:rFonts w:hint="eastAsia" w:ascii="仿宋" w:hAnsi="仿宋" w:eastAsia="仿宋" w:cs="仿宋"/>
                <w:color w:val="auto"/>
                <w:highlight w:val="none"/>
              </w:rPr>
              <w:t>4.书面验收合格的条件</w:t>
            </w:r>
          </w:p>
          <w:p>
            <w:pPr>
              <w:rPr>
                <w:rFonts w:ascii="仿宋" w:hAnsi="仿宋" w:eastAsia="仿宋" w:cs="仿宋"/>
                <w:color w:val="auto"/>
                <w:highlight w:val="none"/>
              </w:rPr>
            </w:pPr>
            <w:r>
              <w:rPr>
                <w:rFonts w:hint="eastAsia" w:ascii="仿宋" w:hAnsi="仿宋" w:eastAsia="仿宋" w:cs="仿宋"/>
                <w:color w:val="auto"/>
                <w:highlight w:val="none"/>
              </w:rPr>
              <w:t>4.1 所供货物符合产品标准和磋商文件及合同的要求；</w:t>
            </w:r>
          </w:p>
          <w:p>
            <w:pPr>
              <w:rPr>
                <w:rFonts w:ascii="仿宋" w:hAnsi="仿宋" w:eastAsia="仿宋" w:cs="仿宋"/>
                <w:color w:val="auto"/>
                <w:highlight w:val="none"/>
              </w:rPr>
            </w:pPr>
            <w:r>
              <w:rPr>
                <w:rFonts w:hint="eastAsia" w:ascii="仿宋" w:hAnsi="仿宋" w:eastAsia="仿宋" w:cs="仿宋"/>
                <w:color w:val="auto"/>
                <w:highlight w:val="none"/>
              </w:rPr>
              <w:t>4.2 在进行测试和验收过程中发现的问题已被解决并得到采购人的认可；</w:t>
            </w:r>
          </w:p>
          <w:p>
            <w:pPr>
              <w:rPr>
                <w:rFonts w:ascii="仿宋" w:hAnsi="仿宋" w:eastAsia="仿宋" w:cs="仿宋"/>
                <w:color w:val="auto"/>
                <w:highlight w:val="none"/>
              </w:rPr>
            </w:pPr>
            <w:r>
              <w:rPr>
                <w:rFonts w:hint="eastAsia" w:ascii="仿宋" w:hAnsi="仿宋" w:eastAsia="仿宋" w:cs="仿宋"/>
                <w:color w:val="auto"/>
                <w:highlight w:val="none"/>
              </w:rPr>
              <w:t>4.3 合同中规定的所有货物和材料均已交付；</w:t>
            </w:r>
          </w:p>
          <w:p>
            <w:pPr>
              <w:rPr>
                <w:rFonts w:ascii="仿宋" w:hAnsi="仿宋" w:eastAsia="仿宋" w:cs="仿宋"/>
                <w:color w:val="auto"/>
                <w:highlight w:val="none"/>
              </w:rPr>
            </w:pPr>
            <w:r>
              <w:rPr>
                <w:rFonts w:hint="eastAsia" w:ascii="仿宋" w:hAnsi="仿宋" w:eastAsia="仿宋" w:cs="仿宋"/>
                <w:color w:val="auto"/>
                <w:highlight w:val="none"/>
              </w:rPr>
              <w:t>4.4 所供货物已通过使用单位组织的验收；</w:t>
            </w:r>
          </w:p>
          <w:p>
            <w:pPr>
              <w:rPr>
                <w:rFonts w:ascii="仿宋" w:hAnsi="仿宋" w:eastAsia="仿宋" w:cs="仿宋"/>
                <w:color w:val="auto"/>
                <w:highlight w:val="none"/>
              </w:rPr>
            </w:pPr>
            <w:r>
              <w:rPr>
                <w:rFonts w:hint="eastAsia" w:ascii="仿宋" w:hAnsi="仿宋" w:eastAsia="仿宋" w:cs="仿宋"/>
                <w:color w:val="auto"/>
                <w:highlight w:val="none"/>
              </w:rPr>
              <w:t>4.5 所有相关的技术文件及资料均已提交并得到接受；</w:t>
            </w:r>
          </w:p>
          <w:p>
            <w:pPr>
              <w:rPr>
                <w:rFonts w:ascii="仿宋" w:hAnsi="仿宋" w:eastAsia="仿宋" w:cs="仿宋"/>
                <w:color w:val="auto"/>
                <w:highlight w:val="none"/>
              </w:rPr>
            </w:pPr>
            <w:r>
              <w:rPr>
                <w:rFonts w:hint="eastAsia" w:ascii="仿宋" w:hAnsi="仿宋" w:eastAsia="仿宋" w:cs="仿宋"/>
                <w:color w:val="auto"/>
                <w:highlight w:val="none"/>
              </w:rPr>
              <w:t>4.6 成交供应商已完成对采购人人员的设备操作、保养、维修等培训。</w:t>
            </w:r>
          </w:p>
          <w:p>
            <w:pPr>
              <w:rPr>
                <w:rFonts w:ascii="仿宋" w:hAnsi="仿宋" w:eastAsia="仿宋" w:cs="仿宋"/>
                <w:color w:val="auto"/>
                <w:highlight w:val="none"/>
              </w:rPr>
            </w:pPr>
            <w:r>
              <w:rPr>
                <w:rFonts w:hint="eastAsia" w:ascii="仿宋" w:hAnsi="仿宋" w:eastAsia="仿宋" w:cs="仿宋"/>
                <w:color w:val="auto"/>
                <w:highlight w:val="none"/>
              </w:rPr>
              <w:t>5.验收结论</w:t>
            </w:r>
          </w:p>
          <w:p>
            <w:pPr>
              <w:rPr>
                <w:rFonts w:ascii="仿宋" w:hAnsi="仿宋" w:eastAsia="仿宋" w:cs="仿宋"/>
                <w:color w:val="auto"/>
                <w:szCs w:val="21"/>
                <w:highlight w:val="none"/>
              </w:rPr>
            </w:pPr>
            <w:r>
              <w:rPr>
                <w:rFonts w:hint="eastAsia" w:ascii="仿宋" w:hAnsi="仿宋" w:eastAsia="仿宋" w:cs="仿宋"/>
                <w:color w:val="auto"/>
                <w:highlight w:val="none"/>
              </w:rPr>
              <w:t>采购人的验收结论，仅（排他任何形式）以采购人书面盖章确定的验收证明为准。</w:t>
            </w:r>
          </w:p>
        </w:tc>
      </w:tr>
    </w:tbl>
    <w:p>
      <w:pPr>
        <w:adjustRightInd w:val="0"/>
        <w:snapToGrid w:val="0"/>
        <w:spacing w:line="288" w:lineRule="auto"/>
        <w:rPr>
          <w:rFonts w:ascii="仿宋" w:hAnsi="仿宋" w:eastAsia="仿宋" w:cs="仿宋"/>
          <w:b/>
          <w:color w:val="auto"/>
          <w:szCs w:val="21"/>
          <w:highlight w:val="none"/>
        </w:rPr>
      </w:pPr>
    </w:p>
    <w:p>
      <w:pPr>
        <w:adjustRightInd w:val="0"/>
        <w:snapToGrid w:val="0"/>
        <w:spacing w:line="288" w:lineRule="auto"/>
        <w:outlineLvl w:val="1"/>
        <w:rPr>
          <w:rFonts w:ascii="仿宋" w:hAnsi="仿宋" w:eastAsia="仿宋" w:cs="仿宋"/>
          <w:color w:val="auto"/>
          <w:szCs w:val="21"/>
          <w:highlight w:val="none"/>
        </w:rPr>
      </w:pPr>
      <w:r>
        <w:rPr>
          <w:rFonts w:hint="eastAsia" w:ascii="仿宋" w:hAnsi="仿宋" w:eastAsia="仿宋" w:cs="仿宋"/>
          <w:b/>
          <w:color w:val="auto"/>
          <w:szCs w:val="21"/>
          <w:highlight w:val="none"/>
        </w:rPr>
        <w:t>四、技术要求</w:t>
      </w:r>
      <w:bookmarkStart w:id="28" w:name="_Hlk45005556"/>
    </w:p>
    <w:bookmarkEnd w:id="28"/>
    <w:p>
      <w:pPr>
        <w:adjustRightInd w:val="0"/>
        <w:snapToGrid w:val="0"/>
        <w:spacing w:line="288" w:lineRule="auto"/>
        <w:ind w:firstLine="422" w:firstLineChars="200"/>
        <w:rPr>
          <w:rFonts w:ascii="仿宋" w:hAnsi="仿宋" w:eastAsia="仿宋" w:cs="仿宋"/>
          <w:color w:val="auto"/>
          <w:szCs w:val="21"/>
          <w:highlight w:val="none"/>
        </w:rPr>
      </w:pPr>
      <w:bookmarkStart w:id="29" w:name="_Hlk92271413"/>
      <w:r>
        <w:rPr>
          <w:rFonts w:hint="eastAsia" w:ascii="仿宋" w:hAnsi="仿宋" w:eastAsia="仿宋" w:cs="仿宋"/>
          <w:b/>
          <w:bCs/>
          <w:color w:val="auto"/>
          <w:szCs w:val="21"/>
          <w:highlight w:val="none"/>
        </w:rPr>
        <w:t>1.需执行的国家相关标准、行业标准、地方标准或者其他标准、规范：</w:t>
      </w:r>
      <w:r>
        <w:rPr>
          <w:rFonts w:hint="eastAsia" w:ascii="仿宋" w:hAnsi="仿宋" w:eastAsia="仿宋" w:cs="仿宋"/>
          <w:color w:val="auto"/>
          <w:szCs w:val="21"/>
          <w:highlight w:val="none"/>
        </w:rPr>
        <w:t>有强制性标准的执行国家强制性标准，无的统一执行最新相关标准、规范；</w:t>
      </w:r>
    </w:p>
    <w:bookmarkEnd w:id="29"/>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2.需实现的功能或者目标：</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highlight w:val="none"/>
        </w:rPr>
        <w:t>▲</w:t>
      </w:r>
      <w:r>
        <w:rPr>
          <w:rFonts w:hint="eastAsia" w:ascii="仿宋" w:hAnsi="仿宋" w:eastAsia="仿宋" w:cs="仿宋"/>
          <w:color w:val="auto"/>
          <w:szCs w:val="21"/>
          <w:highlight w:val="none"/>
        </w:rPr>
        <w:t>2.1 “交钥匙”项目，采购人在磋商文件中未列明的项目所需辅材后续将不再单独支付费用，磋商文件未提及但完备项目建设所需的其它产品和改造内容均由成交供应商免费提供并提供同等质保服务；</w:t>
      </w:r>
    </w:p>
    <w:p>
      <w:pPr>
        <w:adjustRightInd w:val="0"/>
        <w:snapToGrid w:val="0"/>
        <w:spacing w:line="288" w:lineRule="auto"/>
        <w:ind w:firstLine="420" w:firstLineChars="200"/>
        <w:rPr>
          <w:rFonts w:ascii="仿宋" w:hAnsi="仿宋" w:eastAsia="仿宋" w:cs="仿宋"/>
          <w:b/>
          <w:bCs/>
          <w:color w:val="auto"/>
          <w:szCs w:val="21"/>
          <w:highlight w:val="none"/>
        </w:rPr>
      </w:pPr>
      <w:r>
        <w:rPr>
          <w:rFonts w:hint="eastAsia" w:ascii="仿宋" w:hAnsi="仿宋" w:eastAsia="仿宋" w:cs="仿宋"/>
          <w:color w:val="auto"/>
          <w:highlight w:val="none"/>
        </w:rPr>
        <w:t>▲</w:t>
      </w:r>
      <w:r>
        <w:rPr>
          <w:rFonts w:hint="eastAsia" w:ascii="仿宋" w:hAnsi="仿宋" w:eastAsia="仿宋" w:cs="仿宋"/>
          <w:color w:val="auto"/>
          <w:szCs w:val="21"/>
          <w:highlight w:val="none"/>
        </w:rPr>
        <w:t>2.2 设计（展柜、视频、互动多媒体影片、氛围、标识标语等）方案经采购人确认通过后方可实施</w:t>
      </w:r>
      <w:r>
        <w:rPr>
          <w:rFonts w:hint="eastAsia" w:ascii="仿宋" w:hAnsi="仿宋" w:eastAsia="仿宋" w:cs="仿宋"/>
          <w:color w:val="auto"/>
          <w:szCs w:val="21"/>
          <w:highlight w:val="none"/>
          <w:lang w:eastAsia="zh-CN"/>
        </w:rPr>
        <w:t>，</w:t>
      </w:r>
      <w:r>
        <w:rPr>
          <w:rFonts w:hint="eastAsia" w:ascii="仿宋" w:hAnsi="仿宋" w:eastAsia="仿宋" w:cs="仿宋"/>
          <w:color w:val="auto"/>
          <w:highlight w:val="none"/>
          <w:lang w:val="en-US" w:eastAsia="zh-CN"/>
        </w:rPr>
        <w:t>所需费用包含在响应总价中</w:t>
      </w:r>
      <w:r>
        <w:rPr>
          <w:rFonts w:hint="eastAsia" w:ascii="仿宋" w:hAnsi="仿宋" w:eastAsia="仿宋" w:cs="仿宋"/>
          <w:color w:val="auto"/>
          <w:szCs w:val="21"/>
          <w:highlight w:val="none"/>
        </w:rPr>
        <w:t>。</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3.需满足的质量、安全、技术规格、物理特性等要求：</w:t>
      </w:r>
    </w:p>
    <w:tbl>
      <w:tblPr>
        <w:tblStyle w:val="2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477"/>
        <w:gridCol w:w="684"/>
        <w:gridCol w:w="717"/>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47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684"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71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单位</w:t>
            </w:r>
          </w:p>
        </w:tc>
        <w:tc>
          <w:tcPr>
            <w:tcW w:w="50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LED大屏形象墙</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16</w:t>
            </w:r>
          </w:p>
        </w:tc>
        <w:tc>
          <w:tcPr>
            <w:tcW w:w="717"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b w:val="0"/>
                <w:bCs w:val="0"/>
                <w:color w:val="auto"/>
                <w:szCs w:val="21"/>
                <w:highlight w:val="none"/>
                <w:lang w:val="en-US" w:eastAsia="zh-CN"/>
              </w:rPr>
              <w:t>平米</w:t>
            </w:r>
          </w:p>
        </w:tc>
        <w:tc>
          <w:tcPr>
            <w:tcW w:w="5080" w:type="dxa"/>
            <w:vAlign w:val="center"/>
          </w:tcPr>
          <w:p>
            <w:pPr>
              <w:jc w:val="both"/>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1.包括</w:t>
            </w:r>
            <w:r>
              <w:rPr>
                <w:rFonts w:hint="eastAsia" w:ascii="仿宋" w:hAnsi="仿宋" w:eastAsia="仿宋" w:cs="仿宋"/>
                <w:b w:val="0"/>
                <w:bCs w:val="0"/>
                <w:color w:val="auto"/>
                <w:szCs w:val="21"/>
                <w:highlight w:val="none"/>
              </w:rPr>
              <w:t>整体框架及装饰烤漆铝板的制作及安装，含与顶地墙面的收口</w:t>
            </w:r>
            <w:r>
              <w:rPr>
                <w:rFonts w:hint="eastAsia" w:ascii="仿宋" w:hAnsi="仿宋" w:eastAsia="仿宋" w:cs="仿宋"/>
                <w:b w:val="0"/>
                <w:bCs w:val="0"/>
                <w:color w:val="auto"/>
                <w:szCs w:val="21"/>
                <w:highlight w:val="none"/>
                <w:lang w:eastAsia="zh-CN"/>
              </w:rPr>
              <w:t>；</w:t>
            </w:r>
          </w:p>
          <w:p>
            <w:pPr>
              <w:jc w:val="both"/>
              <w:rPr>
                <w:rFonts w:hint="eastAsia" w:ascii="仿宋" w:hAnsi="仿宋" w:eastAsia="仿宋" w:cs="仿宋"/>
                <w:color w:val="auto"/>
                <w:szCs w:val="21"/>
                <w:highlight w:val="none"/>
                <w:lang w:val="en-US" w:eastAsia="zh-CN"/>
              </w:rPr>
            </w:pPr>
            <w:r>
              <w:rPr>
                <w:rFonts w:hint="eastAsia" w:ascii="仿宋" w:hAnsi="仿宋" w:eastAsia="仿宋" w:cs="仿宋"/>
                <w:b w:val="0"/>
                <w:bCs w:val="0"/>
                <w:color w:val="auto"/>
                <w:szCs w:val="21"/>
                <w:highlight w:val="none"/>
                <w:lang w:val="en-US" w:eastAsia="zh-CN"/>
              </w:rPr>
              <w:t>2.</w:t>
            </w:r>
            <w:r>
              <w:rPr>
                <w:rFonts w:hint="eastAsia" w:ascii="仿宋" w:hAnsi="仿宋" w:eastAsia="仿宋" w:cs="仿宋"/>
                <w:b w:val="0"/>
                <w:bCs w:val="0"/>
                <w:color w:val="auto"/>
                <w:szCs w:val="21"/>
                <w:highlight w:val="none"/>
              </w:rPr>
              <w:t>铝板</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2.5mm</w:t>
            </w:r>
            <w:r>
              <w:rPr>
                <w:rFonts w:hint="eastAsia" w:ascii="仿宋" w:hAnsi="仿宋" w:eastAsia="仿宋" w:cs="仿宋"/>
                <w:b w:val="0"/>
                <w:bCs w:val="0"/>
                <w:color w:val="auto"/>
                <w:szCs w:val="21"/>
                <w:highlight w:val="none"/>
                <w:lang w:val="en-US" w:eastAsia="zh-CN"/>
              </w:rPr>
              <w:t>厚</w:t>
            </w:r>
            <w:r>
              <w:rPr>
                <w:rFonts w:hint="eastAsia" w:ascii="仿宋" w:hAnsi="仿宋" w:eastAsia="仿宋" w:cs="仿宋"/>
                <w:b w:val="0"/>
                <w:bCs w:val="0"/>
                <w:color w:val="auto"/>
                <w:szCs w:val="21"/>
                <w:highlight w:val="none"/>
              </w:rPr>
              <w:t>，金属烤漆工艺</w:t>
            </w:r>
            <w:r>
              <w:rPr>
                <w:rFonts w:hint="eastAsia" w:ascii="仿宋" w:hAnsi="仿宋" w:eastAsia="仿宋" w:cs="仿宋"/>
                <w:b w:val="0"/>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前台</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规格：180*70*90cm</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1.木质烤漆工艺；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2.与大厅两侧展墙统一造型和风格进行设计深化造型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算力技术发展史定制</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展柜</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59</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平米</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1.一体式展柜形式，整体造型设计，一级标题为发光字、二级标题为立体字，展示内容为综合材料制作，有造型基础设计及灯光设计重点资料装裱上墙；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2.展示内容见附件1；</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3.在图纸所示展墙尺寸范围内深化展柜造型及具体展项，基于提供的资料深化提升展项内容，陈列展具设计、照明设计等内容并进行落地制作；</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4.各展项空间排布比例均衡，可脉络清晰的展示算力计算发展的历史；</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5.展柜可采用3D打印，金属、亚克力、灯带、木板、磁吸材料等综合材料，整体厚度≥80cm，自带灯光效果，灯光明亮并突出重点内容，风格现代、大气、明亮；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6.展项内容有重点、亮点、美感与科技感；</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7.在布局和材料使用上充分考虑今后展陈局部调整、内容更换或更新改造的相关需求。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新型算力中心总体情况</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定制展柜</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88</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平米</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1.一体式展柜形式，整体造型设计，一级标题为发光字、二级标题为立体字，展示内容为综合材料制作，有造型基础设计及灯光设计重点资料装裱上墙；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2.展示内容见附件2；</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3.在图纸所示展墙尺寸范围内深化展柜造型及具体展项，基于提供的资料深化提升展项内容，陈列展具设计、照明设计等内容并进行落地制作；</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4.各展项空间排布比例均衡，可脉络清晰的展示算力计算发展的历史；</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5.展柜可采用3D打印，金属、亚克力、灯带、木板、磁吸材料等综合材料，整体厚度≥80cm，具有环境装饰效果，自带灯光照明，灯光明亮并突出重点内容，风格现代、大气、明亮；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6.展项内容有重点、亮点、美感与科技感；</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7.在布局和材料使用上充分考虑今后展陈局部调整、内容更换或更新改造的相关需求；</w:t>
            </w:r>
          </w:p>
          <w:p>
            <w:pPr>
              <w:rPr>
                <w:rFonts w:ascii="仿宋" w:hAnsi="仿宋" w:eastAsia="仿宋" w:cs="仿宋"/>
                <w:color w:val="auto"/>
                <w:szCs w:val="21"/>
                <w:highlight w:val="none"/>
              </w:rPr>
            </w:pPr>
            <w:r>
              <w:rPr>
                <w:rFonts w:hint="eastAsia" w:ascii="仿宋" w:hAnsi="仿宋" w:eastAsia="仿宋" w:cs="仿宋"/>
                <w:color w:val="auto"/>
                <w:szCs w:val="21"/>
                <w:highlight w:val="none"/>
              </w:rPr>
              <w:t>8.展柜内展陈内容更换达到低成本、便捷性的要求。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万卡智算集群定制展柜</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1.规格900*15*275cm展柜*4；</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2.一体式展柜形式，整体造型设计，一级标题为发光字、二级标题为立体字，展示内容为综合材料制作，有造型基础设计及灯光设计重点资料装裱上墙；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3.展示内容见附件3；</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w:t>
            </w:r>
            <w:r>
              <w:rPr>
                <w:rFonts w:ascii="仿宋" w:hAnsi="仿宋" w:eastAsia="仿宋" w:cs="仿宋"/>
                <w:color w:val="auto"/>
                <w:szCs w:val="21"/>
                <w:highlight w:val="none"/>
              </w:rPr>
              <w:t>在图纸所示展墙尺寸范围内深化</w:t>
            </w:r>
            <w:r>
              <w:rPr>
                <w:rFonts w:hint="eastAsia" w:ascii="仿宋" w:hAnsi="仿宋" w:eastAsia="仿宋" w:cs="仿宋"/>
                <w:color w:val="auto"/>
                <w:szCs w:val="21"/>
                <w:highlight w:val="none"/>
              </w:rPr>
              <w:t>展柜</w:t>
            </w:r>
            <w:r>
              <w:rPr>
                <w:rFonts w:ascii="仿宋" w:hAnsi="仿宋" w:eastAsia="仿宋" w:cs="仿宋"/>
                <w:color w:val="auto"/>
                <w:szCs w:val="21"/>
                <w:highlight w:val="none"/>
              </w:rPr>
              <w:t>造型及具体展项，基于提供的资料深化提升展项内容并进行落地制作</w:t>
            </w:r>
            <w:r>
              <w:rPr>
                <w:rFonts w:hint="eastAsia" w:ascii="仿宋" w:hAnsi="仿宋" w:eastAsia="仿宋" w:cs="仿宋"/>
                <w:color w:val="auto"/>
                <w:szCs w:val="21"/>
                <w:highlight w:val="none"/>
              </w:rPr>
              <w:t>；</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w:t>
            </w:r>
            <w:r>
              <w:rPr>
                <w:rFonts w:ascii="仿宋" w:hAnsi="仿宋" w:eastAsia="仿宋" w:cs="仿宋"/>
                <w:color w:val="auto"/>
                <w:szCs w:val="21"/>
                <w:highlight w:val="none"/>
              </w:rPr>
              <w:t>展陈可用面为四组玻璃窗，展柜遮挡玻璃面积不可超过50%，不可使用多媒体设备</w:t>
            </w:r>
            <w:r>
              <w:rPr>
                <w:rFonts w:hint="eastAsia" w:ascii="仿宋" w:hAnsi="仿宋" w:eastAsia="仿宋" w:cs="仿宋"/>
                <w:color w:val="auto"/>
                <w:szCs w:val="21"/>
                <w:highlight w:val="none"/>
              </w:rPr>
              <w:t>、</w:t>
            </w:r>
            <w:r>
              <w:rPr>
                <w:rFonts w:ascii="仿宋" w:hAnsi="仿宋" w:eastAsia="仿宋" w:cs="仿宋"/>
                <w:color w:val="auto"/>
                <w:szCs w:val="21"/>
                <w:highlight w:val="none"/>
              </w:rPr>
              <w:t>不可破坏和影响原有玻璃窗结构牢度和封闭性</w:t>
            </w:r>
            <w:r>
              <w:rPr>
                <w:rFonts w:hint="eastAsia" w:ascii="仿宋" w:hAnsi="仿宋" w:eastAsia="仿宋" w:cs="仿宋"/>
                <w:color w:val="auto"/>
                <w:szCs w:val="21"/>
                <w:highlight w:val="none"/>
              </w:rPr>
              <w:t>；</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w:t>
            </w:r>
            <w:r>
              <w:rPr>
                <w:rFonts w:ascii="仿宋" w:hAnsi="仿宋" w:eastAsia="仿宋" w:cs="仿宋"/>
                <w:color w:val="auto"/>
                <w:szCs w:val="21"/>
                <w:highlight w:val="none"/>
              </w:rPr>
              <w:t>展柜可采用3D打印，金属、亚克力、灯带、木板、磁吸材料等综合材料，具有环境装饰效果，造型设计具有创意并突出重点内容</w:t>
            </w:r>
            <w:r>
              <w:rPr>
                <w:rFonts w:hint="eastAsia" w:ascii="仿宋" w:hAnsi="仿宋" w:eastAsia="仿宋" w:cs="仿宋"/>
                <w:color w:val="auto"/>
                <w:szCs w:val="21"/>
                <w:highlight w:val="none"/>
              </w:rPr>
              <w:t>，</w:t>
            </w:r>
            <w:r>
              <w:rPr>
                <w:rFonts w:ascii="仿宋" w:hAnsi="仿宋" w:eastAsia="仿宋" w:cs="仿宋"/>
                <w:color w:val="auto"/>
                <w:szCs w:val="21"/>
                <w:highlight w:val="none"/>
              </w:rPr>
              <w:t>风格现代、大气、明亮</w:t>
            </w:r>
            <w:r>
              <w:rPr>
                <w:rFonts w:hint="eastAsia" w:ascii="仿宋" w:hAnsi="仿宋" w:eastAsia="仿宋" w:cs="仿宋"/>
                <w:color w:val="auto"/>
                <w:szCs w:val="21"/>
                <w:highlight w:val="none"/>
              </w:rPr>
              <w:t>；</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w:t>
            </w:r>
            <w:r>
              <w:rPr>
                <w:rFonts w:ascii="仿宋" w:hAnsi="仿宋" w:eastAsia="仿宋" w:cs="仿宋"/>
                <w:color w:val="auto"/>
                <w:szCs w:val="21"/>
                <w:highlight w:val="none"/>
              </w:rPr>
              <w:t>展项内容有重点、亮点、美感与科技感</w:t>
            </w:r>
            <w:r>
              <w:rPr>
                <w:rFonts w:hint="eastAsia" w:ascii="仿宋" w:hAnsi="仿宋" w:eastAsia="仿宋" w:cs="仿宋"/>
                <w:color w:val="auto"/>
                <w:szCs w:val="21"/>
                <w:highlight w:val="none"/>
              </w:rPr>
              <w:t>；</w:t>
            </w:r>
          </w:p>
          <w:p>
            <w:pPr>
              <w:rPr>
                <w:rFonts w:ascii="仿宋" w:hAnsi="仿宋" w:eastAsia="仿宋" w:cs="仿宋"/>
                <w:color w:val="auto"/>
                <w:szCs w:val="21"/>
                <w:highlight w:val="none"/>
              </w:rPr>
            </w:pPr>
            <w:r>
              <w:rPr>
                <w:rFonts w:hint="eastAsia" w:ascii="仿宋" w:hAnsi="仿宋" w:eastAsia="仿宋" w:cs="仿宋"/>
                <w:color w:val="auto"/>
                <w:szCs w:val="21"/>
                <w:highlight w:val="none"/>
              </w:rPr>
              <w:t>8.</w:t>
            </w:r>
            <w:r>
              <w:rPr>
                <w:rFonts w:ascii="仿宋" w:hAnsi="仿宋" w:eastAsia="仿宋" w:cs="仿宋"/>
                <w:color w:val="auto"/>
                <w:szCs w:val="21"/>
                <w:highlight w:val="none"/>
              </w:rPr>
              <w:t>展陈内容深化清晰明了、逻辑性强的介绍各万卡集群的特性和技术</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走廊科学家介绍</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1.画框或文化墙制作，金属、实木、亚克力等综合材料；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2.在万卡智算集群对面墙面展示和介绍世界上对算力发展贡献巨大的十位科学家。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高效能计算系统定制</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展柜</w:t>
            </w:r>
            <w:r>
              <w:rPr>
                <w:rFonts w:hint="eastAsia" w:ascii="仿宋" w:hAnsi="仿宋" w:eastAsia="仿宋" w:cs="仿宋"/>
                <w:b/>
                <w:bCs/>
                <w:color w:val="auto"/>
                <w:szCs w:val="21"/>
                <w:highlight w:val="none"/>
              </w:rPr>
              <w:t>（核心产品）</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1.规格2420*15*259cm展柜*1；</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2.一体式展柜形式，整体造型设计，一级标题为发光字、二级标题为立体字，展示内容为综合材料制作，有造型基础设计及灯光设计重点资料装裱上墙；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3.展示内容见附件4；</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4.在图纸所示展墙尺寸范围内深化展柜造型及具体展项，基于提供的资料深化提升展项内容并进行落地制作；</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5.展柜可采用金属、亚克力、灯带、木板、磁吸材料等综合材料，具有环境装饰效果，造型设计具有创意并突出重点内容，风格现代、大气、明亮；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6.展项内容有重点、亮点、美感与科技感；</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7.展陈内容深化清晰明了、逻辑性强的介绍高效能计算系统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智能计算赋能创新变革</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定制展柜</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1.规格320*15*259cm展柜*6；</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2.一体式展柜形式，整体造型设计，一级标题为发光字、二级标题为立体字，展示内容为综合材料制作，有造型基础设计及灯光设计重点资料装裱上墙；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3.展示内容见附件5，六部分内容均独立制作展柜并均匀分布在整面展墙；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4.在图纸所示展墙尺寸范围内深化展柜造型及具体展项，基于提供的资料深化提升展项内容并进行落地制作；</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5.展柜可采用金属、亚克力、灯带、木板、磁吸材料等综合材料，厚度≤15cm，具有环境装饰效果，造型设计具有创意并突出重点内容，风格现代、大气、明亮；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6.展项内容有重点、亮点、美感与科技感；</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7.展陈内容深化清晰明了、逻辑性强的介绍智能计算赋能创新变革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新型算力中心核心能力及应用全景图定制展柜</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1.一体式展柜形式，整体造型设计，一级标题为发光字、二级标题为立体字，展示内容为综合材料制作，有造型基础设计及灯光设计重点资料装裱上墙；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2.展示内容：新型算力中心核心能力及应用全景图；</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3.在图纸所示展墙尺寸范围内深化展柜造型及具体展项，基于提供的资料深化提升展项内容并进行落地制作；</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4.展柜可采用金属、亚克力、灯带、木板、磁吸材料等综合材料，厚度≤15cm，具有环境装饰效果，造型设计具有创意并突出重点内容，风格现代、大气、明亮；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5.展项内容有重点、亮点、美感与科技感；</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6.展陈内容深化清晰明了、逻辑性强的介绍新型算力中心核心能力及应用全景。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走廊氛围</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1.全部走廊范围内非展陈内容墙面基础之江实验室VI系统进行氛围装饰的设计及落地制作；</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2.可采用墙布、广告贴、亚克力等材料。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走廊标识标语</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1.全部走廊范围内非展陈内容墙面上进行标识标语的策划及设计，内容及位置方案自定；</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2.可采用亚克力、水晶字、金属字等；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3.布局合理、设计美观，内容体现之江实验室算力中心的特点和优势。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新型算力中心展陈内容</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介绍视频</w:t>
            </w:r>
          </w:p>
        </w:tc>
        <w:tc>
          <w:tcPr>
            <w:tcW w:w="684" w:type="dxa"/>
            <w:vAlign w:val="center"/>
          </w:tcPr>
          <w:p>
            <w:pPr>
              <w:jc w:val="center"/>
              <w:rPr>
                <w:rFonts w:ascii="仿宋" w:hAnsi="仿宋" w:eastAsia="仿宋" w:cs="仿宋"/>
                <w:color w:val="auto"/>
                <w:szCs w:val="21"/>
                <w:highlight w:val="none"/>
              </w:rPr>
            </w:pPr>
            <w:r>
              <w:rPr>
                <w:rFonts w:ascii="仿宋" w:hAnsi="仿宋" w:eastAsia="仿宋" w:cs="仿宋"/>
                <w:color w:val="auto"/>
                <w:szCs w:val="21"/>
                <w:highlight w:val="none"/>
              </w:rPr>
              <w:t>2</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部</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1.展项介绍二维动画、三维建模视频制作，不少于</w:t>
            </w:r>
            <w:r>
              <w:rPr>
                <w:rFonts w:ascii="仿宋" w:hAnsi="仿宋" w:eastAsia="仿宋" w:cs="仿宋"/>
                <w:color w:val="auto"/>
                <w:szCs w:val="21"/>
                <w:highlight w:val="none"/>
              </w:rPr>
              <w:t>120</w:t>
            </w:r>
            <w:r>
              <w:rPr>
                <w:rFonts w:hint="eastAsia" w:ascii="仿宋" w:hAnsi="仿宋" w:eastAsia="仿宋" w:cs="仿宋"/>
                <w:color w:val="auto"/>
                <w:szCs w:val="21"/>
                <w:highlight w:val="none"/>
              </w:rPr>
              <w:t>秒/部；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2.清晰传达内容；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3.可选择两部分内容使用43寸多媒体显示屏。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国家新一代人工智能公共算力开放创新平台</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展陈内容介绍视频</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部</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1.展项介绍二维动画视频制作，不少于</w:t>
            </w:r>
            <w:r>
              <w:rPr>
                <w:rFonts w:ascii="仿宋" w:hAnsi="仿宋" w:eastAsia="仿宋" w:cs="仿宋"/>
                <w:color w:val="auto"/>
                <w:szCs w:val="21"/>
                <w:highlight w:val="none"/>
              </w:rPr>
              <w:t>120</w:t>
            </w:r>
            <w:r>
              <w:rPr>
                <w:rFonts w:hint="eastAsia" w:ascii="仿宋" w:hAnsi="仿宋" w:eastAsia="仿宋" w:cs="仿宋"/>
                <w:color w:val="auto"/>
                <w:szCs w:val="21"/>
                <w:highlight w:val="none"/>
              </w:rPr>
              <w:t>秒；</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2.清晰传达内容；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3.可选择两部分内容使用43寸多媒体显示屏。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智能计算赋能创新变革</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互动多媒体影片</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部</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综述及五大领域均使用43寸触控屏用于内容展示并制作对应二维动画触控内容，不少于60秒/部。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LED屏移机等</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1.原机器人中心利亚德P1.8 LED屏（4800*2700mm）移机到项目指定位置并安装至正常使用且不影响LED屏原厂质保；</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2.包括原址屏幕拆除（不含钢架、线材料拆除）、新址安装、钢架构及包边。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43寸显示屏</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1.屏幕分辨率：≥1920*1080；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2.显示比例：16:9或优于；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3.刷新频率：60Hz或优于；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4.屏幕技术：LCD；</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5.背光方式：侧入式；</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6.亮度：≥450cd/m²；</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7.对比度：1200:1或优于；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8.色域（NTSC）：72%或优于；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9.可视角度：178°或优于；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10.主机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10.1 操作系统：安卓11.0；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10.2 中央处理器（SOC）：RK3568或优于；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10.3 CPU架构：4*Cortex A55或优于；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10.4 CPU主频：≥2.0GHz；</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10.5 图形处理器（GPU）：ARM G52 2EE或优于；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10.6 运行内存：≥2G；</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10.7 存储内存：≥16G。</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11.接口</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11.1 USB接口：USB3.0*1、USB2.0*1；</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11.2 RJ45以太网接口*1；</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11.3 有SD卡槽。</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12.音频</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12.1 扬声器单元*2；</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12.2 输出功率8W。</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13.无线连接：无线2.4GHz。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43寸触控屏</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1.显示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 全新A+品牌液晶面板；</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1.2 显示面积（H*V）：≥960.5*549.3mm；</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1.3 分辨率：≥1920*1080；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1.4 可视角度：89/89/89/89或优于；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1.5 屏幕亮度：≥350cd/m²；</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1.6 背光类型：E-LED；</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1.7 像素布局：RGB垂直条状；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1.8 对比度：3000:1或优于；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1.9 响应时间：8.5 (Typ.)(G to G)ms或优于；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1.10 刷新率：60Hz或优于；</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1.11 显示颜色：1.07B(8-bit+Hi-FRC）。</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2.触摸</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2.1 红外触摸；</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2.2 触摸表面：钢化玻璃；</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2.3 触摸分辨率：≥32768*32768；</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2.4 最大支持10点触摸；</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2.5 触摸精度：≤2mm；</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2.6 触摸介质：手指或触摸笔；</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2.7 USB免驱；</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2.8 输出方式：坐标；</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2.9 响应速度：单点4ms、连续2ms；</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3.端口拓展：可拓展232/485/USB/TTL；</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4.网络通信：以太网+WiFi+蓝牙；</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5.系统</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5.1 支持第三方应用安装；</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5.2 最高支持1080P音频视解码播放；</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5.3 默认开放root权限；</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5.4 支持通过TF卡拓展存储内存；</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5.5 USB播放媒体文件或系统升级；</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5.6 内置2路8欧5W优质喇叭；</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5.7 支持遥控器操作；</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5.8 支持0°、90°、180°、270°手动旋转；</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5.9 支持中文、英文等多国语言；</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5.10 输入法：标准Android。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智能中控系统</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1.支持udp及串口命令发送，实现对于展项硬件设备的开关控制，包括电脑主机、投影机设备、电动幕布升降等的软开关及带电设备的动力柜强电开关；</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2.485控制命令控制，根据实际需求确定数量，使用Pad对屏幕视频内容播放、暂停、切换、音量控制等；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3.检测电压、电流、功率、电量统计、电能质量分析、过载保护、过压保护、欠压保护、过温保护、超温保护、漏电保护和漏电重合闸；</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4.4G、ETH（以太网）、WiFi、RS485与云平台进行数据交互。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配电柜</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与现场条件匹配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交换机</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1.品牌参照或相当于：TP-LINK、新华三、华为；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2.24口千兆交换机。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路由器</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1.品牌参照或相当于：TP-LINK、新华三、华为；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2.AP管理一体化企业级VPN路由器；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3.千兆端口，PoE供电，总带机量50台，管理无线AP20台，整机功率123W，千兆端口9个。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无线AP</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1.品牌参照或相当于：TP-LINK、新华三、华为；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2.双频1900M，3T3R架构，MU-MIMO技术，全向360°天线，千兆端口，千兆SFP光口，IP65防水防尘，自动射频优调，智能漫游，标准POE/Passive POE/DC供电。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辅材1</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批</w:t>
            </w:r>
          </w:p>
        </w:tc>
        <w:tc>
          <w:tcPr>
            <w:tcW w:w="508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光纤跳线、高清跳线、管线桥架、插座等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全频壁装扬声器</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1.品牌参照或相当于：金立翔、惠威、FFR；</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2.喇叭单元：4.5寸全频*12+1寸高音*2，喇叭材质为塑胶；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3.铝合金外壳+铁网+铝盖；</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4.输入接口：红黑接线端+欧姆头；</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5.频率范围(-10dB)：120~20kHz；</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6.灵敏度（1m/1W)：87dB；</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7.最大声压级（1m/1W）：90dB；</w:t>
            </w:r>
          </w:p>
          <w:p>
            <w:pPr>
              <w:rPr>
                <w:rFonts w:ascii="仿宋" w:hAnsi="仿宋" w:eastAsia="仿宋" w:cs="仿宋"/>
                <w:color w:val="auto"/>
                <w:szCs w:val="21"/>
                <w:highlight w:val="none"/>
              </w:rPr>
            </w:pPr>
            <w:r>
              <w:rPr>
                <w:rFonts w:hint="eastAsia" w:ascii="仿宋" w:hAnsi="仿宋" w:eastAsia="仿宋" w:cs="仿宋"/>
                <w:color w:val="auto"/>
                <w:szCs w:val="21"/>
                <w:highlight w:val="none"/>
              </w:rPr>
              <w:t>8.额定功率：600W；</w:t>
            </w:r>
          </w:p>
          <w:p>
            <w:pPr>
              <w:rPr>
                <w:rFonts w:ascii="仿宋" w:hAnsi="仿宋" w:eastAsia="仿宋" w:cs="仿宋"/>
                <w:color w:val="auto"/>
                <w:szCs w:val="21"/>
                <w:highlight w:val="none"/>
              </w:rPr>
            </w:pPr>
            <w:r>
              <w:rPr>
                <w:rFonts w:hint="eastAsia" w:ascii="仿宋" w:hAnsi="仿宋" w:eastAsia="仿宋" w:cs="仿宋"/>
                <w:color w:val="auto"/>
                <w:szCs w:val="21"/>
                <w:highlight w:val="none"/>
              </w:rPr>
              <w:t>9.峰值功率：3000W；</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10.阻抗：8Ω；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11.覆盖角度（H*V）：120°*100°。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多通道数字自适应功率</w:t>
            </w: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放大器</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1.品牌参照或相当于：金立翔、惠威、FFR；</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2.额定功率（20~20kHz/THD≤0.5% 立体声4Ω）：2*1400W；</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3.额定功率（20~20kHz/THD≤0.5% 立体声8Ω）：2*800W；</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4.额定功率（20~20kHz/THD≤0.5% 桥接8Ω）：1*1400W；</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5.输入连接器：平衡卡侬公母座；</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6.输出连接器：SPEAKON、接线柱；</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7.控制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7.1 面板：AC开关、CH1/CH2增益旋钮；</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7.2 背板：立体声、并联、桥接、输入灵敏度开关（0.775V或1.4V）。</w:t>
            </w:r>
          </w:p>
          <w:p>
            <w:pPr>
              <w:rPr>
                <w:rFonts w:ascii="仿宋" w:hAnsi="仿宋" w:eastAsia="仿宋" w:cs="仿宋"/>
                <w:color w:val="auto"/>
                <w:szCs w:val="21"/>
                <w:highlight w:val="none"/>
              </w:rPr>
            </w:pPr>
            <w:r>
              <w:rPr>
                <w:rFonts w:hint="eastAsia" w:ascii="仿宋" w:hAnsi="仿宋" w:eastAsia="仿宋" w:cs="仿宋"/>
                <w:color w:val="auto"/>
                <w:szCs w:val="21"/>
                <w:highlight w:val="none"/>
              </w:rPr>
              <w:t>8.电平增益@1kHz：32dB；</w:t>
            </w:r>
          </w:p>
          <w:p>
            <w:pPr>
              <w:rPr>
                <w:rFonts w:ascii="仿宋" w:hAnsi="仿宋" w:eastAsia="仿宋" w:cs="仿宋"/>
                <w:color w:val="auto"/>
                <w:szCs w:val="21"/>
                <w:highlight w:val="none"/>
              </w:rPr>
            </w:pPr>
            <w:r>
              <w:rPr>
                <w:rFonts w:hint="eastAsia" w:ascii="仿宋" w:hAnsi="仿宋" w:eastAsia="仿宋" w:cs="仿宋"/>
                <w:color w:val="auto"/>
                <w:szCs w:val="21"/>
                <w:highlight w:val="none"/>
              </w:rPr>
              <w:t>9.输入灵敏度：0.775V/1V/1.44V；</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10.输入阻抗：10kΩ非平衡、20kΩ平衡；</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11.频率响应@1W功率：20~20kHz+0/-1dB；</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12.THD+N@1/8功率：≤0.05%；</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13.20Hz~20kHz＞100dB；</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14.阻尼系数@1kHz：＞500；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15.分离度@1kHz：≥80dB；</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16.互调失真：-0.0035；</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17.转换速率：＞10V/μs；</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18.串扰：-75dB@1kHz，-59dB@20kHz；</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19.高功率环行变压器；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20.智能保护系统：防止短路、空载、开/关机噪音、无线电干扰保护电路；</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21.保护方式：直流/过热/消波/过载/短路保护；</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22.指示灯：电源、保护、失真，开启－蓝灯/保护－绿灯/压缩－黄灯/峰值－红灯/并联－黄灯；</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23.冷却方式：变速散热风扇，内部空气强排散热、温度保护。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全频吸顶扬声器</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1.品牌参照或相当于：金立翔、惠威、FFR；</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2.频率响应：70Hz~20KHz（±3dB）；</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3.单元数量</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3.1 LF：1*8"（1"voice coil）；</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3.2 HF：1*1"（1"钛磁voice coil）。</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4.标称阻抗：8Ω；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5.承受功率：100W；</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6.推荐功放：200W into 8Ω；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7.指向性（H*V）：90°*90°；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8.最大声压级：116dB/1m；</w:t>
            </w:r>
          </w:p>
          <w:p>
            <w:pPr>
              <w:rPr>
                <w:rFonts w:ascii="仿宋" w:hAnsi="仿宋" w:eastAsia="仿宋" w:cs="仿宋"/>
                <w:color w:val="auto"/>
                <w:szCs w:val="21"/>
                <w:highlight w:val="none"/>
              </w:rPr>
            </w:pPr>
            <w:r>
              <w:rPr>
                <w:rFonts w:hint="eastAsia" w:ascii="仿宋" w:hAnsi="仿宋" w:eastAsia="仿宋" w:cs="仿宋"/>
                <w:color w:val="auto"/>
                <w:szCs w:val="21"/>
                <w:highlight w:val="none"/>
              </w:rPr>
              <w:t>9.灵敏度：96dB。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27</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多媒体功放</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1.品牌参照或相当于：金立翔、惠威、FFR；</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2.4路输入可供选择；</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3.具有短路保护、直流保护功能，回路式风冷设计；</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4.精确的放大能力；</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5.多路音频输入，≥4路线路输入、≥5路话筒输入，可调节音量大小，配有总音量控制；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6.全封闭高密度铜质散热器，智能高速风扇系统；</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7.可实现话筒效果、混音、延时、高、中、低音调节；</w:t>
            </w:r>
          </w:p>
          <w:p>
            <w:pPr>
              <w:rPr>
                <w:rFonts w:ascii="仿宋" w:hAnsi="仿宋" w:eastAsia="仿宋" w:cs="仿宋"/>
                <w:color w:val="auto"/>
                <w:szCs w:val="21"/>
                <w:highlight w:val="none"/>
              </w:rPr>
            </w:pPr>
            <w:r>
              <w:rPr>
                <w:rFonts w:hint="eastAsia" w:ascii="仿宋" w:hAnsi="仿宋" w:eastAsia="仿宋" w:cs="仿宋"/>
                <w:color w:val="auto"/>
                <w:szCs w:val="21"/>
                <w:highlight w:val="none"/>
              </w:rPr>
              <w:t>8.具有MP3播放功能，可接入USB/SD卡进行音乐播放；</w:t>
            </w:r>
          </w:p>
          <w:p>
            <w:pPr>
              <w:rPr>
                <w:rFonts w:ascii="仿宋" w:hAnsi="仿宋" w:eastAsia="仿宋" w:cs="仿宋"/>
                <w:color w:val="auto"/>
                <w:szCs w:val="21"/>
                <w:highlight w:val="none"/>
              </w:rPr>
            </w:pPr>
            <w:r>
              <w:rPr>
                <w:rFonts w:hint="eastAsia" w:ascii="仿宋" w:hAnsi="仿宋" w:eastAsia="仿宋" w:cs="仿宋"/>
                <w:color w:val="auto"/>
                <w:szCs w:val="21"/>
                <w:highlight w:val="none"/>
              </w:rPr>
              <w:t>9.输出功率：180W*2 8Ω，320W*2 4Ω；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10.频率范围：20Hz~20kHz（+1~1dB）；</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11.信噪比：80dB；</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12.输入灵敏度：0.24V；</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13.总谐波失真：≤0.05%；</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14.输入阻抗：47kΩ；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15.消耗功率：640W。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28</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数字音频信号处理器</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1.品牌参照或相当于：S-TRACK、FFR、惠威；</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2.全面的矩阵混音功能，24bit/48kHz取样频率，高性能A/D、D/A转换器和32-bit浮点DSP处理器；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3.DSP音频处理，内置自动混音台，具有混音和自动混音及混音分量控制功能，具备反馈消除模块；</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4.输入每通道：前级放大、信号发生器、扩展器、压缩器、5段参量均衡；</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5.输出每通道：31段图示均衡、延时器、分频器、限幅器；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6.每通道可独立设置中文名称；</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7.测试信号发生器，正弦波、粉噪、白噪、频率和电平可选；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8.输入相位开关、静音开关、幻象供电开关；</w:t>
            </w:r>
          </w:p>
          <w:p>
            <w:pPr>
              <w:rPr>
                <w:rFonts w:ascii="仿宋" w:hAnsi="仿宋" w:eastAsia="仿宋" w:cs="仿宋"/>
                <w:color w:val="auto"/>
                <w:szCs w:val="21"/>
                <w:highlight w:val="none"/>
              </w:rPr>
            </w:pPr>
            <w:r>
              <w:rPr>
                <w:rFonts w:hint="eastAsia" w:ascii="仿宋" w:hAnsi="仿宋" w:eastAsia="仿宋" w:cs="仿宋"/>
                <w:color w:val="auto"/>
                <w:szCs w:val="21"/>
                <w:highlight w:val="none"/>
              </w:rPr>
              <w:t>9.每通道输出静音开关、相位开关；</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10.中、繁、英三种语言灵活切换；</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11.一键显示所有功能模块；</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12.随机存储中文帮助文档及软件；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13.中控代码随机生成，具有断电自动保护记忆、一键复位功能；</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14.具有通道拷贝、粘贴、联控功能；</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15.同一台主机允许10个用户管理，用户名可设置为中文；</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16.设备名称可修改，允许中文名称；</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17.可编辑预置模式，新建、删除、修改、一键初始化、预置模式可存储至电脑及一键恢复；</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18.输入输出通道可独立设置颜色，一键恢复开关；</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19.具有摄像跟踪功能，可独立对1台摄像机进行预置位调整；</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20.方便快捷的网页控制，内置网页控制器，在Windows、Android、iOS 等平台上皆可快速操作；</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21.Enternet多用途数据传输及控制端口，可支持实时管理单台及多台设备；</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22.直观形象、简洁易懂的图形化软件控制界面；</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23.无需光盘，自带安装软件，1台设备对应1个软件版本；</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24.可扩展USB接口，可实现设备升级、USB音乐播放与录制；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25.配置双向RS232接口、RS485接口、标准以太网控制接口、8通道可编程GPIO控制接口（可自定义输入输出）；</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26.支持8~100组场景预设；</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27.直观、图形化软件控制界面，可工作在XP/Windows7、8、10等系统环境下。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29</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电源时序器</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1.品牌参照或相当于：HYNAMIC、SEMANPRO、FFR；</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2.220V电源供电，具备过流保护、过压保护、欠压保护等，供电接口采用分体式小盖板设计；</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3.采用串口通用协议控制，可兼容主流品牌智能中央控制系统或第三方设备的控制；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4.支持设备间的级联控制，最大可支持255台设备，级联后可控制最多2040路电源，级联后只需通过1个按钮或1条指令即可开关所有级联的设备；</w:t>
            </w:r>
          </w:p>
          <w:p>
            <w:pPr>
              <w:rPr>
                <w:rFonts w:ascii="仿宋" w:hAnsi="仿宋" w:eastAsia="仿宋" w:cs="仿宋"/>
                <w:color w:val="auto"/>
                <w:szCs w:val="21"/>
                <w:highlight w:val="none"/>
              </w:rPr>
            </w:pPr>
            <w:r>
              <w:rPr>
                <w:rFonts w:hint="eastAsia" w:ascii="仿宋" w:hAnsi="仿宋" w:eastAsia="仿宋" w:cs="仿宋"/>
                <w:color w:val="auto"/>
                <w:szCs w:val="21"/>
                <w:highlight w:val="none"/>
              </w:rPr>
              <w:t>5.支持8路大电流时序电源输出，任意一路可根据使用需求修改为直通电源输出，8路电源时序控制，每路输出闭合/断开的延时支持1~9999s自定义；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6.前面板支持1路直通电源输出（不受时序控制）、1路USB供电（可为小功率设备充电或持续供电，最大支持5V/1A）；</w:t>
            </w:r>
          </w:p>
          <w:p>
            <w:pPr>
              <w:rPr>
                <w:rFonts w:ascii="仿宋" w:hAnsi="仿宋" w:eastAsia="仿宋" w:cs="仿宋"/>
                <w:color w:val="auto"/>
                <w:szCs w:val="21"/>
                <w:highlight w:val="none"/>
              </w:rPr>
            </w:pPr>
            <w:r>
              <w:rPr>
                <w:rFonts w:hint="eastAsia" w:ascii="仿宋" w:hAnsi="仿宋" w:eastAsia="仿宋" w:cs="仿宋"/>
                <w:color w:val="auto"/>
                <w:szCs w:val="21"/>
                <w:highlight w:val="none"/>
              </w:rPr>
              <w:t>7.时序电源输出口供电时序可编程，自由组合供电时序，全部数据均带掉电保存；</w:t>
            </w:r>
          </w:p>
          <w:p>
            <w:pPr>
              <w:rPr>
                <w:rFonts w:ascii="仿宋" w:hAnsi="仿宋" w:eastAsia="仿宋" w:cs="仿宋"/>
                <w:color w:val="auto"/>
                <w:szCs w:val="21"/>
                <w:highlight w:val="none"/>
              </w:rPr>
            </w:pPr>
            <w:r>
              <w:rPr>
                <w:rFonts w:hint="eastAsia" w:ascii="仿宋" w:hAnsi="仿宋" w:eastAsia="仿宋" w:cs="仿宋"/>
                <w:color w:val="auto"/>
                <w:szCs w:val="21"/>
                <w:highlight w:val="none"/>
              </w:rPr>
              <w:t>8.输出插座采用防触电设计，每路输出均采用符合CCC标准要求的新国标五孔插座，插座满足GB/T 1002-2021,GB/T 2099.1-2008,GB/T 2099.2-2012标准，按45mm均匀分布，满足超大规格的插头使用，互不干扰；</w:t>
            </w:r>
          </w:p>
          <w:p>
            <w:pPr>
              <w:rPr>
                <w:rFonts w:ascii="仿宋" w:hAnsi="仿宋" w:eastAsia="仿宋" w:cs="仿宋"/>
                <w:color w:val="auto"/>
                <w:szCs w:val="21"/>
                <w:highlight w:val="none"/>
              </w:rPr>
            </w:pPr>
            <w:r>
              <w:rPr>
                <w:rFonts w:hint="eastAsia" w:ascii="仿宋" w:hAnsi="仿宋" w:eastAsia="仿宋" w:cs="仿宋"/>
                <w:color w:val="auto"/>
                <w:szCs w:val="21"/>
                <w:highlight w:val="none"/>
              </w:rPr>
              <w:t>9.支持多个输出通道间的关联设置，实现对电动设备的安全联动控制；</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10.前面板配备显示屏可随时监视市电电压的稳定性，前面板8个按键支持指示灯表示开关状态，闭合时蓝灯常亮、断开时常灭；</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11.每个通道可单独通过前面板开关控制且支持通过软件进行单独受控；</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12.前面板总开关开启，电源输出口按1~8的顺序逐个闭合，总开关关闭，电源输出口按8~1的顺序逐个断开，支持开关顺序自定义；</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13.总开关支持开启过程中再次关闭或关闭过程中再次开启；</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14.支持通过上位机软件实时获取设备电源输出口的闭合/断开状态、对设备的批量控制与批量固件升级；</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15.支持220V±10% 50/60Hz的输入电压，最大功耗支持8.8kW，支持承受差模±1kV、共模±2kV浪涌。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30</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音箱安装壁挂架</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w:t>
            </w:r>
          </w:p>
        </w:tc>
        <w:tc>
          <w:tcPr>
            <w:tcW w:w="508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与现场条件匹配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31</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音频线</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卷</w:t>
            </w:r>
          </w:p>
        </w:tc>
        <w:tc>
          <w:tcPr>
            <w:tcW w:w="508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2*0.25*100m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32</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机柜</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42U标准机柜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辅材2</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508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与现场条件匹配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34</w:t>
            </w:r>
          </w:p>
        </w:tc>
        <w:tc>
          <w:tcPr>
            <w:tcW w:w="247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走廊灯具</w:t>
            </w:r>
          </w:p>
        </w:tc>
        <w:tc>
          <w:tcPr>
            <w:tcW w:w="684"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84</w:t>
            </w:r>
          </w:p>
        </w:tc>
        <w:tc>
          <w:tcPr>
            <w:tcW w:w="717"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个</w:t>
            </w:r>
          </w:p>
        </w:tc>
        <w:tc>
          <w:tcPr>
            <w:tcW w:w="5080"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1.规格：1800*600mm；</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2.灯光膜、铝材。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15" w:type="dxa"/>
            <w:gridSpan w:val="5"/>
            <w:vAlign w:val="center"/>
          </w:tcPr>
          <w:p>
            <w:pPr>
              <w:rPr>
                <w:rFonts w:ascii="仿宋" w:hAnsi="仿宋" w:eastAsia="仿宋" w:cs="仿宋"/>
                <w:color w:val="auto"/>
                <w:szCs w:val="21"/>
                <w:highlight w:val="none"/>
              </w:rPr>
            </w:pPr>
            <w:r>
              <w:rPr>
                <w:rFonts w:hint="eastAsia" w:ascii="仿宋" w:hAnsi="仿宋" w:eastAsia="仿宋" w:cs="仿宋"/>
                <w:b/>
                <w:bCs/>
                <w:color w:val="auto"/>
                <w:kern w:val="0"/>
                <w:szCs w:val="21"/>
                <w:highlight w:val="none"/>
              </w:rPr>
              <w:t>备注：供应商可自行勘查现场（采购人不集中组织），对现场和周围环境进行踏勘和了解，以获取有关编制响应文件和签署合同所需的各种资料，并充分考虑影响响应报价的因素、预计实施过程中各种不利因素，现场勘查所产生的一切责任、风险、费用和后果由供应商自行承担。现场踏勘需遵循采购人管理要求，持法人授权委托书、本人身份证参加，联系人及联系方式同项目联系人。</w:t>
            </w:r>
          </w:p>
        </w:tc>
      </w:tr>
    </w:tbl>
    <w:p>
      <w:pPr>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备注</w:t>
      </w:r>
      <w:r>
        <w:rPr>
          <w:rFonts w:hint="eastAsia" w:ascii="仿宋" w:hAnsi="仿宋" w:eastAsia="仿宋" w:cs="仿宋"/>
          <w:b/>
          <w:bCs/>
          <w:color w:val="auto"/>
          <w:kern w:val="0"/>
          <w:szCs w:val="21"/>
          <w:highlight w:val="none"/>
        </w:rPr>
        <w:t>：</w:t>
      </w:r>
      <w:r>
        <w:rPr>
          <w:rFonts w:hint="eastAsia" w:ascii="仿宋" w:hAnsi="仿宋" w:eastAsia="仿宋" w:cs="仿宋"/>
          <w:b/>
          <w:color w:val="auto"/>
          <w:szCs w:val="21"/>
          <w:highlight w:val="none"/>
        </w:rPr>
        <w:t>本项目要求对策划、构想</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rPr>
        <w:t>布局、展陈设计进行</w:t>
      </w:r>
      <w:r>
        <w:rPr>
          <w:rFonts w:hint="eastAsia" w:ascii="仿宋" w:hAnsi="仿宋" w:eastAsia="仿宋" w:cs="仿宋"/>
          <w:b/>
          <w:color w:val="auto"/>
          <w:szCs w:val="21"/>
          <w:highlight w:val="none"/>
          <w:lang w:val="en-US" w:eastAsia="zh-CN"/>
        </w:rPr>
        <w:t>现场</w:t>
      </w:r>
      <w:r>
        <w:rPr>
          <w:rFonts w:hint="eastAsia" w:ascii="仿宋" w:hAnsi="仿宋" w:eastAsia="仿宋" w:cs="仿宋"/>
          <w:b/>
          <w:color w:val="auto"/>
          <w:szCs w:val="21"/>
          <w:highlight w:val="none"/>
        </w:rPr>
        <w:t>方案讲解，讲解时间不超过1</w:t>
      </w:r>
      <w:r>
        <w:rPr>
          <w:rFonts w:hint="eastAsia" w:ascii="仿宋" w:hAnsi="仿宋" w:eastAsia="仿宋" w:cs="仿宋"/>
          <w:b/>
          <w:color w:val="auto"/>
          <w:szCs w:val="21"/>
          <w:highlight w:val="none"/>
          <w:lang w:val="en-US" w:eastAsia="zh-CN"/>
        </w:rPr>
        <w:t>0</w:t>
      </w:r>
      <w:r>
        <w:rPr>
          <w:rFonts w:hint="eastAsia" w:ascii="仿宋" w:hAnsi="仿宋" w:eastAsia="仿宋" w:cs="仿宋"/>
          <w:b/>
          <w:color w:val="auto"/>
          <w:szCs w:val="21"/>
          <w:highlight w:val="none"/>
        </w:rPr>
        <w:t>分钟</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讲解形式不限</w:t>
      </w:r>
      <w:r>
        <w:rPr>
          <w:rFonts w:hint="eastAsia" w:ascii="仿宋" w:hAnsi="仿宋" w:eastAsia="仿宋" w:cs="仿宋"/>
          <w:b/>
          <w:color w:val="auto"/>
          <w:szCs w:val="21"/>
          <w:highlight w:val="none"/>
        </w:rPr>
        <w:t>。</w:t>
      </w:r>
    </w:p>
    <w:p>
      <w:pP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widowControl/>
        <w:adjustRightInd w:val="0"/>
        <w:spacing w:line="288"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附件1</w:t>
      </w:r>
    </w:p>
    <w:p>
      <w:pPr>
        <w:widowControl/>
        <w:shd w:val="clear" w:color="auto" w:fill="FFFFFF"/>
        <w:spacing w:line="288" w:lineRule="auto"/>
        <w:contextualSpacing/>
        <w:jc w:val="center"/>
        <w:rPr>
          <w:rFonts w:ascii="仿宋" w:hAnsi="仿宋" w:eastAsia="仿宋" w:cs="仿宋"/>
          <w:bCs/>
          <w:color w:val="auto"/>
          <w:spacing w:val="8"/>
          <w:kern w:val="0"/>
          <w:szCs w:val="21"/>
          <w:highlight w:val="none"/>
        </w:rPr>
      </w:pPr>
      <w:r>
        <w:rPr>
          <w:rFonts w:hint="eastAsia" w:ascii="仿宋" w:hAnsi="仿宋" w:eastAsia="仿宋" w:cs="仿宋"/>
          <w:b/>
          <w:color w:val="auto"/>
          <w:spacing w:val="8"/>
          <w:kern w:val="0"/>
          <w:szCs w:val="21"/>
          <w:highlight w:val="none"/>
        </w:rPr>
        <w:t>前言</w:t>
      </w:r>
    </w:p>
    <w:p>
      <w:pPr>
        <w:widowControl/>
        <w:shd w:val="clear" w:color="auto" w:fill="FFFFFF"/>
        <w:spacing w:line="288" w:lineRule="auto"/>
        <w:ind w:firstLine="452" w:firstLineChars="200"/>
        <w:contextualSpacing/>
        <w:rPr>
          <w:rFonts w:ascii="仿宋" w:hAnsi="仿宋" w:eastAsia="仿宋" w:cs="仿宋"/>
          <w:bCs/>
          <w:i/>
          <w:color w:val="auto"/>
          <w:spacing w:val="8"/>
          <w:kern w:val="0"/>
          <w:szCs w:val="21"/>
          <w:highlight w:val="none"/>
        </w:rPr>
      </w:pPr>
      <w:r>
        <w:rPr>
          <w:rFonts w:hint="eastAsia" w:ascii="仿宋" w:hAnsi="仿宋" w:eastAsia="仿宋" w:cs="仿宋"/>
          <w:bCs/>
          <w:color w:val="auto"/>
          <w:spacing w:val="8"/>
          <w:kern w:val="0"/>
          <w:szCs w:val="21"/>
          <w:highlight w:val="none"/>
        </w:rPr>
        <w:t>计算技术与人类社会的发展相生相伴。从结绳记事、算盘到算筹，从差分机、电子计算机到超级计算机，从云计算、大数据到大模型，计算工具和技术不断演进，推动人类文明走过了原始社会、农耕时代、工业革命，迈入了万物互联的智能时代。从某种角度来说，计算技术史就是一部浓缩的文明史。当前，科技创新将计算再次推到了创新能力建设的核心位置。我们举办计算简史展，旨在让观展者洞悉计算技术发展脉络，以史为鉴，更好地把握计算带来的变革之力。</w:t>
      </w:r>
    </w:p>
    <w:p>
      <w:pPr>
        <w:widowControl/>
        <w:shd w:val="clear" w:color="auto" w:fill="FFFFFF"/>
        <w:spacing w:line="288" w:lineRule="auto"/>
        <w:ind w:firstLine="452" w:firstLineChars="200"/>
        <w:contextualSpacing/>
        <w:rPr>
          <w:rFonts w:ascii="仿宋" w:hAnsi="仿宋" w:eastAsia="仿宋" w:cs="仿宋"/>
          <w:b/>
          <w:color w:val="auto"/>
          <w:spacing w:val="8"/>
          <w:kern w:val="0"/>
          <w:szCs w:val="21"/>
          <w:highlight w:val="none"/>
        </w:rPr>
      </w:pPr>
      <w:r>
        <w:rPr>
          <w:rFonts w:hint="eastAsia" w:ascii="仿宋" w:hAnsi="仿宋" w:eastAsia="仿宋" w:cs="仿宋"/>
          <w:bCs/>
          <w:color w:val="auto"/>
          <w:spacing w:val="8"/>
          <w:kern w:val="0"/>
          <w:szCs w:val="21"/>
          <w:highlight w:val="none"/>
        </w:rPr>
        <w:t>展览内容参考《人类计算简史——从中国算盘到数字经济》《中国云计算创新活力报告》、《智能计算的最新进展、挑战和未来》等。</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一、古代计算工具</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原始社会中，人类使用打结或编织绳子的方式记录数量、事件等信息。《春秋左传集解》云：“古者无文字，其有约誓之事，事大大其绳，事小小其绳，结之多少，随扬众寡，各执以相考，亦足以相治也。”</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公元前3000年左右，古埃及人发明了象形数字系统（赫尔墨斯数字等），用于记录物品数量和进行简单计算；美索不达米亚的苏美尔人发展出以六十进制计数法为代表的楔形文字计数体系。</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公元前14世纪，由竹片制成的“算筹”成为中国先民们用于计数交易的工具，是中华文明历程中计算技术的代表。利用算筹，我国南北朝时期的数学家祖冲之，先后计算圆周率，将精确度达到小数点后7位，比西方计算出这一结果早了上千年。</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一上一、二上二、三下五除二。”这句朗朗上口的珠算加法口诀在中华大地上广为流传，算盘上的珠子随着口诀上下拨动，开启了历经千年的运算。这些珠算口诀如同计算机的程序，每一颗珠子则代表一个二进制位（bit），算盘的计算逻辑与现代计算机的运行逻辑一脉相承，这正是算盘被看作“原始计算机”的原因。</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二、现代计算机的雏形</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17世纪，法国数学家布莱士·帕斯卡为帮助他的父亲提高收税效率，设计并制造了世界上第一台机械式计算器——帕斯卡加法器，这台计算机使用齿轮运作，能够进行八位数加法运算。</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18世纪，德国数学家戈特弗里德·威廉·莱布尼茨发明了能进行加减乘除运算的步进计算器——莱布尼茨轮，用于执行乘除法运算，是现代二进制计算机的先驱。</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19世纪初，英国数学家查尔斯·巴贝奇设计了差分机和分析机，虽然未能完全制造出来，但被认为是计算机的雏形。</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1842年，英国数学家阿达·洛夫莱斯为巴贝奇分析机编写了世界上第一套算法，被公认为是计算机程序和软件的最早形式，洛芙莱斯则因此被誉为世界上第一位程序设计师。</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三、电子计算机时代</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1937年，英国科学家阿兰·图灵提出了“图灵机”构想，奠定了现代计算理论的基础，证明了打造通用计算机器的可行性。</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1946年，世界上第一台通用电子计算机ENIAC应运而生。这台重达30吨的庞然大物，第一次将电子元器件作为计算单元。以今天的眼光来看，这个“大胖子”显得尤为笨拙和臃肿，但它比当时最快的机电式计算机快了1000倍。到退役为止，ENIAC共运算8万多小时，为氢弹研制、天气预测、风洞开发等做出了卓越贡献。</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同年，匈牙利数学家约翰·冯·诺依曼（John von Neumann）提出了EDVAC（电子离散变量自动计算机）的设计方案，引入了存储程序计算机架构，即冯·诺伊曼架构，成为现代计算机的标准结构。</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1948年，美国数学家克劳德·香农发表了《通信的数学理论》（A Mathematical Theory of Communication），这篇论文被视作信息论的开山之作。在这篇论文中，香农提出了信息熵（entropy）的概念，为量化信息奠定了基础，并推导出了影响深远的香农定理。这些工作为现代计算机的发展提供了理论基础。</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1956年，香农、麦卡锡、明斯基等科学家在美国达特茅斯学院开会研讨“如何用机器模拟人的智能”，首次提出“人工智能（Artificial Intelligence，AI）”这一概念，标志着人工智能学科的诞生。</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1958年，我国第一台大型通用数字电子计算机103型机研制成功。103机平均每秒运算1万次，接近当时英国、日本计算机的指标。103机完成了我国在核武器、航空航天、铁路交通、火炮弹道、化工、建筑、能源、理化、勘探、电子、光学等多领域的计算任务，并深度参与高等教育事业，培养专业学生数千人。</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1965年，戈登·摩尔提出了著名的摩尔定律，预测集成电路上可容纳的晶体管数量大约每两年翻一番，这一定律为半导体行业的发展提供了重要指导。</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1971年，英特尔公司（Intel）发布了世界上第一款商用微处理器4004，这是一款4位中央处理器，标志着微型计算机时代的到来。同年，美国的Kenbak公司发布了Kenbak-1计算机。这台计算机，被计算机历史博物馆认为是世界上第一台个人计算机。</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1975年，比尔·盖茨和保罗·艾伦创办了微软公司，开发了MS-DOS操作系统，为个人计算机的发展奠定了基础。次年，史蒂夫·乔布斯和史蒂夫·沃兹尼亚克创办苹果公司，推出了Apple I个人计算机，计算机开始进入家庭和办公室。</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1985年，钱学森发表《关于“第五代计算机”的问题》文章，提出了“智能机”的概念。以此为标志，我国计算机研究产生了新的分支：超级计算机与智能计算机。</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1988年，我国第一台亿次计算机“银河-I”巨型计算机研制成功，填补了国内巨型机的空白。</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1990年，国家科委（科技部的前身）批准成立“国家智能计算机研究开发中心”，开展了曙光系列并行计算机的研制，并启动人工智能的基础研究和应用研究。</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1997年，IBM的深蓝超级计算机战胜了世界冠军棋手卡斯帕罗夫，这是人工智能在特定领域超越人类智能的一个标志性事件。</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四、云计算与大数据时代</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20世纪末至21世纪初，随着互联网的普及和计算机技术的飞速发展，计算逐渐实现了联网，算力日益多元化。各种计算平台和工具的出现，使得计算变得更加便捷和高效。</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2005年，美国亚马逊公司宣布推出Amazon Web Services（AWS），提供了计算、存储、数据库等基础设施服务，吸引了大量企业和开发者开始关注和使用云计算。此后，AWS、Google Cloud、Microsoft Azure以及阿里云、腾讯云、华为云等成为全球主要云服务提供商。</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2010年代，以苹果公司的iPhone和谷歌的Android操作系统为代表的移动计算技术成为新的发展趋势。同时期，云计算和大数据技术的蓬勃发展，使得信息存储、处理和分析变得更加高效和便捷。</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五、智能计算时代</w:t>
      </w:r>
    </w:p>
    <w:p>
      <w:pPr>
        <w:widowControl/>
        <w:shd w:val="clear" w:color="auto" w:fill="FFFFFF"/>
        <w:spacing w:line="288" w:lineRule="auto"/>
        <w:ind w:firstLine="452" w:firstLineChars="200"/>
        <w:contextualSpacing/>
        <w:rPr>
          <w:rFonts w:ascii="仿宋" w:hAnsi="仿宋" w:eastAsia="仿宋" w:cs="仿宋"/>
          <w:color w:val="auto"/>
          <w:spacing w:val="8"/>
          <w:kern w:val="0"/>
          <w:szCs w:val="21"/>
          <w:highlight w:val="none"/>
        </w:rPr>
      </w:pPr>
      <w:r>
        <w:rPr>
          <w:rFonts w:hint="eastAsia" w:ascii="仿宋" w:hAnsi="仿宋" w:eastAsia="仿宋" w:cs="仿宋"/>
          <w:color w:val="auto"/>
          <w:spacing w:val="8"/>
          <w:kern w:val="0"/>
          <w:szCs w:val="21"/>
          <w:highlight w:val="none"/>
        </w:rPr>
        <w:t>如今，以人工智能为代表的新一代信息技术创新带来了第四次产业革命——智能化，数据成为了新的生产资料，模型成为了新的生产工具，科技创新已进入“计算密集、数据驱动、基于模型”的全新时代。计算从辅助性的工具变成了重要的创新引擎，正在全面变革科技创新的模式和产业发展的进程。</w:t>
      </w:r>
    </w:p>
    <w:p>
      <w:pPr>
        <w:widowControl/>
        <w:adjustRightInd w:val="0"/>
        <w:snapToGrid w:val="0"/>
        <w:spacing w:line="288" w:lineRule="auto"/>
        <w:jc w:val="center"/>
        <w:rPr>
          <w:rFonts w:ascii="仿宋_GB2312" w:hAnsi="仿宋_GB2312" w:eastAsia="仿宋_GB2312" w:cs="宋体"/>
          <w:color w:val="auto"/>
          <w:spacing w:val="8"/>
          <w:kern w:val="0"/>
          <w:sz w:val="32"/>
          <w:szCs w:val="32"/>
          <w:highlight w:val="none"/>
        </w:rPr>
      </w:pPr>
      <w:r>
        <w:rPr>
          <w:rFonts w:ascii="仿宋_GB2312" w:hAnsi="仿宋_GB2312" w:eastAsia="仿宋_GB2312" w:cs="宋体"/>
          <w:color w:val="auto"/>
          <w:spacing w:val="8"/>
          <w:kern w:val="0"/>
          <w:sz w:val="32"/>
          <w:szCs w:val="32"/>
          <w:highlight w:val="none"/>
        </w:rPr>
        <w:drawing>
          <wp:inline distT="0" distB="0" distL="0" distR="0">
            <wp:extent cx="5270500" cy="247015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0500" cy="2470150"/>
                    </a:xfrm>
                    <a:prstGeom prst="rect">
                      <a:avLst/>
                    </a:prstGeom>
                  </pic:spPr>
                </pic:pic>
              </a:graphicData>
            </a:graphic>
          </wp:inline>
        </w:drawing>
      </w:r>
    </w:p>
    <w:p>
      <w:pP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widowControl/>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附件2</w:t>
      </w:r>
    </w:p>
    <w:p>
      <w:pPr>
        <w:widowControl/>
        <w:adjustRightIn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欢迎来到之江实验室</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之江实验室是浙江省深入实施创新驱动发展战略、探索新型举国体制浙江路径的重大科技创新平台，于2017年9月正式挂牌成立。实验室聚焦智能计算，瞄准国家战略前沿、科技创新变革、战略产业创新三大战略需求，打造国家战略科技力量，建设服务支撑浙江创新发展的策源地，成为世界领先水平的科技创新基地。</w:t>
      </w:r>
    </w:p>
    <w:p>
      <w:pPr>
        <w:widowControl/>
        <w:adjustRightInd w:val="0"/>
        <w:spacing w:line="288" w:lineRule="auto"/>
        <w:jc w:val="center"/>
        <w:rPr>
          <w:rFonts w:ascii="仿宋" w:hAnsi="仿宋" w:eastAsia="仿宋" w:cs="仿宋"/>
          <w:b/>
          <w:bCs/>
          <w:color w:val="auto"/>
          <w:szCs w:val="21"/>
          <w:highlight w:val="none"/>
        </w:rPr>
      </w:pPr>
    </w:p>
    <w:p>
      <w:pPr>
        <w:widowControl/>
        <w:adjustRightIn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什么是智能计算</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智能计算是大数据、云计算和人工智能时代新的计算变革，是以“计算密集（Computational Intensive）数据驱动（Data Driven）基于模型（Model Based）”为主要特征的计算形态。</w:t>
      </w:r>
    </w:p>
    <w:p>
      <w:pPr>
        <w:widowControl/>
        <w:adjustRightInd w:val="0"/>
        <w:spacing w:line="288" w:lineRule="auto"/>
        <w:jc w:val="center"/>
        <w:rPr>
          <w:rFonts w:ascii="仿宋" w:hAnsi="仿宋" w:eastAsia="仿宋" w:cs="仿宋"/>
          <w:b/>
          <w:bCs/>
          <w:color w:val="auto"/>
          <w:szCs w:val="21"/>
          <w:highlight w:val="none"/>
        </w:rPr>
      </w:pPr>
    </w:p>
    <w:p>
      <w:pPr>
        <w:widowControl/>
        <w:adjustRightIn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之江实验室“1397”战略路径</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"1智能计算：聚焦智能计算，勇攀高、求突破、见成效"</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"3战略需求：国家战略前沿科技创新变革战略产业创新"</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"9重点任务：具体内容略</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"7机制创新：具体内容略</w:t>
      </w:r>
    </w:p>
    <w:p>
      <w:pPr>
        <w:widowControl/>
        <w:adjustRightInd w:val="0"/>
        <w:spacing w:line="288" w:lineRule="auto"/>
        <w:jc w:val="center"/>
        <w:rPr>
          <w:rFonts w:ascii="仿宋" w:hAnsi="仿宋" w:eastAsia="仿宋" w:cs="仿宋"/>
          <w:b/>
          <w:bCs/>
          <w:color w:val="auto"/>
          <w:szCs w:val="21"/>
          <w:highlight w:val="none"/>
        </w:rPr>
      </w:pPr>
    </w:p>
    <w:p>
      <w:pPr>
        <w:widowControl/>
        <w:adjustRightIn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之江实验室新型算力中心——新型算力中心概况</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主要指标</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可用性等级：具体内容略</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总建筑面积：具体内容略</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总规划机柜：具体内容略</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总IT功率：具体内容略</w:t>
      </w:r>
    </w:p>
    <w:p>
      <w:pPr>
        <w:widowControl/>
        <w:adjustRightInd w:val="0"/>
        <w:spacing w:line="288" w:lineRule="auto"/>
        <w:ind w:firstLine="420" w:firstLineChars="200"/>
        <w:jc w:val="left"/>
        <w:rPr>
          <w:rFonts w:ascii="仿宋" w:hAnsi="仿宋" w:eastAsia="仿宋" w:cs="仿宋"/>
          <w:color w:val="auto"/>
          <w:szCs w:val="21"/>
          <w:highlight w:val="none"/>
        </w:rPr>
      </w:pP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万卡智能计算集群</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建设高性能、高效能、高能效、高安全的高标准天地一体智能计算基础设施</w:t>
      </w:r>
    </w:p>
    <w:p>
      <w:pPr>
        <w:widowControl/>
        <w:adjustRightInd w:val="0"/>
        <w:spacing w:line="288" w:lineRule="auto"/>
        <w:jc w:val="center"/>
        <w:rPr>
          <w:rFonts w:ascii="仿宋" w:hAnsi="仿宋" w:eastAsia="仿宋" w:cs="仿宋"/>
          <w:b/>
          <w:bCs/>
          <w:color w:val="auto"/>
          <w:szCs w:val="21"/>
          <w:highlight w:val="none"/>
        </w:rPr>
      </w:pPr>
    </w:p>
    <w:p>
      <w:pPr>
        <w:widowControl/>
        <w:adjustRightIn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之江实验室新型算力中心——国家新一代人工智能公共算力开放创新平台</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公共算力平台是具备人工智能计算能力并提供算力服务的基础设施，为科技创新和产业智能化转型提供人工智能普惠算力，是建设智能社会、推动智能经济的新动能。</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助力杭州市算力产业发展、驱动人工智能技术及产业创新</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智能计算生态自建或汇聚第三方资源，集成服务，开放服务</w:t>
      </w:r>
    </w:p>
    <w:p>
      <w:pPr>
        <w:widowControl/>
        <w:adjustRightInd w:val="0"/>
        <w:spacing w:line="288" w:lineRule="auto"/>
        <w:jc w:val="center"/>
        <w:rPr>
          <w:rFonts w:ascii="仿宋" w:hAnsi="仿宋" w:eastAsia="仿宋" w:cs="仿宋"/>
          <w:b/>
          <w:bCs/>
          <w:color w:val="auto"/>
          <w:szCs w:val="21"/>
          <w:highlight w:val="none"/>
        </w:rPr>
      </w:pPr>
    </w:p>
    <w:p>
      <w:pPr>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pPr>
        <w:widowControl/>
        <w:adjustRightIn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之江实验室新型算力中心——杭州市人工智能产业联盟</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共商 共建 共享 共发展</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专委会机制</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围绕智能计算技术、算力平台建设、模型开发应用（模型开发、场景应用、智能设备）等方向，适时设立专委会。集聚相关领域的技术专家、产业管理人才、财务金融专家，政策研究专家等，共谋共商助力行业高质量发展。</w:t>
      </w:r>
    </w:p>
    <w:p>
      <w:pPr>
        <w:widowControl/>
        <w:adjustRightInd w:val="0"/>
        <w:spacing w:line="288" w:lineRule="auto"/>
        <w:ind w:firstLine="420" w:firstLineChars="200"/>
        <w:jc w:val="left"/>
        <w:rPr>
          <w:rFonts w:ascii="仿宋" w:hAnsi="仿宋" w:eastAsia="仿宋" w:cs="仿宋"/>
          <w:color w:val="auto"/>
          <w:szCs w:val="21"/>
          <w:highlight w:val="none"/>
        </w:rPr>
      </w:pP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会员志愿服务机制</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为增强联盟的凝聚力和向心力，激发会员的积极性和创造力，促进会员平等地分享权力和责任，推行会员志愿服务机制，以联盟为载体，通过志愿策划交流、分享、展示等活动，构建平等自由、创新开放、生动有趣、朝气蓬勃、敢作敢为的联盟文化。</w:t>
      </w:r>
    </w:p>
    <w:p>
      <w:pPr>
        <w:widowControl/>
        <w:adjustRightInd w:val="0"/>
        <w:spacing w:line="288" w:lineRule="auto"/>
        <w:ind w:firstLine="420" w:firstLineChars="200"/>
        <w:jc w:val="left"/>
        <w:rPr>
          <w:rFonts w:ascii="仿宋" w:hAnsi="仿宋" w:eastAsia="仿宋" w:cs="仿宋"/>
          <w:color w:val="auto"/>
          <w:szCs w:val="21"/>
          <w:highlight w:val="none"/>
        </w:rPr>
      </w:pP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联盟成员单位</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成立时首批160家成员单位名单见附件，后续定期更新。</w:t>
      </w:r>
    </w:p>
    <w:p>
      <w:pPr>
        <w:widowControl/>
        <w:adjustRightInd w:val="0"/>
        <w:spacing w:line="288" w:lineRule="auto"/>
        <w:ind w:firstLine="420" w:firstLineChars="200"/>
        <w:jc w:val="left"/>
        <w:rPr>
          <w:rFonts w:ascii="仿宋" w:hAnsi="仿宋" w:eastAsia="仿宋" w:cs="仿宋"/>
          <w:color w:val="auto"/>
          <w:szCs w:val="21"/>
          <w:highlight w:val="none"/>
        </w:rPr>
      </w:pP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杭州市人工智能产业联盟倡议书</w:t>
      </w:r>
    </w:p>
    <w:p>
      <w:pPr>
        <w:widowControl/>
        <w:adjustRightInd w:val="0"/>
        <w:snapToGrid w:val="0"/>
        <w:spacing w:line="288" w:lineRule="auto"/>
        <w:jc w:val="left"/>
        <w:rPr>
          <w:rFonts w:ascii="仿宋" w:hAnsi="仿宋" w:eastAsia="仿宋" w:cs="仿宋"/>
          <w:color w:val="auto"/>
          <w:szCs w:val="21"/>
          <w:highlight w:val="none"/>
        </w:rPr>
      </w:pPr>
    </w:p>
    <w:p>
      <w:pPr>
        <w:widowControl/>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之江实验室新型算力中心——万卡智算集群介绍</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核心目标：</w:t>
      </w:r>
      <w:r>
        <w:rPr>
          <w:rFonts w:hint="eastAsia" w:ascii="仿宋" w:hAnsi="仿宋" w:eastAsia="仿宋" w:cs="仿宋"/>
          <w:color w:val="auto"/>
          <w:szCs w:val="21"/>
          <w:highlight w:val="none"/>
          <w:lang w:val="en-US" w:eastAsia="zh-CN"/>
        </w:rPr>
        <w:t>略</w:t>
      </w:r>
      <w:r>
        <w:rPr>
          <w:rFonts w:hint="eastAsia" w:ascii="仿宋" w:hAnsi="仿宋" w:eastAsia="仿宋" w:cs="仿宋"/>
          <w:color w:val="auto"/>
          <w:szCs w:val="21"/>
          <w:highlight w:val="none"/>
        </w:rPr>
        <w:t>。</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基础万卡算力集群：略。</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混合万卡算力集群：略。</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新型万卡算力集群：略。</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通过开放创新突破关键核心技术，打造高性能、高效能和高能效的新型算力设施。</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两篇论文展示：</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《Attention Is All You Need》，Google，2017年</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《Improving Language Understanding by Generative Pre-Training》，OpenAI，2018年</w:t>
      </w:r>
    </w:p>
    <w:p>
      <w:pPr>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widowControl/>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附件3</w:t>
      </w: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万卡智算集群</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简介：具体内容略</w:t>
      </w:r>
    </w:p>
    <w:p>
      <w:pPr>
        <w:widowControl/>
        <w:adjustRightInd w:val="0"/>
        <w:snapToGrid w:val="0"/>
        <w:spacing w:line="288" w:lineRule="auto"/>
        <w:ind w:firstLine="420" w:firstLineChars="200"/>
        <w:jc w:val="left"/>
        <w:rPr>
          <w:rFonts w:ascii="仿宋" w:hAnsi="仿宋" w:eastAsia="仿宋" w:cs="仿宋"/>
          <w:color w:val="auto"/>
          <w:szCs w:val="21"/>
          <w:highlight w:val="none"/>
        </w:rPr>
      </w:pP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核心特性</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高性能：具体内容略</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高效能：具体内容略</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高安全：具体内容略</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高能效：具体内容略</w:t>
      </w:r>
    </w:p>
    <w:p>
      <w:pPr>
        <w:widowControl/>
        <w:adjustRightInd w:val="0"/>
        <w:snapToGrid w:val="0"/>
        <w:spacing w:line="288" w:lineRule="auto"/>
        <w:ind w:firstLine="420" w:firstLineChars="200"/>
        <w:jc w:val="left"/>
        <w:rPr>
          <w:rFonts w:ascii="仿宋" w:hAnsi="仿宋" w:eastAsia="仿宋" w:cs="仿宋"/>
          <w:color w:val="auto"/>
          <w:szCs w:val="21"/>
          <w:highlight w:val="none"/>
        </w:rPr>
      </w:pP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关键技术</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具体内容略</w:t>
      </w:r>
    </w:p>
    <w:p>
      <w:pPr>
        <w:widowControl/>
        <w:adjustRightInd w:val="0"/>
        <w:snapToGrid w:val="0"/>
        <w:spacing w:line="288" w:lineRule="auto"/>
        <w:jc w:val="center"/>
        <w:rPr>
          <w:rFonts w:ascii="仿宋" w:hAnsi="仿宋" w:eastAsia="仿宋" w:cs="仿宋"/>
          <w:b/>
          <w:bCs/>
          <w:color w:val="auto"/>
          <w:szCs w:val="21"/>
          <w:highlight w:val="none"/>
        </w:rPr>
      </w:pPr>
    </w:p>
    <w:p>
      <w:pPr>
        <w:widowControl/>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附件4</w:t>
      </w: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高效能计算系统——云架构</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1/ 针对万卡集群设备异构、资源分散、计算软件栈不统一的问题，研究分布式操作系统，实现一体化高效能的算力、存储和网络保障，为大模型训练提供高效、稳定的万卡运行环境。</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2/ 针对大模型训练、推理过程中应用场景复杂、软件灵活性不足、资源分散等问题，构建面向垂直领域多种场景的计算应用生态，以云服务的方式提供开箱即用的平台能力。</w:t>
      </w:r>
    </w:p>
    <w:p>
      <w:pPr>
        <w:widowControl/>
        <w:adjustRightIn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3/ 构建面向垂直领域的计算应用生态，以云服务的方式为多种专业领域计算场景提供开箱即用的基础能力。</w:t>
      </w:r>
    </w:p>
    <w:p>
      <w:pPr>
        <w:widowControl/>
        <w:adjustRightInd w:val="0"/>
        <w:snapToGrid w:val="0"/>
        <w:spacing w:line="288" w:lineRule="auto"/>
        <w:jc w:val="left"/>
        <w:rPr>
          <w:rFonts w:ascii="仿宋" w:hAnsi="仿宋" w:eastAsia="仿宋" w:cs="仿宋"/>
          <w:color w:val="auto"/>
          <w:szCs w:val="21"/>
          <w:highlight w:val="none"/>
        </w:rPr>
      </w:pP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高效能计算系统——核心技术&amp;性能指标</w:t>
      </w:r>
    </w:p>
    <w:p>
      <w:pPr>
        <w:widowControl/>
        <w:adjustRightIn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性能指标：具体内容略</w:t>
      </w:r>
    </w:p>
    <w:p>
      <w:pPr>
        <w:widowControl/>
        <w:adjustRightIn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高效能操作系统：具体内容略</w:t>
      </w:r>
    </w:p>
    <w:p>
      <w:pPr>
        <w:widowControl/>
        <w:adjustRightIn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异构算力聚合及智能弹性调度：具体内容略</w:t>
      </w:r>
    </w:p>
    <w:p>
      <w:pPr>
        <w:widowControl/>
        <w:adjustRightIn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大模型全流程工具链：具体内容略</w:t>
      </w:r>
    </w:p>
    <w:p>
      <w:pPr>
        <w:widowControl/>
        <w:adjustRightIn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大模型工作台：具体内容略</w:t>
      </w:r>
    </w:p>
    <w:p>
      <w:pPr>
        <w:widowControl/>
        <w:adjustRightIn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大模型可观测体系：具体内容略</w:t>
      </w:r>
    </w:p>
    <w:p>
      <w:pPr>
        <w:widowControl/>
        <w:adjustRightIn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大模型故障发现及恢复：具体内容略</w:t>
      </w:r>
    </w:p>
    <w:p>
      <w:pPr>
        <w:widowControl/>
        <w:adjustRightInd w:val="0"/>
        <w:snapToGrid w:val="0"/>
        <w:spacing w:line="288" w:lineRule="auto"/>
        <w:jc w:val="left"/>
        <w:rPr>
          <w:rFonts w:ascii="仿宋" w:hAnsi="仿宋" w:eastAsia="仿宋" w:cs="仿宋"/>
          <w:color w:val="auto"/>
          <w:szCs w:val="21"/>
          <w:highlight w:val="none"/>
        </w:rPr>
      </w:pP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高效能计算系统——高效能算力平台</w:t>
      </w:r>
    </w:p>
    <w:p>
      <w:pPr>
        <w:widowControl/>
        <w:adjustRightIn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高效能算力平台界面</w:t>
      </w:r>
    </w:p>
    <w:p>
      <w:pPr>
        <w:widowControl/>
        <w:adjustRightInd w:val="0"/>
        <w:snapToGrid w:val="0"/>
        <w:spacing w:line="288" w:lineRule="auto"/>
        <w:jc w:val="center"/>
        <w:rPr>
          <w:rFonts w:ascii="仿宋" w:hAnsi="仿宋" w:eastAsia="仿宋" w:cs="仿宋"/>
          <w:color w:val="auto"/>
          <w:szCs w:val="21"/>
          <w:highlight w:val="none"/>
        </w:rPr>
      </w:pPr>
    </w:p>
    <w:p>
      <w:pPr>
        <w:rPr>
          <w:rFonts w:ascii="仿宋" w:hAnsi="仿宋" w:eastAsia="仿宋" w:cs="仿宋"/>
          <w:color w:val="auto"/>
          <w:szCs w:val="21"/>
          <w:highlight w:val="none"/>
        </w:rPr>
      </w:pPr>
    </w:p>
    <w:p>
      <w:pPr>
        <w:widowControl/>
        <w:adjustRightInd w:val="0"/>
        <w:snapToGrid w:val="0"/>
        <w:spacing w:line="288" w:lineRule="auto"/>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附件5</w:t>
      </w: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智能计算赋能创新变革——面向科学研究的基础模型</w:t>
      </w:r>
    </w:p>
    <w:p>
      <w:pPr>
        <w:widowControl/>
        <w:adjustRightInd w:val="0"/>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文字简述 约80字</w:t>
      </w:r>
    </w:p>
    <w:p>
      <w:pPr>
        <w:widowControl/>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面向科学研究的基础模型架构</w:t>
      </w:r>
    </w:p>
    <w:p>
      <w:pPr>
        <w:widowControl/>
        <w:adjustRightInd w:val="0"/>
        <w:snapToGrid w:val="0"/>
        <w:spacing w:line="288" w:lineRule="auto"/>
        <w:jc w:val="center"/>
        <w:rPr>
          <w:color w:val="auto"/>
          <w:highlight w:val="none"/>
        </w:rPr>
      </w:pPr>
      <w:r>
        <w:rPr>
          <w:color w:val="auto"/>
          <w:highlight w:val="none"/>
        </w:rPr>
        <w:drawing>
          <wp:inline distT="0" distB="0" distL="114300" distR="114300">
            <wp:extent cx="3059430" cy="1800225"/>
            <wp:effectExtent l="0" t="0" r="0" b="13335"/>
            <wp:docPr id="10"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图片2"/>
                    <pic:cNvPicPr>
                      <a:picLocks noChangeAspect="1"/>
                    </pic:cNvPicPr>
                  </pic:nvPicPr>
                  <pic:blipFill>
                    <a:blip r:embed="rId7"/>
                    <a:stretch>
                      <a:fillRect/>
                    </a:stretch>
                  </pic:blipFill>
                  <pic:spPr>
                    <a:xfrm>
                      <a:off x="0" y="0"/>
                      <a:ext cx="3059430" cy="1800225"/>
                    </a:xfrm>
                    <a:prstGeom prst="rect">
                      <a:avLst/>
                    </a:prstGeom>
                  </pic:spPr>
                </pic:pic>
              </a:graphicData>
            </a:graphic>
          </wp:inline>
        </w:drawing>
      </w:r>
    </w:p>
    <w:p>
      <w:pPr>
        <w:widowControl/>
        <w:adjustRightInd w:val="0"/>
        <w:snapToGrid w:val="0"/>
        <w:spacing w:line="288" w:lineRule="auto"/>
        <w:jc w:val="left"/>
        <w:rPr>
          <w:rFonts w:ascii="仿宋" w:hAnsi="仿宋" w:eastAsia="仿宋" w:cs="仿宋"/>
          <w:b/>
          <w:bCs/>
          <w:color w:val="auto"/>
          <w:szCs w:val="21"/>
          <w:highlight w:val="none"/>
        </w:rPr>
      </w:pP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智能计算赋能创新变革——地学领域</w:t>
      </w:r>
    </w:p>
    <w:p>
      <w:pPr>
        <w:widowControl/>
        <w:adjustRightInd w:val="0"/>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文字简述 约80字</w:t>
      </w:r>
    </w:p>
    <w:p>
      <w:pPr>
        <w:widowControl/>
        <w:adjustRightInd w:val="0"/>
        <w:snapToGrid w:val="0"/>
        <w:spacing w:line="288" w:lineRule="auto"/>
        <w:jc w:val="center"/>
        <w:rPr>
          <w:color w:val="auto"/>
          <w:highlight w:val="none"/>
        </w:rPr>
      </w:pPr>
      <w:r>
        <w:rPr>
          <w:rFonts w:hint="eastAsia" w:ascii="仿宋" w:hAnsi="仿宋" w:eastAsia="仿宋" w:cs="仿宋"/>
          <w:color w:val="auto"/>
          <w:szCs w:val="21"/>
          <w:highlight w:val="none"/>
          <w:lang w:val="en-US" w:eastAsia="zh-CN"/>
        </w:rPr>
        <w:t>配图2张（框架图）</w:t>
      </w:r>
    </w:p>
    <w:p>
      <w:pPr>
        <w:rPr>
          <w:rFonts w:ascii="仿宋" w:hAnsi="仿宋" w:eastAsia="仿宋" w:cs="仿宋"/>
          <w:color w:val="auto"/>
          <w:szCs w:val="21"/>
          <w:highlight w:val="none"/>
        </w:rPr>
      </w:pP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智能计算赋能创新变革——天文计算领域</w:t>
      </w:r>
    </w:p>
    <w:p>
      <w:pPr>
        <w:widowControl/>
        <w:adjustRightInd w:val="0"/>
        <w:snapToGrid w:val="0"/>
        <w:spacing w:line="288" w:lineRule="auto"/>
        <w:ind w:firstLine="420" w:firstLineChars="20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文字简述 约150字</w:t>
      </w: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支撑国家大科学工程</w:t>
      </w:r>
    </w:p>
    <w:p>
      <w:pPr>
        <w:widowControl/>
        <w:adjustRightInd w:val="0"/>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配图（略）</w:t>
      </w:r>
    </w:p>
    <w:p>
      <w:pPr>
        <w:widowControl/>
        <w:adjustRightInd w:val="0"/>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AI for Astronomy配图</w:t>
      </w:r>
    </w:p>
    <w:p>
      <w:pPr>
        <w:widowControl/>
        <w:adjustRightInd w:val="0"/>
        <w:snapToGrid w:val="0"/>
        <w:spacing w:line="288" w:lineRule="auto"/>
        <w:jc w:val="center"/>
        <w:rPr>
          <w:rFonts w:ascii="仿宋" w:hAnsi="仿宋" w:eastAsia="仿宋" w:cs="仿宋"/>
          <w:color w:val="auto"/>
          <w:szCs w:val="21"/>
          <w:highlight w:val="none"/>
        </w:rPr>
      </w:pPr>
      <w:r>
        <w:rPr>
          <w:color w:val="auto"/>
          <w:highlight w:val="none"/>
        </w:rPr>
        <w:drawing>
          <wp:inline distT="0" distB="0" distL="114300" distR="114300">
            <wp:extent cx="3658870" cy="1367790"/>
            <wp:effectExtent l="0" t="0" r="13970" b="3810"/>
            <wp:docPr id="12" name="图片 8" descr="WeChat0dfdd81278ae7794fa8134399a24a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WeChat0dfdd81278ae7794fa8134399a24abe1"/>
                    <pic:cNvPicPr>
                      <a:picLocks noChangeAspect="1"/>
                    </pic:cNvPicPr>
                  </pic:nvPicPr>
                  <pic:blipFill>
                    <a:blip r:embed="rId8"/>
                    <a:stretch>
                      <a:fillRect/>
                    </a:stretch>
                  </pic:blipFill>
                  <pic:spPr>
                    <a:xfrm>
                      <a:off x="0" y="0"/>
                      <a:ext cx="3658870" cy="1367790"/>
                    </a:xfrm>
                    <a:prstGeom prst="rect">
                      <a:avLst/>
                    </a:prstGeom>
                  </pic:spPr>
                </pic:pic>
              </a:graphicData>
            </a:graphic>
          </wp:inline>
        </w:drawing>
      </w:r>
    </w:p>
    <w:p>
      <w:pPr>
        <w:widowControl/>
        <w:adjustRightInd w:val="0"/>
        <w:snapToGrid w:val="0"/>
        <w:spacing w:line="288" w:lineRule="auto"/>
        <w:jc w:val="center"/>
        <w:rPr>
          <w:rFonts w:ascii="仿宋" w:hAnsi="仿宋" w:eastAsia="仿宋" w:cs="仿宋"/>
          <w:b/>
          <w:bCs/>
          <w:color w:val="auto"/>
          <w:szCs w:val="21"/>
          <w:highlight w:val="none"/>
        </w:rPr>
      </w:pPr>
    </w:p>
    <w:p>
      <w:pPr>
        <w:widowControl/>
        <w:adjustRightInd w:val="0"/>
        <w:snapToGrid w:val="0"/>
        <w:spacing w:line="288"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智能计算赋能创新变革——新材料计算领域</w:t>
      </w:r>
    </w:p>
    <w:p>
      <w:pPr>
        <w:pStyle w:val="2"/>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文字简述 约150字</w:t>
      </w:r>
    </w:p>
    <w:p>
      <w:pPr>
        <w:widowControl/>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AI for Materials</w:t>
      </w:r>
    </w:p>
    <w:p>
      <w:pPr>
        <w:widowControl/>
        <w:adjustRightInd w:val="0"/>
        <w:snapToGrid w:val="0"/>
        <w:spacing w:line="288" w:lineRule="auto"/>
        <w:jc w:val="center"/>
        <w:rPr>
          <w:color w:val="auto"/>
          <w:highlight w:val="none"/>
        </w:rPr>
      </w:pPr>
      <w:r>
        <w:rPr>
          <w:color w:val="auto"/>
          <w:highlight w:val="none"/>
        </w:rPr>
        <w:drawing>
          <wp:inline distT="0" distB="0" distL="114300" distR="114300">
            <wp:extent cx="3698240" cy="1790700"/>
            <wp:effectExtent l="0" t="0" r="5080" b="7620"/>
            <wp:docPr id="13" name="图片 9" descr="WeChatb83ff412f1cc9abb13e81dafd7da3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WeChatb83ff412f1cc9abb13e81dafd7da37cb"/>
                    <pic:cNvPicPr>
                      <a:picLocks noChangeAspect="1"/>
                    </pic:cNvPicPr>
                  </pic:nvPicPr>
                  <pic:blipFill>
                    <a:blip r:embed="rId9"/>
                    <a:stretch>
                      <a:fillRect/>
                    </a:stretch>
                  </pic:blipFill>
                  <pic:spPr>
                    <a:xfrm>
                      <a:off x="0" y="0"/>
                      <a:ext cx="3698240" cy="1790700"/>
                    </a:xfrm>
                    <a:prstGeom prst="rect">
                      <a:avLst/>
                    </a:prstGeom>
                  </pic:spPr>
                </pic:pic>
              </a:graphicData>
            </a:graphic>
          </wp:inline>
        </w:drawing>
      </w:r>
    </w:p>
    <w:p>
      <w:pPr>
        <w:widowControl/>
        <w:adjustRightInd w:val="0"/>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新材料智能计算软件平台</w:t>
      </w:r>
    </w:p>
    <w:p>
      <w:pPr>
        <w:pStyle w:val="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配图略</w:t>
      </w:r>
    </w:p>
    <w:p>
      <w:pPr>
        <w:widowControl/>
        <w:adjustRightInd w:val="0"/>
        <w:snapToGrid w:val="0"/>
        <w:spacing w:line="288" w:lineRule="auto"/>
        <w:jc w:val="center"/>
        <w:rPr>
          <w:rFonts w:ascii="仿宋" w:hAnsi="仿宋" w:eastAsia="仿宋" w:cs="仿宋"/>
          <w:color w:val="auto"/>
          <w:szCs w:val="21"/>
          <w:highlight w:val="none"/>
        </w:rPr>
      </w:pPr>
    </w:p>
    <w:p>
      <w:pPr>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widowControl/>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新材料智能计算开放平台</w:t>
      </w:r>
    </w:p>
    <w:p>
      <w:pPr>
        <w:widowControl/>
        <w:adjustRightInd w:val="0"/>
        <w:snapToGrid w:val="0"/>
        <w:spacing w:line="288" w:lineRule="auto"/>
        <w:jc w:val="center"/>
        <w:rPr>
          <w:rFonts w:ascii="仿宋" w:hAnsi="仿宋" w:eastAsia="仿宋" w:cs="仿宋"/>
          <w:color w:val="auto"/>
          <w:szCs w:val="21"/>
          <w:highlight w:val="none"/>
        </w:rPr>
      </w:pPr>
      <w:r>
        <w:rPr>
          <w:color w:val="auto"/>
          <w:highlight w:val="none"/>
        </w:rPr>
        <w:drawing>
          <wp:inline distT="0" distB="0" distL="114300" distR="114300">
            <wp:extent cx="2981960" cy="1656080"/>
            <wp:effectExtent l="0" t="0" r="5080" b="508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81960" cy="1656080"/>
                    </a:xfrm>
                    <a:prstGeom prst="rect">
                      <a:avLst/>
                    </a:prstGeom>
                  </pic:spPr>
                </pic:pic>
              </a:graphicData>
            </a:graphic>
          </wp:inline>
        </w:drawing>
      </w:r>
    </w:p>
    <w:p>
      <w:pPr>
        <w:widowControl/>
        <w:adjustRightInd w:val="0"/>
        <w:snapToGrid w:val="0"/>
        <w:spacing w:line="288" w:lineRule="auto"/>
        <w:jc w:val="center"/>
        <w:rPr>
          <w:rFonts w:ascii="仿宋" w:hAnsi="仿宋" w:eastAsia="仿宋" w:cs="仿宋"/>
          <w:b/>
          <w:bCs/>
          <w:color w:val="auto"/>
          <w:szCs w:val="21"/>
          <w:highlight w:val="none"/>
        </w:rPr>
      </w:pP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智能计算赋能创新变革——生命科学计算领域</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AI for Life Science——探索以GPT4为代表的大语言模型的思维链提示、自我反省与记忆技术，自动拆解生命科学研究任务，编写新工具、调用生命科学基座模型、算法软件包、自动化实验设备等高效处理生命科学发现任务。</w:t>
      </w:r>
    </w:p>
    <w:p>
      <w:pPr>
        <w:widowControl/>
        <w:adjustRightInd w:val="0"/>
        <w:snapToGrid w:val="0"/>
        <w:spacing w:line="288" w:lineRule="auto"/>
        <w:jc w:val="center"/>
        <w:rPr>
          <w:rFonts w:ascii="仿宋" w:hAnsi="仿宋" w:eastAsia="仿宋" w:cs="仿宋"/>
          <w:color w:val="auto"/>
          <w:szCs w:val="21"/>
          <w:highlight w:val="none"/>
        </w:rPr>
      </w:pPr>
      <w:r>
        <w:rPr>
          <w:color w:val="auto"/>
          <w:highlight w:val="none"/>
        </w:rPr>
        <w:drawing>
          <wp:inline distT="0" distB="0" distL="114300" distR="114300">
            <wp:extent cx="3564890" cy="1043940"/>
            <wp:effectExtent l="0" t="0" r="1270" b="762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1"/>
                    <a:stretch>
                      <a:fillRect/>
                    </a:stretch>
                  </pic:blipFill>
                  <pic:spPr>
                    <a:xfrm>
                      <a:off x="0" y="0"/>
                      <a:ext cx="3564890" cy="1043940"/>
                    </a:xfrm>
                    <a:prstGeom prst="rect">
                      <a:avLst/>
                    </a:prstGeom>
                  </pic:spPr>
                </pic:pic>
              </a:graphicData>
            </a:graphic>
          </wp:inline>
        </w:drawing>
      </w:r>
    </w:p>
    <w:p>
      <w:pPr>
        <w:widowControl/>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生命科学多模态基座模型</w:t>
      </w:r>
    </w:p>
    <w:p>
      <w:pPr>
        <w:widowControl/>
        <w:adjustRightInd w:val="0"/>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配图略</w:t>
      </w:r>
    </w:p>
    <w:p>
      <w:pPr>
        <w:widowControl/>
        <w:adjustRightInd w:val="0"/>
        <w:snapToGrid w:val="0"/>
        <w:spacing w:line="288" w:lineRule="auto"/>
        <w:jc w:val="center"/>
        <w:rPr>
          <w:rFonts w:ascii="仿宋" w:hAnsi="仿宋" w:eastAsia="仿宋" w:cs="仿宋"/>
          <w:b/>
          <w:bCs/>
          <w:color w:val="auto"/>
          <w:szCs w:val="21"/>
          <w:highlight w:val="none"/>
        </w:rPr>
      </w:pPr>
    </w:p>
    <w:p>
      <w:pPr>
        <w:widowControl/>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智能计算赋能创新变革——科学数据枢纽</w:t>
      </w:r>
    </w:p>
    <w:p>
      <w:pPr>
        <w:widowControl/>
        <w:adjustRightInd w:val="0"/>
        <w:snapToGrid w:val="0"/>
        <w:spacing w:line="288" w:lineRule="auto"/>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建设开放科学基础设施，实现开放科学治理。积极融入国家科学数据体系，构建开放共享的科学数据创新生态，实现高质量科学数据的汇聚和供需连接，服务全球科学家，引领科学研究范式创新。</w:t>
      </w:r>
    </w:p>
    <w:p>
      <w:pPr>
        <w:widowControl/>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开放科学数据基础设施能力建设方向</w:t>
      </w:r>
    </w:p>
    <w:p>
      <w:pPr>
        <w:widowControl/>
        <w:adjustRightInd w:val="0"/>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配图2张（略）</w:t>
      </w:r>
    </w:p>
    <w:p>
      <w:pPr>
        <w:rPr>
          <w:rFonts w:ascii="仿宋" w:hAnsi="仿宋" w:eastAsia="仿宋" w:cs="仿宋"/>
          <w:color w:val="auto"/>
          <w:szCs w:val="21"/>
          <w:highlight w:val="none"/>
        </w:rPr>
      </w:pPr>
    </w:p>
    <w:p>
      <w:pPr>
        <w:widowControl/>
        <w:adjustRightInd w:val="0"/>
        <w:snapToGrid w:val="0"/>
        <w:spacing w:line="288" w:lineRule="auto"/>
        <w:jc w:val="center"/>
        <w:rPr>
          <w:color w:val="auto"/>
          <w:highlight w:val="none"/>
        </w:rPr>
      </w:pPr>
    </w:p>
    <w:p>
      <w:pPr>
        <w:widowControl/>
        <w:adjustRightInd w:val="0"/>
        <w:snapToGrid w:val="0"/>
        <w:spacing w:line="288"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jc w:val="center"/>
        <w:outlineLvl w:val="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第三章  供应商须知</w:t>
      </w:r>
    </w:p>
    <w:p>
      <w:pPr>
        <w:adjustRightInd w:val="0"/>
        <w:snapToGrid w:val="0"/>
        <w:spacing w:line="288" w:lineRule="auto"/>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供应商须知前附表</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514"/>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条款号</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内容</w:t>
            </w:r>
          </w:p>
        </w:tc>
        <w:tc>
          <w:tcPr>
            <w:tcW w:w="707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一、1</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适用范围</w:t>
            </w:r>
          </w:p>
        </w:tc>
        <w:tc>
          <w:tcPr>
            <w:tcW w:w="7074" w:type="dxa"/>
            <w:vAlign w:val="center"/>
          </w:tcPr>
          <w:p>
            <w:pPr>
              <w:snapToGrid w:val="0"/>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本磋商文件适用于之江实验室</w:t>
            </w:r>
            <w:r>
              <w:rPr>
                <w:rFonts w:hint="eastAsia" w:ascii="仿宋" w:hAnsi="仿宋" w:eastAsia="仿宋" w:cs="仿宋"/>
                <w:color w:val="auto"/>
                <w:spacing w:val="-6"/>
                <w:sz w:val="18"/>
                <w:szCs w:val="18"/>
                <w:highlight w:val="none"/>
                <w:lang w:eastAsia="zh-CN"/>
              </w:rPr>
              <w:t>算力中心展厅展陈</w:t>
            </w:r>
            <w:r>
              <w:rPr>
                <w:rFonts w:hint="eastAsia" w:ascii="仿宋" w:hAnsi="仿宋" w:eastAsia="仿宋" w:cs="仿宋"/>
                <w:color w:val="auto"/>
                <w:spacing w:val="-6"/>
                <w:sz w:val="18"/>
                <w:szCs w:val="18"/>
                <w:highlight w:val="none"/>
              </w:rPr>
              <w:t>的磋商、评审、成交、验收、合同履约、付款等（法律、法规另有规定的，从其规定）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一、3</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color w:val="auto"/>
                <w:spacing w:val="-6"/>
                <w:sz w:val="18"/>
                <w:szCs w:val="18"/>
                <w:highlight w:val="none"/>
              </w:rPr>
              <w:t>采购方式</w:t>
            </w:r>
          </w:p>
        </w:tc>
        <w:tc>
          <w:tcPr>
            <w:tcW w:w="7074" w:type="dxa"/>
            <w:vAlign w:val="center"/>
          </w:tcPr>
          <w:p>
            <w:pPr>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本次采购采用竞争性磋商方式进行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一、4</w:t>
            </w:r>
          </w:p>
        </w:tc>
        <w:tc>
          <w:tcPr>
            <w:tcW w:w="1514" w:type="dxa"/>
            <w:vAlign w:val="center"/>
          </w:tcPr>
          <w:p>
            <w:pPr>
              <w:snapToGrid w:val="0"/>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竞争性磋商委托</w:t>
            </w:r>
          </w:p>
        </w:tc>
        <w:tc>
          <w:tcPr>
            <w:tcW w:w="7074" w:type="dxa"/>
            <w:vAlign w:val="center"/>
          </w:tcPr>
          <w:p>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▲4.1 供应商授权代表是法定代表人（单位负责人、自然人本人）的提供本人身份证明；</w:t>
            </w:r>
          </w:p>
          <w:p>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▲4.2 供应商授权代表不是法定代表人（单位负责人、自然人本人）的提供授权委托书（格式详见磋商文件第六章）和授权代表近三个月社保缴纳证明；</w:t>
            </w:r>
          </w:p>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▲4.3 供应商委派不在本单位缴纳社保的人员作为授权代表的，在响应文件中说明具体原因、授权代表缴纳社保单位并附列该授权代表缴纳社保清单（近三个月）；</w:t>
            </w:r>
          </w:p>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▲4.4 供应商授权代表须持本人有效</w:t>
            </w:r>
            <w:r>
              <w:rPr>
                <w:rFonts w:hint="eastAsia" w:ascii="仿宋" w:hAnsi="仿宋" w:eastAsia="仿宋" w:cs="仿宋"/>
                <w:color w:val="auto"/>
                <w:spacing w:val="-6"/>
                <w:sz w:val="18"/>
                <w:szCs w:val="18"/>
                <w:highlight w:val="none"/>
              </w:rPr>
              <w:t>身份证件（身份证、驾驶证或护照）原件</w:t>
            </w:r>
            <w:r>
              <w:rPr>
                <w:rFonts w:hint="eastAsia" w:ascii="仿宋" w:hAnsi="仿宋" w:eastAsia="仿宋" w:cs="仿宋"/>
                <w:color w:val="auto"/>
                <w:sz w:val="18"/>
                <w:szCs w:val="18"/>
                <w:highlight w:val="none"/>
              </w:rPr>
              <w:t>于响应文件提交截止时间前到达响应文件开启地点参与磋商。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一、5</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磋商费用</w:t>
            </w:r>
          </w:p>
        </w:tc>
        <w:tc>
          <w:tcPr>
            <w:tcW w:w="7074" w:type="dxa"/>
            <w:vAlign w:val="center"/>
          </w:tcPr>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5.1 不论采购结果如何，供应商均应自行承担所有与磋商有关的全部费用；</w:t>
            </w:r>
          </w:p>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5.2 成交供应商在成交通知书发出之日起七个工作日内向采购代理机构交纳代理服务费；</w:t>
            </w:r>
          </w:p>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rPr>
                <w:rFonts w:ascii="仿宋" w:hAnsi="仿宋" w:eastAsia="仿宋" w:cs="仿宋"/>
                <w:color w:val="auto"/>
                <w:spacing w:val="-6"/>
                <w:sz w:val="18"/>
                <w:szCs w:val="18"/>
                <w:highlight w:val="none"/>
              </w:rPr>
            </w:pPr>
            <w:r>
              <w:rPr>
                <w:rFonts w:hint="eastAsia" w:ascii="仿宋" w:hAnsi="仿宋" w:eastAsia="仿宋" w:cs="仿宋"/>
                <w:color w:val="auto"/>
                <w:sz w:val="18"/>
                <w:szCs w:val="18"/>
                <w:highlight w:val="none"/>
              </w:rPr>
              <w:t xml:space="preserve">5.4 </w:t>
            </w:r>
            <w:r>
              <w:rPr>
                <w:rFonts w:hint="eastAsia" w:ascii="仿宋" w:hAnsi="仿宋" w:eastAsia="仿宋" w:cs="仿宋"/>
                <w:color w:val="auto"/>
                <w:spacing w:val="-6"/>
                <w:sz w:val="18"/>
                <w:szCs w:val="18"/>
                <w:highlight w:val="none"/>
              </w:rPr>
              <w:t>收费标准（差额累进）：</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92"/>
              <w:gridCol w:w="2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成交金额（万元）</w:t>
                  </w:r>
                </w:p>
              </w:tc>
              <w:tc>
                <w:tcPr>
                  <w:tcW w:w="2692" w:type="dxa"/>
                  <w:tcMar>
                    <w:top w:w="0" w:type="dxa"/>
                    <w:left w:w="108" w:type="dxa"/>
                    <w:bottom w:w="0" w:type="dxa"/>
                    <w:right w:w="108" w:type="dxa"/>
                  </w:tcMar>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snapToGrid w:val="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100以下</w:t>
                  </w:r>
                </w:p>
              </w:tc>
              <w:tc>
                <w:tcPr>
                  <w:tcW w:w="2692" w:type="dxa"/>
                  <w:tcMar>
                    <w:top w:w="0" w:type="dxa"/>
                    <w:left w:w="108" w:type="dxa"/>
                    <w:bottom w:w="0" w:type="dxa"/>
                    <w:right w:w="108" w:type="dxa"/>
                  </w:tcMar>
                  <w:vAlign w:val="center"/>
                </w:tcPr>
                <w:p>
                  <w:pPr>
                    <w:snapToGrid w:val="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0.75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snapToGrid w:val="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100-500</w:t>
                  </w:r>
                </w:p>
              </w:tc>
              <w:tc>
                <w:tcPr>
                  <w:tcW w:w="2692" w:type="dxa"/>
                  <w:tcMar>
                    <w:top w:w="0" w:type="dxa"/>
                    <w:left w:w="108" w:type="dxa"/>
                    <w:bottom w:w="0" w:type="dxa"/>
                    <w:right w:w="108" w:type="dxa"/>
                  </w:tcMar>
                  <w:vAlign w:val="center"/>
                </w:tcPr>
                <w:p>
                  <w:pPr>
                    <w:snapToGrid w:val="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0.55</w:t>
                  </w:r>
                </w:p>
              </w:tc>
            </w:tr>
          </w:tbl>
          <w:p>
            <w:pPr>
              <w:adjustRightInd w:val="0"/>
              <w:snapToGrid w:val="0"/>
              <w:jc w:val="left"/>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5.5 磋商保证金：无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一、6</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联合体响应</w:t>
            </w:r>
          </w:p>
        </w:tc>
        <w:tc>
          <w:tcPr>
            <w:tcW w:w="7074" w:type="dxa"/>
            <w:vAlign w:val="center"/>
          </w:tcPr>
          <w:p>
            <w:pPr>
              <w:adjustRightInd w:val="0"/>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本项目不接受联合体响应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一、7</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转包与分包</w:t>
            </w:r>
          </w:p>
        </w:tc>
        <w:tc>
          <w:tcPr>
            <w:tcW w:w="7074" w:type="dxa"/>
            <w:vAlign w:val="center"/>
          </w:tcPr>
          <w:p>
            <w:pPr>
              <w:adjustRightInd w:val="0"/>
              <w:snapToGrid w:val="0"/>
              <w:jc w:val="left"/>
              <w:rPr>
                <w:rFonts w:ascii="仿宋" w:hAnsi="仿宋" w:eastAsia="仿宋" w:cs="仿宋"/>
                <w:color w:val="auto"/>
                <w:spacing w:val="-6"/>
                <w:sz w:val="18"/>
                <w:szCs w:val="18"/>
                <w:highlight w:val="none"/>
              </w:rPr>
            </w:pPr>
            <w:r>
              <w:rPr>
                <w:rFonts w:hint="eastAsia" w:ascii="仿宋" w:hAnsi="仿宋" w:eastAsia="仿宋" w:cs="仿宋"/>
                <w:color w:val="auto"/>
                <w:spacing w:val="-6"/>
                <w:sz w:val="18"/>
                <w:szCs w:val="18"/>
                <w:highlight w:val="none"/>
              </w:rPr>
              <w:t>7.1 本项目不允许转包；</w:t>
            </w:r>
          </w:p>
          <w:p>
            <w:pPr>
              <w:snapToGrid w:val="0"/>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7.2 供应商根据磋商文件的规定和采购项目的实际情况，拟在成交后将成交项目的非主体、非关键性工作分包的，应当在响应文件中载明分包承担主体，分包承担主体应当具备相应资质条件且不得再次分包。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六、（二）</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信用信息</w:t>
            </w:r>
          </w:p>
        </w:tc>
        <w:tc>
          <w:tcPr>
            <w:tcW w:w="7074" w:type="dxa"/>
            <w:vAlign w:val="center"/>
          </w:tcPr>
          <w:p>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查询渠道及截止时间：采购代理机构将通过“信用中国”、中国政府采购网查询供应商响应文件提交截止时间当天的信用记录；</w:t>
            </w:r>
          </w:p>
          <w:p>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查询记录和证据留存的具体方式：现场查询的供应商信用记录、查询结果经确认后与采购文件一起存档；</w:t>
            </w:r>
          </w:p>
          <w:p>
            <w:pPr>
              <w:snapToGrid w:val="0"/>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使用规则：经查询列入失信被执行人名单、重大税收违法案件当事人名单、政府采购严重违法失信行为记录名单的供应商将被拒绝参与政府采购活动。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w:t>
            </w:r>
          </w:p>
        </w:tc>
        <w:tc>
          <w:tcPr>
            <w:tcW w:w="7074" w:type="dxa"/>
            <w:vAlign w:val="center"/>
          </w:tcPr>
          <w:p>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资格审查要求的资格证明材料（均需加盖公章）：</w:t>
            </w:r>
          </w:p>
          <w:p>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1）有效的法人或者其他组织的营业执照等证明文件/自然人的身份证明</w:t>
            </w:r>
          </w:p>
          <w:p>
            <w:pPr>
              <w:snapToGrid w:val="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2）符合参加采购活动应当具备的一般条件的承诺函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color w:val="auto"/>
                <w:sz w:val="18"/>
                <w:szCs w:val="18"/>
                <w:highlight w:val="none"/>
              </w:rPr>
            </w:pPr>
            <w:r>
              <w:rPr>
                <w:rFonts w:hint="eastAsia" w:ascii="仿宋" w:hAnsi="仿宋" w:eastAsia="仿宋" w:cs="仿宋"/>
                <w:b/>
                <w:bCs/>
                <w:color w:val="auto"/>
                <w:spacing w:val="-6"/>
                <w:sz w:val="18"/>
                <w:szCs w:val="18"/>
                <w:highlight w:val="none"/>
              </w:rPr>
              <w:t>三、2.1</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装订与份数</w:t>
            </w:r>
          </w:p>
        </w:tc>
        <w:tc>
          <w:tcPr>
            <w:tcW w:w="7074" w:type="dxa"/>
            <w:vAlign w:val="center"/>
          </w:tcPr>
          <w:p>
            <w:pPr>
              <w:snapToGrid w:val="0"/>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资格文件、报价文件、商务和技术文件</w:t>
            </w:r>
            <w:r>
              <w:rPr>
                <w:rFonts w:hint="eastAsia" w:ascii="仿宋" w:hAnsi="仿宋" w:eastAsia="仿宋" w:cs="仿宋"/>
                <w:b/>
                <w:bCs/>
                <w:color w:val="auto"/>
                <w:spacing w:val="-6"/>
                <w:sz w:val="18"/>
                <w:szCs w:val="18"/>
                <w:highlight w:val="none"/>
              </w:rPr>
              <w:t>合并装订成册，其中正本一份、副本五份，响应文件的封面应注明“正本”、“副本”字样，同时提供响应文件电子文档一份（U盘或光盘形式，电子文档需为签字且加盖公章后的响应文件完成版彩色扫描件），▲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adjustRightInd w:val="0"/>
              <w:snapToGrid w:val="0"/>
              <w:jc w:val="center"/>
              <w:outlineLvl w:val="2"/>
              <w:rPr>
                <w:rFonts w:ascii="仿宋" w:hAnsi="仿宋" w:eastAsia="仿宋" w:cs="仿宋"/>
                <w:b/>
                <w:bCs/>
                <w:color w:val="auto"/>
                <w:sz w:val="18"/>
                <w:szCs w:val="18"/>
                <w:highlight w:val="none"/>
              </w:rPr>
            </w:pPr>
            <w:r>
              <w:rPr>
                <w:rFonts w:hint="eastAsia" w:ascii="仿宋" w:hAnsi="仿宋" w:eastAsia="仿宋" w:cs="仿宋"/>
                <w:b/>
                <w:bCs/>
                <w:color w:val="auto"/>
                <w:spacing w:val="-6"/>
                <w:sz w:val="18"/>
                <w:szCs w:val="18"/>
                <w:highlight w:val="none"/>
              </w:rPr>
              <w:t>三、5</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color w:val="auto"/>
                <w:spacing w:val="-6"/>
                <w:sz w:val="18"/>
                <w:szCs w:val="18"/>
                <w:highlight w:val="none"/>
              </w:rPr>
              <w:t>响应报价</w:t>
            </w:r>
          </w:p>
        </w:tc>
        <w:tc>
          <w:tcPr>
            <w:tcW w:w="7074" w:type="dxa"/>
            <w:vAlign w:val="center"/>
          </w:tcPr>
          <w:p>
            <w:pPr>
              <w:snapToGrid w:val="0"/>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5.1 报价应按磋商文件要求的格式编制、填写报价内容（可自行增行），未按磋商文件要求编制、填写的响应文件可能被拒绝；</w:t>
            </w:r>
          </w:p>
          <w:p>
            <w:pPr>
              <w:snapToGrid w:val="0"/>
              <w:rPr>
                <w:rFonts w:ascii="仿宋" w:hAnsi="仿宋" w:eastAsia="仿宋" w:cs="仿宋"/>
                <w:color w:val="auto"/>
                <w:sz w:val="18"/>
                <w:szCs w:val="18"/>
                <w:highlight w:val="none"/>
              </w:rPr>
            </w:pPr>
            <w:r>
              <w:rPr>
                <w:rFonts w:hint="eastAsia" w:ascii="仿宋" w:hAnsi="仿宋" w:eastAsia="仿宋" w:cs="仿宋"/>
                <w:bCs/>
                <w:color w:val="auto"/>
                <w:sz w:val="18"/>
                <w:szCs w:val="18"/>
                <w:highlight w:val="none"/>
              </w:rPr>
              <w:t>5.2 最后报价是履行合同的最终价格，包含货物金额、广告制作、仓储、包装、运输、保险、装卸、安装、调试、综合布线、垃圾清运、保洁、培训、食宿及相关材料费、检验费及税金等为确保合法、正常使用货物及成交供应商履行合同项下约定的所有义务所需支出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评审方法和评审标准</w:t>
            </w:r>
          </w:p>
        </w:tc>
        <w:tc>
          <w:tcPr>
            <w:tcW w:w="7074" w:type="dxa"/>
            <w:vAlign w:val="center"/>
          </w:tcPr>
          <w:p>
            <w:pPr>
              <w:snapToGrid w:val="0"/>
              <w:rPr>
                <w:rFonts w:ascii="宋体" w:hAnsi="宋体" w:eastAsia="宋体" w:cs="宋体"/>
                <w:color w:val="auto"/>
                <w:sz w:val="18"/>
                <w:szCs w:val="18"/>
                <w:highlight w:val="none"/>
              </w:rPr>
            </w:pPr>
            <w:r>
              <w:rPr>
                <w:rFonts w:hint="eastAsia" w:ascii="仿宋" w:hAnsi="仿宋" w:eastAsia="仿宋" w:cs="仿宋"/>
                <w:color w:val="auto"/>
                <w:sz w:val="18"/>
                <w:szCs w:val="18"/>
                <w:highlight w:val="none"/>
              </w:rPr>
              <w:t>详见“第四章  评审方法和评审标准”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七、1.3</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成交</w:t>
            </w:r>
          </w:p>
        </w:tc>
        <w:tc>
          <w:tcPr>
            <w:tcW w:w="7074" w:type="dxa"/>
            <w:vAlign w:val="center"/>
          </w:tcPr>
          <w:p>
            <w:pPr>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评审结果公示媒体：浙江政府采购网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0" w:type="dxa"/>
            <w:vAlign w:val="center"/>
          </w:tcPr>
          <w:p>
            <w:pPr>
              <w:snapToGrid w:val="0"/>
              <w:jc w:val="center"/>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七、2.1</w:t>
            </w:r>
          </w:p>
        </w:tc>
        <w:tc>
          <w:tcPr>
            <w:tcW w:w="1514" w:type="dxa"/>
            <w:vAlign w:val="center"/>
          </w:tcPr>
          <w:p>
            <w:pPr>
              <w:snapToGrid w:val="0"/>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合同</w:t>
            </w:r>
          </w:p>
        </w:tc>
        <w:tc>
          <w:tcPr>
            <w:tcW w:w="7074" w:type="dxa"/>
            <w:vAlign w:val="center"/>
          </w:tcPr>
          <w:p>
            <w:pPr>
              <w:snapToGrid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tc>
      </w:tr>
    </w:tbl>
    <w:p>
      <w:pPr>
        <w:adjustRightInd w:val="0"/>
        <w:snapToGrid w:val="0"/>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一、总  则</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0" w:name="_Hlk94018326"/>
      <w:r>
        <w:rPr>
          <w:rFonts w:hint="eastAsia" w:ascii="仿宋" w:hAnsi="仿宋" w:eastAsia="仿宋" w:cs="仿宋"/>
          <w:color w:val="auto"/>
          <w:spacing w:val="-6"/>
          <w:szCs w:val="21"/>
          <w:highlight w:val="none"/>
        </w:rPr>
        <w:t>供应商应仔细阅读磋商文件的所有内容，按照磋商文件的要求提交响应文件，并对所提供的全部资料的真实性承担法律责任。</w:t>
      </w:r>
    </w:p>
    <w:bookmarkEnd w:id="30"/>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1.适用范围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本磋商文件适用于之江实验室</w:t>
      </w:r>
      <w:r>
        <w:rPr>
          <w:rFonts w:hint="eastAsia" w:ascii="仿宋" w:hAnsi="仿宋" w:eastAsia="仿宋" w:cs="仿宋"/>
          <w:color w:val="auto"/>
          <w:spacing w:val="-6"/>
          <w:szCs w:val="21"/>
          <w:highlight w:val="none"/>
          <w:lang w:eastAsia="zh-CN"/>
        </w:rPr>
        <w:t>算力中心展厅展陈</w:t>
      </w:r>
      <w:r>
        <w:rPr>
          <w:rFonts w:hint="eastAsia" w:ascii="仿宋" w:hAnsi="仿宋" w:eastAsia="仿宋" w:cs="仿宋"/>
          <w:color w:val="auto"/>
          <w:spacing w:val="-6"/>
          <w:szCs w:val="21"/>
          <w:highlight w:val="none"/>
        </w:rPr>
        <w:t>的磋商、评审、成交、验收、合同履约、付款等（法律、法规另有规定的，从其规定）。</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2.定义</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2.1 “采购人”系指之江实验室；</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2.2 “采购代理机构”系指组织本次竞争性磋商的浙江求是招标代理有限公司；</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2.3 “供应商”系指响应磋商、参加竞争的法人、其他组织或者自然人；</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2.4 “书面形式”包括合同书、信件和数据电文(包括电报、电传、传真、电子数据交换和电子邮件)等可以有形地表现所载内容的形式；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2.5 “公章”系指单位法定名称章[因特殊原因需要使用冠以法定名称的业务专用章的，响应文件中提供《业务专用章使用说明函》（附件1）]；</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2.6 “▲”系指实质性要求条款，供应商应当做出实质性响应。</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3.采购方式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本次采购采用竞争性磋商方式进行。</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4.竞争性磋商委托</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▲4.1 供应商授权代表是法定代表人（单位负责人、自然人本人）的提供本人身份证明；</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▲4.2 供应商授权代表不是法定代表人（单位负责人、自然人本人）的提供授权委托书（格式详见磋商文件第六章）和授权代表近三个月社保缴纳证明；</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▲4.3 供应商委派不在本单位缴纳社保的人员作为授权代表的，在响应文件中说明具体原因、授权代表缴纳社保单位并附列该授权代表缴纳社保清单（近三个月）；</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▲4.4 供应商授权代表须持本人有效身份证件（身份证、驾驶证或护照）原件于响应文件提交截止时间前到达响应文件开启地点参与磋商。</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5.磋商费用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5.1 不论采购结果如何，供应商均应自行承担所有与磋商有关的全部费用；</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5.2 成交供应商在成交通知书发出之日起七个工作日内向采购代理机构交纳代理服务费；</w:t>
      </w:r>
    </w:p>
    <w:p>
      <w:pPr>
        <w:adjustRightInd w:val="0"/>
        <w:snapToGrid w:val="0"/>
        <w:spacing w:line="288"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5.3 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adjustRightInd w:val="0"/>
        <w:snapToGrid w:val="0"/>
        <w:spacing w:line="288" w:lineRule="auto"/>
        <w:ind w:firstLine="424" w:firstLineChars="202"/>
        <w:jc w:val="left"/>
        <w:rPr>
          <w:rFonts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5.4 </w:t>
      </w:r>
      <w:r>
        <w:rPr>
          <w:rFonts w:hint="eastAsia" w:ascii="仿宋" w:hAnsi="仿宋" w:eastAsia="仿宋" w:cs="仿宋"/>
          <w:color w:val="auto"/>
          <w:spacing w:val="-6"/>
          <w:szCs w:val="21"/>
          <w:highlight w:val="none"/>
        </w:rPr>
        <w:t>收费标准（差额累进）：</w:t>
      </w:r>
    </w:p>
    <w:tbl>
      <w:tblPr>
        <w:tblStyle w:val="27"/>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92"/>
        <w:gridCol w:w="26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成交金额（万元）</w:t>
            </w:r>
          </w:p>
        </w:tc>
        <w:tc>
          <w:tcPr>
            <w:tcW w:w="2692" w:type="dxa"/>
            <w:tcMar>
              <w:top w:w="0" w:type="dxa"/>
              <w:left w:w="108" w:type="dxa"/>
              <w:bottom w:w="0" w:type="dxa"/>
              <w:right w:w="108" w:type="dxa"/>
            </w:tcMar>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100以下</w:t>
            </w:r>
          </w:p>
        </w:tc>
        <w:tc>
          <w:tcPr>
            <w:tcW w:w="2692" w:type="dxa"/>
            <w:tcMar>
              <w:top w:w="0" w:type="dxa"/>
              <w:left w:w="108" w:type="dxa"/>
              <w:bottom w:w="0" w:type="dxa"/>
              <w:right w:w="108"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0.75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692" w:type="dxa"/>
            <w:tcMar>
              <w:top w:w="0" w:type="dxa"/>
              <w:left w:w="108" w:type="dxa"/>
              <w:bottom w:w="0" w:type="dxa"/>
              <w:right w:w="108" w:type="dxa"/>
            </w:tcMar>
            <w:vAlign w:val="center"/>
          </w:tcPr>
          <w:p>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2692" w:type="dxa"/>
            <w:tcMar>
              <w:top w:w="0" w:type="dxa"/>
              <w:left w:w="108" w:type="dxa"/>
              <w:bottom w:w="0" w:type="dxa"/>
              <w:right w:w="108" w:type="dxa"/>
            </w:tcMar>
            <w:vAlign w:val="center"/>
          </w:tcPr>
          <w:p>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0.55</w:t>
            </w:r>
          </w:p>
        </w:tc>
      </w:tr>
    </w:tbl>
    <w:p>
      <w:pPr>
        <w:adjustRightInd w:val="0"/>
        <w:snapToGrid w:val="0"/>
        <w:spacing w:line="288" w:lineRule="auto"/>
        <w:ind w:firstLine="424" w:firstLineChars="202"/>
        <w:jc w:val="left"/>
        <w:rPr>
          <w:rFonts w:ascii="仿宋" w:hAnsi="仿宋" w:eastAsia="仿宋" w:cs="仿宋"/>
          <w:color w:val="auto"/>
          <w:szCs w:val="21"/>
          <w:highlight w:val="none"/>
        </w:rPr>
      </w:pPr>
      <w:r>
        <w:rPr>
          <w:rFonts w:hint="eastAsia" w:ascii="仿宋" w:hAnsi="仿宋" w:eastAsia="仿宋" w:cs="仿宋"/>
          <w:color w:val="auto"/>
          <w:szCs w:val="21"/>
          <w:highlight w:val="none"/>
        </w:rPr>
        <w:t>5.5 磋商保证金：无</w:t>
      </w:r>
    </w:p>
    <w:p>
      <w:pPr>
        <w:adjustRightInd w:val="0"/>
        <w:snapToGrid w:val="0"/>
        <w:spacing w:line="288" w:lineRule="auto"/>
        <w:outlineLvl w:val="2"/>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6.联合体响应</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本项目不接受联合体响应。</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7.转包与分包</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7.1 本项目不允许转包；</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7.2 供应商根据磋商文件的规定和采购项目的实际情况，拟在成交后将成交项目的非主体、非关键性工作分包的，应当在响应文件中载明分包承担主体，分包承担主体应当具备相应资质条件且不得再次分包。</w:t>
      </w:r>
    </w:p>
    <w:p>
      <w:pPr>
        <w:adjustRightInd w:val="0"/>
        <w:snapToGrid w:val="0"/>
        <w:spacing w:line="288" w:lineRule="auto"/>
        <w:jc w:val="left"/>
        <w:outlineLvl w:val="2"/>
        <w:rPr>
          <w:rFonts w:ascii="仿宋" w:hAnsi="仿宋" w:eastAsia="仿宋" w:cs="仿宋"/>
          <w:b/>
          <w:color w:val="auto"/>
          <w:spacing w:val="-6"/>
          <w:szCs w:val="21"/>
          <w:highlight w:val="none"/>
        </w:rPr>
      </w:pPr>
      <w:bookmarkStart w:id="31" w:name="_Hlk92273406"/>
      <w:r>
        <w:rPr>
          <w:rFonts w:hint="eastAsia" w:ascii="仿宋" w:hAnsi="仿宋" w:eastAsia="仿宋" w:cs="仿宋"/>
          <w:b/>
          <w:color w:val="auto"/>
          <w:spacing w:val="-6"/>
          <w:szCs w:val="21"/>
          <w:highlight w:val="none"/>
        </w:rPr>
        <w:t>8.质疑</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8.1 供应商认为磋商文件、采购过程、成交结果使自己的权益受到损害的，可以在知道或者应知其权益受到损害之日起7个工作日内，以书面形式向采购人、采购代理机构提出质疑。</w:t>
      </w:r>
    </w:p>
    <w:bookmarkEnd w:id="31"/>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8.2 供应商提出质疑应当提交质疑函和必要的证明材料，质疑函应当包括下列内容：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（2）质疑项目的名称、编号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（4）事实依据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（5）必要的法律依据</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（6）提出质疑的日期</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供应商为自然人的，应当由本人签名；供应商为法人或者其他组织的，应当由法定代表人、主要负责人，或者其授权代表签名或者盖章，并加盖公章。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b/>
          <w:color w:val="auto"/>
          <w:spacing w:val="-6"/>
          <w:szCs w:val="21"/>
          <w:highlight w:val="none"/>
        </w:rPr>
      </w:pPr>
      <w:r>
        <w:rPr>
          <w:rFonts w:hint="eastAsia" w:ascii="仿宋" w:hAnsi="仿宋" w:eastAsia="仿宋" w:cs="仿宋"/>
          <w:color w:val="auto"/>
          <w:spacing w:val="-6"/>
          <w:szCs w:val="21"/>
          <w:highlight w:val="none"/>
        </w:rPr>
        <w:t>8.3 提出质疑的供应商应当是参与本项目招标活动的供应商。</w:t>
      </w:r>
      <w:r>
        <w:rPr>
          <w:rFonts w:hint="eastAsia" w:ascii="仿宋" w:hAnsi="仿宋" w:eastAsia="仿宋" w:cs="仿宋"/>
          <w:b/>
          <w:color w:val="auto"/>
          <w:spacing w:val="-6"/>
          <w:szCs w:val="21"/>
          <w:highlight w:val="none"/>
        </w:rPr>
        <w:t>供应商在法定质疑期内应一次性提出针对同一采购程序环节的质疑。</w:t>
      </w:r>
    </w:p>
    <w:p>
      <w:pPr>
        <w:adjustRightInd w:val="0"/>
        <w:snapToGrid w:val="0"/>
        <w:spacing w:line="288" w:lineRule="auto"/>
        <w:outlineLvl w:val="2"/>
        <w:rPr>
          <w:rFonts w:ascii="仿宋" w:hAnsi="仿宋" w:eastAsia="仿宋" w:cs="仿宋"/>
          <w:color w:val="auto"/>
          <w:szCs w:val="21"/>
          <w:highlight w:val="none"/>
        </w:rPr>
      </w:pPr>
      <w:bookmarkStart w:id="32" w:name="_Hlk92273111"/>
      <w:bookmarkStart w:id="33" w:name="_Hlk94018492"/>
      <w:r>
        <w:rPr>
          <w:rFonts w:hint="eastAsia" w:ascii="仿宋" w:hAnsi="仿宋" w:eastAsia="仿宋" w:cs="仿宋"/>
          <w:b/>
          <w:color w:val="auto"/>
          <w:spacing w:val="-6"/>
          <w:kern w:val="0"/>
          <w:szCs w:val="21"/>
          <w:highlight w:val="none"/>
        </w:rPr>
        <w:t>9.采购项目需要落实的政府采购政策</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9.1 本项目采购本国生产的货物，不允许采购进口产品（部件除外）；</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9.2 支持绿色发展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拟采购的产品属于品目清单范围的，采购人及其委托的采购代理机构将依据国家确定的认证机构出具的、有效的节能、环境标志产品认证证书，对获得证书的产品实施政府优先采购。供应商须按磋商文件要求提供相关产品认证证书。</w:t>
      </w:r>
    </w:p>
    <w:p>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9.3 支持中小企业发展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在政府采购活动中，供应商提供的货物符合下列情形的，享受中小企业扶持政策：货物由中小企业制造，即货物由中小企业生产且使用该中小企业商号或者注册商标。</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供应商提供的货物既有中小企业制造货物，也有大型企业制造货物的，不享受中小企业扶持政策。</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成交，依法承担法律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中小企业享受扶持政策获得政府采购合同的，小微企业不得将合同分包给大中型企业，中型企业不得将合同分包给大型企业。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9.4 政府采购支持监狱企业发展</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9.5 政府采购促进残疾人就业</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符合《关于促进残疾人就业政府采购政策的通知》（财库[2017]141号）规定的条件并提供《残疾人福利性单位声明函》的残疾人福利性单位视同小型、微型企业。</w:t>
      </w:r>
      <w:bookmarkEnd w:id="32"/>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备注：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bookmarkEnd w:id="33"/>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二、磋商文件</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1.磋商文件的构成</w:t>
      </w:r>
    </w:p>
    <w:p>
      <w:pPr>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本磋商文件由以下部分组成：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1）采购邀请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2）采购需求</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3）供应商须知</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4）评审方法和评审标准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5）拟签订的合同文本</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6）响应文件格式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7）本项目磋商文件的澄清、答复、修改、补充的内容</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2.磋商文件的澄清与修改</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2.1 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2.2 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2.3 磋商文件澄清、答复、修改、补充的内容为磋商文件的组成部分。当磋商文件与磋商文件的答复、澄清、修改、补充通知就同一内容的表述不一致时，以最后发出的书面形式文件为准。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2.4 磋商文件的澄清、答复、修改或补充都应该通过本采购代理机构以法定形式发布，采购人非通过本机构，不得擅自澄清、答复、修改或补充磋商文件。</w:t>
      </w:r>
    </w:p>
    <w:p>
      <w:pPr>
        <w:adjustRightInd w:val="0"/>
        <w:snapToGrid w:val="0"/>
        <w:spacing w:line="288" w:lineRule="auto"/>
        <w:jc w:val="center"/>
        <w:outlineLvl w:val="1"/>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br w:type="page"/>
      </w:r>
      <w:r>
        <w:rPr>
          <w:rFonts w:hint="eastAsia" w:ascii="仿宋" w:hAnsi="仿宋" w:eastAsia="仿宋" w:cs="仿宋"/>
          <w:b/>
          <w:color w:val="auto"/>
          <w:spacing w:val="-6"/>
          <w:sz w:val="24"/>
          <w:szCs w:val="24"/>
          <w:highlight w:val="none"/>
        </w:rPr>
        <w:t>三、响应文件编制要求</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1.响应文件的组成</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4" w:name="_Hlk94018532"/>
      <w:r>
        <w:rPr>
          <w:rFonts w:hint="eastAsia" w:ascii="仿宋" w:hAnsi="仿宋" w:eastAsia="仿宋" w:cs="仿宋"/>
          <w:color w:val="auto"/>
          <w:spacing w:val="-6"/>
          <w:szCs w:val="21"/>
          <w:highlight w:val="none"/>
        </w:rPr>
        <w:t>1.1 响应文件由</w:t>
      </w:r>
      <w:r>
        <w:rPr>
          <w:rFonts w:hint="eastAsia" w:ascii="仿宋" w:hAnsi="仿宋" w:eastAsia="仿宋" w:cs="仿宋"/>
          <w:b/>
          <w:color w:val="auto"/>
          <w:spacing w:val="-6"/>
          <w:szCs w:val="21"/>
          <w:highlight w:val="none"/>
        </w:rPr>
        <w:t>资格文件、报价文件、商务和技术文件三部分</w:t>
      </w:r>
      <w:r>
        <w:rPr>
          <w:rFonts w:hint="eastAsia" w:ascii="仿宋" w:hAnsi="仿宋" w:eastAsia="仿宋" w:cs="仿宋"/>
          <w:bCs/>
          <w:color w:val="auto"/>
          <w:spacing w:val="-6"/>
          <w:szCs w:val="21"/>
          <w:highlight w:val="none"/>
        </w:rPr>
        <w:t>组成（格式详见磋商文件第六章）；</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1.2 响应文件组成：详见“第六章  响应文件格式”目录。</w:t>
      </w:r>
    </w:p>
    <w:bookmarkEnd w:id="34"/>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2.响应文件的装订、份数、包装、递交、修改和撤回</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2.1 装订与份数：</w:t>
      </w:r>
      <w:r>
        <w:rPr>
          <w:rFonts w:hint="eastAsia" w:ascii="仿宋" w:hAnsi="仿宋" w:eastAsia="仿宋" w:cs="仿宋"/>
          <w:b/>
          <w:color w:val="auto"/>
          <w:spacing w:val="-6"/>
          <w:szCs w:val="21"/>
          <w:highlight w:val="none"/>
        </w:rPr>
        <w:t>资格文件、报价文件、商务和技术文件</w:t>
      </w:r>
      <w:r>
        <w:rPr>
          <w:rFonts w:hint="eastAsia" w:ascii="仿宋" w:hAnsi="仿宋" w:eastAsia="仿宋" w:cs="仿宋"/>
          <w:b/>
          <w:bCs/>
          <w:color w:val="auto"/>
          <w:spacing w:val="-6"/>
          <w:szCs w:val="21"/>
          <w:highlight w:val="none"/>
        </w:rPr>
        <w:t>合并装订成册，其中正本一份、副本五份，响应文件的封面应注明“正本”、“副本”字样，同时提供响应文件电子文档一份（U盘或光盘形式，电子文档需为签字且加盖公章后的响应文件完成版彩色扫描件），▲活页装订（卡条、抽杆夹、订书机、散装）的响应文件无效；</w:t>
      </w:r>
    </w:p>
    <w:p>
      <w:pPr>
        <w:adjustRightInd w:val="0"/>
        <w:snapToGrid w:val="0"/>
        <w:spacing w:line="288" w:lineRule="auto"/>
        <w:ind w:firstLine="398" w:firstLineChars="200"/>
        <w:jc w:val="left"/>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2.2 包装：</w:t>
      </w:r>
      <w:r>
        <w:rPr>
          <w:rFonts w:hint="eastAsia" w:ascii="仿宋" w:hAnsi="仿宋" w:eastAsia="仿宋" w:cs="仿宋"/>
          <w:color w:val="auto"/>
          <w:spacing w:val="-6"/>
          <w:szCs w:val="21"/>
          <w:highlight w:val="none"/>
        </w:rPr>
        <w:t>供应商应在响应文件包装封面上注明供应商名称、供应商地址、项目名称、项目编号及“开启时启封”字样，并加盖供应商公章</w:t>
      </w:r>
      <w:r>
        <w:rPr>
          <w:rFonts w:hint="eastAsia" w:ascii="仿宋" w:hAnsi="仿宋" w:eastAsia="仿宋" w:cs="仿宋"/>
          <w:b/>
          <w:bCs/>
          <w:color w:val="auto"/>
          <w:spacing w:val="-6"/>
          <w:szCs w:val="21"/>
          <w:highlight w:val="none"/>
        </w:rPr>
        <w:t>；</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2.3 未按规定密封或标记的响应文件被误投或提前拆封的风险由供应商承担；</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2.4 供应商在响应文件提交截止时间前，可以对所递交的响应文件进行补充、修改或者撤回，并书面通知采购代理机构。补充、修改的内容应当按照磋商文件要求签署、盖章、密封后，作为响应文件的组成部分。</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3.响应文件的签署</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3.1 供应商应按本磋商文件规定的格式和顺序编制、装订响应文件，响应文件内容不完整、编排混乱导致响应文件被误读、漏读或者查找不到相关内容的，是供应商的责任；</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3.2 响应文件的正本需打印或用不褪色的墨水填写，响应文件正本除本《供应商须知》中规定的可提供复印件外均须提供原件（复印件须加盖公章）。副本可以是正本加盖公章后的复印件，正本和副本如有不一致之处以正本为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3.3 响应文件须由供应商在规定位置盖章并由供应商代表签署，供应商应写全称；</w:t>
      </w:r>
    </w:p>
    <w:p>
      <w:pPr>
        <w:adjustRightInd w:val="0"/>
        <w:snapToGrid w:val="0"/>
        <w:spacing w:line="288" w:lineRule="auto"/>
        <w:ind w:firstLine="396" w:firstLineChars="200"/>
        <w:jc w:val="left"/>
        <w:rPr>
          <w:rFonts w:ascii="仿宋" w:hAnsi="仿宋" w:eastAsia="仿宋" w:cs="仿宋"/>
          <w:b/>
          <w:bCs/>
          <w:color w:val="auto"/>
          <w:spacing w:val="-6"/>
          <w:szCs w:val="21"/>
          <w:highlight w:val="none"/>
        </w:rPr>
      </w:pPr>
      <w:r>
        <w:rPr>
          <w:rFonts w:hint="eastAsia" w:ascii="仿宋" w:hAnsi="仿宋" w:eastAsia="仿宋" w:cs="仿宋"/>
          <w:color w:val="auto"/>
          <w:spacing w:val="-6"/>
          <w:szCs w:val="21"/>
          <w:highlight w:val="none"/>
        </w:rPr>
        <w:t>3.4 响应文件不得涂改，若有修改错漏处，须由供应商代表签名并加盖公章。响应文件因字迹潦草或表达不清所引起的后果由供应商负责。</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4.响应文件的语言及计量</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5.响应报价</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5.1 报价应按磋商文件要求的格式编制、填写报价内容（可自行增行），未按磋商文件要求编制、填写的响应文件可能被拒绝；</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5.2 最后报价是履行合同的最终价格，包含货物金额、广告制作、仓储、包装、运输、保险、装卸、安装、调试、综合布线、垃圾清运、保洁、培训、食宿及相关材料费、检验费及税金等为确保合法、正常使用货物及成交供应商履行合同项下约定的所有义务所需支出的全部费用。</w:t>
      </w:r>
    </w:p>
    <w:p>
      <w:pPr>
        <w:adjustRightInd w:val="0"/>
        <w:snapToGrid w:val="0"/>
        <w:spacing w:line="288" w:lineRule="auto"/>
        <w:jc w:val="left"/>
        <w:outlineLvl w:val="2"/>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6.响应有效期</w:t>
      </w:r>
    </w:p>
    <w:p>
      <w:pPr>
        <w:widowControl/>
        <w:spacing w:line="288" w:lineRule="auto"/>
        <w:ind w:firstLine="420" w:firstLineChars="200"/>
        <w:jc w:val="left"/>
        <w:rPr>
          <w:rFonts w:ascii="仿宋" w:hAnsi="仿宋" w:eastAsia="仿宋" w:cs="仿宋"/>
          <w:b/>
          <w:color w:val="auto"/>
          <w:spacing w:val="-6"/>
          <w:szCs w:val="21"/>
          <w:highlight w:val="none"/>
        </w:rPr>
      </w:pPr>
      <w:r>
        <w:rPr>
          <w:rFonts w:hint="eastAsia" w:ascii="仿宋" w:hAnsi="仿宋" w:eastAsia="仿宋" w:cs="仿宋"/>
          <w:color w:val="auto"/>
          <w:szCs w:val="21"/>
          <w:highlight w:val="none"/>
        </w:rPr>
        <w:t>▲从提交响应文件的截止之日起90天。在原响应有效期满之前，如果出现特殊情况，采购人或采购代理机构以书面形式通知供应商延长响应有效期。</w:t>
      </w: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四、无效响应的情形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1.在资格审查时，如发现下列情形之一的，响应文件按无效响应处理：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（1）资格证明材料不全的或者不符合磋商文件要求的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（2）供应商不具备磋商文件中规定的资格要求的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（3）资格文件未按要求签署、盖章的</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2.在符合性审查、商务和技术评审时，如发现下列情形之一的，响应文件按无效响应处理：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（1）商务和技术文件未按要求签署、盖章的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（2）与磋商文件中标“▲”的项目发生实质性偏离的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（3）未提供或未按要求提供响应函、授权委托书的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（4）未提供或未如实提供采购需求偏离表的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（5）明显不符合磋商文件要求</w:t>
      </w:r>
      <w:r>
        <w:rPr>
          <w:rFonts w:hint="eastAsia" w:ascii="仿宋" w:hAnsi="仿宋" w:eastAsia="仿宋" w:cs="仿宋"/>
          <w:color w:val="auto"/>
          <w:szCs w:val="21"/>
          <w:highlight w:val="none"/>
        </w:rPr>
        <w:t>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（6）响应技术方案不明确（存在一个或一个以上备选/替代响应方案）的</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（7）响应文件含有采购人不能接受的附加条件的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（8）法律、法规和磋商文件规定的其他无效情形</w:t>
      </w:r>
    </w:p>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3.在报价评审时，如发现下列情形之一的，响应文件按无效响应处理：</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bookmarkStart w:id="35" w:name="_Hlk94018736"/>
      <w:r>
        <w:rPr>
          <w:rFonts w:hint="eastAsia" w:ascii="仿宋" w:hAnsi="仿宋" w:eastAsia="仿宋" w:cs="仿宋"/>
          <w:color w:val="auto"/>
          <w:spacing w:val="-6"/>
          <w:szCs w:val="21"/>
          <w:highlight w:val="none"/>
        </w:rPr>
        <w:t>（1）最后报价超过磋商文件中规定的预算金额的</w:t>
      </w:r>
    </w:p>
    <w:p>
      <w:pPr>
        <w:widowControl/>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（2）最后报价具有选择性的</w:t>
      </w:r>
    </w:p>
    <w:p>
      <w:pPr>
        <w:widowControl/>
        <w:adjustRightInd w:val="0"/>
        <w:snapToGrid w:val="0"/>
        <w:spacing w:line="288" w:lineRule="auto"/>
        <w:ind w:firstLine="398" w:firstLineChars="200"/>
        <w:jc w:val="left"/>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bookmarkEnd w:id="35"/>
    <w:p>
      <w:pPr>
        <w:widowControl/>
        <w:adjustRightInd w:val="0"/>
        <w:snapToGrid w:val="0"/>
        <w:spacing w:line="288" w:lineRule="auto"/>
        <w:ind w:firstLine="398" w:firstLineChars="200"/>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4.有下列情形之一的，视为供应商串通，其响应无效：</w:t>
      </w:r>
    </w:p>
    <w:p>
      <w:pPr>
        <w:widowControl/>
        <w:adjustRightInd w:val="0"/>
        <w:snapToGrid w:val="0"/>
        <w:spacing w:line="288" w:lineRule="auto"/>
        <w:ind w:firstLine="396" w:firstLineChars="200"/>
        <w:jc w:val="left"/>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（1）不同供应商的响应文件由同一单位或者个人编制</w:t>
      </w:r>
    </w:p>
    <w:p>
      <w:pPr>
        <w:widowControl/>
        <w:adjustRightInd w:val="0"/>
        <w:snapToGrid w:val="0"/>
        <w:spacing w:line="288" w:lineRule="auto"/>
        <w:ind w:firstLine="396" w:firstLineChars="200"/>
        <w:jc w:val="left"/>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（2）不同供应商委托同一单位或者个人办理磋商事宜</w:t>
      </w:r>
    </w:p>
    <w:p>
      <w:pPr>
        <w:widowControl/>
        <w:adjustRightInd w:val="0"/>
        <w:snapToGrid w:val="0"/>
        <w:spacing w:line="288" w:lineRule="auto"/>
        <w:ind w:firstLine="396" w:firstLineChars="200"/>
        <w:jc w:val="left"/>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（3）不同供应商的响应文件载明的项目管理成员或者联系人员为同一人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（4）不同供应商的响应文件异常一致或者最后报价呈规律性差异</w:t>
      </w:r>
    </w:p>
    <w:p>
      <w:pPr>
        <w:widowControl/>
        <w:adjustRightInd w:val="0"/>
        <w:snapToGrid w:val="0"/>
        <w:spacing w:line="288" w:lineRule="auto"/>
        <w:ind w:firstLine="396" w:firstLineChars="200"/>
        <w:jc w:val="left"/>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（5）不同供应商的响应文件相互混装</w:t>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Cs w:val="21"/>
          <w:highlight w:val="none"/>
        </w:rPr>
        <w:br w:type="page"/>
      </w:r>
      <w:bookmarkStart w:id="36" w:name="_Hlk94018775"/>
      <w:r>
        <w:rPr>
          <w:rFonts w:hint="eastAsia" w:ascii="仿宋" w:hAnsi="仿宋" w:eastAsia="仿宋" w:cs="仿宋"/>
          <w:b/>
          <w:color w:val="auto"/>
          <w:spacing w:val="-6"/>
          <w:sz w:val="24"/>
          <w:szCs w:val="24"/>
          <w:highlight w:val="none"/>
        </w:rPr>
        <w:t>五、响应文件开启</w:t>
      </w:r>
    </w:p>
    <w:p>
      <w:pPr>
        <w:adjustRightInd w:val="0"/>
        <w:snapToGrid w:val="0"/>
        <w:spacing w:line="288" w:lineRule="auto"/>
        <w:ind w:firstLine="396" w:firstLineChars="200"/>
        <w:rPr>
          <w:rFonts w:ascii="仿宋" w:hAnsi="仿宋" w:eastAsia="仿宋" w:cs="仿宋"/>
          <w:b/>
          <w:bCs/>
          <w:color w:val="auto"/>
          <w:spacing w:val="-6"/>
          <w:szCs w:val="21"/>
          <w:highlight w:val="none"/>
        </w:rPr>
      </w:pPr>
      <w:r>
        <w:rPr>
          <w:rFonts w:hint="eastAsia" w:ascii="仿宋" w:hAnsi="仿宋" w:eastAsia="仿宋" w:cs="仿宋"/>
          <w:bCs/>
          <w:color w:val="auto"/>
          <w:spacing w:val="-6"/>
          <w:szCs w:val="21"/>
          <w:highlight w:val="none"/>
        </w:rPr>
        <w:t>采购代理机构按照磋商文件规定的时间、地点和程序开启响应文件，开启前组织供应商签署不存在影响公平竞争的《采购活动确认声明书》。供应商不足3家的，不得开启。</w:t>
      </w:r>
    </w:p>
    <w:bookmarkEnd w:id="36"/>
    <w:p>
      <w:pPr>
        <w:adjustRightInd w:val="0"/>
        <w:snapToGrid w:val="0"/>
        <w:spacing w:line="288" w:lineRule="auto"/>
        <w:jc w:val="center"/>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pacing w:val="-6"/>
          <w:sz w:val="24"/>
          <w:szCs w:val="24"/>
          <w:highlight w:val="none"/>
        </w:rPr>
        <w:t>六、评审程序</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磋商文件内容违反国家有关强制性规定的，磋商小组应当停止评审并向采购人或者采购代理机构说明情况。</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（一）资格审查</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开启后，磋商小组依据法律法规和磋商文件的规定，对供应商的资格条件进行审查。</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对未通过资格审查的供应商，磋商小组告知其未通过的原因。</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通过资格审查的供应商不足3家的，不再评审。</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（二）信用信息</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查询渠道及截止时间：采购代理机构将通过“信用中国”、中国政府采购网查询供应商响应文件提交截止时间当天的信用记录；</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查询记录和证据留存的具体方式：现场查询的供应商信用记录、查询结果经确认后与采购文件一起存档；</w:t>
      </w:r>
    </w:p>
    <w:p>
      <w:pPr>
        <w:adjustRightInd w:val="0"/>
        <w:snapToGrid w:val="0"/>
        <w:spacing w:line="288" w:lineRule="auto"/>
        <w:ind w:firstLine="398" w:firstLineChars="200"/>
        <w:rPr>
          <w:rFonts w:ascii="仿宋" w:hAnsi="仿宋" w:eastAsia="仿宋" w:cs="仿宋"/>
          <w:bCs/>
          <w:color w:val="auto"/>
          <w:spacing w:val="-6"/>
          <w:szCs w:val="21"/>
          <w:highlight w:val="none"/>
        </w:rPr>
      </w:pPr>
      <w:r>
        <w:rPr>
          <w:rFonts w:hint="eastAsia" w:ascii="仿宋" w:hAnsi="仿宋" w:eastAsia="仿宋" w:cs="仿宋"/>
          <w:b/>
          <w:color w:val="auto"/>
          <w:spacing w:val="-6"/>
          <w:szCs w:val="21"/>
          <w:highlight w:val="none"/>
        </w:rPr>
        <w:t>使用规则：经查询列入失信被执行人名单、重大税收违法案件当事人名单、政府采购严重违法失信行为记录名单的供应商将被拒绝参与政府采购活动。</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（三）符合性审查</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磋商小组对符合资格的供应商的响应文件进行符合性审查，以确定其是否满足磋商文件的实质性要求。</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（四）磋商</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磋商小组所有成员应当集中与单一供应商分别进行磋商，并给予所有参加磋商的供应商平等的磋商机会。</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对磋商文件作出的实质性变动是磋商文件的有效组成部分，磋商小组应当及时以书面形式同时通知所有参加磋商的供应商。</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供应商应当按照磋商文件的变动情况和磋商小组的要求提交磋商记录，并由其法定代表人或授权代表签名或者加盖公章。</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（五）最后报价</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磋商文件能够详细列明采购标的的技术、服务要求的，磋商结束后，磋商小组应当要求所有实质性响应的供应商在规定时间内提交最后报价，提交最后报价的供应商不得少于3家。</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磋商文件不能详细列明采购标的的技术、服务要求，需经磋商由供应商提供最终设计方案或解决方案，磋商结束后，磋商小组应当按照少数服从多数的原则投票推荐3家以上供应商的设计方案或者解决方案，并要求其在规定时间内提交最后报价。</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最后报价是供应商响应文件的有效组成部分。符合《政府采购竞争性磋商采购方式管理暂行办法》（财库[2014]214号）第三条第一、四项情形的，提交最后报价的供应商可以为2家。</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（六）综合评分</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经磋商确定最终采购需求和提交最后报价的供应商后，由磋商小组采用综合评分法对提交最后报价的供应商的响应文件和最后报价进行综合评分。</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综合评分法，是指响应文件满足磋商文件全部实质性要求且按评审因素的量化指标评审得分最高的供应商为成交候选供应商的评审方法。</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（七）汇总商务技术得分</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磋商小组各成员独立对进入最后报价的供应商的商务和技术文件进行评价，并汇总商务技术得分情况。</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（八）排序与推荐</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出现并列第一名时由采购人确认成交供应商或采购人授权磋商小组按抽签方式确认成交供应商。</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提供相同品牌产品且通过资格审查、符合性审查的不同供应商参加同一合同项下响应的，按一家供应商计算，评审后得分最高的同品牌供应商获得成交供应商推荐资格；评审得分相同的，由采购人或者采购人委托磋商小组按照磋商文件规定的方式确定一个供应商获得成交供应商推荐资格，磋商文件未规定的采取随机抽取方式确定，其他同品牌供应商不作为成交候选供应商。</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非单一产品采购项目，多家供应商提供的核心产品品牌相同的，按前款规定处理。</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（九）编写评审报告</w:t>
      </w:r>
    </w:p>
    <w:p>
      <w:pPr>
        <w:adjustRightInd w:val="0"/>
        <w:snapToGrid w:val="0"/>
        <w:spacing w:line="288" w:lineRule="auto"/>
        <w:ind w:firstLine="396" w:firstLineChars="200"/>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adjustRightInd w:val="0"/>
        <w:snapToGrid w:val="0"/>
        <w:spacing w:line="288" w:lineRule="auto"/>
        <w:ind w:firstLine="398" w:firstLineChars="200"/>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（十）补充说明</w:t>
      </w:r>
    </w:p>
    <w:p>
      <w:pPr>
        <w:adjustRightInd w:val="0"/>
        <w:snapToGrid w:val="0"/>
        <w:spacing w:line="288" w:lineRule="auto"/>
        <w:ind w:firstLine="396" w:firstLineChars="200"/>
        <w:rPr>
          <w:rFonts w:ascii="仿宋" w:hAnsi="仿宋" w:eastAsia="仿宋" w:cs="仿宋"/>
          <w:b/>
          <w:color w:val="auto"/>
          <w:spacing w:val="-6"/>
          <w:szCs w:val="21"/>
          <w:highlight w:val="none"/>
        </w:rPr>
      </w:pPr>
      <w:r>
        <w:rPr>
          <w:rFonts w:hint="eastAsia" w:ascii="仿宋" w:hAnsi="仿宋" w:eastAsia="仿宋" w:cs="仿宋"/>
          <w:bCs/>
          <w:color w:val="auto"/>
          <w:spacing w:val="-6"/>
          <w:szCs w:val="21"/>
          <w:highlight w:val="none"/>
        </w:rPr>
        <w:t>采用竞争性磋商采购方式采购的政府购买服务项目（含政府和社会资本合作项目），在采购过程中符合要求的供应商（社会资本）只有2家的，竞争性磋商采购活动可以继续进行。</w:t>
      </w:r>
      <w:r>
        <w:rPr>
          <w:rFonts w:hint="eastAsia" w:ascii="仿宋" w:hAnsi="仿宋" w:eastAsia="仿宋" w:cs="仿宋"/>
          <w:b/>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七、成交与合同</w:t>
      </w:r>
    </w:p>
    <w:p>
      <w:pPr>
        <w:adjustRightInd w:val="0"/>
        <w:snapToGrid w:val="0"/>
        <w:spacing w:line="288" w:lineRule="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1.成交</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1.1 采购代理机构自评审结束之日起2个工作日内将评审报告送交采购人。采购人收到评审报告之日起5个工作日内在评审报告推荐的成交候选供应商中按顺序确定成交供应商，也可以书面授权磋商小组直接确定成交供应商；</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1.2 采购代理机构自成交供应商确定之日起2个工作日内，公告成交结果，并发出成交通知书；</w:t>
      </w:r>
    </w:p>
    <w:p>
      <w:pPr>
        <w:adjustRightInd w:val="0"/>
        <w:snapToGrid w:val="0"/>
        <w:spacing w:line="288" w:lineRule="auto"/>
        <w:ind w:firstLine="396" w:firstLineChars="200"/>
        <w:jc w:val="left"/>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1.3 </w:t>
      </w:r>
      <w:r>
        <w:rPr>
          <w:rFonts w:hint="eastAsia" w:ascii="仿宋" w:hAnsi="仿宋" w:eastAsia="仿宋" w:cs="仿宋"/>
          <w:color w:val="auto"/>
          <w:szCs w:val="21"/>
          <w:highlight w:val="none"/>
        </w:rPr>
        <w:t>评审结果公示媒体：浙江政府采购网。</w:t>
      </w:r>
    </w:p>
    <w:p>
      <w:pPr>
        <w:adjustRightInd w:val="0"/>
        <w:snapToGrid w:val="0"/>
        <w:spacing w:line="288" w:lineRule="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2.合同</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2.1 采购人与成交供应商应当在成交通知书发出之日起30日内，按照采购文件确定的合同文本以及采购标的、规格型号、采购金额、采购数量、技术和服务要求等事项签订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2.2 成交后无正当理由拒不与采购人签订采购合同，将被取消成交资格。</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br w:type="page"/>
      </w:r>
    </w:p>
    <w:p>
      <w:pPr>
        <w:adjustRightInd w:val="0"/>
        <w:snapToGrid w:val="0"/>
        <w:spacing w:line="288" w:lineRule="auto"/>
        <w:jc w:val="center"/>
        <w:outlineLvl w:val="1"/>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八、验  收</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采购人可以邀请参加本项目的其他供应商或者第三方机构参与验收。参与验收的供应商或者第三方机构的意见作为验收书的参考资料一并存档。</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w:t>
      </w:r>
      <w:r>
        <w:rPr>
          <w:rFonts w:hint="eastAsia" w:ascii="仿宋" w:hAnsi="仿宋" w:eastAsia="仿宋" w:cs="仿宋"/>
          <w:color w:val="auto"/>
          <w:kern w:val="0"/>
          <w:szCs w:val="21"/>
          <w:highlight w:val="none"/>
        </w:rPr>
        <w:t>及履约保证金返还</w:t>
      </w:r>
      <w:r>
        <w:rPr>
          <w:rFonts w:hint="eastAsia" w:ascii="仿宋" w:hAnsi="仿宋" w:eastAsia="仿宋" w:cs="仿宋"/>
          <w:color w:val="auto"/>
          <w:spacing w:val="-6"/>
          <w:szCs w:val="21"/>
          <w:highlight w:val="none"/>
        </w:rPr>
        <w:t>条件挂钩。履约验收的各项资料应当存档备查。</w:t>
      </w:r>
    </w:p>
    <w:p>
      <w:pPr>
        <w:adjustRightInd w:val="0"/>
        <w:snapToGrid w:val="0"/>
        <w:spacing w:line="288" w:lineRule="auto"/>
        <w:ind w:firstLine="396" w:firstLineChars="200"/>
        <w:rPr>
          <w:color w:val="auto"/>
          <w:highlight w:val="none"/>
        </w:rPr>
      </w:pPr>
      <w:r>
        <w:rPr>
          <w:rFonts w:hint="eastAsia" w:ascii="仿宋" w:hAnsi="仿宋" w:eastAsia="仿宋" w:cs="仿宋"/>
          <w:color w:val="auto"/>
          <w:spacing w:val="-6"/>
          <w:szCs w:val="21"/>
          <w:highlight w:val="none"/>
        </w:rPr>
        <w:t>验收合格的项目，采购人将根据采购合同的约定及时向供应商支付</w:t>
      </w:r>
      <w:r>
        <w:rPr>
          <w:rFonts w:hint="eastAsia" w:ascii="仿宋" w:hAnsi="仿宋" w:eastAsia="仿宋" w:cs="仿宋"/>
          <w:color w:val="auto"/>
          <w:kern w:val="0"/>
          <w:szCs w:val="21"/>
          <w:highlight w:val="none"/>
        </w:rPr>
        <w:t>采购资金、退还履约保证金</w:t>
      </w:r>
      <w:r>
        <w:rPr>
          <w:rFonts w:hint="eastAsia" w:ascii="仿宋" w:hAnsi="仿宋" w:eastAsia="仿宋" w:cs="仿宋"/>
          <w:color w:val="auto"/>
          <w:spacing w:val="-6"/>
          <w:szCs w:val="21"/>
          <w:highlight w:val="none"/>
        </w:rPr>
        <w:t>。验收不合格的项目，采购人将依法及时处理。采购合同的履行、违约责任和解决争议的方式等适用《中华人民共和国民法典》。</w:t>
      </w:r>
    </w:p>
    <w:p>
      <w:pPr>
        <w:adjustRightInd w:val="0"/>
        <w:snapToGrid w:val="0"/>
        <w:spacing w:line="288" w:lineRule="auto"/>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adjustRightInd w:val="0"/>
        <w:snapToGrid w:val="0"/>
        <w:spacing w:line="288" w:lineRule="auto"/>
        <w:jc w:val="center"/>
        <w:outlineLvl w:val="0"/>
        <w:rPr>
          <w:rFonts w:ascii="仿宋" w:hAnsi="仿宋" w:eastAsia="仿宋" w:cs="仿宋"/>
          <w:b/>
          <w:color w:val="auto"/>
          <w:spacing w:val="-6"/>
          <w:sz w:val="32"/>
          <w:szCs w:val="32"/>
          <w:highlight w:val="none"/>
        </w:rPr>
      </w:pPr>
      <w:r>
        <w:rPr>
          <w:rFonts w:hint="eastAsia" w:ascii="仿宋" w:hAnsi="仿宋" w:eastAsia="仿宋" w:cs="仿宋"/>
          <w:b/>
          <w:color w:val="auto"/>
          <w:sz w:val="32"/>
          <w:szCs w:val="32"/>
          <w:highlight w:val="none"/>
        </w:rPr>
        <w:t>第四章  评审方法和评审标准</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一、评审方法</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本次评审采用综合评分法，总分为100分。评分过程中采用四舍五入法，并保留小数2位。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供应商评审综合得分=商务分+技术分+价格分</w:t>
      </w:r>
    </w:p>
    <w:p>
      <w:pPr>
        <w:adjustRightInd w:val="0"/>
        <w:snapToGrid w:val="0"/>
        <w:spacing w:line="288"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outlineLvl w:val="1"/>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二、评审标准</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641"/>
        <w:gridCol w:w="7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781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3"/>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最后报价</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30</w:t>
            </w:r>
          </w:p>
        </w:tc>
        <w:tc>
          <w:tcPr>
            <w:tcW w:w="78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价格分采用低价优先法计算，即满足磋商文件要求且最后报价最低的供应商的价格为磋商基准价，其价格分为满分。其他供应商的价格分统一按照下列公式计算：</w:t>
            </w:r>
          </w:p>
          <w:p>
            <w:pPr>
              <w:rPr>
                <w:rFonts w:ascii="仿宋" w:hAnsi="仿宋" w:eastAsia="仿宋" w:cs="仿宋"/>
                <w:color w:val="auto"/>
                <w:szCs w:val="21"/>
                <w:highlight w:val="none"/>
              </w:rPr>
            </w:pPr>
            <w:r>
              <w:rPr>
                <w:rFonts w:hint="eastAsia" w:ascii="仿宋" w:hAnsi="仿宋" w:eastAsia="仿宋" w:cs="仿宋"/>
                <w:color w:val="auto"/>
                <w:szCs w:val="21"/>
                <w:highlight w:val="none"/>
              </w:rPr>
              <w:t>磋商报价得分=（磋商基准价/最后报价）*30%*100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3"/>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业绩</w:t>
            </w:r>
          </w:p>
        </w:tc>
        <w:tc>
          <w:tcPr>
            <w:tcW w:w="641"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810" w:type="dxa"/>
            <w:vAlign w:val="center"/>
          </w:tcPr>
          <w:p>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供应商自2021年1月1日以来（以合同签订时间为准）与采购标的同品类产品业绩（最高3分）：1分/份（以提供的合同及对应验收报告（带甲方盖章或签字）复印件为准）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政策功能</w:t>
            </w:r>
          </w:p>
        </w:tc>
        <w:tc>
          <w:tcPr>
            <w:tcW w:w="641"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1</w:t>
            </w:r>
          </w:p>
        </w:tc>
        <w:tc>
          <w:tcPr>
            <w:tcW w:w="7810"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响应产品属于财政部、发展改革委公布的“节能产品政府采购品目清单”范围且具有国家确定的认证机构出具的处于有效期之内的节能产品认证证书（最高</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分）：0.5分/样（以认证证书复印件为准）</w:t>
            </w:r>
          </w:p>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[客观分]</w:t>
            </w:r>
            <w:r>
              <w:rPr>
                <w:rFonts w:hint="eastAsia" w:ascii="仿宋" w:hAnsi="仿宋" w:eastAsia="仿宋" w:cs="仿宋"/>
                <w:color w:val="auto"/>
                <w:szCs w:val="21"/>
                <w:highlight w:val="none"/>
              </w:rPr>
              <w:t>响应产品属于财政部、生态环境部公布的“环境标志产品政府采购品目清单”范围且具有国家确定的认证机构出具的处于有效期之内的环境标志产品认证证书（最高</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分）：0.5分/样（以认证证书复印件为准）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3"/>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restart"/>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技术方案</w:t>
            </w:r>
          </w:p>
        </w:tc>
        <w:tc>
          <w:tcPr>
            <w:tcW w:w="641"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810" w:type="dxa"/>
            <w:vAlign w:val="center"/>
          </w:tcPr>
          <w:p>
            <w:pPr>
              <w:snapToGrid w:val="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[主观分]设计构想：专业、针对采购需求及实际特点</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1.设计定位</w:t>
            </w:r>
            <w:r>
              <w:rPr>
                <w:rFonts w:hint="eastAsia" w:ascii="仿宋" w:hAnsi="仿宋" w:eastAsia="仿宋" w:cs="仿宋"/>
                <w:b/>
                <w:bCs/>
                <w:color w:val="auto"/>
                <w:szCs w:val="21"/>
                <w:highlight w:val="none"/>
              </w:rPr>
              <w:t>（评分范围：1,0.5,0）</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2.展陈形式策划</w:t>
            </w:r>
            <w:r>
              <w:rPr>
                <w:rFonts w:hint="eastAsia" w:ascii="仿宋" w:hAnsi="仿宋" w:eastAsia="仿宋" w:cs="仿宋"/>
                <w:b/>
                <w:bCs/>
                <w:color w:val="auto"/>
                <w:szCs w:val="21"/>
                <w:highlight w:val="none"/>
              </w:rPr>
              <w:t>（评分范围：1,0.5,0）</w:t>
            </w:r>
          </w:p>
          <w:p>
            <w:pPr>
              <w:snapToGrid w:val="0"/>
              <w:rPr>
                <w:rFonts w:ascii="仿宋" w:hAnsi="仿宋" w:eastAsia="仿宋" w:cs="仿宋"/>
                <w:b/>
                <w:bCs/>
                <w:color w:val="auto"/>
                <w:sz w:val="18"/>
                <w:szCs w:val="18"/>
                <w:highlight w:val="none"/>
              </w:rPr>
            </w:pPr>
            <w:r>
              <w:rPr>
                <w:rFonts w:hint="eastAsia" w:ascii="仿宋" w:hAnsi="仿宋" w:eastAsia="仿宋" w:cs="仿宋"/>
                <w:color w:val="auto"/>
                <w:szCs w:val="21"/>
                <w:highlight w:val="none"/>
              </w:rPr>
              <w:t>3.设计原则</w:t>
            </w:r>
            <w:r>
              <w:rPr>
                <w:rFonts w:hint="eastAsia" w:ascii="仿宋" w:hAnsi="仿宋" w:eastAsia="仿宋" w:cs="仿宋"/>
                <w:b/>
                <w:bCs/>
                <w:color w:val="auto"/>
                <w:szCs w:val="21"/>
                <w:highlight w:val="none"/>
              </w:rPr>
              <w:t>（评分范围：1,0.5,0）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7810"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[主观分]布局设计（提供平面图）：专业、合理、针对采购需求及实际特点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1.布局策划（理念、逻辑）</w:t>
            </w:r>
            <w:r>
              <w:rPr>
                <w:rFonts w:hint="eastAsia" w:ascii="仿宋" w:hAnsi="仿宋" w:eastAsia="仿宋" w:cs="仿宋"/>
                <w:b/>
                <w:bCs/>
                <w:color w:val="auto"/>
                <w:szCs w:val="21"/>
                <w:highlight w:val="none"/>
              </w:rPr>
              <w:t>（评分范围：1.5,1,0.5,0）</w:t>
            </w:r>
          </w:p>
          <w:p>
            <w:pPr>
              <w:rPr>
                <w:rFonts w:ascii="仿宋" w:hAnsi="仿宋" w:eastAsia="仿宋" w:cs="仿宋"/>
                <w:b/>
                <w:bCs/>
                <w:color w:val="auto"/>
                <w:sz w:val="18"/>
                <w:szCs w:val="18"/>
                <w:highlight w:val="none"/>
              </w:rPr>
            </w:pPr>
            <w:r>
              <w:rPr>
                <w:rFonts w:hint="eastAsia" w:ascii="仿宋" w:hAnsi="仿宋" w:eastAsia="仿宋" w:cs="仿宋"/>
                <w:color w:val="auto"/>
                <w:szCs w:val="21"/>
                <w:highlight w:val="none"/>
              </w:rPr>
              <w:t>2.人流动线（完整展线、精炼展线）</w:t>
            </w:r>
            <w:r>
              <w:rPr>
                <w:rFonts w:hint="eastAsia" w:ascii="仿宋" w:hAnsi="仿宋" w:eastAsia="仿宋" w:cs="仿宋"/>
                <w:b/>
                <w:bCs/>
                <w:color w:val="auto"/>
                <w:szCs w:val="21"/>
                <w:highlight w:val="none"/>
              </w:rPr>
              <w:t>（评分范围：1.5,1,0.5,0）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810" w:type="dxa"/>
            <w:vAlign w:val="center"/>
          </w:tcPr>
          <w:p>
            <w:pPr>
              <w:rPr>
                <w:rFonts w:ascii="仿宋" w:hAnsi="仿宋" w:eastAsia="仿宋" w:cs="仿宋"/>
                <w:b/>
                <w:bCs/>
                <w:color w:val="auto"/>
                <w:sz w:val="18"/>
                <w:szCs w:val="18"/>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LED大屏形象墙、前台</w:t>
            </w:r>
            <w:r>
              <w:rPr>
                <w:rFonts w:hint="eastAsia" w:ascii="仿宋" w:hAnsi="仿宋" w:eastAsia="仿宋" w:cs="仿宋"/>
                <w:color w:val="auto"/>
                <w:highlight w:val="none"/>
              </w:rPr>
              <w:t>设计（提供效果图）</w:t>
            </w:r>
            <w:r>
              <w:rPr>
                <w:rFonts w:hint="eastAsia" w:ascii="仿宋" w:hAnsi="仿宋" w:eastAsia="仿宋" w:cs="仿宋"/>
                <w:color w:val="auto"/>
                <w:szCs w:val="21"/>
                <w:highlight w:val="none"/>
              </w:rPr>
              <w:t>：专业、合理、针对采购需求及实际特点</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810"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[主观分]算力技术发展史展陈设计</w:t>
            </w:r>
            <w:r>
              <w:rPr>
                <w:rFonts w:hint="eastAsia" w:ascii="仿宋" w:hAnsi="仿宋" w:eastAsia="仿宋" w:cs="仿宋"/>
                <w:b/>
                <w:bCs/>
                <w:color w:val="auto"/>
                <w:highlight w:val="none"/>
              </w:rPr>
              <w:t>（提供效果图）：</w:t>
            </w:r>
            <w:r>
              <w:rPr>
                <w:rFonts w:hint="eastAsia" w:ascii="仿宋" w:hAnsi="仿宋" w:eastAsia="仿宋" w:cs="仿宋"/>
                <w:b/>
                <w:bCs/>
                <w:color w:val="auto"/>
                <w:szCs w:val="21"/>
                <w:highlight w:val="none"/>
              </w:rPr>
              <w:t>专业、合理、针对采购需求及实际特点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1.设计风格与展区定位匹配</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2.展陈内容与展区关键词呼应（重亮点营造和表现）</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3.视觉元素表达（色调、审美）</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810"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[主观分]新型算力中心总体情况展陈设计</w:t>
            </w:r>
            <w:r>
              <w:rPr>
                <w:rFonts w:hint="eastAsia" w:ascii="仿宋" w:hAnsi="仿宋" w:eastAsia="仿宋" w:cs="仿宋"/>
                <w:b/>
                <w:bCs/>
                <w:color w:val="auto"/>
                <w:highlight w:val="none"/>
              </w:rPr>
              <w:t>（提供效果图）：</w:t>
            </w:r>
            <w:r>
              <w:rPr>
                <w:rFonts w:hint="eastAsia" w:ascii="仿宋" w:hAnsi="仿宋" w:eastAsia="仿宋" w:cs="仿宋"/>
                <w:b/>
                <w:bCs/>
                <w:color w:val="auto"/>
                <w:szCs w:val="21"/>
                <w:highlight w:val="none"/>
              </w:rPr>
              <w:t>专业、合理、针对采购需求及实际特点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1.设计风格与展区定位匹配</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2.展陈内容与展区关键词呼应（重亮点营造和表现）</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3.视觉元素表达（色调、审美）</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810"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[主观分]万卡智算集群展陈设计</w:t>
            </w:r>
            <w:r>
              <w:rPr>
                <w:rFonts w:hint="eastAsia" w:ascii="仿宋" w:hAnsi="仿宋" w:eastAsia="仿宋" w:cs="仿宋"/>
                <w:b/>
                <w:bCs/>
                <w:color w:val="auto"/>
                <w:highlight w:val="none"/>
              </w:rPr>
              <w:t>（提供效果图）：</w:t>
            </w:r>
            <w:r>
              <w:rPr>
                <w:rFonts w:hint="eastAsia" w:ascii="仿宋" w:hAnsi="仿宋" w:eastAsia="仿宋" w:cs="仿宋"/>
                <w:b/>
                <w:bCs/>
                <w:color w:val="auto"/>
                <w:szCs w:val="21"/>
                <w:highlight w:val="none"/>
              </w:rPr>
              <w:t>专业、合理、针对采购需求及实际特点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1.设计风格与展区定位匹配</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2.展陈内容与展区关键词呼应（重亮点营造和表现）</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3.视觉元素表达（色调、审美）</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810"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[主观分]高效能计算系统展陈设计</w:t>
            </w:r>
            <w:r>
              <w:rPr>
                <w:rFonts w:hint="eastAsia" w:ascii="仿宋" w:hAnsi="仿宋" w:eastAsia="仿宋" w:cs="仿宋"/>
                <w:b/>
                <w:bCs/>
                <w:color w:val="auto"/>
                <w:highlight w:val="none"/>
              </w:rPr>
              <w:t>（提供效果图）：</w:t>
            </w:r>
            <w:r>
              <w:rPr>
                <w:rFonts w:hint="eastAsia" w:ascii="仿宋" w:hAnsi="仿宋" w:eastAsia="仿宋" w:cs="仿宋"/>
                <w:b/>
                <w:bCs/>
                <w:color w:val="auto"/>
                <w:szCs w:val="21"/>
                <w:highlight w:val="none"/>
              </w:rPr>
              <w:t>专业、合理、针对采购需求及实际特点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1.设计风格与展区定位匹配</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2.展陈内容与展区关键词呼应（重亮点营造和表现）</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3.视觉元素表达（色调、审美）</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810"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[主观分]智能计算赋能创新变革展陈设计</w:t>
            </w:r>
            <w:r>
              <w:rPr>
                <w:rFonts w:hint="eastAsia" w:ascii="仿宋" w:hAnsi="仿宋" w:eastAsia="仿宋" w:cs="仿宋"/>
                <w:b/>
                <w:bCs/>
                <w:color w:val="auto"/>
                <w:highlight w:val="none"/>
              </w:rPr>
              <w:t>（提供效果图）：</w:t>
            </w:r>
            <w:r>
              <w:rPr>
                <w:rFonts w:hint="eastAsia" w:ascii="仿宋" w:hAnsi="仿宋" w:eastAsia="仿宋" w:cs="仿宋"/>
                <w:b/>
                <w:bCs/>
                <w:color w:val="auto"/>
                <w:szCs w:val="21"/>
                <w:highlight w:val="none"/>
              </w:rPr>
              <w:t>专业、合理、针对采购需求及实际特点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1.设计风格与展区定位匹配</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2.展陈内容与展区关键词呼应（重亮点营造和表现）</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3.视觉元素表达（色调、审美）</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6</w:t>
            </w:r>
          </w:p>
        </w:tc>
        <w:tc>
          <w:tcPr>
            <w:tcW w:w="7810"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[主观分]新型算力中心核心能力及应用全景图展陈设计</w:t>
            </w:r>
            <w:r>
              <w:rPr>
                <w:rFonts w:hint="eastAsia" w:ascii="仿宋" w:hAnsi="仿宋" w:eastAsia="仿宋" w:cs="仿宋"/>
                <w:b/>
                <w:bCs/>
                <w:color w:val="auto"/>
                <w:highlight w:val="none"/>
              </w:rPr>
              <w:t>（提供效果图）：</w:t>
            </w:r>
            <w:r>
              <w:rPr>
                <w:rFonts w:hint="eastAsia" w:ascii="仿宋" w:hAnsi="仿宋" w:eastAsia="仿宋" w:cs="仿宋"/>
                <w:b/>
                <w:bCs/>
                <w:color w:val="auto"/>
                <w:szCs w:val="21"/>
                <w:highlight w:val="none"/>
              </w:rPr>
              <w:t>专业、合理、针对采购需求及实际特点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1.设计风格与展区定位匹配</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2.展陈内容与展区关键词呼应（重亮点营造和表现）</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3.视觉元素表达（色调、审美）</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810"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走廊氛围、走廊标识标语策划、设计：专业、合理、针对采购需求及实际特点</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6</w:t>
            </w:r>
          </w:p>
        </w:tc>
        <w:tc>
          <w:tcPr>
            <w:tcW w:w="7810" w:type="dxa"/>
            <w:vAlign w:val="center"/>
          </w:tcPr>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[主观分]视频、互动多媒体影片策划：专业、合理、针对采购需求及实际特点</w:t>
            </w:r>
          </w:p>
          <w:p>
            <w:pPr>
              <w:rPr>
                <w:rFonts w:ascii="仿宋" w:hAnsi="仿宋" w:eastAsia="仿宋" w:cs="仿宋"/>
                <w:color w:val="auto"/>
                <w:szCs w:val="21"/>
                <w:highlight w:val="none"/>
              </w:rPr>
            </w:pPr>
            <w:r>
              <w:rPr>
                <w:rFonts w:hint="eastAsia" w:ascii="仿宋" w:hAnsi="仿宋" w:eastAsia="仿宋" w:cs="仿宋"/>
                <w:color w:val="auto"/>
                <w:szCs w:val="21"/>
                <w:highlight w:val="none"/>
              </w:rPr>
              <w:t>1.新型算力中心展陈内容介绍视频</w:t>
            </w:r>
            <w:r>
              <w:rPr>
                <w:rFonts w:hint="eastAsia" w:ascii="仿宋" w:hAnsi="仿宋" w:eastAsia="仿宋" w:cs="仿宋"/>
                <w:b/>
                <w:bCs/>
                <w:color w:val="auto"/>
                <w:szCs w:val="21"/>
                <w:highlight w:val="none"/>
              </w:rPr>
              <w:t>（评分范围：2,1.5,1,0.5,0）</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2.国家新一代人工智能公共算力开放创新平台展陈内容介绍视频</w:t>
            </w:r>
            <w:r>
              <w:rPr>
                <w:rFonts w:hint="eastAsia" w:ascii="仿宋" w:hAnsi="仿宋" w:eastAsia="仿宋" w:cs="仿宋"/>
                <w:b/>
                <w:bCs/>
                <w:color w:val="auto"/>
                <w:szCs w:val="21"/>
                <w:highlight w:val="none"/>
              </w:rPr>
              <w:t>（评分范围：2,1.5,1,0.5,0）</w:t>
            </w:r>
          </w:p>
          <w:p>
            <w:pPr>
              <w:rPr>
                <w:rFonts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.智能计算赋能创新变革互动多媒体影片</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项目实施</w:t>
            </w:r>
          </w:p>
        </w:tc>
        <w:tc>
          <w:tcPr>
            <w:tcW w:w="641"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2</w:t>
            </w:r>
          </w:p>
        </w:tc>
        <w:tc>
          <w:tcPr>
            <w:tcW w:w="7810"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项目实施方案（总体设想、实施计划、设计与施工协调措施、施工重难点、新技术/新产品/新工艺/新材料应用）:专业、合理、针对采购需求及实际特点、有利于采购标的实现及合同履约</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保障措施</w:t>
            </w:r>
          </w:p>
        </w:tc>
        <w:tc>
          <w:tcPr>
            <w:tcW w:w="641" w:type="dxa"/>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2</w:t>
            </w:r>
          </w:p>
        </w:tc>
        <w:tc>
          <w:tcPr>
            <w:tcW w:w="7810" w:type="dxa"/>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施工各阶段进度及施工用材料、半成品、外购件质量保证措施，安全文明施工及市政、市容、环保、消防等措施，服从采购人协调和统一管理及配合措施、特殊服务承诺：全面、专业、针对采购需求及实际特点、有利于采购标的实现及合同履约</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技术培训</w:t>
            </w:r>
          </w:p>
        </w:tc>
        <w:tc>
          <w:tcPr>
            <w:tcW w:w="641"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810" w:type="dxa"/>
            <w:vAlign w:val="center"/>
          </w:tcPr>
          <w:p>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培训计划（包括培训流程、培训方式、培训对象、培训内容、培训日程等）：全面、针对采购需求及实际特点、有利于采购标的实现及合同履约</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restart"/>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售后服务</w:t>
            </w:r>
          </w:p>
        </w:tc>
        <w:tc>
          <w:tcPr>
            <w:tcW w:w="641"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7810" w:type="dxa"/>
            <w:vAlign w:val="center"/>
          </w:tcPr>
          <w:p>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售后服务方案（包括</w:t>
            </w:r>
            <w:r>
              <w:rPr>
                <w:rFonts w:hint="eastAsia" w:ascii="仿宋" w:hAnsi="仿宋" w:eastAsia="仿宋" w:cs="仿宋"/>
                <w:color w:val="auto"/>
                <w:szCs w:val="21"/>
                <w:highlight w:val="none"/>
                <w:lang w:eastAsia="zh-CN"/>
              </w:rPr>
              <w:t>服务机构、服务内容、服务承诺、响应时间、服务方式、人员配备、应急服务、质保期内重大活动期间现场保障服务承诺等</w:t>
            </w:r>
            <w:r>
              <w:rPr>
                <w:rFonts w:hint="eastAsia" w:ascii="仿宋" w:hAnsi="仿宋" w:eastAsia="仿宋" w:cs="仿宋"/>
                <w:color w:val="auto"/>
                <w:szCs w:val="21"/>
                <w:highlight w:val="none"/>
              </w:rPr>
              <w:t>等）：全面、针对采购需求及实际特点、有利于采购标的实现及合同履约</w:t>
            </w:r>
            <w:r>
              <w:rPr>
                <w:rFonts w:hint="eastAsia" w:ascii="仿宋" w:hAnsi="仿宋" w:eastAsia="仿宋" w:cs="仿宋"/>
                <w:b/>
                <w:bCs/>
                <w:color w:val="auto"/>
                <w:szCs w:val="21"/>
                <w:highlight w:val="none"/>
              </w:rPr>
              <w:t>（评分范围：2,1.5,1,0.5,0）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Merge w:val="continue"/>
            <w:vAlign w:val="center"/>
          </w:tcPr>
          <w:p>
            <w:pPr>
              <w:jc w:val="center"/>
              <w:rPr>
                <w:rFonts w:ascii="仿宋" w:hAnsi="仿宋" w:eastAsia="仿宋" w:cs="仿宋"/>
                <w:b/>
                <w:bCs/>
                <w:color w:val="auto"/>
                <w:szCs w:val="21"/>
                <w:highlight w:val="none"/>
              </w:rPr>
            </w:pPr>
          </w:p>
        </w:tc>
        <w:tc>
          <w:tcPr>
            <w:tcW w:w="641" w:type="dxa"/>
            <w:vAlign w:val="center"/>
          </w:tcPr>
          <w:p>
            <w:pPr>
              <w:snapToGrid w:val="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7810" w:type="dxa"/>
            <w:vAlign w:val="center"/>
          </w:tcPr>
          <w:p>
            <w:pPr>
              <w:snapToGrid w:val="0"/>
              <w:rPr>
                <w:rFonts w:ascii="仿宋" w:hAnsi="仿宋" w:eastAsia="仿宋" w:cs="仿宋"/>
                <w:color w:val="auto"/>
                <w:szCs w:val="21"/>
                <w:highlight w:val="none"/>
              </w:rPr>
            </w:pPr>
            <w:r>
              <w:rPr>
                <w:rFonts w:hint="eastAsia" w:ascii="仿宋" w:hAnsi="仿宋" w:eastAsia="仿宋" w:cs="仿宋"/>
                <w:b/>
                <w:bCs/>
                <w:color w:val="auto"/>
                <w:szCs w:val="21"/>
                <w:highlight w:val="none"/>
              </w:rPr>
              <w:t>[主观分]</w:t>
            </w:r>
            <w:r>
              <w:rPr>
                <w:rFonts w:hint="eastAsia" w:ascii="仿宋" w:hAnsi="仿宋" w:eastAsia="仿宋" w:cs="仿宋"/>
                <w:color w:val="auto"/>
                <w:szCs w:val="21"/>
                <w:highlight w:val="none"/>
              </w:rPr>
              <w:t>配件、附件、备品备件准备和保障措施、购买折扣：措施充分、折扣力度大且合理</w:t>
            </w:r>
            <w:r>
              <w:rPr>
                <w:rFonts w:hint="eastAsia" w:ascii="仿宋" w:hAnsi="仿宋" w:eastAsia="仿宋" w:cs="仿宋"/>
                <w:b/>
                <w:bCs/>
                <w:color w:val="auto"/>
                <w:szCs w:val="21"/>
                <w:highlight w:val="none"/>
              </w:rPr>
              <w:t>（评分范围：1,0.5,0）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77" w:type="dxa"/>
            <w:vAlign w:val="center"/>
          </w:tcPr>
          <w:p>
            <w:pPr>
              <w:adjustRightInd w:val="0"/>
              <w:snapToGrid w:val="0"/>
              <w:ind w:left="0" w:leftChars="0" w:right="0" w:rightChars="0" w:firstLine="0" w:firstLineChars="0"/>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 w:val="21"/>
                <w:szCs w:val="21"/>
                <w:highlight w:val="none"/>
                <w:lang w:val="en-US" w:eastAsia="zh-CN"/>
              </w:rPr>
              <w:t>方案讲解</w:t>
            </w:r>
          </w:p>
        </w:tc>
        <w:tc>
          <w:tcPr>
            <w:tcW w:w="641" w:type="dxa"/>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5</w:t>
            </w:r>
          </w:p>
        </w:tc>
        <w:tc>
          <w:tcPr>
            <w:tcW w:w="7810" w:type="dxa"/>
            <w:vAlign w:val="center"/>
          </w:tcPr>
          <w:p>
            <w:pPr>
              <w:rPr>
                <w:rFonts w:hint="eastAsia" w:ascii="仿宋" w:hAnsi="仿宋" w:eastAsia="仿宋" w:cs="仿宋"/>
                <w:b w:val="0"/>
                <w:bCs w:val="0"/>
                <w:color w:val="auto"/>
                <w:szCs w:val="21"/>
                <w:highlight w:val="none"/>
                <w:lang w:val="en-US" w:eastAsia="zh-CN"/>
              </w:rPr>
            </w:pP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rPr>
              <w:t>主观分</w:t>
            </w:r>
            <w:r>
              <w:rPr>
                <w:rFonts w:hint="eastAsia" w:ascii="仿宋" w:hAnsi="仿宋" w:eastAsia="仿宋" w:cs="仿宋"/>
                <w:b/>
                <w:bCs/>
                <w:color w:val="auto"/>
                <w:szCs w:val="21"/>
                <w:highlight w:val="none"/>
                <w:lang w:val="en-US" w:eastAsia="zh-CN"/>
              </w:rPr>
              <w:t>]</w:t>
            </w:r>
            <w:r>
              <w:rPr>
                <w:rFonts w:hint="eastAsia" w:ascii="仿宋" w:hAnsi="仿宋" w:eastAsia="仿宋" w:cs="仿宋"/>
                <w:b w:val="0"/>
                <w:bCs w:val="0"/>
                <w:color w:val="auto"/>
                <w:szCs w:val="21"/>
                <w:highlight w:val="none"/>
                <w:lang w:val="en-US" w:eastAsia="zh-CN"/>
              </w:rPr>
              <w:t>方案讲解内容：全面、重亮点突出、逻辑思路清晰（未提供讲解不得分）</w:t>
            </w:r>
          </w:p>
          <w:p>
            <w:pPr>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1.策划、构想</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评分范围：2,1.5,1,0.5,0）</w:t>
            </w:r>
          </w:p>
          <w:p>
            <w:pPr>
              <w:rPr>
                <w:rFonts w:hint="eastAsia" w:ascii="仿宋" w:hAnsi="仿宋" w:eastAsia="仿宋" w:cs="仿宋"/>
                <w:b/>
                <w:bCs/>
                <w:color w:val="auto"/>
                <w:szCs w:val="21"/>
                <w:highlight w:val="none"/>
              </w:rPr>
            </w:pPr>
            <w:r>
              <w:rPr>
                <w:rFonts w:hint="eastAsia" w:ascii="仿宋" w:hAnsi="仿宋" w:eastAsia="仿宋" w:cs="仿宋"/>
                <w:b w:val="0"/>
                <w:bCs w:val="0"/>
                <w:color w:val="auto"/>
                <w:szCs w:val="21"/>
                <w:highlight w:val="none"/>
                <w:lang w:val="en-US" w:eastAsia="zh-CN"/>
              </w:rPr>
              <w:t>2.布局、展陈设计</w:t>
            </w:r>
            <w:r>
              <w:rPr>
                <w:rFonts w:hint="eastAsia" w:ascii="仿宋" w:hAnsi="仿宋" w:eastAsia="仿宋" w:cs="仿宋"/>
                <w:b/>
                <w:bCs/>
                <w:color w:val="auto"/>
                <w:szCs w:val="21"/>
                <w:highlight w:val="none"/>
                <w:lang w:val="en-US" w:eastAsia="zh-CN"/>
              </w:rPr>
              <w:t>（评分范围：3,2,1,0）</w:t>
            </w:r>
          </w:p>
        </w:tc>
      </w:tr>
    </w:tbl>
    <w:p>
      <w:pPr>
        <w:adjustRightInd w:val="0"/>
        <w:snapToGrid w:val="0"/>
        <w:spacing w:line="288" w:lineRule="auto"/>
        <w:rPr>
          <w:rFonts w:ascii="仿宋" w:hAnsi="仿宋" w:eastAsia="仿宋" w:cs="仿宋"/>
          <w:b/>
          <w:color w:val="auto"/>
          <w:spacing w:val="-6"/>
          <w:szCs w:val="21"/>
          <w:highlight w:val="none"/>
        </w:rPr>
      </w:pPr>
    </w:p>
    <w:p>
      <w:pPr>
        <w:adjustRightInd w:val="0"/>
        <w:snapToGrid w:val="0"/>
        <w:spacing w:line="288" w:lineRule="auto"/>
        <w:jc w:val="left"/>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说明：</w:t>
      </w:r>
    </w:p>
    <w:p>
      <w:pPr>
        <w:adjustRightInd w:val="0"/>
        <w:snapToGrid w:val="0"/>
        <w:spacing w:line="288" w:lineRule="auto"/>
        <w:jc w:val="left"/>
        <w:rPr>
          <w:rFonts w:ascii="仿宋" w:hAnsi="仿宋" w:eastAsia="仿宋" w:cs="仿宋"/>
          <w:b/>
          <w:color w:val="auto"/>
          <w:sz w:val="18"/>
          <w:szCs w:val="18"/>
          <w:highlight w:val="none"/>
        </w:rPr>
      </w:pPr>
      <w:r>
        <w:rPr>
          <w:rFonts w:hint="eastAsia" w:ascii="仿宋" w:hAnsi="仿宋" w:eastAsia="仿宋" w:cs="仿宋"/>
          <w:b/>
          <w:color w:val="auto"/>
          <w:sz w:val="18"/>
          <w:szCs w:val="18"/>
          <w:highlight w:val="none"/>
        </w:rPr>
        <w:t>1.参照《政府采购促进中小企业发展管理办法》（财库[2020]46号）、《关于进一步加大政府采购支持中小企业力度的通知》（财库[2022]19号）的规定，对符合规定的小微企业报价给予10%的扣除后计算价格得分;</w:t>
      </w:r>
    </w:p>
    <w:p>
      <w:pPr>
        <w:adjustRightInd w:val="0"/>
        <w:snapToGrid w:val="0"/>
        <w:spacing w:line="288" w:lineRule="auto"/>
        <w:rPr>
          <w:rFonts w:ascii="仿宋" w:hAnsi="仿宋" w:eastAsia="仿宋" w:cs="仿宋"/>
          <w:b/>
          <w:bCs/>
          <w:color w:val="auto"/>
          <w:spacing w:val="-6"/>
          <w:sz w:val="18"/>
          <w:szCs w:val="18"/>
          <w:highlight w:val="none"/>
        </w:rPr>
      </w:pPr>
      <w:bookmarkStart w:id="37" w:name="_Hlk81817373"/>
      <w:r>
        <w:rPr>
          <w:rFonts w:hint="eastAsia" w:ascii="仿宋" w:hAnsi="仿宋" w:eastAsia="仿宋" w:cs="仿宋"/>
          <w:b/>
          <w:bCs/>
          <w:color w:val="auto"/>
          <w:spacing w:val="-6"/>
          <w:sz w:val="18"/>
          <w:szCs w:val="18"/>
          <w:highlight w:val="none"/>
        </w:rPr>
        <w:t>2.参照《关于政府采购支持监狱企业发展有关问题的通知》（财库[2014]68号）的规定，</w:t>
      </w:r>
      <w:r>
        <w:rPr>
          <w:rFonts w:hint="eastAsia" w:ascii="仿宋" w:hAnsi="仿宋" w:eastAsia="仿宋" w:cs="仿宋"/>
          <w:color w:val="auto"/>
          <w:kern w:val="0"/>
          <w:sz w:val="18"/>
          <w:szCs w:val="18"/>
          <w:highlight w:val="none"/>
        </w:rPr>
        <w:t>监狱企业参加政府采购活动时，提供由省级以上监狱管理局、戒毒管理局（含新疆生产建设兵团）出具的属于监狱企业的证明文件的，在政府采购活动中视同小微企业，享受预留份额、评审中价格扣除等政府采购促进中小企业发展的政府采购政策；</w:t>
      </w:r>
    </w:p>
    <w:bookmarkEnd w:id="37"/>
    <w:p>
      <w:pPr>
        <w:widowControl/>
        <w:adjustRightInd w:val="0"/>
        <w:snapToGrid w:val="0"/>
        <w:spacing w:line="288" w:lineRule="auto"/>
        <w:jc w:val="left"/>
        <w:rPr>
          <w:rFonts w:ascii="仿宋" w:hAnsi="仿宋" w:eastAsia="仿宋" w:cs="仿宋"/>
          <w:color w:val="auto"/>
          <w:spacing w:val="-6"/>
          <w:sz w:val="18"/>
          <w:szCs w:val="18"/>
          <w:highlight w:val="none"/>
        </w:rPr>
        <w:sectPr>
          <w:footerReference r:id="rId4" w:type="default"/>
          <w:pgSz w:w="11906" w:h="16838"/>
          <w:pgMar w:top="1440" w:right="1247" w:bottom="1440" w:left="1247" w:header="283" w:footer="850" w:gutter="0"/>
          <w:cols w:space="0" w:num="1"/>
          <w:docGrid w:linePitch="381" w:charSpace="0"/>
        </w:sectPr>
      </w:pPr>
      <w:r>
        <w:rPr>
          <w:rFonts w:hint="eastAsia" w:ascii="仿宋" w:hAnsi="仿宋" w:eastAsia="仿宋" w:cs="仿宋"/>
          <w:b/>
          <w:bCs/>
          <w:color w:val="auto"/>
          <w:spacing w:val="-6"/>
          <w:sz w:val="18"/>
          <w:szCs w:val="18"/>
          <w:highlight w:val="none"/>
        </w:rPr>
        <w:t>3.参照《关于促进残疾人就业政府采购政策的通知》（财库[2017]141号）的规定，</w:t>
      </w:r>
      <w:r>
        <w:rPr>
          <w:rFonts w:hint="eastAsia" w:ascii="仿宋" w:hAnsi="仿宋" w:eastAsia="仿宋" w:cs="仿宋"/>
          <w:color w:val="auto"/>
          <w:sz w:val="18"/>
          <w:szCs w:val="18"/>
          <w:highlight w:val="none"/>
        </w:rPr>
        <w:t>符合条件的残疾人福利性单位在参加政府采购活动时，提供财库[2017]141号文件规定的《残疾人福利性单位声明函》的，</w:t>
      </w:r>
      <w:r>
        <w:rPr>
          <w:rFonts w:hint="eastAsia" w:ascii="仿宋" w:hAnsi="仿宋" w:eastAsia="仿宋" w:cs="仿宋"/>
          <w:color w:val="auto"/>
          <w:kern w:val="0"/>
          <w:sz w:val="18"/>
          <w:szCs w:val="18"/>
          <w:highlight w:val="none"/>
        </w:rPr>
        <w:t>在政府采购活动中视同小微企业</w:t>
      </w:r>
      <w:r>
        <w:rPr>
          <w:rFonts w:hint="eastAsia" w:ascii="仿宋" w:hAnsi="仿宋" w:eastAsia="仿宋" w:cs="仿宋"/>
          <w:color w:val="auto"/>
          <w:sz w:val="18"/>
          <w:szCs w:val="18"/>
          <w:highlight w:val="none"/>
        </w:rPr>
        <w:t>，享受预留份额、评审中价格扣除等</w:t>
      </w:r>
      <w:r>
        <w:rPr>
          <w:rFonts w:hint="eastAsia" w:ascii="仿宋" w:hAnsi="仿宋" w:eastAsia="仿宋" w:cs="仿宋"/>
          <w:color w:val="auto"/>
          <w:kern w:val="0"/>
          <w:sz w:val="18"/>
          <w:szCs w:val="18"/>
          <w:highlight w:val="none"/>
        </w:rPr>
        <w:t>政府采购</w:t>
      </w:r>
      <w:r>
        <w:rPr>
          <w:rFonts w:hint="eastAsia" w:ascii="仿宋" w:hAnsi="仿宋" w:eastAsia="仿宋" w:cs="仿宋"/>
          <w:color w:val="auto"/>
          <w:sz w:val="18"/>
          <w:szCs w:val="18"/>
          <w:highlight w:val="none"/>
        </w:rPr>
        <w:t>促进中小企业发展的政府采购政策。</w:t>
      </w:r>
      <w:r>
        <w:rPr>
          <w:rFonts w:hint="eastAsia" w:ascii="仿宋" w:hAnsi="仿宋" w:eastAsia="仿宋" w:cs="仿宋"/>
          <w:color w:val="auto"/>
          <w:spacing w:val="-6"/>
          <w:sz w:val="18"/>
          <w:szCs w:val="18"/>
          <w:highlight w:val="none"/>
        </w:rPr>
        <w:t>残疾人福利性单位属于小微企业的，不重复享受政策</w:t>
      </w:r>
      <w:r>
        <w:rPr>
          <w:rFonts w:hint="eastAsia" w:ascii="仿宋" w:hAnsi="仿宋" w:eastAsia="仿宋" w:cs="仿宋"/>
          <w:color w:val="auto"/>
          <w:spacing w:val="-6"/>
          <w:sz w:val="18"/>
          <w:szCs w:val="18"/>
          <w:highlight w:val="none"/>
          <w:lang w:eastAsia="zh-CN"/>
        </w:rPr>
        <w:t>。</w:t>
      </w:r>
      <w:bookmarkStart w:id="54" w:name="_GoBack"/>
      <w:bookmarkEnd w:id="54"/>
      <w:r>
        <w:rPr>
          <w:rFonts w:hint="eastAsia" w:ascii="仿宋" w:hAnsi="仿宋" w:eastAsia="仿宋" w:cs="仿宋"/>
          <w:color w:val="auto"/>
          <w:spacing w:val="-6"/>
          <w:sz w:val="18"/>
          <w:szCs w:val="18"/>
          <w:highlight w:val="none"/>
        </w:rPr>
        <w:br w:type="page"/>
      </w:r>
    </w:p>
    <w:p>
      <w:pPr>
        <w:adjustRightInd w:val="0"/>
        <w:snapToGrid w:val="0"/>
        <w:spacing w:line="288" w:lineRule="auto"/>
        <w:jc w:val="center"/>
        <w:outlineLvl w:val="0"/>
        <w:rPr>
          <w:rFonts w:ascii="仿宋" w:hAnsi="仿宋" w:eastAsia="仿宋" w:cs="仿宋"/>
          <w:color w:val="auto"/>
          <w:kern w:val="0"/>
          <w:sz w:val="24"/>
          <w:szCs w:val="24"/>
          <w:highlight w:val="none"/>
        </w:rPr>
      </w:pPr>
      <w:r>
        <w:rPr>
          <w:rFonts w:hint="eastAsia" w:ascii="仿宋" w:hAnsi="仿宋" w:eastAsia="仿宋" w:cs="仿宋"/>
          <w:b/>
          <w:color w:val="auto"/>
          <w:sz w:val="32"/>
          <w:szCs w:val="32"/>
          <w:highlight w:val="none"/>
        </w:rPr>
        <w:t>第五章  拟签订的合同文本</w:t>
      </w:r>
    </w:p>
    <w:p>
      <w:pPr>
        <w:spacing w:line="288" w:lineRule="auto"/>
        <w:ind w:firstLine="6325" w:firstLineChars="3000"/>
        <w:rPr>
          <w:rFonts w:ascii="仿宋" w:hAnsi="仿宋" w:eastAsia="仿宋" w:cs="仿宋"/>
          <w:b/>
          <w:color w:val="auto"/>
          <w:szCs w:val="21"/>
          <w:highlight w:val="none"/>
        </w:rPr>
      </w:pPr>
      <w:r>
        <w:rPr>
          <w:rFonts w:hint="eastAsia" w:ascii="仿宋" w:hAnsi="仿宋" w:eastAsia="仿宋" w:cs="仿宋"/>
          <w:b/>
          <w:color w:val="auto"/>
          <w:szCs w:val="21"/>
          <w:highlight w:val="none"/>
        </w:rPr>
        <w:t>合同编号：</w:t>
      </w:r>
    </w:p>
    <w:p>
      <w:pPr>
        <w:adjustRightInd w:val="0"/>
        <w:snapToGrid w:val="0"/>
        <w:spacing w:line="288" w:lineRule="auto"/>
        <w:ind w:firstLine="562" w:firstLineChars="20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集中采购合同</w:t>
      </w:r>
    </w:p>
    <w:p>
      <w:pPr>
        <w:adjustRightInd w:val="0"/>
        <w:snapToGrid w:val="0"/>
        <w:spacing w:line="288" w:lineRule="auto"/>
        <w:ind w:firstLine="336" w:firstLineChars="200"/>
        <w:jc w:val="center"/>
        <w:rPr>
          <w:rFonts w:ascii="仿宋" w:hAnsi="仿宋" w:eastAsia="仿宋" w:cs="仿宋"/>
          <w:b/>
          <w:bCs/>
          <w:color w:val="auto"/>
          <w:szCs w:val="21"/>
          <w:highlight w:val="none"/>
        </w:rPr>
      </w:pPr>
      <w:r>
        <w:rPr>
          <w:rFonts w:hint="eastAsia" w:ascii="仿宋" w:hAnsi="仿宋" w:eastAsia="仿宋" w:cs="仿宋"/>
          <w:color w:val="auto"/>
          <w:spacing w:val="-6"/>
          <w:sz w:val="18"/>
          <w:szCs w:val="18"/>
          <w:highlight w:val="none"/>
        </w:rPr>
        <w:t>（本合同为合同样稿，最终稿由双方协商后确定，合同实质性内容不得更改；签订合同时删除此行）</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项目编号：</w:t>
      </w:r>
      <w:r>
        <w:rPr>
          <w:rFonts w:ascii="仿宋" w:hAnsi="仿宋" w:eastAsia="仿宋" w:cs="仿宋"/>
          <w:b/>
          <w:bCs/>
          <w:color w:val="auto"/>
          <w:szCs w:val="21"/>
          <w:highlight w:val="none"/>
        </w:rPr>
        <w:t xml:space="preserve">                 </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甲方： </w:t>
      </w:r>
      <w:r>
        <w:rPr>
          <w:rFonts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w:t xml:space="preserve">之江实验室 </w:t>
      </w:r>
      <w:r>
        <w:rPr>
          <w:rFonts w:ascii="仿宋" w:hAnsi="仿宋" w:eastAsia="仿宋" w:cs="仿宋"/>
          <w:b/>
          <w:bCs/>
          <w:color w:val="auto"/>
          <w:szCs w:val="21"/>
          <w:highlight w:val="none"/>
        </w:rPr>
        <w:t xml:space="preserve">     </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乙方：</w:t>
      </w:r>
      <w:r>
        <w:rPr>
          <w:rFonts w:ascii="仿宋" w:hAnsi="仿宋" w:eastAsia="仿宋" w:cs="仿宋"/>
          <w:b/>
          <w:bCs/>
          <w:color w:val="auto"/>
          <w:szCs w:val="21"/>
          <w:highlight w:val="none"/>
        </w:rPr>
        <w:t xml:space="preserve">                     </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采购代理机构（鉴证方）：</w:t>
      </w:r>
      <w:r>
        <w:rPr>
          <w:rFonts w:ascii="仿宋" w:hAnsi="仿宋" w:eastAsia="仿宋" w:cs="仿宋"/>
          <w:b/>
          <w:bCs/>
          <w:color w:val="auto"/>
          <w:szCs w:val="21"/>
          <w:highlight w:val="none"/>
        </w:rPr>
        <w:t xml:space="preserve">                 </w:t>
      </w:r>
    </w:p>
    <w:p>
      <w:pPr>
        <w:adjustRightInd w:val="0"/>
        <w:snapToGrid w:val="0"/>
        <w:spacing w:line="288" w:lineRule="auto"/>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为保护甲、乙双方的合法权益，根据《中华人民共和国民法典》等相关法律法规，之江实验室特委托</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（采购代理机构名称）】</w:t>
      </w:r>
      <w:r>
        <w:rPr>
          <w:rFonts w:ascii="仿宋" w:hAnsi="仿宋" w:eastAsia="仿宋" w:cs="仿宋"/>
          <w:color w:val="auto"/>
          <w:szCs w:val="21"/>
          <w:highlight w:val="none"/>
        </w:rPr>
        <w:t>经</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（采购方式）】</w:t>
      </w:r>
      <w:r>
        <w:rPr>
          <w:rFonts w:ascii="仿宋" w:hAnsi="仿宋" w:eastAsia="仿宋" w:cs="仿宋"/>
          <w:color w:val="auto"/>
          <w:szCs w:val="21"/>
          <w:highlight w:val="none"/>
        </w:rPr>
        <w:t>确定</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（乙方名称）</w:t>
      </w:r>
      <w:r>
        <w:rPr>
          <w:rFonts w:ascii="仿宋" w:hAnsi="仿宋" w:eastAsia="仿宋" w:cs="仿宋"/>
          <w:color w:val="auto"/>
          <w:szCs w:val="21"/>
          <w:highlight w:val="none"/>
        </w:rPr>
        <w:t>为</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r>
        <w:rPr>
          <w:rFonts w:ascii="仿宋" w:hAnsi="仿宋" w:eastAsia="仿宋" w:cs="仿宋"/>
          <w:color w:val="auto"/>
          <w:szCs w:val="21"/>
          <w:highlight w:val="none"/>
        </w:rPr>
        <w:t>项目</w:t>
      </w:r>
      <w:r>
        <w:rPr>
          <w:rFonts w:hint="eastAsia" w:ascii="仿宋" w:hAnsi="仿宋" w:eastAsia="仿宋" w:cs="仿宋"/>
          <w:color w:val="auto"/>
          <w:szCs w:val="21"/>
          <w:highlight w:val="none"/>
        </w:rPr>
        <w:t>名称）】</w:t>
      </w:r>
      <w:r>
        <w:rPr>
          <w:rFonts w:ascii="仿宋" w:hAnsi="仿宋" w:eastAsia="仿宋" w:cs="仿宋"/>
          <w:color w:val="auto"/>
          <w:szCs w:val="21"/>
          <w:highlight w:val="none"/>
        </w:rPr>
        <w:t>的中标（成交）</w:t>
      </w:r>
      <w:r>
        <w:rPr>
          <w:rFonts w:ascii="仿宋" w:hAnsi="仿宋" w:eastAsia="仿宋" w:cs="仿宋"/>
          <w:color w:val="auto"/>
          <w:szCs w:val="21"/>
          <w:highlight w:val="none"/>
          <w:lang w:eastAsia="zh-Hans"/>
        </w:rPr>
        <w:t>供应商</w:t>
      </w:r>
      <w:r>
        <w:rPr>
          <w:rFonts w:ascii="仿宋" w:hAnsi="仿宋" w:eastAsia="仿宋" w:cs="仿宋"/>
          <w:color w:val="auto"/>
          <w:szCs w:val="21"/>
          <w:highlight w:val="none"/>
        </w:rPr>
        <w:t>。经甲、乙双方协商达成以下条款：</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第一条 采购标的、价格</w:t>
      </w:r>
    </w:p>
    <w:tbl>
      <w:tblPr>
        <w:tblStyle w:val="27"/>
        <w:tblW w:w="9449" w:type="dxa"/>
        <w:jc w:val="center"/>
        <w:tblLayout w:type="fixed"/>
        <w:tblCellMar>
          <w:top w:w="0" w:type="dxa"/>
          <w:left w:w="0" w:type="dxa"/>
          <w:bottom w:w="0" w:type="dxa"/>
          <w:right w:w="0" w:type="dxa"/>
        </w:tblCellMar>
      </w:tblPr>
      <w:tblGrid>
        <w:gridCol w:w="575"/>
        <w:gridCol w:w="1199"/>
        <w:gridCol w:w="1503"/>
        <w:gridCol w:w="2243"/>
        <w:gridCol w:w="892"/>
        <w:gridCol w:w="714"/>
        <w:gridCol w:w="1247"/>
        <w:gridCol w:w="1076"/>
      </w:tblGrid>
      <w:tr>
        <w:tblPrEx>
          <w:tblCellMar>
            <w:top w:w="0" w:type="dxa"/>
            <w:left w:w="0" w:type="dxa"/>
            <w:bottom w:w="0" w:type="dxa"/>
            <w:right w:w="0" w:type="dxa"/>
          </w:tblCellMar>
        </w:tblPrEx>
        <w:trPr>
          <w:trHeight w:val="416" w:hRule="atLeast"/>
          <w:jc w:val="center"/>
        </w:trPr>
        <w:tc>
          <w:tcPr>
            <w:tcW w:w="575"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9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1503" w:type="dxa"/>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品牌、型号</w:t>
            </w:r>
          </w:p>
        </w:tc>
        <w:tc>
          <w:tcPr>
            <w:tcW w:w="2243" w:type="dxa"/>
            <w:tcBorders>
              <w:top w:val="single" w:color="000000" w:sz="6" w:space="0"/>
              <w:left w:val="single" w:color="auto" w:sz="4" w:space="0"/>
              <w:bottom w:val="single" w:color="000000" w:sz="6" w:space="0"/>
              <w:right w:val="single" w:color="000000" w:sz="2" w:space="0"/>
            </w:tcBorders>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技术参数和要求</w:t>
            </w:r>
          </w:p>
        </w:tc>
        <w:tc>
          <w:tcPr>
            <w:tcW w:w="892" w:type="dxa"/>
            <w:tcBorders>
              <w:top w:val="single" w:color="000000" w:sz="6" w:space="0"/>
              <w:left w:val="single" w:color="000000" w:sz="2" w:space="0"/>
              <w:bottom w:val="single" w:color="000000" w:sz="6" w:space="0"/>
              <w:right w:val="single" w:color="auto" w:sz="4" w:space="0"/>
            </w:tcBorders>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714" w:type="dxa"/>
            <w:tcBorders>
              <w:top w:val="single" w:color="000000" w:sz="6" w:space="0"/>
              <w:left w:val="single" w:color="auto" w:sz="4" w:space="0"/>
              <w:bottom w:val="single" w:color="000000" w:sz="6" w:space="0"/>
              <w:right w:val="single" w:color="000000" w:sz="6" w:space="0"/>
            </w:tcBorders>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124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w:t>
            </w:r>
          </w:p>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107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w:t>
            </w:r>
          </w:p>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r>
      <w:tr>
        <w:tblPrEx>
          <w:tblCellMar>
            <w:top w:w="0" w:type="dxa"/>
            <w:left w:w="0" w:type="dxa"/>
            <w:bottom w:w="0" w:type="dxa"/>
            <w:right w:w="0" w:type="dxa"/>
          </w:tblCellMar>
        </w:tblPrEx>
        <w:trPr>
          <w:trHeight w:val="578" w:hRule="atLeast"/>
          <w:jc w:val="center"/>
        </w:trPr>
        <w:tc>
          <w:tcPr>
            <w:tcW w:w="575"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9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1503" w:type="dxa"/>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2243" w:type="dxa"/>
            <w:tcBorders>
              <w:top w:val="single" w:color="000000" w:sz="6" w:space="0"/>
              <w:left w:val="single" w:color="auto" w:sz="4" w:space="0"/>
              <w:bottom w:val="single" w:color="000000" w:sz="6" w:space="0"/>
              <w:right w:val="single" w:color="000000" w:sz="2" w:space="0"/>
            </w:tcBorders>
            <w:vAlign w:val="center"/>
          </w:tcPr>
          <w:p>
            <w:pPr>
              <w:adjustRightInd w:val="0"/>
              <w:snapToGrid w:val="0"/>
              <w:spacing w:line="288" w:lineRule="auto"/>
              <w:rPr>
                <w:rFonts w:ascii="仿宋" w:hAnsi="仿宋" w:eastAsia="仿宋" w:cs="仿宋"/>
                <w:color w:val="auto"/>
                <w:szCs w:val="21"/>
                <w:highlight w:val="none"/>
                <w:lang w:eastAsia="zh-Hans"/>
              </w:rPr>
            </w:pPr>
            <w:r>
              <w:rPr>
                <w:rFonts w:hint="eastAsia" w:ascii="仿宋" w:hAnsi="仿宋" w:eastAsia="仿宋" w:cs="仿宋"/>
                <w:color w:val="auto"/>
                <w:szCs w:val="21"/>
                <w:highlight w:val="none"/>
                <w:lang w:eastAsia="zh-Hans"/>
              </w:rPr>
              <w:t>详见项目招投标文件</w:t>
            </w:r>
          </w:p>
        </w:tc>
        <w:tc>
          <w:tcPr>
            <w:tcW w:w="892" w:type="dxa"/>
            <w:tcBorders>
              <w:top w:val="single" w:color="000000" w:sz="6" w:space="0"/>
              <w:left w:val="single" w:color="000000" w:sz="2" w:space="0"/>
              <w:bottom w:val="single" w:color="000000" w:sz="6" w:space="0"/>
              <w:right w:val="single" w:color="auto" w:sz="4" w:space="0"/>
            </w:tcBorders>
            <w:vAlign w:val="center"/>
          </w:tcPr>
          <w:p>
            <w:pPr>
              <w:adjustRightInd w:val="0"/>
              <w:snapToGrid w:val="0"/>
              <w:spacing w:line="288" w:lineRule="auto"/>
              <w:rPr>
                <w:rFonts w:ascii="仿宋" w:hAnsi="仿宋" w:eastAsia="仿宋" w:cs="仿宋"/>
                <w:color w:val="auto"/>
                <w:szCs w:val="21"/>
                <w:highlight w:val="none"/>
              </w:rPr>
            </w:pPr>
          </w:p>
        </w:tc>
        <w:tc>
          <w:tcPr>
            <w:tcW w:w="714" w:type="dxa"/>
            <w:tcBorders>
              <w:top w:val="single" w:color="000000" w:sz="6" w:space="0"/>
              <w:left w:val="single" w:color="auto" w:sz="4" w:space="0"/>
              <w:bottom w:val="single" w:color="000000" w:sz="6" w:space="0"/>
              <w:right w:val="single" w:color="000000" w:sz="6" w:space="0"/>
            </w:tcBorders>
            <w:vAlign w:val="center"/>
          </w:tcPr>
          <w:p>
            <w:pPr>
              <w:adjustRightInd w:val="0"/>
              <w:snapToGrid w:val="0"/>
              <w:spacing w:line="288" w:lineRule="auto"/>
              <w:rPr>
                <w:rFonts w:ascii="仿宋" w:hAnsi="仿宋" w:eastAsia="仿宋" w:cs="仿宋"/>
                <w:color w:val="auto"/>
                <w:szCs w:val="21"/>
                <w:highlight w:val="none"/>
              </w:rPr>
            </w:pPr>
          </w:p>
        </w:tc>
        <w:tc>
          <w:tcPr>
            <w:tcW w:w="124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107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88" w:lineRule="auto"/>
              <w:rPr>
                <w:rFonts w:ascii="仿宋" w:hAnsi="仿宋" w:eastAsia="仿宋" w:cs="仿宋"/>
                <w:color w:val="auto"/>
                <w:szCs w:val="21"/>
                <w:highlight w:val="none"/>
              </w:rPr>
            </w:pPr>
          </w:p>
        </w:tc>
      </w:tr>
      <w:tr>
        <w:tblPrEx>
          <w:tblCellMar>
            <w:top w:w="0" w:type="dxa"/>
            <w:left w:w="0" w:type="dxa"/>
            <w:bottom w:w="0" w:type="dxa"/>
            <w:right w:w="0" w:type="dxa"/>
          </w:tblCellMar>
        </w:tblPrEx>
        <w:trPr>
          <w:trHeight w:val="578" w:hRule="atLeast"/>
          <w:jc w:val="center"/>
        </w:trPr>
        <w:tc>
          <w:tcPr>
            <w:tcW w:w="575"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9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1503" w:type="dxa"/>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2243" w:type="dxa"/>
            <w:tcBorders>
              <w:top w:val="single" w:color="000000" w:sz="6" w:space="0"/>
              <w:left w:val="single" w:color="auto" w:sz="4" w:space="0"/>
              <w:bottom w:val="single" w:color="000000" w:sz="6" w:space="0"/>
              <w:right w:val="single" w:color="000000" w:sz="2" w:space="0"/>
            </w:tcBorders>
            <w:vAlign w:val="center"/>
          </w:tcPr>
          <w:p>
            <w:pPr>
              <w:adjustRightInd w:val="0"/>
              <w:snapToGrid w:val="0"/>
              <w:spacing w:line="288" w:lineRule="auto"/>
              <w:rPr>
                <w:rFonts w:ascii="仿宋" w:hAnsi="仿宋" w:eastAsia="仿宋" w:cs="仿宋"/>
                <w:color w:val="auto"/>
                <w:szCs w:val="21"/>
                <w:highlight w:val="none"/>
              </w:rPr>
            </w:pPr>
          </w:p>
        </w:tc>
        <w:tc>
          <w:tcPr>
            <w:tcW w:w="892" w:type="dxa"/>
            <w:tcBorders>
              <w:top w:val="single" w:color="000000" w:sz="6" w:space="0"/>
              <w:left w:val="single" w:color="000000" w:sz="2" w:space="0"/>
              <w:bottom w:val="single" w:color="000000" w:sz="6" w:space="0"/>
              <w:right w:val="single" w:color="auto" w:sz="4" w:space="0"/>
            </w:tcBorders>
            <w:vAlign w:val="center"/>
          </w:tcPr>
          <w:p>
            <w:pPr>
              <w:adjustRightInd w:val="0"/>
              <w:snapToGrid w:val="0"/>
              <w:spacing w:line="288" w:lineRule="auto"/>
              <w:rPr>
                <w:rFonts w:ascii="仿宋" w:hAnsi="仿宋" w:eastAsia="仿宋" w:cs="仿宋"/>
                <w:color w:val="auto"/>
                <w:szCs w:val="21"/>
                <w:highlight w:val="none"/>
              </w:rPr>
            </w:pPr>
          </w:p>
        </w:tc>
        <w:tc>
          <w:tcPr>
            <w:tcW w:w="714" w:type="dxa"/>
            <w:tcBorders>
              <w:top w:val="single" w:color="000000" w:sz="6" w:space="0"/>
              <w:left w:val="single" w:color="auto" w:sz="4" w:space="0"/>
              <w:bottom w:val="single" w:color="000000" w:sz="6" w:space="0"/>
              <w:right w:val="single" w:color="000000" w:sz="6" w:space="0"/>
            </w:tcBorders>
            <w:vAlign w:val="center"/>
          </w:tcPr>
          <w:p>
            <w:pPr>
              <w:adjustRightInd w:val="0"/>
              <w:snapToGrid w:val="0"/>
              <w:spacing w:line="288" w:lineRule="auto"/>
              <w:rPr>
                <w:rFonts w:ascii="仿宋" w:hAnsi="仿宋" w:eastAsia="仿宋" w:cs="仿宋"/>
                <w:color w:val="auto"/>
                <w:szCs w:val="21"/>
                <w:highlight w:val="none"/>
              </w:rPr>
            </w:pPr>
          </w:p>
        </w:tc>
        <w:tc>
          <w:tcPr>
            <w:tcW w:w="124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107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88" w:lineRule="auto"/>
              <w:rPr>
                <w:rFonts w:ascii="仿宋" w:hAnsi="仿宋" w:eastAsia="仿宋" w:cs="仿宋"/>
                <w:color w:val="auto"/>
                <w:szCs w:val="21"/>
                <w:highlight w:val="none"/>
              </w:rPr>
            </w:pPr>
          </w:p>
        </w:tc>
      </w:tr>
      <w:tr>
        <w:tblPrEx>
          <w:tblCellMar>
            <w:top w:w="0" w:type="dxa"/>
            <w:left w:w="0" w:type="dxa"/>
            <w:bottom w:w="0" w:type="dxa"/>
            <w:right w:w="0" w:type="dxa"/>
          </w:tblCellMar>
        </w:tblPrEx>
        <w:trPr>
          <w:trHeight w:val="564" w:hRule="atLeast"/>
          <w:jc w:val="center"/>
        </w:trPr>
        <w:tc>
          <w:tcPr>
            <w:tcW w:w="575"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9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1503" w:type="dxa"/>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2243" w:type="dxa"/>
            <w:tcBorders>
              <w:top w:val="single" w:color="000000" w:sz="6" w:space="0"/>
              <w:left w:val="single" w:color="auto" w:sz="4" w:space="0"/>
              <w:bottom w:val="single" w:color="000000" w:sz="6" w:space="0"/>
              <w:right w:val="single" w:color="000000" w:sz="2" w:space="0"/>
            </w:tcBorders>
            <w:vAlign w:val="center"/>
          </w:tcPr>
          <w:p>
            <w:pPr>
              <w:adjustRightInd w:val="0"/>
              <w:snapToGrid w:val="0"/>
              <w:spacing w:line="288" w:lineRule="auto"/>
              <w:rPr>
                <w:rFonts w:ascii="仿宋" w:hAnsi="仿宋" w:eastAsia="仿宋" w:cs="仿宋"/>
                <w:color w:val="auto"/>
                <w:szCs w:val="21"/>
                <w:highlight w:val="none"/>
              </w:rPr>
            </w:pPr>
          </w:p>
        </w:tc>
        <w:tc>
          <w:tcPr>
            <w:tcW w:w="892" w:type="dxa"/>
            <w:tcBorders>
              <w:top w:val="single" w:color="000000" w:sz="6" w:space="0"/>
              <w:left w:val="single" w:color="000000" w:sz="2" w:space="0"/>
              <w:bottom w:val="single" w:color="000000" w:sz="6" w:space="0"/>
              <w:right w:val="single" w:color="auto" w:sz="4" w:space="0"/>
            </w:tcBorders>
            <w:vAlign w:val="center"/>
          </w:tcPr>
          <w:p>
            <w:pPr>
              <w:adjustRightInd w:val="0"/>
              <w:snapToGrid w:val="0"/>
              <w:spacing w:line="288" w:lineRule="auto"/>
              <w:rPr>
                <w:rFonts w:ascii="仿宋" w:hAnsi="仿宋" w:eastAsia="仿宋" w:cs="仿宋"/>
                <w:color w:val="auto"/>
                <w:szCs w:val="21"/>
                <w:highlight w:val="none"/>
              </w:rPr>
            </w:pPr>
          </w:p>
        </w:tc>
        <w:tc>
          <w:tcPr>
            <w:tcW w:w="714" w:type="dxa"/>
            <w:tcBorders>
              <w:top w:val="single" w:color="000000" w:sz="6" w:space="0"/>
              <w:left w:val="single" w:color="auto" w:sz="4" w:space="0"/>
              <w:bottom w:val="single" w:color="000000" w:sz="6" w:space="0"/>
              <w:right w:val="single" w:color="000000" w:sz="6" w:space="0"/>
            </w:tcBorders>
            <w:vAlign w:val="center"/>
          </w:tcPr>
          <w:p>
            <w:pPr>
              <w:adjustRightInd w:val="0"/>
              <w:snapToGrid w:val="0"/>
              <w:spacing w:line="288" w:lineRule="auto"/>
              <w:rPr>
                <w:rFonts w:ascii="仿宋" w:hAnsi="仿宋" w:eastAsia="仿宋" w:cs="仿宋"/>
                <w:color w:val="auto"/>
                <w:szCs w:val="21"/>
                <w:highlight w:val="none"/>
              </w:rPr>
            </w:pPr>
          </w:p>
        </w:tc>
        <w:tc>
          <w:tcPr>
            <w:tcW w:w="124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107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88" w:lineRule="auto"/>
              <w:rPr>
                <w:rFonts w:ascii="仿宋" w:hAnsi="仿宋" w:eastAsia="仿宋" w:cs="仿宋"/>
                <w:color w:val="auto"/>
                <w:szCs w:val="21"/>
                <w:highlight w:val="none"/>
              </w:rPr>
            </w:pPr>
          </w:p>
        </w:tc>
      </w:tr>
      <w:tr>
        <w:tblPrEx>
          <w:tblCellMar>
            <w:top w:w="0" w:type="dxa"/>
            <w:left w:w="0" w:type="dxa"/>
            <w:bottom w:w="0" w:type="dxa"/>
            <w:right w:w="0" w:type="dxa"/>
          </w:tblCellMar>
        </w:tblPrEx>
        <w:trPr>
          <w:trHeight w:val="578" w:hRule="atLeast"/>
          <w:jc w:val="center"/>
        </w:trPr>
        <w:tc>
          <w:tcPr>
            <w:tcW w:w="575"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199"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1503" w:type="dxa"/>
            <w:tcBorders>
              <w:top w:val="single" w:color="000000" w:sz="6" w:space="0"/>
              <w:left w:val="single" w:color="000000" w:sz="6" w:space="0"/>
              <w:bottom w:val="single" w:color="000000" w:sz="6" w:space="0"/>
              <w:right w:val="single" w:color="auto" w:sz="4"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2243" w:type="dxa"/>
            <w:tcBorders>
              <w:top w:val="single" w:color="000000" w:sz="6" w:space="0"/>
              <w:left w:val="single" w:color="auto" w:sz="4" w:space="0"/>
              <w:bottom w:val="single" w:color="000000" w:sz="6" w:space="0"/>
              <w:right w:val="single" w:color="000000" w:sz="2" w:space="0"/>
            </w:tcBorders>
            <w:vAlign w:val="center"/>
          </w:tcPr>
          <w:p>
            <w:pPr>
              <w:adjustRightInd w:val="0"/>
              <w:snapToGrid w:val="0"/>
              <w:spacing w:line="288" w:lineRule="auto"/>
              <w:rPr>
                <w:rFonts w:ascii="仿宋" w:hAnsi="仿宋" w:eastAsia="仿宋" w:cs="仿宋"/>
                <w:color w:val="auto"/>
                <w:szCs w:val="21"/>
                <w:highlight w:val="none"/>
              </w:rPr>
            </w:pPr>
          </w:p>
        </w:tc>
        <w:tc>
          <w:tcPr>
            <w:tcW w:w="892" w:type="dxa"/>
            <w:tcBorders>
              <w:top w:val="single" w:color="000000" w:sz="6" w:space="0"/>
              <w:left w:val="single" w:color="000000" w:sz="2" w:space="0"/>
              <w:bottom w:val="single" w:color="000000" w:sz="6" w:space="0"/>
              <w:right w:val="single" w:color="auto" w:sz="4" w:space="0"/>
            </w:tcBorders>
            <w:vAlign w:val="center"/>
          </w:tcPr>
          <w:p>
            <w:pPr>
              <w:adjustRightInd w:val="0"/>
              <w:snapToGrid w:val="0"/>
              <w:spacing w:line="288" w:lineRule="auto"/>
              <w:rPr>
                <w:rFonts w:ascii="仿宋" w:hAnsi="仿宋" w:eastAsia="仿宋" w:cs="仿宋"/>
                <w:color w:val="auto"/>
                <w:szCs w:val="21"/>
                <w:highlight w:val="none"/>
              </w:rPr>
            </w:pPr>
          </w:p>
        </w:tc>
        <w:tc>
          <w:tcPr>
            <w:tcW w:w="714" w:type="dxa"/>
            <w:tcBorders>
              <w:top w:val="single" w:color="000000" w:sz="6" w:space="0"/>
              <w:left w:val="single" w:color="auto" w:sz="4" w:space="0"/>
              <w:bottom w:val="single" w:color="000000" w:sz="6" w:space="0"/>
              <w:right w:val="single" w:color="000000" w:sz="6" w:space="0"/>
            </w:tcBorders>
            <w:vAlign w:val="center"/>
          </w:tcPr>
          <w:p>
            <w:pPr>
              <w:adjustRightInd w:val="0"/>
              <w:snapToGrid w:val="0"/>
              <w:spacing w:line="288" w:lineRule="auto"/>
              <w:rPr>
                <w:rFonts w:ascii="仿宋" w:hAnsi="仿宋" w:eastAsia="仿宋" w:cs="仿宋"/>
                <w:color w:val="auto"/>
                <w:szCs w:val="21"/>
                <w:highlight w:val="none"/>
              </w:rPr>
            </w:pPr>
          </w:p>
        </w:tc>
        <w:tc>
          <w:tcPr>
            <w:tcW w:w="1247"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p>
        </w:tc>
        <w:tc>
          <w:tcPr>
            <w:tcW w:w="1076"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line="288" w:lineRule="auto"/>
              <w:rPr>
                <w:rFonts w:ascii="仿宋" w:hAnsi="仿宋" w:eastAsia="仿宋" w:cs="仿宋"/>
                <w:color w:val="auto"/>
                <w:szCs w:val="21"/>
                <w:highlight w:val="none"/>
              </w:rPr>
            </w:pPr>
          </w:p>
        </w:tc>
      </w:tr>
      <w:tr>
        <w:tblPrEx>
          <w:tblCellMar>
            <w:top w:w="0" w:type="dxa"/>
            <w:left w:w="0" w:type="dxa"/>
            <w:bottom w:w="0" w:type="dxa"/>
            <w:right w:w="0" w:type="dxa"/>
          </w:tblCellMar>
        </w:tblPrEx>
        <w:trPr>
          <w:trHeight w:val="578" w:hRule="atLeast"/>
          <w:jc w:val="center"/>
        </w:trPr>
        <w:tc>
          <w:tcPr>
            <w:tcW w:w="9449" w:type="dxa"/>
            <w:gridSpan w:val="8"/>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adjustRightInd w:val="0"/>
              <w:snapToGrid w:val="0"/>
              <w:spacing w:line="288"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合同总价（含税）：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（小写）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（大写）</w:t>
            </w:r>
          </w:p>
        </w:tc>
      </w:tr>
    </w:tbl>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合同总价已包括货物金额、包装、运输保险费、装卸费、安装及相关材料费、调试费、软件费、检验费、培训费用及税金等为确保合法、正常使用货物及乙方履行本合同项下约定的所有义务所需支出的全部费用，甲方有权拒付本合同约定合同总价以外的任何费用，且无论国家税率是否调整，合同价款均不予调整。</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第二条 交货时间及地点</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乙方负责将货物安全运至甲方指定交货地点：【</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（填写具体交货地点）】；交货时间为：【</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（填写具体交货时间）】</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甲方收货联系人、联系方式：【</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（填写收货联系人及联系方式）】。</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第三条 付款条款</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甲乙双方之间发生的本合同项下的一切价款、费用、金额均以人民币（币种）结算及支付。</w:t>
      </w:r>
      <w:r>
        <w:rPr>
          <w:rFonts w:ascii="仿宋" w:hAnsi="仿宋" w:eastAsia="仿宋" w:cs="仿宋"/>
          <w:color w:val="auto"/>
          <w:szCs w:val="21"/>
          <w:highlight w:val="none"/>
        </w:rPr>
        <w:t>在乙方无任何违约行为的前提下，甲方应按照下列第</w:t>
      </w:r>
      <w:r>
        <w:rPr>
          <w:rFonts w:hint="eastAsia" w:ascii="仿宋" w:hAnsi="仿宋" w:eastAsia="仿宋" w:cs="仿宋"/>
          <w:color w:val="auto"/>
          <w:szCs w:val="21"/>
          <w:highlight w:val="none"/>
        </w:rPr>
        <w:t>【（选择1、2、3中的一种）</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r>
        <w:rPr>
          <w:rFonts w:ascii="仿宋" w:hAnsi="仿宋" w:eastAsia="仿宋" w:cs="仿宋"/>
          <w:color w:val="auto"/>
          <w:szCs w:val="21"/>
          <w:highlight w:val="none"/>
        </w:rPr>
        <w:t>项约定向乙方支付款项：</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甲方应于货物验收合格后</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r>
        <w:rPr>
          <w:rFonts w:ascii="仿宋" w:hAnsi="仿宋" w:eastAsia="仿宋" w:cs="仿宋"/>
          <w:color w:val="auto"/>
          <w:szCs w:val="21"/>
          <w:highlight w:val="none"/>
        </w:rPr>
        <w:t>个工作日内将货款全部支付给乙方。</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ascii="仿宋" w:hAnsi="仿宋" w:eastAsia="仿宋" w:cs="仿宋"/>
          <w:color w:val="auto"/>
          <w:szCs w:val="21"/>
          <w:highlight w:val="none"/>
        </w:rPr>
        <w:t>向乙方分阶段支付价款：</w:t>
      </w:r>
    </w:p>
    <w:p>
      <w:pPr>
        <w:adjustRightInd w:val="0"/>
        <w:snapToGrid w:val="0"/>
        <w:spacing w:line="288" w:lineRule="auto"/>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 xml:space="preserve">   a.</w:t>
      </w:r>
      <w:r>
        <w:rPr>
          <w:rFonts w:hint="eastAsia" w:ascii="仿宋" w:hAnsi="仿宋" w:eastAsia="仿宋" w:cs="仿宋"/>
          <w:color w:val="auto"/>
          <w:szCs w:val="21"/>
          <w:highlight w:val="none"/>
        </w:rPr>
        <w:t>【</w:t>
      </w:r>
      <w:r>
        <w:rPr>
          <w:rFonts w:ascii="仿宋" w:hAnsi="仿宋" w:eastAsia="仿宋" w:cs="仿宋"/>
          <w:color w:val="auto"/>
          <w:szCs w:val="21"/>
          <w:highlight w:val="none"/>
        </w:rPr>
        <w:t>自</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后</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日内，向乙方支付</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r>
        <w:rPr>
          <w:rFonts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 xml:space="preserve">   b.</w:t>
      </w:r>
      <w:r>
        <w:rPr>
          <w:rFonts w:hint="eastAsia" w:ascii="仿宋" w:hAnsi="仿宋" w:eastAsia="仿宋" w:cs="仿宋"/>
          <w:color w:val="auto"/>
          <w:szCs w:val="21"/>
          <w:highlight w:val="none"/>
        </w:rPr>
        <w:t>【</w:t>
      </w:r>
      <w:r>
        <w:rPr>
          <w:rFonts w:ascii="仿宋" w:hAnsi="仿宋" w:eastAsia="仿宋" w:cs="仿宋"/>
          <w:color w:val="auto"/>
          <w:szCs w:val="21"/>
          <w:highlight w:val="none"/>
        </w:rPr>
        <w:t>自</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后</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日内，向乙方支付</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r>
        <w:rPr>
          <w:rFonts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 xml:space="preserve">   c.</w:t>
      </w:r>
      <w:r>
        <w:rPr>
          <w:rFonts w:hint="eastAsia" w:ascii="仿宋" w:hAnsi="仿宋" w:eastAsia="仿宋" w:cs="仿宋"/>
          <w:color w:val="auto"/>
          <w:szCs w:val="21"/>
          <w:highlight w:val="none"/>
        </w:rPr>
        <w:t>【</w:t>
      </w:r>
      <w:r>
        <w:rPr>
          <w:rFonts w:ascii="仿宋" w:hAnsi="仿宋" w:eastAsia="仿宋" w:cs="仿宋"/>
          <w:color w:val="auto"/>
          <w:szCs w:val="21"/>
          <w:highlight w:val="none"/>
        </w:rPr>
        <w:t>自</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后</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日内，向乙方支付</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r>
        <w:rPr>
          <w:rFonts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w:t>
      </w:r>
      <w:r>
        <w:rPr>
          <w:rFonts w:ascii="仿宋" w:hAnsi="仿宋" w:eastAsia="仿宋" w:cs="仿宋"/>
          <w:color w:val="auto"/>
          <w:szCs w:val="21"/>
          <w:highlight w:val="none"/>
        </w:rPr>
        <w:t>其他支付方式及支付时间：</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第四条</w:t>
      </w:r>
      <w:r>
        <w:rPr>
          <w:rFonts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w:t>履约保证金</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合同签订后【</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r>
        <w:rPr>
          <w:rFonts w:ascii="仿宋" w:hAnsi="仿宋" w:eastAsia="仿宋" w:cs="仿宋"/>
          <w:color w:val="auto"/>
          <w:szCs w:val="21"/>
          <w:highlight w:val="none"/>
        </w:rPr>
        <w:t>个工作日内，乙方应向甲方缴纳合同总金额</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r>
        <w:rPr>
          <w:rFonts w:ascii="仿宋" w:hAnsi="仿宋" w:eastAsia="仿宋" w:cs="仿宋"/>
          <w:color w:val="auto"/>
          <w:szCs w:val="21"/>
          <w:highlight w:val="none"/>
        </w:rPr>
        <w:t>%作为履约保证金</w:t>
      </w:r>
      <w:r>
        <w:rPr>
          <w:rFonts w:hint="eastAsia" w:ascii="仿宋" w:hAnsi="仿宋" w:eastAsia="仿宋" w:cs="仿宋"/>
          <w:color w:val="auto"/>
          <w:szCs w:val="21"/>
          <w:highlight w:val="none"/>
        </w:rPr>
        <w:t>，履约保证金自【全部货物验收合格】后，由甲方确认乙方合同主要义务履行完毕后无息退还。</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第五条</w:t>
      </w:r>
      <w:r>
        <w:rPr>
          <w:rFonts w:ascii="仿宋" w:hAnsi="仿宋" w:eastAsia="仿宋" w:cs="仿宋"/>
          <w:b/>
          <w:bCs/>
          <w:color w:val="auto"/>
          <w:szCs w:val="21"/>
          <w:highlight w:val="none"/>
        </w:rPr>
        <w:t xml:space="preserve"> 质保期</w:t>
      </w:r>
      <w:r>
        <w:rPr>
          <w:rFonts w:hint="eastAsia" w:ascii="仿宋" w:hAnsi="仿宋" w:eastAsia="仿宋" w:cs="仿宋"/>
          <w:b/>
          <w:bCs/>
          <w:color w:val="auto"/>
          <w:szCs w:val="21"/>
          <w:highlight w:val="none"/>
        </w:rPr>
        <w:t>、</w:t>
      </w:r>
      <w:r>
        <w:rPr>
          <w:rFonts w:ascii="仿宋" w:hAnsi="仿宋" w:eastAsia="仿宋" w:cs="仿宋"/>
          <w:b/>
          <w:bCs/>
          <w:color w:val="auto"/>
          <w:szCs w:val="21"/>
          <w:highlight w:val="none"/>
        </w:rPr>
        <w:t>售后服务承诺</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一、货物质保期为：【 （请填写具体质保期）</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合同另有特别约定的以特别约定为准），该期限自本合同项下的全部货物验收合格之日（对于还需要进行安装调试或集成服务的，应自所有相应服务完成并验收合格之日）起开始计算，质量保证期内如货物出现任何质量问题，甲方有权要求乙方予以无条件维修、更换或退货。若甲方选择维修的，乙方应免费提供配件并现场维修，维修或更换部分的货物和材料的质保期自修复或更换合格之日起重新计算。</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二、其他：【 （如还有其他要求请增加，如没有，请填“/”）】</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第六条 货物质量标准</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w:t>
      </w:r>
      <w:r>
        <w:rPr>
          <w:rFonts w:ascii="仿宋" w:hAnsi="仿宋" w:eastAsia="仿宋" w:cs="仿宋"/>
          <w:color w:val="auto"/>
          <w:szCs w:val="21"/>
          <w:highlight w:val="none"/>
        </w:rPr>
        <w:t>如甲方在本合同或附件中已指明所购货物品牌型号的，则产品应为甲方所指定品牌型号的原厂商生产的、完整、全新、未使用过的成套成品货物（含零部件、配件、随机工具、技术文件等），货物品质不低于原厂商同类同规格货物品质标准。货物内附质量说明或使用说明的，乙方同时保证货物质量与内附说明一致，保证货物能按照货物内附说明正常运行或使用。</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w:t>
      </w:r>
      <w:r>
        <w:rPr>
          <w:rFonts w:ascii="仿宋" w:hAnsi="仿宋" w:eastAsia="仿宋" w:cs="仿宋"/>
          <w:color w:val="auto"/>
          <w:szCs w:val="21"/>
          <w:highlight w:val="none"/>
        </w:rPr>
        <w:t>除非双方另行约定，</w:t>
      </w:r>
      <w:r>
        <w:rPr>
          <w:rFonts w:hint="eastAsia" w:ascii="仿宋" w:hAnsi="仿宋" w:eastAsia="仿宋" w:cs="仿宋"/>
          <w:color w:val="auto"/>
          <w:szCs w:val="21"/>
          <w:highlight w:val="none"/>
        </w:rPr>
        <w:t>货物应至少符合本合同及招标文件、投标文件约定的技术参数和要求。对于双方未明确的质量要求，</w:t>
      </w:r>
      <w:r>
        <w:rPr>
          <w:rFonts w:ascii="仿宋" w:hAnsi="仿宋" w:eastAsia="仿宋" w:cs="仿宋"/>
          <w:color w:val="auto"/>
          <w:szCs w:val="21"/>
          <w:highlight w:val="none"/>
        </w:rPr>
        <w:t>乙方提供的货物质量应符合同类同规格货物的国家质量标准及行业质量标准，上述质量标准区分等级的，则应符合最高级别的标准；如没有上述标准的，则应具备该类货物通常所应具备的使用功能和质量标准，且能正常运行和使用。</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w:t>
      </w:r>
      <w:r>
        <w:rPr>
          <w:rFonts w:ascii="仿宋" w:hAnsi="仿宋" w:eastAsia="仿宋" w:cs="仿宋"/>
          <w:color w:val="auto"/>
          <w:szCs w:val="21"/>
          <w:highlight w:val="none"/>
        </w:rPr>
        <w:t>乙方保证货物中的软件（若有）应当与本合同及附件中的描述或要求一致，软件质量、功能与附带的说明一致，且已通过乙方（乙方为原厂商时）或原厂商（若乙方非原厂商）质量测试和检验，能正常运行或使用。乙方应当向甲方提供相应的软件使用许可，并按甲方要求提供乙方或软件的原厂商（若乙方非软件的原厂商）正式签发的软件使用许可的授权证明文件。</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w:t>
      </w:r>
      <w:r>
        <w:rPr>
          <w:rFonts w:ascii="仿宋" w:hAnsi="仿宋" w:eastAsia="仿宋" w:cs="仿宋"/>
          <w:color w:val="auto"/>
          <w:szCs w:val="21"/>
          <w:highlight w:val="none"/>
        </w:rPr>
        <w:t>乙方保证货物中的软件不包含任何明显的或主要的缺陷、错误，不包含任何恶意的、破坏性的或可能导致未经授权者侵入、操作、控制计算机或计算机数据的计算机病毒、木马程序、后门程序等程序设计或程序代码。</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w:t>
      </w:r>
      <w:r>
        <w:rPr>
          <w:rFonts w:ascii="仿宋" w:hAnsi="仿宋" w:eastAsia="仿宋" w:cs="仿宋"/>
          <w:color w:val="auto"/>
          <w:szCs w:val="21"/>
          <w:highlight w:val="none"/>
        </w:rPr>
        <w:t>甲方对货物质量的其他要求:</w:t>
      </w:r>
      <w:r>
        <w:rPr>
          <w:rFonts w:hint="eastAsia" w:ascii="仿宋" w:hAnsi="仿宋" w:eastAsia="仿宋" w:cs="仿宋"/>
          <w:color w:val="auto"/>
          <w:szCs w:val="21"/>
          <w:highlight w:val="none"/>
        </w:rPr>
        <w:t>【</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（如还有其他要求请增加，如没有，请填“/”）</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w:t>
      </w:r>
      <w:r>
        <w:rPr>
          <w:rFonts w:ascii="仿宋" w:hAnsi="仿宋" w:eastAsia="仿宋" w:cs="仿宋"/>
          <w:color w:val="auto"/>
          <w:szCs w:val="21"/>
          <w:highlight w:val="none"/>
        </w:rPr>
        <w:t>乙方保证提供给甲方的货物符合本条有关货物质量标准的约定，且货物已通过原厂商质量测试和检验，并附带质量合格证书。货物序列号、包装箱号应与出厂批号一致，可追索查阅。若乙方非原厂商应确保进货渠道合法。</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第七条 货物交货及安装调试要求</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w:t>
      </w:r>
      <w:r>
        <w:rPr>
          <w:rFonts w:ascii="仿宋" w:hAnsi="仿宋" w:eastAsia="仿宋" w:cs="仿宋"/>
          <w:color w:val="auto"/>
          <w:szCs w:val="21"/>
          <w:highlight w:val="none"/>
        </w:rPr>
        <w:t>乙方应根据货物的不同特性和要求采取防潮、防雨、防锈、防震、防磁等保护措施，以确保货物安全无损地到达交货地点。货物必须洁净完好、无划痕、无凹陷、无褪色、无锈迹，包装外观完好、无破损。</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w:t>
      </w:r>
      <w:r>
        <w:rPr>
          <w:rFonts w:ascii="仿宋" w:hAnsi="仿宋" w:eastAsia="仿宋" w:cs="仿宋"/>
          <w:color w:val="auto"/>
          <w:szCs w:val="21"/>
          <w:highlight w:val="none"/>
        </w:rPr>
        <w:t>上述运输、包装、装卸及运输保险费用均由乙方负担，货物在按照本合同约定所有权转移给甲方前的全部风险由乙方承担。</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w:t>
      </w:r>
      <w:r>
        <w:rPr>
          <w:rFonts w:ascii="仿宋" w:hAnsi="仿宋" w:eastAsia="仿宋" w:cs="仿宋"/>
          <w:color w:val="auto"/>
          <w:szCs w:val="21"/>
          <w:highlight w:val="none"/>
        </w:rPr>
        <w:t>货物交货时应当同时附有技术规格、使用说明、质量检验合格证书、保修卡</w:t>
      </w:r>
      <w:r>
        <w:rPr>
          <w:rFonts w:hint="eastAsia" w:ascii="仿宋" w:hAnsi="仿宋" w:eastAsia="仿宋" w:cs="仿宋"/>
          <w:color w:val="auto"/>
          <w:szCs w:val="21"/>
          <w:highlight w:val="none"/>
        </w:rPr>
        <w:t>及【 （如还有其他文件资料请增加，如没有，请填“/”） 】</w:t>
      </w:r>
      <w:r>
        <w:rPr>
          <w:rFonts w:ascii="仿宋" w:hAnsi="仿宋" w:eastAsia="仿宋" w:cs="仿宋"/>
          <w:color w:val="auto"/>
          <w:szCs w:val="21"/>
          <w:highlight w:val="none"/>
        </w:rPr>
        <w:t>等相关文件或技术资料，文件或技术资料应当清晰、正确和完整。</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w:t>
      </w:r>
      <w:r>
        <w:rPr>
          <w:rFonts w:ascii="仿宋" w:hAnsi="仿宋" w:eastAsia="仿宋" w:cs="仿宋"/>
          <w:color w:val="auto"/>
          <w:szCs w:val="21"/>
          <w:highlight w:val="none"/>
        </w:rPr>
        <w:t>甲方要求变更交货地点、交货时间的，应提前</w:t>
      </w:r>
      <w:r>
        <w:rPr>
          <w:rFonts w:hint="eastAsia" w:ascii="仿宋" w:hAnsi="仿宋" w:eastAsia="仿宋" w:cs="仿宋"/>
          <w:color w:val="auto"/>
          <w:szCs w:val="21"/>
          <w:highlight w:val="none"/>
        </w:rPr>
        <w:t>【  （填写时间要求）</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日通知乙方，乙方应当予以同意，由此增加的运输费用由双方协商解决。</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w:t>
      </w:r>
      <w:r>
        <w:rPr>
          <w:rFonts w:ascii="仿宋" w:hAnsi="仿宋" w:eastAsia="仿宋" w:cs="仿宋"/>
          <w:color w:val="auto"/>
          <w:szCs w:val="21"/>
          <w:highlight w:val="none"/>
        </w:rPr>
        <w:t>乙方应当在货物运至约定交货地点前</w:t>
      </w:r>
      <w:r>
        <w:rPr>
          <w:rFonts w:hint="eastAsia" w:ascii="仿宋" w:hAnsi="仿宋" w:eastAsia="仿宋" w:cs="仿宋"/>
          <w:color w:val="auto"/>
          <w:szCs w:val="21"/>
          <w:highlight w:val="none"/>
        </w:rPr>
        <w:t>【  （填写时间要求）</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日通知甲方，以便甲方做好接收准备。货物运至约定交货地点后</w:t>
      </w:r>
      <w:r>
        <w:rPr>
          <w:rFonts w:hint="eastAsia" w:ascii="仿宋" w:hAnsi="仿宋" w:eastAsia="仿宋" w:cs="仿宋"/>
          <w:color w:val="auto"/>
          <w:szCs w:val="21"/>
          <w:highlight w:val="none"/>
        </w:rPr>
        <w:t>【  （填写时间要求）</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日内甲方对货物进行接收。接收时甲方有权对乙方所交货物的外包装完好程度、产品品牌、型号、数量、产地或生产厂商等是否符合本合同约定进行初验。乙方交付的货物存在损坏或短缺，或货物品牌、型号、配置等不符合约定的，甲方有权拒绝接收相应货物且乙方应按本合同约定承担违约责任。对于被拒绝接收的货物，可暂时存放甲方处，但货物毁损、灭失的风险由乙方承担。初验后应由甲方根据初验结果签署到货证明</w:t>
      </w:r>
      <w:r>
        <w:rPr>
          <w:rFonts w:hint="eastAsia"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六、本合同【  需要/不需要</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】乙方提供安装调试服务。乙方应在【 （填写时间要求）】完成全部货物现场安装调试并使之符合验收合格的标准。在安装调试过程中，甲方有权采取适当的方式对乙方货物质量标准、规格型号、具体配置、数量以及安装质量和进度等进行检查。甲方检查时发现乙方所供货物不符合合同约定或者乙方安装调试时造成货物损坏的，甲方有权要求乙方无条件换货或退货，乙方不同意换货或退货的，甲方有权单方解除合同，乙方应按本合同约定承担违约责任。</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w:t>
      </w:r>
      <w:r>
        <w:rPr>
          <w:rFonts w:ascii="仿宋" w:hAnsi="仿宋" w:eastAsia="仿宋" w:cs="仿宋"/>
          <w:color w:val="auto"/>
          <w:szCs w:val="21"/>
          <w:highlight w:val="none"/>
        </w:rPr>
        <w:t>若乙方并非原厂商、而本合同约定安装调试服务提供方为原厂商的，则乙方有义务联系、安排、督促、要求原厂商按照本条约定履行安装调试服务义务。原厂商未按照本合同约定履行安装调试服务义务的，视为乙方未履行义务，甲方有权按照本合同“违约责任”条款的约定要求乙方承担相应违约责任。</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w:t>
      </w:r>
      <w:r>
        <w:rPr>
          <w:rFonts w:ascii="仿宋" w:hAnsi="仿宋" w:eastAsia="仿宋" w:cs="仿宋"/>
          <w:color w:val="auto"/>
          <w:szCs w:val="21"/>
          <w:highlight w:val="none"/>
        </w:rPr>
        <w:t>甲方为安装调试提供工作场地、电源等条件，货物安装调试所需的耗材应由安装调试服务提供方提供，安装调试服务提供方在安装调试过程中应当遵守甲方工作场所的工作纪律及相关管理规定。</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w:t>
      </w:r>
      <w:r>
        <w:rPr>
          <w:rFonts w:ascii="仿宋" w:hAnsi="仿宋" w:eastAsia="仿宋" w:cs="仿宋"/>
          <w:color w:val="auto"/>
          <w:szCs w:val="21"/>
          <w:highlight w:val="none"/>
        </w:rPr>
        <w:t>在货物的安装及调试过程中，安装调试服务提供方或其聘请的雇员遭受人身损害或安装调试服务提供方或其聘请的雇员令甲方或第三方遭受人身损害或财产损失，由此引起的一切法律责任由乙方全部承担。若甲方因此为乙方垫付任何款项，甲方有权要求乙方据实立即支付，且有权从应付乙方的价款中将上述款项自行扣除。</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w:t>
      </w:r>
      <w:r>
        <w:rPr>
          <w:rFonts w:ascii="仿宋" w:hAnsi="仿宋" w:eastAsia="仿宋" w:cs="仿宋"/>
          <w:color w:val="auto"/>
          <w:szCs w:val="21"/>
          <w:highlight w:val="none"/>
        </w:rPr>
        <w:t>其他要求：</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（如还有其他要求请增加，如没有，请填“/”）】</w:t>
      </w:r>
      <w:r>
        <w:rPr>
          <w:rFonts w:ascii="仿宋" w:hAnsi="仿宋" w:eastAsia="仿宋" w:cs="仿宋"/>
          <w:color w:val="auto"/>
          <w:szCs w:val="21"/>
          <w:highlight w:val="none"/>
        </w:rPr>
        <w:t xml:space="preserve">  </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第八条 验收</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一、验收标准：按本合同采购标的、价格及货物质量标准的约定进行验收。</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二、验收时间：乙方完成本合同第七条约定的安装调试及其他服务工作后，应当在【  （填写时间要求） 日】内（乙方无需提供安装调试及其他服务的应在双方确定的交货时间之日起【  （填写时间要求） 日】内）做好验收的必要准备并向甲方发出可以进行验收的书面通知。甲方自收到可以进行验收的通知之日起【  （填写时间要求） 日】日内开始验收。双方书面另行约定其他验收时间的，按约定时间进行验收。</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三、验收范围包括但不限于：1、型号规格、数量、外观；2、出厂合格证、说明书等约定应交付的证书、资料；3、设备组件及所附技术资料；4、设备功能、性能等参数指标；5、【 （如还有其他内容请增加，如没有，请填“/”）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验收合格的确认：验收合格后甲方签署验收合格证明，此时乙方完成合同交付义务。如验收不合格，乙方应当立即采取措施纠正不符之处，并与甲方协商约定新的验收时间进行验收（简称“重新提交验收”）。若因重新提交验收而超出本合同确定的安装调试时间的（乙方无需安装调试的，若重新提交验收而超过本合同确定的交货时间），视为乙方未完成安装调试义务（乙方无需安装调试的，视为乙方未完成交货义务），乙方应承担逾期交付违约责任。</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第九条 知识产权</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一、乙方保证乙方提供的货物及服务（无论乙方是否为该货物或服务的原厂商）不存在任何侵犯第三方知识产权及其他权利的情形。如果第三方声称乙方向甲方提供的货物或服务侵犯其知识产权或其他权利的，</w:t>
      </w:r>
      <w:bookmarkStart w:id="38" w:name="_Hlk536733718"/>
      <w:r>
        <w:rPr>
          <w:rFonts w:hint="eastAsia" w:ascii="仿宋" w:hAnsi="仿宋" w:eastAsia="仿宋" w:cs="仿宋"/>
          <w:color w:val="auto"/>
          <w:szCs w:val="21"/>
          <w:highlight w:val="none"/>
        </w:rPr>
        <w:t>由乙方负责处理并自担费用，知悉上述事项的一方应立即通知合同对方；</w:t>
      </w:r>
      <w:bookmarkEnd w:id="38"/>
      <w:r>
        <w:rPr>
          <w:rFonts w:hint="eastAsia" w:ascii="仿宋" w:hAnsi="仿宋" w:eastAsia="仿宋" w:cs="仿宋"/>
          <w:color w:val="auto"/>
          <w:szCs w:val="21"/>
          <w:highlight w:val="none"/>
        </w:rPr>
        <w:t>如第三方已就此对甲方或乙方提起（包括威胁提起或很可能提起）法律诉讼程序或知识产权等维权行政执法程序（简称“侵权纠纷”），</w:t>
      </w:r>
      <w:bookmarkStart w:id="39" w:name="_Hlk536728548"/>
      <w:r>
        <w:rPr>
          <w:rFonts w:hint="eastAsia" w:ascii="仿宋" w:hAnsi="仿宋" w:eastAsia="仿宋" w:cs="仿宋"/>
          <w:color w:val="auto"/>
          <w:szCs w:val="21"/>
          <w:highlight w:val="none"/>
        </w:rPr>
        <w:t>由乙方负责处理并自担费用，</w:t>
      </w:r>
      <w:bookmarkEnd w:id="39"/>
      <w:r>
        <w:rPr>
          <w:rFonts w:hint="eastAsia" w:ascii="仿宋" w:hAnsi="仿宋" w:eastAsia="仿宋" w:cs="仿宋"/>
          <w:color w:val="auto"/>
          <w:szCs w:val="21"/>
          <w:highlight w:val="none"/>
        </w:rPr>
        <w:t>知悉上述事项的一方应立即通知合同对方，甲方并有权：1、暂停履行对侵权纠纷所涉货物或服务的采购或支付义务，直至侵权纠纷完全解决</w:t>
      </w:r>
      <w:bookmarkStart w:id="40" w:name="_Hlk536728589"/>
      <w:r>
        <w:rPr>
          <w:rFonts w:hint="eastAsia" w:ascii="仿宋" w:hAnsi="仿宋" w:eastAsia="仿宋" w:cs="仿宋"/>
          <w:color w:val="auto"/>
          <w:szCs w:val="21"/>
          <w:highlight w:val="none"/>
        </w:rPr>
        <w:t>至纠纷已按照生效的协议、调解书、裁决等履行完毕时再启动继续履行，就甲方作为当事人的侵权纠纷，乙方无条件按照甲方的要求配合甲方处理，</w:t>
      </w:r>
      <w:bookmarkEnd w:id="40"/>
      <w:r>
        <w:rPr>
          <w:rFonts w:hint="eastAsia" w:ascii="仿宋" w:hAnsi="仿宋" w:eastAsia="仿宋" w:cs="仿宋"/>
          <w:color w:val="auto"/>
          <w:szCs w:val="21"/>
          <w:highlight w:val="none"/>
        </w:rPr>
        <w:t>乙方并应自担费用向甲方提供甲方与该第三方协商、诉讼、和解所需的一切协助（包括但不限于向甲方提供证明侵权不存在的各类证据、派出人员参加协商、诉讼或会谈等）；2、甲方有权选择与该第三方达成和解，并由乙方支付和解协议所约定的全部费用以及甲方因侵权纠纷而遭受的全部损失或费用（包括但不限于诉讼/仲裁费、保全费、执行费、律师费、交通费、通讯费、差旅费、对第三方的损害赔偿金、行政处罚罚款、获取该货物或服务相应使用许可的费用、因停止使用或修改、替换侵权威胁所涉及的货物或服务而遭受的损失等）。如果甲方选择继续参加侵权纠纷法律程序，乙方应当赔偿甲方因侵权纠纷及履行和解协议、生效法律裁判而需支付的费用或遭受的损失（包括但不限于诉讼/仲裁费、保全费、执行费、律师费、交通费、通讯费、差旅费、对第三方的损害赔偿金、行政处罚罚款、获取该货物或服务相应使用许可的费用、因停止使用或修改、替换侵权威胁所涉及的货物或服务而遭受的损失等）。</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二、不论本合同是否解除或终止，本条款持续有效。</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三、其他：【 （如还有其他内容请增加，如没有，请填“/”） 】。</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第十条 保密条款</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应当对本合同的内容、甲方为本合同提供的技术要求、规格指标、计划、图纸、模型、样品等信息或资料以及乙方在签订、履行本合同过程中知悉或获得的所有有关甲方的商业秘密、内部资料等信息（即“保密信息”）予以保密，除非该信息是：1、甲方以书面方式明确注明为非保密性质的信息；或2、公众已经知晓的或通过公开渠道可获得的信息，且不是因为乙方违反本保密义务而导致该信息公知公晓的；3、乙方从有权披露该信息的第三方获取的信息，且乙方对该信息无保密义务；4、在本合同谈判前乙方已独立开发的信息。</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本合同约定的保密期限内，未经甲方书面同意，乙方不得将保密信息用于本合同以外的目的，并不得将其泄漏给任何第三方。乙方的雇员为履行本合同约定而必须接触相关保密信息时，乙方可以将此部分保密信息披露给该雇员，但乙方应当告知该雇员相关的保密义务并和其签署书面保密协议，使其承担不低于本保密条款约定的保密义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司法、执法等机关（简称“有权机关”）或法律法规要求乙方披露保密信息的，乙方应在披露前或披露时尽最大努力为被要求披露的保密信息获取保密措施或保密待遇，并将披露范围严格限定在有权机关或法律法规所要求必须披露的范围之内。在法律许可的范围内，乙方应将此事立即书面通知甲方，使甲方有合理机会采取适当的申诉或保护措施。</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或其雇员（无论该雇员是否已从乙方离职）在本条约定的保密期限内违反保密义务的，乙方应当对甲方因此所遭受的损失承担赔偿责任。如果乙方在本合同有效期内严重违反保密义务，甲方同时还有权提前解除本合同。</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如果甲方有要求，乙方在完成合同后应将甲方为本合同提供的所有资料或物品返还甲方。</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保密期限自本合同生效之日起算，保密期限为：永久，不因本合同的解除或终止而失效。</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其他：【 （如还有其他内容请增加，如没有，请填“/”） 】。</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第十一条 承诺与保证</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乙方清楚地知悉甲方的经营范围及合同签字人权限。乙方已阅读本合同所有条款，并对本合同条款的含义及相应的法律后果已全部通晓并充分理解。</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保证具备签署、履行本合同的合法资格和能力，乙方在本合同项下的行为符合法律、行政法规、规章规定，乙方签署本合同或履行乙方在本合同项下的义务不违反乙方订立的任何其他协议，乙方在本合同项下的行为符合乙方的相关规定，且已获得公司（机构、组织）内部有权机构及/或国家有权机关的批准。</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若乙方并非甲方所采购的货物或服务的原厂商，而是作为该原厂商的经销商或代理商与甲方签订本合同的，则对于任何依本合同约定应由或理应由原厂商提供的货物或服务或履行的其他义务（包括但不限于原厂商生产货物、原厂商维护支持服务、</w:t>
      </w:r>
      <w:bookmarkStart w:id="41" w:name="_Hlk536733933"/>
      <w:r>
        <w:rPr>
          <w:rFonts w:hint="eastAsia" w:ascii="仿宋" w:hAnsi="仿宋" w:eastAsia="仿宋" w:cs="仿宋"/>
          <w:color w:val="auto"/>
          <w:szCs w:val="21"/>
          <w:highlight w:val="none"/>
        </w:rPr>
        <w:t>原厂商售后服务、</w:t>
      </w:r>
      <w:bookmarkEnd w:id="41"/>
      <w:r>
        <w:rPr>
          <w:rFonts w:hint="eastAsia" w:ascii="仿宋" w:hAnsi="仿宋" w:eastAsia="仿宋" w:cs="仿宋"/>
          <w:color w:val="auto"/>
          <w:szCs w:val="21"/>
          <w:highlight w:val="none"/>
        </w:rPr>
        <w:t>知识产权及保密方面的义务等），乙方均有义务通过协议、安排、协调、购买、督促、要求等任何方式保证该原厂商按照本合同约定予以提供或履行，原厂商不按照本合同约定予以提供或履行的，视为系乙方的违约行为，甲方有权按照本合同约定要求乙方对该违约行为承担违约责任。</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乙方保证提供给甲方的全部资料、文件和信息均是真实、合法、准确、完整、有效的。</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保证具备销售本合同项下货物及提供本合同项下各项服务的合法资质，并有义务在本合同履行期内持续保持该资质的合法有效性。乙方保证对所销售的货物合法享有所有权或处分权，货物不存在任何权属争议，也不存在任何未书面告知甲方的权利瑕疵或权利负担，包括但不限于被查封、被扣押、被监管、被出租、被留置、存在拖欠购置价款、维修费用、国家税款、损害赔偿金等情形或者货物已为第三人设定担保等。</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其他：【 （如还有其他内容请增加，如没有，请填“/”） 】。</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第十二条 其他约定</w:t>
      </w:r>
    </w:p>
    <w:p>
      <w:pPr>
        <w:adjustRightInd w:val="0"/>
        <w:snapToGrid w:val="0"/>
        <w:spacing w:line="288" w:lineRule="auto"/>
        <w:ind w:firstLine="420" w:firstLineChars="200"/>
        <w:rPr>
          <w:rFonts w:ascii="仿宋" w:hAnsi="仿宋" w:eastAsia="仿宋" w:cs="仿宋"/>
          <w:color w:val="auto"/>
          <w:szCs w:val="21"/>
          <w:highlight w:val="none"/>
        </w:rPr>
      </w:pPr>
      <w:bookmarkStart w:id="42" w:name="_Hlk536728215"/>
      <w:bookmarkStart w:id="43" w:name="_Hlk536733518"/>
      <w:r>
        <w:rPr>
          <w:rFonts w:hint="eastAsia" w:ascii="仿宋" w:hAnsi="仿宋" w:eastAsia="仿宋" w:cs="仿宋"/>
          <w:color w:val="auto"/>
          <w:szCs w:val="21"/>
          <w:highlight w:val="none"/>
        </w:rPr>
        <w:t>一、乙方应当按照下列第【 （选择1、2、3中的一种） 】项约定开具</w:t>
      </w:r>
      <w:bookmarkStart w:id="44" w:name="_Hlk536733460"/>
      <w:r>
        <w:rPr>
          <w:rFonts w:hint="eastAsia" w:ascii="仿宋" w:hAnsi="仿宋" w:eastAsia="仿宋" w:cs="仿宋"/>
          <w:color w:val="auto"/>
          <w:szCs w:val="21"/>
          <w:highlight w:val="none"/>
        </w:rPr>
        <w:t>并向甲方提供</w:t>
      </w:r>
      <w:bookmarkEnd w:id="44"/>
      <w:r>
        <w:rPr>
          <w:rFonts w:hint="eastAsia" w:ascii="仿宋" w:hAnsi="仿宋" w:eastAsia="仿宋" w:cs="仿宋"/>
          <w:color w:val="auto"/>
          <w:szCs w:val="21"/>
          <w:highlight w:val="none"/>
        </w:rPr>
        <w:t>发票：</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1、在甲方支付款项前【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7</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】个工作日开具并向甲方提供当次支付金额的符合规定的增值税专用发票，</w:t>
      </w:r>
      <w:bookmarkStart w:id="45" w:name="_Hlk536728170"/>
      <w:r>
        <w:rPr>
          <w:rFonts w:hint="eastAsia" w:ascii="仿宋" w:hAnsi="仿宋" w:eastAsia="仿宋" w:cs="仿宋"/>
          <w:color w:val="auto"/>
          <w:szCs w:val="21"/>
          <w:highlight w:val="none"/>
        </w:rPr>
        <w:t>否则甲方有权拒绝付款</w:t>
      </w:r>
      <w:bookmarkEnd w:id="45"/>
      <w:r>
        <w:rPr>
          <w:rFonts w:hint="eastAsia"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2、在甲方支付全额货款前（如分阶段付款，则为支付尾款前）【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7</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】个工作日开具合同总额的符合规定的增值税专用发票，否则甲方有权拒绝付款。</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3、其他约定:【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（如选择第3种请完善此处内容）</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bookmarkStart w:id="46" w:name="_Hlk536733496"/>
      <w:bookmarkStart w:id="47" w:name="_Hlk536728187"/>
      <w:r>
        <w:rPr>
          <w:rFonts w:hint="eastAsia" w:ascii="仿宋" w:hAnsi="仿宋" w:eastAsia="仿宋" w:cs="仿宋"/>
          <w:color w:val="auto"/>
          <w:szCs w:val="21"/>
          <w:highlight w:val="none"/>
        </w:rPr>
        <w:t>乙方必须提供符合中华人民共和国国家税务规定的全额增值税专用发票，若乙方无法提供增值税专用发票或因乙方原因造成发票无法认证成功，导致甲方无法抵扣进项税额，乙方应全额赔偿甲方因此产生的税额损失。</w:t>
      </w:r>
      <w:bookmarkEnd w:id="46"/>
      <w:bookmarkEnd w:id="47"/>
      <w:r>
        <w:rPr>
          <w:rFonts w:hint="eastAsia" w:ascii="仿宋" w:hAnsi="仿宋" w:eastAsia="仿宋" w:cs="仿宋"/>
          <w:color w:val="auto"/>
          <w:szCs w:val="21"/>
          <w:highlight w:val="none"/>
        </w:rPr>
        <w:t>如乙方依据税收法律法规无法开具（或通过税务机关代开）增值税专用发票，乙方应当开具合法有效的增值税普通发票。如未来乙方登记成为增值税一般纳税人，应及时通知甲方。自乙方登记成为增值税一般纳税人起，乙方应向甲方开具符合规定的增值税专用发票。</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甲方提供的开票信息如下：</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单位名称：之江实验室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纳税人识别号： </w:t>
      </w:r>
      <w:r>
        <w:rPr>
          <w:rFonts w:ascii="仿宋" w:hAnsi="仿宋" w:eastAsia="仿宋" w:cs="仿宋"/>
          <w:color w:val="auto"/>
          <w:szCs w:val="21"/>
          <w:highlight w:val="none"/>
        </w:rPr>
        <w:t>12330000MB1478604D</w:t>
      </w:r>
      <w:r>
        <w:rPr>
          <w:rFonts w:hint="eastAsia" w:ascii="仿宋" w:hAnsi="仿宋" w:eastAsia="仿宋" w:cs="仿宋"/>
          <w:color w:val="auto"/>
          <w:szCs w:val="21"/>
          <w:highlight w:val="none"/>
        </w:rPr>
        <w:t xml:space="preserve">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银行账户： </w:t>
      </w:r>
      <w:r>
        <w:rPr>
          <w:rFonts w:ascii="仿宋" w:hAnsi="仿宋" w:eastAsia="仿宋" w:cs="仿宋"/>
          <w:color w:val="auto"/>
          <w:szCs w:val="21"/>
          <w:highlight w:val="none"/>
        </w:rPr>
        <w:t>33050161612709088888</w:t>
      </w:r>
      <w:r>
        <w:rPr>
          <w:rFonts w:hint="eastAsia" w:ascii="仿宋" w:hAnsi="仿宋" w:eastAsia="仿宋" w:cs="仿宋"/>
          <w:color w:val="auto"/>
          <w:szCs w:val="21"/>
          <w:highlight w:val="none"/>
        </w:rPr>
        <w:t xml:space="preserve">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开户银行：中国建设银行杭州宝石支行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地址：杭州市文一西路1818号 电话： </w:t>
      </w:r>
      <w:r>
        <w:rPr>
          <w:rFonts w:ascii="仿宋" w:hAnsi="仿宋" w:eastAsia="仿宋" w:cs="仿宋"/>
          <w:color w:val="auto"/>
          <w:szCs w:val="21"/>
          <w:highlight w:val="none"/>
        </w:rPr>
        <w:t>057156390521</w:t>
      </w:r>
      <w:r>
        <w:rPr>
          <w:rFonts w:hint="eastAsia" w:ascii="仿宋" w:hAnsi="仿宋" w:eastAsia="仿宋" w:cs="仿宋"/>
          <w:color w:val="auto"/>
          <w:szCs w:val="21"/>
          <w:highlight w:val="none"/>
        </w:rPr>
        <w:t xml:space="preserve">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如乙方向甲方开具的发票无效、虚假、发票类型与合同约定不符，或者乙方发生迟延开具或交付发票的情形，或者乙方出现违反合同约定的其他情形，乙方应当赔偿甲方全部损失，包括但不限于税金、附加税费、罚金、滞纳金。</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如发生需要作废发票或开具红字发票等情形，乙方应当根据甲方要求及时开具发票。</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因乙方未按约及时提供发票导致甲方迟延付款的，不视为甲方逾期付款，乙方不得因此向甲方主张承担逾期付款违约责任。</w:t>
      </w:r>
      <w:bookmarkEnd w:id="42"/>
      <w:bookmarkEnd w:id="43"/>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二、权利保留</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任何一方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三、通知</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本合同任何一方当事人传递给对方的通知，须按本合同所列的联系人、联系电话、通讯地址等联系方式进行。 一方联系人、联系方式如有变动，应于发生变动之日起三个工作日内以书面形式通知对方，因未及时通知而造成的损失由变动方承担。</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四、税收</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双方均同意根据适用的税收法律法规各自缴纳其应承担的本合同或本合同项下的一切税收。甲方除依据本合同“支付条款”支付相应款项外，无义务向乙方额外补偿或支付任何税款。如果依据税收法律法规，甲方应当为乙方代扣代缴任何税款，甲方有权在依据本合同支付相应款项前扣除应代扣的税款；如甲方按照税收法律法规已为乙方代缴了税款，但未能在支付本合同约定款项时扣除相应数额，乙方应当在接到甲方提供的代缴税收证明文件后立即全额偿付甲方已代缴的税款。</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五、不可抗力</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由于发生不可抗力事件（如战争、暴动、严重火灾、水灾、台风、地震、政府行为和禁令等事件），致使合同任一方不能履行合同义务时，遭受不可抗力事件影响的一方负有在合理时间内尽快通知合同对方和采取合理措施减少对方损失的义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遭受不可抗力事件影响的一方在履行前述义务后免除违约责任。但其合同义务不因此免除。经合同双方协商同意，合同履行时间可合理延长，延长时间相当于因事件发生受到影响的时间。</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六、权利义务的转让</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未经甲方事先书面同意，乙方不得通过任何方式出售、转让或转移其在本合同项下的任何权利或义务。</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七、市场宣传</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未经甲方书面同意，乙方不得在市场宣传中使用与甲方的合作案例，不得将甲方作为业务合作伙伴进行宣传，不得使用甲方的名称、标志、商标等。</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八、合同的完整性及解释顺序</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下列文件是</w:t>
      </w:r>
      <w:r>
        <w:rPr>
          <w:rFonts w:ascii="仿宋" w:hAnsi="仿宋" w:eastAsia="仿宋" w:cs="仿宋"/>
          <w:color w:val="auto"/>
          <w:szCs w:val="21"/>
          <w:highlight w:val="none"/>
        </w:rPr>
        <w:t>本</w:t>
      </w:r>
      <w:r>
        <w:rPr>
          <w:rFonts w:hint="eastAsia" w:ascii="仿宋" w:hAnsi="仿宋" w:eastAsia="仿宋" w:cs="仿宋"/>
          <w:color w:val="auto"/>
          <w:szCs w:val="21"/>
          <w:highlight w:val="none"/>
        </w:rPr>
        <w:t>合同不可分割的组成部分，并按下列优先顺序进行解释</w:t>
      </w:r>
      <w:r>
        <w:rPr>
          <w:rFonts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1、本合同及</w:t>
      </w:r>
      <w:r>
        <w:rPr>
          <w:rFonts w:ascii="仿宋" w:hAnsi="仿宋" w:eastAsia="仿宋" w:cs="仿宋"/>
          <w:color w:val="auto"/>
          <w:szCs w:val="21"/>
          <w:highlight w:val="none"/>
        </w:rPr>
        <w:t xml:space="preserve">附件；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ascii="仿宋" w:hAnsi="仿宋" w:eastAsia="仿宋" w:cs="仿宋"/>
          <w:color w:val="auto"/>
          <w:szCs w:val="21"/>
          <w:highlight w:val="none"/>
        </w:rPr>
        <w:t xml:space="preserve">中标通知书（如果有）；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3、招标（谈判、磋商）文件及附件</w:t>
      </w:r>
      <w:r>
        <w:rPr>
          <w:rFonts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w:t>
      </w:r>
      <w:r>
        <w:rPr>
          <w:rFonts w:ascii="仿宋" w:hAnsi="仿宋" w:eastAsia="仿宋" w:cs="仿宋"/>
          <w:color w:val="auto"/>
          <w:szCs w:val="21"/>
          <w:highlight w:val="none"/>
        </w:rPr>
        <w:t>投标</w:t>
      </w:r>
      <w:r>
        <w:rPr>
          <w:rFonts w:hint="eastAsia" w:ascii="仿宋" w:hAnsi="仿宋" w:eastAsia="仿宋" w:cs="仿宋"/>
          <w:color w:val="auto"/>
          <w:szCs w:val="21"/>
          <w:highlight w:val="none"/>
        </w:rPr>
        <w:t>（响应）文件</w:t>
      </w:r>
      <w:r>
        <w:rPr>
          <w:rFonts w:ascii="仿宋" w:hAnsi="仿宋" w:eastAsia="仿宋" w:cs="仿宋"/>
          <w:color w:val="auto"/>
          <w:szCs w:val="21"/>
          <w:highlight w:val="none"/>
        </w:rPr>
        <w:t>；</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5、投标人所作的其他</w:t>
      </w:r>
      <w:r>
        <w:rPr>
          <w:rFonts w:hint="eastAsia" w:ascii="仿宋" w:hAnsi="仿宋" w:eastAsia="仿宋" w:cs="仿宋"/>
          <w:color w:val="auto"/>
          <w:szCs w:val="21"/>
          <w:highlight w:val="none"/>
          <w:lang w:eastAsia="zh-Hans"/>
        </w:rPr>
        <w:t>书面</w:t>
      </w:r>
      <w:r>
        <w:rPr>
          <w:rFonts w:hint="eastAsia" w:ascii="仿宋" w:hAnsi="仿宋" w:eastAsia="仿宋" w:cs="仿宋"/>
          <w:color w:val="auto"/>
          <w:szCs w:val="21"/>
          <w:highlight w:val="none"/>
        </w:rPr>
        <w:t>承诺；</w:t>
      </w:r>
    </w:p>
    <w:p>
      <w:pPr>
        <w:adjustRightInd w:val="0"/>
        <w:snapToGrid w:val="0"/>
        <w:spacing w:line="288" w:lineRule="auto"/>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在合同履行过程中形成的与合同有关的文件均构成合同文件组成部分。</w:t>
      </w:r>
    </w:p>
    <w:p>
      <w:pPr>
        <w:adjustRightInd w:val="0"/>
        <w:snapToGrid w:val="0"/>
        <w:spacing w:line="288" w:lineRule="auto"/>
        <w:ind w:firstLine="420" w:firstLineChars="200"/>
        <w:rPr>
          <w:rFonts w:ascii="仿宋" w:hAnsi="仿宋" w:eastAsia="仿宋" w:cs="仿宋"/>
          <w:color w:val="auto"/>
          <w:szCs w:val="21"/>
          <w:highlight w:val="none"/>
        </w:rPr>
      </w:pPr>
      <w:r>
        <w:rPr>
          <w:rFonts w:ascii="仿宋" w:hAnsi="仿宋" w:eastAsia="仿宋" w:cs="仿宋"/>
          <w:color w:val="auto"/>
          <w:szCs w:val="21"/>
          <w:highlight w:val="none"/>
        </w:rPr>
        <w:t>上述各项合同文件包括合同当事人就该项合同文件所作出的补充和修改，属于同一类内容的文件，应以最新签署的为准。</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九、合同条款的可分割性</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如果本合同的任何条款被司法机关或其它有权机关宣布为无效、非法或其它形式的不可执行，本合同其它条款仍然有效，双方均应遵照执行。</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十、合同使用文字及效力</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除甲乙双方另行书面约定外，本合同项下所有文件、资料、工作说明书、产品说明书、手册、书信、电传、通知、电子邮件及其他书面文件若包含中文及其他语言文字的，均应以中文或中文含义为准。</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十一、廉洁规定</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及乙方人员应严格遵守国家有关法律法规规定，遵守商业道德和市场规则，禁止商业贿赂，禁止不正当竞争，不得向甲方有关工作人员提供任何形式的回扣、现金、实物、证券、礼券等有价物品或邀请甲方相关工作人员参加旅游、高档宴请等其他可能影响职务行为公正履行的活动。否则，甲方有权将乙方列入不诚信供应商名单并进行公开通报。乙方因违反廉洁规定的行为而获得的非法所得，应返还甲方，因此导致甲方遭受损失的，乙方应赔偿甲方全部损失。</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第十三条 违约责任</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一、乙方的违约行为及责任</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交付的货物存在损坏或短缺，或货物品牌、型号、配置性能、货物质量等不符合合同约定的，乙方应当按照甲方要求立即进行整改，予以无条件维修、更换或退货，并承担由此产生的全部费用。在乙方按要求完成整改前，甲方有权拒付相应合同价款。乙方拒绝整改的，甲方有权解除合同，按本合同的约定追究乙方违约责任。乙方因整改未按本合同要求的时间交货或未按本合同约定的期限履行安装调试义务的，视为逾期，甲方有权按照本合同的约定行使权利。</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未按约定交付期限向甲方交付货物或完成安装调试服务、集成服务工作的，乙方应自逾期之日起按照合同总价的【</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1</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】‰乘以逾期天数向甲方支付违约金；如果乙方逾期【 30 】日以上仍未交付货物或完成安装调试服务、集成服务的，甲方有权解除本合同，按本合同的约定追究乙方违约责任。</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乙方提供的安装调试服务或集成服务验收不合格，应当重新进行安装调试或集成工作，并与甲方约定新的验收时间进行验收。如果连续经过【</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2</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】次验收均不合格或自合同约定的安装调试或集成服务应当完成之日起【</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30</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】日内仍不能验收合格的（以最先届至的为准），甲方有权选择行使下列权利：1、解除本合同，乙方向甲方返还甲方已支付的全部价款（对于未支付的价款，甲方不再支付），乙方同时应按合同总价的【</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30</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】％向甲方支付违约金，违约金不足以弥补甲方损失的，乙方还应赔偿甲方遭受的全部损失。2、要求重新提供符合合同约定的服务，乙方同时应按合同总价的【</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5</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】％向甲方支付违约金，违约金不足以弥补甲方损失的，乙方还应赔偿甲方遭受的全部损失。</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乙方违反“承诺与保证”条款中任一约定的，甲方有权解除本合同，并按本合同的约定追究乙方违约责任。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未按本合同约定履行培训服务、维护支持服务或其他约定义务的，应按照甲方要求承担继续履行、采取补救措施和赔偿损失等违约责任，并按以下约定向甲方支付违约金：对于超过时限不履行义务的，乙方应自逾期之日起按照合同总价的【</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3 】‰乘以逾期天数向甲方支付违约金；对于其他违约情形的，乙方应就每一违约事件按照合同总价的【</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5</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向甲方支付违约金。违约金不足以补偿甲方损失的，乙方还应赔偿甲方遭受的全部损失。甲方认为违约行为已对甲方项目工作造成重大不利影响或者经甲方催告后乙方仍未提供支持维护服务、培训服务或其他约定义务的，甲方同时有权解除本合同。</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乙方应当向甲方支付违约金或赔偿金的，应当在甲方发出索赔通知后【</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7</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】日之内支付给甲方。如甲方尚有未向乙方支付的款项的，乙方同意甲方有权从未支付款项中扣除相应数额的款项。</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上述所称损失是指直接损失和间接损失，包括但不限于诉讼费</w:t>
      </w:r>
      <w:bookmarkStart w:id="48" w:name="_Hlk536734292"/>
      <w:r>
        <w:rPr>
          <w:rFonts w:hint="eastAsia" w:ascii="仿宋" w:hAnsi="仿宋" w:eastAsia="仿宋" w:cs="仿宋"/>
          <w:color w:val="auto"/>
          <w:szCs w:val="21"/>
          <w:highlight w:val="none"/>
        </w:rPr>
        <w:t>/仲裁费、保全费、执行费</w:t>
      </w:r>
      <w:bookmarkEnd w:id="48"/>
      <w:r>
        <w:rPr>
          <w:rFonts w:hint="eastAsia" w:ascii="仿宋" w:hAnsi="仿宋" w:eastAsia="仿宋" w:cs="仿宋"/>
          <w:color w:val="auto"/>
          <w:szCs w:val="21"/>
          <w:highlight w:val="none"/>
        </w:rPr>
        <w:t>、律师费及调查取证费、鉴定费、公证费、公告费、评估费等相关费用。</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二、甲方的违约行为及责任</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甲方违反本合同约定逾期支付合同价款且经乙方书面催告后仍未及时支付的，甲方应自逾期之日起按照逾期支付合同价款的【</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1</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】‰乘以逾期天数向乙方支付违约金。 </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第十四条 法律适用与争议的解决</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本合同适用中华人民共和国法律。</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凡因本合同引起的或与本合同有关的任何争议，双方可通过协商解决，协商不成，按照以下第【 （选择1、2中一种）】种方式解决：</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1、向甲方住所地有管辖权的人民法院起诉。</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2、将争议提交杭州仲裁委员会并按照申请仲裁时该会现行有效的仲裁规则进行仲裁。仲裁裁决是终局的，对双方均有约束力。</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在诉讼或仲裁期间，本合同不涉及争议的条款仍须履行。</w:t>
      </w:r>
    </w:p>
    <w:p>
      <w:pPr>
        <w:adjustRightInd w:val="0"/>
        <w:snapToGrid w:val="0"/>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第十五条 合同的生效、变更及合同份数 </w:t>
      </w:r>
    </w:p>
    <w:p>
      <w:pPr>
        <w:adjustRightInd w:val="0"/>
        <w:snapToGrid w:val="0"/>
        <w:spacing w:line="288"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本合同经甲方法定代表人或授权代表签字并盖章、乙方法定代表人（负责人）或授权代表签字或盖章后生效。本合同生效后，未经双方共同协商并达成书面协议，任何一方不得擅自变更本合同约定。本合同正本一式【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】份，甲方执【 贰 】份，乙方执【</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】份，鉴证方执【</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壹</w:t>
      </w:r>
      <w:r>
        <w:rPr>
          <w:rFonts w:ascii="仿宋" w:hAnsi="仿宋" w:eastAsia="仿宋" w:cs="仿宋"/>
          <w:color w:val="auto"/>
          <w:szCs w:val="21"/>
          <w:highlight w:val="none"/>
        </w:rPr>
        <w:t xml:space="preserve"> </w:t>
      </w:r>
      <w:r>
        <w:rPr>
          <w:rFonts w:hint="eastAsia" w:ascii="仿宋" w:hAnsi="仿宋" w:eastAsia="仿宋" w:cs="仿宋"/>
          <w:color w:val="auto"/>
          <w:szCs w:val="21"/>
          <w:highlight w:val="none"/>
        </w:rPr>
        <w:t>】份，均具有同等法律效力。</w:t>
      </w:r>
    </w:p>
    <w:p>
      <w:pPr>
        <w:spacing w:line="288"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第十六条  双方补充约定的其他事项：【</w:t>
      </w:r>
      <w:r>
        <w:rPr>
          <w:rFonts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w:t xml:space="preserve">         </w:t>
      </w:r>
      <w:r>
        <w:rPr>
          <w:rFonts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w:t>】</w:t>
      </w:r>
    </w:p>
    <w:p>
      <w:pPr>
        <w:adjustRightInd w:val="0"/>
        <w:snapToGrid w:val="0"/>
        <w:spacing w:line="288" w:lineRule="auto"/>
        <w:jc w:val="center"/>
        <w:rPr>
          <w:rFonts w:ascii="仿宋" w:hAnsi="仿宋" w:eastAsia="仿宋" w:cs="仿宋"/>
          <w:b/>
          <w:color w:val="auto"/>
          <w:szCs w:val="21"/>
          <w:highlight w:val="none"/>
        </w:rPr>
      </w:pPr>
      <w:r>
        <w:rPr>
          <w:rFonts w:hint="eastAsia" w:ascii="仿宋" w:hAnsi="仿宋" w:eastAsia="仿宋" w:cs="仿宋"/>
          <w:color w:val="auto"/>
          <w:szCs w:val="21"/>
          <w:highlight w:val="none"/>
        </w:rPr>
        <w:t>（以下无正文）</w:t>
      </w:r>
    </w:p>
    <w:p>
      <w:pPr>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【本页无正文，为签署页】</w:t>
      </w:r>
    </w:p>
    <w:tbl>
      <w:tblPr>
        <w:tblStyle w:val="28"/>
        <w:tblW w:w="96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21"/>
        <w:gridCol w:w="4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甲方（盖章）：</w:t>
            </w:r>
          </w:p>
          <w:p>
            <w:pPr>
              <w:rPr>
                <w:rFonts w:ascii="仿宋" w:hAnsi="仿宋" w:eastAsia="仿宋" w:cs="仿宋"/>
                <w:color w:val="auto"/>
                <w:highlight w:val="none"/>
              </w:rPr>
            </w:pPr>
          </w:p>
          <w:p>
            <w:pPr>
              <w:rPr>
                <w:rFonts w:ascii="仿宋" w:hAnsi="仿宋" w:eastAsia="仿宋" w:cs="仿宋"/>
                <w:color w:val="auto"/>
                <w:highlight w:val="none"/>
              </w:rPr>
            </w:pP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乙方（盖章）：</w:t>
            </w:r>
          </w:p>
          <w:p>
            <w:pPr>
              <w:rPr>
                <w:rFonts w:ascii="仿宋" w:hAnsi="仿宋" w:eastAsia="仿宋" w:cs="仿宋"/>
                <w:color w:val="auto"/>
                <w:highlight w:val="none"/>
              </w:rPr>
            </w:pPr>
          </w:p>
          <w:p>
            <w:pPr>
              <w:rPr>
                <w:rFonts w:ascii="仿宋" w:hAnsi="仿宋" w:eastAsia="仿宋" w:cs="仿宋"/>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单位名称：之江实验室</w:t>
            </w: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单位地址：杭州市余杭区中泰街道之江实验室新园区一期</w:t>
            </w: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法定代表人或授权代表（签字）：</w:t>
            </w: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法定代表人或授权代表（签字）：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电话：</w:t>
            </w: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账户名：之江实验室</w:t>
            </w: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账户名：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开户银行：建行杭州宝石支行</w:t>
            </w: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账号：33050161612709088888</w:t>
            </w: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纳税人识别号：12330000MB1478604D</w:t>
            </w: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21"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签订日期：    年   月   日</w:t>
            </w:r>
          </w:p>
        </w:tc>
        <w:tc>
          <w:tcPr>
            <w:tcW w:w="4607" w:type="dxa"/>
            <w:tcBorders>
              <w:tl2br w:val="nil"/>
              <w:tr2bl w:val="nil"/>
            </w:tcBorders>
            <w:vAlign w:val="center"/>
          </w:tcPr>
          <w:p>
            <w:pPr>
              <w:rPr>
                <w:rFonts w:ascii="仿宋" w:hAnsi="仿宋" w:eastAsia="仿宋" w:cs="仿宋"/>
                <w:color w:val="auto"/>
                <w:highlight w:val="none"/>
              </w:rPr>
            </w:pPr>
            <w:r>
              <w:rPr>
                <w:rFonts w:hint="eastAsia" w:ascii="仿宋" w:hAnsi="仿宋" w:eastAsia="仿宋" w:cs="仿宋"/>
                <w:color w:val="auto"/>
                <w:highlight w:val="none"/>
              </w:rPr>
              <w:t>签订日期：    年   月   日</w:t>
            </w:r>
          </w:p>
        </w:tc>
      </w:tr>
    </w:tbl>
    <w:p>
      <w:pPr>
        <w:snapToGrid w:val="0"/>
        <w:spacing w:line="360" w:lineRule="auto"/>
        <w:ind w:firstLine="105" w:firstLineChars="50"/>
        <w:rPr>
          <w:rFonts w:ascii="仿宋" w:hAnsi="仿宋" w:eastAsia="仿宋" w:cs="仿宋"/>
          <w:color w:val="auto"/>
          <w:szCs w:val="21"/>
          <w:highlight w:val="none"/>
        </w:rPr>
      </w:pPr>
    </w:p>
    <w:p>
      <w:pPr>
        <w:snapToGrid w:val="0"/>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鉴证方（盖章）：浙江求是招标代理有限公司</w:t>
      </w:r>
    </w:p>
    <w:p>
      <w:pPr>
        <w:snapToGrid w:val="0"/>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法定代表人（负责人）或授权代表（签字）：</w:t>
      </w:r>
    </w:p>
    <w:p>
      <w:pPr>
        <w:snapToGrid w:val="0"/>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电话：0571-87679349</w:t>
      </w:r>
    </w:p>
    <w:p>
      <w:pPr>
        <w:snapToGrid w:val="0"/>
        <w:spacing w:line="360" w:lineRule="auto"/>
        <w:ind w:firstLine="105" w:firstLineChars="50"/>
        <w:rPr>
          <w:rFonts w:ascii="仿宋" w:hAnsi="仿宋" w:eastAsia="仿宋" w:cs="仿宋"/>
          <w:color w:val="auto"/>
          <w:szCs w:val="21"/>
          <w:highlight w:val="none"/>
        </w:rPr>
      </w:pPr>
      <w:r>
        <w:rPr>
          <w:rFonts w:hint="eastAsia" w:ascii="仿宋" w:hAnsi="仿宋" w:eastAsia="仿宋" w:cs="仿宋"/>
          <w:color w:val="auto"/>
          <w:szCs w:val="21"/>
          <w:highlight w:val="none"/>
        </w:rPr>
        <w:t>地址：杭州市西湖区玉古路173号中田大厦21楼</w:t>
      </w:r>
    </w:p>
    <w:p>
      <w:pPr>
        <w:snapToGrid w:val="0"/>
        <w:spacing w:line="360" w:lineRule="auto"/>
        <w:ind w:firstLine="105" w:firstLineChars="50"/>
        <w:rPr>
          <w:rFonts w:ascii="宋体" w:hAnsi="宋体" w:eastAsia="宋体"/>
          <w:color w:val="auto"/>
          <w:sz w:val="24"/>
          <w:szCs w:val="24"/>
          <w:highlight w:val="none"/>
        </w:rPr>
      </w:pPr>
      <w:r>
        <w:rPr>
          <w:rFonts w:hint="eastAsia" w:ascii="仿宋" w:hAnsi="仿宋" w:eastAsia="仿宋" w:cs="仿宋"/>
          <w:color w:val="auto"/>
          <w:szCs w:val="21"/>
          <w:highlight w:val="none"/>
        </w:rPr>
        <w:t>日期：</w:t>
      </w:r>
      <w:r>
        <w:rPr>
          <w:rFonts w:hint="eastAsia" w:ascii="仿宋" w:hAnsi="仿宋" w:eastAsia="仿宋" w:cs="仿宋"/>
          <w:color w:val="auto"/>
          <w:highlight w:val="none"/>
        </w:rPr>
        <w:t xml:space="preserve">    年   月   日</w:t>
      </w:r>
    </w:p>
    <w:p>
      <w:pPr>
        <w:spacing w:line="288" w:lineRule="auto"/>
        <w:rPr>
          <w:rFonts w:ascii="仿宋" w:hAnsi="仿宋" w:eastAsia="仿宋" w:cs="仿宋"/>
          <w:b/>
          <w:color w:val="auto"/>
          <w:szCs w:val="21"/>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Cs w:val="21"/>
          <w:highlight w:val="none"/>
        </w:rPr>
        <w:t>附件1：《货物配置清单》</w:t>
      </w:r>
    </w:p>
    <w:p>
      <w:pPr>
        <w:widowControl/>
        <w:spacing w:line="360" w:lineRule="auto"/>
        <w:jc w:val="left"/>
        <w:rPr>
          <w:rFonts w:ascii="宋体" w:hAnsi="宋体" w:eastAsia="宋体" w:cs="黑体"/>
          <w:b/>
          <w:color w:val="auto"/>
          <w:sz w:val="24"/>
          <w:szCs w:val="24"/>
          <w:highlight w:val="none"/>
        </w:rPr>
      </w:pPr>
      <w:r>
        <w:rPr>
          <w:rFonts w:ascii="宋体" w:hAnsi="宋体" w:eastAsia="宋体" w:cs="黑体"/>
          <w:b/>
          <w:color w:val="auto"/>
          <w:sz w:val="24"/>
          <w:szCs w:val="24"/>
          <w:highlight w:val="none"/>
        </w:rPr>
        <w:br w:type="page"/>
      </w:r>
    </w:p>
    <w:p>
      <w:pPr>
        <w:rPr>
          <w:color w:val="auto"/>
          <w:highlight w:val="none"/>
        </w:rPr>
      </w:pPr>
      <w:r>
        <w:rPr>
          <w:rFonts w:hint="eastAsia" w:ascii="仿宋" w:hAnsi="仿宋" w:eastAsia="仿宋" w:cs="仿宋"/>
          <w:b/>
          <w:color w:val="auto"/>
          <w:szCs w:val="21"/>
          <w:highlight w:val="none"/>
        </w:rPr>
        <w:t>附件2：《售后服务承诺》</w:t>
      </w:r>
    </w:p>
    <w:p>
      <w:pPr>
        <w:pStyle w:val="2"/>
        <w:rPr>
          <w:color w:val="auto"/>
          <w:highlight w:val="none"/>
        </w:rPr>
      </w:pPr>
      <w:r>
        <w:rPr>
          <w:rFonts w:hint="eastAsia"/>
          <w:color w:val="auto"/>
          <w:highlight w:val="none"/>
        </w:rPr>
        <w:br w:type="page"/>
      </w:r>
    </w:p>
    <w:p>
      <w:pPr>
        <w:adjustRightInd w:val="0"/>
        <w:snapToGrid w:val="0"/>
        <w:spacing w:line="288"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第六章  响应文件格式</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目  录</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ind w:firstLine="422" w:firstLineChars="200"/>
        <w:rPr>
          <w:rFonts w:ascii="仿宋" w:hAnsi="仿宋" w:eastAsia="仿宋" w:cs="仿宋"/>
          <w:b/>
          <w:bCs/>
          <w:color w:val="auto"/>
          <w:szCs w:val="21"/>
          <w:highlight w:val="none"/>
        </w:rPr>
      </w:pPr>
      <w:bookmarkStart w:id="49" w:name="_Hlk71884160"/>
      <w:r>
        <w:rPr>
          <w:rFonts w:hint="eastAsia" w:ascii="仿宋" w:hAnsi="仿宋" w:eastAsia="仿宋" w:cs="仿宋"/>
          <w:b/>
          <w:bCs/>
          <w:color w:val="auto"/>
          <w:szCs w:val="21"/>
          <w:highlight w:val="none"/>
        </w:rPr>
        <w:t>▲1.资格文件</w:t>
      </w:r>
    </w:p>
    <w:p>
      <w:p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资格审查要求的资格证明材料（均需加盖公章）：</w:t>
      </w:r>
    </w:p>
    <w:bookmarkEnd w:id="49"/>
    <w:p>
      <w:p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1）有效的法人或者其他组织的营业执照等证明文件/自然人的身份证明</w:t>
      </w:r>
    </w:p>
    <w:p>
      <w:pPr>
        <w:adjustRightInd w:val="0"/>
        <w:snapToGrid w:val="0"/>
        <w:spacing w:line="360" w:lineRule="auto"/>
        <w:ind w:firstLine="422" w:firstLineChars="200"/>
        <w:rPr>
          <w:rFonts w:ascii="仿宋" w:hAnsi="仿宋" w:eastAsia="仿宋" w:cs="仿宋"/>
          <w:b/>
          <w:bCs/>
          <w:color w:val="auto"/>
          <w:szCs w:val="21"/>
          <w:highlight w:val="none"/>
        </w:rPr>
      </w:pPr>
      <w:bookmarkStart w:id="50" w:name="_Hlk71884127"/>
      <w:r>
        <w:rPr>
          <w:rFonts w:hint="eastAsia" w:ascii="仿宋" w:hAnsi="仿宋" w:eastAsia="仿宋" w:cs="仿宋"/>
          <w:b/>
          <w:bCs/>
          <w:color w:val="auto"/>
          <w:szCs w:val="21"/>
          <w:highlight w:val="none"/>
        </w:rPr>
        <w:t>2）符合参加采购活动应当具备的一般条件的承诺函</w:t>
      </w:r>
    </w:p>
    <w:bookmarkEnd w:id="50"/>
    <w:p>
      <w:p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2.报价文件</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1）初次报价一览表</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2）中小企业声明函（若属于中小企业）</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3）属于监狱企业的证明文件（若属于监狱企业）</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4）残疾人福利性单位声明函（若属于残疾人福利性单位）</w:t>
      </w:r>
    </w:p>
    <w:p>
      <w:p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3.商务和技术文件</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1）响应函</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2）法定代表人（单位负责人、自然人本人）身份证明/授权委托书</w:t>
      </w:r>
    </w:p>
    <w:p>
      <w:pPr>
        <w:adjustRightInd w:val="0"/>
        <w:snapToGrid w:val="0"/>
        <w:spacing w:line="360" w:lineRule="auto"/>
        <w:ind w:firstLine="735" w:firstLineChars="350"/>
        <w:rPr>
          <w:rFonts w:ascii="仿宋" w:hAnsi="仿宋" w:eastAsia="仿宋" w:cs="仿宋"/>
          <w:color w:val="auto"/>
          <w:szCs w:val="21"/>
          <w:highlight w:val="none"/>
        </w:rPr>
      </w:pPr>
      <w:r>
        <w:rPr>
          <w:rFonts w:hint="eastAsia" w:ascii="仿宋" w:hAnsi="仿宋" w:eastAsia="仿宋" w:cs="仿宋"/>
          <w:color w:val="auto"/>
          <w:szCs w:val="21"/>
          <w:highlight w:val="none"/>
        </w:rPr>
        <w:t>近三个月供应商授权代表社保缴纳证明</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3）采购需求偏离表</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4）供应商类似合同实施情况一览表</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5）节能、环保产品证明材料</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6）货物配置清单</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7）技术方案</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8）项目实施方案</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9）保障措施</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10）培训计划</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11）售后服务方案</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12）配件、专用耗材和售后服务优惠表</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spacing w:line="360" w:lineRule="auto"/>
        <w:rPr>
          <w:rFonts w:ascii="仿宋" w:hAnsi="仿宋" w:eastAsia="仿宋" w:cs="仿宋"/>
          <w:color w:val="auto"/>
          <w:spacing w:val="-6"/>
          <w:sz w:val="24"/>
          <w:highlight w:val="none"/>
        </w:rPr>
      </w:pPr>
      <w:r>
        <w:rPr>
          <w:rFonts w:hint="eastAsia" w:ascii="仿宋" w:hAnsi="仿宋" w:eastAsia="仿宋" w:cs="仿宋"/>
          <w:bCs/>
          <w:color w:val="auto"/>
          <w:spacing w:val="-6"/>
          <w:sz w:val="24"/>
          <w:highlight w:val="none"/>
        </w:rPr>
        <w:t>响应文件</w:t>
      </w:r>
      <w:r>
        <w:rPr>
          <w:rFonts w:hint="eastAsia" w:ascii="仿宋" w:hAnsi="仿宋" w:eastAsia="仿宋" w:cs="仿宋"/>
          <w:color w:val="auto"/>
          <w:spacing w:val="-6"/>
          <w:sz w:val="24"/>
          <w:highlight w:val="none"/>
        </w:rPr>
        <w:t>封面</w:t>
      </w:r>
    </w:p>
    <w:p>
      <w:pPr>
        <w:spacing w:line="360" w:lineRule="auto"/>
        <w:jc w:val="right"/>
        <w:rPr>
          <w:rFonts w:ascii="仿宋" w:hAnsi="仿宋" w:eastAsia="仿宋" w:cs="仿宋"/>
          <w:color w:val="auto"/>
          <w:spacing w:val="-6"/>
          <w:sz w:val="24"/>
          <w:highlight w:val="none"/>
        </w:rPr>
      </w:pPr>
    </w:p>
    <w:p>
      <w:pPr>
        <w:spacing w:line="360" w:lineRule="auto"/>
        <w:rPr>
          <w:rFonts w:ascii="仿宋" w:hAnsi="仿宋" w:eastAsia="仿宋" w:cs="仿宋"/>
          <w:color w:val="auto"/>
          <w:spacing w:val="-6"/>
          <w:sz w:val="24"/>
          <w:highlight w:val="none"/>
        </w:rPr>
      </w:pPr>
    </w:p>
    <w:p>
      <w:pPr>
        <w:spacing w:line="360" w:lineRule="auto"/>
        <w:jc w:val="center"/>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u w:val="single"/>
        </w:rPr>
        <w:t xml:space="preserve">                    </w:t>
      </w:r>
      <w:bookmarkStart w:id="51" w:name="_Toc26044"/>
      <w:bookmarkStart w:id="52" w:name="_Toc19583"/>
      <w:r>
        <w:rPr>
          <w:rFonts w:hint="eastAsia" w:ascii="仿宋" w:hAnsi="仿宋" w:eastAsia="仿宋" w:cs="仿宋"/>
          <w:bCs/>
          <w:color w:val="auto"/>
          <w:spacing w:val="-6"/>
          <w:sz w:val="24"/>
          <w:highlight w:val="none"/>
        </w:rPr>
        <w:t>（供应商名称）</w:t>
      </w:r>
      <w:bookmarkEnd w:id="51"/>
      <w:bookmarkEnd w:id="52"/>
    </w:p>
    <w:p>
      <w:pPr>
        <w:spacing w:line="360" w:lineRule="auto"/>
        <w:jc w:val="center"/>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响 应 文 件</w:t>
      </w:r>
    </w:p>
    <w:p>
      <w:pPr>
        <w:spacing w:line="360" w:lineRule="auto"/>
        <w:rPr>
          <w:rFonts w:ascii="仿宋" w:hAnsi="仿宋" w:eastAsia="仿宋" w:cs="仿宋"/>
          <w:bCs/>
          <w:color w:val="auto"/>
          <w:spacing w:val="-6"/>
          <w:sz w:val="24"/>
          <w:highlight w:val="none"/>
        </w:rPr>
      </w:pPr>
    </w:p>
    <w:p>
      <w:pPr>
        <w:spacing w:line="360" w:lineRule="auto"/>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采 购 人：之江实验室</w:t>
      </w:r>
    </w:p>
    <w:p>
      <w:pPr>
        <w:spacing w:line="360" w:lineRule="auto"/>
        <w:rPr>
          <w:rFonts w:hint="eastAsia" w:ascii="仿宋" w:hAnsi="仿宋" w:eastAsia="仿宋" w:cs="仿宋"/>
          <w:bCs/>
          <w:color w:val="auto"/>
          <w:spacing w:val="-6"/>
          <w:sz w:val="24"/>
          <w:highlight w:val="none"/>
          <w:lang w:eastAsia="zh-CN"/>
        </w:rPr>
      </w:pPr>
      <w:r>
        <w:rPr>
          <w:rFonts w:hint="eastAsia" w:ascii="仿宋" w:hAnsi="仿宋" w:eastAsia="仿宋" w:cs="仿宋"/>
          <w:bCs/>
          <w:color w:val="auto"/>
          <w:spacing w:val="-6"/>
          <w:sz w:val="24"/>
          <w:highlight w:val="none"/>
        </w:rPr>
        <w:t>项目名称：</w:t>
      </w:r>
      <w:r>
        <w:rPr>
          <w:rFonts w:hint="eastAsia" w:ascii="仿宋" w:hAnsi="仿宋" w:eastAsia="仿宋" w:cs="仿宋"/>
          <w:bCs/>
          <w:color w:val="auto"/>
          <w:spacing w:val="-6"/>
          <w:sz w:val="24"/>
          <w:highlight w:val="none"/>
          <w:lang w:eastAsia="zh-CN"/>
        </w:rPr>
        <w:t>算力中心展厅展陈</w:t>
      </w:r>
    </w:p>
    <w:p>
      <w:pPr>
        <w:spacing w:line="360" w:lineRule="auto"/>
        <w:rPr>
          <w:rFonts w:hint="eastAsia" w:ascii="仿宋" w:hAnsi="仿宋" w:eastAsia="仿宋" w:cs="仿宋"/>
          <w:bCs/>
          <w:color w:val="auto"/>
          <w:spacing w:val="-6"/>
          <w:sz w:val="24"/>
          <w:highlight w:val="none"/>
          <w:lang w:eastAsia="zh-CN"/>
        </w:rPr>
      </w:pPr>
      <w:r>
        <w:rPr>
          <w:rFonts w:hint="eastAsia" w:ascii="仿宋" w:hAnsi="仿宋" w:eastAsia="仿宋" w:cs="仿宋"/>
          <w:bCs/>
          <w:color w:val="auto"/>
          <w:spacing w:val="-6"/>
          <w:sz w:val="24"/>
          <w:highlight w:val="none"/>
        </w:rPr>
        <w:t>项目编号：</w:t>
      </w:r>
      <w:r>
        <w:rPr>
          <w:rFonts w:hint="eastAsia" w:ascii="仿宋" w:hAnsi="仿宋" w:eastAsia="仿宋" w:cs="仿宋"/>
          <w:bCs/>
          <w:color w:val="auto"/>
          <w:spacing w:val="-6"/>
          <w:sz w:val="24"/>
          <w:highlight w:val="none"/>
          <w:lang w:eastAsia="zh-CN"/>
        </w:rPr>
        <w:t>ZJLAB-JZ-CS2024011</w:t>
      </w:r>
    </w:p>
    <w:p>
      <w:pPr>
        <w:spacing w:line="360" w:lineRule="auto"/>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供应商名称（盖章）：</w:t>
      </w:r>
    </w:p>
    <w:p>
      <w:pPr>
        <w:spacing w:line="360" w:lineRule="auto"/>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供应商地址：</w:t>
      </w:r>
    </w:p>
    <w:p>
      <w:pPr>
        <w:spacing w:line="360" w:lineRule="auto"/>
        <w:rPr>
          <w:rFonts w:ascii="仿宋" w:hAnsi="仿宋" w:eastAsia="仿宋" w:cs="仿宋"/>
          <w:bCs/>
          <w:color w:val="auto"/>
          <w:spacing w:val="-6"/>
          <w:sz w:val="24"/>
          <w:highlight w:val="none"/>
        </w:rPr>
      </w:pPr>
    </w:p>
    <w:p>
      <w:pPr>
        <w:spacing w:line="360" w:lineRule="auto"/>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供应商授权代表（签字）：</w:t>
      </w:r>
    </w:p>
    <w:p>
      <w:pPr>
        <w:adjustRightInd w:val="0"/>
        <w:snapToGrid w:val="0"/>
        <w:spacing w:line="360" w:lineRule="auto"/>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日期：     年   月   日</w:t>
      </w:r>
    </w:p>
    <w:p>
      <w:pPr>
        <w:adjustRightInd w:val="0"/>
        <w:snapToGrid w:val="0"/>
        <w:spacing w:line="360" w:lineRule="auto"/>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br w:type="page"/>
      </w:r>
    </w:p>
    <w:p>
      <w:pPr>
        <w:tabs>
          <w:tab w:val="center" w:pos="4706"/>
          <w:tab w:val="left" w:pos="6222"/>
        </w:tabs>
        <w:spacing w:line="360" w:lineRule="auto"/>
        <w:jc w:val="center"/>
        <w:outlineLvl w:val="1"/>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评分索引表</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71"/>
        <w:gridCol w:w="669"/>
        <w:gridCol w:w="3611"/>
        <w:gridCol w:w="912"/>
        <w:gridCol w:w="1162"/>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97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669"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361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评分标准</w:t>
            </w:r>
          </w:p>
        </w:tc>
        <w:tc>
          <w:tcPr>
            <w:tcW w:w="912"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自评分</w:t>
            </w:r>
          </w:p>
        </w:tc>
        <w:tc>
          <w:tcPr>
            <w:tcW w:w="1162"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自评依据</w:t>
            </w:r>
          </w:p>
        </w:tc>
        <w:tc>
          <w:tcPr>
            <w:tcW w:w="66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7"/>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color w:val="auto"/>
                <w:szCs w:val="21"/>
                <w:highlight w:val="none"/>
              </w:rPr>
            </w:pPr>
          </w:p>
        </w:tc>
        <w:tc>
          <w:tcPr>
            <w:tcW w:w="1971" w:type="dxa"/>
            <w:vAlign w:val="center"/>
          </w:tcPr>
          <w:p>
            <w:pPr>
              <w:jc w:val="center"/>
              <w:rPr>
                <w:rFonts w:ascii="仿宋" w:hAnsi="仿宋" w:eastAsia="仿宋" w:cs="仿宋"/>
                <w:b/>
                <w:bCs/>
                <w:color w:val="auto"/>
                <w:szCs w:val="21"/>
                <w:highlight w:val="none"/>
              </w:rPr>
            </w:pPr>
          </w:p>
        </w:tc>
        <w:tc>
          <w:tcPr>
            <w:tcW w:w="669" w:type="dxa"/>
            <w:vAlign w:val="center"/>
          </w:tcPr>
          <w:p>
            <w:pPr>
              <w:jc w:val="center"/>
              <w:rPr>
                <w:rFonts w:ascii="仿宋" w:hAnsi="仿宋" w:eastAsia="仿宋" w:cs="仿宋"/>
                <w:b/>
                <w:bCs/>
                <w:color w:val="auto"/>
                <w:szCs w:val="21"/>
                <w:highlight w:val="none"/>
              </w:rPr>
            </w:pPr>
          </w:p>
        </w:tc>
        <w:tc>
          <w:tcPr>
            <w:tcW w:w="3611" w:type="dxa"/>
            <w:vAlign w:val="center"/>
          </w:tcPr>
          <w:p>
            <w:pPr>
              <w:jc w:val="center"/>
              <w:rPr>
                <w:rFonts w:ascii="仿宋" w:hAnsi="仿宋" w:eastAsia="仿宋" w:cs="仿宋"/>
                <w:b/>
                <w:bCs/>
                <w:color w:val="auto"/>
                <w:szCs w:val="21"/>
                <w:highlight w:val="none"/>
              </w:rPr>
            </w:pPr>
          </w:p>
        </w:tc>
        <w:tc>
          <w:tcPr>
            <w:tcW w:w="912" w:type="dxa"/>
            <w:vAlign w:val="center"/>
          </w:tcPr>
          <w:p>
            <w:pPr>
              <w:jc w:val="center"/>
              <w:rPr>
                <w:rFonts w:ascii="仿宋" w:hAnsi="仿宋" w:eastAsia="仿宋" w:cs="仿宋"/>
                <w:b/>
                <w:bCs/>
                <w:color w:val="auto"/>
                <w:szCs w:val="21"/>
                <w:highlight w:val="none"/>
              </w:rPr>
            </w:pPr>
          </w:p>
        </w:tc>
        <w:tc>
          <w:tcPr>
            <w:tcW w:w="1162" w:type="dxa"/>
            <w:vAlign w:val="center"/>
          </w:tcPr>
          <w:p>
            <w:pPr>
              <w:jc w:val="center"/>
              <w:rPr>
                <w:rFonts w:ascii="仿宋" w:hAnsi="仿宋" w:eastAsia="仿宋" w:cs="仿宋"/>
                <w:b/>
                <w:bCs/>
                <w:color w:val="auto"/>
                <w:szCs w:val="21"/>
                <w:highlight w:val="none"/>
              </w:rPr>
            </w:pPr>
          </w:p>
        </w:tc>
        <w:tc>
          <w:tcPr>
            <w:tcW w:w="661" w:type="dxa"/>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color w:val="auto"/>
                <w:szCs w:val="21"/>
                <w:highlight w:val="none"/>
              </w:rPr>
            </w:pPr>
          </w:p>
        </w:tc>
        <w:tc>
          <w:tcPr>
            <w:tcW w:w="1971" w:type="dxa"/>
            <w:vAlign w:val="center"/>
          </w:tcPr>
          <w:p>
            <w:pPr>
              <w:jc w:val="center"/>
              <w:rPr>
                <w:rFonts w:ascii="仿宋" w:hAnsi="仿宋" w:eastAsia="仿宋" w:cs="仿宋"/>
                <w:b/>
                <w:bCs/>
                <w:color w:val="auto"/>
                <w:szCs w:val="21"/>
                <w:highlight w:val="none"/>
              </w:rPr>
            </w:pPr>
          </w:p>
        </w:tc>
        <w:tc>
          <w:tcPr>
            <w:tcW w:w="669" w:type="dxa"/>
            <w:vAlign w:val="center"/>
          </w:tcPr>
          <w:p>
            <w:pPr>
              <w:jc w:val="center"/>
              <w:rPr>
                <w:rFonts w:ascii="仿宋" w:hAnsi="仿宋" w:eastAsia="仿宋" w:cs="仿宋"/>
                <w:b/>
                <w:bCs/>
                <w:color w:val="auto"/>
                <w:szCs w:val="21"/>
                <w:highlight w:val="none"/>
              </w:rPr>
            </w:pPr>
          </w:p>
        </w:tc>
        <w:tc>
          <w:tcPr>
            <w:tcW w:w="3611" w:type="dxa"/>
            <w:vAlign w:val="center"/>
          </w:tcPr>
          <w:p>
            <w:pPr>
              <w:jc w:val="center"/>
              <w:rPr>
                <w:rFonts w:ascii="仿宋" w:hAnsi="仿宋" w:eastAsia="仿宋" w:cs="仿宋"/>
                <w:b/>
                <w:bCs/>
                <w:color w:val="auto"/>
                <w:szCs w:val="21"/>
                <w:highlight w:val="none"/>
              </w:rPr>
            </w:pPr>
          </w:p>
        </w:tc>
        <w:tc>
          <w:tcPr>
            <w:tcW w:w="912" w:type="dxa"/>
            <w:vAlign w:val="center"/>
          </w:tcPr>
          <w:p>
            <w:pPr>
              <w:jc w:val="center"/>
              <w:rPr>
                <w:rFonts w:ascii="仿宋" w:hAnsi="仿宋" w:eastAsia="仿宋" w:cs="仿宋"/>
                <w:b/>
                <w:bCs/>
                <w:color w:val="auto"/>
                <w:szCs w:val="21"/>
                <w:highlight w:val="none"/>
              </w:rPr>
            </w:pPr>
          </w:p>
        </w:tc>
        <w:tc>
          <w:tcPr>
            <w:tcW w:w="1162" w:type="dxa"/>
            <w:vAlign w:val="center"/>
          </w:tcPr>
          <w:p>
            <w:pPr>
              <w:jc w:val="center"/>
              <w:rPr>
                <w:rFonts w:ascii="仿宋" w:hAnsi="仿宋" w:eastAsia="仿宋" w:cs="仿宋"/>
                <w:b/>
                <w:bCs/>
                <w:color w:val="auto"/>
                <w:szCs w:val="21"/>
                <w:highlight w:val="none"/>
              </w:rPr>
            </w:pPr>
          </w:p>
        </w:tc>
        <w:tc>
          <w:tcPr>
            <w:tcW w:w="661" w:type="dxa"/>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color w:val="auto"/>
                <w:szCs w:val="21"/>
                <w:highlight w:val="none"/>
              </w:rPr>
            </w:pPr>
          </w:p>
        </w:tc>
        <w:tc>
          <w:tcPr>
            <w:tcW w:w="1971" w:type="dxa"/>
            <w:vAlign w:val="center"/>
          </w:tcPr>
          <w:p>
            <w:pPr>
              <w:jc w:val="center"/>
              <w:rPr>
                <w:rFonts w:ascii="仿宋" w:hAnsi="仿宋" w:eastAsia="仿宋" w:cs="仿宋"/>
                <w:b/>
                <w:bCs/>
                <w:color w:val="auto"/>
                <w:szCs w:val="21"/>
                <w:highlight w:val="none"/>
              </w:rPr>
            </w:pPr>
          </w:p>
        </w:tc>
        <w:tc>
          <w:tcPr>
            <w:tcW w:w="669" w:type="dxa"/>
            <w:vAlign w:val="center"/>
          </w:tcPr>
          <w:p>
            <w:pPr>
              <w:jc w:val="center"/>
              <w:rPr>
                <w:rFonts w:ascii="仿宋" w:hAnsi="仿宋" w:eastAsia="仿宋" w:cs="仿宋"/>
                <w:b/>
                <w:bCs/>
                <w:color w:val="auto"/>
                <w:szCs w:val="21"/>
                <w:highlight w:val="none"/>
              </w:rPr>
            </w:pPr>
          </w:p>
        </w:tc>
        <w:tc>
          <w:tcPr>
            <w:tcW w:w="3611" w:type="dxa"/>
            <w:vAlign w:val="center"/>
          </w:tcPr>
          <w:p>
            <w:pPr>
              <w:jc w:val="center"/>
              <w:rPr>
                <w:rFonts w:ascii="仿宋" w:hAnsi="仿宋" w:eastAsia="仿宋" w:cs="仿宋"/>
                <w:b/>
                <w:bCs/>
                <w:color w:val="auto"/>
                <w:szCs w:val="21"/>
                <w:highlight w:val="none"/>
              </w:rPr>
            </w:pPr>
          </w:p>
        </w:tc>
        <w:tc>
          <w:tcPr>
            <w:tcW w:w="912" w:type="dxa"/>
            <w:vAlign w:val="center"/>
          </w:tcPr>
          <w:p>
            <w:pPr>
              <w:jc w:val="center"/>
              <w:rPr>
                <w:rFonts w:ascii="仿宋" w:hAnsi="仿宋" w:eastAsia="仿宋" w:cs="仿宋"/>
                <w:b/>
                <w:bCs/>
                <w:color w:val="auto"/>
                <w:szCs w:val="21"/>
                <w:highlight w:val="none"/>
              </w:rPr>
            </w:pPr>
          </w:p>
        </w:tc>
        <w:tc>
          <w:tcPr>
            <w:tcW w:w="1162" w:type="dxa"/>
            <w:vAlign w:val="center"/>
          </w:tcPr>
          <w:p>
            <w:pPr>
              <w:jc w:val="center"/>
              <w:rPr>
                <w:rFonts w:ascii="仿宋" w:hAnsi="仿宋" w:eastAsia="仿宋" w:cs="仿宋"/>
                <w:b/>
                <w:bCs/>
                <w:color w:val="auto"/>
                <w:szCs w:val="21"/>
                <w:highlight w:val="none"/>
              </w:rPr>
            </w:pPr>
          </w:p>
        </w:tc>
        <w:tc>
          <w:tcPr>
            <w:tcW w:w="661" w:type="dxa"/>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color w:val="auto"/>
                <w:szCs w:val="21"/>
                <w:highlight w:val="none"/>
              </w:rPr>
            </w:pPr>
          </w:p>
        </w:tc>
        <w:tc>
          <w:tcPr>
            <w:tcW w:w="1971" w:type="dxa"/>
            <w:vAlign w:val="center"/>
          </w:tcPr>
          <w:p>
            <w:pPr>
              <w:jc w:val="center"/>
              <w:rPr>
                <w:rFonts w:ascii="仿宋" w:hAnsi="仿宋" w:eastAsia="仿宋" w:cs="仿宋"/>
                <w:b/>
                <w:bCs/>
                <w:color w:val="auto"/>
                <w:szCs w:val="21"/>
                <w:highlight w:val="none"/>
              </w:rPr>
            </w:pPr>
          </w:p>
        </w:tc>
        <w:tc>
          <w:tcPr>
            <w:tcW w:w="669" w:type="dxa"/>
            <w:vAlign w:val="center"/>
          </w:tcPr>
          <w:p>
            <w:pPr>
              <w:jc w:val="center"/>
              <w:rPr>
                <w:rFonts w:ascii="仿宋" w:hAnsi="仿宋" w:eastAsia="仿宋" w:cs="仿宋"/>
                <w:b/>
                <w:bCs/>
                <w:color w:val="auto"/>
                <w:szCs w:val="21"/>
                <w:highlight w:val="none"/>
              </w:rPr>
            </w:pPr>
          </w:p>
        </w:tc>
        <w:tc>
          <w:tcPr>
            <w:tcW w:w="3611" w:type="dxa"/>
            <w:vAlign w:val="center"/>
          </w:tcPr>
          <w:p>
            <w:pPr>
              <w:jc w:val="center"/>
              <w:rPr>
                <w:rFonts w:ascii="仿宋" w:hAnsi="仿宋" w:eastAsia="仿宋" w:cs="仿宋"/>
                <w:b/>
                <w:bCs/>
                <w:color w:val="auto"/>
                <w:szCs w:val="21"/>
                <w:highlight w:val="none"/>
              </w:rPr>
            </w:pPr>
          </w:p>
        </w:tc>
        <w:tc>
          <w:tcPr>
            <w:tcW w:w="912" w:type="dxa"/>
            <w:vAlign w:val="center"/>
          </w:tcPr>
          <w:p>
            <w:pPr>
              <w:jc w:val="center"/>
              <w:rPr>
                <w:rFonts w:ascii="仿宋" w:hAnsi="仿宋" w:eastAsia="仿宋" w:cs="仿宋"/>
                <w:b/>
                <w:bCs/>
                <w:color w:val="auto"/>
                <w:szCs w:val="21"/>
                <w:highlight w:val="none"/>
              </w:rPr>
            </w:pPr>
          </w:p>
        </w:tc>
        <w:tc>
          <w:tcPr>
            <w:tcW w:w="1162" w:type="dxa"/>
            <w:vAlign w:val="center"/>
          </w:tcPr>
          <w:p>
            <w:pPr>
              <w:jc w:val="center"/>
              <w:rPr>
                <w:rFonts w:ascii="仿宋" w:hAnsi="仿宋" w:eastAsia="仿宋" w:cs="仿宋"/>
                <w:b/>
                <w:bCs/>
                <w:color w:val="auto"/>
                <w:szCs w:val="21"/>
                <w:highlight w:val="none"/>
              </w:rPr>
            </w:pPr>
          </w:p>
        </w:tc>
        <w:tc>
          <w:tcPr>
            <w:tcW w:w="661" w:type="dxa"/>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color w:val="auto"/>
                <w:szCs w:val="21"/>
                <w:highlight w:val="none"/>
              </w:rPr>
            </w:pPr>
          </w:p>
        </w:tc>
        <w:tc>
          <w:tcPr>
            <w:tcW w:w="1971" w:type="dxa"/>
            <w:vAlign w:val="center"/>
          </w:tcPr>
          <w:p>
            <w:pPr>
              <w:jc w:val="center"/>
              <w:rPr>
                <w:rFonts w:ascii="仿宋" w:hAnsi="仿宋" w:eastAsia="仿宋" w:cs="仿宋"/>
                <w:b/>
                <w:bCs/>
                <w:color w:val="auto"/>
                <w:szCs w:val="21"/>
                <w:highlight w:val="none"/>
              </w:rPr>
            </w:pPr>
          </w:p>
        </w:tc>
        <w:tc>
          <w:tcPr>
            <w:tcW w:w="669" w:type="dxa"/>
            <w:vAlign w:val="center"/>
          </w:tcPr>
          <w:p>
            <w:pPr>
              <w:jc w:val="center"/>
              <w:rPr>
                <w:rFonts w:ascii="仿宋" w:hAnsi="仿宋" w:eastAsia="仿宋" w:cs="仿宋"/>
                <w:b/>
                <w:bCs/>
                <w:color w:val="auto"/>
                <w:szCs w:val="21"/>
                <w:highlight w:val="none"/>
              </w:rPr>
            </w:pPr>
          </w:p>
        </w:tc>
        <w:tc>
          <w:tcPr>
            <w:tcW w:w="3611" w:type="dxa"/>
            <w:vAlign w:val="center"/>
          </w:tcPr>
          <w:p>
            <w:pPr>
              <w:jc w:val="center"/>
              <w:rPr>
                <w:rFonts w:ascii="仿宋" w:hAnsi="仿宋" w:eastAsia="仿宋" w:cs="仿宋"/>
                <w:b/>
                <w:bCs/>
                <w:color w:val="auto"/>
                <w:szCs w:val="21"/>
                <w:highlight w:val="none"/>
              </w:rPr>
            </w:pPr>
          </w:p>
        </w:tc>
        <w:tc>
          <w:tcPr>
            <w:tcW w:w="912" w:type="dxa"/>
            <w:vAlign w:val="center"/>
          </w:tcPr>
          <w:p>
            <w:pPr>
              <w:jc w:val="center"/>
              <w:rPr>
                <w:rFonts w:ascii="仿宋" w:hAnsi="仿宋" w:eastAsia="仿宋" w:cs="仿宋"/>
                <w:b/>
                <w:bCs/>
                <w:color w:val="auto"/>
                <w:szCs w:val="21"/>
                <w:highlight w:val="none"/>
              </w:rPr>
            </w:pPr>
          </w:p>
        </w:tc>
        <w:tc>
          <w:tcPr>
            <w:tcW w:w="1162" w:type="dxa"/>
            <w:vAlign w:val="center"/>
          </w:tcPr>
          <w:p>
            <w:pPr>
              <w:jc w:val="center"/>
              <w:rPr>
                <w:rFonts w:ascii="仿宋" w:hAnsi="仿宋" w:eastAsia="仿宋" w:cs="仿宋"/>
                <w:b/>
                <w:bCs/>
                <w:color w:val="auto"/>
                <w:szCs w:val="21"/>
                <w:highlight w:val="none"/>
              </w:rPr>
            </w:pPr>
          </w:p>
        </w:tc>
        <w:tc>
          <w:tcPr>
            <w:tcW w:w="661" w:type="dxa"/>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color w:val="auto"/>
                <w:szCs w:val="21"/>
                <w:highlight w:val="none"/>
              </w:rPr>
            </w:pPr>
          </w:p>
        </w:tc>
        <w:tc>
          <w:tcPr>
            <w:tcW w:w="1971" w:type="dxa"/>
            <w:vAlign w:val="center"/>
          </w:tcPr>
          <w:p>
            <w:pPr>
              <w:jc w:val="center"/>
              <w:rPr>
                <w:rFonts w:ascii="仿宋" w:hAnsi="仿宋" w:eastAsia="仿宋" w:cs="仿宋"/>
                <w:b/>
                <w:bCs/>
                <w:color w:val="auto"/>
                <w:szCs w:val="21"/>
                <w:highlight w:val="none"/>
              </w:rPr>
            </w:pPr>
          </w:p>
        </w:tc>
        <w:tc>
          <w:tcPr>
            <w:tcW w:w="669" w:type="dxa"/>
            <w:vAlign w:val="center"/>
          </w:tcPr>
          <w:p>
            <w:pPr>
              <w:jc w:val="center"/>
              <w:rPr>
                <w:rFonts w:ascii="仿宋" w:hAnsi="仿宋" w:eastAsia="仿宋" w:cs="仿宋"/>
                <w:b/>
                <w:bCs/>
                <w:color w:val="auto"/>
                <w:szCs w:val="21"/>
                <w:highlight w:val="none"/>
              </w:rPr>
            </w:pPr>
          </w:p>
        </w:tc>
        <w:tc>
          <w:tcPr>
            <w:tcW w:w="3611" w:type="dxa"/>
            <w:vAlign w:val="center"/>
          </w:tcPr>
          <w:p>
            <w:pPr>
              <w:jc w:val="center"/>
              <w:rPr>
                <w:rFonts w:ascii="仿宋" w:hAnsi="仿宋" w:eastAsia="仿宋" w:cs="仿宋"/>
                <w:b/>
                <w:bCs/>
                <w:color w:val="auto"/>
                <w:szCs w:val="21"/>
                <w:highlight w:val="none"/>
              </w:rPr>
            </w:pPr>
          </w:p>
        </w:tc>
        <w:tc>
          <w:tcPr>
            <w:tcW w:w="912" w:type="dxa"/>
            <w:vAlign w:val="center"/>
          </w:tcPr>
          <w:p>
            <w:pPr>
              <w:jc w:val="center"/>
              <w:rPr>
                <w:rFonts w:ascii="仿宋" w:hAnsi="仿宋" w:eastAsia="仿宋" w:cs="仿宋"/>
                <w:b/>
                <w:bCs/>
                <w:color w:val="auto"/>
                <w:szCs w:val="21"/>
                <w:highlight w:val="none"/>
              </w:rPr>
            </w:pPr>
          </w:p>
        </w:tc>
        <w:tc>
          <w:tcPr>
            <w:tcW w:w="1162" w:type="dxa"/>
            <w:vAlign w:val="center"/>
          </w:tcPr>
          <w:p>
            <w:pPr>
              <w:jc w:val="center"/>
              <w:rPr>
                <w:rFonts w:ascii="仿宋" w:hAnsi="仿宋" w:eastAsia="仿宋" w:cs="仿宋"/>
                <w:b/>
                <w:bCs/>
                <w:color w:val="auto"/>
                <w:szCs w:val="21"/>
                <w:highlight w:val="none"/>
              </w:rPr>
            </w:pPr>
          </w:p>
        </w:tc>
        <w:tc>
          <w:tcPr>
            <w:tcW w:w="661" w:type="dxa"/>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7"/>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color w:val="auto"/>
                <w:szCs w:val="21"/>
                <w:highlight w:val="none"/>
              </w:rPr>
            </w:pPr>
          </w:p>
        </w:tc>
        <w:tc>
          <w:tcPr>
            <w:tcW w:w="1971" w:type="dxa"/>
            <w:vAlign w:val="center"/>
          </w:tcPr>
          <w:p>
            <w:pPr>
              <w:rPr>
                <w:rFonts w:ascii="仿宋" w:hAnsi="仿宋" w:eastAsia="仿宋" w:cs="仿宋"/>
                <w:b/>
                <w:bCs/>
                <w:color w:val="auto"/>
                <w:szCs w:val="21"/>
                <w:highlight w:val="none"/>
              </w:rPr>
            </w:pPr>
          </w:p>
        </w:tc>
        <w:tc>
          <w:tcPr>
            <w:tcW w:w="669" w:type="dxa"/>
            <w:vAlign w:val="center"/>
          </w:tcPr>
          <w:p>
            <w:pPr>
              <w:rPr>
                <w:rFonts w:ascii="仿宋" w:hAnsi="仿宋" w:eastAsia="仿宋" w:cs="仿宋"/>
                <w:b/>
                <w:bCs/>
                <w:color w:val="auto"/>
                <w:szCs w:val="21"/>
                <w:highlight w:val="none"/>
              </w:rPr>
            </w:pPr>
          </w:p>
        </w:tc>
        <w:tc>
          <w:tcPr>
            <w:tcW w:w="3611" w:type="dxa"/>
            <w:vAlign w:val="center"/>
          </w:tcPr>
          <w:p>
            <w:pPr>
              <w:rPr>
                <w:rFonts w:ascii="仿宋" w:hAnsi="仿宋" w:eastAsia="仿宋" w:cs="仿宋"/>
                <w:b/>
                <w:bCs/>
                <w:color w:val="auto"/>
                <w:szCs w:val="21"/>
                <w:highlight w:val="none"/>
              </w:rPr>
            </w:pPr>
          </w:p>
        </w:tc>
        <w:tc>
          <w:tcPr>
            <w:tcW w:w="912" w:type="dxa"/>
            <w:vAlign w:val="center"/>
          </w:tcPr>
          <w:p>
            <w:pPr>
              <w:rPr>
                <w:rFonts w:ascii="仿宋" w:hAnsi="仿宋" w:eastAsia="仿宋" w:cs="仿宋"/>
                <w:b/>
                <w:bCs/>
                <w:color w:val="auto"/>
                <w:szCs w:val="21"/>
                <w:highlight w:val="none"/>
              </w:rPr>
            </w:pPr>
          </w:p>
        </w:tc>
        <w:tc>
          <w:tcPr>
            <w:tcW w:w="1162" w:type="dxa"/>
            <w:vAlign w:val="center"/>
          </w:tcPr>
          <w:p>
            <w:pPr>
              <w:rPr>
                <w:rFonts w:ascii="仿宋" w:hAnsi="仿宋" w:eastAsia="仿宋" w:cs="仿宋"/>
                <w:b/>
                <w:bCs/>
                <w:color w:val="auto"/>
                <w:szCs w:val="21"/>
                <w:highlight w:val="none"/>
              </w:rPr>
            </w:pPr>
          </w:p>
        </w:tc>
        <w:tc>
          <w:tcPr>
            <w:tcW w:w="661" w:type="dxa"/>
          </w:tcPr>
          <w:p>
            <w:pP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color w:val="auto"/>
                <w:szCs w:val="21"/>
                <w:highlight w:val="none"/>
              </w:rPr>
            </w:pPr>
          </w:p>
        </w:tc>
        <w:tc>
          <w:tcPr>
            <w:tcW w:w="1971" w:type="dxa"/>
            <w:vAlign w:val="center"/>
          </w:tcPr>
          <w:p>
            <w:pPr>
              <w:rPr>
                <w:rFonts w:ascii="仿宋" w:hAnsi="仿宋" w:eastAsia="仿宋" w:cs="仿宋"/>
                <w:b/>
                <w:bCs/>
                <w:color w:val="auto"/>
                <w:szCs w:val="21"/>
                <w:highlight w:val="none"/>
              </w:rPr>
            </w:pPr>
          </w:p>
        </w:tc>
        <w:tc>
          <w:tcPr>
            <w:tcW w:w="669" w:type="dxa"/>
            <w:vAlign w:val="center"/>
          </w:tcPr>
          <w:p>
            <w:pPr>
              <w:rPr>
                <w:rFonts w:ascii="仿宋" w:hAnsi="仿宋" w:eastAsia="仿宋" w:cs="仿宋"/>
                <w:b/>
                <w:bCs/>
                <w:color w:val="auto"/>
                <w:szCs w:val="21"/>
                <w:highlight w:val="none"/>
              </w:rPr>
            </w:pPr>
          </w:p>
        </w:tc>
        <w:tc>
          <w:tcPr>
            <w:tcW w:w="3611" w:type="dxa"/>
            <w:vAlign w:val="center"/>
          </w:tcPr>
          <w:p>
            <w:pPr>
              <w:rPr>
                <w:rFonts w:ascii="仿宋" w:hAnsi="仿宋" w:eastAsia="仿宋" w:cs="仿宋"/>
                <w:b/>
                <w:bCs/>
                <w:color w:val="auto"/>
                <w:szCs w:val="21"/>
                <w:highlight w:val="none"/>
              </w:rPr>
            </w:pPr>
          </w:p>
        </w:tc>
        <w:tc>
          <w:tcPr>
            <w:tcW w:w="912" w:type="dxa"/>
            <w:vAlign w:val="center"/>
          </w:tcPr>
          <w:p>
            <w:pPr>
              <w:rPr>
                <w:rFonts w:ascii="仿宋" w:hAnsi="仿宋" w:eastAsia="仿宋" w:cs="仿宋"/>
                <w:b/>
                <w:bCs/>
                <w:color w:val="auto"/>
                <w:szCs w:val="21"/>
                <w:highlight w:val="none"/>
              </w:rPr>
            </w:pPr>
          </w:p>
        </w:tc>
        <w:tc>
          <w:tcPr>
            <w:tcW w:w="1162" w:type="dxa"/>
            <w:vAlign w:val="center"/>
          </w:tcPr>
          <w:p>
            <w:pPr>
              <w:rPr>
                <w:rFonts w:ascii="仿宋" w:hAnsi="仿宋" w:eastAsia="仿宋" w:cs="仿宋"/>
                <w:b/>
                <w:bCs/>
                <w:color w:val="auto"/>
                <w:szCs w:val="21"/>
                <w:highlight w:val="none"/>
              </w:rPr>
            </w:pPr>
          </w:p>
        </w:tc>
        <w:tc>
          <w:tcPr>
            <w:tcW w:w="661" w:type="dxa"/>
          </w:tcPr>
          <w:p>
            <w:pP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color w:val="auto"/>
                <w:szCs w:val="21"/>
                <w:highlight w:val="none"/>
              </w:rPr>
            </w:pPr>
          </w:p>
        </w:tc>
        <w:tc>
          <w:tcPr>
            <w:tcW w:w="1971" w:type="dxa"/>
            <w:vAlign w:val="center"/>
          </w:tcPr>
          <w:p>
            <w:pPr>
              <w:rPr>
                <w:rFonts w:ascii="仿宋" w:hAnsi="仿宋" w:eastAsia="仿宋" w:cs="仿宋"/>
                <w:b/>
                <w:bCs/>
                <w:color w:val="auto"/>
                <w:szCs w:val="21"/>
                <w:highlight w:val="none"/>
              </w:rPr>
            </w:pPr>
          </w:p>
        </w:tc>
        <w:tc>
          <w:tcPr>
            <w:tcW w:w="669" w:type="dxa"/>
            <w:vAlign w:val="center"/>
          </w:tcPr>
          <w:p>
            <w:pPr>
              <w:rPr>
                <w:rFonts w:ascii="仿宋" w:hAnsi="仿宋" w:eastAsia="仿宋" w:cs="仿宋"/>
                <w:b/>
                <w:bCs/>
                <w:color w:val="auto"/>
                <w:szCs w:val="21"/>
                <w:highlight w:val="none"/>
              </w:rPr>
            </w:pPr>
          </w:p>
        </w:tc>
        <w:tc>
          <w:tcPr>
            <w:tcW w:w="3611" w:type="dxa"/>
            <w:vAlign w:val="center"/>
          </w:tcPr>
          <w:p>
            <w:pPr>
              <w:rPr>
                <w:rFonts w:ascii="仿宋" w:hAnsi="仿宋" w:eastAsia="仿宋" w:cs="仿宋"/>
                <w:b/>
                <w:bCs/>
                <w:color w:val="auto"/>
                <w:szCs w:val="21"/>
                <w:highlight w:val="none"/>
              </w:rPr>
            </w:pPr>
          </w:p>
        </w:tc>
        <w:tc>
          <w:tcPr>
            <w:tcW w:w="912" w:type="dxa"/>
            <w:vAlign w:val="center"/>
          </w:tcPr>
          <w:p>
            <w:pPr>
              <w:rPr>
                <w:rFonts w:ascii="仿宋" w:hAnsi="仿宋" w:eastAsia="仿宋" w:cs="仿宋"/>
                <w:b/>
                <w:bCs/>
                <w:color w:val="auto"/>
                <w:szCs w:val="21"/>
                <w:highlight w:val="none"/>
              </w:rPr>
            </w:pPr>
          </w:p>
        </w:tc>
        <w:tc>
          <w:tcPr>
            <w:tcW w:w="1162" w:type="dxa"/>
            <w:vAlign w:val="center"/>
          </w:tcPr>
          <w:p>
            <w:pPr>
              <w:rPr>
                <w:rFonts w:ascii="仿宋" w:hAnsi="仿宋" w:eastAsia="仿宋" w:cs="仿宋"/>
                <w:b/>
                <w:bCs/>
                <w:color w:val="auto"/>
                <w:szCs w:val="21"/>
                <w:highlight w:val="none"/>
              </w:rPr>
            </w:pPr>
          </w:p>
        </w:tc>
        <w:tc>
          <w:tcPr>
            <w:tcW w:w="661" w:type="dxa"/>
          </w:tcPr>
          <w:p>
            <w:pP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color w:val="auto"/>
                <w:szCs w:val="21"/>
                <w:highlight w:val="none"/>
              </w:rPr>
            </w:pPr>
          </w:p>
        </w:tc>
        <w:tc>
          <w:tcPr>
            <w:tcW w:w="1971" w:type="dxa"/>
            <w:vAlign w:val="center"/>
          </w:tcPr>
          <w:p>
            <w:pPr>
              <w:rPr>
                <w:rFonts w:ascii="仿宋" w:hAnsi="仿宋" w:eastAsia="仿宋" w:cs="仿宋"/>
                <w:b/>
                <w:bCs/>
                <w:color w:val="auto"/>
                <w:szCs w:val="21"/>
                <w:highlight w:val="none"/>
              </w:rPr>
            </w:pPr>
          </w:p>
        </w:tc>
        <w:tc>
          <w:tcPr>
            <w:tcW w:w="669" w:type="dxa"/>
            <w:vAlign w:val="center"/>
          </w:tcPr>
          <w:p>
            <w:pPr>
              <w:rPr>
                <w:rFonts w:ascii="仿宋" w:hAnsi="仿宋" w:eastAsia="仿宋" w:cs="仿宋"/>
                <w:b/>
                <w:bCs/>
                <w:color w:val="auto"/>
                <w:szCs w:val="21"/>
                <w:highlight w:val="none"/>
              </w:rPr>
            </w:pPr>
          </w:p>
        </w:tc>
        <w:tc>
          <w:tcPr>
            <w:tcW w:w="3611" w:type="dxa"/>
            <w:vAlign w:val="center"/>
          </w:tcPr>
          <w:p>
            <w:pPr>
              <w:rPr>
                <w:rFonts w:ascii="仿宋" w:hAnsi="仿宋" w:eastAsia="仿宋" w:cs="仿宋"/>
                <w:b/>
                <w:bCs/>
                <w:color w:val="auto"/>
                <w:szCs w:val="21"/>
                <w:highlight w:val="none"/>
              </w:rPr>
            </w:pPr>
          </w:p>
        </w:tc>
        <w:tc>
          <w:tcPr>
            <w:tcW w:w="912" w:type="dxa"/>
            <w:vAlign w:val="center"/>
          </w:tcPr>
          <w:p>
            <w:pPr>
              <w:rPr>
                <w:rFonts w:ascii="仿宋" w:hAnsi="仿宋" w:eastAsia="仿宋" w:cs="仿宋"/>
                <w:b/>
                <w:bCs/>
                <w:color w:val="auto"/>
                <w:szCs w:val="21"/>
                <w:highlight w:val="none"/>
              </w:rPr>
            </w:pPr>
          </w:p>
        </w:tc>
        <w:tc>
          <w:tcPr>
            <w:tcW w:w="1162" w:type="dxa"/>
            <w:vAlign w:val="center"/>
          </w:tcPr>
          <w:p>
            <w:pPr>
              <w:rPr>
                <w:rFonts w:ascii="仿宋" w:hAnsi="仿宋" w:eastAsia="仿宋" w:cs="仿宋"/>
                <w:b/>
                <w:bCs/>
                <w:color w:val="auto"/>
                <w:szCs w:val="21"/>
                <w:highlight w:val="none"/>
              </w:rPr>
            </w:pPr>
          </w:p>
        </w:tc>
        <w:tc>
          <w:tcPr>
            <w:tcW w:w="661" w:type="dxa"/>
          </w:tcPr>
          <w:p>
            <w:pP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color w:val="auto"/>
                <w:szCs w:val="21"/>
                <w:highlight w:val="none"/>
              </w:rPr>
            </w:pPr>
          </w:p>
        </w:tc>
        <w:tc>
          <w:tcPr>
            <w:tcW w:w="1971" w:type="dxa"/>
            <w:vAlign w:val="center"/>
          </w:tcPr>
          <w:p>
            <w:pPr>
              <w:rPr>
                <w:rFonts w:ascii="仿宋" w:hAnsi="仿宋" w:eastAsia="仿宋" w:cs="仿宋"/>
                <w:b/>
                <w:bCs/>
                <w:color w:val="auto"/>
                <w:szCs w:val="21"/>
                <w:highlight w:val="none"/>
              </w:rPr>
            </w:pPr>
          </w:p>
        </w:tc>
        <w:tc>
          <w:tcPr>
            <w:tcW w:w="669" w:type="dxa"/>
            <w:vAlign w:val="center"/>
          </w:tcPr>
          <w:p>
            <w:pPr>
              <w:rPr>
                <w:rFonts w:ascii="仿宋" w:hAnsi="仿宋" w:eastAsia="仿宋" w:cs="仿宋"/>
                <w:b/>
                <w:bCs/>
                <w:color w:val="auto"/>
                <w:szCs w:val="21"/>
                <w:highlight w:val="none"/>
              </w:rPr>
            </w:pPr>
          </w:p>
        </w:tc>
        <w:tc>
          <w:tcPr>
            <w:tcW w:w="3611" w:type="dxa"/>
            <w:vAlign w:val="center"/>
          </w:tcPr>
          <w:p>
            <w:pPr>
              <w:rPr>
                <w:rFonts w:ascii="仿宋" w:hAnsi="仿宋" w:eastAsia="仿宋" w:cs="仿宋"/>
                <w:b/>
                <w:bCs/>
                <w:color w:val="auto"/>
                <w:szCs w:val="21"/>
                <w:highlight w:val="none"/>
              </w:rPr>
            </w:pPr>
          </w:p>
        </w:tc>
        <w:tc>
          <w:tcPr>
            <w:tcW w:w="912" w:type="dxa"/>
            <w:vAlign w:val="center"/>
          </w:tcPr>
          <w:p>
            <w:pPr>
              <w:rPr>
                <w:rFonts w:ascii="仿宋" w:hAnsi="仿宋" w:eastAsia="仿宋" w:cs="仿宋"/>
                <w:b/>
                <w:bCs/>
                <w:color w:val="auto"/>
                <w:szCs w:val="21"/>
                <w:highlight w:val="none"/>
              </w:rPr>
            </w:pPr>
          </w:p>
        </w:tc>
        <w:tc>
          <w:tcPr>
            <w:tcW w:w="1162" w:type="dxa"/>
            <w:vAlign w:val="center"/>
          </w:tcPr>
          <w:p>
            <w:pPr>
              <w:rPr>
                <w:rFonts w:ascii="仿宋" w:hAnsi="仿宋" w:eastAsia="仿宋" w:cs="仿宋"/>
                <w:b/>
                <w:bCs/>
                <w:color w:val="auto"/>
                <w:szCs w:val="21"/>
                <w:highlight w:val="none"/>
              </w:rPr>
            </w:pPr>
          </w:p>
        </w:tc>
        <w:tc>
          <w:tcPr>
            <w:tcW w:w="661" w:type="dxa"/>
          </w:tcPr>
          <w:p>
            <w:pPr>
              <w:rPr>
                <w:rFonts w:ascii="仿宋" w:hAnsi="仿宋" w:eastAsia="仿宋" w:cs="仿宋"/>
                <w:b/>
                <w:bCs/>
                <w:color w:val="auto"/>
                <w:szCs w:val="21"/>
                <w:highlight w:val="none"/>
              </w:rPr>
            </w:pPr>
          </w:p>
        </w:tc>
      </w:tr>
    </w:tbl>
    <w:p>
      <w:pPr>
        <w:spacing w:line="360" w:lineRule="auto"/>
        <w:rPr>
          <w:rFonts w:ascii="仿宋" w:hAnsi="仿宋" w:eastAsia="仿宋" w:cs="仿宋"/>
          <w:color w:val="auto"/>
          <w:spacing w:val="-6"/>
          <w:sz w:val="18"/>
          <w:szCs w:val="18"/>
          <w:highlight w:val="none"/>
        </w:rPr>
      </w:pPr>
    </w:p>
    <w:p>
      <w:pPr>
        <w:adjustRightInd w:val="0"/>
        <w:snapToGrid w:val="0"/>
        <w:spacing w:line="360" w:lineRule="auto"/>
        <w:rPr>
          <w:rFonts w:ascii="仿宋" w:hAnsi="仿宋" w:eastAsia="仿宋" w:cs="仿宋"/>
          <w:color w:val="auto"/>
          <w:szCs w:val="21"/>
          <w:highlight w:val="none"/>
        </w:rPr>
      </w:pPr>
      <w:r>
        <w:rPr>
          <w:rFonts w:hint="eastAsia" w:ascii="仿宋" w:hAnsi="仿宋" w:eastAsia="仿宋" w:cs="仿宋"/>
          <w:b/>
          <w:bCs/>
          <w:color w:val="auto"/>
          <w:spacing w:val="-6"/>
          <w:sz w:val="18"/>
          <w:szCs w:val="18"/>
          <w:highlight w:val="none"/>
        </w:rPr>
        <w:t>备注：本表仅为方便磋商小组评审使用，不作为判别响应文件是否有效的依据。</w:t>
      </w:r>
      <w:r>
        <w:rPr>
          <w:rFonts w:hint="eastAsia" w:ascii="仿宋" w:hAnsi="仿宋" w:eastAsia="仿宋" w:cs="仿宋"/>
          <w:color w:val="auto"/>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资格文件</w:t>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24"/>
          <w:szCs w:val="24"/>
          <w:highlight w:val="none"/>
        </w:rPr>
      </w:pPr>
      <w:bookmarkStart w:id="53" w:name="_Hlk94097338"/>
      <w:r>
        <w:rPr>
          <w:rFonts w:hint="eastAsia" w:ascii="仿宋" w:hAnsi="仿宋" w:eastAsia="仿宋" w:cs="仿宋"/>
          <w:b/>
          <w:bCs/>
          <w:color w:val="auto"/>
          <w:sz w:val="24"/>
          <w:szCs w:val="24"/>
          <w:highlight w:val="none"/>
        </w:rPr>
        <w:t>资格审查要求的资格证明材料（均需加盖公章）</w:t>
      </w:r>
      <w:bookmarkEnd w:id="53"/>
    </w:p>
    <w:p>
      <w:pPr>
        <w:adjustRightInd w:val="0"/>
        <w:snapToGrid w:val="0"/>
        <w:spacing w:line="288"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有效的法人或者其他组织的营业执照等证明文件/自然人的身份证明</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1.如供应商是企业（包括合伙企业），提供在工商部门注册的有效“企业法人营业执照”或“营业执照”；</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2.如供应商是事业单位，提供有效的“事业单位法人证书”；</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3.如供应商是非企业专业服务机构，提供执业许可证等证明文件；</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4.如供应商是个体工商户，提供有效的“个体工商户营业执照”；</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5.如供应商是自然人，提供有效的自然人身份证明。</w:t>
      </w:r>
    </w:p>
    <w:p>
      <w:pPr>
        <w:adjustRightInd w:val="0"/>
        <w:snapToGrid w:val="0"/>
        <w:spacing w:line="288" w:lineRule="auto"/>
        <w:rPr>
          <w:color w:val="auto"/>
          <w:szCs w:val="21"/>
          <w:highlight w:val="none"/>
        </w:rPr>
      </w:pPr>
      <w:r>
        <w:rPr>
          <w:rFonts w:hint="eastAsia"/>
          <w:color w:val="auto"/>
          <w:szCs w:val="21"/>
          <w:highlight w:val="none"/>
        </w:rPr>
        <w:br w:type="page"/>
      </w:r>
    </w:p>
    <w:p>
      <w:pPr>
        <w:adjustRightInd w:val="0"/>
        <w:snapToGrid w:val="0"/>
        <w:spacing w:line="360" w:lineRule="auto"/>
        <w:jc w:val="center"/>
        <w:outlineLvl w:val="2"/>
        <w:rPr>
          <w:rFonts w:cs="Times New Roman"/>
          <w:color w:val="auto"/>
          <w:szCs w:val="21"/>
          <w:highlight w:val="none"/>
          <w:shd w:val="clear" w:color="auto" w:fill="FFFFFF"/>
        </w:rPr>
      </w:pPr>
      <w:r>
        <w:rPr>
          <w:rFonts w:hint="eastAsia" w:ascii="仿宋" w:hAnsi="仿宋" w:eastAsia="仿宋" w:cs="仿宋"/>
          <w:b/>
          <w:bCs/>
          <w:color w:val="auto"/>
          <w:sz w:val="24"/>
          <w:szCs w:val="24"/>
          <w:highlight w:val="none"/>
        </w:rPr>
        <w:t>符合参加采购活动应当具备的一般条件的承诺函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致：之江实验室、浙江求是招标代理有限公司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（供应商名称）参加</w:t>
      </w:r>
      <w:r>
        <w:rPr>
          <w:rFonts w:hint="eastAsia" w:ascii="仿宋" w:hAnsi="仿宋" w:eastAsia="仿宋" w:cs="仿宋"/>
          <w:color w:val="auto"/>
          <w:spacing w:val="-6"/>
          <w:szCs w:val="21"/>
          <w:highlight w:val="none"/>
          <w:lang w:eastAsia="zh-CN"/>
        </w:rPr>
        <w:t>算力中心展厅展陈</w:t>
      </w:r>
      <w:r>
        <w:rPr>
          <w:rFonts w:hint="eastAsia" w:ascii="仿宋" w:hAnsi="仿宋" w:eastAsia="仿宋" w:cs="仿宋"/>
          <w:color w:val="auto"/>
          <w:spacing w:val="-6"/>
          <w:szCs w:val="21"/>
          <w:highlight w:val="none"/>
        </w:rPr>
        <w:t>项目的采购活动并承诺如下：</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供应商名称（公章）：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供应商授权代表（签字）：</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pStyle w:val="12"/>
        <w:spacing w:line="360" w:lineRule="auto"/>
        <w:ind w:firstLine="0"/>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报价文件</w:t>
      </w:r>
    </w:p>
    <w:p>
      <w:pPr>
        <w:pStyle w:val="12"/>
        <w:spacing w:line="360" w:lineRule="auto"/>
        <w:ind w:firstLine="0"/>
        <w:jc w:val="center"/>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初次报价一览表</w:t>
      </w:r>
    </w:p>
    <w:p>
      <w:pPr>
        <w:spacing w:line="360" w:lineRule="auto"/>
        <w:rPr>
          <w:rFonts w:ascii="仿宋" w:hAnsi="仿宋" w:eastAsia="仿宋" w:cs="仿宋"/>
          <w:bCs/>
          <w:color w:val="auto"/>
          <w:spacing w:val="-6"/>
          <w:szCs w:val="21"/>
          <w:highlight w:val="none"/>
        </w:rPr>
      </w:pPr>
      <w:r>
        <w:rPr>
          <w:rFonts w:hint="eastAsia" w:ascii="仿宋" w:hAnsi="仿宋" w:eastAsia="仿宋" w:cs="仿宋"/>
          <w:bCs/>
          <w:color w:val="auto"/>
          <w:spacing w:val="-6"/>
          <w:szCs w:val="21"/>
          <w:highlight w:val="none"/>
        </w:rPr>
        <w:t>采 购 人：之江实验室</w:t>
      </w:r>
    </w:p>
    <w:p>
      <w:pPr>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算力中心展厅展陈</w:t>
      </w:r>
    </w:p>
    <w:p>
      <w:pPr>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项目编号：</w:t>
      </w:r>
      <w:r>
        <w:rPr>
          <w:rFonts w:hint="eastAsia" w:ascii="仿宋" w:hAnsi="仿宋" w:eastAsia="仿宋" w:cs="仿宋"/>
          <w:color w:val="auto"/>
          <w:spacing w:val="-6"/>
          <w:szCs w:val="21"/>
          <w:highlight w:val="none"/>
          <w:lang w:eastAsia="zh-CN"/>
        </w:rPr>
        <w:t>ZJLAB-JZ-CS2024011</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1785"/>
        <w:gridCol w:w="688"/>
        <w:gridCol w:w="1652"/>
        <w:gridCol w:w="734"/>
        <w:gridCol w:w="981"/>
        <w:gridCol w:w="1285"/>
        <w:gridCol w:w="1808"/>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序号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名称</w:t>
            </w: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品牌</w:t>
            </w: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产地</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单价（元）</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highlight w:val="none"/>
              </w:rPr>
            </w:pPr>
            <w:r>
              <w:rPr>
                <w:rFonts w:hint="eastAsia" w:ascii="仿宋" w:hAnsi="仿宋" w:eastAsia="仿宋" w:cs="仿宋"/>
                <w:b/>
                <w:bCs/>
                <w:color w:val="auto"/>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highlight w:val="none"/>
              </w:rPr>
            </w:pPr>
          </w:p>
        </w:tc>
        <w:tc>
          <w:tcPr>
            <w:tcW w:w="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65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highlight w:val="none"/>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color w:val="auto"/>
                <w:szCs w:val="21"/>
                <w:highlight w:val="none"/>
              </w:rPr>
            </w:pPr>
          </w:p>
          <w:p>
            <w:pPr>
              <w:adjustRightInd w:val="0"/>
              <w:snapToGrid w:val="0"/>
              <w:spacing w:line="288" w:lineRule="auto"/>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响应总价（人民币元）</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pPr>
              <w:adjustRightInd w:val="0"/>
              <w:snapToGrid w:val="0"/>
              <w:spacing w:line="288" w:lineRule="auto"/>
              <w:rPr>
                <w:rFonts w:ascii="仿宋" w:hAnsi="仿宋" w:eastAsia="仿宋" w:cs="仿宋"/>
                <w:b/>
                <w:bCs/>
                <w:color w:val="auto"/>
                <w:szCs w:val="21"/>
                <w:highlight w:val="none"/>
              </w:rPr>
            </w:pPr>
          </w:p>
          <w:p>
            <w:pPr>
              <w:adjustRightInd w:val="0"/>
              <w:snapToGrid w:val="0"/>
              <w:spacing w:line="288"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pPr>
              <w:adjustRightInd w:val="0"/>
              <w:snapToGrid w:val="0"/>
              <w:spacing w:line="288" w:lineRule="auto"/>
              <w:rPr>
                <w:rFonts w:ascii="仿宋" w:hAnsi="仿宋" w:eastAsia="仿宋" w:cs="仿宋"/>
                <w:b/>
                <w:bCs/>
                <w:color w:val="auto"/>
                <w:szCs w:val="21"/>
                <w:highlight w:val="none"/>
              </w:rPr>
            </w:pPr>
          </w:p>
        </w:tc>
      </w:tr>
    </w:tbl>
    <w:p>
      <w:pPr>
        <w:adjustRightInd w:val="0"/>
        <w:snapToGrid w:val="0"/>
        <w:spacing w:line="360" w:lineRule="auto"/>
        <w:rPr>
          <w:rFonts w:ascii="仿宋" w:hAnsi="仿宋" w:eastAsia="仿宋" w:cs="仿宋"/>
          <w:color w:val="auto"/>
          <w:spacing w:val="-6"/>
          <w:szCs w:val="21"/>
          <w:highlight w:val="none"/>
        </w:rPr>
      </w:pP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说明：</w:t>
      </w:r>
    </w:p>
    <w:p>
      <w:pPr>
        <w:adjustRightInd w:val="0"/>
        <w:snapToGrid w:val="0"/>
        <w:spacing w:line="360" w:lineRule="auto"/>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p>
    <w:p>
      <w:pPr>
        <w:adjustRightInd w:val="0"/>
        <w:snapToGrid w:val="0"/>
        <w:spacing w:line="360" w:lineRule="auto"/>
        <w:jc w:val="left"/>
        <w:rPr>
          <w:rFonts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p>
    <w:p>
      <w:pPr>
        <w:pStyle w:val="12"/>
        <w:spacing w:line="360" w:lineRule="auto"/>
        <w:ind w:firstLine="0"/>
        <w:rPr>
          <w:rFonts w:ascii="仿宋" w:hAnsi="仿宋" w:eastAsia="仿宋" w:cs="仿宋"/>
          <w:b/>
          <w:bCs/>
          <w:color w:val="auto"/>
          <w:szCs w:val="18"/>
          <w:highlight w:val="none"/>
        </w:rPr>
      </w:pPr>
      <w:r>
        <w:rPr>
          <w:rFonts w:hint="eastAsia" w:ascii="仿宋" w:hAnsi="仿宋" w:eastAsia="仿宋" w:cs="仿宋"/>
          <w:b/>
          <w:bCs/>
          <w:color w:val="auto"/>
          <w:spacing w:val="-6"/>
          <w:szCs w:val="18"/>
          <w:highlight w:val="none"/>
        </w:rPr>
        <w:t>3.以上表格要求细分项目及报价。</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供应商名称（公章）：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供应商授权代表（签字）：</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中小企业声明函</w:t>
      </w:r>
    </w:p>
    <w:p>
      <w:pPr>
        <w:adjustRightInd w:val="0"/>
        <w:snapToGrid w:val="0"/>
        <w:spacing w:line="360" w:lineRule="auto"/>
        <w:jc w:val="center"/>
        <w:rPr>
          <w:rFonts w:ascii="仿宋" w:hAnsi="仿宋" w:eastAsia="仿宋" w:cs="仿宋"/>
          <w:b/>
          <w:color w:val="auto"/>
          <w:sz w:val="18"/>
          <w:szCs w:val="18"/>
          <w:highlight w:val="none"/>
        </w:rPr>
      </w:pPr>
      <w:r>
        <w:rPr>
          <w:rFonts w:hint="eastAsia" w:ascii="仿宋" w:hAnsi="仿宋" w:eastAsia="仿宋" w:cs="仿宋"/>
          <w:b/>
          <w:color w:val="auto"/>
          <w:spacing w:val="-6"/>
          <w:sz w:val="18"/>
          <w:szCs w:val="18"/>
          <w:highlight w:val="none"/>
        </w:rPr>
        <w:t>（若属于中小企业）</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本公司郑重声明，根据《政府采购促进中小企业发展管理办法》（财库[2020]46号）的规定，本公司参加</w:t>
      </w:r>
      <w:r>
        <w:rPr>
          <w:rFonts w:hint="eastAsia" w:ascii="仿宋" w:hAnsi="仿宋" w:eastAsia="仿宋" w:cs="仿宋"/>
          <w:bCs/>
          <w:color w:val="auto"/>
          <w:spacing w:val="-6"/>
          <w:szCs w:val="21"/>
          <w:highlight w:val="none"/>
        </w:rPr>
        <w:t>之江实验室</w:t>
      </w:r>
      <w:r>
        <w:rPr>
          <w:rFonts w:hint="eastAsia" w:ascii="仿宋" w:hAnsi="仿宋" w:eastAsia="仿宋" w:cs="仿宋"/>
          <w:color w:val="auto"/>
          <w:szCs w:val="21"/>
          <w:highlight w:val="none"/>
        </w:rPr>
        <w:t>的</w:t>
      </w:r>
      <w:r>
        <w:rPr>
          <w:rFonts w:hint="eastAsia" w:ascii="仿宋" w:hAnsi="仿宋" w:eastAsia="仿宋" w:cs="仿宋"/>
          <w:bCs/>
          <w:color w:val="auto"/>
          <w:spacing w:val="-6"/>
          <w:szCs w:val="21"/>
          <w:highlight w:val="none"/>
          <w:lang w:eastAsia="zh-CN"/>
        </w:rPr>
        <w:t>算力中心展厅展陈</w:t>
      </w:r>
      <w:r>
        <w:rPr>
          <w:rFonts w:hint="eastAsia" w:ascii="仿宋" w:hAnsi="仿宋" w:eastAsia="仿宋" w:cs="仿宋"/>
          <w:color w:val="auto"/>
          <w:szCs w:val="21"/>
          <w:highlight w:val="none"/>
        </w:rPr>
        <w:t>采购活动，提供的货物全部由符合政策要求的中小企业制造。相关企业的具体情况如下：</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（标的名称）</w:t>
      </w:r>
      <w:r>
        <w:rPr>
          <w:rFonts w:hint="eastAsia" w:ascii="仿宋" w:hAnsi="仿宋" w:eastAsia="仿宋" w:cs="仿宋"/>
          <w:color w:val="auto"/>
          <w:szCs w:val="21"/>
          <w:highlight w:val="none"/>
        </w:rPr>
        <w:t>，属于工业；制造商为</w:t>
      </w:r>
      <w:r>
        <w:rPr>
          <w:rFonts w:hint="eastAsia" w:ascii="仿宋" w:hAnsi="仿宋" w:eastAsia="仿宋" w:cs="仿宋"/>
          <w:color w:val="auto"/>
          <w:szCs w:val="21"/>
          <w:highlight w:val="none"/>
          <w:u w:val="single"/>
        </w:rPr>
        <w:t xml:space="preserve">              </w:t>
      </w:r>
      <w:r>
        <w:rPr>
          <w:rFonts w:hint="eastAsia" w:ascii="仿宋" w:hAnsi="仿宋" w:eastAsia="仿宋" w:cs="仿宋"/>
          <w:b/>
          <w:bCs/>
          <w:color w:val="auto"/>
          <w:szCs w:val="21"/>
          <w:highlight w:val="non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MS Gothic" w:hAnsi="MS Gothic" w:eastAsia="仿宋" w:cs="仿宋"/>
          <w:color w:val="auto"/>
          <w:kern w:val="0"/>
          <w:szCs w:val="21"/>
          <w:highlight w:val="none"/>
        </w:rPr>
        <w:t>☐</w:t>
      </w:r>
      <w:r>
        <w:rPr>
          <w:rFonts w:hint="eastAsia" w:ascii="仿宋" w:hAnsi="仿宋" w:eastAsia="仿宋" w:cs="仿宋"/>
          <w:iCs/>
          <w:color w:val="auto"/>
          <w:szCs w:val="21"/>
          <w:highlight w:val="none"/>
        </w:rPr>
        <w:t>中型企业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小型企业</w:t>
      </w:r>
      <w:r>
        <w:rPr>
          <w:rFonts w:hint="eastAsia" w:ascii="仿宋" w:hAnsi="仿宋" w:eastAsia="仿宋" w:cs="仿宋"/>
          <w:color w:val="auto"/>
          <w:kern w:val="0"/>
          <w:szCs w:val="21"/>
          <w:highlight w:val="none"/>
        </w:rPr>
        <w:t>☐</w:t>
      </w:r>
      <w:r>
        <w:rPr>
          <w:rFonts w:hint="eastAsia" w:ascii="仿宋" w:hAnsi="仿宋" w:eastAsia="仿宋" w:cs="仿宋"/>
          <w:iCs/>
          <w:color w:val="auto"/>
          <w:szCs w:val="21"/>
          <w:highlight w:val="none"/>
        </w:rPr>
        <w:t>微型企业</w:t>
      </w:r>
      <w:r>
        <w:rPr>
          <w:rFonts w:hint="eastAsia" w:ascii="仿宋" w:hAnsi="仿宋" w:eastAsia="仿宋" w:cs="仿宋"/>
          <w:b/>
          <w:bCs/>
          <w:iCs/>
          <w:color w:val="auto"/>
          <w:szCs w:val="21"/>
          <w:highlight w:val="none"/>
        </w:rPr>
        <w:t>（如实勾选）；</w:t>
      </w:r>
    </w:p>
    <w:p>
      <w:pPr>
        <w:adjustRightInd w:val="0"/>
        <w:snapToGrid w:val="0"/>
        <w:spacing w:line="360" w:lineRule="auto"/>
        <w:ind w:firstLine="422"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……（根据采购内容自行增行）</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注：</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1.中小企业参加采购活动，应当出具财库[2020]46号文件规定的《中小企业声明函》，否则不得享受相关中小企业扶持政策;</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2.从业人员、营业收入、资产总额填报上一年度数据，无上一年度数据的新成立企业可不填报;</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3.《中小企业声明函》填写不全的，视为未提供《中小企业声明函》（从业人员、营业收入、资产总额在中小企业划型标准规定中不涉及的除外），不享受价格优惠;</w:t>
      </w: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4.供应商提供《中小企业声明函》内容不实的，属于提供虚假材料谋取成交，参照《中华人民共和国政府采购法》等国家有关规定追究相应责任;</w:t>
      </w:r>
    </w:p>
    <w:p>
      <w:pPr>
        <w:adjustRightInd w:val="0"/>
        <w:snapToGrid w:val="0"/>
        <w:spacing w:line="360" w:lineRule="auto"/>
        <w:ind w:firstLine="361" w:firstLineChars="200"/>
        <w:rPr>
          <w:rFonts w:ascii="仿宋" w:hAnsi="仿宋" w:eastAsia="仿宋" w:cs="仿宋"/>
          <w:color w:val="auto"/>
          <w:sz w:val="18"/>
          <w:szCs w:val="18"/>
          <w:highlight w:val="none"/>
        </w:rPr>
      </w:pPr>
      <w:r>
        <w:rPr>
          <w:rFonts w:hint="eastAsia" w:ascii="仿宋" w:hAnsi="仿宋" w:eastAsia="仿宋" w:cs="仿宋"/>
          <w:b/>
          <w:bCs/>
          <w:color w:val="auto"/>
          <w:sz w:val="18"/>
          <w:szCs w:val="18"/>
          <w:highlight w:val="none"/>
        </w:rPr>
        <w:t>5.本项目仅以《中小企业声明函》作为评判供应商是否属于中小企业的唯一依据。</w:t>
      </w:r>
    </w:p>
    <w:p>
      <w:pPr>
        <w:widowControl/>
        <w:adjustRightInd w:val="0"/>
        <w:snapToGrid w:val="0"/>
        <w:spacing w:line="288" w:lineRule="auto"/>
        <w:ind w:firstLine="495" w:firstLineChars="236"/>
        <w:jc w:val="left"/>
        <w:rPr>
          <w:rFonts w:ascii="仿宋" w:hAnsi="仿宋" w:eastAsia="仿宋" w:cs="仿宋"/>
          <w:color w:val="auto"/>
          <w:szCs w:val="21"/>
          <w:highlight w:val="none"/>
        </w:rPr>
      </w:pPr>
      <w:r>
        <w:rPr>
          <w:rFonts w:hint="eastAsia" w:ascii="仿宋" w:hAnsi="仿宋" w:eastAsia="仿宋" w:cs="仿宋"/>
          <w:color w:val="auto"/>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属于监狱企业的证明文件</w:t>
      </w:r>
    </w:p>
    <w:p>
      <w:pPr>
        <w:adjustRightInd w:val="0"/>
        <w:snapToGrid w:val="0"/>
        <w:spacing w:line="360" w:lineRule="auto"/>
        <w:jc w:val="center"/>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（若属于监狱企业）</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kern w:val="0"/>
          <w:sz w:val="18"/>
          <w:szCs w:val="18"/>
          <w:highlight w:val="none"/>
        </w:rPr>
      </w:pPr>
      <w:r>
        <w:rPr>
          <w:rFonts w:hint="eastAsia" w:ascii="仿宋" w:hAnsi="仿宋" w:eastAsia="仿宋" w:cs="仿宋"/>
          <w:b/>
          <w:bCs/>
          <w:color w:val="auto"/>
          <w:sz w:val="18"/>
          <w:szCs w:val="18"/>
          <w:highlight w:val="none"/>
        </w:rPr>
        <w:t>说明：</w:t>
      </w:r>
      <w:r>
        <w:rPr>
          <w:rFonts w:hint="eastAsia" w:ascii="仿宋" w:hAnsi="仿宋" w:eastAsia="仿宋" w:cs="仿宋"/>
          <w:b/>
          <w:bCs/>
          <w:color w:val="auto"/>
          <w:kern w:val="0"/>
          <w:sz w:val="18"/>
          <w:szCs w:val="1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残疾人福利性单位声明函</w:t>
      </w:r>
    </w:p>
    <w:p>
      <w:pPr>
        <w:adjustRightInd w:val="0"/>
        <w:snapToGrid w:val="0"/>
        <w:spacing w:line="360" w:lineRule="auto"/>
        <w:jc w:val="center"/>
        <w:rPr>
          <w:rFonts w:ascii="仿宋" w:hAnsi="仿宋" w:eastAsia="仿宋" w:cs="仿宋"/>
          <w:b/>
          <w:color w:val="auto"/>
          <w:spacing w:val="6"/>
          <w:szCs w:val="21"/>
          <w:highlight w:val="none"/>
        </w:rPr>
      </w:pPr>
      <w:r>
        <w:rPr>
          <w:rFonts w:hint="eastAsia" w:ascii="仿宋" w:hAnsi="仿宋" w:eastAsia="仿宋" w:cs="仿宋"/>
          <w:b/>
          <w:color w:val="auto"/>
          <w:spacing w:val="-6"/>
          <w:sz w:val="18"/>
          <w:szCs w:val="18"/>
          <w:highlight w:val="none"/>
        </w:rPr>
        <w:t>（若属于残疾人福利性单位）</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2017]141</w:t>
      </w:r>
      <w:r>
        <w:rPr>
          <w:rFonts w:hint="eastAsia" w:ascii="仿宋" w:hAnsi="仿宋" w:eastAsia="仿宋" w:cs="仿宋"/>
          <w:color w:val="auto"/>
          <w:spacing w:val="6"/>
          <w:szCs w:val="21"/>
          <w:highlight w:val="none"/>
        </w:rPr>
        <w:t>号）的规定，</w:t>
      </w:r>
      <w:r>
        <w:rPr>
          <w:rFonts w:hint="eastAsia" w:ascii="仿宋" w:hAnsi="仿宋" w:eastAsia="仿宋" w:cs="仿宋"/>
          <w:b/>
          <w:bCs/>
          <w:color w:val="auto"/>
          <w:spacing w:val="6"/>
          <w:szCs w:val="21"/>
          <w:highlight w:val="none"/>
        </w:rPr>
        <w:t>本单位为符合条件的残疾人福利性单位</w:t>
      </w:r>
      <w:r>
        <w:rPr>
          <w:rFonts w:hint="eastAsia" w:ascii="仿宋" w:hAnsi="仿宋" w:eastAsia="仿宋" w:cs="仿宋"/>
          <w:color w:val="auto"/>
          <w:spacing w:val="6"/>
          <w:szCs w:val="21"/>
          <w:highlight w:val="none"/>
        </w:rPr>
        <w:t>，且本单位参加</w:t>
      </w:r>
      <w:r>
        <w:rPr>
          <w:rFonts w:hint="eastAsia" w:ascii="仿宋" w:hAnsi="仿宋" w:eastAsia="仿宋" w:cs="仿宋"/>
          <w:bCs/>
          <w:color w:val="auto"/>
          <w:spacing w:val="-6"/>
          <w:szCs w:val="21"/>
          <w:highlight w:val="none"/>
        </w:rPr>
        <w:t>之江实验室</w:t>
      </w:r>
      <w:r>
        <w:rPr>
          <w:rFonts w:hint="eastAsia" w:ascii="仿宋" w:hAnsi="仿宋" w:eastAsia="仿宋" w:cs="仿宋"/>
          <w:color w:val="auto"/>
          <w:spacing w:val="6"/>
          <w:szCs w:val="21"/>
          <w:highlight w:val="none"/>
        </w:rPr>
        <w:t>的</w:t>
      </w:r>
      <w:r>
        <w:rPr>
          <w:rFonts w:hint="eastAsia" w:ascii="仿宋" w:hAnsi="仿宋" w:eastAsia="仿宋" w:cs="仿宋"/>
          <w:color w:val="auto"/>
          <w:spacing w:val="6"/>
          <w:szCs w:val="21"/>
          <w:highlight w:val="none"/>
          <w:lang w:eastAsia="zh-CN"/>
        </w:rPr>
        <w:t>算力中心展厅展陈</w:t>
      </w:r>
      <w:r>
        <w:rPr>
          <w:rFonts w:hint="eastAsia" w:ascii="仿宋" w:hAnsi="仿宋" w:eastAsia="仿宋" w:cs="仿宋"/>
          <w:color w:val="auto"/>
          <w:spacing w:val="6"/>
          <w:szCs w:val="21"/>
          <w:highlight w:val="none"/>
        </w:rPr>
        <w:t>项目采购活动提供本单位制造的货物，或者提供其他残疾人福利性单位制造的货物（不包括使用非残疾人福利性单位注册商标的货物）。</w:t>
      </w:r>
    </w:p>
    <w:p>
      <w:pPr>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单位名称（盖章）：</w:t>
      </w:r>
    </w:p>
    <w:p>
      <w:pPr>
        <w:tabs>
          <w:tab w:val="left" w:pos="4860"/>
        </w:tabs>
        <w:adjustRightInd w:val="0"/>
        <w:snapToGrid w:val="0"/>
        <w:spacing w:line="360" w:lineRule="auto"/>
        <w:ind w:firstLine="444"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日期：</w:t>
      </w:r>
    </w:p>
    <w:p>
      <w:pPr>
        <w:adjustRightInd w:val="0"/>
        <w:snapToGrid w:val="0"/>
        <w:spacing w:line="360" w:lineRule="auto"/>
        <w:ind w:firstLine="420" w:firstLineChars="200"/>
        <w:rPr>
          <w:rFonts w:ascii="仿宋" w:hAnsi="仿宋" w:eastAsia="仿宋" w:cs="仿宋"/>
          <w:color w:val="auto"/>
          <w:szCs w:val="21"/>
          <w:highlight w:val="none"/>
        </w:rPr>
      </w:pPr>
    </w:p>
    <w:p>
      <w:pPr>
        <w:adjustRightInd w:val="0"/>
        <w:snapToGrid w:val="0"/>
        <w:spacing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1.享受政府采购支持政策的残疾人福利性单位应当同时满足以下条件：</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360" w:lineRule="auto"/>
        <w:ind w:firstLine="361" w:firstLineChars="200"/>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2.符合条件的残疾人福利性单位在参加政府采购活动时，应当提供财库[2017]141号文件规定的《残疾人福利性单位声明函》，并对声明的真实性负责;</w:t>
      </w:r>
    </w:p>
    <w:p>
      <w:pPr>
        <w:pStyle w:val="23"/>
        <w:shd w:val="clear" w:color="auto" w:fill="FFFFFF"/>
        <w:adjustRightInd w:val="0"/>
        <w:snapToGrid w:val="0"/>
        <w:spacing w:before="0" w:beforeAutospacing="0" w:after="0" w:afterAutospacing="0" w:line="360" w:lineRule="auto"/>
        <w:ind w:firstLine="361" w:firstLineChars="200"/>
        <w:rPr>
          <w:color w:val="auto"/>
          <w:highlight w:val="none"/>
        </w:rPr>
      </w:pPr>
      <w:r>
        <w:rPr>
          <w:rFonts w:hint="eastAsia" w:ascii="仿宋" w:hAnsi="仿宋" w:eastAsia="仿宋" w:cs="仿宋"/>
          <w:b/>
          <w:bCs/>
          <w:color w:val="auto"/>
          <w:sz w:val="18"/>
          <w:szCs w:val="18"/>
          <w:highlight w:val="none"/>
        </w:rPr>
        <w:t>3.在政府采购活动中，残疾人福利性单位视同小型、微型企业，享受预留份额、评审中价格扣除等促进中小企业发展的政府采购政策。残疾人福利性单位属于小型、微型企业的，不重复享受政策。</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adjustRightInd w:val="0"/>
        <w:snapToGrid w:val="0"/>
        <w:spacing w:line="288" w:lineRule="auto"/>
        <w:jc w:val="center"/>
        <w:rPr>
          <w:rFonts w:ascii="仿宋" w:hAnsi="仿宋" w:eastAsia="仿宋" w:cs="仿宋"/>
          <w:b/>
          <w:bCs/>
          <w:color w:val="auto"/>
          <w:sz w:val="84"/>
          <w:szCs w:val="84"/>
          <w:highlight w:val="none"/>
        </w:rPr>
      </w:pPr>
    </w:p>
    <w:p>
      <w:pPr>
        <w:pStyle w:val="12"/>
        <w:ind w:firstLine="0"/>
        <w:jc w:val="center"/>
        <w:outlineLvl w:val="1"/>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商务和技术文件</w:t>
      </w:r>
    </w:p>
    <w:p>
      <w:pPr>
        <w:pStyle w:val="12"/>
        <w:ind w:firstLine="0"/>
        <w:jc w:val="center"/>
        <w:rPr>
          <w:rFonts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br w:type="page"/>
      </w:r>
    </w:p>
    <w:p>
      <w:pPr>
        <w:spacing w:line="360" w:lineRule="auto"/>
        <w:jc w:val="center"/>
        <w:outlineLvl w:val="2"/>
        <w:rPr>
          <w:color w:val="auto"/>
          <w:szCs w:val="21"/>
          <w:highlight w:val="none"/>
        </w:rPr>
      </w:pPr>
      <w:r>
        <w:rPr>
          <w:rFonts w:hint="eastAsia" w:ascii="仿宋" w:hAnsi="仿宋" w:eastAsia="仿宋" w:cs="仿宋"/>
          <w:b/>
          <w:color w:val="auto"/>
          <w:spacing w:val="-6"/>
          <w:sz w:val="24"/>
          <w:highlight w:val="none"/>
        </w:rPr>
        <w:t>响应函</w:t>
      </w:r>
    </w:p>
    <w:p>
      <w:pPr>
        <w:adjustRightInd w:val="0"/>
        <w:snapToGrid w:val="0"/>
        <w:spacing w:line="360" w:lineRule="auto"/>
        <w:rPr>
          <w:rFonts w:ascii="仿宋" w:hAnsi="仿宋" w:eastAsia="仿宋" w:cs="仿宋"/>
          <w:color w:val="auto"/>
          <w:spacing w:val="-6"/>
          <w:szCs w:val="21"/>
          <w:highlight w:val="none"/>
        </w:rPr>
      </w:pPr>
      <w:r>
        <w:rPr>
          <w:rFonts w:hint="eastAsia" w:ascii="仿宋" w:hAnsi="仿宋" w:eastAsia="仿宋" w:cs="仿宋"/>
          <w:b/>
          <w:bCs/>
          <w:color w:val="auto"/>
          <w:szCs w:val="21"/>
          <w:highlight w:val="none"/>
        </w:rPr>
        <w:t>致：之江实验室、浙江求是招标代理有限公司</w:t>
      </w:r>
    </w:p>
    <w:p>
      <w:pPr>
        <w:adjustRightInd w:val="0"/>
        <w:snapToGrid w:val="0"/>
        <w:spacing w:line="360" w:lineRule="auto"/>
        <w:ind w:firstLine="396" w:firstLineChars="200"/>
        <w:rPr>
          <w:rFonts w:ascii="仿宋" w:hAnsi="仿宋" w:eastAsia="仿宋" w:cs="仿宋"/>
          <w:color w:val="auto"/>
          <w:szCs w:val="21"/>
          <w:highlight w:val="none"/>
        </w:rPr>
      </w:pPr>
      <w:r>
        <w:rPr>
          <w:rFonts w:hint="eastAsia" w:ascii="仿宋" w:hAnsi="仿宋" w:eastAsia="仿宋" w:cs="仿宋"/>
          <w:color w:val="auto"/>
          <w:spacing w:val="-6"/>
          <w:szCs w:val="21"/>
          <w:highlight w:val="none"/>
        </w:rPr>
        <w:t>我方参加</w:t>
      </w:r>
      <w:r>
        <w:rPr>
          <w:rFonts w:hint="eastAsia" w:ascii="仿宋" w:hAnsi="仿宋" w:eastAsia="仿宋" w:cs="仿宋"/>
          <w:bCs/>
          <w:color w:val="auto"/>
          <w:spacing w:val="-6"/>
          <w:szCs w:val="21"/>
          <w:highlight w:val="none"/>
        </w:rPr>
        <w:t>之江实验室</w:t>
      </w:r>
      <w:r>
        <w:rPr>
          <w:rFonts w:hint="eastAsia" w:ascii="仿宋" w:hAnsi="仿宋" w:eastAsia="仿宋" w:cs="仿宋"/>
          <w:bCs/>
          <w:color w:val="auto"/>
          <w:spacing w:val="-6"/>
          <w:szCs w:val="21"/>
          <w:highlight w:val="none"/>
          <w:lang w:eastAsia="zh-CN"/>
        </w:rPr>
        <w:t>算力中心展厅展陈</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项目编号</w:t>
      </w:r>
      <w:r>
        <w:rPr>
          <w:rFonts w:hint="eastAsia" w:ascii="仿宋" w:hAnsi="仿宋" w:eastAsia="仿宋" w:cs="仿宋"/>
          <w:bCs/>
          <w:color w:val="auto"/>
          <w:spacing w:val="-6"/>
          <w:szCs w:val="21"/>
          <w:highlight w:val="none"/>
        </w:rPr>
        <w:t>：</w:t>
      </w:r>
      <w:r>
        <w:rPr>
          <w:rFonts w:hint="eastAsia" w:ascii="仿宋" w:hAnsi="仿宋" w:eastAsia="仿宋" w:cs="仿宋"/>
          <w:bCs/>
          <w:color w:val="auto"/>
          <w:spacing w:val="-6"/>
          <w:szCs w:val="21"/>
          <w:highlight w:val="none"/>
          <w:lang w:eastAsia="zh-CN"/>
        </w:rPr>
        <w:t>ZJLAB-JZ-CS2024011</w:t>
      </w:r>
      <w:r>
        <w:rPr>
          <w:rFonts w:hint="eastAsia" w:ascii="仿宋" w:hAnsi="仿宋" w:eastAsia="仿宋" w:cs="仿宋"/>
          <w:bCs/>
          <w:color w:val="auto"/>
          <w:spacing w:val="-6"/>
          <w:szCs w:val="21"/>
          <w:highlight w:val="none"/>
        </w:rPr>
        <w:t>]</w:t>
      </w:r>
      <w:r>
        <w:rPr>
          <w:rFonts w:hint="eastAsia" w:ascii="仿宋" w:hAnsi="仿宋" w:eastAsia="仿宋" w:cs="仿宋"/>
          <w:color w:val="auto"/>
          <w:spacing w:val="-6"/>
          <w:szCs w:val="21"/>
          <w:highlight w:val="none"/>
        </w:rPr>
        <w:t>，为此，我方提交响应文件正本一份、副本___份。宣布同意如下：</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1.我方已详细审查全部“磋商文件”，包括修改文件（如有）以及全部参考资料和有关附件，已经了解我方对于磋商文件、采购过程、成交结果有依法进行询问、质疑的权利及相关渠道和要求。</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2.我方在磋商响应之前已经与贵方进行了充分的沟通，完全理解并接受磋商文件的各项规定和要求，对磋商文件的合理性、合法性不再有异议。</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3.响应有效期自提交响应文件的截止之日起</w:t>
      </w:r>
      <w:r>
        <w:rPr>
          <w:rFonts w:hint="eastAsia" w:ascii="仿宋" w:hAnsi="仿宋" w:eastAsia="仿宋" w:cs="仿宋"/>
          <w:b/>
          <w:bCs/>
          <w:color w:val="auto"/>
          <w:szCs w:val="21"/>
          <w:highlight w:val="none"/>
          <w:u w:val="single"/>
        </w:rPr>
        <w:t xml:space="preserve"> 90 </w:t>
      </w:r>
      <w:r>
        <w:rPr>
          <w:rFonts w:hint="eastAsia" w:ascii="仿宋" w:hAnsi="仿宋" w:eastAsia="仿宋" w:cs="仿宋"/>
          <w:color w:val="auto"/>
          <w:szCs w:val="21"/>
          <w:highlight w:val="none"/>
        </w:rPr>
        <w:t>天。</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4.如成交，本响应文件至本项目合同履行完毕止均保持有效，我方将按“磋商文件”及相关采购法律、法规的规定履行合同责任和义务。关于代理服务费，我方承诺按照磋商文件的规定履行并承担相应的责任。</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5.我方同意按照贵方要求提供与磋商有关的一切数据或资料。</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6.与本磋商有关的一切正式往来信函联系：</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7340" w:type="dxa"/>
            <w:vAlign w:val="center"/>
          </w:tcPr>
          <w:p>
            <w:pPr>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7340" w:type="dxa"/>
            <w:vAlign w:val="center"/>
          </w:tcPr>
          <w:p>
            <w:pPr>
              <w:jc w:val="cente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供应商名称（公章）：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供应商授权代表（签字）：</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法定代表人（单位负责人、自然人本人）身份证明</w:t>
      </w:r>
    </w:p>
    <w:p>
      <w:pPr>
        <w:adjustRightInd w:val="0"/>
        <w:snapToGrid w:val="0"/>
        <w:spacing w:line="360" w:lineRule="auto"/>
        <w:jc w:val="cente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[适用于法定代表人（单位负责人、自然人本人）</w:t>
      </w:r>
      <w:r>
        <w:rPr>
          <w:rFonts w:hint="eastAsia" w:ascii="仿宋" w:hAnsi="仿宋" w:eastAsia="仿宋" w:cs="仿宋"/>
          <w:b/>
          <w:bCs/>
          <w:color w:val="auto"/>
          <w:spacing w:val="-6"/>
          <w:sz w:val="18"/>
          <w:szCs w:val="18"/>
          <w:highlight w:val="none"/>
        </w:rPr>
        <w:t>代表供应商参与磋商]</w:t>
      </w:r>
    </w:p>
    <w:p>
      <w:pPr>
        <w:adjustRightInd w:val="0"/>
        <w:snapToGrid w:val="0"/>
        <w:spacing w:line="360" w:lineRule="auto"/>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身份证件复印件</w:t>
      </w:r>
    </w:p>
    <w:tbl>
      <w:tblPr>
        <w:tblStyle w:val="1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814" w:type="dxa"/>
          </w:tcPr>
          <w:p>
            <w:pPr>
              <w:adjustRightInd w:val="0"/>
              <w:snapToGrid w:val="0"/>
              <w:spacing w:line="288"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正面：</w:t>
            </w:r>
          </w:p>
        </w:tc>
        <w:tc>
          <w:tcPr>
            <w:tcW w:w="4814" w:type="dxa"/>
          </w:tcPr>
          <w:p>
            <w:pPr>
              <w:adjustRightInd w:val="0"/>
              <w:snapToGrid w:val="0"/>
              <w:spacing w:line="288"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反面：</w:t>
            </w:r>
          </w:p>
        </w:tc>
      </w:tr>
    </w:tbl>
    <w:p>
      <w:pPr>
        <w:rPr>
          <w:rFonts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授权委托书</w:t>
      </w:r>
    </w:p>
    <w:p>
      <w:pPr>
        <w:adjustRightInd w:val="0"/>
        <w:snapToGrid w:val="0"/>
        <w:spacing w:line="360" w:lineRule="auto"/>
        <w:jc w:val="center"/>
        <w:rPr>
          <w:rFonts w:ascii="仿宋" w:hAnsi="仿宋" w:eastAsia="仿宋" w:cs="仿宋"/>
          <w:b/>
          <w:bCs/>
          <w:color w:val="auto"/>
          <w:spacing w:val="-6"/>
          <w:sz w:val="18"/>
          <w:szCs w:val="18"/>
          <w:highlight w:val="none"/>
        </w:rPr>
      </w:pPr>
      <w:r>
        <w:rPr>
          <w:rFonts w:hint="eastAsia" w:ascii="仿宋" w:hAnsi="仿宋" w:eastAsia="仿宋" w:cs="仿宋"/>
          <w:b/>
          <w:bCs/>
          <w:color w:val="auto"/>
          <w:sz w:val="18"/>
          <w:szCs w:val="18"/>
          <w:highlight w:val="none"/>
        </w:rPr>
        <w:t>[适用于供应商授权代表不是法定代表人（单位负责人、自然人本人）</w:t>
      </w:r>
      <w:r>
        <w:rPr>
          <w:rFonts w:hint="eastAsia" w:ascii="仿宋" w:hAnsi="仿宋" w:eastAsia="仿宋" w:cs="仿宋"/>
          <w:b/>
          <w:bCs/>
          <w:color w:val="auto"/>
          <w:spacing w:val="-6"/>
          <w:sz w:val="18"/>
          <w:szCs w:val="18"/>
          <w:highlight w:val="none"/>
        </w:rPr>
        <w:t>代表供应商参与磋商]</w:t>
      </w:r>
    </w:p>
    <w:p>
      <w:pPr>
        <w:adjustRightInd w:val="0"/>
        <w:snapToGrid w:val="0"/>
        <w:spacing w:line="360" w:lineRule="auto"/>
        <w:rPr>
          <w:rFonts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t>致：之江实验室、浙江求是招标代理有限公司</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现授权委托：</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（授权代表姓名）（身份证号码：</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，手机：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）以我方的名义参加</w:t>
      </w:r>
      <w:r>
        <w:rPr>
          <w:rFonts w:hint="eastAsia" w:ascii="仿宋" w:hAnsi="仿宋" w:eastAsia="仿宋" w:cs="仿宋"/>
          <w:bCs/>
          <w:color w:val="auto"/>
          <w:spacing w:val="-6"/>
          <w:szCs w:val="21"/>
          <w:highlight w:val="none"/>
        </w:rPr>
        <w:t>之江实验室</w:t>
      </w:r>
      <w:r>
        <w:rPr>
          <w:rFonts w:hint="eastAsia" w:ascii="仿宋" w:hAnsi="仿宋" w:eastAsia="仿宋" w:cs="仿宋"/>
          <w:bCs/>
          <w:color w:val="auto"/>
          <w:spacing w:val="-6"/>
          <w:szCs w:val="21"/>
          <w:highlight w:val="none"/>
          <w:lang w:eastAsia="zh-CN"/>
        </w:rPr>
        <w:t>算力中心展厅展陈</w:t>
      </w:r>
      <w:r>
        <w:rPr>
          <w:rFonts w:hint="eastAsia" w:ascii="仿宋" w:hAnsi="仿宋" w:eastAsia="仿宋" w:cs="仿宋"/>
          <w:color w:val="auto"/>
          <w:spacing w:val="-6"/>
          <w:szCs w:val="21"/>
          <w:highlight w:val="none"/>
        </w:rPr>
        <w:t>项目</w:t>
      </w:r>
      <w:r>
        <w:rPr>
          <w:rFonts w:hint="eastAsia" w:ascii="仿宋" w:hAnsi="仿宋" w:eastAsia="仿宋" w:cs="仿宋"/>
          <w:bCs/>
          <w:color w:val="auto"/>
          <w:spacing w:val="-6"/>
          <w:szCs w:val="21"/>
          <w:highlight w:val="none"/>
        </w:rPr>
        <w:t>[项目编号：</w:t>
      </w:r>
      <w:r>
        <w:rPr>
          <w:rFonts w:hint="eastAsia" w:ascii="仿宋" w:hAnsi="仿宋" w:eastAsia="仿宋" w:cs="仿宋"/>
          <w:bCs/>
          <w:color w:val="auto"/>
          <w:spacing w:val="-6"/>
          <w:szCs w:val="21"/>
          <w:highlight w:val="none"/>
          <w:lang w:eastAsia="zh-CN"/>
        </w:rPr>
        <w:t>ZJLAB-JZ-CS2024011</w:t>
      </w:r>
      <w:r>
        <w:rPr>
          <w:rFonts w:hint="eastAsia" w:ascii="仿宋" w:hAnsi="仿宋" w:eastAsia="仿宋" w:cs="仿宋"/>
          <w:bCs/>
          <w:color w:val="auto"/>
          <w:spacing w:val="-6"/>
          <w:szCs w:val="21"/>
          <w:highlight w:val="none"/>
        </w:rPr>
        <w:t>]的采购</w:t>
      </w:r>
      <w:r>
        <w:rPr>
          <w:rFonts w:hint="eastAsia" w:ascii="仿宋" w:hAnsi="仿宋" w:eastAsia="仿宋" w:cs="仿宋"/>
          <w:color w:val="auto"/>
          <w:spacing w:val="-6"/>
          <w:szCs w:val="21"/>
          <w:highlight w:val="none"/>
        </w:rPr>
        <w:t>活动，并代表我方全权办理针对上述项目的响应、评审、签约等具体事务和签署相关文件。</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我方对被授权人的签名负全部责任。</w:t>
      </w:r>
    </w:p>
    <w:p>
      <w:pPr>
        <w:adjustRightInd w:val="0"/>
        <w:snapToGrid w:val="0"/>
        <w:spacing w:line="360" w:lineRule="auto"/>
        <w:ind w:firstLine="396" w:firstLineChars="200"/>
        <w:rPr>
          <w:rFonts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360" w:lineRule="auto"/>
        <w:ind w:firstLine="396" w:firstLineChars="200"/>
        <w:rPr>
          <w:rFonts w:ascii="仿宋" w:hAnsi="仿宋" w:eastAsia="仿宋" w:cs="仿宋"/>
          <w:b/>
          <w:bCs/>
          <w:color w:val="auto"/>
          <w:szCs w:val="21"/>
          <w:highlight w:val="none"/>
        </w:rPr>
      </w:pPr>
      <w:r>
        <w:rPr>
          <w:rFonts w:hint="eastAsia" w:ascii="仿宋" w:hAnsi="仿宋" w:eastAsia="仿宋" w:cs="仿宋"/>
          <w:color w:val="auto"/>
          <w:spacing w:val="-6"/>
          <w:szCs w:val="21"/>
          <w:highlight w:val="none"/>
        </w:rPr>
        <w:t>被授权人无转委托权，特此告知。</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供应商名称（公章）：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spacing w:line="360" w:lineRule="auto"/>
        <w:jc w:val="center"/>
        <w:outlineLvl w:val="3"/>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近三个月供应商授权代表社保缴纳证明</w:t>
      </w:r>
    </w:p>
    <w:p>
      <w:pPr>
        <w:pStyle w:val="12"/>
        <w:spacing w:line="360" w:lineRule="auto"/>
        <w:ind w:firstLine="0"/>
        <w:rPr>
          <w:rFonts w:ascii="仿宋" w:hAnsi="仿宋" w:eastAsia="仿宋" w:cs="仿宋"/>
          <w:b/>
          <w:bCs/>
          <w:color w:val="auto"/>
          <w:sz w:val="21"/>
          <w:szCs w:val="21"/>
          <w:highlight w:val="none"/>
        </w:rPr>
      </w:pPr>
    </w:p>
    <w:p>
      <w:pPr>
        <w:pStyle w:val="12"/>
        <w:spacing w:line="360" w:lineRule="auto"/>
        <w:ind w:firstLine="0"/>
        <w:rPr>
          <w:rFonts w:ascii="仿宋" w:hAnsi="仿宋" w:eastAsia="仿宋" w:cs="仿宋"/>
          <w:b/>
          <w:bCs/>
          <w:color w:val="auto"/>
          <w:sz w:val="21"/>
          <w:szCs w:val="21"/>
          <w:highlight w:val="none"/>
        </w:rPr>
      </w:pPr>
      <w:r>
        <w:rPr>
          <w:rFonts w:hint="eastAsia" w:ascii="仿宋" w:hAnsi="仿宋" w:eastAsia="仿宋" w:cs="仿宋"/>
          <w:b/>
          <w:bCs/>
          <w:color w:val="auto"/>
          <w:szCs w:val="18"/>
          <w:highlight w:val="none"/>
        </w:rPr>
        <w:t>说明：供应商委派不在本单位缴纳社保的人员作为授权代表的，在响应文件中说明具体原因、授权代表缴纳社保单位并附列该授权代表缴纳社保清单（近三个月）。</w:t>
      </w:r>
    </w:p>
    <w:p>
      <w:pPr>
        <w:pStyle w:val="12"/>
        <w:spacing w:line="360" w:lineRule="auto"/>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采购需求偏离表</w:t>
      </w:r>
    </w:p>
    <w:p>
      <w:pPr>
        <w:adjustRightInd w:val="0"/>
        <w:snapToGri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采 购 人：之江实验室</w:t>
      </w:r>
    </w:p>
    <w:p>
      <w:pPr>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bCs/>
          <w:color w:val="auto"/>
          <w:spacing w:val="-6"/>
          <w:szCs w:val="21"/>
          <w:highlight w:val="none"/>
        </w:rPr>
        <w:t>项目名称：</w:t>
      </w:r>
      <w:r>
        <w:rPr>
          <w:rFonts w:hint="eastAsia" w:ascii="仿宋" w:hAnsi="仿宋" w:eastAsia="仿宋" w:cs="仿宋"/>
          <w:bCs/>
          <w:color w:val="auto"/>
          <w:spacing w:val="-6"/>
          <w:szCs w:val="21"/>
          <w:highlight w:val="none"/>
          <w:lang w:eastAsia="zh-CN"/>
        </w:rPr>
        <w:t>算力中心展厅展陈</w:t>
      </w:r>
    </w:p>
    <w:p>
      <w:pPr>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项目编号：</w:t>
      </w:r>
      <w:r>
        <w:rPr>
          <w:rFonts w:hint="eastAsia" w:ascii="仿宋" w:hAnsi="仿宋" w:eastAsia="仿宋" w:cs="仿宋"/>
          <w:color w:val="auto"/>
          <w:spacing w:val="-6"/>
          <w:szCs w:val="21"/>
          <w:highlight w:val="none"/>
          <w:lang w:eastAsia="zh-CN"/>
        </w:rPr>
        <w:t>ZJLAB-JZ-CS2024011</w:t>
      </w:r>
    </w:p>
    <w:tbl>
      <w:tblPr>
        <w:tblStyle w:val="2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480"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磋商文件要求</w:t>
            </w:r>
          </w:p>
        </w:tc>
        <w:tc>
          <w:tcPr>
            <w:tcW w:w="2911"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响应规格</w:t>
            </w:r>
          </w:p>
        </w:tc>
        <w:tc>
          <w:tcPr>
            <w:tcW w:w="2407" w:type="dxa"/>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color w:val="auto"/>
                <w:szCs w:val="21"/>
                <w:highlight w:val="none"/>
              </w:rPr>
            </w:pPr>
            <w:r>
              <w:rPr>
                <w:rFonts w:hint="eastAsia" w:ascii="仿宋" w:hAnsi="仿宋" w:eastAsia="仿宋" w:cs="仿宋"/>
                <w:b/>
                <w:bCs/>
                <w:color w:val="auto"/>
                <w:szCs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3480" w:type="dxa"/>
            <w:vAlign w:val="center"/>
          </w:tcPr>
          <w:p>
            <w:pPr>
              <w:rPr>
                <w:rFonts w:ascii="仿宋" w:hAnsi="仿宋" w:eastAsia="仿宋" w:cs="仿宋"/>
                <w:color w:val="auto"/>
                <w:szCs w:val="21"/>
                <w:highlight w:val="none"/>
              </w:rPr>
            </w:pPr>
          </w:p>
        </w:tc>
        <w:tc>
          <w:tcPr>
            <w:tcW w:w="2911" w:type="dxa"/>
            <w:vAlign w:val="center"/>
          </w:tcPr>
          <w:p>
            <w:pPr>
              <w:rPr>
                <w:rFonts w:ascii="仿宋" w:hAnsi="仿宋" w:eastAsia="仿宋" w:cs="仿宋"/>
                <w:color w:val="auto"/>
                <w:szCs w:val="21"/>
                <w:highlight w:val="none"/>
              </w:rPr>
            </w:pPr>
          </w:p>
        </w:tc>
        <w:tc>
          <w:tcPr>
            <w:tcW w:w="2407" w:type="dxa"/>
            <w:vAlign w:val="center"/>
          </w:tcPr>
          <w:p>
            <w:pPr>
              <w:rPr>
                <w:rFonts w:ascii="仿宋" w:hAnsi="仿宋" w:eastAsia="仿宋" w:cs="仿宋"/>
                <w:color w:val="auto"/>
                <w:szCs w:val="21"/>
                <w:highlight w:val="none"/>
              </w:rPr>
            </w:pPr>
          </w:p>
        </w:tc>
      </w:tr>
    </w:tbl>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1.逐项按照磋商文件要求填写响应规格；</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2.偏离说明是指对磋商文件要求存在不同之处的解释说明，偏离系指正偏离（高于采购需求）、负偏离（低于采购需求）、无偏离（满足采购需求）；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3.如不填写或未如实填写，自行承担响应风险。</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供应商名称（公章）：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供应商授权代表（签字）：</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pStyle w:val="12"/>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供应商类似合同实施情况一览表</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szCs w:val="21"/>
                <w:highlight w:val="none"/>
              </w:rPr>
            </w:pPr>
          </w:p>
        </w:tc>
      </w:tr>
    </w:tbl>
    <w:p>
      <w:pPr>
        <w:pStyle w:val="21"/>
        <w:spacing w:line="360" w:lineRule="auto"/>
        <w:ind w:left="420" w:hanging="420"/>
        <w:rPr>
          <w:rFonts w:ascii="仿宋" w:hAnsi="仿宋" w:eastAsia="仿宋" w:cs="仿宋"/>
          <w:color w:val="auto"/>
          <w:sz w:val="21"/>
          <w:szCs w:val="21"/>
          <w:highlight w:val="none"/>
        </w:rPr>
      </w:pP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说明：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1.供应商须提供上述业绩合同及对应验收报告复印件；</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2.所有合同复印件应清晰，应能体现合同签订时间、双方签字盖章等内容；</w:t>
      </w:r>
    </w:p>
    <w:p>
      <w:pPr>
        <w:adjustRightInd w:val="0"/>
        <w:snapToGrid w:val="0"/>
        <w:spacing w:line="360" w:lineRule="auto"/>
        <w:rPr>
          <w:rFonts w:ascii="仿宋" w:hAnsi="仿宋" w:eastAsia="仿宋" w:cs="仿宋"/>
          <w:color w:val="auto"/>
          <w:sz w:val="18"/>
          <w:szCs w:val="18"/>
          <w:highlight w:val="none"/>
        </w:rPr>
      </w:pPr>
      <w:r>
        <w:rPr>
          <w:rFonts w:hint="eastAsia" w:ascii="仿宋" w:hAnsi="仿宋" w:eastAsia="仿宋" w:cs="仿宋"/>
          <w:b/>
          <w:color w:val="auto"/>
          <w:spacing w:val="-6"/>
          <w:sz w:val="18"/>
          <w:szCs w:val="18"/>
          <w:highlight w:val="none"/>
        </w:rPr>
        <w:t>3.供应商应在不涉及商业秘密的前提下尽可能提供详细的合同复印件内容。</w:t>
      </w: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color w:val="auto"/>
          <w:szCs w:val="21"/>
          <w:highlight w:val="none"/>
        </w:rPr>
      </w:pPr>
    </w:p>
    <w:p>
      <w:pPr>
        <w:adjustRightInd w:val="0"/>
        <w:snapToGrid w:val="0"/>
        <w:spacing w:line="360" w:lineRule="auto"/>
        <w:rPr>
          <w:rFonts w:ascii="仿宋" w:hAnsi="仿宋" w:eastAsia="仿宋" w:cs="仿宋"/>
          <w:b/>
          <w:bCs/>
          <w:color w:val="auto"/>
          <w:spacing w:val="-6"/>
          <w:szCs w:val="21"/>
          <w:highlight w:val="none"/>
        </w:rPr>
      </w:pP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供应商名称（公章）：</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供应商授权代表（签字）：</w:t>
      </w:r>
    </w:p>
    <w:p>
      <w:pPr>
        <w:adjustRightInd w:val="0"/>
        <w:snapToGrid w:val="0"/>
        <w:spacing w:line="360" w:lineRule="auto"/>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日期：     年   月   日</w:t>
      </w:r>
    </w:p>
    <w:p>
      <w:pPr>
        <w:rPr>
          <w:rFonts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br w:type="page"/>
      </w:r>
    </w:p>
    <w:p>
      <w:pPr>
        <w:adjustRightInd w:val="0"/>
        <w:snapToGrid w:val="0"/>
        <w:spacing w:line="360" w:lineRule="auto"/>
        <w:jc w:val="center"/>
        <w:outlineLvl w:val="2"/>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节能、环保产品证明材料</w:t>
      </w:r>
    </w:p>
    <w:p>
      <w:pPr>
        <w:pStyle w:val="12"/>
        <w:spacing w:line="360" w:lineRule="auto"/>
        <w:ind w:firstLine="0"/>
        <w:rPr>
          <w:rFonts w:ascii="仿宋" w:hAnsi="仿宋" w:eastAsia="仿宋" w:cs="仿宋"/>
          <w:b/>
          <w:bCs/>
          <w:color w:val="auto"/>
          <w:spacing w:val="-6"/>
          <w:szCs w:val="18"/>
          <w:highlight w:val="none"/>
        </w:rPr>
      </w:pPr>
      <w:r>
        <w:rPr>
          <w:rFonts w:hint="eastAsia" w:ascii="仿宋" w:hAnsi="仿宋" w:eastAsia="仿宋" w:cs="仿宋"/>
          <w:b/>
          <w:bCs/>
          <w:color w:val="auto"/>
          <w:spacing w:val="-6"/>
          <w:szCs w:val="18"/>
          <w:highlight w:val="none"/>
        </w:rPr>
        <w:t>说明：</w:t>
      </w:r>
    </w:p>
    <w:p>
      <w:pPr>
        <w:pStyle w:val="12"/>
        <w:spacing w:line="360" w:lineRule="auto"/>
        <w:ind w:firstLine="0"/>
        <w:rPr>
          <w:rFonts w:ascii="仿宋" w:hAnsi="仿宋" w:eastAsia="仿宋" w:cs="仿宋"/>
          <w:b/>
          <w:bCs/>
          <w:color w:val="auto"/>
          <w:spacing w:val="-6"/>
          <w:szCs w:val="18"/>
          <w:highlight w:val="none"/>
        </w:rPr>
      </w:pPr>
      <w:r>
        <w:rPr>
          <w:rFonts w:hint="eastAsia" w:ascii="仿宋" w:hAnsi="仿宋" w:eastAsia="仿宋" w:cs="仿宋"/>
          <w:b/>
          <w:bCs/>
          <w:color w:val="auto"/>
          <w:spacing w:val="-6"/>
          <w:szCs w:val="18"/>
          <w:highlight w:val="none"/>
        </w:rPr>
        <w:t>1.响应产品属于财政部、发展改革委公布的“节能产品政府采购品目清单”范围且由国家确定的认证机构出具的处于有效期之内的节能产品认证证书复印件</w:t>
      </w:r>
    </w:p>
    <w:p>
      <w:pPr>
        <w:pStyle w:val="12"/>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b/>
          <w:bCs/>
          <w:color w:val="auto"/>
          <w:spacing w:val="-6"/>
          <w:szCs w:val="18"/>
          <w:highlight w:val="none"/>
        </w:rPr>
        <w:t>2.响应产品属于财政部、生态环境部公布的“环境标志产品政府采购品目清单”范围且由国家确定的认证机构出具的处于有效期之内的环境标志产品认证证书复印件</w:t>
      </w:r>
    </w:p>
    <w:p>
      <w:pPr>
        <w:pStyle w:val="12"/>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br w:type="page"/>
      </w:r>
    </w:p>
    <w:p>
      <w:pPr>
        <w:pStyle w:val="39"/>
        <w:spacing w:line="360" w:lineRule="auto"/>
        <w:jc w:val="center"/>
        <w:outlineLvl w:val="2"/>
        <w:rPr>
          <w:rFonts w:ascii="仿宋" w:hAnsi="仿宋" w:eastAsia="仿宋" w:cs="仿宋"/>
          <w:b/>
          <w:bCs/>
          <w:iCs/>
          <w:color w:val="auto"/>
          <w:spacing w:val="-6"/>
          <w:kern w:val="2"/>
          <w:highlight w:val="none"/>
        </w:rPr>
      </w:pPr>
      <w:r>
        <w:rPr>
          <w:rFonts w:hint="eastAsia" w:ascii="仿宋" w:hAnsi="仿宋" w:eastAsia="仿宋" w:cs="仿宋"/>
          <w:b/>
          <w:bCs/>
          <w:iCs/>
          <w:color w:val="auto"/>
          <w:spacing w:val="-6"/>
          <w:kern w:val="2"/>
          <w:highlight w:val="none"/>
        </w:rPr>
        <w:t>货物配置清单</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p>
        </w:tc>
      </w:tr>
    </w:tbl>
    <w:p>
      <w:pPr>
        <w:spacing w:line="360" w:lineRule="auto"/>
        <w:rPr>
          <w:rFonts w:ascii="仿宋" w:hAnsi="仿宋" w:eastAsia="仿宋" w:cs="仿宋"/>
          <w:b/>
          <w:color w:val="auto"/>
          <w:spacing w:val="-6"/>
          <w:sz w:val="24"/>
          <w:highlight w:val="none"/>
        </w:rPr>
      </w:pPr>
    </w:p>
    <w:p>
      <w:pPr>
        <w:spacing w:line="360" w:lineRule="auto"/>
        <w:rPr>
          <w:rFonts w:ascii="仿宋" w:hAnsi="仿宋" w:eastAsia="仿宋" w:cs="仿宋"/>
          <w:b/>
          <w:color w:val="auto"/>
          <w:spacing w:val="-6"/>
          <w:sz w:val="24"/>
          <w:highlight w:val="none"/>
        </w:rPr>
      </w:pPr>
    </w:p>
    <w:p>
      <w:pPr>
        <w:pStyle w:val="39"/>
        <w:spacing w:line="360" w:lineRule="auto"/>
        <w:rPr>
          <w:rFonts w:ascii="仿宋" w:hAnsi="仿宋" w:eastAsia="仿宋" w:cs="仿宋"/>
          <w:b/>
          <w:color w:val="auto"/>
          <w:spacing w:val="-6"/>
          <w:highlight w:val="none"/>
        </w:rPr>
      </w:pPr>
    </w:p>
    <w:p>
      <w:pPr>
        <w:spacing w:line="360" w:lineRule="auto"/>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供应商名称（公章）：</w:t>
      </w:r>
    </w:p>
    <w:p>
      <w:pPr>
        <w:spacing w:line="360" w:lineRule="auto"/>
        <w:rPr>
          <w:rFonts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供应商授权代表（签字）：</w:t>
      </w:r>
    </w:p>
    <w:p>
      <w:pPr>
        <w:spacing w:line="360" w:lineRule="auto"/>
        <w:rPr>
          <w:rFonts w:ascii="仿宋" w:hAnsi="仿宋" w:eastAsia="仿宋" w:cs="仿宋"/>
          <w:b/>
          <w:bCs/>
          <w:iCs/>
          <w:color w:val="auto"/>
          <w:spacing w:val="-6"/>
          <w:sz w:val="24"/>
          <w:highlight w:val="none"/>
        </w:rPr>
      </w:pPr>
      <w:r>
        <w:rPr>
          <w:rFonts w:hint="eastAsia" w:ascii="仿宋" w:hAnsi="仿宋" w:eastAsia="仿宋" w:cs="仿宋"/>
          <w:b/>
          <w:bCs/>
          <w:color w:val="auto"/>
          <w:spacing w:val="-6"/>
          <w:sz w:val="24"/>
          <w:highlight w:val="none"/>
        </w:rPr>
        <w:t>日期：     年   月   日</w:t>
      </w:r>
    </w:p>
    <w:p>
      <w:pPr>
        <w:spacing w:line="360" w:lineRule="auto"/>
        <w:jc w:val="left"/>
        <w:rPr>
          <w:rFonts w:ascii="宋体" w:hAnsi="宋体" w:cs="宋体"/>
          <w:b/>
          <w:color w:val="auto"/>
          <w:spacing w:val="-6"/>
          <w:sz w:val="24"/>
          <w:highlight w:val="none"/>
        </w:rPr>
      </w:pPr>
      <w:r>
        <w:rPr>
          <w:rFonts w:hint="eastAsia" w:ascii="宋体" w:hAnsi="宋体" w:cs="宋体"/>
          <w:b/>
          <w:color w:val="auto"/>
          <w:spacing w:val="-6"/>
          <w:sz w:val="24"/>
          <w:highlight w:val="none"/>
        </w:rPr>
        <w:br w:type="page"/>
      </w: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技术方案</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1.设计构想</w:t>
      </w:r>
    </w:p>
    <w:p>
      <w:pPr>
        <w:spacing w:line="360" w:lineRule="auto"/>
        <w:ind w:firstLine="169" w:firstLineChars="100"/>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1.1 设计定位</w:t>
      </w:r>
    </w:p>
    <w:p>
      <w:pPr>
        <w:spacing w:line="360" w:lineRule="auto"/>
        <w:ind w:firstLine="169" w:firstLineChars="100"/>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1.2 展陈形式策划</w:t>
      </w:r>
    </w:p>
    <w:p>
      <w:pPr>
        <w:spacing w:line="360" w:lineRule="auto"/>
        <w:ind w:firstLine="169" w:firstLineChars="100"/>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1.3 设计原则</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2.布局设计平面图</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3.LED大屏形象墙、前台设计效果图</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4.算力技术发展史展陈设计效果图</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5.新型算力中心总体情况展陈设计效果图</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6.万卡智算集群展陈设计效果图</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7.高效能计算系统展陈设计效果图</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8.智能计算赋能创新变革展陈设计效果图</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9.新型算力中心核心能力及应用全景图展陈设计效果图</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10.走廊氛围、走廊标识标语策划、设计</w:t>
      </w:r>
    </w:p>
    <w:p>
      <w:pPr>
        <w:spacing w:line="360" w:lineRule="auto"/>
        <w:rPr>
          <w:rFonts w:ascii="仿宋" w:hAnsi="仿宋" w:eastAsia="仿宋" w:cs="仿宋"/>
          <w:b/>
          <w:color w:val="auto"/>
          <w:spacing w:val="-6"/>
          <w:sz w:val="24"/>
          <w:szCs w:val="24"/>
          <w:highlight w:val="none"/>
        </w:rPr>
      </w:pPr>
      <w:r>
        <w:rPr>
          <w:rFonts w:hint="eastAsia" w:ascii="仿宋" w:hAnsi="仿宋" w:eastAsia="仿宋" w:cs="仿宋"/>
          <w:b/>
          <w:color w:val="auto"/>
          <w:spacing w:val="-6"/>
          <w:sz w:val="18"/>
          <w:szCs w:val="18"/>
          <w:highlight w:val="none"/>
        </w:rPr>
        <w:t>11.视频、互动多媒体影片策划</w:t>
      </w:r>
    </w:p>
    <w:p>
      <w:pPr>
        <w:spacing w:line="360" w:lineRule="auto"/>
        <w:jc w:val="center"/>
        <w:rPr>
          <w:rFonts w:ascii="仿宋" w:hAnsi="仿宋" w:eastAsia="仿宋" w:cs="仿宋"/>
          <w:b/>
          <w:color w:val="auto"/>
          <w:spacing w:val="-6"/>
          <w:sz w:val="24"/>
          <w:highlight w:val="none"/>
        </w:rPr>
      </w:pPr>
    </w:p>
    <w:p>
      <w:pPr>
        <w:spacing w:line="360" w:lineRule="auto"/>
        <w:jc w:val="center"/>
        <w:rPr>
          <w:rFonts w:ascii="仿宋" w:hAnsi="仿宋" w:eastAsia="仿宋" w:cs="仿宋"/>
          <w:b/>
          <w:color w:val="auto"/>
          <w:spacing w:val="-6"/>
          <w:sz w:val="24"/>
          <w:highlight w:val="none"/>
        </w:rPr>
      </w:pPr>
    </w:p>
    <w:p>
      <w:pPr>
        <w:spacing w:line="360" w:lineRule="auto"/>
        <w:jc w:val="center"/>
        <w:rPr>
          <w:rFonts w:ascii="仿宋" w:hAnsi="仿宋" w:eastAsia="仿宋" w:cs="仿宋"/>
          <w:b/>
          <w:color w:val="auto"/>
          <w:spacing w:val="-6"/>
          <w:sz w:val="24"/>
          <w:highlight w:val="none"/>
        </w:rPr>
      </w:pP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项目实施方案</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根据评分标准提供和编写（格式自拟），包括但不仅限于总体设想、实施计划、设计与施工协调措施、施工重难点、新技术/新产品/新工艺/新材料应用。</w:t>
      </w:r>
    </w:p>
    <w:p>
      <w:pPr>
        <w:spacing w:line="360" w:lineRule="auto"/>
        <w:jc w:val="center"/>
        <w:rPr>
          <w:rFonts w:ascii="仿宋" w:hAnsi="仿宋" w:eastAsia="仿宋" w:cs="仿宋"/>
          <w:b/>
          <w:color w:val="auto"/>
          <w:spacing w:val="-6"/>
          <w:sz w:val="24"/>
          <w:highlight w:val="none"/>
        </w:rPr>
      </w:pPr>
    </w:p>
    <w:p>
      <w:pPr>
        <w:spacing w:line="360" w:lineRule="auto"/>
        <w:jc w:val="center"/>
        <w:rPr>
          <w:rFonts w:ascii="仿宋" w:hAnsi="仿宋" w:eastAsia="仿宋" w:cs="仿宋"/>
          <w:b/>
          <w:color w:val="auto"/>
          <w:spacing w:val="-6"/>
          <w:sz w:val="24"/>
          <w:highlight w:val="none"/>
        </w:rPr>
      </w:pPr>
    </w:p>
    <w:p>
      <w:pPr>
        <w:spacing w:line="360" w:lineRule="auto"/>
        <w:jc w:val="center"/>
        <w:rPr>
          <w:rFonts w:ascii="仿宋" w:hAnsi="仿宋" w:eastAsia="仿宋" w:cs="仿宋"/>
          <w:b/>
          <w:color w:val="auto"/>
          <w:spacing w:val="-6"/>
          <w:sz w:val="24"/>
          <w:highlight w:val="none"/>
        </w:rPr>
      </w:pP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保障措施</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1.施工各阶段进度及施工用材料、半成品、外购件质量保证措施</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2.安全文明施工及市政、市容、环保、消防等措施</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3.服从采购人协调和统一管理及配合措施、特殊服务承诺</w:t>
      </w:r>
    </w:p>
    <w:p>
      <w:pP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br w:type="page"/>
      </w:r>
    </w:p>
    <w:p>
      <w:pPr>
        <w:spacing w:line="360" w:lineRule="auto"/>
        <w:jc w:val="center"/>
        <w:outlineLvl w:val="2"/>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培训计划</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根据评分标准提供和编写（格式自拟），包括但不仅限于培训流程、培训方式、培训对象、培训内容、培训日程等。</w:t>
      </w:r>
    </w:p>
    <w:p>
      <w:pPr>
        <w:spacing w:line="360" w:lineRule="auto"/>
        <w:rPr>
          <w:rFonts w:ascii="仿宋" w:hAnsi="仿宋" w:eastAsia="仿宋" w:cs="仿宋"/>
          <w:b/>
          <w:color w:val="auto"/>
          <w:spacing w:val="-6"/>
          <w:sz w:val="24"/>
          <w:highlight w:val="none"/>
        </w:rPr>
      </w:pPr>
    </w:p>
    <w:p>
      <w:pPr>
        <w:spacing w:line="360" w:lineRule="auto"/>
        <w:rPr>
          <w:rFonts w:ascii="仿宋" w:hAnsi="仿宋" w:eastAsia="仿宋" w:cs="仿宋"/>
          <w:b/>
          <w:color w:val="auto"/>
          <w:spacing w:val="-6"/>
          <w:sz w:val="24"/>
          <w:highlight w:val="none"/>
        </w:rPr>
      </w:pPr>
    </w:p>
    <w:p>
      <w:pPr>
        <w:pStyle w:val="39"/>
        <w:spacing w:line="360" w:lineRule="auto"/>
        <w:rPr>
          <w:rFonts w:ascii="仿宋" w:hAnsi="仿宋" w:eastAsia="仿宋" w:cs="仿宋"/>
          <w:color w:val="auto"/>
          <w:highlight w:val="none"/>
        </w:rPr>
      </w:pPr>
    </w:p>
    <w:p>
      <w:pPr>
        <w:spacing w:line="360" w:lineRule="auto"/>
        <w:jc w:val="center"/>
        <w:outlineLvl w:val="2"/>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售后服务方案</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根据评分标准提供和编写（格式自拟），包括但不仅限于：</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1.</w:t>
      </w:r>
      <w:r>
        <w:rPr>
          <w:rFonts w:hint="eastAsia" w:ascii="仿宋" w:hAnsi="仿宋" w:eastAsia="仿宋" w:cs="仿宋"/>
          <w:b/>
          <w:color w:val="auto"/>
          <w:spacing w:val="-6"/>
          <w:sz w:val="18"/>
          <w:szCs w:val="18"/>
          <w:highlight w:val="none"/>
          <w:lang w:eastAsia="zh-CN"/>
        </w:rPr>
        <w:t>服务机构、服务内容、服务承诺、响应时间、服务方式、人员配备、应急服务、质保期内重大活动期间现场保障服务承诺等</w:t>
      </w:r>
      <w:r>
        <w:rPr>
          <w:rFonts w:hint="eastAsia" w:ascii="仿宋" w:hAnsi="仿宋" w:eastAsia="仿宋" w:cs="仿宋"/>
          <w:b/>
          <w:color w:val="auto"/>
          <w:spacing w:val="-6"/>
          <w:sz w:val="18"/>
          <w:szCs w:val="18"/>
          <w:highlight w:val="none"/>
        </w:rPr>
        <w:t>等</w:t>
      </w:r>
    </w:p>
    <w:p>
      <w:pPr>
        <w:spacing w:line="360" w:lineRule="auto"/>
        <w:rPr>
          <w:rFonts w:ascii="仿宋" w:hAnsi="仿宋" w:eastAsia="仿宋" w:cs="仿宋"/>
          <w:b/>
          <w:color w:val="auto"/>
          <w:spacing w:val="-6"/>
          <w:sz w:val="18"/>
          <w:szCs w:val="18"/>
          <w:highlight w:val="none"/>
        </w:rPr>
      </w:pPr>
      <w:r>
        <w:rPr>
          <w:rFonts w:hint="eastAsia" w:ascii="仿宋" w:hAnsi="仿宋" w:eastAsia="仿宋" w:cs="仿宋"/>
          <w:b/>
          <w:color w:val="auto"/>
          <w:spacing w:val="-6"/>
          <w:sz w:val="18"/>
          <w:szCs w:val="18"/>
          <w:highlight w:val="none"/>
        </w:rPr>
        <w:t>2.配件、附件、备品备件准备和保障措施</w:t>
      </w:r>
    </w:p>
    <w:p>
      <w:pPr>
        <w:rPr>
          <w:rFonts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pStyle w:val="39"/>
        <w:spacing w:line="360" w:lineRule="auto"/>
        <w:jc w:val="center"/>
        <w:outlineLvl w:val="2"/>
        <w:rPr>
          <w:rFonts w:ascii="仿宋" w:hAnsi="仿宋" w:eastAsia="仿宋" w:cs="仿宋"/>
          <w:b/>
          <w:bCs/>
          <w:iCs/>
          <w:color w:val="auto"/>
          <w:spacing w:val="-6"/>
          <w:highlight w:val="none"/>
        </w:rPr>
      </w:pPr>
      <w:r>
        <w:rPr>
          <w:rFonts w:hint="eastAsia" w:ascii="仿宋" w:hAnsi="仿宋" w:eastAsia="仿宋" w:cs="仿宋"/>
          <w:b/>
          <w:bCs/>
          <w:iCs/>
          <w:color w:val="auto"/>
          <w:spacing w:val="-6"/>
          <w:highlight w:val="none"/>
        </w:rPr>
        <w:t>配件、专用耗材和售后服务优惠表</w:t>
      </w:r>
    </w:p>
    <w:p>
      <w:pPr>
        <w:pStyle w:val="39"/>
        <w:spacing w:line="360" w:lineRule="auto"/>
        <w:jc w:val="center"/>
        <w:rPr>
          <w:rFonts w:ascii="仿宋" w:hAnsi="仿宋" w:eastAsia="仿宋" w:cs="仿宋"/>
          <w:b/>
          <w:bCs/>
          <w:iCs/>
          <w:color w:val="auto"/>
          <w:spacing w:val="-6"/>
          <w:sz w:val="21"/>
          <w:szCs w:val="21"/>
          <w:highlight w:val="none"/>
        </w:rPr>
      </w:pPr>
      <w:r>
        <w:rPr>
          <w:rFonts w:hint="eastAsia" w:ascii="仿宋" w:hAnsi="仿宋" w:eastAsia="仿宋" w:cs="仿宋"/>
          <w:b/>
          <w:bCs/>
          <w:iCs/>
          <w:color w:val="auto"/>
          <w:spacing w:val="-6"/>
          <w:sz w:val="21"/>
          <w:szCs w:val="21"/>
          <w:highlight w:val="none"/>
        </w:rPr>
        <w:t>（价格保持三年以上）</w:t>
      </w:r>
    </w:p>
    <w:tbl>
      <w:tblPr>
        <w:tblStyle w:val="27"/>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3862"/>
        <w:gridCol w:w="1686"/>
        <w:gridCol w:w="1483"/>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配件和售后服务内容</w:t>
            </w: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适用货物</w:t>
            </w: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市场单价（元）</w:t>
            </w: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购买折扣数（%）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color w:val="auto"/>
                <w:szCs w:val="21"/>
                <w:highlight w:val="none"/>
              </w:rPr>
            </w:pPr>
          </w:p>
        </w:tc>
        <w:tc>
          <w:tcPr>
            <w:tcW w:w="168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说明：</w:t>
            </w:r>
          </w:p>
          <w:p>
            <w:pPr>
              <w:rPr>
                <w:rFonts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1.折扣数90%即9折</w:t>
            </w:r>
          </w:p>
          <w:p>
            <w:pPr>
              <w:rPr>
                <w:rFonts w:ascii="仿宋" w:hAnsi="仿宋" w:eastAsia="仿宋" w:cs="仿宋"/>
                <w:b/>
                <w:bCs/>
                <w:color w:val="auto"/>
                <w:szCs w:val="21"/>
                <w:highlight w:val="none"/>
              </w:rPr>
            </w:pPr>
            <w:r>
              <w:rPr>
                <w:rFonts w:hint="eastAsia" w:ascii="仿宋" w:hAnsi="仿宋" w:eastAsia="仿宋" w:cs="仿宋"/>
                <w:b/>
                <w:bCs/>
                <w:color w:val="auto"/>
                <w:sz w:val="18"/>
                <w:szCs w:val="18"/>
                <w:highlight w:val="none"/>
              </w:rPr>
              <w:t>2.列出易损件清单（包括名称、安装部位、更换周期和价格）</w:t>
            </w:r>
          </w:p>
        </w:tc>
      </w:tr>
    </w:tbl>
    <w:p>
      <w:pP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br w:type="page"/>
      </w:r>
    </w:p>
    <w:p>
      <w:pPr>
        <w:spacing w:line="360" w:lineRule="auto"/>
        <w:outlineLvl w:val="1"/>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pPr>
        <w:adjustRightInd w:val="0"/>
        <w:snapToGrid w:val="0"/>
        <w:spacing w:line="360" w:lineRule="auto"/>
        <w:jc w:val="center"/>
        <w:outlineLvl w:val="2"/>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业务专用章使用说明函</w:t>
      </w:r>
    </w:p>
    <w:p>
      <w:pPr>
        <w:snapToGrid w:val="0"/>
        <w:spacing w:line="360" w:lineRule="auto"/>
        <w:rPr>
          <w:rFonts w:ascii="仿宋" w:hAnsi="仿宋" w:eastAsia="仿宋" w:cs="仿宋"/>
          <w:color w:val="auto"/>
          <w:szCs w:val="21"/>
          <w:highlight w:val="none"/>
        </w:rPr>
      </w:pPr>
      <w:r>
        <w:rPr>
          <w:rFonts w:hint="eastAsia" w:ascii="仿宋" w:hAnsi="仿宋" w:eastAsia="仿宋" w:cs="仿宋"/>
          <w:b/>
          <w:bCs/>
          <w:color w:val="auto"/>
          <w:spacing w:val="-6"/>
          <w:szCs w:val="21"/>
          <w:highlight w:val="none"/>
        </w:rPr>
        <w:t>之江实验室、浙江求是招标代理有限公司</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kern w:val="0"/>
          <w:szCs w:val="21"/>
          <w:highlight w:val="none"/>
          <w:lang w:val="zh-CN"/>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（供应商名称）</w:t>
      </w:r>
      <w:r>
        <w:rPr>
          <w:rFonts w:hint="eastAsia" w:ascii="仿宋" w:hAnsi="仿宋" w:eastAsia="仿宋" w:cs="仿宋"/>
          <w:color w:val="auto"/>
          <w:szCs w:val="21"/>
          <w:highlight w:val="none"/>
        </w:rPr>
        <w:t>是中华人民共和国依法登记注册的合法企业，</w:t>
      </w:r>
      <w:r>
        <w:rPr>
          <w:rFonts w:hint="eastAsia" w:ascii="仿宋" w:hAnsi="仿宋" w:eastAsia="仿宋" w:cs="仿宋"/>
          <w:bCs/>
          <w:color w:val="auto"/>
          <w:szCs w:val="21"/>
          <w:highlight w:val="none"/>
        </w:rPr>
        <w:t>在参加</w:t>
      </w:r>
      <w:r>
        <w:rPr>
          <w:rFonts w:hint="eastAsia" w:ascii="仿宋" w:hAnsi="仿宋" w:eastAsia="仿宋" w:cs="仿宋"/>
          <w:color w:val="auto"/>
          <w:szCs w:val="21"/>
          <w:highlight w:val="none"/>
        </w:rPr>
        <w:t>你方组织的</w:t>
      </w:r>
      <w:r>
        <w:rPr>
          <w:rFonts w:hint="eastAsia" w:ascii="仿宋" w:hAnsi="仿宋" w:eastAsia="仿宋" w:cs="仿宋"/>
          <w:color w:val="auto"/>
          <w:szCs w:val="21"/>
          <w:highlight w:val="none"/>
          <w:lang w:eastAsia="zh-CN"/>
        </w:rPr>
        <w:t>算力中心展厅展陈</w:t>
      </w:r>
      <w:r>
        <w:rPr>
          <w:rFonts w:hint="eastAsia" w:ascii="仿宋" w:hAnsi="仿宋" w:eastAsia="仿宋" w:cs="仿宋"/>
          <w:color w:val="auto"/>
          <w:szCs w:val="21"/>
          <w:highlight w:val="none"/>
        </w:rPr>
        <w:t>项目[项目编号：</w:t>
      </w:r>
      <w:r>
        <w:rPr>
          <w:rFonts w:hint="eastAsia" w:ascii="仿宋" w:hAnsi="仿宋" w:eastAsia="仿宋" w:cs="仿宋"/>
          <w:color w:val="auto"/>
          <w:szCs w:val="21"/>
          <w:highlight w:val="none"/>
          <w:lang w:eastAsia="zh-CN"/>
        </w:rPr>
        <w:t>ZJLAB-JZ-CS2024011</w:t>
      </w:r>
      <w:r>
        <w:rPr>
          <w:rFonts w:hint="eastAsia" w:ascii="仿宋" w:hAnsi="仿宋" w:eastAsia="仿宋" w:cs="仿宋"/>
          <w:bCs/>
          <w:color w:val="auto"/>
          <w:spacing w:val="-6"/>
          <w:szCs w:val="21"/>
          <w:highlight w:val="none"/>
        </w:rPr>
        <w:t>]采购</w:t>
      </w:r>
      <w:r>
        <w:rPr>
          <w:rFonts w:hint="eastAsia" w:ascii="仿宋" w:hAnsi="仿宋" w:eastAsia="仿宋" w:cs="仿宋"/>
          <w:bCs/>
          <w:color w:val="auto"/>
          <w:szCs w:val="21"/>
          <w:highlight w:val="none"/>
        </w:rPr>
        <w:t>活动中作如下说明：</w:t>
      </w:r>
      <w:r>
        <w:rPr>
          <w:rFonts w:hint="eastAsia" w:ascii="仿宋" w:hAnsi="仿宋" w:eastAsia="仿宋" w:cs="仿宋"/>
          <w:color w:val="auto"/>
          <w:szCs w:val="21"/>
          <w:highlight w:val="none"/>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color w:val="auto"/>
          <w:szCs w:val="21"/>
          <w:highlight w:val="none"/>
        </w:rPr>
      </w:pPr>
      <w:r>
        <w:rPr>
          <w:rFonts w:hint="eastAsia" w:ascii="仿宋" w:hAnsi="仿宋" w:eastAsia="仿宋" w:cs="仿宋"/>
          <w:color w:val="auto"/>
          <w:szCs w:val="21"/>
          <w:highlight w:val="none"/>
        </w:rPr>
        <w:t>特此说明。</w:t>
      </w:r>
    </w:p>
    <w:p>
      <w:pPr>
        <w:snapToGrid w:val="0"/>
        <w:spacing w:line="360" w:lineRule="auto"/>
        <w:ind w:firstLine="424" w:firstLineChars="202"/>
        <w:rPr>
          <w:rFonts w:ascii="仿宋" w:hAnsi="仿宋" w:eastAsia="仿宋" w:cs="仿宋"/>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w:t>
      </w: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pacing w:val="-6"/>
          <w:szCs w:val="21"/>
          <w:highlight w:val="none"/>
        </w:rPr>
        <w:t>日期：     年   月   日</w:t>
      </w:r>
    </w:p>
    <w:p>
      <w:pPr>
        <w:snapToGrid w:val="0"/>
        <w:spacing w:line="360" w:lineRule="auto"/>
        <w:rPr>
          <w:rFonts w:ascii="仿宋" w:hAnsi="仿宋" w:eastAsia="仿宋" w:cs="仿宋"/>
          <w:b/>
          <w:bCs/>
          <w:color w:val="auto"/>
          <w:szCs w:val="21"/>
          <w:highlight w:val="none"/>
        </w:rPr>
      </w:pPr>
    </w:p>
    <w:p>
      <w:pPr>
        <w:snapToGrid w:val="0"/>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w:t>
      </w:r>
    </w:p>
    <w:p>
      <w:pPr>
        <w:snapToGrid w:val="0"/>
        <w:spacing w:line="360" w:lineRule="auto"/>
        <w:ind w:firstLine="843" w:firstLineChars="4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供应商法定名称章（印模）                 供应商“XX专用章”（印模）</w:t>
      </w:r>
    </w:p>
    <w:p>
      <w:pPr>
        <w:snapToGrid w:val="0"/>
        <w:spacing w:line="288" w:lineRule="auto"/>
        <w:rPr>
          <w:rFonts w:ascii="仿宋" w:hAnsi="仿宋" w:eastAsia="仿宋" w:cs="仿宋"/>
          <w:color w:val="auto"/>
          <w:szCs w:val="21"/>
          <w:highlight w:val="none"/>
        </w:rPr>
      </w:pP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Cs w:val="21"/>
          <w:highlight w:val="none"/>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ed3Yzw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pStyle w:val="12"/>
        <w:spacing w:line="360" w:lineRule="auto"/>
        <w:ind w:firstLine="0"/>
        <w:rPr>
          <w:rFonts w:ascii="仿宋" w:hAnsi="仿宋" w:eastAsia="仿宋" w:cs="仿宋"/>
          <w:b/>
          <w:bCs/>
          <w:color w:val="auto"/>
          <w:sz w:val="21"/>
          <w:szCs w:val="21"/>
          <w:highlight w:val="none"/>
        </w:rPr>
      </w:pPr>
    </w:p>
    <w:sectPr>
      <w:pgSz w:w="11906" w:h="16838"/>
      <w:pgMar w:top="1440" w:right="1247" w:bottom="1440" w:left="1247" w:header="283" w:footer="850"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pple-system">
    <w:altName w:val="Malgun Gothic Semilight"/>
    <w:panose1 w:val="020B0604020202020204"/>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Helvetica Neue Light">
    <w:altName w:val="Corbel Light"/>
    <w:panose1 w:val="02000403000000020004"/>
    <w:charset w:val="00"/>
    <w:family w:val="auto"/>
    <w:pitch w:val="default"/>
    <w:sig w:usb0="00000000" w:usb1="00000000" w:usb2="00000002" w:usb3="00000000" w:csb0="00000007" w:csb1="00000000"/>
  </w:font>
  <w:font w:name="ヒラギノ角ゴ Pro W3">
    <w:altName w:val="MS Gothic"/>
    <w:panose1 w:val="020B0300000000000000"/>
    <w:charset w:val="80"/>
    <w:family w:val="swiss"/>
    <w:pitch w:val="default"/>
    <w:sig w:usb0="00000000" w:usb1="00000000" w:usb2="00000012" w:usb3="00000000" w:csb0="0002000D"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Arial">
    <w:panose1 w:val="020B0604020202020204"/>
    <w:charset w:val="00"/>
    <w:family w:val="auto"/>
    <w:pitch w:val="default"/>
    <w:sig w:usb0="E0002EFF" w:usb1="C000785B" w:usb2="00000009" w:usb3="00000000" w:csb0="400001FF" w:csb1="FFFF0000"/>
  </w:font>
  <w:font w:name="Corbel Light">
    <w:panose1 w:val="020B03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2</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8"/>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hint="eastAsia" w:ascii="仿宋" w:hAnsi="仿宋" w:eastAsia="仿宋" w:cs="仿宋"/>
                        <w:b/>
                        <w:bCs/>
                      </w:rPr>
                      <w:t>2</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drawing>
        <wp:inline distT="0" distB="0" distL="114300" distR="114300">
          <wp:extent cx="5906770" cy="676910"/>
          <wp:effectExtent l="0" t="0" r="1143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98"/>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172A27"/>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72A27"/>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5909"/>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349"/>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5E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27B"/>
    <w:rsid w:val="005735F1"/>
    <w:rsid w:val="005762C1"/>
    <w:rsid w:val="00577861"/>
    <w:rsid w:val="00584B0A"/>
    <w:rsid w:val="00585951"/>
    <w:rsid w:val="00592BC6"/>
    <w:rsid w:val="00593624"/>
    <w:rsid w:val="005936D5"/>
    <w:rsid w:val="0059376A"/>
    <w:rsid w:val="005938EE"/>
    <w:rsid w:val="00594309"/>
    <w:rsid w:val="00595A42"/>
    <w:rsid w:val="00597EA9"/>
    <w:rsid w:val="005A2031"/>
    <w:rsid w:val="005A603C"/>
    <w:rsid w:val="005A6A8A"/>
    <w:rsid w:val="005B2265"/>
    <w:rsid w:val="005B7D64"/>
    <w:rsid w:val="005C25EA"/>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69F"/>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DBA"/>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57B69"/>
    <w:rsid w:val="00860FD0"/>
    <w:rsid w:val="008629F4"/>
    <w:rsid w:val="0087038D"/>
    <w:rsid w:val="008800E3"/>
    <w:rsid w:val="008807C0"/>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39E0"/>
    <w:rsid w:val="00924893"/>
    <w:rsid w:val="00926422"/>
    <w:rsid w:val="009302F3"/>
    <w:rsid w:val="00934006"/>
    <w:rsid w:val="009369AF"/>
    <w:rsid w:val="00937328"/>
    <w:rsid w:val="0093779E"/>
    <w:rsid w:val="00940228"/>
    <w:rsid w:val="00945580"/>
    <w:rsid w:val="00950D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5BE8"/>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6C41"/>
    <w:rsid w:val="00C97128"/>
    <w:rsid w:val="00CA086A"/>
    <w:rsid w:val="00CA1738"/>
    <w:rsid w:val="00CA1B4D"/>
    <w:rsid w:val="00CA245C"/>
    <w:rsid w:val="00CA3FFB"/>
    <w:rsid w:val="00CA4FE5"/>
    <w:rsid w:val="00CA575F"/>
    <w:rsid w:val="00CA5D7B"/>
    <w:rsid w:val="00CA6539"/>
    <w:rsid w:val="00CA6AE9"/>
    <w:rsid w:val="00CB1761"/>
    <w:rsid w:val="00CB3645"/>
    <w:rsid w:val="00CB3776"/>
    <w:rsid w:val="00CB4BED"/>
    <w:rsid w:val="00CC100D"/>
    <w:rsid w:val="00CC1CB3"/>
    <w:rsid w:val="00CC2501"/>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739D"/>
    <w:rsid w:val="00DB1340"/>
    <w:rsid w:val="00DB18EF"/>
    <w:rsid w:val="00DB23D8"/>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464D"/>
    <w:rsid w:val="00DE5236"/>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2C7"/>
    <w:rsid w:val="00EE370B"/>
    <w:rsid w:val="00EE3A4F"/>
    <w:rsid w:val="00EE6014"/>
    <w:rsid w:val="00EE69E7"/>
    <w:rsid w:val="00EF2298"/>
    <w:rsid w:val="00EF23EC"/>
    <w:rsid w:val="00EF4317"/>
    <w:rsid w:val="00EF50C5"/>
    <w:rsid w:val="00EF560F"/>
    <w:rsid w:val="00F06AEE"/>
    <w:rsid w:val="00F10C79"/>
    <w:rsid w:val="00F13AE7"/>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3D7560"/>
    <w:rsid w:val="01C823B0"/>
    <w:rsid w:val="01F81427"/>
    <w:rsid w:val="02047FBB"/>
    <w:rsid w:val="03410895"/>
    <w:rsid w:val="035D3C6D"/>
    <w:rsid w:val="03F93561"/>
    <w:rsid w:val="04504404"/>
    <w:rsid w:val="047A1D89"/>
    <w:rsid w:val="04DC39B0"/>
    <w:rsid w:val="04E71358"/>
    <w:rsid w:val="05294128"/>
    <w:rsid w:val="0582296A"/>
    <w:rsid w:val="05A56432"/>
    <w:rsid w:val="05B40FC4"/>
    <w:rsid w:val="05D34727"/>
    <w:rsid w:val="060E3BE6"/>
    <w:rsid w:val="06522E17"/>
    <w:rsid w:val="06887ED4"/>
    <w:rsid w:val="07110777"/>
    <w:rsid w:val="078129CB"/>
    <w:rsid w:val="0847502E"/>
    <w:rsid w:val="087450ED"/>
    <w:rsid w:val="087E4055"/>
    <w:rsid w:val="08931933"/>
    <w:rsid w:val="0AEC2CF7"/>
    <w:rsid w:val="0B4A1776"/>
    <w:rsid w:val="0C786503"/>
    <w:rsid w:val="0C791D52"/>
    <w:rsid w:val="0CB3271C"/>
    <w:rsid w:val="0D1A04C9"/>
    <w:rsid w:val="0D696CDD"/>
    <w:rsid w:val="0DA4465B"/>
    <w:rsid w:val="0DF71B03"/>
    <w:rsid w:val="0E6A0A85"/>
    <w:rsid w:val="0E724B7A"/>
    <w:rsid w:val="0E7F4AF5"/>
    <w:rsid w:val="0E9274A3"/>
    <w:rsid w:val="0F0F7240"/>
    <w:rsid w:val="0F5B3807"/>
    <w:rsid w:val="0F837824"/>
    <w:rsid w:val="0FDE1D79"/>
    <w:rsid w:val="100B1029"/>
    <w:rsid w:val="10757130"/>
    <w:rsid w:val="108E4986"/>
    <w:rsid w:val="10EE3100"/>
    <w:rsid w:val="11196D8A"/>
    <w:rsid w:val="112B34AD"/>
    <w:rsid w:val="11AC4C4F"/>
    <w:rsid w:val="11FF5827"/>
    <w:rsid w:val="1206789D"/>
    <w:rsid w:val="125F66E1"/>
    <w:rsid w:val="132D50DB"/>
    <w:rsid w:val="13C73D4D"/>
    <w:rsid w:val="141A4950"/>
    <w:rsid w:val="143053A8"/>
    <w:rsid w:val="15FD3687"/>
    <w:rsid w:val="164F5E22"/>
    <w:rsid w:val="18090C43"/>
    <w:rsid w:val="18334292"/>
    <w:rsid w:val="185E3FA1"/>
    <w:rsid w:val="18602D95"/>
    <w:rsid w:val="18FB5F15"/>
    <w:rsid w:val="193C1F42"/>
    <w:rsid w:val="19741E59"/>
    <w:rsid w:val="1A9370B2"/>
    <w:rsid w:val="1B1D7143"/>
    <w:rsid w:val="1B321622"/>
    <w:rsid w:val="1B9760D0"/>
    <w:rsid w:val="1BDD05DF"/>
    <w:rsid w:val="1C0A74BA"/>
    <w:rsid w:val="1CAB02CB"/>
    <w:rsid w:val="1D454D54"/>
    <w:rsid w:val="1D7262CA"/>
    <w:rsid w:val="1DBF5753"/>
    <w:rsid w:val="1DE262DC"/>
    <w:rsid w:val="1E0146D3"/>
    <w:rsid w:val="1E511B62"/>
    <w:rsid w:val="1E852624"/>
    <w:rsid w:val="1ECD7669"/>
    <w:rsid w:val="1F5F5554"/>
    <w:rsid w:val="1F7023BF"/>
    <w:rsid w:val="1F9C38D3"/>
    <w:rsid w:val="1FC5305B"/>
    <w:rsid w:val="201F04E0"/>
    <w:rsid w:val="2020271A"/>
    <w:rsid w:val="20767551"/>
    <w:rsid w:val="20935983"/>
    <w:rsid w:val="20E36BE8"/>
    <w:rsid w:val="21DB64E2"/>
    <w:rsid w:val="221C4C30"/>
    <w:rsid w:val="22285421"/>
    <w:rsid w:val="22A70B6C"/>
    <w:rsid w:val="23345AF3"/>
    <w:rsid w:val="236F2015"/>
    <w:rsid w:val="23C14303"/>
    <w:rsid w:val="23F44FED"/>
    <w:rsid w:val="23FF4622"/>
    <w:rsid w:val="251A03D4"/>
    <w:rsid w:val="252537D9"/>
    <w:rsid w:val="253A3F0A"/>
    <w:rsid w:val="25E1670A"/>
    <w:rsid w:val="263138ED"/>
    <w:rsid w:val="267A3F1D"/>
    <w:rsid w:val="26871E3E"/>
    <w:rsid w:val="26A563E9"/>
    <w:rsid w:val="27413564"/>
    <w:rsid w:val="27432BC1"/>
    <w:rsid w:val="27450568"/>
    <w:rsid w:val="27456259"/>
    <w:rsid w:val="27817650"/>
    <w:rsid w:val="27F0275A"/>
    <w:rsid w:val="28580092"/>
    <w:rsid w:val="286C112F"/>
    <w:rsid w:val="28BC23D4"/>
    <w:rsid w:val="28D839EF"/>
    <w:rsid w:val="290B6CD8"/>
    <w:rsid w:val="292A2F83"/>
    <w:rsid w:val="2939779C"/>
    <w:rsid w:val="29701A36"/>
    <w:rsid w:val="299577CA"/>
    <w:rsid w:val="2AA10ED5"/>
    <w:rsid w:val="2ADA0518"/>
    <w:rsid w:val="2B16690B"/>
    <w:rsid w:val="2BEA5FEC"/>
    <w:rsid w:val="2C1239E9"/>
    <w:rsid w:val="2C703778"/>
    <w:rsid w:val="2C921974"/>
    <w:rsid w:val="2CAD3BC8"/>
    <w:rsid w:val="2DBE14C9"/>
    <w:rsid w:val="2E976BE6"/>
    <w:rsid w:val="2ECE660F"/>
    <w:rsid w:val="2EFC1CD2"/>
    <w:rsid w:val="2F075522"/>
    <w:rsid w:val="2F6A64D8"/>
    <w:rsid w:val="304A6AB1"/>
    <w:rsid w:val="30505885"/>
    <w:rsid w:val="305C7B66"/>
    <w:rsid w:val="30616EA9"/>
    <w:rsid w:val="30C3697E"/>
    <w:rsid w:val="31411D80"/>
    <w:rsid w:val="31564D8A"/>
    <w:rsid w:val="31A44D82"/>
    <w:rsid w:val="31CA3881"/>
    <w:rsid w:val="32216A28"/>
    <w:rsid w:val="32A72C2E"/>
    <w:rsid w:val="32BE120D"/>
    <w:rsid w:val="32F565DC"/>
    <w:rsid w:val="330C0EF9"/>
    <w:rsid w:val="33506DE6"/>
    <w:rsid w:val="336E3E1E"/>
    <w:rsid w:val="339B75A0"/>
    <w:rsid w:val="33F12F87"/>
    <w:rsid w:val="340720D9"/>
    <w:rsid w:val="34201FDC"/>
    <w:rsid w:val="343C3722"/>
    <w:rsid w:val="344615D8"/>
    <w:rsid w:val="34B232EC"/>
    <w:rsid w:val="34D947D2"/>
    <w:rsid w:val="34F66CF8"/>
    <w:rsid w:val="35490CA1"/>
    <w:rsid w:val="359C7565"/>
    <w:rsid w:val="35A54CED"/>
    <w:rsid w:val="35BA6D42"/>
    <w:rsid w:val="3636339D"/>
    <w:rsid w:val="363D592A"/>
    <w:rsid w:val="367D0EB3"/>
    <w:rsid w:val="369C4662"/>
    <w:rsid w:val="36CA6186"/>
    <w:rsid w:val="37094637"/>
    <w:rsid w:val="37241DC5"/>
    <w:rsid w:val="374E2800"/>
    <w:rsid w:val="37534CA7"/>
    <w:rsid w:val="37C24F61"/>
    <w:rsid w:val="37D824F1"/>
    <w:rsid w:val="37DD152D"/>
    <w:rsid w:val="381205A1"/>
    <w:rsid w:val="38E63F74"/>
    <w:rsid w:val="3A3D72BD"/>
    <w:rsid w:val="3A4B2361"/>
    <w:rsid w:val="3A4D64E1"/>
    <w:rsid w:val="3AD277B2"/>
    <w:rsid w:val="3AFF08AF"/>
    <w:rsid w:val="3B0C4DFA"/>
    <w:rsid w:val="3B6376A1"/>
    <w:rsid w:val="3B972F43"/>
    <w:rsid w:val="3BA41466"/>
    <w:rsid w:val="3C4D26C6"/>
    <w:rsid w:val="3CA509FD"/>
    <w:rsid w:val="3CF952BD"/>
    <w:rsid w:val="3D044EFC"/>
    <w:rsid w:val="3E5B06EE"/>
    <w:rsid w:val="3E613C89"/>
    <w:rsid w:val="3E6946AD"/>
    <w:rsid w:val="3E9405EA"/>
    <w:rsid w:val="3EB60CB3"/>
    <w:rsid w:val="3EC436F9"/>
    <w:rsid w:val="3ED94309"/>
    <w:rsid w:val="3EE55B27"/>
    <w:rsid w:val="3F542473"/>
    <w:rsid w:val="3F740895"/>
    <w:rsid w:val="3FB93DC6"/>
    <w:rsid w:val="3FBF15D8"/>
    <w:rsid w:val="402A691C"/>
    <w:rsid w:val="407709BB"/>
    <w:rsid w:val="419206F9"/>
    <w:rsid w:val="41923CE9"/>
    <w:rsid w:val="420008D8"/>
    <w:rsid w:val="422E66F3"/>
    <w:rsid w:val="4275164D"/>
    <w:rsid w:val="428466B6"/>
    <w:rsid w:val="428C334B"/>
    <w:rsid w:val="4299675E"/>
    <w:rsid w:val="42C23058"/>
    <w:rsid w:val="430A3262"/>
    <w:rsid w:val="435A5D3A"/>
    <w:rsid w:val="43C82356"/>
    <w:rsid w:val="444A7AD3"/>
    <w:rsid w:val="45376FB8"/>
    <w:rsid w:val="46101B39"/>
    <w:rsid w:val="46347CD3"/>
    <w:rsid w:val="46A824B9"/>
    <w:rsid w:val="46BB170B"/>
    <w:rsid w:val="47510906"/>
    <w:rsid w:val="478E14A3"/>
    <w:rsid w:val="48585204"/>
    <w:rsid w:val="48822C3B"/>
    <w:rsid w:val="493967D4"/>
    <w:rsid w:val="495D70F7"/>
    <w:rsid w:val="49F729E8"/>
    <w:rsid w:val="4A770A85"/>
    <w:rsid w:val="4A9F4A61"/>
    <w:rsid w:val="4AD667EA"/>
    <w:rsid w:val="4ADE17C6"/>
    <w:rsid w:val="4AEB6DCA"/>
    <w:rsid w:val="4B7074E5"/>
    <w:rsid w:val="4B716301"/>
    <w:rsid w:val="4B7D5F80"/>
    <w:rsid w:val="4BAD07D2"/>
    <w:rsid w:val="4BD731C8"/>
    <w:rsid w:val="4BF40741"/>
    <w:rsid w:val="4C07320B"/>
    <w:rsid w:val="4C5E019B"/>
    <w:rsid w:val="4CF02C57"/>
    <w:rsid w:val="4DCB371F"/>
    <w:rsid w:val="4E160B72"/>
    <w:rsid w:val="4E261644"/>
    <w:rsid w:val="4F64249F"/>
    <w:rsid w:val="4F6E1200"/>
    <w:rsid w:val="4FA8247F"/>
    <w:rsid w:val="4FDA78DF"/>
    <w:rsid w:val="4FEE189E"/>
    <w:rsid w:val="503C3882"/>
    <w:rsid w:val="50490BBD"/>
    <w:rsid w:val="51254139"/>
    <w:rsid w:val="512C54A2"/>
    <w:rsid w:val="513967B4"/>
    <w:rsid w:val="51A20623"/>
    <w:rsid w:val="51AB4A8A"/>
    <w:rsid w:val="520873E0"/>
    <w:rsid w:val="526D4CD2"/>
    <w:rsid w:val="52CC1E8B"/>
    <w:rsid w:val="5318262C"/>
    <w:rsid w:val="53434014"/>
    <w:rsid w:val="53790D91"/>
    <w:rsid w:val="53924608"/>
    <w:rsid w:val="53AA4A26"/>
    <w:rsid w:val="53F038EA"/>
    <w:rsid w:val="54E14AC0"/>
    <w:rsid w:val="565634BB"/>
    <w:rsid w:val="56D86E7D"/>
    <w:rsid w:val="57B3435E"/>
    <w:rsid w:val="57DA30AC"/>
    <w:rsid w:val="58710FF0"/>
    <w:rsid w:val="588E7DA0"/>
    <w:rsid w:val="59107848"/>
    <w:rsid w:val="59AA785D"/>
    <w:rsid w:val="59BA69E3"/>
    <w:rsid w:val="59BB537F"/>
    <w:rsid w:val="59CD3A40"/>
    <w:rsid w:val="5A0C28E3"/>
    <w:rsid w:val="5A2F4845"/>
    <w:rsid w:val="5A637455"/>
    <w:rsid w:val="5A661DF4"/>
    <w:rsid w:val="5ACF0178"/>
    <w:rsid w:val="5B153D15"/>
    <w:rsid w:val="5BEE33B3"/>
    <w:rsid w:val="5BF454B6"/>
    <w:rsid w:val="5C3E17F9"/>
    <w:rsid w:val="5C537D21"/>
    <w:rsid w:val="5CAB1757"/>
    <w:rsid w:val="5D122C53"/>
    <w:rsid w:val="5D2434FA"/>
    <w:rsid w:val="5D3A6920"/>
    <w:rsid w:val="5D7259C1"/>
    <w:rsid w:val="5D8135CC"/>
    <w:rsid w:val="5DD002C5"/>
    <w:rsid w:val="5DD2424E"/>
    <w:rsid w:val="5E94265A"/>
    <w:rsid w:val="5EDB2A5E"/>
    <w:rsid w:val="5FE0338C"/>
    <w:rsid w:val="600446EC"/>
    <w:rsid w:val="600D2EE6"/>
    <w:rsid w:val="612C1BE2"/>
    <w:rsid w:val="61861393"/>
    <w:rsid w:val="621760F6"/>
    <w:rsid w:val="62246B60"/>
    <w:rsid w:val="626F4C5B"/>
    <w:rsid w:val="62B96C2B"/>
    <w:rsid w:val="62D936C0"/>
    <w:rsid w:val="644F1ACD"/>
    <w:rsid w:val="64DC2F10"/>
    <w:rsid w:val="65855DCB"/>
    <w:rsid w:val="65A90788"/>
    <w:rsid w:val="6615079D"/>
    <w:rsid w:val="67DB5CE7"/>
    <w:rsid w:val="67EA4C64"/>
    <w:rsid w:val="67F870E6"/>
    <w:rsid w:val="67FF1998"/>
    <w:rsid w:val="680D1D99"/>
    <w:rsid w:val="687B2D18"/>
    <w:rsid w:val="68C3073C"/>
    <w:rsid w:val="69105F80"/>
    <w:rsid w:val="69431270"/>
    <w:rsid w:val="69A302A1"/>
    <w:rsid w:val="6A7F4F75"/>
    <w:rsid w:val="6A98582C"/>
    <w:rsid w:val="6ACA16F9"/>
    <w:rsid w:val="6AE953CA"/>
    <w:rsid w:val="6B16774A"/>
    <w:rsid w:val="6B1C3BBC"/>
    <w:rsid w:val="6BBE755E"/>
    <w:rsid w:val="6C8E019A"/>
    <w:rsid w:val="6CB25C95"/>
    <w:rsid w:val="6CF17848"/>
    <w:rsid w:val="6D586ED4"/>
    <w:rsid w:val="6D794524"/>
    <w:rsid w:val="6E3C4C05"/>
    <w:rsid w:val="6E413A79"/>
    <w:rsid w:val="6ECE2681"/>
    <w:rsid w:val="6EF1204B"/>
    <w:rsid w:val="6F2C0457"/>
    <w:rsid w:val="6F344606"/>
    <w:rsid w:val="6FAD4FAE"/>
    <w:rsid w:val="6FC67DCD"/>
    <w:rsid w:val="706B019F"/>
    <w:rsid w:val="717905D4"/>
    <w:rsid w:val="71A8110E"/>
    <w:rsid w:val="71CE267F"/>
    <w:rsid w:val="72340F9C"/>
    <w:rsid w:val="729460F2"/>
    <w:rsid w:val="73BC060D"/>
    <w:rsid w:val="73BD1248"/>
    <w:rsid w:val="75242584"/>
    <w:rsid w:val="75596AF8"/>
    <w:rsid w:val="7639719F"/>
    <w:rsid w:val="76FA44FA"/>
    <w:rsid w:val="774152C9"/>
    <w:rsid w:val="78017878"/>
    <w:rsid w:val="783D4B19"/>
    <w:rsid w:val="783E1B34"/>
    <w:rsid w:val="78782DF9"/>
    <w:rsid w:val="78BF1597"/>
    <w:rsid w:val="78F12411"/>
    <w:rsid w:val="793070F8"/>
    <w:rsid w:val="794015D3"/>
    <w:rsid w:val="79D825C1"/>
    <w:rsid w:val="7A800367"/>
    <w:rsid w:val="7ADD6187"/>
    <w:rsid w:val="7B2D4CEE"/>
    <w:rsid w:val="7B5D131E"/>
    <w:rsid w:val="7BC44ABA"/>
    <w:rsid w:val="7C5344F5"/>
    <w:rsid w:val="7CEA3B7A"/>
    <w:rsid w:val="7DAC6D94"/>
    <w:rsid w:val="7DB41B16"/>
    <w:rsid w:val="7DEB79E2"/>
    <w:rsid w:val="7DFC5027"/>
    <w:rsid w:val="7E002D54"/>
    <w:rsid w:val="7E026C41"/>
    <w:rsid w:val="7E491194"/>
    <w:rsid w:val="7E633CEB"/>
    <w:rsid w:val="7EF6737D"/>
    <w:rsid w:val="7F7A55E9"/>
    <w:rsid w:val="7FAE1B20"/>
    <w:rsid w:val="7FFE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5"/>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4"/>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7"/>
    <w:unhideWhenUsed/>
    <w:qFormat/>
    <w:uiPriority w:val="99"/>
    <w:pPr>
      <w:spacing w:after="120"/>
    </w:pPr>
    <w:rPr>
      <w:rFonts w:ascii="Times New Roman" w:hAnsi="Times New Roman" w:eastAsia="宋体" w:cs="Times New Roman"/>
      <w:sz w:val="28"/>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52"/>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9"/>
    <w:unhideWhenUsed/>
    <w:qFormat/>
    <w:uiPriority w:val="99"/>
    <w:rPr>
      <w:rFonts w:ascii="宋体"/>
      <w:sz w:val="18"/>
      <w:szCs w:val="18"/>
    </w:rPr>
  </w:style>
  <w:style w:type="paragraph" w:styleId="11">
    <w:name w:val="annotation text"/>
    <w:basedOn w:val="1"/>
    <w:link w:val="84"/>
    <w:unhideWhenUsed/>
    <w:qFormat/>
    <w:uiPriority w:val="99"/>
    <w:pPr>
      <w:jc w:val="left"/>
    </w:pPr>
  </w:style>
  <w:style w:type="paragraph" w:styleId="12">
    <w:name w:val="Body Text Indent"/>
    <w:basedOn w:val="1"/>
    <w:next w:val="13"/>
    <w:link w:val="76"/>
    <w:qFormat/>
    <w:uiPriority w:val="0"/>
    <w:pPr>
      <w:spacing w:line="200" w:lineRule="atLeast"/>
      <w:ind w:firstLine="301"/>
    </w:pPr>
    <w:rPr>
      <w:rFonts w:ascii="宋体" w:hAnsi="Courier New"/>
      <w:spacing w:val="-4"/>
      <w:sz w:val="18"/>
    </w:rPr>
  </w:style>
  <w:style w:type="paragraph" w:styleId="13">
    <w:name w:val="Body Text First Indent 2"/>
    <w:basedOn w:val="12"/>
    <w:next w:val="1"/>
    <w:link w:val="92"/>
    <w:unhideWhenUsed/>
    <w:qFormat/>
    <w:uiPriority w:val="99"/>
    <w:pPr>
      <w:ind w:firstLine="420"/>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61"/>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90"/>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8"/>
    <w:qFormat/>
    <w:uiPriority w:val="0"/>
    <w:rPr>
      <w:rFonts w:ascii="Times New Roman" w:hAnsi="Times New Roman" w:eastAsia="宋体" w:cs="Times New Roman"/>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8"/>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Title"/>
    <w:basedOn w:val="1"/>
    <w:next w:val="1"/>
    <w:qFormat/>
    <w:uiPriority w:val="0"/>
    <w:pPr>
      <w:spacing w:line="520" w:lineRule="exact"/>
      <w:jc w:val="center"/>
      <w:outlineLvl w:val="3"/>
    </w:pPr>
    <w:rPr>
      <w:rFonts w:ascii="Cambria" w:hAnsi="Cambria"/>
      <w:b/>
      <w:bCs/>
      <w:kern w:val="0"/>
      <w:sz w:val="28"/>
      <w:szCs w:val="32"/>
    </w:rPr>
  </w:style>
  <w:style w:type="paragraph" w:styleId="25">
    <w:name w:val="annotation subject"/>
    <w:basedOn w:val="11"/>
    <w:next w:val="11"/>
    <w:link w:val="62"/>
    <w:unhideWhenUsed/>
    <w:qFormat/>
    <w:uiPriority w:val="99"/>
    <w:rPr>
      <w:b/>
      <w:bCs/>
      <w:sz w:val="28"/>
      <w:szCs w:val="24"/>
    </w:rPr>
  </w:style>
  <w:style w:type="paragraph" w:styleId="26">
    <w:name w:val="Body Text First Indent"/>
    <w:basedOn w:val="2"/>
    <w:semiHidden/>
    <w:unhideWhenUsed/>
    <w:qFormat/>
    <w:uiPriority w:val="99"/>
    <w:pPr>
      <w:ind w:firstLine="420" w:firstLineChars="1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5579A7"/>
      <w:u w:val="none"/>
    </w:rPr>
  </w:style>
  <w:style w:type="character" w:styleId="33">
    <w:name w:val="HTML Definition"/>
    <w:unhideWhenUsed/>
    <w:qFormat/>
    <w:uiPriority w:val="99"/>
    <w:rPr>
      <w:i/>
    </w:rPr>
  </w:style>
  <w:style w:type="character" w:styleId="34">
    <w:name w:val="Hyperlink"/>
    <w:qFormat/>
    <w:uiPriority w:val="0"/>
    <w:rPr>
      <w:color w:val="5579A7"/>
      <w:u w:val="none"/>
    </w:rPr>
  </w:style>
  <w:style w:type="character" w:styleId="35">
    <w:name w:val="HTML Code"/>
    <w:unhideWhenUsed/>
    <w:qFormat/>
    <w:uiPriority w:val="99"/>
    <w:rPr>
      <w:rFonts w:ascii="-apple-system" w:hAnsi="-apple-system" w:eastAsia="-apple-system" w:cs="-apple-system"/>
      <w:sz w:val="21"/>
      <w:szCs w:val="21"/>
    </w:rPr>
  </w:style>
  <w:style w:type="character" w:styleId="36">
    <w:name w:val="annotation reference"/>
    <w:unhideWhenUsed/>
    <w:qFormat/>
    <w:uiPriority w:val="99"/>
    <w:rPr>
      <w:sz w:val="21"/>
      <w:szCs w:val="21"/>
    </w:rPr>
  </w:style>
  <w:style w:type="character" w:styleId="37">
    <w:name w:val="HTML Keyboard"/>
    <w:unhideWhenUsed/>
    <w:qFormat/>
    <w:uiPriority w:val="99"/>
    <w:rPr>
      <w:rFonts w:hint="default" w:ascii="-apple-system" w:hAnsi="-apple-system" w:eastAsia="-apple-system" w:cs="-apple-system"/>
      <w:sz w:val="21"/>
      <w:szCs w:val="21"/>
    </w:rPr>
  </w:style>
  <w:style w:type="character" w:styleId="38">
    <w:name w:val="HTML Sample"/>
    <w:unhideWhenUsed/>
    <w:qFormat/>
    <w:uiPriority w:val="99"/>
    <w:rPr>
      <w:rFonts w:hint="default" w:ascii="-apple-system" w:hAnsi="-apple-system" w:eastAsia="-apple-system" w:cs="-apple-system"/>
      <w:sz w:val="21"/>
      <w:szCs w:val="21"/>
    </w:rPr>
  </w:style>
  <w:style w:type="paragraph" w:customStyle="1" w:styleId="39">
    <w:name w:val="Default"/>
    <w:next w:val="40"/>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1">
    <w:name w:val="页眉 字符"/>
    <w:basedOn w:val="29"/>
    <w:link w:val="19"/>
    <w:qFormat/>
    <w:uiPriority w:val="99"/>
    <w:rPr>
      <w:sz w:val="18"/>
      <w:szCs w:val="18"/>
    </w:rPr>
  </w:style>
  <w:style w:type="character" w:customStyle="1" w:styleId="42">
    <w:name w:val="页脚 字符"/>
    <w:basedOn w:val="29"/>
    <w:link w:val="18"/>
    <w:qFormat/>
    <w:uiPriority w:val="99"/>
    <w:rPr>
      <w:sz w:val="18"/>
      <w:szCs w:val="18"/>
    </w:rPr>
  </w:style>
  <w:style w:type="character" w:customStyle="1" w:styleId="43">
    <w:name w:val="标题 1 字符"/>
    <w:basedOn w:val="29"/>
    <w:link w:val="3"/>
    <w:qFormat/>
    <w:uiPriority w:val="9"/>
    <w:rPr>
      <w:rFonts w:ascii="Times New Roman" w:hAnsi="Times New Roman" w:eastAsia="宋体" w:cs="Times New Roman"/>
      <w:b/>
      <w:bCs/>
      <w:kern w:val="44"/>
      <w:sz w:val="44"/>
      <w:szCs w:val="44"/>
    </w:rPr>
  </w:style>
  <w:style w:type="character" w:customStyle="1" w:styleId="44">
    <w:name w:val="标题 2 字符"/>
    <w:basedOn w:val="29"/>
    <w:link w:val="4"/>
    <w:qFormat/>
    <w:uiPriority w:val="9"/>
    <w:rPr>
      <w:rFonts w:ascii="Cambria" w:hAnsi="Cambria" w:eastAsia="宋体" w:cs="Times New Roman"/>
      <w:b/>
      <w:bCs/>
      <w:sz w:val="32"/>
      <w:szCs w:val="32"/>
    </w:rPr>
  </w:style>
  <w:style w:type="character" w:customStyle="1" w:styleId="45">
    <w:name w:val="标题 3 字符"/>
    <w:basedOn w:val="29"/>
    <w:link w:val="5"/>
    <w:qFormat/>
    <w:uiPriority w:val="9"/>
    <w:rPr>
      <w:rFonts w:ascii="Times New Roman" w:hAnsi="Times New Roman" w:eastAsia="宋体" w:cs="Times New Roman"/>
      <w:b/>
      <w:bCs/>
      <w:sz w:val="32"/>
      <w:szCs w:val="32"/>
    </w:rPr>
  </w:style>
  <w:style w:type="character" w:customStyle="1" w:styleId="46">
    <w:name w:val="jbox-icon-none"/>
    <w:qFormat/>
    <w:uiPriority w:val="0"/>
    <w:rPr>
      <w:vanish/>
    </w:rPr>
  </w:style>
  <w:style w:type="character" w:customStyle="1" w:styleId="47">
    <w:name w:val="z-窗体底端 字符"/>
    <w:link w:val="48"/>
    <w:qFormat/>
    <w:uiPriority w:val="99"/>
    <w:rPr>
      <w:rFonts w:ascii="Arial" w:hAnsi="Arial"/>
      <w:vanish/>
      <w:sz w:val="16"/>
      <w:szCs w:val="16"/>
    </w:rPr>
  </w:style>
  <w:style w:type="paragraph" w:customStyle="1" w:styleId="48">
    <w:name w:val="z-窗体底端1"/>
    <w:basedOn w:val="1"/>
    <w:next w:val="1"/>
    <w:link w:val="47"/>
    <w:unhideWhenUsed/>
    <w:qFormat/>
    <w:uiPriority w:val="99"/>
    <w:pPr>
      <w:widowControl/>
      <w:pBdr>
        <w:top w:val="single" w:color="auto" w:sz="6" w:space="1"/>
      </w:pBdr>
      <w:jc w:val="center"/>
    </w:pPr>
    <w:rPr>
      <w:rFonts w:ascii="Arial" w:hAnsi="Arial"/>
      <w:vanish/>
      <w:sz w:val="16"/>
      <w:szCs w:val="16"/>
    </w:rPr>
  </w:style>
  <w:style w:type="character" w:customStyle="1" w:styleId="49">
    <w:name w:val="文档结构图 字符"/>
    <w:link w:val="10"/>
    <w:qFormat/>
    <w:uiPriority w:val="99"/>
    <w:rPr>
      <w:rFonts w:ascii="宋体"/>
      <w:sz w:val="18"/>
      <w:szCs w:val="18"/>
    </w:rPr>
  </w:style>
  <w:style w:type="character" w:customStyle="1" w:styleId="50">
    <w:name w:val="black601"/>
    <w:qFormat/>
    <w:uiPriority w:val="0"/>
    <w:rPr>
      <w:color w:val="666666"/>
    </w:rPr>
  </w:style>
  <w:style w:type="character" w:customStyle="1" w:styleId="51">
    <w:name w:val="hour_pm"/>
    <w:basedOn w:val="29"/>
    <w:qFormat/>
    <w:uiPriority w:val="0"/>
  </w:style>
  <w:style w:type="character" w:customStyle="1" w:styleId="52">
    <w:name w:val="正文缩进 字符"/>
    <w:link w:val="8"/>
    <w:qFormat/>
    <w:uiPriority w:val="0"/>
    <w:rPr>
      <w:rFonts w:eastAsia="宋体"/>
    </w:rPr>
  </w:style>
  <w:style w:type="character" w:customStyle="1" w:styleId="53">
    <w:name w:val="标题 1 Char Char"/>
    <w:qFormat/>
    <w:uiPriority w:val="0"/>
    <w:rPr>
      <w:rFonts w:eastAsia="宋体"/>
      <w:b/>
      <w:spacing w:val="-2"/>
      <w:sz w:val="24"/>
      <w:lang w:val="en-US" w:eastAsia="zh-CN" w:bidi="ar-SA"/>
    </w:rPr>
  </w:style>
  <w:style w:type="character" w:customStyle="1" w:styleId="54">
    <w:name w:val="jbox-icon-info"/>
    <w:basedOn w:val="29"/>
    <w:qFormat/>
    <w:uiPriority w:val="0"/>
  </w:style>
  <w:style w:type="character" w:customStyle="1" w:styleId="55">
    <w:name w:val="hover9"/>
    <w:qFormat/>
    <w:uiPriority w:val="0"/>
    <w:rPr>
      <w:shd w:val="clear" w:color="auto" w:fill="EEEEEE"/>
    </w:rPr>
  </w:style>
  <w:style w:type="character" w:customStyle="1" w:styleId="56">
    <w:name w:val="maywed421"/>
    <w:qFormat/>
    <w:uiPriority w:val="0"/>
    <w:rPr>
      <w:color w:val="366FB6"/>
      <w:u w:val="none"/>
    </w:rPr>
  </w:style>
  <w:style w:type="character" w:customStyle="1" w:styleId="57">
    <w:name w:val="old"/>
    <w:qFormat/>
    <w:uiPriority w:val="0"/>
    <w:rPr>
      <w:color w:val="999999"/>
    </w:rPr>
  </w:style>
  <w:style w:type="character" w:customStyle="1" w:styleId="58">
    <w:name w:val="jbox-icon-warning"/>
    <w:basedOn w:val="29"/>
    <w:qFormat/>
    <w:uiPriority w:val="0"/>
  </w:style>
  <w:style w:type="character" w:customStyle="1" w:styleId="59">
    <w:name w:val="z-窗体顶端 字符"/>
    <w:link w:val="60"/>
    <w:qFormat/>
    <w:uiPriority w:val="99"/>
    <w:rPr>
      <w:rFonts w:ascii="Arial" w:hAnsi="Arial"/>
      <w:vanish/>
      <w:sz w:val="16"/>
      <w:szCs w:val="16"/>
    </w:rPr>
  </w:style>
  <w:style w:type="paragraph" w:customStyle="1" w:styleId="60">
    <w:name w:val="z-窗体顶端1"/>
    <w:basedOn w:val="1"/>
    <w:next w:val="1"/>
    <w:link w:val="59"/>
    <w:unhideWhenUsed/>
    <w:qFormat/>
    <w:uiPriority w:val="99"/>
    <w:pPr>
      <w:widowControl/>
      <w:pBdr>
        <w:bottom w:val="single" w:color="auto" w:sz="6" w:space="1"/>
      </w:pBdr>
      <w:jc w:val="center"/>
    </w:pPr>
    <w:rPr>
      <w:rFonts w:ascii="Arial" w:hAnsi="Arial"/>
      <w:vanish/>
      <w:sz w:val="16"/>
      <w:szCs w:val="16"/>
    </w:rPr>
  </w:style>
  <w:style w:type="character" w:customStyle="1" w:styleId="61">
    <w:name w:val="纯文本 字符1"/>
    <w:link w:val="15"/>
    <w:qFormat/>
    <w:uiPriority w:val="99"/>
    <w:rPr>
      <w:rFonts w:ascii="宋体" w:hAnsi="Courier New"/>
      <w:sz w:val="24"/>
      <w:szCs w:val="24"/>
    </w:rPr>
  </w:style>
  <w:style w:type="character" w:customStyle="1" w:styleId="62">
    <w:name w:val="批注主题 字符"/>
    <w:link w:val="25"/>
    <w:qFormat/>
    <w:uiPriority w:val="99"/>
    <w:rPr>
      <w:b/>
      <w:bCs/>
      <w:sz w:val="28"/>
      <w:szCs w:val="24"/>
    </w:rPr>
  </w:style>
  <w:style w:type="character" w:customStyle="1" w:styleId="63">
    <w:name w:val="jbox-icon-loading"/>
    <w:basedOn w:val="29"/>
    <w:qFormat/>
    <w:uiPriority w:val="0"/>
  </w:style>
  <w:style w:type="character" w:customStyle="1" w:styleId="64">
    <w:name w:val="正文文本缩进 字符"/>
    <w:qFormat/>
    <w:uiPriority w:val="0"/>
    <w:rPr>
      <w:rFonts w:ascii="宋体" w:hAnsi="Courier New"/>
      <w:spacing w:val="-4"/>
      <w:kern w:val="2"/>
      <w:sz w:val="18"/>
    </w:rPr>
  </w:style>
  <w:style w:type="character" w:customStyle="1" w:styleId="65">
    <w:name w:val="正文文本缩进 字符1"/>
    <w:qFormat/>
    <w:uiPriority w:val="0"/>
    <w:rPr>
      <w:rFonts w:ascii="宋体" w:hAnsi="Courier New"/>
      <w:spacing w:val="-4"/>
      <w:kern w:val="2"/>
      <w:sz w:val="18"/>
    </w:rPr>
  </w:style>
  <w:style w:type="character" w:customStyle="1" w:styleId="66">
    <w:name w:val="纯文本 字符"/>
    <w:qFormat/>
    <w:uiPriority w:val="99"/>
    <w:rPr>
      <w:rFonts w:ascii="宋体" w:hAnsi="Courier New"/>
      <w:kern w:val="2"/>
      <w:sz w:val="24"/>
      <w:szCs w:val="24"/>
    </w:rPr>
  </w:style>
  <w:style w:type="character" w:customStyle="1" w:styleId="67">
    <w:name w:val="jbox-icon-question"/>
    <w:basedOn w:val="29"/>
    <w:qFormat/>
    <w:uiPriority w:val="0"/>
  </w:style>
  <w:style w:type="character" w:customStyle="1" w:styleId="68">
    <w:name w:val="jbox-icon"/>
    <w:basedOn w:val="29"/>
    <w:qFormat/>
    <w:uiPriority w:val="0"/>
  </w:style>
  <w:style w:type="character" w:customStyle="1" w:styleId="69">
    <w:name w:val="纯文本 字符2"/>
    <w:qFormat/>
    <w:uiPriority w:val="99"/>
    <w:rPr>
      <w:rFonts w:ascii="宋体" w:hAnsi="Courier New"/>
      <w:kern w:val="2"/>
      <w:sz w:val="24"/>
      <w:szCs w:val="24"/>
    </w:rPr>
  </w:style>
  <w:style w:type="character" w:customStyle="1" w:styleId="70">
    <w:name w:val="hour_am"/>
    <w:basedOn w:val="29"/>
    <w:qFormat/>
    <w:uiPriority w:val="0"/>
  </w:style>
  <w:style w:type="character" w:customStyle="1" w:styleId="71">
    <w:name w:val="jbox-icon-success"/>
    <w:basedOn w:val="29"/>
    <w:qFormat/>
    <w:uiPriority w:val="0"/>
  </w:style>
  <w:style w:type="character" w:customStyle="1" w:styleId="72">
    <w:name w:val="批注文字 字符"/>
    <w:qFormat/>
    <w:uiPriority w:val="99"/>
    <w:rPr>
      <w:kern w:val="2"/>
      <w:sz w:val="28"/>
      <w:szCs w:val="24"/>
    </w:rPr>
  </w:style>
  <w:style w:type="character" w:customStyle="1" w:styleId="73">
    <w:name w:val="纯文本 Char1"/>
    <w:qFormat/>
    <w:uiPriority w:val="0"/>
    <w:rPr>
      <w:rFonts w:ascii="宋体" w:hAnsi="Courier New"/>
      <w:kern w:val="2"/>
      <w:sz w:val="21"/>
    </w:rPr>
  </w:style>
  <w:style w:type="character" w:customStyle="1" w:styleId="74">
    <w:name w:val="纯文本 Char"/>
    <w:qFormat/>
    <w:uiPriority w:val="99"/>
    <w:rPr>
      <w:rFonts w:ascii="宋体" w:hAnsi="Courier New"/>
      <w:kern w:val="2"/>
      <w:sz w:val="24"/>
      <w:szCs w:val="24"/>
    </w:rPr>
  </w:style>
  <w:style w:type="character" w:customStyle="1" w:styleId="75">
    <w:name w:val="sub_title s0"/>
    <w:basedOn w:val="29"/>
    <w:qFormat/>
    <w:uiPriority w:val="0"/>
  </w:style>
  <w:style w:type="character" w:customStyle="1" w:styleId="76">
    <w:name w:val="正文文本缩进 字符2"/>
    <w:link w:val="12"/>
    <w:qFormat/>
    <w:uiPriority w:val="0"/>
    <w:rPr>
      <w:rFonts w:ascii="宋体" w:hAnsi="Courier New"/>
      <w:spacing w:val="-4"/>
      <w:sz w:val="18"/>
    </w:rPr>
  </w:style>
  <w:style w:type="character" w:customStyle="1" w:styleId="77">
    <w:name w:val="jbox-icon-error"/>
    <w:basedOn w:val="29"/>
    <w:qFormat/>
    <w:uiPriority w:val="0"/>
  </w:style>
  <w:style w:type="character" w:customStyle="1" w:styleId="78">
    <w:name w:val="正文文本 2 字符"/>
    <w:basedOn w:val="29"/>
    <w:link w:val="22"/>
    <w:qFormat/>
    <w:uiPriority w:val="0"/>
    <w:rPr>
      <w:rFonts w:ascii="宋体" w:hAnsi="宋体" w:eastAsia="宋体" w:cs="Times New Roman"/>
      <w:color w:val="000000"/>
      <w:sz w:val="24"/>
      <w:szCs w:val="24"/>
    </w:rPr>
  </w:style>
  <w:style w:type="paragraph" w:customStyle="1" w:styleId="79">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81">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82">
    <w:name w:val="z-窗体顶端 字符1"/>
    <w:basedOn w:val="29"/>
    <w:semiHidden/>
    <w:qFormat/>
    <w:uiPriority w:val="99"/>
    <w:rPr>
      <w:rFonts w:ascii="Arial" w:hAnsi="Arial" w:cs="Arial"/>
      <w:vanish/>
      <w:sz w:val="16"/>
      <w:szCs w:val="16"/>
    </w:rPr>
  </w:style>
  <w:style w:type="paragraph" w:customStyle="1" w:styleId="83">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4">
    <w:name w:val="批注文字 字符1"/>
    <w:basedOn w:val="29"/>
    <w:link w:val="11"/>
    <w:semiHidden/>
    <w:qFormat/>
    <w:uiPriority w:val="99"/>
  </w:style>
  <w:style w:type="character" w:customStyle="1" w:styleId="85">
    <w:name w:val="批注主题 字符1"/>
    <w:basedOn w:val="84"/>
    <w:semiHidden/>
    <w:qFormat/>
    <w:uiPriority w:val="99"/>
    <w:rPr>
      <w:b/>
      <w:bCs/>
    </w:rPr>
  </w:style>
  <w:style w:type="character" w:customStyle="1" w:styleId="86">
    <w:name w:val="文档结构图 字符1"/>
    <w:basedOn w:val="29"/>
    <w:semiHidden/>
    <w:qFormat/>
    <w:uiPriority w:val="99"/>
    <w:rPr>
      <w:rFonts w:ascii="Microsoft YaHei UI" w:eastAsia="Microsoft YaHei UI"/>
      <w:sz w:val="18"/>
      <w:szCs w:val="18"/>
    </w:rPr>
  </w:style>
  <w:style w:type="character" w:customStyle="1" w:styleId="87">
    <w:name w:val="正文文本 字符"/>
    <w:basedOn w:val="29"/>
    <w:link w:val="2"/>
    <w:qFormat/>
    <w:uiPriority w:val="99"/>
    <w:rPr>
      <w:rFonts w:ascii="Times New Roman" w:hAnsi="Times New Roman" w:eastAsia="宋体" w:cs="Times New Roman"/>
      <w:sz w:val="28"/>
      <w:szCs w:val="24"/>
    </w:rPr>
  </w:style>
  <w:style w:type="character" w:customStyle="1" w:styleId="88">
    <w:name w:val="批注框文本 字符"/>
    <w:basedOn w:val="29"/>
    <w:link w:val="17"/>
    <w:qFormat/>
    <w:uiPriority w:val="0"/>
    <w:rPr>
      <w:rFonts w:ascii="Times New Roman" w:hAnsi="Times New Roman" w:eastAsia="宋体" w:cs="Times New Roman"/>
      <w:sz w:val="18"/>
      <w:szCs w:val="18"/>
    </w:rPr>
  </w:style>
  <w:style w:type="character" w:customStyle="1" w:styleId="89">
    <w:name w:val="正文文本缩进 字符3"/>
    <w:basedOn w:val="29"/>
    <w:semiHidden/>
    <w:qFormat/>
    <w:uiPriority w:val="99"/>
  </w:style>
  <w:style w:type="character" w:customStyle="1" w:styleId="90">
    <w:name w:val="日期 字符"/>
    <w:basedOn w:val="29"/>
    <w:link w:val="16"/>
    <w:qFormat/>
    <w:uiPriority w:val="0"/>
    <w:rPr>
      <w:rFonts w:ascii="Times New Roman" w:hAnsi="Times New Roman" w:eastAsia="楷体_GB2312" w:cs="Times New Roman"/>
      <w:sz w:val="32"/>
      <w:szCs w:val="20"/>
    </w:rPr>
  </w:style>
  <w:style w:type="character" w:customStyle="1" w:styleId="91">
    <w:name w:val="纯文本 字符3"/>
    <w:basedOn w:val="29"/>
    <w:semiHidden/>
    <w:qFormat/>
    <w:uiPriority w:val="99"/>
    <w:rPr>
      <w:rFonts w:hAnsi="Courier New" w:cs="Courier New" w:asciiTheme="minorEastAsia"/>
    </w:rPr>
  </w:style>
  <w:style w:type="character" w:customStyle="1" w:styleId="92">
    <w:name w:val="正文文本首行缩进 2 字符"/>
    <w:basedOn w:val="89"/>
    <w:link w:val="13"/>
    <w:qFormat/>
    <w:uiPriority w:val="99"/>
    <w:rPr>
      <w:rFonts w:ascii="宋体" w:hAnsi="Courier New"/>
      <w:spacing w:val="-4"/>
      <w:sz w:val="18"/>
    </w:rPr>
  </w:style>
  <w:style w:type="character" w:customStyle="1" w:styleId="93">
    <w:name w:val="z-窗体底端 字符1"/>
    <w:basedOn w:val="29"/>
    <w:semiHidden/>
    <w:qFormat/>
    <w:uiPriority w:val="99"/>
    <w:rPr>
      <w:rFonts w:ascii="Arial" w:hAnsi="Arial" w:cs="Arial"/>
      <w:vanish/>
      <w:sz w:val="16"/>
      <w:szCs w:val="16"/>
    </w:rPr>
  </w:style>
  <w:style w:type="paragraph" w:customStyle="1" w:styleId="94">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5">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6">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8">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9">
    <w:name w:val="Char Char Char Char1"/>
    <w:basedOn w:val="1"/>
    <w:qFormat/>
    <w:uiPriority w:val="0"/>
    <w:rPr>
      <w:rFonts w:ascii="Tahoma" w:hAnsi="Tahoma" w:eastAsia="宋体" w:cs="Times New Roman"/>
      <w:sz w:val="24"/>
      <w:szCs w:val="20"/>
    </w:rPr>
  </w:style>
  <w:style w:type="paragraph" w:customStyle="1" w:styleId="100">
    <w:name w:val="彩色列表 - 强调文字颜色 11"/>
    <w:basedOn w:val="1"/>
    <w:qFormat/>
    <w:uiPriority w:val="34"/>
    <w:pPr>
      <w:ind w:firstLine="420" w:firstLineChars="200"/>
    </w:pPr>
    <w:rPr>
      <w:rFonts w:ascii="Calibri" w:hAnsi="Calibri" w:eastAsia="宋体" w:cs="Times New Roman"/>
    </w:rPr>
  </w:style>
  <w:style w:type="paragraph" w:customStyle="1" w:styleId="101">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2">
    <w:name w:val="正文2"/>
    <w:basedOn w:val="1"/>
    <w:link w:val="11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4">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5">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6">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7">
    <w:name w:val="标题 10"/>
    <w:basedOn w:val="4"/>
    <w:qFormat/>
    <w:uiPriority w:val="0"/>
    <w:pPr>
      <w:jc w:val="center"/>
    </w:pPr>
    <w:rPr>
      <w:kern w:val="0"/>
    </w:rPr>
  </w:style>
  <w:style w:type="character" w:customStyle="1" w:styleId="108">
    <w:name w:val="未处理的提及1"/>
    <w:semiHidden/>
    <w:unhideWhenUsed/>
    <w:qFormat/>
    <w:uiPriority w:val="99"/>
    <w:rPr>
      <w:color w:val="605E5C"/>
      <w:shd w:val="clear" w:color="auto" w:fill="E1DFDD"/>
    </w:rPr>
  </w:style>
  <w:style w:type="character" w:customStyle="1" w:styleId="109">
    <w:name w:val="未处理的提及2"/>
    <w:basedOn w:val="29"/>
    <w:semiHidden/>
    <w:unhideWhenUsed/>
    <w:qFormat/>
    <w:uiPriority w:val="99"/>
    <w:rPr>
      <w:color w:val="605E5C"/>
      <w:shd w:val="clear" w:color="auto" w:fill="E1DFDD"/>
    </w:rPr>
  </w:style>
  <w:style w:type="character" w:customStyle="1" w:styleId="110">
    <w:name w:val="未处理的提及3"/>
    <w:basedOn w:val="29"/>
    <w:semiHidden/>
    <w:unhideWhenUsed/>
    <w:qFormat/>
    <w:uiPriority w:val="99"/>
    <w:rPr>
      <w:color w:val="605E5C"/>
      <w:shd w:val="clear" w:color="auto" w:fill="E1DFDD"/>
    </w:rPr>
  </w:style>
  <w:style w:type="character" w:customStyle="1" w:styleId="111">
    <w:name w:val="正文2 Char Char"/>
    <w:link w:val="102"/>
    <w:qFormat/>
    <w:uiPriority w:val="0"/>
    <w:rPr>
      <w:kern w:val="2"/>
      <w:sz w:val="24"/>
    </w:rPr>
  </w:style>
  <w:style w:type="paragraph" w:customStyle="1" w:styleId="112">
    <w:name w:val="正文_0"/>
    <w:basedOn w:val="1"/>
    <w:qFormat/>
    <w:uiPriority w:val="0"/>
  </w:style>
  <w:style w:type="paragraph" w:customStyle="1" w:styleId="113">
    <w:name w:val="样式 正文文本"/>
    <w:basedOn w:val="1"/>
    <w:qFormat/>
    <w:uiPriority w:val="0"/>
    <w:pPr>
      <w:adjustRightInd w:val="0"/>
      <w:snapToGrid w:val="0"/>
      <w:spacing w:line="400" w:lineRule="exact"/>
      <w:ind w:firstLine="200" w:firstLineChars="200"/>
    </w:pPr>
    <w:rPr>
      <w:rFonts w:ascii="Arial" w:hAnsi="Arial" w:cs="宋体"/>
      <w:color w:val="000000"/>
    </w:rPr>
  </w:style>
  <w:style w:type="character" w:customStyle="1" w:styleId="114">
    <w:name w:val="占位符文本1"/>
    <w:basedOn w:val="29"/>
    <w:semiHidden/>
    <w:qFormat/>
    <w:uiPriority w:val="99"/>
    <w:rPr>
      <w:color w:val="808080"/>
    </w:rPr>
  </w:style>
  <w:style w:type="table" w:customStyle="1" w:styleId="115">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07F55-FFC1-DE4C-B13A-DFF239A5866C}">
  <ds:schemaRefs/>
</ds:datastoreItem>
</file>

<file path=docProps/app.xml><?xml version="1.0" encoding="utf-8"?>
<Properties xmlns="http://schemas.openxmlformats.org/officeDocument/2006/extended-properties" xmlns:vt="http://schemas.openxmlformats.org/officeDocument/2006/docPropsVTypes">
  <Template>Normal.dotm</Template>
  <Pages>72</Pages>
  <Words>7358</Words>
  <Characters>41945</Characters>
  <Lines>349</Lines>
  <Paragraphs>98</Paragraphs>
  <TotalTime>26</TotalTime>
  <ScaleCrop>false</ScaleCrop>
  <LinksUpToDate>false</LinksUpToDate>
  <CharactersWithSpaces>49205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2024-04-25T08:08:00Z</dcterms:created>
  <dc:creator>hj j</dc:creator>
  <cp:lastModifiedBy>孙伟健</cp:lastModifiedBy>
  <dcterms:modified xsi:type="dcterms:W3CDTF">2024-05-06T00:12:28Z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B363B45C01FF4C5A8AB2573BD522DAF7</vt:lpwstr>
  </property>
</Properties>
</file>