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楷体" w:hAnsi="楷体" w:eastAsia="楷体"/>
          <w:b/>
          <w:spacing w:val="-6"/>
          <w:sz w:val="44"/>
          <w:szCs w:val="44"/>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浙江大学海南研究院</w:t>
      </w:r>
    </w:p>
    <w:p>
      <w:pPr>
        <w:spacing w:line="360" w:lineRule="auto"/>
        <w:jc w:val="center"/>
        <w:rPr>
          <w:rFonts w:ascii="楷体" w:hAnsi="楷体" w:eastAsia="楷体"/>
          <w:b/>
          <w:spacing w:val="-6"/>
          <w:sz w:val="36"/>
          <w:szCs w:val="36"/>
        </w:rPr>
      </w:pPr>
      <w:r>
        <w:rPr>
          <w:rFonts w:hint="eastAsia" w:ascii="楷体" w:hAnsi="楷体" w:eastAsia="楷体"/>
          <w:b/>
          <w:spacing w:val="-6"/>
          <w:sz w:val="36"/>
          <w:szCs w:val="36"/>
        </w:rPr>
        <w:t>浙江大学（海南）先进技术与产业创新平台物业服务</w:t>
      </w:r>
    </w:p>
    <w:p>
      <w:pPr>
        <w:spacing w:line="360" w:lineRule="auto"/>
        <w:jc w:val="center"/>
        <w:rPr>
          <w:rFonts w:ascii="楷体" w:hAnsi="楷体" w:eastAsia="楷体"/>
          <w:b/>
          <w:spacing w:val="-6"/>
          <w:sz w:val="48"/>
          <w:szCs w:val="48"/>
        </w:rPr>
      </w:pPr>
    </w:p>
    <w:p>
      <w:pPr>
        <w:spacing w:line="360" w:lineRule="auto"/>
        <w:jc w:val="center"/>
        <w:rPr>
          <w:rFonts w:ascii="楷体" w:hAnsi="楷体" w:eastAsia="楷体"/>
          <w:b/>
          <w:spacing w:val="-6"/>
          <w:sz w:val="48"/>
          <w:szCs w:val="48"/>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招 标 文 件</w:t>
      </w:r>
    </w:p>
    <w:p>
      <w:pPr>
        <w:spacing w:line="360" w:lineRule="auto"/>
        <w:rPr>
          <w:rFonts w:ascii="楷体" w:hAnsi="楷体" w:eastAsia="楷体"/>
          <w:b/>
          <w:spacing w:val="-6"/>
          <w:sz w:val="30"/>
          <w:szCs w:val="30"/>
        </w:rPr>
      </w:pPr>
    </w:p>
    <w:p>
      <w:pPr>
        <w:spacing w:line="360" w:lineRule="auto"/>
        <w:rPr>
          <w:rFonts w:ascii="楷体" w:hAnsi="楷体" w:eastAsia="楷体"/>
          <w:b/>
          <w:spacing w:val="-6"/>
          <w:sz w:val="30"/>
          <w:szCs w:val="30"/>
        </w:rPr>
      </w:pPr>
    </w:p>
    <w:p>
      <w:pPr>
        <w:spacing w:line="360" w:lineRule="auto"/>
        <w:rPr>
          <w:rFonts w:ascii="楷体" w:hAnsi="楷体" w:eastAsia="楷体"/>
          <w:b/>
          <w:spacing w:val="-6"/>
          <w:sz w:val="30"/>
          <w:szCs w:val="30"/>
        </w:rPr>
      </w:pPr>
      <w:r>
        <w:rPr>
          <w:rFonts w:hint="eastAsia" w:ascii="楷体" w:hAnsi="楷体" w:eastAsia="楷体"/>
          <w:b/>
          <w:spacing w:val="-6"/>
          <w:sz w:val="30"/>
          <w:szCs w:val="30"/>
        </w:rPr>
        <w:t>采 购 人：浙江大学海南研究院</w:t>
      </w:r>
    </w:p>
    <w:p>
      <w:pPr>
        <w:spacing w:line="360" w:lineRule="auto"/>
        <w:rPr>
          <w:rFonts w:ascii="楷体" w:hAnsi="楷体" w:eastAsia="楷体"/>
          <w:b/>
          <w:spacing w:val="-6"/>
          <w:sz w:val="30"/>
          <w:szCs w:val="30"/>
        </w:rPr>
      </w:pPr>
      <w:r>
        <w:rPr>
          <w:rFonts w:hint="eastAsia" w:ascii="楷体" w:hAnsi="楷体" w:eastAsia="楷体"/>
          <w:b/>
          <w:spacing w:val="-6"/>
          <w:sz w:val="30"/>
          <w:szCs w:val="30"/>
        </w:rPr>
        <w:t>项目名称：浙江大学（海南）先进技术与产业创新平台物业服务</w:t>
      </w:r>
    </w:p>
    <w:p>
      <w:pPr>
        <w:spacing w:line="360" w:lineRule="auto"/>
        <w:rPr>
          <w:rFonts w:ascii="楷体" w:hAnsi="楷体" w:eastAsia="楷体"/>
          <w:b/>
          <w:spacing w:val="-6"/>
          <w:sz w:val="30"/>
          <w:szCs w:val="30"/>
        </w:rPr>
      </w:pPr>
      <w:r>
        <w:rPr>
          <w:rFonts w:hint="eastAsia" w:ascii="楷体" w:hAnsi="楷体" w:eastAsia="楷体"/>
          <w:b/>
          <w:spacing w:val="-6"/>
          <w:sz w:val="30"/>
          <w:szCs w:val="30"/>
        </w:rPr>
        <w:t xml:space="preserve">项目编号：QSZB-F(F)-A24073(GK) </w:t>
      </w:r>
    </w:p>
    <w:p>
      <w:pPr>
        <w:spacing w:line="360" w:lineRule="auto"/>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widowControl/>
        <w:jc w:val="left"/>
        <w:rPr>
          <w:rFonts w:ascii="楷体" w:hAnsi="楷体" w:eastAsia="楷体"/>
          <w:b/>
          <w:spacing w:val="-6"/>
          <w:sz w:val="30"/>
          <w:szCs w:val="30"/>
        </w:rPr>
      </w:pPr>
      <w:r>
        <w:rPr>
          <w:rFonts w:ascii="楷体" w:hAnsi="楷体" w:eastAsia="楷体"/>
          <w:b/>
          <w:spacing w:val="-6"/>
          <w:sz w:val="30"/>
          <w:szCs w:val="30"/>
        </w:rPr>
        <w:br w:type="page"/>
      </w:r>
    </w:p>
    <w:p>
      <w:pPr>
        <w:pStyle w:val="16"/>
        <w:spacing w:beforeLines="0" w:afterLines="0" w:line="288" w:lineRule="auto"/>
        <w:rPr>
          <w:rFonts w:ascii="楷体" w:hAnsi="楷体" w:eastAsia="楷体"/>
          <w:b/>
          <w:sz w:val="30"/>
          <w:szCs w:val="30"/>
        </w:rPr>
      </w:pPr>
    </w:p>
    <w:p>
      <w:pPr>
        <w:pStyle w:val="16"/>
        <w:spacing w:beforeLines="0" w:afterLines="0" w:line="288" w:lineRule="auto"/>
        <w:jc w:val="center"/>
        <w:outlineLvl w:val="0"/>
        <w:rPr>
          <w:rFonts w:ascii="楷体" w:hAnsi="楷体" w:eastAsia="楷体"/>
          <w:b/>
          <w:sz w:val="30"/>
          <w:szCs w:val="30"/>
        </w:rPr>
      </w:pPr>
      <w:r>
        <w:rPr>
          <w:rFonts w:ascii="楷体" w:hAnsi="楷体" w:eastAsia="楷体"/>
          <w:b/>
          <w:sz w:val="30"/>
          <w:szCs w:val="30"/>
        </w:rPr>
        <w:t>目</w:t>
      </w:r>
      <w:r>
        <w:rPr>
          <w:rFonts w:hint="eastAsia" w:ascii="楷体" w:hAnsi="楷体" w:eastAsia="楷体"/>
          <w:b/>
          <w:sz w:val="30"/>
          <w:szCs w:val="30"/>
        </w:rPr>
        <w:t xml:space="preserve">  </w:t>
      </w:r>
      <w:r>
        <w:rPr>
          <w:rFonts w:ascii="楷体" w:hAnsi="楷体" w:eastAsia="楷体"/>
          <w:b/>
          <w:sz w:val="30"/>
          <w:szCs w:val="30"/>
        </w:rPr>
        <w:t>录</w:t>
      </w:r>
    </w:p>
    <w:p>
      <w:pPr>
        <w:pStyle w:val="16"/>
        <w:spacing w:beforeLines="0" w:afterLines="0" w:line="288" w:lineRule="auto"/>
        <w:rPr>
          <w:rFonts w:ascii="楷体" w:hAnsi="楷体" w:eastAsia="楷体"/>
          <w:b/>
          <w:sz w:val="30"/>
          <w:szCs w:val="30"/>
        </w:rPr>
      </w:pP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第一章</w:t>
      </w:r>
      <w:r>
        <w:rPr>
          <w:rFonts w:ascii="楷体" w:hAnsi="楷体" w:eastAsia="楷体"/>
          <w:b/>
          <w:spacing w:val="-6"/>
          <w:sz w:val="30"/>
          <w:szCs w:val="30"/>
        </w:rPr>
        <w:t xml:space="preserve">  </w:t>
      </w:r>
      <w:r>
        <w:rPr>
          <w:rFonts w:hint="eastAsia" w:ascii="楷体" w:hAnsi="楷体" w:eastAsia="楷体"/>
          <w:b/>
          <w:spacing w:val="-6"/>
          <w:sz w:val="30"/>
          <w:szCs w:val="30"/>
        </w:rPr>
        <w:t>投标邀请</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第二章</w:t>
      </w:r>
      <w:r>
        <w:rPr>
          <w:rFonts w:ascii="楷体" w:hAnsi="楷体" w:eastAsia="楷体"/>
          <w:b/>
          <w:spacing w:val="-6"/>
          <w:sz w:val="30"/>
          <w:szCs w:val="30"/>
        </w:rPr>
        <w:t xml:space="preserve">  </w:t>
      </w:r>
      <w:r>
        <w:rPr>
          <w:rFonts w:hint="eastAsia" w:ascii="楷体" w:hAnsi="楷体" w:eastAsia="楷体"/>
          <w:b/>
          <w:spacing w:val="-6"/>
          <w:sz w:val="30"/>
          <w:szCs w:val="30"/>
        </w:rPr>
        <w:t>采购需求</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第三章</w:t>
      </w:r>
      <w:r>
        <w:rPr>
          <w:rFonts w:ascii="楷体" w:hAnsi="楷体" w:eastAsia="楷体"/>
          <w:b/>
          <w:spacing w:val="-6"/>
          <w:sz w:val="30"/>
          <w:szCs w:val="30"/>
        </w:rPr>
        <w:t xml:space="preserve">  </w:t>
      </w:r>
      <w:r>
        <w:rPr>
          <w:rFonts w:hint="eastAsia" w:ascii="楷体" w:hAnsi="楷体" w:eastAsia="楷体"/>
          <w:b/>
          <w:spacing w:val="-6"/>
          <w:sz w:val="30"/>
          <w:szCs w:val="30"/>
        </w:rPr>
        <w:t>投标人须知</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第四章</w:t>
      </w:r>
      <w:r>
        <w:rPr>
          <w:rFonts w:ascii="楷体" w:hAnsi="楷体" w:eastAsia="楷体"/>
          <w:b/>
          <w:spacing w:val="-6"/>
          <w:sz w:val="30"/>
          <w:szCs w:val="30"/>
        </w:rPr>
        <w:t xml:space="preserve">  </w:t>
      </w:r>
      <w:r>
        <w:rPr>
          <w:rFonts w:hint="eastAsia" w:ascii="楷体" w:hAnsi="楷体" w:eastAsia="楷体"/>
          <w:b/>
          <w:spacing w:val="-6"/>
          <w:sz w:val="30"/>
          <w:szCs w:val="30"/>
        </w:rPr>
        <w:t>评标方法和评标标准</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 xml:space="preserve">第五章 </w:t>
      </w:r>
      <w:r>
        <w:rPr>
          <w:rFonts w:ascii="楷体" w:hAnsi="楷体" w:eastAsia="楷体"/>
          <w:b/>
          <w:spacing w:val="-6"/>
          <w:sz w:val="30"/>
          <w:szCs w:val="30"/>
        </w:rPr>
        <w:t xml:space="preserve"> </w:t>
      </w:r>
      <w:r>
        <w:rPr>
          <w:rFonts w:hint="eastAsia" w:ascii="楷体" w:hAnsi="楷体" w:eastAsia="楷体"/>
          <w:b/>
          <w:spacing w:val="-6"/>
          <w:sz w:val="30"/>
          <w:szCs w:val="30"/>
        </w:rPr>
        <w:t>拟签订的合同文本</w:t>
      </w:r>
    </w:p>
    <w:p>
      <w:pPr>
        <w:tabs>
          <w:tab w:val="left" w:pos="1440"/>
        </w:tabs>
        <w:spacing w:before="120" w:beforeLines="50" w:line="288" w:lineRule="auto"/>
        <w:ind w:left="284"/>
        <w:rPr>
          <w:rFonts w:ascii="楷体" w:hAnsi="楷体" w:eastAsia="楷体"/>
          <w:b/>
          <w:spacing w:val="-6"/>
          <w:sz w:val="30"/>
          <w:szCs w:val="30"/>
        </w:rPr>
      </w:pPr>
      <w:r>
        <w:rPr>
          <w:rFonts w:hint="eastAsia" w:ascii="楷体" w:hAnsi="楷体" w:eastAsia="楷体"/>
          <w:b/>
          <w:spacing w:val="-6"/>
          <w:sz w:val="30"/>
          <w:szCs w:val="30"/>
        </w:rPr>
        <w:t>第六章</w:t>
      </w:r>
      <w:r>
        <w:rPr>
          <w:rFonts w:ascii="楷体" w:hAnsi="楷体" w:eastAsia="楷体"/>
          <w:b/>
          <w:spacing w:val="-6"/>
          <w:sz w:val="30"/>
          <w:szCs w:val="30"/>
        </w:rPr>
        <w:t xml:space="preserve">  </w:t>
      </w:r>
      <w:r>
        <w:rPr>
          <w:rFonts w:hint="eastAsia" w:ascii="楷体" w:hAnsi="楷体" w:eastAsia="楷体"/>
          <w:b/>
          <w:spacing w:val="-6"/>
          <w:sz w:val="30"/>
          <w:szCs w:val="30"/>
        </w:rPr>
        <w:t>投标文件格式</w:t>
      </w:r>
    </w:p>
    <w:p>
      <w:pPr>
        <w:pStyle w:val="16"/>
        <w:spacing w:beforeLines="0" w:afterLines="0" w:line="288" w:lineRule="auto"/>
        <w:jc w:val="left"/>
        <w:rPr>
          <w:rFonts w:hAnsi="宋体"/>
          <w:sz w:val="21"/>
          <w:szCs w:val="21"/>
        </w:rPr>
      </w:pPr>
    </w:p>
    <w:p>
      <w:pPr>
        <w:pStyle w:val="16"/>
        <w:spacing w:beforeLines="0" w:afterLines="0" w:line="288" w:lineRule="auto"/>
        <w:jc w:val="left"/>
        <w:outlineLvl w:val="0"/>
        <w:rPr>
          <w:rFonts w:hAnsi="宋体"/>
          <w:sz w:val="21"/>
          <w:szCs w:val="21"/>
        </w:rPr>
        <w:sectPr>
          <w:headerReference r:id="rId3" w:type="default"/>
          <w:footerReference r:id="rId4" w:type="default"/>
          <w:pgSz w:w="11906" w:h="16838"/>
          <w:pgMar w:top="1247" w:right="1247" w:bottom="1247" w:left="1247" w:header="35" w:footer="782" w:gutter="0"/>
          <w:cols w:space="720" w:num="1"/>
          <w:docGrid w:linePitch="381" w:charSpace="0"/>
        </w:sectPr>
      </w:pPr>
    </w:p>
    <w:p>
      <w:pPr>
        <w:pStyle w:val="16"/>
        <w:spacing w:beforeLines="0" w:afterLines="0" w:line="288" w:lineRule="auto"/>
        <w:jc w:val="center"/>
        <w:outlineLvl w:val="0"/>
        <w:rPr>
          <w:rFonts w:hAnsi="宋体"/>
          <w:b/>
          <w:spacing w:val="-6"/>
          <w:sz w:val="32"/>
          <w:szCs w:val="32"/>
        </w:rPr>
      </w:pPr>
      <w:r>
        <w:rPr>
          <w:rFonts w:hAnsi="宋体"/>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b/>
          <w:sz w:val="21"/>
          <w:szCs w:val="21"/>
        </w:rPr>
      </w:pPr>
      <w:r>
        <w:rPr>
          <w:rFonts w:hint="eastAsia" w:ascii="宋体" w:hAnsi="宋体"/>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b/>
          <w:sz w:val="21"/>
          <w:szCs w:val="21"/>
        </w:rPr>
      </w:pPr>
      <w:r>
        <w:rPr>
          <w:rFonts w:hint="eastAsia" w:ascii="宋体" w:hAnsi="宋体"/>
          <w:b/>
          <w:sz w:val="21"/>
          <w:szCs w:val="21"/>
          <w:u w:val="single"/>
        </w:rPr>
        <w:t xml:space="preserve"> 浙江大学（海南）先进技术与产业创新平台物业服务 </w:t>
      </w:r>
      <w:r>
        <w:rPr>
          <w:rFonts w:hint="eastAsia" w:ascii="宋体" w:hAnsi="宋体"/>
          <w:b/>
          <w:sz w:val="21"/>
          <w:szCs w:val="21"/>
        </w:rPr>
        <w:t>招标项目的潜在投标人应在</w:t>
      </w:r>
      <w:r>
        <w:rPr>
          <w:rFonts w:hint="eastAsia" w:ascii="宋体" w:hAnsi="宋体"/>
          <w:b/>
          <w:sz w:val="21"/>
          <w:szCs w:val="21"/>
          <w:u w:val="single"/>
        </w:rPr>
        <w:t xml:space="preserve"> 微信获取（扫描附件二维码或关注“浙江求是招标代理有限公司”企业公众号）或现场获取。（杭州市西湖区玉古路</w:t>
      </w:r>
      <w:r>
        <w:rPr>
          <w:rFonts w:ascii="宋体" w:hAnsi="宋体"/>
          <w:b/>
          <w:sz w:val="21"/>
          <w:szCs w:val="21"/>
          <w:u w:val="single"/>
        </w:rPr>
        <w:t>173</w:t>
      </w:r>
      <w:r>
        <w:rPr>
          <w:rFonts w:hint="eastAsia" w:ascii="宋体" w:hAnsi="宋体"/>
          <w:b/>
          <w:sz w:val="21"/>
          <w:szCs w:val="21"/>
          <w:u w:val="single"/>
        </w:rPr>
        <w:t>号中田大厦</w:t>
      </w:r>
      <w:r>
        <w:rPr>
          <w:rFonts w:ascii="宋体" w:hAnsi="宋体"/>
          <w:b/>
          <w:sz w:val="21"/>
          <w:szCs w:val="21"/>
          <w:u w:val="single"/>
        </w:rPr>
        <w:t>21楼H</w:t>
      </w:r>
      <w:r>
        <w:rPr>
          <w:rFonts w:hint="eastAsia" w:ascii="宋体" w:hAnsi="宋体"/>
          <w:b/>
          <w:sz w:val="21"/>
          <w:szCs w:val="21"/>
          <w:u w:val="single"/>
        </w:rPr>
        <w:t xml:space="preserve">室） </w:t>
      </w:r>
      <w:r>
        <w:rPr>
          <w:rFonts w:hint="eastAsia" w:ascii="宋体" w:hAnsi="宋体"/>
          <w:b/>
          <w:sz w:val="21"/>
          <w:szCs w:val="21"/>
        </w:rPr>
        <w:t>获取招标文件，并于</w:t>
      </w:r>
      <w:r>
        <w:rPr>
          <w:rFonts w:hint="eastAsia" w:ascii="宋体" w:hAnsi="宋体"/>
          <w:b/>
          <w:sz w:val="21"/>
          <w:szCs w:val="21"/>
          <w:u w:val="single"/>
        </w:rPr>
        <w:t>2024年4月</w:t>
      </w:r>
      <w:r>
        <w:rPr>
          <w:rFonts w:hint="eastAsia" w:ascii="宋体" w:hAnsi="宋体"/>
          <w:b/>
          <w:sz w:val="21"/>
          <w:szCs w:val="21"/>
          <w:u w:val="single"/>
          <w:lang w:val="en-US" w:eastAsia="zh-CN"/>
        </w:rPr>
        <w:t>24</w:t>
      </w:r>
      <w:r>
        <w:rPr>
          <w:rFonts w:hint="eastAsia" w:ascii="宋体" w:hAnsi="宋体"/>
          <w:b/>
          <w:sz w:val="21"/>
          <w:szCs w:val="21"/>
          <w:u w:val="single"/>
        </w:rPr>
        <w:t>日</w:t>
      </w:r>
      <w:r>
        <w:rPr>
          <w:rFonts w:hint="eastAsia" w:ascii="宋体" w:hAnsi="宋体"/>
          <w:b/>
          <w:sz w:val="21"/>
          <w:szCs w:val="21"/>
          <w:u w:val="single"/>
          <w:lang w:val="en-US" w:eastAsia="zh-CN"/>
        </w:rPr>
        <w:t>9</w:t>
      </w:r>
      <w:r>
        <w:rPr>
          <w:rFonts w:hint="eastAsia" w:ascii="宋体" w:hAnsi="宋体"/>
          <w:b/>
          <w:sz w:val="21"/>
          <w:szCs w:val="21"/>
          <w:u w:val="single"/>
        </w:rPr>
        <w:t>:30:00（北京时间）</w:t>
      </w:r>
      <w:r>
        <w:rPr>
          <w:rFonts w:hint="eastAsia" w:ascii="宋体" w:hAnsi="宋体"/>
          <w:b/>
          <w:bCs/>
          <w:sz w:val="21"/>
          <w:szCs w:val="21"/>
        </w:rPr>
        <w:t>前递交投标</w:t>
      </w:r>
      <w:r>
        <w:rPr>
          <w:rFonts w:ascii="宋体" w:hAnsi="宋体"/>
          <w:b/>
          <w:bCs/>
          <w:sz w:val="21"/>
          <w:szCs w:val="21"/>
        </w:rPr>
        <w:t>文件</w:t>
      </w:r>
      <w:r>
        <w:rPr>
          <w:rFonts w:hint="eastAsia" w:ascii="宋体" w:hAnsi="宋体"/>
          <w:b/>
          <w:sz w:val="21"/>
          <w:szCs w:val="21"/>
        </w:rPr>
        <w:t>。</w:t>
      </w:r>
    </w:p>
    <w:p>
      <w:pPr>
        <w:spacing w:line="360" w:lineRule="auto"/>
        <w:rPr>
          <w:rFonts w:ascii="宋体" w:hAnsi="宋体" w:cs="宋体"/>
          <w:b/>
          <w:sz w:val="21"/>
          <w:szCs w:val="21"/>
        </w:rPr>
      </w:pPr>
      <w:bookmarkStart w:id="0" w:name="_Toc35393790"/>
      <w:bookmarkStart w:id="1" w:name="_Toc35393621"/>
      <w:bookmarkStart w:id="2" w:name="_Toc28359002"/>
      <w:bookmarkStart w:id="3" w:name="_Toc28359079"/>
      <w:bookmarkStart w:id="4" w:name="_Hlk24379207"/>
      <w:r>
        <w:rPr>
          <w:rFonts w:hint="eastAsia" w:ascii="宋体" w:hAnsi="宋体" w:cs="宋体"/>
          <w:b/>
          <w:sz w:val="21"/>
          <w:szCs w:val="21"/>
        </w:rPr>
        <w:t>一、项目基本情况</w:t>
      </w:r>
      <w:bookmarkEnd w:id="0"/>
      <w:bookmarkEnd w:id="1"/>
      <w:bookmarkEnd w:id="2"/>
      <w:bookmarkEnd w:id="3"/>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 xml:space="preserve">1.项目编号：QSZB-F(F)-A24073(GK) </w:t>
      </w:r>
    </w:p>
    <w:p>
      <w:pPr>
        <w:adjustRightInd w:val="0"/>
        <w:snapToGrid w:val="0"/>
        <w:spacing w:line="288"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.项目名称：浙江大学（海南）先进技术与产业创新平台物业服务（非政府采购项目）</w:t>
      </w:r>
    </w:p>
    <w:bookmarkEnd w:id="4"/>
    <w:p>
      <w:pPr>
        <w:adjustRightInd w:val="0"/>
        <w:snapToGrid w:val="0"/>
        <w:spacing w:line="288" w:lineRule="auto"/>
        <w:ind w:firstLine="420" w:firstLineChars="200"/>
        <w:rPr>
          <w:rFonts w:ascii="宋体" w:hAnsi="宋体"/>
          <w:sz w:val="21"/>
          <w:szCs w:val="21"/>
          <w:u w:val="single"/>
        </w:rPr>
      </w:pPr>
      <w:r>
        <w:rPr>
          <w:rFonts w:ascii="宋体" w:hAnsi="宋体"/>
          <w:sz w:val="21"/>
          <w:szCs w:val="21"/>
        </w:rPr>
        <w:t>3</w:t>
      </w:r>
      <w:r>
        <w:rPr>
          <w:rFonts w:hint="eastAsia" w:ascii="宋体" w:hAnsi="宋体"/>
          <w:sz w:val="21"/>
          <w:szCs w:val="21"/>
        </w:rPr>
        <w:t>.合同履约期限：2024年4月</w:t>
      </w:r>
      <w:r>
        <w:rPr>
          <w:rFonts w:hint="eastAsia" w:ascii="宋体" w:hAnsi="宋体"/>
          <w:sz w:val="21"/>
          <w:szCs w:val="21"/>
          <w:lang w:val="en-US" w:eastAsia="zh-CN"/>
        </w:rPr>
        <w:t>30</w:t>
      </w:r>
      <w:r>
        <w:rPr>
          <w:rFonts w:hint="eastAsia" w:ascii="宋体" w:hAnsi="宋体"/>
          <w:sz w:val="21"/>
          <w:szCs w:val="21"/>
        </w:rPr>
        <w:t>日—2025年12月31日。</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4</w:t>
      </w:r>
      <w:r>
        <w:rPr>
          <w:rFonts w:hint="eastAsia" w:ascii="宋体" w:hAnsi="宋体"/>
          <w:bCs/>
          <w:sz w:val="21"/>
          <w:szCs w:val="21"/>
        </w:rPr>
        <w:t>.本项目不接受联合体投标。</w:t>
      </w:r>
    </w:p>
    <w:p>
      <w:pPr>
        <w:adjustRightInd w:val="0"/>
        <w:snapToGrid w:val="0"/>
        <w:spacing w:line="288" w:lineRule="auto"/>
        <w:ind w:firstLine="420" w:firstLineChars="200"/>
        <w:rPr>
          <w:rFonts w:ascii="宋体" w:hAnsi="宋体"/>
          <w:sz w:val="21"/>
          <w:szCs w:val="21"/>
        </w:rPr>
      </w:pPr>
      <w:r>
        <w:rPr>
          <w:rFonts w:ascii="宋体" w:hAnsi="宋体"/>
          <w:sz w:val="21"/>
          <w:szCs w:val="21"/>
        </w:rPr>
        <w:t>5</w:t>
      </w:r>
      <w:r>
        <w:rPr>
          <w:rFonts w:hint="eastAsia" w:ascii="宋体" w:hAnsi="宋体"/>
          <w:sz w:val="21"/>
          <w:szCs w:val="21"/>
        </w:rPr>
        <w:t>.采购需求：</w:t>
      </w:r>
    </w:p>
    <w:tbl>
      <w:tblPr>
        <w:tblStyle w:val="25"/>
        <w:tblW w:w="96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708"/>
        <w:gridCol w:w="709"/>
        <w:gridCol w:w="1702"/>
        <w:gridCol w:w="1763"/>
        <w:gridCol w:w="2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708"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709" w:type="dxa"/>
            <w:tcBorders>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单位</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简要技术需求或服务要求</w:t>
            </w:r>
          </w:p>
        </w:tc>
        <w:tc>
          <w:tcPr>
            <w:tcW w:w="1763" w:type="dxa"/>
            <w:tcBorders>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预算金额</w:t>
            </w:r>
          </w:p>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（万元）</w:t>
            </w:r>
          </w:p>
        </w:tc>
        <w:tc>
          <w:tcPr>
            <w:tcW w:w="2080" w:type="dxa"/>
            <w:tcBorders>
              <w:right w:val="single" w:color="auto" w:sz="4" w:space="0"/>
              <w:tl2br w:val="nil"/>
              <w:tr2bl w:val="nil"/>
            </w:tcBorders>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最高限价</w:t>
            </w:r>
          </w:p>
          <w:p>
            <w:pPr>
              <w:adjustRightInd w:val="0"/>
              <w:snapToGrid w:val="0"/>
              <w:spacing w:line="288" w:lineRule="auto"/>
              <w:jc w:val="center"/>
              <w:rPr>
                <w:rFonts w:ascii="宋体" w:hAnsi="宋体" w:cs="宋体"/>
                <w:b/>
                <w:bCs/>
                <w:sz w:val="21"/>
                <w:szCs w:val="21"/>
              </w:rPr>
            </w:pPr>
            <w:r>
              <w:rPr>
                <w:rFonts w:hint="eastAsia" w:ascii="宋体" w:hAnsi="宋体" w:cs="宋体"/>
                <w:b/>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一</w:t>
            </w:r>
          </w:p>
        </w:tc>
        <w:tc>
          <w:tcPr>
            <w:tcW w:w="1985"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sz w:val="21"/>
                <w:szCs w:val="21"/>
              </w:rPr>
              <w:t>浙江大学（海南）先进技术与产业创新平台物业服务</w:t>
            </w:r>
          </w:p>
        </w:tc>
        <w:tc>
          <w:tcPr>
            <w:tcW w:w="708"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1</w:t>
            </w:r>
          </w:p>
        </w:tc>
        <w:tc>
          <w:tcPr>
            <w:tcW w:w="709" w:type="dxa"/>
            <w:tcBorders>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项</w:t>
            </w:r>
          </w:p>
        </w:tc>
        <w:tc>
          <w:tcPr>
            <w:tcW w:w="1702" w:type="dxa"/>
            <w:tcBorders>
              <w:right w:val="single" w:color="auto" w:sz="4" w:space="0"/>
              <w:tl2br w:val="nil"/>
              <w:tr2bl w:val="nil"/>
            </w:tcBorders>
            <w:vAlign w:val="center"/>
          </w:tcPr>
          <w:p>
            <w:pPr>
              <w:adjustRightInd w:val="0"/>
              <w:snapToGrid w:val="0"/>
              <w:spacing w:line="288" w:lineRule="auto"/>
              <w:jc w:val="center"/>
              <w:rPr>
                <w:rFonts w:ascii="宋体" w:hAnsi="宋体" w:cs="宋体"/>
                <w:bCs/>
                <w:sz w:val="21"/>
                <w:szCs w:val="21"/>
              </w:rPr>
            </w:pPr>
            <w:r>
              <w:rPr>
                <w:rFonts w:hint="eastAsia" w:ascii="宋体" w:hAnsi="宋体" w:cs="宋体"/>
                <w:bCs/>
                <w:sz w:val="21"/>
                <w:szCs w:val="21"/>
              </w:rPr>
              <w:t>详见采购需求</w:t>
            </w:r>
          </w:p>
        </w:tc>
        <w:tc>
          <w:tcPr>
            <w:tcW w:w="1763" w:type="dxa"/>
            <w:tcBorders>
              <w:tl2br w:val="nil"/>
              <w:tr2bl w:val="nil"/>
            </w:tcBorders>
            <w:vAlign w:val="center"/>
          </w:tcPr>
          <w:p>
            <w:pPr>
              <w:adjustRightInd w:val="0"/>
              <w:snapToGrid w:val="0"/>
              <w:spacing w:line="288"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190</w:t>
            </w:r>
          </w:p>
        </w:tc>
        <w:tc>
          <w:tcPr>
            <w:tcW w:w="2080" w:type="dxa"/>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sz w:val="21"/>
                <w:szCs w:val="21"/>
                <w:lang w:val="en-US" w:eastAsia="zh-CN"/>
              </w:rPr>
            </w:pPr>
            <w:r>
              <w:rPr>
                <w:rFonts w:hint="eastAsia" w:ascii="宋体" w:hAnsi="宋体" w:cs="宋体"/>
                <w:color w:val="000000" w:themeColor="text1"/>
                <w:sz w:val="21"/>
                <w:szCs w:val="21"/>
                <w:lang w:val="en-US" w:eastAsia="zh-CN"/>
                <w14:textFill>
                  <w14:solidFill>
                    <w14:schemeClr w14:val="tx1"/>
                  </w14:solidFill>
                </w14:textFill>
              </w:rPr>
              <w:t>190</w:t>
            </w:r>
          </w:p>
        </w:tc>
      </w:tr>
    </w:tbl>
    <w:p>
      <w:pPr>
        <w:adjustRightInd w:val="0"/>
        <w:snapToGrid w:val="0"/>
        <w:spacing w:line="288" w:lineRule="auto"/>
        <w:rPr>
          <w:rFonts w:ascii="宋体" w:hAnsi="宋体" w:cs="宋体"/>
          <w:b/>
          <w:sz w:val="21"/>
          <w:szCs w:val="21"/>
        </w:rPr>
      </w:pPr>
      <w:bookmarkStart w:id="5" w:name="_Toc28359003"/>
      <w:bookmarkStart w:id="6" w:name="_Toc28359080"/>
      <w:bookmarkStart w:id="7" w:name="_Toc35393791"/>
      <w:bookmarkStart w:id="8" w:name="_Toc35393622"/>
      <w:r>
        <w:rPr>
          <w:rFonts w:hint="eastAsia" w:ascii="宋体" w:hAnsi="宋体" w:cs="宋体"/>
          <w:b/>
          <w:sz w:val="21"/>
          <w:szCs w:val="21"/>
        </w:rPr>
        <w:t>二、申请人的资格要求：</w:t>
      </w:r>
      <w:bookmarkEnd w:id="5"/>
      <w:bookmarkEnd w:id="6"/>
      <w:bookmarkEnd w:id="7"/>
      <w:bookmarkEnd w:id="8"/>
    </w:p>
    <w:p>
      <w:pPr>
        <w:adjustRightInd w:val="0"/>
        <w:snapToGrid w:val="0"/>
        <w:spacing w:line="288" w:lineRule="auto"/>
        <w:ind w:right="-84" w:rightChars="-30" w:firstLine="420" w:firstLineChars="200"/>
        <w:rPr>
          <w:rFonts w:ascii="宋体" w:hAnsi="宋体"/>
          <w:bCs/>
          <w:sz w:val="21"/>
          <w:szCs w:val="21"/>
        </w:rPr>
      </w:pPr>
      <w:bookmarkStart w:id="9" w:name="_Toc28359081"/>
      <w:bookmarkStart w:id="10" w:name="_Toc28359004"/>
      <w:r>
        <w:rPr>
          <w:rFonts w:hint="eastAsia" w:ascii="宋体" w:hAnsi="宋体"/>
          <w:bCs/>
          <w:sz w:val="21"/>
          <w:szCs w:val="21"/>
        </w:rPr>
        <w:t>1.满足《中华人民共和国政府采购法》第二十二条规定，未被“信用中国”（</w:t>
      </w:r>
      <w:r>
        <w:rPr>
          <w:rFonts w:ascii="宋体" w:hAnsi="宋体"/>
          <w:bCs/>
          <w:sz w:val="21"/>
          <w:szCs w:val="21"/>
        </w:rPr>
        <w:t>www.creditchina.gov.cn</w:t>
      </w:r>
      <w:r>
        <w:rPr>
          <w:rFonts w:hint="eastAsia" w:ascii="宋体" w:hAnsi="宋体"/>
          <w:bCs/>
          <w:sz w:val="21"/>
          <w:szCs w:val="21"/>
        </w:rPr>
        <w:t>）</w:t>
      </w:r>
      <w:r>
        <w:rPr>
          <w:rFonts w:ascii="宋体" w:hAnsi="宋体"/>
          <w:bCs/>
          <w:sz w:val="21"/>
          <w:szCs w:val="21"/>
        </w:rPr>
        <w:t>、中国政府采购网（www.ccgp.gov.cn）列入失信被执行人、重大税收违法案件当事人名单、政府采购严重违法失信行为记录名单；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2.落实政府采购政策需满足的资格要求：无</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3.本项目的特定资格要求：无</w:t>
      </w:r>
    </w:p>
    <w:p>
      <w:pPr>
        <w:adjustRightInd w:val="0"/>
        <w:snapToGrid w:val="0"/>
        <w:spacing w:line="288" w:lineRule="auto"/>
        <w:rPr>
          <w:rFonts w:ascii="宋体" w:hAnsi="宋体" w:cs="宋体"/>
          <w:b/>
          <w:sz w:val="21"/>
          <w:szCs w:val="21"/>
        </w:rPr>
      </w:pPr>
      <w:bookmarkStart w:id="11" w:name="_Toc35393623"/>
      <w:bookmarkStart w:id="12" w:name="_Toc35393792"/>
      <w:r>
        <w:rPr>
          <w:rFonts w:hint="eastAsia" w:ascii="宋体" w:hAnsi="宋体" w:cs="宋体"/>
          <w:b/>
          <w:sz w:val="21"/>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sz w:val="21"/>
          <w:szCs w:val="21"/>
        </w:rPr>
      </w:pPr>
      <w:bookmarkStart w:id="13" w:name="_Toc28359082"/>
      <w:bookmarkStart w:id="14" w:name="_Toc28359005"/>
      <w:bookmarkStart w:id="15" w:name="_Toc35393793"/>
      <w:bookmarkStart w:id="16" w:name="_Toc35393624"/>
      <w:r>
        <w:rPr>
          <w:rFonts w:hint="eastAsia" w:ascii="宋体" w:hAnsi="宋体"/>
          <w:sz w:val="21"/>
          <w:szCs w:val="21"/>
        </w:rPr>
        <w:t>1</w:t>
      </w:r>
      <w:r>
        <w:rPr>
          <w:rFonts w:ascii="宋体" w:hAnsi="宋体"/>
          <w:sz w:val="21"/>
          <w:szCs w:val="21"/>
        </w:rPr>
        <w:t>.</w:t>
      </w:r>
      <w:r>
        <w:rPr>
          <w:rFonts w:hint="eastAsia" w:ascii="宋体" w:hAnsi="宋体"/>
          <w:sz w:val="21"/>
          <w:szCs w:val="21"/>
        </w:rPr>
        <w:t>时间：2024年</w:t>
      </w:r>
      <w:r>
        <w:rPr>
          <w:rFonts w:hint="eastAsia" w:ascii="宋体" w:hAnsi="宋体"/>
          <w:sz w:val="21"/>
          <w:szCs w:val="21"/>
          <w:lang w:val="en-US" w:eastAsia="zh-CN"/>
        </w:rPr>
        <w:t>4</w:t>
      </w:r>
      <w:r>
        <w:rPr>
          <w:rFonts w:hint="eastAsia" w:ascii="宋体" w:hAnsi="宋体"/>
          <w:sz w:val="21"/>
          <w:szCs w:val="21"/>
        </w:rPr>
        <w:t>月</w:t>
      </w:r>
      <w:r>
        <w:rPr>
          <w:rFonts w:hint="eastAsia" w:ascii="宋体" w:hAnsi="宋体"/>
          <w:sz w:val="21"/>
          <w:szCs w:val="21"/>
          <w:lang w:val="en-US" w:eastAsia="zh-CN"/>
        </w:rPr>
        <w:t>3</w:t>
      </w:r>
      <w:r>
        <w:rPr>
          <w:rFonts w:hint="eastAsia" w:ascii="宋体" w:hAnsi="宋体"/>
          <w:sz w:val="21"/>
          <w:szCs w:val="21"/>
        </w:rPr>
        <w:t>日至2024年4月</w:t>
      </w:r>
      <w:r>
        <w:rPr>
          <w:rFonts w:hint="eastAsia" w:ascii="宋体" w:hAnsi="宋体"/>
          <w:sz w:val="21"/>
          <w:szCs w:val="21"/>
          <w:lang w:val="en-US" w:eastAsia="zh-CN"/>
        </w:rPr>
        <w:t>11</w:t>
      </w:r>
      <w:r>
        <w:rPr>
          <w:rFonts w:hint="eastAsia" w:ascii="宋体" w:hAnsi="宋体"/>
          <w:sz w:val="21"/>
          <w:szCs w:val="21"/>
        </w:rPr>
        <w:t>日（北京时间，双休日及法定节假日除外）</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上午：8:30-11:30、下午：13:00-17:00。备注：获取招标文件截止时间之后潜在投标人依然可以获取招标文件，如对招标文件有质疑的应在规定的质疑期限内提出。</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地点：浙江求是招标代理有限公司（杭州市西湖区玉古路173号中田大厦21楼H室）</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方式：微信获取（扫描附件二维码或关注“浙江求是招标代理有限公司”企业公众号）或现场获取。</w:t>
      </w:r>
    </w:p>
    <w:p>
      <w:pPr>
        <w:adjustRightInd w:val="0"/>
        <w:snapToGrid w:val="0"/>
        <w:spacing w:line="288" w:lineRule="auto"/>
        <w:ind w:firstLine="420" w:firstLineChars="200"/>
        <w:rPr>
          <w:rFonts w:ascii="宋体" w:hAnsi="宋体"/>
          <w:sz w:val="21"/>
          <w:szCs w:val="21"/>
          <w:u w:val="single"/>
        </w:rPr>
      </w:pPr>
      <w:bookmarkStart w:id="17" w:name="_Hlk45804622"/>
      <w:r>
        <w:rPr>
          <w:rFonts w:hint="eastAsia" w:ascii="宋体" w:hAnsi="宋体"/>
          <w:sz w:val="21"/>
          <w:szCs w:val="21"/>
        </w:rPr>
        <w:t>获取文件联系人：於路莹；联系方式：</w:t>
      </w:r>
      <w:bookmarkStart w:id="18" w:name="_Hlk108679622"/>
      <w:r>
        <w:rPr>
          <w:rFonts w:hint="eastAsia" w:ascii="宋体" w:hAnsi="宋体"/>
          <w:sz w:val="21"/>
          <w:szCs w:val="21"/>
        </w:rPr>
        <w:t>0571-</w:t>
      </w:r>
      <w:r>
        <w:rPr>
          <w:rFonts w:ascii="宋体" w:hAnsi="宋体"/>
          <w:sz w:val="21"/>
          <w:szCs w:val="21"/>
        </w:rPr>
        <w:t>87666112</w:t>
      </w:r>
      <w:bookmarkEnd w:id="18"/>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4</w:t>
      </w:r>
      <w:r>
        <w:rPr>
          <w:rFonts w:ascii="宋体" w:hAnsi="宋体"/>
          <w:sz w:val="21"/>
          <w:szCs w:val="21"/>
          <w:u w:val="single"/>
        </w:rPr>
        <w:t>.</w:t>
      </w:r>
      <w:r>
        <w:rPr>
          <w:rFonts w:hint="eastAsia" w:ascii="宋体" w:hAnsi="宋体"/>
          <w:sz w:val="21"/>
          <w:szCs w:val="21"/>
          <w:u w:val="single"/>
        </w:rPr>
        <w:t>售价</w:t>
      </w:r>
      <w:r>
        <w:rPr>
          <w:rFonts w:ascii="宋体" w:hAnsi="宋体"/>
          <w:sz w:val="21"/>
          <w:szCs w:val="21"/>
          <w:u w:val="single"/>
        </w:rPr>
        <w:t>：</w:t>
      </w:r>
      <w:r>
        <w:rPr>
          <w:rFonts w:hint="eastAsia" w:ascii="宋体" w:hAnsi="宋体"/>
          <w:sz w:val="21"/>
          <w:szCs w:val="21"/>
          <w:u w:val="single"/>
        </w:rPr>
        <w:t>5</w:t>
      </w:r>
      <w:r>
        <w:rPr>
          <w:rFonts w:ascii="宋体" w:hAnsi="宋体"/>
          <w:sz w:val="21"/>
          <w:szCs w:val="21"/>
          <w:u w:val="single"/>
        </w:rPr>
        <w:t>00</w:t>
      </w:r>
      <w:r>
        <w:rPr>
          <w:rFonts w:hint="eastAsia" w:ascii="宋体" w:hAnsi="宋体"/>
          <w:sz w:val="21"/>
          <w:szCs w:val="21"/>
          <w:u w:val="single"/>
        </w:rPr>
        <w:t>元整，售后不退。</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收款单位（户名）：浙江求是招标代理有限公司</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开户银行：工行浙大支行</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银行账号：</w:t>
      </w:r>
      <w:r>
        <w:rPr>
          <w:rFonts w:ascii="宋体" w:hAnsi="宋体"/>
          <w:sz w:val="21"/>
          <w:szCs w:val="21"/>
          <w:u w:val="single"/>
        </w:rPr>
        <w:t>1202024609900033043</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财务联系方式：0571-87666113</w:t>
      </w:r>
      <w:bookmarkEnd w:id="17"/>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开票信息请发送邮件至：caiwu@qszb.net，提供：项目名称或编号、开票资料、收件信息并注明专普票。</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rPr>
        <w:t>5.投标人未按照本公告规定的方式获取招标文件的，投标文件将被拒绝。</w:t>
      </w:r>
    </w:p>
    <w:p>
      <w:pPr>
        <w:adjustRightInd w:val="0"/>
        <w:snapToGrid w:val="0"/>
        <w:spacing w:line="288" w:lineRule="auto"/>
        <w:rPr>
          <w:rFonts w:ascii="宋体" w:hAnsi="宋体" w:cs="宋体"/>
          <w:b/>
          <w:sz w:val="21"/>
          <w:szCs w:val="21"/>
        </w:rPr>
      </w:pPr>
      <w:r>
        <w:rPr>
          <w:rFonts w:hint="eastAsia" w:ascii="宋体" w:hAnsi="宋体" w:cs="宋体"/>
          <w:b/>
          <w:sz w:val="21"/>
          <w:szCs w:val="21"/>
        </w:rPr>
        <w:t>四、提交投标文件</w:t>
      </w:r>
      <w:bookmarkEnd w:id="13"/>
      <w:bookmarkEnd w:id="14"/>
      <w:r>
        <w:rPr>
          <w:rFonts w:hint="eastAsia" w:ascii="宋体" w:hAnsi="宋体" w:cs="宋体"/>
          <w:b/>
          <w:sz w:val="21"/>
          <w:szCs w:val="21"/>
        </w:rPr>
        <w:t>截止时间、开标时间和地点</w:t>
      </w:r>
      <w:bookmarkEnd w:id="15"/>
      <w:bookmarkEnd w:id="16"/>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1.时间：2024年4月</w:t>
      </w:r>
      <w:r>
        <w:rPr>
          <w:rFonts w:hint="eastAsia" w:ascii="宋体" w:hAnsi="宋体"/>
          <w:bCs/>
          <w:sz w:val="21"/>
          <w:szCs w:val="21"/>
          <w:lang w:val="en-US" w:eastAsia="zh-CN"/>
        </w:rPr>
        <w:t>24</w:t>
      </w:r>
      <w:r>
        <w:rPr>
          <w:rFonts w:hint="eastAsia" w:ascii="宋体" w:hAnsi="宋体"/>
          <w:bCs/>
          <w:sz w:val="21"/>
          <w:szCs w:val="21"/>
        </w:rPr>
        <w:t>日</w:t>
      </w:r>
      <w:r>
        <w:rPr>
          <w:rFonts w:hint="eastAsia" w:ascii="宋体" w:hAnsi="宋体"/>
          <w:bCs/>
          <w:sz w:val="21"/>
          <w:szCs w:val="21"/>
          <w:lang w:val="en-US" w:eastAsia="zh-CN"/>
        </w:rPr>
        <w:t>9</w:t>
      </w:r>
      <w:r>
        <w:rPr>
          <w:rFonts w:hint="eastAsia" w:ascii="宋体" w:hAnsi="宋体"/>
          <w:bCs/>
          <w:sz w:val="21"/>
          <w:szCs w:val="21"/>
        </w:rPr>
        <w:t>:30:00（北京时间）</w:t>
      </w:r>
    </w:p>
    <w:p>
      <w:pPr>
        <w:adjustRightInd w:val="0"/>
        <w:snapToGrid w:val="0"/>
        <w:spacing w:line="288" w:lineRule="auto"/>
        <w:ind w:firstLine="420" w:firstLineChars="200"/>
        <w:rPr>
          <w:rFonts w:ascii="宋体" w:hAnsi="宋体"/>
          <w:bCs/>
          <w:sz w:val="21"/>
          <w:szCs w:val="21"/>
        </w:rPr>
      </w:pPr>
      <w:r>
        <w:rPr>
          <w:rFonts w:ascii="宋体" w:hAnsi="宋体"/>
          <w:bCs/>
          <w:sz w:val="21"/>
          <w:szCs w:val="21"/>
        </w:rPr>
        <w:t>2</w:t>
      </w:r>
      <w:r>
        <w:rPr>
          <w:rFonts w:hint="eastAsia" w:ascii="宋体" w:hAnsi="宋体"/>
          <w:bCs/>
          <w:sz w:val="21"/>
          <w:szCs w:val="21"/>
        </w:rPr>
        <w:t>.地点：杭州市西湖区玉古路173号中田大厦16楼求是招标</w:t>
      </w:r>
      <w:r>
        <w:rPr>
          <w:rFonts w:hint="eastAsia" w:ascii="宋体" w:hAnsi="宋体"/>
          <w:bCs/>
          <w:sz w:val="21"/>
          <w:szCs w:val="21"/>
          <w:lang w:val="en-US" w:eastAsia="zh-CN"/>
        </w:rPr>
        <w:t>6</w:t>
      </w:r>
      <w:bookmarkStart w:id="92" w:name="_GoBack"/>
      <w:bookmarkEnd w:id="92"/>
      <w:r>
        <w:rPr>
          <w:rFonts w:hint="eastAsia" w:ascii="宋体" w:hAnsi="宋体"/>
          <w:bCs/>
          <w:sz w:val="21"/>
          <w:szCs w:val="21"/>
        </w:rPr>
        <w:t>号会议室</w:t>
      </w:r>
    </w:p>
    <w:p>
      <w:pPr>
        <w:adjustRightInd w:val="0"/>
        <w:snapToGrid w:val="0"/>
        <w:spacing w:line="288" w:lineRule="auto"/>
        <w:ind w:firstLine="420" w:firstLineChars="200"/>
        <w:rPr>
          <w:rFonts w:ascii="宋体" w:hAnsi="宋体"/>
          <w:bCs/>
          <w:sz w:val="21"/>
          <w:szCs w:val="21"/>
        </w:rPr>
      </w:pPr>
      <w:r>
        <w:rPr>
          <w:rFonts w:hint="eastAsia" w:ascii="宋体" w:hAnsi="宋体"/>
          <w:bCs/>
          <w:sz w:val="21"/>
          <w:szCs w:val="21"/>
        </w:rPr>
        <w:t>备注：投标人逾期送达或者未按照招标文件要求密封的投标文件，采购代理机构将予以拒收；</w:t>
      </w:r>
    </w:p>
    <w:p>
      <w:pPr>
        <w:adjustRightInd w:val="0"/>
        <w:snapToGrid w:val="0"/>
        <w:spacing w:line="288" w:lineRule="auto"/>
        <w:rPr>
          <w:rFonts w:ascii="宋体" w:hAnsi="宋体" w:cs="宋体"/>
          <w:b/>
          <w:sz w:val="21"/>
          <w:szCs w:val="21"/>
        </w:rPr>
      </w:pPr>
      <w:bookmarkStart w:id="19" w:name="_Toc35393794"/>
      <w:bookmarkStart w:id="20" w:name="_Toc28359007"/>
      <w:bookmarkStart w:id="21" w:name="_Toc28359084"/>
      <w:bookmarkStart w:id="22" w:name="_Toc35393625"/>
      <w:r>
        <w:rPr>
          <w:rFonts w:hint="eastAsia" w:ascii="宋体" w:hAnsi="宋体" w:cs="宋体"/>
          <w:b/>
          <w:sz w:val="21"/>
          <w:szCs w:val="21"/>
        </w:rPr>
        <w:t>五、公告期限</w:t>
      </w:r>
      <w:bookmarkEnd w:id="19"/>
      <w:bookmarkEnd w:id="20"/>
      <w:bookmarkEnd w:id="21"/>
      <w:bookmarkEnd w:id="22"/>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自本公告发布之日起5个工作日。</w:t>
      </w:r>
    </w:p>
    <w:p>
      <w:pPr>
        <w:adjustRightInd w:val="0"/>
        <w:snapToGrid w:val="0"/>
        <w:spacing w:line="288" w:lineRule="auto"/>
        <w:rPr>
          <w:rFonts w:ascii="宋体" w:hAnsi="宋体" w:cs="宋体"/>
          <w:b/>
          <w:sz w:val="21"/>
          <w:szCs w:val="21"/>
        </w:rPr>
      </w:pPr>
      <w:bookmarkStart w:id="23" w:name="_Toc35393626"/>
      <w:bookmarkStart w:id="24" w:name="_Toc35393795"/>
      <w:r>
        <w:rPr>
          <w:rFonts w:hint="eastAsia" w:ascii="宋体" w:hAnsi="宋体" w:cs="宋体"/>
          <w:b/>
          <w:sz w:val="21"/>
          <w:szCs w:val="21"/>
        </w:rPr>
        <w:t>六、其他补充事宜</w:t>
      </w:r>
      <w:bookmarkEnd w:id="23"/>
      <w:bookmarkEnd w:id="24"/>
    </w:p>
    <w:p>
      <w:pPr>
        <w:adjustRightInd w:val="0"/>
        <w:snapToGrid w:val="0"/>
        <w:spacing w:line="288" w:lineRule="auto"/>
        <w:ind w:firstLine="420" w:firstLineChars="200"/>
        <w:rPr>
          <w:rFonts w:ascii="宋体" w:hAnsi="宋体"/>
          <w:sz w:val="21"/>
          <w:szCs w:val="21"/>
        </w:rPr>
      </w:pPr>
      <w:r>
        <w:rPr>
          <w:rFonts w:ascii="宋体" w:hAnsi="宋体"/>
          <w:sz w:val="21"/>
          <w:szCs w:val="21"/>
        </w:rPr>
        <w:t>1.</w:t>
      </w:r>
      <w:r>
        <w:rPr>
          <w:rFonts w:hint="eastAsia" w:ascii="宋体" w:hAnsi="宋体"/>
          <w:sz w:val="21"/>
          <w:szCs w:val="21"/>
        </w:rPr>
        <w:t>供应商认为采购文件使自己的权益受到损害的，可以自获取采购文件之日或者采购公告期限届满之日（公告期限届满后获取采购文件的，以公告期限届满之日为准）起</w:t>
      </w:r>
      <w:r>
        <w:rPr>
          <w:rFonts w:ascii="宋体" w:hAnsi="宋体"/>
          <w:sz w:val="21"/>
          <w:szCs w:val="21"/>
        </w:rPr>
        <w:t>7个工作日内，对采购文件需求的以书面形式向采购人提出质疑，对其他内容的以书面形式向采购人和采购代理机构提出质疑。质疑函范本请到浙江政府采购网下载专区下载。</w:t>
      </w:r>
    </w:p>
    <w:p>
      <w:pPr>
        <w:adjustRightInd w:val="0"/>
        <w:snapToGrid w:val="0"/>
        <w:spacing w:line="288" w:lineRule="auto"/>
        <w:ind w:firstLine="420" w:firstLineChars="200"/>
        <w:rPr>
          <w:rFonts w:ascii="宋体" w:hAnsi="宋体"/>
          <w:sz w:val="21"/>
          <w:szCs w:val="21"/>
        </w:rPr>
      </w:pPr>
      <w:r>
        <w:rPr>
          <w:rFonts w:ascii="宋体" w:hAnsi="宋体"/>
          <w:sz w:val="21"/>
          <w:szCs w:val="21"/>
        </w:rPr>
        <w:t>2.需要落实的政府采购政策：包括促进中小企业发展等。详见招标文件的第</w:t>
      </w:r>
      <w:r>
        <w:rPr>
          <w:rFonts w:hint="eastAsia" w:ascii="宋体" w:hAnsi="宋体"/>
          <w:sz w:val="21"/>
          <w:szCs w:val="21"/>
        </w:rPr>
        <w:t>三章-采购项目需要落实的政府采购政策</w:t>
      </w:r>
      <w:r>
        <w:rPr>
          <w:rFonts w:ascii="宋体" w:hAnsi="宋体"/>
          <w:sz w:val="21"/>
          <w:szCs w:val="21"/>
        </w:rPr>
        <w:t>。</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bookmarkStart w:id="25" w:name="_Hlk92271072"/>
      <w:r>
        <w:rPr>
          <w:rFonts w:ascii="宋体" w:hAnsi="宋体"/>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5"/>
    </w:p>
    <w:p>
      <w:pPr>
        <w:adjustRightInd w:val="0"/>
        <w:snapToGrid w:val="0"/>
        <w:spacing w:line="288" w:lineRule="auto"/>
        <w:ind w:firstLine="420" w:firstLineChars="200"/>
        <w:rPr>
          <w:rFonts w:ascii="宋体" w:hAnsi="宋体"/>
          <w:sz w:val="21"/>
          <w:szCs w:val="21"/>
        </w:rPr>
      </w:pPr>
      <w:r>
        <w:rPr>
          <w:rFonts w:ascii="宋体" w:hAnsi="宋体"/>
          <w:sz w:val="21"/>
          <w:szCs w:val="21"/>
        </w:rPr>
        <w:t>4</w:t>
      </w:r>
      <w:r>
        <w:rPr>
          <w:rFonts w:hint="eastAsia" w:ascii="宋体" w:hAnsi="宋体"/>
          <w:sz w:val="21"/>
          <w:szCs w:val="21"/>
        </w:rPr>
        <w:t>.投标人代表</w:t>
      </w:r>
      <w:r>
        <w:rPr>
          <w:rFonts w:hint="eastAsia" w:ascii="宋体" w:hAnsi="宋体"/>
          <w:b/>
          <w:bCs/>
          <w:sz w:val="21"/>
          <w:szCs w:val="21"/>
        </w:rPr>
        <w:t>非必须</w:t>
      </w:r>
      <w:r>
        <w:rPr>
          <w:rFonts w:hint="eastAsia" w:ascii="宋体" w:hAnsi="宋体"/>
          <w:sz w:val="21"/>
          <w:szCs w:val="21"/>
        </w:rPr>
        <w:t>到开标现场提交投标文件，投标文件可通过邮寄的方式递交。投标人须考虑物流等相关因素，合理计划邮寄时间，尽量在开标截止时间前一个工作日内送到指定地点。在投标截止时间后送达的，将被视为“逾期送达”。投标人未参加开标的，视同认可开标结果。具体要求如下：</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1）邮寄地址：杭州市西湖区玉古路173号中田大厦21楼H室，浙江求是招标代理有限公司（陈丹妮）收，电话：0571-87666119，寄出后将（快递单号、项目名称、公司名称、联系方式等相关信息）发至：zb01@qszb.net，以便查收）。</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特别说明：双休日和法定节假日不收件，投标人自行承担邮寄风险。</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pPr>
        <w:adjustRightInd w:val="0"/>
        <w:snapToGrid w:val="0"/>
        <w:spacing w:line="288" w:lineRule="auto"/>
        <w:ind w:firstLine="420" w:firstLineChars="200"/>
        <w:rPr>
          <w:rFonts w:ascii="宋体" w:hAnsi="宋体"/>
          <w:sz w:val="21"/>
          <w:szCs w:val="21"/>
          <w:u w:val="single"/>
        </w:rPr>
      </w:pPr>
      <w:r>
        <w:rPr>
          <w:rFonts w:hint="eastAsia" w:ascii="宋体" w:hAnsi="宋体"/>
          <w:sz w:val="21"/>
          <w:szCs w:val="21"/>
          <w:u w:val="single"/>
        </w:rPr>
        <w:t>（3）投标人代表不在开标现场的，取消投标人在开标现场的书面签名确认等有关操作要求；评审现场如需要投标人澄清、说明等，均通过指定的电子邮箱（zb01@qszb.net）向投标人发送澄清、说明等通知，并要求在收到通知后半小时内以邮件形式作出澄清、说明等。</w:t>
      </w:r>
    </w:p>
    <w:p>
      <w:pPr>
        <w:adjustRightInd w:val="0"/>
        <w:snapToGrid w:val="0"/>
        <w:spacing w:line="288" w:lineRule="auto"/>
        <w:rPr>
          <w:rFonts w:ascii="宋体" w:hAnsi="宋体"/>
          <w:b/>
          <w:sz w:val="21"/>
          <w:szCs w:val="21"/>
        </w:rPr>
      </w:pPr>
      <w:bookmarkStart w:id="26" w:name="_Toc35393796"/>
      <w:bookmarkStart w:id="27" w:name="_Toc28359008"/>
      <w:bookmarkStart w:id="28" w:name="_Toc28359085"/>
      <w:bookmarkStart w:id="29" w:name="_Toc35393627"/>
      <w:r>
        <w:rPr>
          <w:rFonts w:hint="eastAsia" w:ascii="宋体" w:hAnsi="宋体" w:cs="宋体"/>
          <w:b/>
          <w:sz w:val="21"/>
          <w:szCs w:val="21"/>
        </w:rPr>
        <w:t>七、对本次招标提出询问、质疑请按</w:t>
      </w:r>
      <w:r>
        <w:rPr>
          <w:rFonts w:ascii="宋体" w:hAnsi="宋体" w:cs="宋体"/>
          <w:b/>
          <w:sz w:val="21"/>
          <w:szCs w:val="21"/>
        </w:rPr>
        <w:t>以下方式</w:t>
      </w:r>
      <w:r>
        <w:rPr>
          <w:rFonts w:hint="eastAsia" w:ascii="宋体" w:hAnsi="宋体" w:cs="宋体"/>
          <w:b/>
          <w:sz w:val="21"/>
          <w:szCs w:val="21"/>
        </w:rPr>
        <w:t>联系</w:t>
      </w:r>
      <w:bookmarkEnd w:id="26"/>
      <w:bookmarkEnd w:id="27"/>
      <w:bookmarkEnd w:id="28"/>
      <w:bookmarkEnd w:id="29"/>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1.采购人信息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名称：浙江大学海南研究院</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地址：海南三亚崖州湾科技城用友产业园11号楼</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联系方式：0898-32807601</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采购项目联系人：罗海</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采购项目联系方式：0898-32807613</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2.采购代理机构信息</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名称：浙江求是招标代理有限公司</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地址：杭州市西湖区玉古路173号中田大厦21楼</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项目联系人：陈宵、陈丹妮</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项目联系方式：0571-87666119</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质疑联系人：刘璐</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质疑联系方式：0571-81110356</w:t>
      </w:r>
    </w:p>
    <w:p>
      <w:pPr>
        <w:adjustRightInd w:val="0"/>
        <w:snapToGrid w:val="0"/>
        <w:spacing w:line="288" w:lineRule="auto"/>
        <w:ind w:firstLine="420" w:firstLineChars="200"/>
        <w:rPr>
          <w:rFonts w:ascii="宋体" w:hAnsi="宋体"/>
          <w:sz w:val="21"/>
          <w:szCs w:val="21"/>
        </w:rPr>
      </w:pPr>
      <w:r>
        <w:rPr>
          <w:rFonts w:hint="eastAsia" w:ascii="宋体" w:hAnsi="宋体"/>
          <w:sz w:val="21"/>
          <w:szCs w:val="21"/>
        </w:rPr>
        <w:t>质疑邮箱：jdkh@qszb.net</w:t>
      </w:r>
    </w:p>
    <w:p>
      <w:pPr>
        <w:adjustRightInd w:val="0"/>
        <w:snapToGrid w:val="0"/>
        <w:spacing w:line="288" w:lineRule="auto"/>
        <w:ind w:left="238"/>
        <w:jc w:val="center"/>
        <w:outlineLvl w:val="0"/>
        <w:rPr>
          <w:rFonts w:ascii="宋体" w:hAnsi="宋体"/>
          <w:b/>
          <w:bCs/>
          <w:sz w:val="32"/>
          <w:szCs w:val="32"/>
        </w:rPr>
      </w:pPr>
      <w:r>
        <w:rPr>
          <w:rFonts w:hint="eastAsia" w:ascii="宋体" w:hAnsi="宋体"/>
          <w:sz w:val="21"/>
          <w:szCs w:val="21"/>
        </w:rPr>
        <w:br w:type="page"/>
      </w:r>
      <w:r>
        <w:rPr>
          <w:rFonts w:hint="eastAsia" w:ascii="宋体" w:hAnsi="宋体"/>
          <w:b/>
          <w:sz w:val="32"/>
          <w:szCs w:val="32"/>
        </w:rPr>
        <w:t xml:space="preserve">第二章  </w:t>
      </w:r>
      <w:r>
        <w:rPr>
          <w:rFonts w:hint="eastAsia" w:ascii="宋体" w:hAnsi="宋体"/>
          <w:b/>
          <w:bCs/>
          <w:sz w:val="32"/>
          <w:szCs w:val="32"/>
        </w:rPr>
        <w:t>采购需求</w:t>
      </w: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一</w:t>
      </w:r>
      <w:r>
        <w:rPr>
          <w:rFonts w:ascii="宋体" w:hAnsi="宋体"/>
          <w:b/>
          <w:sz w:val="21"/>
          <w:szCs w:val="21"/>
        </w:rPr>
        <w:t>、</w:t>
      </w:r>
      <w:r>
        <w:rPr>
          <w:rFonts w:hint="eastAsia" w:ascii="宋体" w:hAnsi="宋体"/>
          <w:b/>
          <w:sz w:val="21"/>
          <w:szCs w:val="21"/>
        </w:rPr>
        <w:t>为落实政府采购政策需满足的要求：</w:t>
      </w:r>
    </w:p>
    <w:tbl>
      <w:tblPr>
        <w:tblStyle w:val="25"/>
        <w:tblW w:w="94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bookmarkStart w:id="30" w:name="_Hlk45005599"/>
            <w:r>
              <w:rPr>
                <w:rFonts w:hint="eastAsia" w:ascii="宋体" w:hAnsi="宋体" w:cs="宋体"/>
                <w:b/>
                <w:bCs/>
                <w:sz w:val="21"/>
                <w:szCs w:val="21"/>
              </w:rPr>
              <w:t>序号</w:t>
            </w:r>
          </w:p>
        </w:tc>
        <w:tc>
          <w:tcPr>
            <w:tcW w:w="3256"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政策名称</w:t>
            </w:r>
          </w:p>
        </w:tc>
        <w:tc>
          <w:tcPr>
            <w:tcW w:w="5529"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sz w:val="21"/>
                <w:szCs w:val="21"/>
              </w:rPr>
              <w:t>1</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政府采购促进中小企业发展</w:t>
            </w:r>
          </w:p>
        </w:tc>
        <w:tc>
          <w:tcPr>
            <w:tcW w:w="5529"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提供材料详见招标文件第六章“报价文件”</w:t>
            </w:r>
          </w:p>
          <w:p>
            <w:pPr>
              <w:adjustRightInd w:val="0"/>
              <w:snapToGrid w:val="0"/>
              <w:spacing w:line="288" w:lineRule="auto"/>
              <w:jc w:val="left"/>
              <w:rPr>
                <w:rFonts w:ascii="宋体" w:hAnsi="宋体"/>
                <w:b/>
                <w:bCs/>
                <w:sz w:val="21"/>
                <w:szCs w:val="21"/>
              </w:rPr>
            </w:pPr>
            <w:r>
              <w:rPr>
                <w:rFonts w:hint="eastAsia" w:ascii="宋体" w:hAnsi="宋体"/>
                <w:b/>
                <w:bCs/>
                <w:sz w:val="21"/>
                <w:szCs w:val="21"/>
              </w:rPr>
              <w:t>本项目属性为：服务</w:t>
            </w:r>
          </w:p>
          <w:p>
            <w:pPr>
              <w:adjustRightInd w:val="0"/>
              <w:snapToGrid w:val="0"/>
              <w:spacing w:line="288" w:lineRule="auto"/>
              <w:jc w:val="left"/>
              <w:rPr>
                <w:rFonts w:ascii="宋体" w:hAnsi="宋体"/>
                <w:b/>
                <w:bCs/>
                <w:sz w:val="21"/>
                <w:szCs w:val="21"/>
              </w:rPr>
            </w:pPr>
            <w:r>
              <w:rPr>
                <w:rFonts w:hint="eastAsia" w:ascii="宋体" w:hAnsi="宋体"/>
                <w:b/>
                <w:bCs/>
                <w:sz w:val="21"/>
                <w:szCs w:val="21"/>
              </w:rPr>
              <w:t>采购标的对应的中小企业划分标准所属行业：物业管理</w:t>
            </w:r>
          </w:p>
          <w:p>
            <w:pPr>
              <w:adjustRightInd w:val="0"/>
              <w:snapToGrid w:val="0"/>
              <w:spacing w:line="288" w:lineRule="auto"/>
              <w:jc w:val="left"/>
              <w:rPr>
                <w:rFonts w:ascii="宋体" w:hAnsi="宋体" w:cs="宋体"/>
                <w:b/>
                <w:bCs/>
                <w:sz w:val="21"/>
                <w:szCs w:val="21"/>
              </w:rPr>
            </w:pPr>
            <w:r>
              <w:rPr>
                <w:rFonts w:hint="eastAsia" w:ascii="宋体" w:hAnsi="宋体"/>
                <w:b/>
                <w:bCs/>
                <w:sz w:val="21"/>
                <w:szCs w:val="21"/>
              </w:rPr>
              <w:t>中小企业划型标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2</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政府采购支持监狱企业发展</w:t>
            </w:r>
          </w:p>
        </w:tc>
        <w:tc>
          <w:tcPr>
            <w:tcW w:w="5529" w:type="dxa"/>
            <w:vAlign w:val="center"/>
          </w:tcPr>
          <w:p>
            <w:pPr>
              <w:adjustRightInd w:val="0"/>
              <w:snapToGrid w:val="0"/>
              <w:spacing w:line="288" w:lineRule="auto"/>
              <w:jc w:val="left"/>
              <w:rPr>
                <w:rFonts w:ascii="宋体" w:hAnsi="宋体"/>
                <w:b/>
                <w:bCs/>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cs="宋体"/>
                <w:sz w:val="21"/>
                <w:szCs w:val="21"/>
              </w:rPr>
            </w:pPr>
            <w:r>
              <w:rPr>
                <w:rFonts w:hint="eastAsia" w:ascii="宋体" w:hAnsi="宋体" w:cs="宋体"/>
                <w:sz w:val="21"/>
                <w:szCs w:val="21"/>
              </w:rPr>
              <w:t>3</w:t>
            </w:r>
          </w:p>
        </w:tc>
        <w:tc>
          <w:tcPr>
            <w:tcW w:w="3256"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政府采购促进残疾人就业</w:t>
            </w:r>
          </w:p>
        </w:tc>
        <w:tc>
          <w:tcPr>
            <w:tcW w:w="5529" w:type="dxa"/>
            <w:vAlign w:val="center"/>
          </w:tcPr>
          <w:p>
            <w:pPr>
              <w:adjustRightInd w:val="0"/>
              <w:snapToGrid w:val="0"/>
              <w:spacing w:line="288" w:lineRule="auto"/>
              <w:jc w:val="left"/>
              <w:rPr>
                <w:rFonts w:ascii="宋体" w:hAnsi="宋体" w:cs="宋体"/>
                <w:sz w:val="21"/>
                <w:szCs w:val="21"/>
              </w:rPr>
            </w:pPr>
            <w:r>
              <w:rPr>
                <w:rFonts w:hint="eastAsia" w:ascii="宋体" w:hAnsi="宋体" w:cs="宋体"/>
                <w:sz w:val="21"/>
                <w:szCs w:val="21"/>
              </w:rPr>
              <w:t>提供材料详见招标文件第六章“报价文件”</w:t>
            </w:r>
          </w:p>
        </w:tc>
      </w:tr>
      <w:bookmarkEnd w:id="30"/>
    </w:tbl>
    <w:p>
      <w:pPr>
        <w:adjustRightInd w:val="0"/>
        <w:snapToGrid w:val="0"/>
        <w:spacing w:line="288" w:lineRule="auto"/>
        <w:rPr>
          <w:rFonts w:ascii="宋体" w:hAnsi="宋体"/>
          <w:sz w:val="21"/>
          <w:szCs w:val="21"/>
        </w:rPr>
      </w:pPr>
    </w:p>
    <w:p>
      <w:pPr>
        <w:adjustRightInd w:val="0"/>
        <w:snapToGrid w:val="0"/>
        <w:spacing w:line="288" w:lineRule="auto"/>
        <w:outlineLvl w:val="1"/>
        <w:rPr>
          <w:rFonts w:ascii="宋体" w:hAnsi="宋体"/>
          <w:b/>
          <w:sz w:val="21"/>
          <w:szCs w:val="21"/>
          <w:highlight w:val="yellow"/>
        </w:rPr>
      </w:pPr>
      <w:r>
        <w:rPr>
          <w:rFonts w:hint="eastAsia" w:ascii="宋体" w:hAnsi="宋体"/>
          <w:b/>
          <w:sz w:val="21"/>
          <w:szCs w:val="21"/>
        </w:rPr>
        <w:t>二</w:t>
      </w:r>
      <w:r>
        <w:rPr>
          <w:rFonts w:ascii="宋体" w:hAnsi="宋体"/>
          <w:b/>
          <w:sz w:val="21"/>
          <w:szCs w:val="21"/>
        </w:rPr>
        <w:t>、</w:t>
      </w:r>
      <w:r>
        <w:rPr>
          <w:rFonts w:hint="eastAsia" w:ascii="宋体" w:hAnsi="宋体"/>
          <w:b/>
          <w:sz w:val="21"/>
          <w:szCs w:val="21"/>
        </w:rPr>
        <w:t>采购资金的支付方式、时间、条件：</w:t>
      </w:r>
    </w:p>
    <w:tbl>
      <w:tblPr>
        <w:tblStyle w:val="25"/>
        <w:tblW w:w="9493"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pacing w:val="-6"/>
                <w:sz w:val="21"/>
                <w:szCs w:val="21"/>
              </w:rPr>
            </w:pPr>
            <w:bookmarkStart w:id="31" w:name="_Hlk45005608"/>
            <w:r>
              <w:rPr>
                <w:rFonts w:hint="eastAsia" w:ascii="宋体" w:hAnsi="宋体"/>
                <w:b/>
                <w:spacing w:val="-6"/>
                <w:sz w:val="21"/>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1.货款支付方式：</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按每半年度结算，费用结算时成交供应商应提供结算日期相应的符合采购人财务规定的发票。</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2.货款的结算：</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开票信息：开具增值税普通发票；</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抬头：浙江大学海南研究院</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纳税人识别号：12460200MB1C497713</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地址：海南三亚崖州湾科技城用友产业园11号楼，电话0898-32807601</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开户行：中行三亚崖州科技支行</w:t>
            </w:r>
          </w:p>
          <w:p>
            <w:pPr>
              <w:widowControl/>
              <w:spacing w:line="288" w:lineRule="auto"/>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账号：266283657146</w:t>
            </w:r>
          </w:p>
          <w:p>
            <w:pPr>
              <w:widowControl/>
              <w:spacing w:line="288" w:lineRule="auto"/>
              <w:jc w:val="left"/>
              <w:rPr>
                <w:rFonts w:ascii="宋体" w:hAnsi="宋体" w:cs="宋体"/>
                <w:spacing w:val="-6"/>
                <w:kern w:val="0"/>
                <w:sz w:val="21"/>
                <w:szCs w:val="21"/>
                <w:highlight w:val="yellow"/>
              </w:rPr>
            </w:pPr>
            <w:r>
              <w:rPr>
                <w:rFonts w:hint="eastAsia" w:ascii="宋体" w:hAnsi="宋体" w:cs="宋体"/>
                <w:color w:val="000000"/>
                <w:kern w:val="0"/>
                <w:sz w:val="21"/>
                <w:szCs w:val="21"/>
                <w:lang w:bidi="ar"/>
              </w:rPr>
              <w:t>行号：104642005807</w:t>
            </w:r>
          </w:p>
        </w:tc>
      </w:tr>
      <w:bookmarkEnd w:id="31"/>
    </w:tbl>
    <w:p>
      <w:pPr>
        <w:adjustRightInd w:val="0"/>
        <w:snapToGrid w:val="0"/>
        <w:spacing w:line="288" w:lineRule="auto"/>
        <w:ind w:left="238" w:hanging="238" w:hangingChars="113"/>
        <w:rPr>
          <w:rFonts w:ascii="宋体" w:hAnsi="宋体"/>
          <w:b/>
          <w:sz w:val="21"/>
          <w:szCs w:val="21"/>
        </w:rPr>
      </w:pPr>
    </w:p>
    <w:p>
      <w:pPr>
        <w:adjustRightInd w:val="0"/>
        <w:snapToGrid w:val="0"/>
        <w:spacing w:line="288" w:lineRule="auto"/>
        <w:ind w:left="238" w:hanging="238" w:hangingChars="113"/>
        <w:outlineLvl w:val="1"/>
        <w:rPr>
          <w:rFonts w:ascii="宋体" w:hAnsi="宋体"/>
          <w:b/>
          <w:sz w:val="21"/>
          <w:szCs w:val="21"/>
        </w:rPr>
      </w:pPr>
      <w:r>
        <w:rPr>
          <w:rFonts w:hint="eastAsia" w:ascii="宋体" w:hAnsi="宋体"/>
          <w:b/>
          <w:sz w:val="21"/>
          <w:szCs w:val="21"/>
        </w:rPr>
        <w:t>三</w:t>
      </w:r>
      <w:r>
        <w:rPr>
          <w:rFonts w:ascii="宋体" w:hAnsi="宋体"/>
          <w:b/>
          <w:sz w:val="21"/>
          <w:szCs w:val="21"/>
        </w:rPr>
        <w:t>、</w:t>
      </w:r>
      <w:r>
        <w:rPr>
          <w:rFonts w:hint="eastAsia" w:ascii="宋体" w:hAnsi="宋体"/>
          <w:b/>
          <w:sz w:val="21"/>
          <w:szCs w:val="21"/>
        </w:rPr>
        <w:t>服务</w:t>
      </w:r>
      <w:r>
        <w:rPr>
          <w:rFonts w:ascii="宋体" w:hAnsi="宋体"/>
          <w:b/>
          <w:sz w:val="21"/>
          <w:szCs w:val="21"/>
        </w:rPr>
        <w:t>要求：</w:t>
      </w:r>
    </w:p>
    <w:p>
      <w:pPr>
        <w:pStyle w:val="79"/>
        <w:numPr>
          <w:ilvl w:val="1"/>
          <w:numId w:val="0"/>
        </w:numPr>
        <w:tabs>
          <w:tab w:val="clear" w:pos="360"/>
        </w:tabs>
        <w:adjustRightInd w:val="0"/>
        <w:snapToGrid w:val="0"/>
        <w:spacing w:line="288" w:lineRule="auto"/>
        <w:rPr>
          <w:rFonts w:ascii="宋体" w:hAnsi="宋体" w:cs="宋体"/>
          <w:sz w:val="21"/>
          <w:szCs w:val="21"/>
        </w:rPr>
      </w:pPr>
      <w:bookmarkStart w:id="32" w:name="_Toc156984284"/>
      <w:bookmarkStart w:id="33" w:name="_Toc311548872"/>
      <w:bookmarkStart w:id="34" w:name="_Toc312242373"/>
      <w:bookmarkStart w:id="35" w:name="_Toc153116390"/>
      <w:bookmarkStart w:id="36" w:name="_Toc310583535"/>
      <w:bookmarkStart w:id="37" w:name="_Toc135386750"/>
      <w:r>
        <w:rPr>
          <w:rFonts w:hint="eastAsia" w:ascii="宋体" w:hAnsi="宋体" w:cs="宋体"/>
          <w:bCs/>
          <w:sz w:val="21"/>
          <w:szCs w:val="21"/>
        </w:rPr>
        <w:t>1.服务</w:t>
      </w:r>
      <w:r>
        <w:rPr>
          <w:rFonts w:hint="eastAsia" w:ascii="宋体" w:hAnsi="宋体" w:cs="宋体"/>
          <w:sz w:val="21"/>
          <w:szCs w:val="21"/>
        </w:rPr>
        <w:t>说明</w:t>
      </w:r>
      <w:bookmarkEnd w:id="32"/>
      <w:bookmarkEnd w:id="33"/>
      <w:bookmarkEnd w:id="34"/>
      <w:bookmarkEnd w:id="35"/>
      <w:bookmarkEnd w:id="36"/>
      <w:bookmarkEnd w:id="37"/>
    </w:p>
    <w:p>
      <w:pPr>
        <w:pStyle w:val="81"/>
        <w:numPr>
          <w:ilvl w:val="2"/>
          <w:numId w:val="0"/>
        </w:numPr>
        <w:tabs>
          <w:tab w:val="left" w:pos="424"/>
        </w:tabs>
        <w:adjustRightInd w:val="0"/>
        <w:snapToGrid w:val="0"/>
        <w:spacing w:line="288" w:lineRule="auto"/>
        <w:rPr>
          <w:rFonts w:ascii="宋体" w:hAnsi="宋体" w:cs="宋体"/>
          <w:sz w:val="21"/>
          <w:szCs w:val="21"/>
        </w:rPr>
      </w:pPr>
      <w:r>
        <w:rPr>
          <w:rFonts w:hint="eastAsia" w:ascii="宋体" w:hAnsi="宋体" w:cs="宋体"/>
          <w:sz w:val="21"/>
          <w:szCs w:val="21"/>
        </w:rPr>
        <w:t>1.1服务概况</w:t>
      </w:r>
    </w:p>
    <w:p>
      <w:pPr>
        <w:pStyle w:val="80"/>
        <w:adjustRightInd w:val="0"/>
        <w:snapToGrid w:val="0"/>
        <w:spacing w:line="288" w:lineRule="auto"/>
        <w:ind w:firstLine="0"/>
        <w:rPr>
          <w:rFonts w:ascii="宋体" w:hAnsi="宋体" w:cs="宋体"/>
          <w:sz w:val="21"/>
          <w:szCs w:val="21"/>
        </w:rPr>
      </w:pPr>
      <w:r>
        <w:rPr>
          <w:rFonts w:hint="eastAsia" w:ascii="宋体" w:hAnsi="宋体" w:cs="宋体"/>
          <w:sz w:val="21"/>
          <w:szCs w:val="21"/>
        </w:rPr>
        <w:t>本项目为浙江大学（海南）先进技术与产业创新平台物业服务，项目建设地点位于三亚市崖州湾科技城。本项目建设科研试验楼，包括海洋智能机电装备技术中心和海洋信息探测技术中心；综合研发楼，包括SAR微纳卫星技术中心、深远海工程技术中心和校企联合技术中心等。本项目总建筑面积61173㎡，其中新建科研试验楼22619㎡，综合研发楼25549㎡，地上总建筑面积48168㎡，地下总建筑面积13005㎡（含人防工程3480㎡）。</w:t>
      </w:r>
    </w:p>
    <w:p>
      <w:pPr>
        <w:pStyle w:val="81"/>
        <w:numPr>
          <w:ilvl w:val="2"/>
          <w:numId w:val="0"/>
        </w:numPr>
        <w:tabs>
          <w:tab w:val="left" w:pos="424"/>
        </w:tabs>
        <w:adjustRightInd w:val="0"/>
        <w:snapToGrid w:val="0"/>
        <w:spacing w:line="288" w:lineRule="auto"/>
        <w:rPr>
          <w:rFonts w:ascii="宋体" w:hAnsi="宋体" w:cs="宋体"/>
          <w:b/>
          <w:bCs/>
          <w:sz w:val="21"/>
          <w:szCs w:val="21"/>
        </w:rPr>
      </w:pPr>
      <w:r>
        <w:rPr>
          <w:rFonts w:hint="eastAsia" w:ascii="宋体" w:hAnsi="宋体" w:cs="宋体"/>
          <w:b/>
          <w:bCs/>
          <w:sz w:val="21"/>
          <w:szCs w:val="21"/>
        </w:rPr>
        <w:t>1.2建筑启用安排计划</w:t>
      </w:r>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234"/>
        <w:gridCol w:w="1467"/>
        <w:gridCol w:w="951"/>
        <w:gridCol w:w="1086"/>
        <w:gridCol w:w="1232"/>
        <w:gridCol w:w="149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1"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时间</w:t>
            </w:r>
          </w:p>
        </w:tc>
        <w:tc>
          <w:tcPr>
            <w:tcW w:w="641"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开放层数量</w:t>
            </w:r>
          </w:p>
        </w:tc>
        <w:tc>
          <w:tcPr>
            <w:tcW w:w="762"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开放区域</w:t>
            </w:r>
          </w:p>
        </w:tc>
        <w:tc>
          <w:tcPr>
            <w:tcW w:w="494"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人员配备数</w:t>
            </w:r>
          </w:p>
        </w:tc>
        <w:tc>
          <w:tcPr>
            <w:tcW w:w="564"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时间</w:t>
            </w:r>
          </w:p>
        </w:tc>
        <w:tc>
          <w:tcPr>
            <w:tcW w:w="640"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开放层数量</w:t>
            </w:r>
          </w:p>
        </w:tc>
        <w:tc>
          <w:tcPr>
            <w:tcW w:w="776"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开放区域</w:t>
            </w:r>
          </w:p>
        </w:tc>
        <w:tc>
          <w:tcPr>
            <w:tcW w:w="519" w:type="pct"/>
            <w:vAlign w:val="center"/>
          </w:tcPr>
          <w:p>
            <w:pPr>
              <w:spacing w:line="240" w:lineRule="exact"/>
              <w:jc w:val="center"/>
              <w:rPr>
                <w:rFonts w:ascii="宋体" w:hAnsi="宋体" w:cs="宋体"/>
                <w:b/>
                <w:bCs/>
                <w:sz w:val="18"/>
                <w:szCs w:val="18"/>
              </w:rPr>
            </w:pPr>
            <w:r>
              <w:rPr>
                <w:rFonts w:hint="eastAsia" w:ascii="宋体" w:hAnsi="宋体" w:cs="宋体"/>
                <w:b/>
                <w:bCs/>
                <w:sz w:val="18"/>
                <w:szCs w:val="18"/>
              </w:rPr>
              <w:t>人员配备数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Merge w:val="restart"/>
            <w:vAlign w:val="center"/>
          </w:tcPr>
          <w:p>
            <w:pPr>
              <w:spacing w:line="320" w:lineRule="exact"/>
              <w:jc w:val="center"/>
              <w:rPr>
                <w:rFonts w:ascii="宋体" w:hAnsi="宋体" w:cs="宋体"/>
                <w:b/>
                <w:bCs/>
                <w:sz w:val="18"/>
                <w:szCs w:val="18"/>
              </w:rPr>
            </w:pPr>
            <w:r>
              <w:rPr>
                <w:rFonts w:hint="eastAsia" w:ascii="宋体" w:hAnsi="宋体" w:cs="宋体"/>
                <w:b/>
                <w:bCs/>
                <w:sz w:val="18"/>
                <w:szCs w:val="18"/>
              </w:rPr>
              <w:t>2024年第二季度</w:t>
            </w:r>
          </w:p>
        </w:tc>
        <w:tc>
          <w:tcPr>
            <w:tcW w:w="641" w:type="pct"/>
            <w:vAlign w:val="center"/>
          </w:tcPr>
          <w:p>
            <w:pPr>
              <w:spacing w:line="360" w:lineRule="auto"/>
              <w:jc w:val="center"/>
              <w:rPr>
                <w:rFonts w:ascii="宋体" w:hAnsi="宋体" w:cs="宋体"/>
                <w:sz w:val="18"/>
                <w:szCs w:val="18"/>
              </w:rPr>
            </w:pPr>
            <w:r>
              <w:rPr>
                <w:rFonts w:hint="eastAsia" w:ascii="宋体" w:hAnsi="宋体" w:cs="宋体"/>
                <w:sz w:val="18"/>
                <w:szCs w:val="18"/>
              </w:rPr>
              <w:t>5个楼层</w:t>
            </w:r>
          </w:p>
        </w:tc>
        <w:tc>
          <w:tcPr>
            <w:tcW w:w="762" w:type="pct"/>
            <w:vAlign w:val="center"/>
          </w:tcPr>
          <w:p>
            <w:pPr>
              <w:spacing w:line="360" w:lineRule="auto"/>
              <w:jc w:val="center"/>
              <w:rPr>
                <w:rFonts w:ascii="宋体" w:hAnsi="宋体" w:cs="宋体"/>
                <w:sz w:val="18"/>
                <w:szCs w:val="18"/>
              </w:rPr>
            </w:pPr>
            <w:r>
              <w:rPr>
                <w:rFonts w:hint="eastAsia" w:ascii="宋体" w:hAnsi="宋体" w:cs="宋体"/>
                <w:sz w:val="18"/>
                <w:szCs w:val="18"/>
              </w:rPr>
              <w:t>科研试验主楼</w:t>
            </w:r>
          </w:p>
        </w:tc>
        <w:tc>
          <w:tcPr>
            <w:tcW w:w="494"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564" w:type="pct"/>
            <w:vMerge w:val="restart"/>
            <w:vAlign w:val="center"/>
          </w:tcPr>
          <w:p>
            <w:pPr>
              <w:spacing w:line="320" w:lineRule="exact"/>
              <w:jc w:val="center"/>
              <w:rPr>
                <w:rFonts w:ascii="宋体" w:hAnsi="宋体" w:cs="宋体"/>
                <w:b/>
                <w:bCs/>
                <w:sz w:val="18"/>
                <w:szCs w:val="18"/>
              </w:rPr>
            </w:pPr>
            <w:r>
              <w:rPr>
                <w:rFonts w:hint="eastAsia" w:ascii="宋体" w:hAnsi="宋体" w:cs="宋体"/>
                <w:b/>
                <w:bCs/>
                <w:sz w:val="18"/>
                <w:szCs w:val="18"/>
              </w:rPr>
              <w:t>2025年第一季度</w:t>
            </w:r>
          </w:p>
        </w:tc>
        <w:tc>
          <w:tcPr>
            <w:tcW w:w="640" w:type="pct"/>
            <w:vAlign w:val="center"/>
          </w:tcPr>
          <w:p>
            <w:pPr>
              <w:spacing w:line="360" w:lineRule="auto"/>
              <w:jc w:val="center"/>
              <w:rPr>
                <w:rFonts w:ascii="宋体" w:hAnsi="宋体" w:cs="宋体"/>
                <w:sz w:val="18"/>
                <w:szCs w:val="18"/>
              </w:rPr>
            </w:pPr>
            <w:r>
              <w:rPr>
                <w:rFonts w:hint="eastAsia" w:ascii="宋体" w:hAnsi="宋体" w:cs="宋体"/>
                <w:sz w:val="18"/>
                <w:szCs w:val="18"/>
              </w:rPr>
              <w:t>1个楼层</w:t>
            </w:r>
          </w:p>
        </w:tc>
        <w:tc>
          <w:tcPr>
            <w:tcW w:w="776" w:type="pct"/>
            <w:vAlign w:val="center"/>
          </w:tcPr>
          <w:p>
            <w:pPr>
              <w:spacing w:line="360" w:lineRule="auto"/>
              <w:jc w:val="center"/>
              <w:rPr>
                <w:rFonts w:ascii="宋体" w:hAnsi="宋体" w:cs="宋体"/>
                <w:sz w:val="18"/>
                <w:szCs w:val="18"/>
              </w:rPr>
            </w:pPr>
            <w:r>
              <w:rPr>
                <w:rFonts w:hint="eastAsia" w:ascii="宋体" w:hAnsi="宋体" w:cs="宋体"/>
                <w:sz w:val="18"/>
                <w:szCs w:val="18"/>
              </w:rPr>
              <w:t>科研试验主楼</w:t>
            </w:r>
          </w:p>
        </w:tc>
        <w:tc>
          <w:tcPr>
            <w:tcW w:w="519"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Merge w:val="continue"/>
            <w:vAlign w:val="center"/>
          </w:tcPr>
          <w:p>
            <w:pPr>
              <w:spacing w:line="320" w:lineRule="exact"/>
              <w:jc w:val="center"/>
              <w:rPr>
                <w:rFonts w:ascii="宋体" w:hAnsi="宋体" w:cs="宋体"/>
                <w:b/>
                <w:bCs/>
                <w:sz w:val="18"/>
                <w:szCs w:val="18"/>
              </w:rPr>
            </w:pPr>
          </w:p>
        </w:tc>
        <w:tc>
          <w:tcPr>
            <w:tcW w:w="641" w:type="pct"/>
            <w:vAlign w:val="center"/>
          </w:tcPr>
          <w:p>
            <w:pPr>
              <w:spacing w:line="360" w:lineRule="auto"/>
              <w:jc w:val="center"/>
              <w:rPr>
                <w:rFonts w:ascii="宋体" w:hAnsi="宋体" w:cs="宋体"/>
                <w:sz w:val="18"/>
                <w:szCs w:val="18"/>
              </w:rPr>
            </w:pPr>
            <w:r>
              <w:rPr>
                <w:rFonts w:hint="eastAsia" w:ascii="宋体" w:hAnsi="宋体" w:cs="宋体"/>
                <w:sz w:val="18"/>
                <w:szCs w:val="18"/>
              </w:rPr>
              <w:t>2个楼层</w:t>
            </w:r>
          </w:p>
        </w:tc>
        <w:tc>
          <w:tcPr>
            <w:tcW w:w="762" w:type="pct"/>
            <w:vAlign w:val="center"/>
          </w:tcPr>
          <w:p>
            <w:pPr>
              <w:spacing w:line="360" w:lineRule="auto"/>
              <w:jc w:val="center"/>
              <w:rPr>
                <w:rFonts w:ascii="宋体" w:hAnsi="宋体" w:cs="宋体"/>
                <w:sz w:val="18"/>
                <w:szCs w:val="18"/>
              </w:rPr>
            </w:pPr>
            <w:r>
              <w:rPr>
                <w:rFonts w:hint="eastAsia" w:ascii="宋体" w:hAnsi="宋体" w:cs="宋体"/>
                <w:sz w:val="18"/>
                <w:szCs w:val="18"/>
              </w:rPr>
              <w:t>综合楼</w:t>
            </w:r>
          </w:p>
        </w:tc>
        <w:tc>
          <w:tcPr>
            <w:tcW w:w="494" w:type="pct"/>
            <w:vMerge w:val="continue"/>
            <w:vAlign w:val="center"/>
          </w:tcPr>
          <w:p>
            <w:pPr>
              <w:spacing w:line="360" w:lineRule="auto"/>
              <w:jc w:val="center"/>
              <w:rPr>
                <w:rFonts w:ascii="宋体" w:hAnsi="宋体" w:cs="宋体"/>
                <w:sz w:val="18"/>
                <w:szCs w:val="18"/>
              </w:rPr>
            </w:pPr>
          </w:p>
        </w:tc>
        <w:tc>
          <w:tcPr>
            <w:tcW w:w="564" w:type="pct"/>
            <w:vMerge w:val="continue"/>
            <w:vAlign w:val="center"/>
          </w:tcPr>
          <w:p>
            <w:pPr>
              <w:spacing w:line="320" w:lineRule="exact"/>
              <w:jc w:val="center"/>
              <w:rPr>
                <w:rFonts w:ascii="宋体" w:hAnsi="宋体" w:cs="宋体"/>
                <w:b/>
                <w:bCs/>
                <w:sz w:val="18"/>
                <w:szCs w:val="18"/>
              </w:rPr>
            </w:pPr>
          </w:p>
        </w:tc>
        <w:tc>
          <w:tcPr>
            <w:tcW w:w="640" w:type="pct"/>
            <w:vAlign w:val="center"/>
          </w:tcPr>
          <w:p>
            <w:pPr>
              <w:spacing w:line="360" w:lineRule="auto"/>
              <w:jc w:val="center"/>
              <w:rPr>
                <w:rFonts w:ascii="宋体" w:hAnsi="宋体" w:cs="宋体"/>
                <w:sz w:val="18"/>
                <w:szCs w:val="18"/>
              </w:rPr>
            </w:pPr>
            <w:r>
              <w:rPr>
                <w:rFonts w:hint="eastAsia" w:ascii="宋体" w:hAnsi="宋体" w:cs="宋体"/>
                <w:sz w:val="18"/>
                <w:szCs w:val="18"/>
              </w:rPr>
              <w:t>1个楼层</w:t>
            </w:r>
          </w:p>
        </w:tc>
        <w:tc>
          <w:tcPr>
            <w:tcW w:w="776" w:type="pct"/>
            <w:vAlign w:val="center"/>
          </w:tcPr>
          <w:p>
            <w:pPr>
              <w:spacing w:line="360" w:lineRule="auto"/>
              <w:jc w:val="center"/>
              <w:rPr>
                <w:rFonts w:ascii="宋体" w:hAnsi="宋体" w:cs="宋体"/>
                <w:sz w:val="18"/>
                <w:szCs w:val="18"/>
              </w:rPr>
            </w:pPr>
            <w:r>
              <w:rPr>
                <w:rFonts w:hint="eastAsia" w:ascii="宋体" w:hAnsi="宋体" w:cs="宋体"/>
                <w:sz w:val="18"/>
                <w:szCs w:val="18"/>
              </w:rPr>
              <w:t>综合楼</w:t>
            </w:r>
          </w:p>
        </w:tc>
        <w:tc>
          <w:tcPr>
            <w:tcW w:w="519" w:type="pct"/>
            <w:vMerge w:val="continue"/>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Merge w:val="restart"/>
            <w:vAlign w:val="center"/>
          </w:tcPr>
          <w:p>
            <w:pPr>
              <w:spacing w:line="320" w:lineRule="exact"/>
              <w:jc w:val="center"/>
              <w:rPr>
                <w:rFonts w:ascii="宋体" w:hAnsi="宋体" w:cs="宋体"/>
                <w:b/>
                <w:bCs/>
                <w:sz w:val="18"/>
                <w:szCs w:val="18"/>
              </w:rPr>
            </w:pPr>
            <w:r>
              <w:rPr>
                <w:rFonts w:hint="eastAsia" w:ascii="宋体" w:hAnsi="宋体" w:cs="宋体"/>
                <w:b/>
                <w:bCs/>
                <w:sz w:val="18"/>
                <w:szCs w:val="18"/>
              </w:rPr>
              <w:t>2024年第三季度</w:t>
            </w:r>
          </w:p>
        </w:tc>
        <w:tc>
          <w:tcPr>
            <w:tcW w:w="641" w:type="pct"/>
            <w:vAlign w:val="center"/>
          </w:tcPr>
          <w:p>
            <w:pPr>
              <w:spacing w:line="360" w:lineRule="auto"/>
              <w:jc w:val="center"/>
              <w:rPr>
                <w:rFonts w:ascii="宋体" w:hAnsi="宋体" w:cs="宋体"/>
                <w:sz w:val="18"/>
                <w:szCs w:val="18"/>
              </w:rPr>
            </w:pPr>
            <w:r>
              <w:rPr>
                <w:rFonts w:hint="eastAsia" w:ascii="宋体" w:hAnsi="宋体" w:cs="宋体"/>
                <w:sz w:val="18"/>
                <w:szCs w:val="18"/>
              </w:rPr>
              <w:t>0个楼层</w:t>
            </w:r>
          </w:p>
        </w:tc>
        <w:tc>
          <w:tcPr>
            <w:tcW w:w="762" w:type="pct"/>
            <w:vAlign w:val="center"/>
          </w:tcPr>
          <w:p>
            <w:pPr>
              <w:spacing w:line="360" w:lineRule="auto"/>
              <w:jc w:val="center"/>
              <w:rPr>
                <w:rFonts w:ascii="宋体" w:hAnsi="宋体" w:cs="宋体"/>
                <w:sz w:val="18"/>
                <w:szCs w:val="18"/>
              </w:rPr>
            </w:pPr>
            <w:r>
              <w:rPr>
                <w:rFonts w:hint="eastAsia" w:ascii="宋体" w:hAnsi="宋体" w:cs="宋体"/>
                <w:sz w:val="18"/>
                <w:szCs w:val="18"/>
              </w:rPr>
              <w:t>科研试验主楼</w:t>
            </w:r>
          </w:p>
        </w:tc>
        <w:tc>
          <w:tcPr>
            <w:tcW w:w="494"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564" w:type="pct"/>
            <w:vAlign w:val="center"/>
          </w:tcPr>
          <w:p>
            <w:pPr>
              <w:spacing w:line="320" w:lineRule="exact"/>
              <w:jc w:val="center"/>
              <w:rPr>
                <w:rFonts w:ascii="宋体" w:hAnsi="宋体" w:cs="宋体"/>
                <w:b/>
                <w:bCs/>
                <w:sz w:val="18"/>
                <w:szCs w:val="18"/>
              </w:rPr>
            </w:pPr>
            <w:r>
              <w:rPr>
                <w:rFonts w:hint="eastAsia" w:ascii="宋体" w:hAnsi="宋体" w:cs="宋体"/>
                <w:b/>
                <w:bCs/>
                <w:sz w:val="18"/>
                <w:szCs w:val="18"/>
              </w:rPr>
              <w:t>2025年第二季度</w:t>
            </w:r>
          </w:p>
        </w:tc>
        <w:tc>
          <w:tcPr>
            <w:tcW w:w="640" w:type="pct"/>
            <w:vAlign w:val="center"/>
          </w:tcPr>
          <w:p>
            <w:pPr>
              <w:spacing w:line="360" w:lineRule="auto"/>
              <w:jc w:val="center"/>
              <w:rPr>
                <w:rFonts w:ascii="宋体" w:hAnsi="宋体" w:cs="宋体"/>
                <w:sz w:val="18"/>
                <w:szCs w:val="18"/>
              </w:rPr>
            </w:pPr>
            <w:r>
              <w:rPr>
                <w:rFonts w:hint="eastAsia" w:ascii="宋体" w:hAnsi="宋体" w:cs="宋体"/>
                <w:sz w:val="18"/>
                <w:szCs w:val="18"/>
              </w:rPr>
              <w:t>1个楼层</w:t>
            </w:r>
          </w:p>
        </w:tc>
        <w:tc>
          <w:tcPr>
            <w:tcW w:w="776" w:type="pct"/>
            <w:vAlign w:val="center"/>
          </w:tcPr>
          <w:p>
            <w:pPr>
              <w:spacing w:line="360" w:lineRule="auto"/>
              <w:jc w:val="center"/>
              <w:rPr>
                <w:rFonts w:ascii="宋体" w:hAnsi="宋体" w:cs="宋体"/>
                <w:sz w:val="18"/>
                <w:szCs w:val="18"/>
              </w:rPr>
            </w:pPr>
            <w:r>
              <w:rPr>
                <w:rFonts w:hint="eastAsia" w:ascii="宋体" w:hAnsi="宋体" w:cs="宋体"/>
                <w:sz w:val="18"/>
                <w:szCs w:val="18"/>
              </w:rPr>
              <w:t>综合楼</w:t>
            </w:r>
          </w:p>
        </w:tc>
        <w:tc>
          <w:tcPr>
            <w:tcW w:w="519" w:type="pct"/>
            <w:vAlign w:val="center"/>
          </w:tcPr>
          <w:p>
            <w:pPr>
              <w:spacing w:line="360" w:lineRule="auto"/>
              <w:jc w:val="center"/>
              <w:rPr>
                <w:rFonts w:ascii="宋体" w:hAnsi="宋体" w:cs="宋体"/>
                <w:sz w:val="18"/>
                <w:szCs w:val="18"/>
              </w:rPr>
            </w:pPr>
            <w:r>
              <w:rPr>
                <w:rFonts w:hint="eastAsia"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Merge w:val="continue"/>
            <w:vAlign w:val="center"/>
          </w:tcPr>
          <w:p>
            <w:pPr>
              <w:spacing w:line="360" w:lineRule="auto"/>
              <w:jc w:val="center"/>
              <w:rPr>
                <w:rFonts w:ascii="宋体" w:hAnsi="宋体" w:cs="宋体"/>
                <w:b/>
                <w:bCs/>
                <w:sz w:val="18"/>
                <w:szCs w:val="18"/>
              </w:rPr>
            </w:pPr>
          </w:p>
        </w:tc>
        <w:tc>
          <w:tcPr>
            <w:tcW w:w="641" w:type="pct"/>
            <w:vAlign w:val="center"/>
          </w:tcPr>
          <w:p>
            <w:pPr>
              <w:spacing w:line="360" w:lineRule="auto"/>
              <w:jc w:val="center"/>
              <w:rPr>
                <w:rFonts w:ascii="宋体" w:hAnsi="宋体" w:cs="宋体"/>
                <w:sz w:val="18"/>
                <w:szCs w:val="18"/>
              </w:rPr>
            </w:pPr>
            <w:r>
              <w:rPr>
                <w:rFonts w:hint="eastAsia" w:ascii="宋体" w:hAnsi="宋体" w:cs="宋体"/>
                <w:sz w:val="18"/>
                <w:szCs w:val="18"/>
              </w:rPr>
              <w:t>0个楼层</w:t>
            </w:r>
          </w:p>
        </w:tc>
        <w:tc>
          <w:tcPr>
            <w:tcW w:w="762" w:type="pct"/>
            <w:vAlign w:val="center"/>
          </w:tcPr>
          <w:p>
            <w:pPr>
              <w:spacing w:line="360" w:lineRule="auto"/>
              <w:jc w:val="center"/>
              <w:rPr>
                <w:rFonts w:ascii="宋体" w:hAnsi="宋体" w:cs="宋体"/>
                <w:sz w:val="18"/>
                <w:szCs w:val="18"/>
              </w:rPr>
            </w:pPr>
            <w:r>
              <w:rPr>
                <w:rFonts w:hint="eastAsia" w:ascii="宋体" w:hAnsi="宋体" w:cs="宋体"/>
                <w:sz w:val="18"/>
                <w:szCs w:val="18"/>
              </w:rPr>
              <w:t>综合楼</w:t>
            </w:r>
          </w:p>
        </w:tc>
        <w:tc>
          <w:tcPr>
            <w:tcW w:w="494" w:type="pct"/>
            <w:vMerge w:val="continue"/>
            <w:vAlign w:val="center"/>
          </w:tcPr>
          <w:p>
            <w:pPr>
              <w:spacing w:line="360" w:lineRule="auto"/>
              <w:jc w:val="center"/>
              <w:rPr>
                <w:rFonts w:ascii="宋体" w:hAnsi="宋体" w:cs="宋体"/>
                <w:sz w:val="18"/>
                <w:szCs w:val="18"/>
              </w:rPr>
            </w:pPr>
          </w:p>
        </w:tc>
        <w:tc>
          <w:tcPr>
            <w:tcW w:w="564" w:type="pct"/>
            <w:vAlign w:val="center"/>
          </w:tcPr>
          <w:p>
            <w:pPr>
              <w:spacing w:line="320" w:lineRule="exact"/>
              <w:jc w:val="center"/>
              <w:rPr>
                <w:rFonts w:ascii="宋体" w:hAnsi="宋体" w:cs="宋体"/>
                <w:b/>
                <w:bCs/>
                <w:sz w:val="18"/>
                <w:szCs w:val="18"/>
              </w:rPr>
            </w:pPr>
            <w:r>
              <w:rPr>
                <w:rFonts w:hint="eastAsia" w:ascii="宋体" w:hAnsi="宋体" w:cs="宋体"/>
                <w:b/>
                <w:bCs/>
                <w:sz w:val="18"/>
                <w:szCs w:val="18"/>
              </w:rPr>
              <w:t>2025年第三季度</w:t>
            </w:r>
          </w:p>
        </w:tc>
        <w:tc>
          <w:tcPr>
            <w:tcW w:w="640" w:type="pct"/>
            <w:vAlign w:val="center"/>
          </w:tcPr>
          <w:p>
            <w:pPr>
              <w:spacing w:line="360" w:lineRule="auto"/>
              <w:jc w:val="center"/>
              <w:rPr>
                <w:rFonts w:ascii="宋体" w:hAnsi="宋体" w:cs="宋体"/>
                <w:sz w:val="18"/>
                <w:szCs w:val="18"/>
              </w:rPr>
            </w:pPr>
            <w:r>
              <w:rPr>
                <w:rFonts w:hint="eastAsia" w:ascii="宋体" w:hAnsi="宋体" w:cs="宋体"/>
                <w:sz w:val="18"/>
                <w:szCs w:val="18"/>
              </w:rPr>
              <w:t>1个楼层</w:t>
            </w:r>
          </w:p>
        </w:tc>
        <w:tc>
          <w:tcPr>
            <w:tcW w:w="776" w:type="pct"/>
            <w:vAlign w:val="center"/>
          </w:tcPr>
          <w:p>
            <w:pPr>
              <w:spacing w:line="360" w:lineRule="auto"/>
              <w:jc w:val="center"/>
              <w:rPr>
                <w:rFonts w:ascii="宋体" w:hAnsi="宋体" w:cs="宋体"/>
                <w:sz w:val="18"/>
                <w:szCs w:val="18"/>
              </w:rPr>
            </w:pPr>
            <w:r>
              <w:rPr>
                <w:rFonts w:hint="eastAsia" w:ascii="宋体" w:hAnsi="宋体" w:cs="宋体"/>
                <w:sz w:val="18"/>
                <w:szCs w:val="18"/>
              </w:rPr>
              <w:t>综合楼</w:t>
            </w:r>
          </w:p>
        </w:tc>
        <w:tc>
          <w:tcPr>
            <w:tcW w:w="519" w:type="pct"/>
            <w:vAlign w:val="center"/>
          </w:tcPr>
          <w:p>
            <w:pPr>
              <w:spacing w:line="360" w:lineRule="auto"/>
              <w:jc w:val="center"/>
              <w:rPr>
                <w:rFonts w:ascii="宋体" w:hAnsi="宋体" w:cs="宋体"/>
                <w:sz w:val="18"/>
                <w:szCs w:val="18"/>
              </w:rPr>
            </w:pPr>
            <w:r>
              <w:rPr>
                <w:rFonts w:hint="eastAsia"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Merge w:val="restart"/>
            <w:vAlign w:val="center"/>
          </w:tcPr>
          <w:p>
            <w:pPr>
              <w:spacing w:line="320" w:lineRule="exact"/>
              <w:jc w:val="center"/>
              <w:rPr>
                <w:rFonts w:ascii="宋体" w:hAnsi="宋体" w:cs="宋体"/>
                <w:b/>
                <w:bCs/>
                <w:sz w:val="18"/>
                <w:szCs w:val="18"/>
              </w:rPr>
            </w:pPr>
            <w:r>
              <w:rPr>
                <w:rFonts w:hint="eastAsia" w:ascii="宋体" w:hAnsi="宋体" w:cs="宋体"/>
                <w:b/>
                <w:bCs/>
                <w:sz w:val="18"/>
                <w:szCs w:val="18"/>
              </w:rPr>
              <w:t>2024年第四季度</w:t>
            </w:r>
          </w:p>
        </w:tc>
        <w:tc>
          <w:tcPr>
            <w:tcW w:w="641" w:type="pct"/>
            <w:vAlign w:val="center"/>
          </w:tcPr>
          <w:p>
            <w:pPr>
              <w:spacing w:line="360" w:lineRule="auto"/>
              <w:jc w:val="center"/>
              <w:rPr>
                <w:rFonts w:ascii="宋体" w:hAnsi="宋体" w:cs="宋体"/>
                <w:sz w:val="18"/>
                <w:szCs w:val="18"/>
              </w:rPr>
            </w:pPr>
            <w:r>
              <w:rPr>
                <w:rFonts w:hint="eastAsia" w:ascii="宋体" w:hAnsi="宋体" w:cs="宋体"/>
                <w:sz w:val="18"/>
                <w:szCs w:val="18"/>
              </w:rPr>
              <w:t>0个楼层</w:t>
            </w:r>
          </w:p>
        </w:tc>
        <w:tc>
          <w:tcPr>
            <w:tcW w:w="762" w:type="pct"/>
            <w:vAlign w:val="center"/>
          </w:tcPr>
          <w:p>
            <w:pPr>
              <w:spacing w:line="360" w:lineRule="auto"/>
              <w:jc w:val="center"/>
              <w:rPr>
                <w:rFonts w:ascii="宋体" w:hAnsi="宋体" w:cs="宋体"/>
                <w:sz w:val="18"/>
                <w:szCs w:val="18"/>
              </w:rPr>
            </w:pPr>
            <w:r>
              <w:rPr>
                <w:rFonts w:hint="eastAsia" w:ascii="宋体" w:hAnsi="宋体" w:cs="宋体"/>
                <w:sz w:val="18"/>
                <w:szCs w:val="18"/>
              </w:rPr>
              <w:t>科研试验主楼</w:t>
            </w:r>
          </w:p>
        </w:tc>
        <w:tc>
          <w:tcPr>
            <w:tcW w:w="494"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564" w:type="pct"/>
            <w:vAlign w:val="center"/>
          </w:tcPr>
          <w:p>
            <w:pPr>
              <w:spacing w:line="320" w:lineRule="exact"/>
              <w:jc w:val="center"/>
              <w:rPr>
                <w:rFonts w:ascii="宋体" w:hAnsi="宋体" w:cs="宋体"/>
                <w:b/>
                <w:bCs/>
                <w:sz w:val="18"/>
                <w:szCs w:val="18"/>
              </w:rPr>
            </w:pPr>
            <w:r>
              <w:rPr>
                <w:rFonts w:hint="eastAsia" w:ascii="宋体" w:hAnsi="宋体" w:cs="宋体"/>
                <w:b/>
                <w:bCs/>
                <w:sz w:val="18"/>
                <w:szCs w:val="18"/>
              </w:rPr>
              <w:t>2025年第四季度</w:t>
            </w:r>
          </w:p>
        </w:tc>
        <w:tc>
          <w:tcPr>
            <w:tcW w:w="640" w:type="pct"/>
            <w:vAlign w:val="center"/>
          </w:tcPr>
          <w:p>
            <w:pPr>
              <w:spacing w:line="360" w:lineRule="auto"/>
              <w:jc w:val="center"/>
              <w:rPr>
                <w:rFonts w:ascii="宋体" w:hAnsi="宋体" w:cs="宋体"/>
                <w:sz w:val="18"/>
                <w:szCs w:val="18"/>
              </w:rPr>
            </w:pPr>
            <w:r>
              <w:rPr>
                <w:rFonts w:hint="eastAsia" w:ascii="宋体" w:hAnsi="宋体" w:cs="宋体"/>
                <w:sz w:val="18"/>
                <w:szCs w:val="18"/>
              </w:rPr>
              <w:t>1个楼层</w:t>
            </w:r>
          </w:p>
        </w:tc>
        <w:tc>
          <w:tcPr>
            <w:tcW w:w="776" w:type="pct"/>
            <w:vAlign w:val="center"/>
          </w:tcPr>
          <w:p>
            <w:pPr>
              <w:spacing w:line="360" w:lineRule="auto"/>
              <w:jc w:val="center"/>
              <w:rPr>
                <w:rFonts w:ascii="宋体" w:hAnsi="宋体" w:cs="宋体"/>
                <w:sz w:val="18"/>
                <w:szCs w:val="18"/>
              </w:rPr>
            </w:pPr>
            <w:r>
              <w:rPr>
                <w:rFonts w:hint="eastAsia" w:ascii="宋体" w:hAnsi="宋体" w:cs="宋体"/>
                <w:sz w:val="18"/>
                <w:szCs w:val="18"/>
              </w:rPr>
              <w:t>综合楼</w:t>
            </w:r>
          </w:p>
        </w:tc>
        <w:tc>
          <w:tcPr>
            <w:tcW w:w="519" w:type="pct"/>
            <w:vAlign w:val="center"/>
          </w:tcPr>
          <w:p>
            <w:pPr>
              <w:spacing w:line="360" w:lineRule="auto"/>
              <w:jc w:val="center"/>
              <w:rPr>
                <w:rFonts w:ascii="宋体" w:hAnsi="宋体" w:cs="宋体"/>
                <w:sz w:val="18"/>
                <w:szCs w:val="18"/>
              </w:rPr>
            </w:pPr>
            <w:r>
              <w:rPr>
                <w:rFonts w:hint="eastAsia"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vMerge w:val="continue"/>
            <w:vAlign w:val="center"/>
          </w:tcPr>
          <w:p>
            <w:pPr>
              <w:spacing w:line="360" w:lineRule="auto"/>
              <w:jc w:val="center"/>
              <w:rPr>
                <w:rFonts w:ascii="宋体" w:hAnsi="宋体" w:cs="宋体"/>
                <w:sz w:val="18"/>
                <w:szCs w:val="18"/>
              </w:rPr>
            </w:pPr>
          </w:p>
        </w:tc>
        <w:tc>
          <w:tcPr>
            <w:tcW w:w="641" w:type="pct"/>
            <w:vAlign w:val="center"/>
          </w:tcPr>
          <w:p>
            <w:pPr>
              <w:spacing w:line="360" w:lineRule="auto"/>
              <w:jc w:val="center"/>
              <w:rPr>
                <w:rFonts w:ascii="宋体" w:hAnsi="宋体" w:cs="宋体"/>
                <w:sz w:val="18"/>
                <w:szCs w:val="18"/>
              </w:rPr>
            </w:pPr>
            <w:r>
              <w:rPr>
                <w:rFonts w:hint="eastAsia" w:ascii="宋体" w:hAnsi="宋体" w:cs="宋体"/>
                <w:sz w:val="18"/>
                <w:szCs w:val="18"/>
              </w:rPr>
              <w:t>1个楼层</w:t>
            </w:r>
          </w:p>
        </w:tc>
        <w:tc>
          <w:tcPr>
            <w:tcW w:w="762" w:type="pct"/>
            <w:vAlign w:val="center"/>
          </w:tcPr>
          <w:p>
            <w:pPr>
              <w:spacing w:line="360" w:lineRule="auto"/>
              <w:jc w:val="center"/>
              <w:rPr>
                <w:rFonts w:ascii="宋体" w:hAnsi="宋体" w:cs="宋体"/>
                <w:sz w:val="18"/>
                <w:szCs w:val="18"/>
              </w:rPr>
            </w:pPr>
            <w:r>
              <w:rPr>
                <w:rFonts w:hint="eastAsia" w:ascii="宋体" w:hAnsi="宋体" w:cs="宋体"/>
                <w:sz w:val="18"/>
                <w:szCs w:val="18"/>
              </w:rPr>
              <w:t>综合楼</w:t>
            </w:r>
          </w:p>
        </w:tc>
        <w:tc>
          <w:tcPr>
            <w:tcW w:w="494" w:type="pct"/>
            <w:vMerge w:val="continue"/>
            <w:vAlign w:val="center"/>
          </w:tcPr>
          <w:p>
            <w:pPr>
              <w:spacing w:line="360" w:lineRule="auto"/>
              <w:jc w:val="center"/>
              <w:rPr>
                <w:rFonts w:ascii="宋体" w:hAnsi="宋体" w:cs="宋体"/>
                <w:sz w:val="18"/>
                <w:szCs w:val="18"/>
              </w:rPr>
            </w:pPr>
          </w:p>
        </w:tc>
        <w:tc>
          <w:tcPr>
            <w:tcW w:w="564"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w:t>
            </w:r>
          </w:p>
        </w:tc>
        <w:tc>
          <w:tcPr>
            <w:tcW w:w="640"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w:t>
            </w:r>
          </w:p>
        </w:tc>
        <w:tc>
          <w:tcPr>
            <w:tcW w:w="776"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w:t>
            </w:r>
          </w:p>
        </w:tc>
        <w:tc>
          <w:tcPr>
            <w:tcW w:w="519" w:type="pct"/>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01" w:type="pct"/>
            <w:vMerge w:val="continue"/>
            <w:vAlign w:val="center"/>
          </w:tcPr>
          <w:p>
            <w:pPr>
              <w:spacing w:line="360" w:lineRule="auto"/>
              <w:jc w:val="center"/>
              <w:rPr>
                <w:rFonts w:ascii="宋体" w:hAnsi="宋体" w:cs="宋体"/>
                <w:sz w:val="18"/>
                <w:szCs w:val="18"/>
              </w:rPr>
            </w:pPr>
          </w:p>
        </w:tc>
        <w:tc>
          <w:tcPr>
            <w:tcW w:w="641" w:type="pct"/>
            <w:vAlign w:val="center"/>
          </w:tcPr>
          <w:p>
            <w:pPr>
              <w:spacing w:line="360" w:lineRule="auto"/>
              <w:jc w:val="center"/>
              <w:rPr>
                <w:rFonts w:ascii="宋体" w:hAnsi="宋体" w:cs="宋体"/>
                <w:sz w:val="18"/>
                <w:szCs w:val="18"/>
              </w:rPr>
            </w:pPr>
            <w:r>
              <w:rPr>
                <w:rFonts w:hint="eastAsia" w:ascii="宋体" w:hAnsi="宋体" w:cs="宋体"/>
                <w:sz w:val="18"/>
                <w:szCs w:val="18"/>
              </w:rPr>
              <w:t>辅楼</w:t>
            </w:r>
          </w:p>
        </w:tc>
        <w:tc>
          <w:tcPr>
            <w:tcW w:w="762" w:type="pct"/>
            <w:vAlign w:val="center"/>
          </w:tcPr>
          <w:p>
            <w:pPr>
              <w:spacing w:line="360" w:lineRule="auto"/>
              <w:jc w:val="center"/>
              <w:rPr>
                <w:rFonts w:ascii="宋体" w:hAnsi="宋体" w:cs="宋体"/>
                <w:sz w:val="18"/>
                <w:szCs w:val="18"/>
              </w:rPr>
            </w:pPr>
            <w:r>
              <w:rPr>
                <w:rFonts w:hint="eastAsia" w:ascii="宋体" w:hAnsi="宋体" w:cs="宋体"/>
                <w:sz w:val="18"/>
                <w:szCs w:val="18"/>
              </w:rPr>
              <w:t>公共区域</w:t>
            </w:r>
          </w:p>
        </w:tc>
        <w:tc>
          <w:tcPr>
            <w:tcW w:w="494" w:type="pct"/>
            <w:vMerge w:val="continue"/>
            <w:vAlign w:val="center"/>
          </w:tcPr>
          <w:p>
            <w:pPr>
              <w:spacing w:line="360" w:lineRule="auto"/>
              <w:jc w:val="center"/>
              <w:rPr>
                <w:rFonts w:ascii="宋体" w:hAnsi="宋体" w:cs="宋体"/>
                <w:sz w:val="18"/>
                <w:szCs w:val="18"/>
              </w:rPr>
            </w:pPr>
          </w:p>
        </w:tc>
        <w:tc>
          <w:tcPr>
            <w:tcW w:w="564" w:type="pct"/>
            <w:vMerge w:val="continue"/>
            <w:vAlign w:val="center"/>
          </w:tcPr>
          <w:p>
            <w:pPr>
              <w:spacing w:line="360" w:lineRule="auto"/>
              <w:jc w:val="center"/>
              <w:rPr>
                <w:rFonts w:ascii="宋体" w:hAnsi="宋体" w:cs="宋体"/>
                <w:sz w:val="18"/>
                <w:szCs w:val="18"/>
              </w:rPr>
            </w:pPr>
          </w:p>
        </w:tc>
        <w:tc>
          <w:tcPr>
            <w:tcW w:w="640" w:type="pct"/>
            <w:vMerge w:val="continue"/>
            <w:vAlign w:val="center"/>
          </w:tcPr>
          <w:p>
            <w:pPr>
              <w:spacing w:line="360" w:lineRule="auto"/>
              <w:jc w:val="center"/>
              <w:rPr>
                <w:rFonts w:ascii="宋体" w:hAnsi="宋体" w:cs="宋体"/>
                <w:sz w:val="18"/>
                <w:szCs w:val="18"/>
              </w:rPr>
            </w:pPr>
          </w:p>
        </w:tc>
        <w:tc>
          <w:tcPr>
            <w:tcW w:w="776" w:type="pct"/>
            <w:vMerge w:val="continue"/>
            <w:vAlign w:val="center"/>
          </w:tcPr>
          <w:p>
            <w:pPr>
              <w:spacing w:line="360" w:lineRule="auto"/>
              <w:jc w:val="center"/>
              <w:rPr>
                <w:rFonts w:ascii="宋体" w:hAnsi="宋体" w:cs="宋体"/>
                <w:sz w:val="18"/>
                <w:szCs w:val="18"/>
              </w:rPr>
            </w:pPr>
          </w:p>
        </w:tc>
        <w:tc>
          <w:tcPr>
            <w:tcW w:w="519" w:type="pct"/>
            <w:vMerge w:val="continue"/>
            <w:vAlign w:val="center"/>
          </w:tcPr>
          <w:p>
            <w:pPr>
              <w:spacing w:line="360" w:lineRule="auto"/>
              <w:jc w:val="center"/>
              <w:rPr>
                <w:rFonts w:ascii="宋体" w:hAnsi="宋体" w:cs="宋体"/>
                <w:sz w:val="18"/>
                <w:szCs w:val="18"/>
              </w:rPr>
            </w:pPr>
          </w:p>
        </w:tc>
      </w:tr>
    </w:tbl>
    <w:p>
      <w:pPr>
        <w:pStyle w:val="79"/>
        <w:numPr>
          <w:ilvl w:val="1"/>
          <w:numId w:val="0"/>
        </w:numPr>
        <w:tabs>
          <w:tab w:val="clear" w:pos="360"/>
        </w:tabs>
        <w:adjustRightInd w:val="0"/>
        <w:snapToGrid w:val="0"/>
        <w:spacing w:line="288" w:lineRule="auto"/>
        <w:rPr>
          <w:rFonts w:ascii="宋体" w:hAnsi="宋体" w:cs="宋体"/>
          <w:bCs/>
          <w:sz w:val="21"/>
          <w:szCs w:val="21"/>
        </w:rPr>
      </w:pPr>
    </w:p>
    <w:p>
      <w:pPr>
        <w:pStyle w:val="79"/>
        <w:numPr>
          <w:ilvl w:val="1"/>
          <w:numId w:val="0"/>
        </w:numPr>
        <w:tabs>
          <w:tab w:val="clear" w:pos="360"/>
        </w:tabs>
        <w:adjustRightInd w:val="0"/>
        <w:snapToGrid w:val="0"/>
        <w:spacing w:line="288" w:lineRule="auto"/>
        <w:rPr>
          <w:rFonts w:ascii="宋体" w:hAnsi="宋体" w:cs="宋体"/>
          <w:sz w:val="21"/>
          <w:szCs w:val="21"/>
        </w:rPr>
      </w:pPr>
      <w:r>
        <w:rPr>
          <w:rFonts w:hint="eastAsia" w:ascii="宋体" w:hAnsi="宋体" w:cs="宋体"/>
          <w:bCs/>
          <w:sz w:val="21"/>
          <w:szCs w:val="21"/>
        </w:rPr>
        <w:t>2.</w:t>
      </w:r>
      <w:bookmarkStart w:id="38" w:name="_Toc153116391"/>
      <w:r>
        <w:rPr>
          <w:rFonts w:hint="eastAsia" w:ascii="宋体" w:hAnsi="宋体" w:cs="宋体"/>
          <w:sz w:val="21"/>
          <w:szCs w:val="21"/>
        </w:rPr>
        <w:t>采购内容</w:t>
      </w:r>
      <w:bookmarkEnd w:id="38"/>
    </w:p>
    <w:p>
      <w:pPr>
        <w:pStyle w:val="80"/>
        <w:adjustRightInd w:val="0"/>
        <w:snapToGrid w:val="0"/>
        <w:spacing w:line="288" w:lineRule="auto"/>
        <w:ind w:firstLine="0"/>
        <w:rPr>
          <w:rFonts w:ascii="宋体" w:hAnsi="宋体" w:cs="宋体"/>
          <w:sz w:val="21"/>
          <w:szCs w:val="21"/>
        </w:rPr>
      </w:pPr>
      <w:r>
        <w:rPr>
          <w:rFonts w:hint="eastAsia" w:ascii="宋体" w:hAnsi="宋体" w:cs="宋体"/>
          <w:sz w:val="21"/>
          <w:szCs w:val="21"/>
        </w:rPr>
        <w:t>物业管理服务内容主要包括：做好大楼交付期开荒服务、基础资料及设备设施资料健全、收集、归档等工作；做好保洁服务；24小时门岗服务；消监控管理（甲方人员协助消监控值班），自交付之日起计算）；绿化养护（绿化维保期到期后进行养护，维保期半年），开放区域保洁（保洁物耗和工具甲供）。</w:t>
      </w:r>
    </w:p>
    <w:p>
      <w:pPr>
        <w:pStyle w:val="79"/>
        <w:numPr>
          <w:ilvl w:val="1"/>
          <w:numId w:val="0"/>
        </w:numPr>
        <w:tabs>
          <w:tab w:val="clear" w:pos="360"/>
        </w:tabs>
        <w:adjustRightInd w:val="0"/>
        <w:snapToGrid w:val="0"/>
        <w:spacing w:line="288" w:lineRule="auto"/>
        <w:rPr>
          <w:rFonts w:ascii="宋体" w:hAnsi="宋体" w:cs="宋体"/>
          <w:sz w:val="21"/>
          <w:szCs w:val="21"/>
        </w:rPr>
      </w:pPr>
      <w:bookmarkStart w:id="39" w:name="_Toc394580528"/>
      <w:bookmarkEnd w:id="39"/>
      <w:bookmarkStart w:id="40" w:name="_Toc394580550"/>
      <w:bookmarkEnd w:id="40"/>
      <w:bookmarkStart w:id="41" w:name="_Toc394580512"/>
      <w:bookmarkEnd w:id="41"/>
      <w:bookmarkStart w:id="42" w:name="_Toc394580549"/>
      <w:bookmarkEnd w:id="42"/>
      <w:bookmarkStart w:id="43" w:name="_Toc394580531"/>
      <w:bookmarkEnd w:id="43"/>
      <w:bookmarkStart w:id="44" w:name="_Toc394580543"/>
      <w:bookmarkEnd w:id="44"/>
      <w:bookmarkStart w:id="45" w:name="_Toc394580508"/>
      <w:bookmarkEnd w:id="45"/>
      <w:bookmarkStart w:id="46" w:name="_Toc394580545"/>
      <w:bookmarkEnd w:id="46"/>
      <w:bookmarkStart w:id="47" w:name="_Toc394580510"/>
      <w:bookmarkEnd w:id="47"/>
      <w:bookmarkStart w:id="48" w:name="_Toc394580530"/>
      <w:bookmarkEnd w:id="48"/>
      <w:bookmarkStart w:id="49" w:name="_Toc394580538"/>
      <w:bookmarkEnd w:id="49"/>
      <w:bookmarkStart w:id="50" w:name="_Toc394580509"/>
      <w:bookmarkEnd w:id="50"/>
      <w:bookmarkStart w:id="51" w:name="_Toc394580503"/>
      <w:bookmarkEnd w:id="51"/>
      <w:bookmarkStart w:id="52" w:name="_Toc394580506"/>
      <w:bookmarkEnd w:id="52"/>
      <w:bookmarkStart w:id="53" w:name="_Toc394580540"/>
      <w:bookmarkEnd w:id="53"/>
      <w:bookmarkStart w:id="54" w:name="_Toc394580547"/>
      <w:bookmarkEnd w:id="54"/>
      <w:bookmarkStart w:id="55" w:name="_Toc394580527"/>
      <w:bookmarkEnd w:id="55"/>
      <w:bookmarkStart w:id="56" w:name="_Toc394580529"/>
      <w:bookmarkEnd w:id="56"/>
      <w:bookmarkStart w:id="57" w:name="_Toc394580504"/>
      <w:bookmarkEnd w:id="57"/>
      <w:bookmarkStart w:id="58" w:name="_Toc394580544"/>
      <w:bookmarkEnd w:id="58"/>
      <w:bookmarkStart w:id="59" w:name="_Toc394580541"/>
      <w:bookmarkEnd w:id="59"/>
      <w:bookmarkStart w:id="60" w:name="_Toc394580526"/>
      <w:bookmarkEnd w:id="60"/>
      <w:bookmarkStart w:id="61" w:name="_Toc394580539"/>
      <w:bookmarkEnd w:id="61"/>
      <w:bookmarkStart w:id="62" w:name="_Toc394580552"/>
      <w:bookmarkEnd w:id="62"/>
      <w:bookmarkStart w:id="63" w:name="_Toc394580542"/>
      <w:bookmarkEnd w:id="63"/>
      <w:bookmarkStart w:id="64" w:name="_Toc394580536"/>
      <w:bookmarkEnd w:id="64"/>
      <w:bookmarkStart w:id="65" w:name="_Toc394580546"/>
      <w:bookmarkEnd w:id="65"/>
      <w:bookmarkStart w:id="66" w:name="_Toc394580548"/>
      <w:bookmarkEnd w:id="66"/>
      <w:bookmarkStart w:id="67" w:name="_Toc394580511"/>
      <w:bookmarkEnd w:id="67"/>
      <w:bookmarkStart w:id="68" w:name="_Toc394580535"/>
      <w:bookmarkEnd w:id="68"/>
      <w:bookmarkStart w:id="69" w:name="_Toc394580537"/>
      <w:bookmarkEnd w:id="69"/>
      <w:bookmarkStart w:id="70" w:name="_Toc394580505"/>
      <w:bookmarkEnd w:id="70"/>
      <w:bookmarkStart w:id="71" w:name="_Toc394580533"/>
      <w:bookmarkEnd w:id="71"/>
      <w:bookmarkStart w:id="72" w:name="_Toc394580507"/>
      <w:bookmarkEnd w:id="72"/>
      <w:bookmarkStart w:id="73" w:name="_Toc394580532"/>
      <w:bookmarkEnd w:id="73"/>
      <w:bookmarkStart w:id="74" w:name="_Toc394580534"/>
      <w:bookmarkEnd w:id="74"/>
      <w:bookmarkStart w:id="75" w:name="_Toc153116392"/>
      <w:r>
        <w:rPr>
          <w:rFonts w:hint="eastAsia" w:ascii="宋体" w:hAnsi="宋体" w:cs="宋体"/>
          <w:bCs/>
          <w:sz w:val="21"/>
          <w:szCs w:val="21"/>
        </w:rPr>
        <w:t>3.</w:t>
      </w:r>
      <w:bookmarkEnd w:id="75"/>
      <w:r>
        <w:rPr>
          <w:rFonts w:hint="eastAsia" w:ascii="宋体" w:hAnsi="宋体" w:cs="宋体"/>
          <w:bCs/>
          <w:sz w:val="21"/>
          <w:szCs w:val="21"/>
        </w:rPr>
        <w:t>物业服务实施标准</w:t>
      </w:r>
    </w:p>
    <w:p>
      <w:pPr>
        <w:rPr>
          <w:rFonts w:ascii="宋体" w:hAnsi="宋体" w:cs="宋体"/>
          <w:b/>
          <w:bCs/>
          <w:kern w:val="0"/>
          <w:sz w:val="21"/>
          <w:szCs w:val="21"/>
        </w:rPr>
      </w:pPr>
      <w:bookmarkStart w:id="76" w:name="_Toc153116393"/>
      <w:r>
        <w:rPr>
          <w:rFonts w:hint="eastAsia" w:ascii="宋体" w:hAnsi="宋体" w:cs="宋体"/>
          <w:b/>
          <w:bCs/>
          <w:kern w:val="0"/>
          <w:sz w:val="21"/>
          <w:szCs w:val="21"/>
        </w:rPr>
        <w:t>（一）保洁服务</w:t>
      </w:r>
    </w:p>
    <w:tbl>
      <w:tblPr>
        <w:tblStyle w:val="25"/>
        <w:tblW w:w="5000" w:type="pct"/>
        <w:jc w:val="center"/>
        <w:tblLayout w:type="autofit"/>
        <w:tblCellMar>
          <w:top w:w="0" w:type="dxa"/>
          <w:left w:w="108" w:type="dxa"/>
          <w:bottom w:w="0" w:type="dxa"/>
          <w:right w:w="108" w:type="dxa"/>
        </w:tblCellMar>
      </w:tblPr>
      <w:tblGrid>
        <w:gridCol w:w="3805"/>
        <w:gridCol w:w="2363"/>
        <w:gridCol w:w="3460"/>
      </w:tblGrid>
      <w:tr>
        <w:tblPrEx>
          <w:tblCellMar>
            <w:top w:w="0" w:type="dxa"/>
            <w:left w:w="108" w:type="dxa"/>
            <w:bottom w:w="0" w:type="dxa"/>
            <w:right w:w="108" w:type="dxa"/>
          </w:tblCellMar>
        </w:tblPrEx>
        <w:trPr>
          <w:trHeight w:val="334"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widowControl/>
              <w:ind w:left="-188" w:leftChars="-67"/>
              <w:jc w:val="center"/>
              <w:rPr>
                <w:rFonts w:ascii="宋体" w:hAnsi="宋体" w:cs="宋体"/>
                <w:b/>
                <w:bCs/>
                <w:kern w:val="0"/>
                <w:sz w:val="21"/>
                <w:szCs w:val="21"/>
              </w:rPr>
            </w:pPr>
            <w:r>
              <w:rPr>
                <w:rFonts w:hint="eastAsia" w:ascii="宋体" w:hAnsi="宋体" w:cs="宋体"/>
                <w:b/>
                <w:bCs/>
                <w:kern w:val="0"/>
                <w:sz w:val="21"/>
                <w:szCs w:val="21"/>
              </w:rPr>
              <w:t>主入口大厅</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nil"/>
              <w:bottom w:val="single" w:color="auto" w:sz="4" w:space="0"/>
              <w:right w:val="single" w:color="auto" w:sz="4" w:space="0"/>
            </w:tcBorders>
            <w:shd w:val="clear" w:color="auto" w:fill="FFFFFF"/>
            <w:vAlign w:val="center"/>
          </w:tcPr>
          <w:p>
            <w:pPr>
              <w:widowControl/>
              <w:ind w:left="-188" w:leftChars="-67"/>
              <w:jc w:val="center"/>
              <w:rPr>
                <w:rFonts w:ascii="宋体" w:hAnsi="宋体" w:cs="宋体"/>
                <w:b/>
                <w:bCs/>
                <w:kern w:val="0"/>
                <w:sz w:val="21"/>
                <w:szCs w:val="21"/>
              </w:rPr>
            </w:pPr>
            <w:r>
              <w:rPr>
                <w:rFonts w:hint="eastAsia" w:ascii="宋体" w:hAnsi="宋体" w:cs="宋体"/>
                <w:b/>
                <w:bCs/>
                <w:kern w:val="0"/>
                <w:sz w:val="21"/>
                <w:szCs w:val="21"/>
              </w:rPr>
              <w:t>频次</w:t>
            </w:r>
          </w:p>
        </w:tc>
        <w:tc>
          <w:tcPr>
            <w:tcW w:w="1795" w:type="pct"/>
            <w:tcBorders>
              <w:top w:val="single" w:color="auto" w:sz="4" w:space="0"/>
              <w:left w:val="nil"/>
              <w:bottom w:val="single" w:color="auto" w:sz="4" w:space="0"/>
              <w:right w:val="single" w:color="auto" w:sz="4" w:space="0"/>
            </w:tcBorders>
            <w:shd w:val="clear" w:color="auto" w:fill="FFFFFF"/>
            <w:vAlign w:val="center"/>
          </w:tcPr>
          <w:p>
            <w:pPr>
              <w:widowControl/>
              <w:ind w:left="-188" w:leftChars="-67"/>
              <w:jc w:val="center"/>
              <w:rPr>
                <w:rFonts w:ascii="宋体" w:hAnsi="宋体" w:cs="宋体"/>
                <w:b/>
                <w:bCs/>
                <w:kern w:val="0"/>
                <w:sz w:val="21"/>
                <w:szCs w:val="21"/>
              </w:rPr>
            </w:pPr>
            <w:r>
              <w:rPr>
                <w:rFonts w:hint="eastAsia" w:ascii="宋体" w:hAnsi="宋体" w:cs="宋体"/>
                <w:b/>
                <w:bCs/>
                <w:kern w:val="0"/>
                <w:sz w:val="21"/>
                <w:szCs w:val="21"/>
              </w:rPr>
              <w:t>作业标准</w:t>
            </w:r>
          </w:p>
        </w:tc>
      </w:tr>
      <w:tr>
        <w:tblPrEx>
          <w:tblCellMar>
            <w:top w:w="0" w:type="dxa"/>
            <w:left w:w="108" w:type="dxa"/>
            <w:bottom w:w="0" w:type="dxa"/>
            <w:right w:w="108" w:type="dxa"/>
          </w:tblCellMar>
        </w:tblPrEx>
        <w:trPr>
          <w:trHeight w:val="376" w:hRule="atLeast"/>
          <w:jc w:val="center"/>
        </w:trPr>
        <w:tc>
          <w:tcPr>
            <w:tcW w:w="1976" w:type="pct"/>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吊顶、铝门框、2米以上墙壁擦拭</w:t>
            </w:r>
          </w:p>
        </w:tc>
        <w:tc>
          <w:tcPr>
            <w:tcW w:w="1227"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3次/月</w:t>
            </w:r>
          </w:p>
        </w:tc>
        <w:tc>
          <w:tcPr>
            <w:tcW w:w="1795"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无尘、无污染</w:t>
            </w:r>
          </w:p>
        </w:tc>
      </w:tr>
      <w:tr>
        <w:tblPrEx>
          <w:tblCellMar>
            <w:top w:w="0" w:type="dxa"/>
            <w:left w:w="108" w:type="dxa"/>
            <w:bottom w:w="0" w:type="dxa"/>
            <w:right w:w="108" w:type="dxa"/>
          </w:tblCellMar>
        </w:tblPrEx>
        <w:trPr>
          <w:trHeight w:val="480" w:hRule="atLeast"/>
          <w:jc w:val="center"/>
        </w:trPr>
        <w:tc>
          <w:tcPr>
            <w:tcW w:w="1976" w:type="pct"/>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地垫清洗、地面抛光、养护</w:t>
            </w:r>
          </w:p>
          <w:p>
            <w:pPr>
              <w:jc w:val="center"/>
              <w:rPr>
                <w:rFonts w:ascii="宋体" w:hAnsi="宋体" w:cs="宋体"/>
                <w:sz w:val="21"/>
                <w:szCs w:val="21"/>
              </w:rPr>
            </w:pPr>
            <w:r>
              <w:rPr>
                <w:rFonts w:hint="eastAsia" w:ascii="宋体" w:hAnsi="宋体" w:cs="宋体"/>
                <w:sz w:val="21"/>
                <w:szCs w:val="21"/>
              </w:rPr>
              <w:t>（打蜡或晶研处理）</w:t>
            </w:r>
          </w:p>
        </w:tc>
        <w:tc>
          <w:tcPr>
            <w:tcW w:w="1227"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1次/周</w:t>
            </w:r>
          </w:p>
        </w:tc>
        <w:tc>
          <w:tcPr>
            <w:tcW w:w="1795"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光亮，无尘，无污染</w:t>
            </w:r>
          </w:p>
        </w:tc>
      </w:tr>
      <w:tr>
        <w:tblPrEx>
          <w:tblCellMar>
            <w:top w:w="0" w:type="dxa"/>
            <w:left w:w="108" w:type="dxa"/>
            <w:bottom w:w="0" w:type="dxa"/>
            <w:right w:w="108" w:type="dxa"/>
          </w:tblCellMar>
        </w:tblPrEx>
        <w:trPr>
          <w:trHeight w:val="240" w:hRule="atLeast"/>
          <w:jc w:val="center"/>
        </w:trPr>
        <w:tc>
          <w:tcPr>
            <w:tcW w:w="1976" w:type="pct"/>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垃圾容器清洗、消毒</w:t>
            </w:r>
          </w:p>
        </w:tc>
        <w:tc>
          <w:tcPr>
            <w:tcW w:w="1227"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1次/周</w:t>
            </w:r>
          </w:p>
        </w:tc>
        <w:tc>
          <w:tcPr>
            <w:tcW w:w="1795"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无异味、无污渍</w:t>
            </w:r>
          </w:p>
        </w:tc>
      </w:tr>
      <w:tr>
        <w:tblPrEx>
          <w:tblCellMar>
            <w:top w:w="0" w:type="dxa"/>
            <w:left w:w="108" w:type="dxa"/>
            <w:bottom w:w="0" w:type="dxa"/>
            <w:right w:w="108" w:type="dxa"/>
          </w:tblCellMar>
        </w:tblPrEx>
        <w:trPr>
          <w:trHeight w:val="240" w:hRule="atLeast"/>
          <w:jc w:val="center"/>
        </w:trPr>
        <w:tc>
          <w:tcPr>
            <w:tcW w:w="1976" w:type="pct"/>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金属件清洗并上光</w:t>
            </w:r>
          </w:p>
        </w:tc>
        <w:tc>
          <w:tcPr>
            <w:tcW w:w="1227"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2次/月</w:t>
            </w:r>
          </w:p>
        </w:tc>
        <w:tc>
          <w:tcPr>
            <w:tcW w:w="1795"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无手印，无污渍</w:t>
            </w:r>
          </w:p>
        </w:tc>
      </w:tr>
      <w:tr>
        <w:tblPrEx>
          <w:tblCellMar>
            <w:top w:w="0" w:type="dxa"/>
            <w:left w:w="108" w:type="dxa"/>
            <w:bottom w:w="0" w:type="dxa"/>
            <w:right w:w="108" w:type="dxa"/>
          </w:tblCellMar>
        </w:tblPrEx>
        <w:trPr>
          <w:trHeight w:val="240" w:hRule="atLeast"/>
          <w:jc w:val="center"/>
        </w:trPr>
        <w:tc>
          <w:tcPr>
            <w:tcW w:w="1976" w:type="pct"/>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墙身</w:t>
            </w:r>
          </w:p>
        </w:tc>
        <w:tc>
          <w:tcPr>
            <w:tcW w:w="1227"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1次/月</w:t>
            </w:r>
          </w:p>
        </w:tc>
        <w:tc>
          <w:tcPr>
            <w:tcW w:w="1795" w:type="pct"/>
            <w:tcBorders>
              <w:top w:val="nil"/>
              <w:left w:val="nil"/>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无积灰、污渍</w:t>
            </w:r>
          </w:p>
        </w:tc>
      </w:tr>
      <w:tr>
        <w:tblPrEx>
          <w:tblCellMar>
            <w:top w:w="0" w:type="dxa"/>
            <w:left w:w="108" w:type="dxa"/>
            <w:bottom w:w="0" w:type="dxa"/>
            <w:right w:w="108" w:type="dxa"/>
          </w:tblCellMar>
        </w:tblPrEx>
        <w:trPr>
          <w:trHeight w:val="258"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widowControl/>
              <w:ind w:left="-188" w:leftChars="-67"/>
              <w:jc w:val="center"/>
              <w:rPr>
                <w:rFonts w:ascii="宋体" w:hAnsi="宋体" w:cs="宋体"/>
                <w:b/>
                <w:bCs/>
                <w:kern w:val="0"/>
                <w:sz w:val="21"/>
                <w:szCs w:val="21"/>
              </w:rPr>
            </w:pPr>
            <w:r>
              <w:rPr>
                <w:rFonts w:hint="eastAsia" w:ascii="宋体" w:hAnsi="宋体" w:cs="宋体"/>
                <w:b/>
                <w:bCs/>
                <w:kern w:val="0"/>
                <w:sz w:val="21"/>
                <w:szCs w:val="21"/>
              </w:rPr>
              <w:t>出入口大厅</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vAlign w:val="center"/>
          </w:tcPr>
          <w:p>
            <w:pPr>
              <w:widowControl/>
              <w:ind w:left="-188" w:leftChars="-67"/>
              <w:jc w:val="center"/>
              <w:rPr>
                <w:rFonts w:ascii="宋体" w:hAnsi="宋体" w:cs="宋体"/>
                <w:b/>
                <w:bCs/>
                <w:kern w:val="0"/>
                <w:sz w:val="21"/>
                <w:szCs w:val="21"/>
              </w:rPr>
            </w:pPr>
            <w:r>
              <w:rPr>
                <w:rFonts w:hint="eastAsia" w:ascii="宋体" w:hAnsi="宋体" w:cs="宋体"/>
                <w:b/>
                <w:bCs/>
                <w:kern w:val="0"/>
                <w:sz w:val="21"/>
                <w:szCs w:val="21"/>
              </w:rPr>
              <w:t>频次</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ind w:left="-188" w:leftChars="-67"/>
              <w:jc w:val="center"/>
              <w:rPr>
                <w:rFonts w:ascii="宋体" w:hAnsi="宋体" w:cs="宋体"/>
                <w:b/>
                <w:bCs/>
                <w:kern w:val="0"/>
                <w:sz w:val="21"/>
                <w:szCs w:val="21"/>
              </w:rPr>
            </w:pPr>
            <w:r>
              <w:rPr>
                <w:rFonts w:hint="eastAsia" w:ascii="宋体" w:hAnsi="宋体" w:cs="宋体"/>
                <w:b/>
                <w:bCs/>
                <w:kern w:val="0"/>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灯箱</w:t>
            </w:r>
          </w:p>
        </w:tc>
        <w:tc>
          <w:tcPr>
            <w:tcW w:w="1227" w:type="pct"/>
            <w:tcBorders>
              <w:top w:val="single" w:color="auto" w:sz="4" w:space="0"/>
              <w:left w:val="single" w:color="auto" w:sz="4" w:space="0"/>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ind w:left="-188" w:leftChars="-67"/>
              <w:jc w:val="center"/>
              <w:rPr>
                <w:rFonts w:ascii="宋体" w:hAnsi="宋体" w:cs="宋体"/>
                <w:kern w:val="0"/>
                <w:sz w:val="21"/>
                <w:szCs w:val="21"/>
              </w:rPr>
            </w:pPr>
            <w:r>
              <w:rPr>
                <w:rFonts w:hint="eastAsia" w:ascii="宋体" w:hAnsi="宋体" w:cs="宋体"/>
                <w:kern w:val="0"/>
                <w:sz w:val="21"/>
                <w:szCs w:val="21"/>
              </w:rPr>
              <w:t>误灰尘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风口</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无积灰</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烟灰缸</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及时清理</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烟蒂不超过三只，外表清洁</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门框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1次/天</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无灰尘、无手印、明亮</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花盆套</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1次/天</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无灰尘、盆内无垃圾</w:t>
            </w:r>
          </w:p>
        </w:tc>
      </w:tr>
      <w:tr>
        <w:tblPrEx>
          <w:tblCellMar>
            <w:top w:w="0" w:type="dxa"/>
            <w:left w:w="108" w:type="dxa"/>
            <w:bottom w:w="0" w:type="dxa"/>
            <w:right w:w="108" w:type="dxa"/>
          </w:tblCellMar>
        </w:tblPrEx>
        <w:trPr>
          <w:trHeight w:val="269"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电梯间</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地面、地毯</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地面光亮、无尘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墙面（墙面四壁）</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清洁、上光</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门槽</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及时清理</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无灰尘、无垃圾、光亮</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指示牌和按钮</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无灰尘、无手印</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地毯吸尘</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地毯平整、无污渍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墙面、踢脚（擦拭）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无污渍、无尘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出入门（清洁剂擦拭）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无手印、无尘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烟灰缸、垃圾桶、植物盆、指示灯牌</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消防、照明、空调设备</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吊顶、铝门框、2米以上墙壁擦拭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无尘、无污渍</w:t>
            </w:r>
          </w:p>
        </w:tc>
      </w:tr>
      <w:tr>
        <w:tblPrEx>
          <w:tblCellMar>
            <w:top w:w="0" w:type="dxa"/>
            <w:left w:w="108" w:type="dxa"/>
            <w:bottom w:w="0" w:type="dxa"/>
            <w:right w:w="108" w:type="dxa"/>
          </w:tblCellMar>
        </w:tblPrEx>
        <w:trPr>
          <w:trHeight w:val="48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地垫清洗、地面抛光、养护（打蜡或晶研处理）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光亮、地面材质无磨损</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灯片和风口</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地面、天花板（扫、擦）</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墙壁、按键盘（擦拭）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扶手、门（擦拭）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照明设备（外表）</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无手印、污渍</w:t>
            </w:r>
          </w:p>
        </w:tc>
      </w:tr>
      <w:tr>
        <w:tblPrEx>
          <w:tblCellMar>
            <w:top w:w="0" w:type="dxa"/>
            <w:left w:w="108" w:type="dxa"/>
            <w:bottom w:w="0" w:type="dxa"/>
            <w:right w:w="108" w:type="dxa"/>
          </w:tblCellMar>
        </w:tblPrEx>
        <w:trPr>
          <w:trHeight w:val="269"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公共走廊及楼道</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42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地面牵尘、地毯吸尘</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地面光亮、无尘、地毯平整、无污渍</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墙面、踢脚（擦拭）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无污渍、无尘</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出入门（清洁剂擦拭）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无手印、无尘</w:t>
            </w:r>
          </w:p>
        </w:tc>
      </w:tr>
      <w:tr>
        <w:tblPrEx>
          <w:tblCellMar>
            <w:top w:w="0" w:type="dxa"/>
            <w:left w:w="108" w:type="dxa"/>
            <w:bottom w:w="0" w:type="dxa"/>
            <w:right w:w="108" w:type="dxa"/>
          </w:tblCellMar>
        </w:tblPrEx>
        <w:trPr>
          <w:trHeight w:val="525"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烟灰缸、垃圾桶、植物盆、指示灯牌</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消防、照明、空调设备</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无手印、污渍</w:t>
            </w:r>
          </w:p>
        </w:tc>
      </w:tr>
      <w:tr>
        <w:tblPrEx>
          <w:tblCellMar>
            <w:top w:w="0" w:type="dxa"/>
            <w:left w:w="108" w:type="dxa"/>
            <w:bottom w:w="0" w:type="dxa"/>
            <w:right w:w="108" w:type="dxa"/>
          </w:tblCellMar>
        </w:tblPrEx>
        <w:trPr>
          <w:trHeight w:val="39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吊顶、铝门框、2米以上墙壁擦拭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无尘、无污渍</w:t>
            </w:r>
          </w:p>
        </w:tc>
      </w:tr>
      <w:tr>
        <w:tblPrEx>
          <w:tblCellMar>
            <w:top w:w="0" w:type="dxa"/>
            <w:left w:w="108" w:type="dxa"/>
            <w:bottom w:w="0" w:type="dxa"/>
            <w:right w:w="108" w:type="dxa"/>
          </w:tblCellMar>
        </w:tblPrEx>
        <w:trPr>
          <w:trHeight w:val="45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地垫清洗、地面抛光、地面养护（打蜡或晶研处理）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光亮、地面材质无磨损</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灯具</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楼梯及平台</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无垃圾、死角无灰尘</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扶手、栏杆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w:t>
            </w:r>
          </w:p>
        </w:tc>
      </w:tr>
      <w:tr>
        <w:tblPrEx>
          <w:tblCellMar>
            <w:top w:w="0" w:type="dxa"/>
            <w:left w:w="108" w:type="dxa"/>
            <w:bottom w:w="0" w:type="dxa"/>
            <w:right w:w="108" w:type="dxa"/>
          </w:tblCellMar>
        </w:tblPrEx>
        <w:trPr>
          <w:trHeight w:val="30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外漏管道</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无积灰</w:t>
            </w:r>
          </w:p>
        </w:tc>
      </w:tr>
      <w:tr>
        <w:tblPrEx>
          <w:tblCellMar>
            <w:top w:w="0" w:type="dxa"/>
            <w:left w:w="108" w:type="dxa"/>
            <w:bottom w:w="0" w:type="dxa"/>
            <w:right w:w="108" w:type="dxa"/>
          </w:tblCellMar>
        </w:tblPrEx>
        <w:trPr>
          <w:trHeight w:val="355"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卫生间</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地面扫、擦</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无杂物、污渍、水渍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小便池、坐厕、洗脸盆清洗消毒</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无杂物、污渍、水渍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厕隔板、坐厕板、纸架（清洗消毒）</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无杂物、污渍、水渍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照明、空调、通风设备</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无杂物、污渍、水渍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垃圾桶冲洗</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及时清洗</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纸箱、空气清新剂</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及时补充</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卫生纸、洗手液的补偿</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及时补充</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无异味</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电镀件、烘手机</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光亮、无手印</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地面清洗消毒</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无污渍、无异味</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垃圾筒、厕板消毒</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无污渍、无异味</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水龙头</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污水锈、无污渍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镜面</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无水迹、无污渍、明亮</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墙面</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灯片、天花机风口</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无积尘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玻璃窗</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无灰尘、无水迹</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卷筒纸</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无短缺</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视需要添加</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水桶卫生间下水道</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下水管道通畅、无阻塞</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通气、排风</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及时处理</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保证卫生间无异味</w:t>
            </w:r>
          </w:p>
        </w:tc>
      </w:tr>
      <w:tr>
        <w:tblPrEx>
          <w:tblCellMar>
            <w:top w:w="0" w:type="dxa"/>
            <w:left w:w="108" w:type="dxa"/>
            <w:bottom w:w="0" w:type="dxa"/>
            <w:right w:w="108" w:type="dxa"/>
          </w:tblCellMar>
        </w:tblPrEx>
        <w:trPr>
          <w:trHeight w:val="240"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地下室</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1次/天</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无垃圾、无杂物</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门窗</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各类消防设施</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无积灰</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高空架线管道</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1次/2月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无明显积尘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坡道清扫</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无垃圾、无杂物</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人防通道、门</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无明显积尘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消防栓</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无明显积尘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排水沟</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无污垢</w:t>
            </w:r>
          </w:p>
        </w:tc>
      </w:tr>
      <w:tr>
        <w:tblPrEx>
          <w:tblCellMar>
            <w:top w:w="0" w:type="dxa"/>
            <w:left w:w="108" w:type="dxa"/>
            <w:bottom w:w="0" w:type="dxa"/>
            <w:right w:w="108" w:type="dxa"/>
          </w:tblCellMar>
        </w:tblPrEx>
        <w:trPr>
          <w:trHeight w:val="240"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设备机房</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地面（拖抹）</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地面光亮、无尘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地面（吸尘）</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地毯平整、无污渍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墙面（擦拭）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无污渍、无尘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门（清洁剂擦拭）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各种标志牌的清理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排气口</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不断清洁</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排气口擦拭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无尘、无污渍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地面清洗</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1次/2月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无尘、无污渍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顶灯、照明设备（外表）</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无尘、无污渍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门板清洗擦拭</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无尘、无污渍</w:t>
            </w:r>
          </w:p>
        </w:tc>
      </w:tr>
      <w:tr>
        <w:tblPrEx>
          <w:tblCellMar>
            <w:top w:w="0" w:type="dxa"/>
            <w:left w:w="108" w:type="dxa"/>
            <w:bottom w:w="0" w:type="dxa"/>
            <w:right w:w="108" w:type="dxa"/>
          </w:tblCellMar>
        </w:tblPrEx>
        <w:trPr>
          <w:trHeight w:val="240"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新风机房</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新风机房</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定期</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会议室</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擦拭家具、摆设物</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无尘、无污渍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地毯清洁</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干净、整洁</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办公家具及用品</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空调/照明设备（外表）</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窗台</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地面清洗</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无杂物、积尘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垃圾桶的整理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w:t>
            </w:r>
          </w:p>
        </w:tc>
      </w:tr>
      <w:tr>
        <w:tblPrEx>
          <w:tblCellMar>
            <w:top w:w="0" w:type="dxa"/>
            <w:left w:w="108" w:type="dxa"/>
            <w:bottom w:w="0" w:type="dxa"/>
            <w:right w:w="108" w:type="dxa"/>
          </w:tblCellMar>
        </w:tblPrEx>
        <w:trPr>
          <w:trHeight w:val="240"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管理办公室及实验室</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办公家具及用品</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空调/照明设备（外表）</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窗台</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无杂物、手印、污渍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地面清洗</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无杂物、积尘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垃圾桶的整理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实验室用房保洁：实验室地面、屋顶墙（玻璃）面的卫生</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无杂物、积尘</w:t>
            </w:r>
          </w:p>
        </w:tc>
      </w:tr>
      <w:tr>
        <w:tblPrEx>
          <w:tblCellMar>
            <w:top w:w="0" w:type="dxa"/>
            <w:left w:w="108" w:type="dxa"/>
            <w:bottom w:w="0" w:type="dxa"/>
            <w:right w:w="108" w:type="dxa"/>
          </w:tblCellMar>
        </w:tblPrEx>
        <w:trPr>
          <w:trHeight w:val="240"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外墙、杀虫</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布设药点、更换药剂</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2次/年</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对人畜安全、无污染</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定期进行除四害的防治工作</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四次/年</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除四害工作管理暂行管理规定要求</w:t>
            </w:r>
          </w:p>
        </w:tc>
      </w:tr>
      <w:tr>
        <w:tblPrEx>
          <w:tblCellMar>
            <w:top w:w="0" w:type="dxa"/>
            <w:left w:w="108" w:type="dxa"/>
            <w:bottom w:w="0" w:type="dxa"/>
            <w:right w:w="108" w:type="dxa"/>
          </w:tblCellMar>
        </w:tblPrEx>
        <w:trPr>
          <w:trHeight w:val="240"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室外公共场所</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1"/>
                <w:szCs w:val="21"/>
              </w:rPr>
            </w:pPr>
            <w:r>
              <w:rPr>
                <w:rFonts w:hint="eastAsia" w:ascii="宋体" w:hAnsi="宋体" w:cs="宋体"/>
                <w:b/>
                <w:bCs/>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广场、道路、绿化带、果壳箱</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干净整洁</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垃圾房</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不得超过容积的2/3，</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各类宣传栏橱窗及指示牌、灯柱</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1次/周</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无积灰、污渍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明沟</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无垃圾、杂物、无苔藓</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外露管道（二米以下）</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标志牌</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2米以下外墙</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无积灰、污渍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监控探头</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1次/季</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外露管道（二米以下）</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标志牌</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1次/日</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2米以下外墙</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1次/月</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无积灰、污渍</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监控探头</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次/季</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无灰尘</w:t>
            </w:r>
          </w:p>
        </w:tc>
      </w:tr>
      <w:tr>
        <w:tblPrEx>
          <w:tblCellMar>
            <w:top w:w="0" w:type="dxa"/>
            <w:left w:w="108" w:type="dxa"/>
            <w:bottom w:w="0" w:type="dxa"/>
            <w:right w:w="108" w:type="dxa"/>
          </w:tblCellMar>
        </w:tblPrEx>
        <w:trPr>
          <w:trHeight w:val="335"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ascii="宋体" w:hAnsi="宋体" w:cs="宋体"/>
                <w:sz w:val="21"/>
                <w:szCs w:val="21"/>
              </w:rPr>
              <w:t>作业项目</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ascii="宋体" w:hAnsi="宋体" w:cs="宋体"/>
                <w:sz w:val="21"/>
                <w:szCs w:val="21"/>
              </w:rPr>
              <w:t>频次</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ascii="宋体" w:hAnsi="宋体" w:cs="宋体"/>
                <w:sz w:val="21"/>
                <w:szCs w:val="21"/>
              </w:rPr>
              <w:t>作业标准</w:t>
            </w:r>
          </w:p>
        </w:tc>
      </w:tr>
      <w:tr>
        <w:tblPrEx>
          <w:tblCellMar>
            <w:top w:w="0" w:type="dxa"/>
            <w:left w:w="108" w:type="dxa"/>
            <w:bottom w:w="0" w:type="dxa"/>
            <w:right w:w="108" w:type="dxa"/>
          </w:tblCellMar>
        </w:tblPrEx>
        <w:trPr>
          <w:trHeight w:val="24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ascii="宋体" w:hAnsi="宋体" w:cs="宋体"/>
                <w:sz w:val="21"/>
                <w:szCs w:val="21"/>
              </w:rPr>
              <w:t>公共走廊及楼道</w:t>
            </w:r>
          </w:p>
        </w:tc>
        <w:tc>
          <w:tcPr>
            <w:tcW w:w="1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rPr>
              <w:t>/</w:t>
            </w:r>
          </w:p>
        </w:tc>
        <w:tc>
          <w:tcPr>
            <w:tcW w:w="17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ascii="宋体" w:hAnsi="宋体" w:cs="宋体"/>
                <w:sz w:val="21"/>
                <w:szCs w:val="21"/>
              </w:rPr>
              <w:t>按照公共走廊及楼道标准执行</w:t>
            </w:r>
          </w:p>
        </w:tc>
      </w:tr>
      <w:tr>
        <w:tblPrEx>
          <w:tblCellMar>
            <w:top w:w="0" w:type="dxa"/>
            <w:left w:w="108" w:type="dxa"/>
            <w:bottom w:w="0" w:type="dxa"/>
            <w:right w:w="108" w:type="dxa"/>
          </w:tblCellMar>
        </w:tblPrEx>
        <w:trPr>
          <w:trHeight w:val="238"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ascii="宋体" w:hAnsi="宋体" w:cs="宋体"/>
                <w:b/>
                <w:bCs/>
                <w:sz w:val="21"/>
                <w:szCs w:val="21"/>
              </w:rPr>
            </w:pPr>
            <w:r>
              <w:rPr>
                <w:rFonts w:hint="eastAsia" w:ascii="宋体" w:hAnsi="宋体" w:cs="宋体"/>
                <w:b/>
                <w:bCs/>
                <w:sz w:val="21"/>
                <w:szCs w:val="21"/>
              </w:rPr>
              <w:t>垃圾清运</w:t>
            </w:r>
          </w:p>
        </w:tc>
      </w:tr>
      <w:tr>
        <w:tblPrEx>
          <w:tblCellMar>
            <w:top w:w="0" w:type="dxa"/>
            <w:left w:w="108" w:type="dxa"/>
            <w:bottom w:w="0" w:type="dxa"/>
            <w:right w:w="108" w:type="dxa"/>
          </w:tblCellMar>
        </w:tblPrEx>
        <w:trPr>
          <w:trHeight w:val="302"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ascii="宋体" w:hAnsi="宋体" w:cs="宋体"/>
                <w:sz w:val="21"/>
                <w:szCs w:val="21"/>
              </w:rPr>
              <w:t>所有的垃圾清运工作</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及时处理</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整洁、无污物</w:t>
            </w:r>
          </w:p>
        </w:tc>
      </w:tr>
      <w:tr>
        <w:tblPrEx>
          <w:tblCellMar>
            <w:top w:w="0" w:type="dxa"/>
            <w:left w:w="108" w:type="dxa"/>
            <w:bottom w:w="0" w:type="dxa"/>
            <w:right w:w="108" w:type="dxa"/>
          </w:tblCellMar>
        </w:tblPrEx>
        <w:trPr>
          <w:trHeight w:val="90" w:hRule="atLeast"/>
          <w:jc w:val="center"/>
        </w:trPr>
        <w:tc>
          <w:tcPr>
            <w:tcW w:w="197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1"/>
                <w:szCs w:val="21"/>
              </w:rPr>
            </w:pPr>
            <w:r>
              <w:rPr>
                <w:rFonts w:hint="eastAsia" w:ascii="宋体" w:hAnsi="宋体" w:cs="宋体"/>
                <w:sz w:val="21"/>
                <w:szCs w:val="21"/>
              </w:rPr>
              <w:t>化粪池的清理</w:t>
            </w:r>
          </w:p>
        </w:tc>
        <w:tc>
          <w:tcPr>
            <w:tcW w:w="12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及时处理</w:t>
            </w:r>
          </w:p>
        </w:tc>
        <w:tc>
          <w:tcPr>
            <w:tcW w:w="17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通畅、不堵塞</w:t>
            </w:r>
          </w:p>
        </w:tc>
      </w:tr>
    </w:tbl>
    <w:p>
      <w:pPr>
        <w:rPr>
          <w:b/>
          <w:bCs/>
        </w:rPr>
      </w:pPr>
    </w:p>
    <w:p>
      <w:pPr>
        <w:rPr>
          <w:b/>
          <w:bCs/>
          <w:sz w:val="21"/>
          <w:szCs w:val="21"/>
        </w:rPr>
      </w:pPr>
      <w:r>
        <w:rPr>
          <w:rFonts w:hint="eastAsia"/>
          <w:b/>
          <w:bCs/>
          <w:sz w:val="21"/>
          <w:szCs w:val="21"/>
        </w:rPr>
        <w:t>（二）秩序管理</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150"/>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009" w:type="pct"/>
            <w:gridSpan w:val="2"/>
            <w:vAlign w:val="center"/>
          </w:tcPr>
          <w:p>
            <w:pPr>
              <w:jc w:val="center"/>
              <w:rPr>
                <w:rFonts w:ascii="宋体" w:hAnsi="宋体" w:cs="宋体"/>
                <w:b/>
                <w:bCs/>
                <w:sz w:val="21"/>
                <w:szCs w:val="21"/>
              </w:rPr>
            </w:pPr>
            <w:r>
              <w:rPr>
                <w:rFonts w:hint="eastAsia" w:ascii="宋体" w:hAnsi="宋体" w:cs="宋体"/>
                <w:b/>
                <w:bCs/>
                <w:sz w:val="21"/>
                <w:szCs w:val="21"/>
              </w:rPr>
              <w:t>项目</w:t>
            </w:r>
          </w:p>
        </w:tc>
        <w:tc>
          <w:tcPr>
            <w:tcW w:w="3990" w:type="pct"/>
            <w:noWrap/>
            <w:vAlign w:val="center"/>
          </w:tcPr>
          <w:p>
            <w:pPr>
              <w:jc w:val="center"/>
              <w:rPr>
                <w:rFonts w:ascii="宋体" w:hAnsi="宋体" w:cs="宋体"/>
                <w:b/>
                <w:bCs/>
                <w:sz w:val="21"/>
                <w:szCs w:val="21"/>
              </w:rPr>
            </w:pPr>
            <w:r>
              <w:rPr>
                <w:rFonts w:hint="eastAsia" w:ascii="宋体" w:hAnsi="宋体" w:cs="宋体"/>
                <w:b/>
                <w:bCs/>
                <w:sz w:val="21"/>
                <w:szCs w:val="21"/>
              </w:rPr>
              <w:t>服务内容、标准及要求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2" w:type="pct"/>
            <w:vMerge w:val="restart"/>
            <w:vAlign w:val="center"/>
          </w:tcPr>
          <w:p>
            <w:pPr>
              <w:jc w:val="center"/>
              <w:rPr>
                <w:rFonts w:ascii="宋体" w:hAnsi="宋体" w:cs="宋体"/>
                <w:sz w:val="21"/>
                <w:szCs w:val="21"/>
              </w:rPr>
            </w:pPr>
            <w:r>
              <w:rPr>
                <w:rFonts w:hint="eastAsia" w:ascii="宋体" w:hAnsi="宋体" w:cs="宋体"/>
                <w:sz w:val="21"/>
                <w:szCs w:val="21"/>
              </w:rPr>
              <w:t>秩序管理</w:t>
            </w:r>
          </w:p>
        </w:tc>
        <w:tc>
          <w:tcPr>
            <w:tcW w:w="596" w:type="pct"/>
            <w:vAlign w:val="center"/>
          </w:tcPr>
          <w:p>
            <w:pPr>
              <w:jc w:val="center"/>
              <w:rPr>
                <w:rFonts w:ascii="宋体" w:hAnsi="宋体" w:cs="宋体"/>
                <w:sz w:val="21"/>
                <w:szCs w:val="21"/>
              </w:rPr>
            </w:pPr>
            <w:r>
              <w:rPr>
                <w:rFonts w:hint="eastAsia" w:ascii="宋体" w:hAnsi="宋体" w:cs="宋体"/>
                <w:sz w:val="21"/>
                <w:szCs w:val="21"/>
              </w:rPr>
              <w:t>门岗管理</w:t>
            </w:r>
          </w:p>
        </w:tc>
        <w:tc>
          <w:tcPr>
            <w:tcW w:w="3990" w:type="pct"/>
            <w:vAlign w:val="center"/>
          </w:tcPr>
          <w:p>
            <w:pPr>
              <w:jc w:val="left"/>
              <w:rPr>
                <w:rFonts w:ascii="宋体" w:hAnsi="宋体" w:cs="宋体"/>
                <w:sz w:val="21"/>
                <w:szCs w:val="21"/>
              </w:rPr>
            </w:pPr>
            <w:r>
              <w:rPr>
                <w:rFonts w:hint="eastAsia" w:ascii="宋体" w:hAnsi="宋体" w:cs="宋体"/>
                <w:sz w:val="21"/>
                <w:szCs w:val="21"/>
              </w:rPr>
              <w:t>保持门岗值班室、大门出入口环境卫生干净整洁；负责收发报刊、信件、快递等工作，并做好相关登记。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2" w:type="pct"/>
            <w:vMerge w:val="continue"/>
            <w:vAlign w:val="center"/>
          </w:tcPr>
          <w:p>
            <w:pPr>
              <w:jc w:val="center"/>
              <w:rPr>
                <w:rFonts w:ascii="宋体" w:hAnsi="宋体" w:cs="宋体"/>
                <w:sz w:val="21"/>
                <w:szCs w:val="21"/>
              </w:rPr>
            </w:pPr>
          </w:p>
        </w:tc>
        <w:tc>
          <w:tcPr>
            <w:tcW w:w="596" w:type="pct"/>
            <w:vMerge w:val="restart"/>
            <w:vAlign w:val="center"/>
          </w:tcPr>
          <w:p>
            <w:pPr>
              <w:jc w:val="center"/>
              <w:rPr>
                <w:rFonts w:ascii="宋体" w:hAnsi="宋体" w:cs="宋体"/>
                <w:sz w:val="21"/>
                <w:szCs w:val="21"/>
              </w:rPr>
            </w:pPr>
            <w:r>
              <w:rPr>
                <w:rFonts w:hint="eastAsia" w:ascii="宋体" w:hAnsi="宋体" w:cs="宋体"/>
                <w:sz w:val="21"/>
                <w:szCs w:val="21"/>
              </w:rPr>
              <w:t>人流、车辆管理</w:t>
            </w:r>
          </w:p>
        </w:tc>
        <w:tc>
          <w:tcPr>
            <w:tcW w:w="3990" w:type="pct"/>
            <w:vAlign w:val="center"/>
          </w:tcPr>
          <w:p>
            <w:pPr>
              <w:jc w:val="left"/>
              <w:rPr>
                <w:rFonts w:ascii="宋体" w:hAnsi="宋体" w:cs="宋体"/>
                <w:sz w:val="21"/>
                <w:szCs w:val="21"/>
              </w:rPr>
            </w:pPr>
            <w:r>
              <w:rPr>
                <w:rFonts w:hint="eastAsia" w:ascii="宋体" w:hAnsi="宋体" w:cs="宋体"/>
                <w:sz w:val="21"/>
                <w:szCs w:val="21"/>
              </w:rPr>
              <w:t>建立科学的标识系统、引导车辆、人员各行其道。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2" w:type="pct"/>
            <w:vMerge w:val="continue"/>
            <w:vAlign w:val="center"/>
          </w:tcPr>
          <w:p>
            <w:pPr>
              <w:jc w:val="center"/>
              <w:rPr>
                <w:rFonts w:ascii="宋体" w:hAnsi="宋体" w:cs="宋体"/>
                <w:sz w:val="21"/>
                <w:szCs w:val="21"/>
              </w:rPr>
            </w:pPr>
          </w:p>
        </w:tc>
        <w:tc>
          <w:tcPr>
            <w:tcW w:w="596" w:type="pct"/>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加强区域内车辆行驶、停放的引导管理。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2" w:type="pct"/>
            <w:vMerge w:val="continue"/>
            <w:vAlign w:val="center"/>
          </w:tcPr>
          <w:p>
            <w:pPr>
              <w:jc w:val="center"/>
              <w:rPr>
                <w:rFonts w:ascii="宋体" w:hAnsi="宋体" w:cs="宋体"/>
                <w:sz w:val="21"/>
                <w:szCs w:val="21"/>
              </w:rPr>
            </w:pPr>
          </w:p>
        </w:tc>
        <w:tc>
          <w:tcPr>
            <w:tcW w:w="596" w:type="pct"/>
            <w:vAlign w:val="center"/>
          </w:tcPr>
          <w:p>
            <w:pPr>
              <w:jc w:val="center"/>
              <w:rPr>
                <w:rFonts w:ascii="宋体" w:hAnsi="宋体" w:cs="宋体"/>
                <w:sz w:val="21"/>
                <w:szCs w:val="21"/>
              </w:rPr>
            </w:pPr>
            <w:r>
              <w:rPr>
                <w:rFonts w:hint="eastAsia" w:ascii="宋体" w:hAnsi="宋体" w:cs="宋体"/>
                <w:sz w:val="21"/>
                <w:szCs w:val="21"/>
              </w:rPr>
              <w:t>登记与放行</w:t>
            </w:r>
          </w:p>
        </w:tc>
        <w:tc>
          <w:tcPr>
            <w:tcW w:w="3990" w:type="pct"/>
            <w:vAlign w:val="center"/>
          </w:tcPr>
          <w:p>
            <w:pPr>
              <w:jc w:val="left"/>
              <w:rPr>
                <w:rFonts w:ascii="宋体" w:hAnsi="宋体" w:cs="宋体"/>
                <w:sz w:val="21"/>
                <w:szCs w:val="21"/>
              </w:rPr>
            </w:pPr>
            <w:r>
              <w:rPr>
                <w:rFonts w:hint="eastAsia" w:ascii="宋体" w:hAnsi="宋体" w:cs="宋体"/>
                <w:sz w:val="21"/>
                <w:szCs w:val="21"/>
              </w:rPr>
              <w:t>外来办事人员必须进行登记，经值班人员与所拜访部门或人员联系确认后方可放行。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2" w:type="pct"/>
            <w:vMerge w:val="continue"/>
            <w:vAlign w:val="center"/>
          </w:tcPr>
          <w:p>
            <w:pPr>
              <w:jc w:val="center"/>
              <w:rPr>
                <w:rFonts w:ascii="宋体" w:hAnsi="宋体" w:cs="宋体"/>
                <w:sz w:val="21"/>
                <w:szCs w:val="21"/>
              </w:rPr>
            </w:pPr>
          </w:p>
        </w:tc>
        <w:tc>
          <w:tcPr>
            <w:tcW w:w="596" w:type="pct"/>
            <w:vAlign w:val="center"/>
          </w:tcPr>
          <w:p>
            <w:pPr>
              <w:jc w:val="center"/>
              <w:rPr>
                <w:rFonts w:ascii="宋体" w:hAnsi="宋体" w:cs="宋体"/>
                <w:sz w:val="21"/>
                <w:szCs w:val="21"/>
              </w:rPr>
            </w:pPr>
            <w:r>
              <w:rPr>
                <w:rFonts w:hint="eastAsia" w:ascii="宋体" w:hAnsi="宋体" w:cs="宋体"/>
                <w:sz w:val="21"/>
                <w:szCs w:val="21"/>
              </w:rPr>
              <w:t>迎宾与引导</w:t>
            </w:r>
          </w:p>
        </w:tc>
        <w:tc>
          <w:tcPr>
            <w:tcW w:w="3990" w:type="pct"/>
            <w:vAlign w:val="center"/>
          </w:tcPr>
          <w:p>
            <w:pPr>
              <w:jc w:val="left"/>
              <w:rPr>
                <w:rFonts w:ascii="宋体" w:hAnsi="宋体" w:cs="宋体"/>
                <w:sz w:val="21"/>
                <w:szCs w:val="21"/>
              </w:rPr>
            </w:pPr>
            <w:r>
              <w:rPr>
                <w:rFonts w:hint="eastAsia" w:ascii="宋体" w:hAnsi="宋体" w:cs="宋体"/>
                <w:sz w:val="21"/>
                <w:szCs w:val="21"/>
              </w:rPr>
              <w:t>客人坐车到来时为其打开车门，并致问候词；为询问的客人解答或指引，有参观团队或特别客人到来时引导他们从指定的路线进入；帮助客人提物品并引领到电梯口。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12" w:type="pct"/>
            <w:vMerge w:val="continue"/>
            <w:vAlign w:val="center"/>
          </w:tcPr>
          <w:p>
            <w:pPr>
              <w:jc w:val="center"/>
              <w:rPr>
                <w:rFonts w:ascii="宋体" w:hAnsi="宋体" w:cs="宋体"/>
                <w:sz w:val="21"/>
                <w:szCs w:val="21"/>
              </w:rPr>
            </w:pPr>
          </w:p>
        </w:tc>
        <w:tc>
          <w:tcPr>
            <w:tcW w:w="596" w:type="pct"/>
            <w:vAlign w:val="center"/>
          </w:tcPr>
          <w:p>
            <w:pPr>
              <w:jc w:val="center"/>
              <w:rPr>
                <w:rFonts w:ascii="宋体" w:hAnsi="宋体" w:cs="宋体"/>
                <w:sz w:val="21"/>
                <w:szCs w:val="21"/>
              </w:rPr>
            </w:pPr>
            <w:r>
              <w:rPr>
                <w:rFonts w:hint="eastAsia" w:ascii="宋体" w:hAnsi="宋体" w:cs="宋体"/>
                <w:sz w:val="21"/>
                <w:szCs w:val="21"/>
              </w:rPr>
              <w:t>劝阻与警戒</w:t>
            </w:r>
          </w:p>
        </w:tc>
        <w:tc>
          <w:tcPr>
            <w:tcW w:w="3990" w:type="pct"/>
            <w:vAlign w:val="center"/>
          </w:tcPr>
          <w:p>
            <w:pPr>
              <w:jc w:val="left"/>
              <w:rPr>
                <w:rFonts w:ascii="宋体" w:hAnsi="宋体" w:cs="宋体"/>
                <w:sz w:val="21"/>
                <w:szCs w:val="21"/>
              </w:rPr>
            </w:pPr>
            <w:r>
              <w:rPr>
                <w:rFonts w:hint="eastAsia" w:ascii="宋体" w:hAnsi="宋体" w:cs="宋体"/>
                <w:sz w:val="21"/>
                <w:szCs w:val="21"/>
              </w:rPr>
              <w:t>对衣履不整洁，坦胸露背者，携带动物或危险物品者，未经联系的推销者，公共场所大声喧哗者等，加强警戒，把好治安管理第一关。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2" w:type="pct"/>
            <w:vMerge w:val="continue"/>
            <w:vAlign w:val="center"/>
          </w:tcPr>
          <w:p>
            <w:pPr>
              <w:jc w:val="center"/>
              <w:rPr>
                <w:rFonts w:ascii="宋体" w:hAnsi="宋体" w:cs="宋体"/>
                <w:sz w:val="21"/>
                <w:szCs w:val="21"/>
              </w:rPr>
            </w:pPr>
          </w:p>
        </w:tc>
        <w:tc>
          <w:tcPr>
            <w:tcW w:w="596" w:type="pct"/>
            <w:vAlign w:val="center"/>
          </w:tcPr>
          <w:p>
            <w:pPr>
              <w:jc w:val="center"/>
              <w:rPr>
                <w:rFonts w:ascii="宋体" w:hAnsi="宋体" w:cs="宋体"/>
                <w:sz w:val="21"/>
                <w:szCs w:val="21"/>
              </w:rPr>
            </w:pPr>
            <w:r>
              <w:rPr>
                <w:rFonts w:hint="eastAsia" w:ascii="宋体" w:hAnsi="宋体" w:cs="宋体"/>
                <w:sz w:val="21"/>
                <w:szCs w:val="21"/>
              </w:rPr>
              <w:t>停放管理</w:t>
            </w:r>
          </w:p>
        </w:tc>
        <w:tc>
          <w:tcPr>
            <w:tcW w:w="3990" w:type="pct"/>
            <w:vAlign w:val="center"/>
          </w:tcPr>
          <w:p>
            <w:pPr>
              <w:jc w:val="left"/>
              <w:rPr>
                <w:rFonts w:ascii="宋体" w:hAnsi="宋体" w:cs="宋体"/>
                <w:sz w:val="21"/>
                <w:szCs w:val="21"/>
              </w:rPr>
            </w:pPr>
            <w:r>
              <w:rPr>
                <w:rFonts w:hint="eastAsia" w:ascii="宋体" w:hAnsi="宋体" w:cs="宋体"/>
                <w:sz w:val="21"/>
                <w:szCs w:val="21"/>
              </w:rPr>
              <w:t>各种车辆必须遵守交通和车辆停放规定，按指定地点停放，做到停放有序，大楼区域门前不得长时间停车，保持道路畅通。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12" w:type="pct"/>
            <w:vMerge w:val="continue"/>
            <w:vAlign w:val="center"/>
          </w:tcPr>
          <w:p>
            <w:pPr>
              <w:jc w:val="center"/>
              <w:rPr>
                <w:rFonts w:ascii="宋体" w:hAnsi="宋体" w:cs="宋体"/>
                <w:sz w:val="21"/>
                <w:szCs w:val="21"/>
              </w:rPr>
            </w:pPr>
          </w:p>
        </w:tc>
        <w:tc>
          <w:tcPr>
            <w:tcW w:w="596" w:type="pct"/>
            <w:vAlign w:val="center"/>
          </w:tcPr>
          <w:p>
            <w:pPr>
              <w:jc w:val="center"/>
              <w:rPr>
                <w:rFonts w:ascii="宋体" w:hAnsi="宋体" w:cs="宋体"/>
                <w:sz w:val="21"/>
                <w:szCs w:val="21"/>
              </w:rPr>
            </w:pPr>
            <w:r>
              <w:rPr>
                <w:rFonts w:hint="eastAsia" w:ascii="宋体" w:hAnsi="宋体" w:cs="宋体"/>
                <w:sz w:val="21"/>
                <w:szCs w:val="21"/>
              </w:rPr>
              <w:t>疏导管理</w:t>
            </w:r>
          </w:p>
        </w:tc>
        <w:tc>
          <w:tcPr>
            <w:tcW w:w="3990" w:type="pct"/>
            <w:vAlign w:val="center"/>
          </w:tcPr>
          <w:p>
            <w:pPr>
              <w:jc w:val="left"/>
              <w:rPr>
                <w:rFonts w:ascii="宋体" w:hAnsi="宋体" w:cs="宋体"/>
                <w:sz w:val="21"/>
                <w:szCs w:val="21"/>
              </w:rPr>
            </w:pPr>
            <w:r>
              <w:rPr>
                <w:rFonts w:hint="eastAsia" w:ascii="宋体" w:hAnsi="宋体" w:cs="宋体"/>
                <w:sz w:val="21"/>
                <w:szCs w:val="21"/>
              </w:rPr>
              <w:t>采用标志引导和人员引导相结合的方式，引导车辆按标志指示的方向行驶，人员引导要注意礼貌、礼节，动作要规范，防止车辆堵塞。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2" w:type="pct"/>
            <w:vMerge w:val="continue"/>
            <w:vAlign w:val="center"/>
          </w:tcPr>
          <w:p>
            <w:pPr>
              <w:jc w:val="center"/>
              <w:rPr>
                <w:rFonts w:ascii="宋体" w:hAnsi="宋体" w:cs="宋体"/>
                <w:sz w:val="21"/>
                <w:szCs w:val="21"/>
              </w:rPr>
            </w:pPr>
          </w:p>
        </w:tc>
        <w:tc>
          <w:tcPr>
            <w:tcW w:w="596" w:type="pct"/>
            <w:vAlign w:val="center"/>
          </w:tcPr>
          <w:p>
            <w:pPr>
              <w:jc w:val="center"/>
              <w:rPr>
                <w:rFonts w:ascii="宋体" w:hAnsi="宋体" w:cs="宋体"/>
                <w:sz w:val="21"/>
                <w:szCs w:val="21"/>
              </w:rPr>
            </w:pPr>
            <w:r>
              <w:rPr>
                <w:rFonts w:hint="eastAsia" w:ascii="宋体" w:hAnsi="宋体" w:cs="宋体"/>
                <w:sz w:val="21"/>
                <w:szCs w:val="21"/>
              </w:rPr>
              <w:t>放行管理</w:t>
            </w:r>
          </w:p>
        </w:tc>
        <w:tc>
          <w:tcPr>
            <w:tcW w:w="3990" w:type="pct"/>
            <w:vAlign w:val="center"/>
          </w:tcPr>
          <w:p>
            <w:pPr>
              <w:jc w:val="left"/>
              <w:rPr>
                <w:rFonts w:ascii="宋体" w:hAnsi="宋体" w:cs="宋体"/>
                <w:sz w:val="21"/>
                <w:szCs w:val="21"/>
              </w:rPr>
            </w:pPr>
            <w:r>
              <w:rPr>
                <w:rFonts w:hint="eastAsia" w:ascii="宋体" w:hAnsi="宋体" w:cs="宋体"/>
                <w:sz w:val="21"/>
                <w:szCs w:val="21"/>
              </w:rPr>
              <w:t>车辆载物外出，必须持有手续齐全的出门单，经检验手续齐全，物品及数量相符合后才放行。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restart"/>
            <w:vAlign w:val="center"/>
          </w:tcPr>
          <w:p>
            <w:pPr>
              <w:jc w:val="center"/>
              <w:rPr>
                <w:rFonts w:ascii="宋体" w:hAnsi="宋体" w:cs="宋体"/>
                <w:sz w:val="21"/>
                <w:szCs w:val="21"/>
              </w:rPr>
            </w:pPr>
            <w:r>
              <w:rPr>
                <w:rFonts w:hint="eastAsia" w:ascii="宋体" w:hAnsi="宋体" w:cs="宋体"/>
                <w:sz w:val="21"/>
                <w:szCs w:val="21"/>
              </w:rPr>
              <w:t>消防监控中心管理</w:t>
            </w:r>
          </w:p>
        </w:tc>
        <w:tc>
          <w:tcPr>
            <w:tcW w:w="3990" w:type="pct"/>
            <w:vAlign w:val="center"/>
          </w:tcPr>
          <w:p>
            <w:pPr>
              <w:jc w:val="left"/>
              <w:rPr>
                <w:rFonts w:ascii="宋体" w:hAnsi="宋体" w:cs="宋体"/>
                <w:sz w:val="21"/>
                <w:szCs w:val="21"/>
              </w:rPr>
            </w:pPr>
            <w:r>
              <w:rPr>
                <w:rFonts w:hint="eastAsia" w:ascii="宋体" w:hAnsi="宋体" w:cs="宋体"/>
                <w:sz w:val="21"/>
                <w:szCs w:val="21"/>
              </w:rPr>
              <w:t>要求24小时值班，乙方每班不少于1人（甲方人员协助进行消监控室值班），乙方人员持证上岗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发现异常情况及时报告，并做好记录和录像。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设备发生故障时，及时进行报修。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每三个月对火灾报警进行一次功能检查并启动消防风机、水泵一次，并做好记录。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保持地面、墙壁、设备无积尘、水渍、油渍。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restart"/>
            <w:vAlign w:val="center"/>
          </w:tcPr>
          <w:p>
            <w:pPr>
              <w:jc w:val="center"/>
              <w:rPr>
                <w:rFonts w:ascii="宋体" w:hAnsi="宋体" w:cs="宋体"/>
                <w:sz w:val="21"/>
                <w:szCs w:val="21"/>
              </w:rPr>
            </w:pPr>
            <w:r>
              <w:rPr>
                <w:rFonts w:hint="eastAsia" w:ascii="宋体" w:hAnsi="宋体" w:cs="宋体"/>
                <w:sz w:val="21"/>
                <w:szCs w:val="21"/>
              </w:rPr>
              <w:t>零星施工安全管理</w:t>
            </w:r>
          </w:p>
        </w:tc>
        <w:tc>
          <w:tcPr>
            <w:tcW w:w="3990" w:type="pct"/>
            <w:vAlign w:val="center"/>
          </w:tcPr>
          <w:p>
            <w:pPr>
              <w:jc w:val="left"/>
              <w:rPr>
                <w:rFonts w:ascii="宋体" w:hAnsi="宋体" w:cs="宋体"/>
                <w:sz w:val="21"/>
                <w:szCs w:val="21"/>
              </w:rPr>
            </w:pPr>
            <w:r>
              <w:rPr>
                <w:rFonts w:hint="eastAsia" w:ascii="宋体" w:hAnsi="宋体" w:cs="宋体"/>
                <w:sz w:val="21"/>
                <w:szCs w:val="21"/>
              </w:rPr>
              <w:t>施工单位人员必须接受秩序管理部安全教育，办理临时出入凭证。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施工完毕后，检查施工现场、设备设施及装饰物有无损坏，如有损坏，照价赔偿。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9" w:type="pct"/>
            <w:gridSpan w:val="2"/>
            <w:vMerge w:val="restart"/>
            <w:vAlign w:val="center"/>
          </w:tcPr>
          <w:p>
            <w:pPr>
              <w:jc w:val="center"/>
              <w:rPr>
                <w:rFonts w:ascii="宋体" w:hAnsi="宋体" w:cs="宋体"/>
                <w:sz w:val="21"/>
                <w:szCs w:val="21"/>
              </w:rPr>
            </w:pPr>
            <w:r>
              <w:rPr>
                <w:rFonts w:hint="eastAsia" w:ascii="宋体" w:hAnsi="宋体" w:cs="宋体"/>
                <w:sz w:val="21"/>
                <w:szCs w:val="21"/>
              </w:rPr>
              <w:t>消防管理</w:t>
            </w:r>
          </w:p>
        </w:tc>
        <w:tc>
          <w:tcPr>
            <w:tcW w:w="3990" w:type="pct"/>
            <w:vAlign w:val="center"/>
          </w:tcPr>
          <w:p>
            <w:pPr>
              <w:jc w:val="left"/>
              <w:rPr>
                <w:rFonts w:ascii="宋体" w:hAnsi="宋体" w:cs="宋体"/>
                <w:sz w:val="21"/>
                <w:szCs w:val="21"/>
              </w:rPr>
            </w:pPr>
            <w:r>
              <w:rPr>
                <w:rFonts w:hint="eastAsia" w:ascii="宋体" w:hAnsi="宋体" w:cs="宋体"/>
                <w:sz w:val="21"/>
                <w:szCs w:val="21"/>
              </w:rPr>
              <w:t>制定消防应急预案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管理人员应具备相关消防安全、消防法律知识。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灭火器、应急照明灯、指示灯：每月检查一次，发现损坏或丢失的应如实记录，并报告招标方及时进行填补或更换。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消防水带：每半年检查一次完整无缺，无霉变。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消防栓：每月巡检一次，检查消防栓箱内各配件是否完整。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定期不定期向工作人员宣读防火知识，定期对义务消防员进行防火培训。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确保消防设施设备完好齐全，报警系统准确无误，喷淋系统正常工作。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009" w:type="pct"/>
            <w:gridSpan w:val="2"/>
            <w:vMerge w:val="continue"/>
            <w:vAlign w:val="center"/>
          </w:tcPr>
          <w:p>
            <w:pPr>
              <w:jc w:val="center"/>
              <w:rPr>
                <w:rFonts w:ascii="宋体" w:hAnsi="宋体" w:cs="宋体"/>
                <w:sz w:val="21"/>
                <w:szCs w:val="21"/>
              </w:rPr>
            </w:pPr>
          </w:p>
        </w:tc>
        <w:tc>
          <w:tcPr>
            <w:tcW w:w="3990" w:type="pct"/>
            <w:vAlign w:val="center"/>
          </w:tcPr>
          <w:p>
            <w:pPr>
              <w:jc w:val="left"/>
              <w:rPr>
                <w:rFonts w:ascii="宋体" w:hAnsi="宋体" w:cs="宋体"/>
                <w:sz w:val="21"/>
                <w:szCs w:val="21"/>
              </w:rPr>
            </w:pPr>
            <w:r>
              <w:rPr>
                <w:rFonts w:hint="eastAsia" w:ascii="宋体" w:hAnsi="宋体" w:cs="宋体"/>
                <w:sz w:val="21"/>
                <w:szCs w:val="21"/>
              </w:rPr>
              <w:t>每年安排一次消防模拟演练。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9" w:type="pct"/>
            <w:gridSpan w:val="2"/>
            <w:vAlign w:val="center"/>
          </w:tcPr>
          <w:p>
            <w:pPr>
              <w:jc w:val="center"/>
              <w:rPr>
                <w:rFonts w:ascii="宋体" w:hAnsi="宋体" w:cs="宋体"/>
                <w:sz w:val="21"/>
                <w:szCs w:val="21"/>
              </w:rPr>
            </w:pPr>
            <w:r>
              <w:rPr>
                <w:rFonts w:hint="eastAsia" w:ascii="宋体" w:hAnsi="宋体" w:cs="宋体"/>
                <w:sz w:val="21"/>
                <w:szCs w:val="21"/>
              </w:rPr>
              <w:t>应急方案</w:t>
            </w:r>
          </w:p>
        </w:tc>
        <w:tc>
          <w:tcPr>
            <w:tcW w:w="3990" w:type="pct"/>
            <w:vAlign w:val="center"/>
          </w:tcPr>
          <w:p>
            <w:pPr>
              <w:jc w:val="left"/>
              <w:rPr>
                <w:rFonts w:ascii="宋体" w:hAnsi="宋体" w:cs="宋体"/>
                <w:sz w:val="21"/>
                <w:szCs w:val="21"/>
              </w:rPr>
            </w:pPr>
            <w:r>
              <w:rPr>
                <w:rFonts w:hint="eastAsia" w:ascii="宋体" w:hAnsi="宋体" w:cs="宋体"/>
                <w:sz w:val="21"/>
                <w:szCs w:val="21"/>
              </w:rPr>
              <w:t>投标方制定消防、台风、暴雨应急方案、恶劣天气应急预案、突发事件应急预案。</w:t>
            </w:r>
          </w:p>
        </w:tc>
      </w:tr>
    </w:tbl>
    <w:p>
      <w:pPr>
        <w:rPr>
          <w:b/>
          <w:bCs/>
        </w:rPr>
      </w:pPr>
    </w:p>
    <w:bookmarkEnd w:id="76"/>
    <w:p>
      <w:pPr>
        <w:rPr>
          <w:rFonts w:ascii="宋体" w:hAnsi="宋体" w:cs="宋体"/>
          <w:b/>
          <w:bCs/>
          <w:sz w:val="21"/>
          <w:szCs w:val="21"/>
        </w:rPr>
      </w:pPr>
      <w:r>
        <w:rPr>
          <w:rFonts w:hint="eastAsia" w:ascii="宋体" w:hAnsi="宋体" w:cs="宋体"/>
          <w:b/>
          <w:bCs/>
          <w:sz w:val="21"/>
          <w:szCs w:val="21"/>
        </w:rPr>
        <w:t>（三）绿化养护</w:t>
      </w:r>
    </w:p>
    <w:p>
      <w:pPr>
        <w:ind w:firstLine="420" w:firstLineChars="200"/>
        <w:rPr>
          <w:rFonts w:ascii="宋体" w:hAnsi="宋体" w:cs="宋体"/>
          <w:sz w:val="21"/>
          <w:szCs w:val="21"/>
        </w:rPr>
      </w:pPr>
      <w:r>
        <w:rPr>
          <w:rFonts w:hint="eastAsia" w:ascii="宋体" w:hAnsi="宋体" w:cs="宋体"/>
          <w:sz w:val="21"/>
          <w:szCs w:val="21"/>
        </w:rPr>
        <w:t>绿化维保期内绿化养护由维保单位负责。维保期结束后将绿化移交给乙方进行养护。</w:t>
      </w:r>
    </w:p>
    <w:p>
      <w:pPr>
        <w:ind w:firstLine="420" w:firstLineChars="200"/>
        <w:rPr>
          <w:rFonts w:ascii="宋体" w:hAnsi="宋体" w:cs="宋体"/>
          <w:sz w:val="21"/>
          <w:szCs w:val="21"/>
        </w:rPr>
      </w:pPr>
      <w:r>
        <w:rPr>
          <w:rFonts w:hint="eastAsia" w:ascii="宋体" w:hAnsi="宋体" w:cs="宋体"/>
          <w:sz w:val="21"/>
          <w:szCs w:val="21"/>
        </w:rPr>
        <w:t>1、植物养护标准：</w:t>
      </w:r>
    </w:p>
    <w:p>
      <w:pPr>
        <w:ind w:firstLine="420" w:firstLineChars="200"/>
        <w:rPr>
          <w:rFonts w:ascii="宋体" w:hAnsi="宋体" w:cs="宋体"/>
          <w:sz w:val="21"/>
          <w:szCs w:val="21"/>
        </w:rPr>
      </w:pPr>
      <w:r>
        <w:rPr>
          <w:rFonts w:hint="eastAsia" w:ascii="宋体" w:hAnsi="宋体" w:cs="宋体"/>
          <w:sz w:val="21"/>
          <w:szCs w:val="21"/>
        </w:rPr>
        <w:t xml:space="preserve">对植物作适当的布局调整，做到无裸露土地。对植物群落进行科学养护，使乔、灌、花、草生长茂盛，季相分明，色彩丰富，营造优美植物景观。 </w:t>
      </w:r>
    </w:p>
    <w:p>
      <w:pPr>
        <w:ind w:firstLine="420" w:firstLineChars="200"/>
        <w:rPr>
          <w:rFonts w:ascii="宋体" w:hAnsi="宋体" w:cs="宋体"/>
          <w:sz w:val="21"/>
          <w:szCs w:val="21"/>
        </w:rPr>
      </w:pPr>
      <w:r>
        <w:rPr>
          <w:rFonts w:hint="eastAsia" w:ascii="宋体" w:hAnsi="宋体" w:cs="宋体"/>
          <w:sz w:val="21"/>
          <w:szCs w:val="21"/>
        </w:rPr>
        <w:t>草坪生长茂盛，无空秃，无明显杂草。做到黄土不裸露，保持叶面清洁，有整体观赏效果。</w:t>
      </w:r>
    </w:p>
    <w:p>
      <w:pPr>
        <w:ind w:firstLine="420" w:firstLineChars="200"/>
        <w:rPr>
          <w:rFonts w:ascii="宋体" w:hAnsi="宋体" w:cs="宋体"/>
          <w:sz w:val="21"/>
          <w:szCs w:val="21"/>
        </w:rPr>
      </w:pPr>
      <w:r>
        <w:rPr>
          <w:rFonts w:hint="eastAsia" w:ascii="宋体" w:hAnsi="宋体" w:cs="宋体"/>
          <w:sz w:val="21"/>
          <w:szCs w:val="21"/>
        </w:rPr>
        <w:t xml:space="preserve">树木及时修剪，无徒长枝、病虫枝、过密枝、枯枝、伤损枝；宿根植物及时翻种、断根、间删；植物无死株。 </w:t>
      </w:r>
    </w:p>
    <w:p>
      <w:pPr>
        <w:ind w:firstLine="420" w:firstLineChars="200"/>
        <w:rPr>
          <w:rFonts w:ascii="宋体" w:hAnsi="宋体" w:cs="宋体"/>
          <w:sz w:val="21"/>
          <w:szCs w:val="21"/>
        </w:rPr>
      </w:pPr>
      <w:r>
        <w:rPr>
          <w:rFonts w:hint="eastAsia" w:ascii="宋体" w:hAnsi="宋体" w:cs="宋体"/>
          <w:sz w:val="21"/>
          <w:szCs w:val="21"/>
        </w:rPr>
        <w:t xml:space="preserve">2、树木成活率标准： </w:t>
      </w:r>
    </w:p>
    <w:p>
      <w:pPr>
        <w:rPr>
          <w:rFonts w:ascii="宋体" w:hAnsi="宋体" w:cs="宋体"/>
          <w:sz w:val="21"/>
          <w:szCs w:val="21"/>
        </w:rPr>
      </w:pPr>
      <w:r>
        <w:rPr>
          <w:rFonts w:hint="eastAsia" w:ascii="宋体" w:hAnsi="宋体" w:cs="宋体"/>
          <w:sz w:val="21"/>
          <w:szCs w:val="21"/>
        </w:rPr>
        <w:t xml:space="preserve">    树木成活率98%以上；树木保存率100%。 </w:t>
      </w:r>
    </w:p>
    <w:p>
      <w:pPr>
        <w:ind w:firstLine="420" w:firstLineChars="200"/>
        <w:rPr>
          <w:rFonts w:ascii="宋体" w:hAnsi="宋体" w:cs="宋体"/>
          <w:sz w:val="21"/>
          <w:szCs w:val="21"/>
        </w:rPr>
      </w:pPr>
      <w:r>
        <w:rPr>
          <w:rFonts w:hint="eastAsia" w:ascii="宋体" w:hAnsi="宋体" w:cs="宋体"/>
          <w:sz w:val="21"/>
          <w:szCs w:val="21"/>
        </w:rPr>
        <w:t xml:space="preserve">3、设施维护标准： </w:t>
      </w:r>
    </w:p>
    <w:p>
      <w:pPr>
        <w:rPr>
          <w:rFonts w:ascii="宋体" w:hAnsi="宋体" w:cs="宋体"/>
          <w:sz w:val="21"/>
          <w:szCs w:val="21"/>
        </w:rPr>
      </w:pPr>
      <w:r>
        <w:rPr>
          <w:rFonts w:hint="eastAsia" w:ascii="宋体" w:hAnsi="宋体" w:cs="宋体"/>
          <w:sz w:val="21"/>
          <w:szCs w:val="21"/>
        </w:rPr>
        <w:t xml:space="preserve">    绿地附属设施完好、分布合理、放置整齐、保持清洁。 </w:t>
      </w:r>
    </w:p>
    <w:p>
      <w:pPr>
        <w:rPr>
          <w:rFonts w:ascii="宋体" w:hAnsi="宋体" w:cs="宋体"/>
          <w:sz w:val="21"/>
          <w:szCs w:val="21"/>
        </w:rPr>
      </w:pPr>
      <w:r>
        <w:rPr>
          <w:rFonts w:hint="eastAsia" w:ascii="宋体" w:hAnsi="宋体" w:cs="宋体"/>
          <w:sz w:val="21"/>
          <w:szCs w:val="21"/>
        </w:rPr>
        <w:t xml:space="preserve">    园路、铺装地坪平整，无大面积破损、无积水、无淤泥。 </w:t>
      </w:r>
    </w:p>
    <w:p>
      <w:pPr>
        <w:rPr>
          <w:rFonts w:ascii="宋体" w:hAnsi="宋体" w:cs="宋体"/>
          <w:sz w:val="21"/>
          <w:szCs w:val="21"/>
        </w:rPr>
      </w:pPr>
      <w:r>
        <w:rPr>
          <w:rFonts w:hint="eastAsia" w:ascii="宋体" w:hAnsi="宋体" w:cs="宋体"/>
          <w:sz w:val="21"/>
          <w:szCs w:val="21"/>
        </w:rPr>
        <w:t xml:space="preserve">    指示牌、禁令牌、宣传牌放置合理，醒目、完善、规范。 </w:t>
      </w:r>
    </w:p>
    <w:p>
      <w:pPr>
        <w:ind w:firstLine="420" w:firstLineChars="200"/>
        <w:rPr>
          <w:rFonts w:ascii="宋体" w:hAnsi="宋体" w:cs="宋体"/>
          <w:sz w:val="21"/>
          <w:szCs w:val="21"/>
        </w:rPr>
      </w:pPr>
      <w:r>
        <w:rPr>
          <w:rFonts w:hint="eastAsia" w:ascii="宋体" w:hAnsi="宋体" w:cs="宋体"/>
          <w:sz w:val="21"/>
          <w:szCs w:val="21"/>
        </w:rPr>
        <w:t xml:space="preserve">4、卫生标准： </w:t>
      </w:r>
    </w:p>
    <w:p>
      <w:pPr>
        <w:ind w:firstLine="420" w:firstLineChars="200"/>
        <w:rPr>
          <w:rFonts w:ascii="宋体" w:hAnsi="宋体" w:cs="宋体"/>
          <w:sz w:val="21"/>
          <w:szCs w:val="21"/>
        </w:rPr>
      </w:pPr>
      <w:r>
        <w:rPr>
          <w:rFonts w:hint="eastAsia" w:ascii="宋体" w:hAnsi="宋体" w:cs="宋体"/>
          <w:sz w:val="21"/>
          <w:szCs w:val="21"/>
        </w:rPr>
        <w:t>绿地整洁，地面卫生，无垃圾杂物，无堆物堆料、搭棚、侵占等现象；枯枝、落叶及时清扫干净；设施基本完好，无明显人为损坏，对违法行为能及时发现和处理；绿化生产垃圾能及时清运。</w:t>
      </w:r>
    </w:p>
    <w:p>
      <w:pPr>
        <w:ind w:firstLine="420" w:firstLineChars="200"/>
        <w:rPr>
          <w:rFonts w:ascii="宋体" w:hAnsi="宋体" w:cs="宋体"/>
          <w:sz w:val="21"/>
          <w:szCs w:val="21"/>
        </w:rPr>
      </w:pPr>
      <w:r>
        <w:rPr>
          <w:rFonts w:hint="eastAsia" w:ascii="宋体" w:hAnsi="宋体" w:cs="宋体"/>
          <w:sz w:val="21"/>
          <w:szCs w:val="21"/>
        </w:rPr>
        <w:t>5、管理标准：</w:t>
      </w:r>
    </w:p>
    <w:p>
      <w:pPr>
        <w:ind w:left="728" w:leftChars="100" w:hanging="448"/>
        <w:rPr>
          <w:rFonts w:ascii="宋体" w:hAnsi="宋体" w:cs="宋体"/>
          <w:sz w:val="21"/>
          <w:szCs w:val="21"/>
        </w:rPr>
      </w:pPr>
      <w:r>
        <w:rPr>
          <w:rFonts w:ascii="宋体" w:hAnsi="宋体" w:cs="宋体"/>
          <w:sz w:val="21"/>
          <w:szCs w:val="21"/>
        </w:rPr>
        <w:t>(1)</w:t>
      </w:r>
      <w:r>
        <w:rPr>
          <w:rFonts w:hint="eastAsia" w:ascii="宋体" w:hAnsi="宋体" w:cs="宋体"/>
          <w:sz w:val="21"/>
          <w:szCs w:val="21"/>
        </w:rPr>
        <w:t>每月提供月度养护计划及安排表。</w:t>
      </w:r>
    </w:p>
    <w:p>
      <w:pPr>
        <w:ind w:left="728" w:leftChars="100" w:hanging="448"/>
        <w:rPr>
          <w:rFonts w:ascii="宋体" w:hAnsi="宋体" w:cs="宋体"/>
          <w:sz w:val="21"/>
          <w:szCs w:val="21"/>
        </w:rPr>
      </w:pPr>
      <w:r>
        <w:rPr>
          <w:rFonts w:ascii="宋体" w:hAnsi="宋体" w:cs="宋体"/>
          <w:sz w:val="21"/>
          <w:szCs w:val="21"/>
        </w:rPr>
        <w:t>(2)</w:t>
      </w:r>
      <w:r>
        <w:rPr>
          <w:rFonts w:hint="eastAsia" w:ascii="宋体" w:hAnsi="宋体" w:cs="宋体"/>
          <w:sz w:val="21"/>
          <w:szCs w:val="21"/>
        </w:rPr>
        <w:t xml:space="preserve">绿地管理制度全面落实，档案资料完整、详尽，工作人员挂牌上岗。 </w:t>
      </w:r>
    </w:p>
    <w:p>
      <w:pPr>
        <w:ind w:left="728" w:leftChars="100" w:hanging="448"/>
        <w:rPr>
          <w:rFonts w:ascii="宋体" w:hAnsi="宋体" w:cs="宋体"/>
          <w:sz w:val="21"/>
          <w:szCs w:val="21"/>
        </w:rPr>
      </w:pPr>
      <w:r>
        <w:rPr>
          <w:rFonts w:ascii="宋体" w:hAnsi="宋体" w:cs="宋体"/>
          <w:sz w:val="21"/>
          <w:szCs w:val="21"/>
        </w:rPr>
        <w:t>(3)</w:t>
      </w:r>
      <w:r>
        <w:rPr>
          <w:rFonts w:hint="eastAsia" w:ascii="宋体" w:hAnsi="宋体" w:cs="宋体"/>
          <w:sz w:val="21"/>
          <w:szCs w:val="21"/>
        </w:rPr>
        <w:t xml:space="preserve">无违章占绿、无违法建设。 </w:t>
      </w:r>
    </w:p>
    <w:p>
      <w:pPr>
        <w:ind w:left="728" w:leftChars="100" w:hanging="448"/>
        <w:rPr>
          <w:rFonts w:ascii="宋体" w:hAnsi="宋体" w:cs="宋体"/>
          <w:sz w:val="21"/>
          <w:szCs w:val="21"/>
        </w:rPr>
      </w:pPr>
      <w:r>
        <w:rPr>
          <w:rFonts w:ascii="宋体" w:hAnsi="宋体" w:cs="宋体"/>
          <w:sz w:val="21"/>
          <w:szCs w:val="21"/>
        </w:rPr>
        <w:t>(4)</w:t>
      </w:r>
      <w:r>
        <w:rPr>
          <w:rFonts w:hint="eastAsia" w:ascii="宋体" w:hAnsi="宋体" w:cs="宋体"/>
          <w:sz w:val="21"/>
          <w:szCs w:val="21"/>
        </w:rPr>
        <w:t xml:space="preserve">秩序良好，无乱堆乱放、晾晒衣物现象。 </w:t>
      </w:r>
    </w:p>
    <w:p>
      <w:pPr>
        <w:ind w:left="728" w:leftChars="100" w:hanging="448"/>
        <w:rPr>
          <w:rFonts w:ascii="宋体" w:hAnsi="宋体" w:cs="宋体"/>
          <w:sz w:val="21"/>
          <w:szCs w:val="21"/>
        </w:rPr>
      </w:pPr>
      <w:r>
        <w:rPr>
          <w:rFonts w:ascii="宋体" w:hAnsi="宋体" w:cs="宋体"/>
          <w:sz w:val="21"/>
          <w:szCs w:val="21"/>
        </w:rPr>
        <w:t>(5)</w:t>
      </w:r>
      <w:r>
        <w:rPr>
          <w:rFonts w:hint="eastAsia" w:ascii="宋体" w:hAnsi="宋体" w:cs="宋体"/>
          <w:sz w:val="21"/>
          <w:szCs w:val="21"/>
        </w:rPr>
        <w:t xml:space="preserve">有防台、抗雪预案及措施，对危树及时采取修枝、加固或申报更换等措施，遇灾害性天气及时组织进行抢扶。 </w:t>
      </w:r>
    </w:p>
    <w:p>
      <w:pPr>
        <w:ind w:left="728" w:leftChars="100" w:hanging="448"/>
        <w:rPr>
          <w:rFonts w:ascii="宋体" w:hAnsi="宋体" w:cs="宋体"/>
          <w:sz w:val="21"/>
          <w:szCs w:val="21"/>
        </w:rPr>
      </w:pPr>
      <w:r>
        <w:rPr>
          <w:rFonts w:ascii="宋体" w:hAnsi="宋体" w:cs="宋体"/>
          <w:sz w:val="21"/>
          <w:szCs w:val="21"/>
        </w:rPr>
        <w:t>(6)</w:t>
      </w:r>
      <w:r>
        <w:rPr>
          <w:rFonts w:hint="eastAsia" w:ascii="宋体" w:hAnsi="宋体" w:cs="宋体"/>
          <w:sz w:val="21"/>
          <w:szCs w:val="21"/>
        </w:rPr>
        <w:t>养护标准：应达到《绿化养护二级标准》。</w:t>
      </w:r>
    </w:p>
    <w:p>
      <w:pPr>
        <w:ind w:left="728" w:leftChars="100" w:hanging="448"/>
        <w:rPr>
          <w:rFonts w:ascii="宋体" w:hAnsi="宋体" w:cs="宋体"/>
          <w:sz w:val="21"/>
          <w:szCs w:val="21"/>
        </w:rPr>
      </w:pPr>
      <w:r>
        <w:rPr>
          <w:rFonts w:ascii="宋体" w:hAnsi="宋体" w:cs="宋体"/>
          <w:sz w:val="21"/>
          <w:szCs w:val="21"/>
        </w:rPr>
        <w:t>(7)</w:t>
      </w:r>
      <w:r>
        <w:rPr>
          <w:rFonts w:hint="eastAsia" w:ascii="宋体" w:hAnsi="宋体" w:cs="宋体"/>
          <w:sz w:val="21"/>
          <w:szCs w:val="21"/>
        </w:rPr>
        <w:t>灌溉：适期、适量的灌溉，夏季灌溉早晚进行，冬季灌溉中午进行</w:t>
      </w:r>
    </w:p>
    <w:p>
      <w:pPr>
        <w:ind w:left="728" w:leftChars="100" w:hanging="448"/>
        <w:rPr>
          <w:rFonts w:ascii="宋体" w:hAnsi="宋体" w:cs="宋体"/>
          <w:sz w:val="21"/>
          <w:szCs w:val="21"/>
        </w:rPr>
      </w:pPr>
      <w:r>
        <w:rPr>
          <w:rFonts w:ascii="宋体" w:hAnsi="宋体" w:cs="宋体"/>
          <w:sz w:val="21"/>
          <w:szCs w:val="21"/>
        </w:rPr>
        <w:t>(8)</w:t>
      </w:r>
      <w:r>
        <w:rPr>
          <w:rFonts w:hint="eastAsia" w:ascii="宋体" w:hAnsi="宋体" w:cs="宋体"/>
          <w:sz w:val="21"/>
          <w:szCs w:val="21"/>
        </w:rPr>
        <w:t>排水：暴雨后排除树木周围的积水</w:t>
      </w:r>
    </w:p>
    <w:p>
      <w:pPr>
        <w:ind w:left="728" w:leftChars="100" w:hanging="448"/>
        <w:rPr>
          <w:rFonts w:ascii="宋体" w:hAnsi="宋体" w:cs="宋体"/>
          <w:sz w:val="21"/>
          <w:szCs w:val="21"/>
        </w:rPr>
      </w:pPr>
      <w:r>
        <w:rPr>
          <w:rFonts w:ascii="宋体" w:hAnsi="宋体" w:cs="宋体"/>
          <w:sz w:val="21"/>
          <w:szCs w:val="21"/>
        </w:rPr>
        <w:t>(9)</w:t>
      </w:r>
      <w:r>
        <w:rPr>
          <w:rFonts w:hint="eastAsia" w:ascii="宋体" w:hAnsi="宋体" w:cs="宋体"/>
          <w:sz w:val="21"/>
          <w:szCs w:val="21"/>
        </w:rPr>
        <w:t>中耕除草：选在晴朗或初晴天气，且土壤不过分潮湿的时候进行</w:t>
      </w:r>
    </w:p>
    <w:p>
      <w:pPr>
        <w:ind w:left="728" w:leftChars="100" w:hanging="448"/>
        <w:rPr>
          <w:rFonts w:ascii="宋体" w:hAnsi="宋体" w:cs="宋体"/>
          <w:sz w:val="21"/>
          <w:szCs w:val="21"/>
        </w:rPr>
      </w:pPr>
      <w:r>
        <w:rPr>
          <w:rFonts w:ascii="宋体" w:hAnsi="宋体" w:cs="宋体"/>
          <w:sz w:val="21"/>
          <w:szCs w:val="21"/>
        </w:rPr>
        <w:t>(10)</w:t>
      </w:r>
      <w:r>
        <w:rPr>
          <w:rFonts w:hint="eastAsia" w:ascii="宋体" w:hAnsi="宋体" w:cs="宋体"/>
          <w:sz w:val="21"/>
          <w:szCs w:val="21"/>
        </w:rPr>
        <w:t>施肥：休眠期，需施基肥，生长期施追肥</w:t>
      </w:r>
    </w:p>
    <w:p>
      <w:pPr>
        <w:ind w:left="728" w:leftChars="100" w:hanging="448"/>
        <w:rPr>
          <w:rFonts w:ascii="宋体" w:hAnsi="宋体" w:cs="宋体"/>
          <w:sz w:val="21"/>
          <w:szCs w:val="21"/>
        </w:rPr>
      </w:pPr>
      <w:r>
        <w:rPr>
          <w:rFonts w:ascii="宋体" w:hAnsi="宋体" w:cs="宋体"/>
          <w:sz w:val="21"/>
          <w:szCs w:val="21"/>
        </w:rPr>
        <w:t>(11)</w:t>
      </w:r>
      <w:r>
        <w:rPr>
          <w:rFonts w:hint="eastAsia" w:ascii="宋体" w:hAnsi="宋体" w:cs="宋体"/>
          <w:sz w:val="21"/>
          <w:szCs w:val="21"/>
        </w:rPr>
        <w:t>整形修剪：春、夏季开花的花木，应在花后及时修剪；秋季开花的花木和一般树木，应在休眠期进行。</w:t>
      </w:r>
    </w:p>
    <w:p>
      <w:pPr>
        <w:ind w:left="728" w:leftChars="100" w:hanging="448"/>
        <w:rPr>
          <w:rFonts w:ascii="宋体" w:hAnsi="宋体" w:cs="宋体"/>
          <w:sz w:val="21"/>
          <w:szCs w:val="21"/>
        </w:rPr>
      </w:pPr>
      <w:r>
        <w:rPr>
          <w:rFonts w:ascii="宋体" w:hAnsi="宋体" w:cs="宋体"/>
          <w:sz w:val="21"/>
          <w:szCs w:val="21"/>
        </w:rPr>
        <w:t>(12)</w:t>
      </w:r>
      <w:r>
        <w:rPr>
          <w:rFonts w:hint="eastAsia" w:ascii="宋体" w:hAnsi="宋体" w:cs="宋体"/>
          <w:sz w:val="21"/>
          <w:szCs w:val="21"/>
        </w:rPr>
        <w:t>防护设施：预防台风。</w:t>
      </w:r>
    </w:p>
    <w:p>
      <w:pPr>
        <w:rPr>
          <w:rFonts w:ascii="宋体" w:hAnsi="宋体" w:cs="宋体"/>
          <w:b/>
          <w:bCs/>
          <w:sz w:val="21"/>
          <w:szCs w:val="21"/>
        </w:rPr>
      </w:pPr>
    </w:p>
    <w:p>
      <w:pPr>
        <w:rPr>
          <w:rFonts w:ascii="宋体" w:hAnsi="宋体" w:cs="宋体"/>
          <w:b/>
          <w:bCs/>
          <w:sz w:val="21"/>
          <w:szCs w:val="21"/>
        </w:rPr>
      </w:pPr>
      <w:r>
        <w:rPr>
          <w:rFonts w:hint="eastAsia" w:ascii="宋体" w:hAnsi="宋体" w:cs="宋体"/>
          <w:b/>
          <w:bCs/>
          <w:sz w:val="21"/>
          <w:szCs w:val="21"/>
        </w:rPr>
        <w:t>4.人员配置</w:t>
      </w:r>
    </w:p>
    <w:p>
      <w:pPr>
        <w:ind w:firstLine="420" w:firstLineChars="200"/>
        <w:rPr>
          <w:rFonts w:ascii="宋体" w:hAnsi="宋体" w:cs="宋体"/>
          <w:sz w:val="21"/>
          <w:szCs w:val="21"/>
        </w:rPr>
      </w:pPr>
      <w:r>
        <w:rPr>
          <w:rFonts w:hint="eastAsia" w:ascii="宋体" w:hAnsi="宋体" w:cs="宋体"/>
          <w:sz w:val="21"/>
          <w:szCs w:val="21"/>
        </w:rPr>
        <w:t>由中标单位根据项目实际以及项目启用计划自行安排人员数量和工种，人员安排每月1次及时报甲方备案。</w:t>
      </w:r>
    </w:p>
    <w:p>
      <w:pPr>
        <w:pStyle w:val="80"/>
        <w:numPr>
          <w:ilvl w:val="1"/>
          <w:numId w:val="0"/>
        </w:numPr>
        <w:tabs>
          <w:tab w:val="left" w:pos="840"/>
        </w:tabs>
        <w:adjustRightInd w:val="0"/>
        <w:snapToGrid w:val="0"/>
        <w:spacing w:line="288" w:lineRule="auto"/>
        <w:rPr>
          <w:rFonts w:ascii="宋体" w:hAnsi="宋体" w:cs="宋体"/>
          <w:bCs/>
          <w:sz w:val="21"/>
          <w:szCs w:val="21"/>
        </w:rPr>
      </w:pPr>
    </w:p>
    <w:p>
      <w:pPr>
        <w:widowControl/>
        <w:jc w:val="left"/>
        <w:rPr>
          <w:rFonts w:ascii="宋体" w:hAnsi="宋体"/>
          <w:sz w:val="21"/>
          <w:szCs w:val="21"/>
        </w:rPr>
      </w:pPr>
      <w:r>
        <w:rPr>
          <w:rFonts w:ascii="宋体" w:hAnsi="宋体"/>
          <w:sz w:val="21"/>
          <w:szCs w:val="21"/>
        </w:rPr>
        <w:br w:type="page"/>
      </w:r>
    </w:p>
    <w:p>
      <w:pPr>
        <w:adjustRightInd w:val="0"/>
        <w:snapToGrid w:val="0"/>
        <w:spacing w:line="288" w:lineRule="auto"/>
        <w:jc w:val="center"/>
        <w:outlineLvl w:val="0"/>
        <w:rPr>
          <w:rFonts w:ascii="宋体" w:hAnsi="宋体"/>
          <w:sz w:val="32"/>
          <w:szCs w:val="32"/>
        </w:rPr>
      </w:pPr>
      <w:r>
        <w:rPr>
          <w:rFonts w:hint="eastAsia" w:ascii="宋体" w:hAnsi="宋体"/>
          <w:b/>
          <w:sz w:val="32"/>
          <w:szCs w:val="32"/>
        </w:rPr>
        <w:t>第三章  投标人须知</w:t>
      </w:r>
    </w:p>
    <w:p>
      <w:pPr>
        <w:adjustRightInd w:val="0"/>
        <w:snapToGrid w:val="0"/>
        <w:spacing w:line="288" w:lineRule="auto"/>
        <w:ind w:left="238"/>
        <w:jc w:val="center"/>
        <w:rPr>
          <w:rFonts w:ascii="宋体" w:hAnsi="宋体"/>
          <w:b/>
          <w:sz w:val="21"/>
          <w:szCs w:val="21"/>
        </w:rPr>
      </w:pPr>
      <w:r>
        <w:rPr>
          <w:rFonts w:hint="eastAsia" w:ascii="宋体" w:hAnsi="宋体"/>
          <w:b/>
          <w:sz w:val="21"/>
          <w:szCs w:val="21"/>
        </w:rPr>
        <w:t>投标人</w:t>
      </w:r>
      <w:r>
        <w:rPr>
          <w:rFonts w:ascii="宋体" w:hAnsi="宋体"/>
          <w:b/>
          <w:sz w:val="21"/>
          <w:szCs w:val="21"/>
        </w:rPr>
        <w:t>须知</w:t>
      </w:r>
      <w:r>
        <w:rPr>
          <w:rFonts w:hint="eastAsia" w:ascii="宋体" w:hAnsi="宋体"/>
          <w:b/>
          <w:sz w:val="21"/>
          <w:szCs w:val="21"/>
        </w:rPr>
        <w:t>前附表</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条款号</w:t>
            </w:r>
          </w:p>
        </w:tc>
        <w:tc>
          <w:tcPr>
            <w:tcW w:w="1701"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内容</w:t>
            </w:r>
          </w:p>
        </w:tc>
        <w:tc>
          <w:tcPr>
            <w:tcW w:w="6663"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适用范围</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本招标文件适用于浙江大学海南研究院浙江大学（海南）先进技术与产业创新平台物业服务</w:t>
            </w:r>
            <w:r>
              <w:rPr>
                <w:rFonts w:ascii="宋体" w:hAnsi="宋体"/>
                <w:sz w:val="21"/>
                <w:szCs w:val="21"/>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招标方式</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本次招标采用公开招标方式进行。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投标委托</w:t>
            </w:r>
          </w:p>
        </w:tc>
        <w:tc>
          <w:tcPr>
            <w:tcW w:w="6663" w:type="dxa"/>
            <w:vAlign w:val="center"/>
          </w:tcPr>
          <w:p>
            <w:pPr>
              <w:adjustRightInd w:val="0"/>
              <w:snapToGrid w:val="0"/>
              <w:spacing w:line="288" w:lineRule="auto"/>
              <w:rPr>
                <w:rFonts w:ascii="宋体" w:hAnsi="宋体"/>
                <w:sz w:val="21"/>
                <w:szCs w:val="21"/>
              </w:rPr>
            </w:pPr>
            <w:bookmarkStart w:id="77" w:name="_Hlk132634937"/>
            <w:r>
              <w:rPr>
                <w:rFonts w:hint="eastAsia" w:ascii="宋体" w:hAnsi="宋体"/>
                <w:sz w:val="21"/>
                <w:szCs w:val="21"/>
              </w:rPr>
              <w:t>▲1</w:t>
            </w:r>
            <w:r>
              <w:rPr>
                <w:rFonts w:ascii="宋体" w:hAnsi="宋体"/>
                <w:sz w:val="21"/>
                <w:szCs w:val="21"/>
              </w:rPr>
              <w:t>.投标人代表是法定代表人</w:t>
            </w:r>
            <w:r>
              <w:rPr>
                <w:rFonts w:hint="eastAsia" w:ascii="宋体" w:hAnsi="宋体"/>
                <w:sz w:val="21"/>
                <w:szCs w:val="21"/>
              </w:rPr>
              <w:t>（单位负责人、自然人本人）的，须提供本人身份证明。</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w:t>
            </w:r>
            <w:r>
              <w:rPr>
                <w:rFonts w:ascii="宋体" w:hAnsi="宋体"/>
                <w:sz w:val="21"/>
                <w:szCs w:val="21"/>
              </w:rPr>
              <w:t>投标人代表不是法定代表人</w:t>
            </w:r>
            <w:r>
              <w:rPr>
                <w:rFonts w:hint="eastAsia" w:ascii="宋体" w:hAnsi="宋体"/>
                <w:sz w:val="21"/>
                <w:szCs w:val="21"/>
              </w:rPr>
              <w:t>（单位负责人、自然人本人）的</w:t>
            </w:r>
            <w:r>
              <w:rPr>
                <w:rFonts w:ascii="宋体" w:hAnsi="宋体"/>
                <w:sz w:val="21"/>
                <w:szCs w:val="21"/>
              </w:rPr>
              <w:t>，须提供</w:t>
            </w:r>
            <w:r>
              <w:rPr>
                <w:rFonts w:ascii="宋体" w:hAnsi="宋体"/>
                <w:bCs/>
                <w:sz w:val="21"/>
                <w:szCs w:val="21"/>
              </w:rPr>
              <w:t>授权</w:t>
            </w:r>
            <w:r>
              <w:rPr>
                <w:rFonts w:hint="eastAsia" w:ascii="宋体" w:hAnsi="宋体"/>
                <w:bCs/>
                <w:sz w:val="21"/>
                <w:szCs w:val="21"/>
              </w:rPr>
              <w:t>委托</w:t>
            </w:r>
            <w:r>
              <w:rPr>
                <w:rFonts w:ascii="宋体" w:hAnsi="宋体"/>
                <w:bCs/>
                <w:sz w:val="21"/>
                <w:szCs w:val="21"/>
              </w:rPr>
              <w:t>书</w:t>
            </w:r>
            <w:r>
              <w:rPr>
                <w:rFonts w:hint="eastAsia" w:ascii="宋体" w:hAnsi="宋体"/>
                <w:sz w:val="21"/>
                <w:szCs w:val="21"/>
              </w:rPr>
              <w:t>（格式详见招标文件第六章）和授权代表社保缴纳证明（</w:t>
            </w:r>
            <w:r>
              <w:rPr>
                <w:rFonts w:ascii="宋体" w:hAnsi="宋体"/>
                <w:sz w:val="21"/>
                <w:szCs w:val="21"/>
              </w:rPr>
              <w:t>202</w:t>
            </w:r>
            <w:r>
              <w:rPr>
                <w:rFonts w:hint="eastAsia" w:ascii="宋体" w:hAnsi="宋体"/>
                <w:sz w:val="21"/>
                <w:szCs w:val="21"/>
              </w:rPr>
              <w:t>3</w:t>
            </w:r>
            <w:r>
              <w:rPr>
                <w:rFonts w:ascii="宋体" w:hAnsi="宋体"/>
                <w:sz w:val="21"/>
                <w:szCs w:val="21"/>
              </w:rPr>
              <w:t>年</w:t>
            </w:r>
            <w:r>
              <w:rPr>
                <w:rFonts w:hint="eastAsia" w:ascii="宋体" w:hAnsi="宋体"/>
                <w:sz w:val="21"/>
                <w:szCs w:val="21"/>
              </w:rPr>
              <w:t>6</w:t>
            </w:r>
            <w:r>
              <w:rPr>
                <w:rFonts w:ascii="宋体" w:hAnsi="宋体"/>
                <w:sz w:val="21"/>
                <w:szCs w:val="21"/>
              </w:rPr>
              <w:t>月（含）以后任意一月）</w:t>
            </w:r>
            <w:r>
              <w:rPr>
                <w:rFonts w:hint="eastAsia" w:ascii="宋体" w:hAnsi="宋体"/>
                <w:sz w:val="21"/>
                <w:szCs w:val="21"/>
              </w:rPr>
              <w:t>；</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投标人委派不在本单位缴纳社保的人员作为授权代表的，应当在投标文件中，说明具体原因、授权代表缴纳社保的单位，并附列该授权代表缴纳社保清单。</w:t>
            </w:r>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（四）</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投标费用</w:t>
            </w:r>
          </w:p>
        </w:tc>
        <w:tc>
          <w:tcPr>
            <w:tcW w:w="6663" w:type="dxa"/>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1.不论投标结果如何，投标人均应自行承担所有与投标有关的全部费用；</w:t>
            </w:r>
          </w:p>
          <w:p>
            <w:pPr>
              <w:adjustRightInd w:val="0"/>
              <w:snapToGrid w:val="0"/>
              <w:spacing w:line="288" w:lineRule="auto"/>
              <w:rPr>
                <w:rFonts w:ascii="宋体" w:hAnsi="宋体" w:cs="宋体"/>
                <w:sz w:val="21"/>
                <w:szCs w:val="21"/>
              </w:rPr>
            </w:pPr>
            <w:r>
              <w:rPr>
                <w:rFonts w:hint="eastAsia" w:ascii="宋体" w:hAnsi="宋体" w:cs="宋体"/>
                <w:sz w:val="21"/>
                <w:szCs w:val="21"/>
              </w:rPr>
              <w:t>2.中标人在中标通知书发出之日起七个工作日内，向采购代理机构交纳代理服务费；</w:t>
            </w:r>
          </w:p>
          <w:p>
            <w:pPr>
              <w:adjustRightInd w:val="0"/>
              <w:snapToGrid w:val="0"/>
              <w:spacing w:line="288" w:lineRule="auto"/>
              <w:rPr>
                <w:rFonts w:ascii="宋体" w:hAnsi="宋体" w:cs="宋体"/>
                <w:sz w:val="21"/>
                <w:szCs w:val="21"/>
              </w:rPr>
            </w:pPr>
            <w:r>
              <w:rPr>
                <w:rFonts w:hint="eastAsia" w:ascii="宋体" w:hAnsi="宋体" w:cs="宋体"/>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jc w:val="left"/>
              <w:rPr>
                <w:rFonts w:ascii="宋体" w:hAnsi="宋体"/>
                <w:spacing w:val="-6"/>
                <w:sz w:val="21"/>
                <w:szCs w:val="21"/>
              </w:rPr>
            </w:pPr>
            <w:r>
              <w:rPr>
                <w:rFonts w:hint="eastAsia" w:ascii="宋体" w:hAnsi="宋体"/>
                <w:sz w:val="21"/>
                <w:szCs w:val="21"/>
              </w:rPr>
              <w:t>4</w:t>
            </w:r>
            <w:r>
              <w:rPr>
                <w:rFonts w:ascii="宋体" w:hAnsi="宋体"/>
                <w:sz w:val="21"/>
                <w:szCs w:val="21"/>
              </w:rPr>
              <w:t>.</w:t>
            </w:r>
            <w:r>
              <w:rPr>
                <w:rFonts w:hint="eastAsia" w:ascii="宋体" w:hAnsi="宋体"/>
                <w:spacing w:val="-6"/>
                <w:sz w:val="21"/>
                <w:szCs w:val="21"/>
              </w:rPr>
              <w:t>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中标金额（万元）</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100以下</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highlight w:val="yellow"/>
                    </w:rPr>
                  </w:pPr>
                  <w:r>
                    <w:rPr>
                      <w:rFonts w:hint="eastAsia" w:ascii="宋体" w:hAnsi="宋体"/>
                      <w:sz w:val="21"/>
                      <w:szCs w:val="21"/>
                    </w:rPr>
                    <w:t>100-500</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highlight w:val="yellow"/>
                    </w:rPr>
                  </w:pPr>
                  <w:r>
                    <w:rPr>
                      <w:rFonts w:hint="eastAsia" w:ascii="宋体" w:hAnsi="宋体"/>
                      <w:sz w:val="21"/>
                      <w:szCs w:val="21"/>
                    </w:rPr>
                    <w:t>0.64</w:t>
                  </w:r>
                </w:p>
              </w:tc>
            </w:tr>
          </w:tbl>
          <w:p>
            <w:pPr>
              <w:adjustRightInd w:val="0"/>
              <w:snapToGrid w:val="0"/>
              <w:spacing w:line="288"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（五）</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投标保证金（元）</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（六）</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联合体投标</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（七）</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转包与分包</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1.本项目不允许转包；</w:t>
            </w:r>
          </w:p>
          <w:p>
            <w:pPr>
              <w:adjustRightInd w:val="0"/>
              <w:snapToGrid w:val="0"/>
              <w:spacing w:line="288" w:lineRule="auto"/>
              <w:rPr>
                <w:rFonts w:ascii="宋体" w:hAnsi="宋体"/>
                <w:sz w:val="21"/>
                <w:szCs w:val="21"/>
              </w:rPr>
            </w:pPr>
            <w:r>
              <w:rPr>
                <w:rFonts w:hint="eastAsia" w:ascii="宋体" w:hAnsi="宋体"/>
                <w:sz w:val="21"/>
                <w:szCs w:val="21"/>
              </w:rPr>
              <w:t>2.本项目不允许分包。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（八）</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信用记录</w:t>
            </w:r>
          </w:p>
        </w:tc>
        <w:tc>
          <w:tcPr>
            <w:tcW w:w="6663" w:type="dxa"/>
            <w:vAlign w:val="center"/>
          </w:tcPr>
          <w:p>
            <w:pPr>
              <w:adjustRightInd w:val="0"/>
              <w:snapToGrid w:val="0"/>
              <w:spacing w:line="288" w:lineRule="auto"/>
              <w:rPr>
                <w:rFonts w:ascii="宋体" w:hAnsi="宋体"/>
                <w:bCs/>
                <w:sz w:val="21"/>
                <w:szCs w:val="21"/>
              </w:rPr>
            </w:pPr>
            <w:r>
              <w:rPr>
                <w:rFonts w:hint="eastAsia" w:ascii="宋体" w:hAnsi="宋体"/>
                <w:bCs/>
                <w:sz w:val="21"/>
                <w:szCs w:val="21"/>
              </w:rPr>
              <w:t>根据财库[2016]125号《关于在政府采购活动中查询及使用信用记录有关问题的通知》要求，采购代理机构会对投标人信用记录进行查询并甄别。信用</w:t>
            </w:r>
            <w:r>
              <w:rPr>
                <w:rFonts w:hint="eastAsia" w:ascii="宋体" w:hAnsi="宋体"/>
                <w:sz w:val="21"/>
                <w:szCs w:val="21"/>
              </w:rPr>
              <w:t>信息查询的截止时点：投标截止时间；</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）查询渠道：“信用中国”（www.creditchina.gov.cn）、“中国政府采购网”（www.ccgp.gov.cn）；</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bCs/>
                <w:sz w:val="21"/>
                <w:szCs w:val="21"/>
              </w:rPr>
              <w:t>）信用信息的使用规则：投标人被列入失信被执行人、重大税收违法案件当事人名单、政府采购严重违法失信行为记录名单的，拒绝其参与采购活动。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（九）</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资格审查要求的资格证明材料</w:t>
            </w:r>
          </w:p>
        </w:tc>
        <w:tc>
          <w:tcPr>
            <w:tcW w:w="6663" w:type="dxa"/>
            <w:vAlign w:val="center"/>
          </w:tcPr>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adjustRightInd w:val="0"/>
              <w:snapToGrid w:val="0"/>
              <w:spacing w:line="288" w:lineRule="auto"/>
              <w:rPr>
                <w:rFonts w:ascii="宋体" w:hAnsi="宋体"/>
                <w:bCs/>
                <w:sz w:val="21"/>
                <w:szCs w:val="21"/>
              </w:rPr>
            </w:pPr>
            <w:r>
              <w:rPr>
                <w:rFonts w:hint="eastAsia" w:ascii="宋体" w:hAnsi="宋体"/>
                <w:sz w:val="21"/>
                <w:szCs w:val="21"/>
              </w:rPr>
              <w:t>（</w:t>
            </w:r>
            <w:r>
              <w:rPr>
                <w:rFonts w:hint="eastAsia" w:ascii="宋体" w:hAnsi="宋体"/>
                <w:bCs/>
                <w:sz w:val="21"/>
                <w:szCs w:val="21"/>
              </w:rPr>
              <w:t>1）有效的法人或者其他组织的营业执照等证明文件，自然人的身份证明</w:t>
            </w:r>
          </w:p>
          <w:p>
            <w:pPr>
              <w:adjustRightInd w:val="0"/>
              <w:snapToGrid w:val="0"/>
              <w:spacing w:line="288" w:lineRule="auto"/>
              <w:rPr>
                <w:rFonts w:ascii="宋体" w:hAnsi="宋体"/>
                <w:bCs/>
                <w:sz w:val="21"/>
                <w:szCs w:val="21"/>
              </w:rPr>
            </w:pPr>
            <w:r>
              <w:rPr>
                <w:rFonts w:hint="eastAsia" w:ascii="宋体" w:hAnsi="宋体"/>
                <w:sz w:val="21"/>
                <w:szCs w:val="21"/>
              </w:rPr>
              <w:t>（</w:t>
            </w:r>
            <w:r>
              <w:rPr>
                <w:rFonts w:hint="eastAsia" w:ascii="宋体" w:hAnsi="宋体"/>
                <w:bCs/>
                <w:sz w:val="21"/>
                <w:szCs w:val="21"/>
              </w:rPr>
              <w:t>2）符合参加政府采购活动应当具备的一般条件的承诺函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投标文件装订、份数、包装</w:t>
            </w:r>
          </w:p>
        </w:tc>
        <w:tc>
          <w:tcPr>
            <w:tcW w:w="6663" w:type="dxa"/>
            <w:vAlign w:val="center"/>
          </w:tcPr>
          <w:p>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1</w:t>
            </w:r>
            <w:r>
              <w:rPr>
                <w:rFonts w:hint="eastAsia" w:ascii="宋体" w:hAnsi="宋体"/>
                <w:b/>
                <w:bCs/>
                <w:spacing w:val="-6"/>
                <w:sz w:val="21"/>
                <w:szCs w:val="21"/>
              </w:rPr>
              <w:t>.装订与份数：报价文件单独装订成册，资格文件、商务和技术文件合并装订成册，其中正本一份、副本五份，投标文件的封面应注明“正本“、“副本”字样。</w:t>
            </w:r>
          </w:p>
          <w:p>
            <w:pPr>
              <w:adjustRightInd w:val="0"/>
              <w:snapToGrid w:val="0"/>
              <w:spacing w:line="288" w:lineRule="auto"/>
              <w:jc w:val="left"/>
              <w:rPr>
                <w:rFonts w:ascii="宋体" w:hAnsi="宋体"/>
                <w:b/>
                <w:bCs/>
                <w:spacing w:val="-6"/>
                <w:sz w:val="21"/>
                <w:szCs w:val="21"/>
              </w:rPr>
            </w:pPr>
            <w:r>
              <w:rPr>
                <w:rFonts w:hint="eastAsia" w:ascii="宋体" w:hAnsi="宋体"/>
                <w:b/>
                <w:spacing w:val="-6"/>
                <w:sz w:val="21"/>
                <w:szCs w:val="21"/>
              </w:rPr>
              <w:t>▲活页装订（卡条、抽杆夹、订书机、散装）的投标文件无效，</w:t>
            </w:r>
            <w:r>
              <w:rPr>
                <w:rFonts w:hint="eastAsia" w:ascii="宋体" w:hAnsi="宋体"/>
                <w:b/>
                <w:bCs/>
                <w:spacing w:val="-6"/>
                <w:sz w:val="21"/>
                <w:szCs w:val="21"/>
              </w:rPr>
              <w:t>提供全套</w:t>
            </w:r>
            <w:r>
              <w:rPr>
                <w:rFonts w:hint="eastAsia" w:ascii="宋体" w:hAnsi="宋体"/>
                <w:b/>
                <w:spacing w:val="-6"/>
                <w:sz w:val="21"/>
                <w:szCs w:val="21"/>
              </w:rPr>
              <w:t>投标</w:t>
            </w:r>
            <w:r>
              <w:rPr>
                <w:rFonts w:hint="eastAsia" w:ascii="宋体" w:hAnsi="宋体"/>
                <w:b/>
                <w:bCs/>
                <w:spacing w:val="-6"/>
                <w:sz w:val="21"/>
                <w:szCs w:val="21"/>
              </w:rPr>
              <w:t>文件电子版U盘1份，</w:t>
            </w:r>
            <w:r>
              <w:rPr>
                <w:rFonts w:hint="eastAsia" w:ascii="宋体" w:hAnsi="宋体"/>
                <w:b/>
                <w:spacing w:val="-6"/>
                <w:sz w:val="21"/>
                <w:szCs w:val="21"/>
              </w:rPr>
              <w:t>投标</w:t>
            </w:r>
            <w:r>
              <w:rPr>
                <w:rFonts w:hint="eastAsia" w:ascii="宋体" w:hAnsi="宋体"/>
                <w:b/>
                <w:bCs/>
                <w:spacing w:val="-6"/>
                <w:sz w:val="21"/>
                <w:szCs w:val="21"/>
              </w:rPr>
              <w:t>文件电子版应为正本的PDF格式扫描件，U盘单独密封</w:t>
            </w:r>
            <w:r>
              <w:rPr>
                <w:rFonts w:hint="eastAsia" w:ascii="宋体" w:hAnsi="宋体"/>
                <w:b/>
                <w:spacing w:val="-6"/>
                <w:sz w:val="21"/>
                <w:szCs w:val="21"/>
              </w:rPr>
              <w:t>。</w:t>
            </w:r>
          </w:p>
          <w:p>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2</w:t>
            </w:r>
            <w:r>
              <w:rPr>
                <w:rFonts w:hint="eastAsia" w:ascii="宋体" w:hAnsi="宋体"/>
                <w:b/>
                <w:bCs/>
                <w:spacing w:val="-6"/>
                <w:sz w:val="21"/>
                <w:szCs w:val="21"/>
              </w:rPr>
              <w:t>.包装：报价文件单独密封包装，</w:t>
            </w:r>
            <w:r>
              <w:rPr>
                <w:rFonts w:ascii="宋体" w:hAnsi="宋体"/>
                <w:b/>
                <w:bCs/>
                <w:spacing w:val="-6"/>
                <w:sz w:val="21"/>
                <w:szCs w:val="21"/>
              </w:rPr>
              <w:t>资格文件、商务和技术文件</w:t>
            </w:r>
            <w:r>
              <w:rPr>
                <w:rFonts w:hint="eastAsia" w:ascii="宋体" w:hAnsi="宋体"/>
                <w:b/>
                <w:bCs/>
                <w:spacing w:val="-6"/>
                <w:sz w:val="21"/>
                <w:szCs w:val="21"/>
              </w:rPr>
              <w:t>合并密封包装，相同部分的正副本可密封在同一个密封袋内。</w:t>
            </w:r>
            <w:r>
              <w:rPr>
                <w:rFonts w:hint="eastAsia" w:ascii="宋体" w:hAnsi="宋体"/>
                <w:bCs/>
                <w:spacing w:val="-6"/>
                <w:sz w:val="21"/>
                <w:szCs w:val="21"/>
              </w:rPr>
              <w:t>投标人应在投标文件包装封面上注明投标人名称、投标人地址、投标文件名称（报价文件/资格文件、商务和技术文件）、投标项目名称、项目编号、</w:t>
            </w:r>
            <w:r>
              <w:rPr>
                <w:rFonts w:ascii="宋体" w:hAnsi="宋体"/>
                <w:bCs/>
                <w:spacing w:val="-6"/>
                <w:sz w:val="21"/>
                <w:szCs w:val="21"/>
              </w:rPr>
              <w:t>标项</w:t>
            </w:r>
            <w:r>
              <w:rPr>
                <w:rFonts w:hint="eastAsia" w:ascii="宋体" w:hAnsi="宋体"/>
                <w:bCs/>
                <w:spacing w:val="-6"/>
                <w:sz w:val="21"/>
                <w:szCs w:val="21"/>
              </w:rPr>
              <w:t>及“开标时启封”字样，并加盖投标人公章。</w:t>
            </w:r>
          </w:p>
          <w:p>
            <w:pPr>
              <w:adjustRightInd w:val="0"/>
              <w:snapToGrid w:val="0"/>
              <w:spacing w:line="288" w:lineRule="auto"/>
              <w:jc w:val="left"/>
              <w:rPr>
                <w:rFonts w:ascii="宋体" w:hAnsi="宋体"/>
                <w:bCs/>
                <w:spacing w:val="-6"/>
                <w:sz w:val="21"/>
                <w:szCs w:val="21"/>
              </w:rPr>
            </w:pPr>
            <w:r>
              <w:rPr>
                <w:rFonts w:hint="eastAsia" w:ascii="宋体" w:hAnsi="宋体"/>
                <w:b/>
                <w:bCs/>
                <w:spacing w:val="-6"/>
                <w:sz w:val="21"/>
                <w:szCs w:val="21"/>
              </w:rPr>
              <w:t>报价文件未按要求密封导致</w:t>
            </w:r>
            <w:r>
              <w:rPr>
                <w:rFonts w:ascii="宋体" w:hAnsi="宋体"/>
                <w:b/>
                <w:bCs/>
                <w:spacing w:val="-6"/>
                <w:sz w:val="21"/>
                <w:szCs w:val="21"/>
              </w:rPr>
              <w:t>开标时发生报价泄露</w:t>
            </w:r>
            <w:r>
              <w:rPr>
                <w:rFonts w:hint="eastAsia" w:ascii="宋体" w:hAnsi="宋体"/>
                <w:b/>
                <w:bCs/>
                <w:spacing w:val="-6"/>
                <w:sz w:val="21"/>
                <w:szCs w:val="21"/>
              </w:rPr>
              <w:t>，投标人</w:t>
            </w:r>
            <w:r>
              <w:rPr>
                <w:rFonts w:ascii="宋体" w:hAnsi="宋体"/>
                <w:b/>
                <w:bCs/>
                <w:spacing w:val="-6"/>
                <w:sz w:val="21"/>
                <w:szCs w:val="21"/>
              </w:rPr>
              <w:t>自行承担相关责任</w:t>
            </w:r>
            <w:r>
              <w:rPr>
                <w:rFonts w:hint="eastAsia" w:ascii="宋体" w:hAnsi="宋体"/>
                <w:b/>
                <w:bCs/>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（十一）</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投标报价</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sz w:val="21"/>
                <w:szCs w:val="21"/>
              </w:rPr>
            </w:pPr>
            <w:r>
              <w:rPr>
                <w:rFonts w:hint="eastAsia" w:ascii="宋体" w:hAnsi="宋体"/>
                <w:sz w:val="21"/>
                <w:szCs w:val="21"/>
              </w:rPr>
              <w:t>2.以人民币报价；</w:t>
            </w:r>
          </w:p>
          <w:p>
            <w:pPr>
              <w:adjustRightInd w:val="0"/>
              <w:snapToGrid w:val="0"/>
              <w:spacing w:line="288" w:lineRule="auto"/>
              <w:rPr>
                <w:rFonts w:ascii="宋体" w:hAnsi="宋体"/>
                <w:sz w:val="21"/>
                <w:szCs w:val="21"/>
              </w:rPr>
            </w:pPr>
            <w:r>
              <w:rPr>
                <w:rFonts w:hint="eastAsia" w:ascii="宋体" w:hAnsi="宋体"/>
                <w:sz w:val="21"/>
                <w:szCs w:val="21"/>
              </w:rPr>
              <w:t>3.投标报价是履行合同的最终价格，有关本项目实施所涉及的一切费用均计入报价；</w:t>
            </w:r>
          </w:p>
          <w:p>
            <w:pPr>
              <w:adjustRightInd w:val="0"/>
              <w:snapToGrid w:val="0"/>
              <w:spacing w:line="288" w:lineRule="auto"/>
              <w:rPr>
                <w:rFonts w:ascii="宋体" w:hAnsi="宋体"/>
                <w:sz w:val="21"/>
                <w:szCs w:val="21"/>
              </w:rPr>
            </w:pPr>
            <w:r>
              <w:rPr>
                <w:rFonts w:hint="eastAsia" w:ascii="宋体" w:hAnsi="宋体"/>
                <w:sz w:val="21"/>
                <w:szCs w:val="21"/>
              </w:rPr>
              <w:t>4.投标文件只允许有一个报价，有选择的报价将不予接受。</w:t>
            </w:r>
          </w:p>
          <w:p>
            <w:pPr>
              <w:adjustRightInd w:val="0"/>
              <w:snapToGrid w:val="0"/>
              <w:spacing w:line="288" w:lineRule="auto"/>
              <w:rPr>
                <w:rFonts w:ascii="宋体" w:hAnsi="宋体"/>
                <w:sz w:val="21"/>
                <w:szCs w:val="21"/>
              </w:rPr>
            </w:pPr>
            <w:r>
              <w:rPr>
                <w:rFonts w:hint="eastAsia" w:ascii="宋体" w:hAnsi="宋体" w:cs="宋体"/>
                <w:sz w:val="21"/>
                <w:szCs w:val="21"/>
              </w:rPr>
              <w:t>▲5.采购人将以合同形式有偿取得货物或服务，不接受投标人给予的赠品、回扣或者与采购无关的其他商品、服务，不得出现“0元”“免费赠送”等形式的无偿报价，否则视为投标文件含有采购人不能接受的附加条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（十二）</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投标有效期</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pacing w:val="-6"/>
                <w:sz w:val="21"/>
                <w:szCs w:val="21"/>
              </w:rPr>
              <w:t>▲从提交投标文件的截止之日起</w:t>
            </w:r>
            <w:r>
              <w:rPr>
                <w:rFonts w:ascii="宋体" w:hAnsi="宋体"/>
                <w:spacing w:val="-6"/>
                <w:sz w:val="21"/>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（十三）</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评标方法和评标标准</w:t>
            </w:r>
          </w:p>
        </w:tc>
        <w:tc>
          <w:tcPr>
            <w:tcW w:w="6663" w:type="dxa"/>
            <w:vAlign w:val="center"/>
          </w:tcPr>
          <w:p>
            <w:pPr>
              <w:adjustRightInd w:val="0"/>
              <w:snapToGrid w:val="0"/>
              <w:spacing w:line="288" w:lineRule="auto"/>
              <w:rPr>
                <w:rFonts w:ascii="宋体" w:hAnsi="宋体"/>
                <w:sz w:val="21"/>
                <w:szCs w:val="21"/>
              </w:rPr>
            </w:pPr>
            <w:r>
              <w:rPr>
                <w:rFonts w:ascii="宋体" w:hAnsi="宋体"/>
                <w:sz w:val="21"/>
                <w:szCs w:val="21"/>
              </w:rPr>
              <w:t>详见“</w:t>
            </w:r>
            <w:r>
              <w:rPr>
                <w:rFonts w:hint="eastAsia" w:ascii="宋体" w:hAnsi="宋体"/>
                <w:sz w:val="21"/>
                <w:szCs w:val="21"/>
              </w:rPr>
              <w:t>第四章  评标方法和评标标准</w:t>
            </w:r>
            <w:r>
              <w:rPr>
                <w:rFonts w:ascii="宋体" w:hAnsi="宋体"/>
                <w:sz w:val="21"/>
                <w:szCs w:val="21"/>
              </w:rPr>
              <w:t>”</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ascii="宋体" w:hAnsi="宋体"/>
                <w:sz w:val="21"/>
                <w:szCs w:val="21"/>
              </w:rPr>
              <w:t>（</w:t>
            </w:r>
            <w:r>
              <w:rPr>
                <w:rFonts w:hint="eastAsia" w:ascii="宋体" w:hAnsi="宋体"/>
                <w:sz w:val="21"/>
                <w:szCs w:val="21"/>
              </w:rPr>
              <w:t>十四</w:t>
            </w:r>
            <w:r>
              <w:rPr>
                <w:rFonts w:ascii="宋体" w:hAnsi="宋体"/>
                <w:sz w:val="21"/>
                <w:szCs w:val="21"/>
              </w:rPr>
              <w:t>）</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评标结果公示</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（十五）</w:t>
            </w:r>
          </w:p>
        </w:tc>
        <w:tc>
          <w:tcPr>
            <w:tcW w:w="1701"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签订合同</w:t>
            </w:r>
          </w:p>
        </w:tc>
        <w:tc>
          <w:tcPr>
            <w:tcW w:w="6663" w:type="dxa"/>
            <w:vAlign w:val="center"/>
          </w:tcPr>
          <w:p>
            <w:pPr>
              <w:adjustRightInd w:val="0"/>
              <w:snapToGrid w:val="0"/>
              <w:spacing w:line="288" w:lineRule="auto"/>
              <w:rPr>
                <w:rFonts w:ascii="宋体" w:hAnsi="宋体"/>
                <w:sz w:val="21"/>
                <w:szCs w:val="21"/>
              </w:rPr>
            </w:pPr>
            <w:r>
              <w:rPr>
                <w:rFonts w:hint="eastAsia" w:ascii="宋体" w:hAnsi="宋体"/>
                <w:sz w:val="21"/>
                <w:szCs w:val="21"/>
              </w:rPr>
              <w:t>中标通知书发出之日起30日内。</w:t>
            </w:r>
          </w:p>
        </w:tc>
      </w:tr>
    </w:tbl>
    <w:p>
      <w:pPr>
        <w:pStyle w:val="16"/>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t>一</w:t>
      </w:r>
      <w:r>
        <w:rPr>
          <w:rFonts w:hint="eastAsia" w:hAnsi="宋体"/>
          <w:b/>
          <w:spacing w:val="-6"/>
          <w:sz w:val="21"/>
          <w:szCs w:val="21"/>
        </w:rPr>
        <w:t>、</w:t>
      </w:r>
      <w:r>
        <w:rPr>
          <w:rFonts w:hAnsi="宋体"/>
          <w:b/>
          <w:spacing w:val="-6"/>
          <w:sz w:val="21"/>
          <w:szCs w:val="21"/>
        </w:rPr>
        <w:t>总</w:t>
      </w:r>
      <w:r>
        <w:rPr>
          <w:rFonts w:hint="eastAsia" w:hAnsi="宋体"/>
          <w:b/>
          <w:spacing w:val="-6"/>
          <w:sz w:val="21"/>
          <w:szCs w:val="21"/>
        </w:rPr>
        <w:t xml:space="preserve">  </w:t>
      </w:r>
      <w:r>
        <w:rPr>
          <w:rFonts w:hAnsi="宋体"/>
          <w:b/>
          <w:spacing w:val="-6"/>
          <w:sz w:val="21"/>
          <w:szCs w:val="21"/>
        </w:rPr>
        <w:t>则</w:t>
      </w:r>
    </w:p>
    <w:p>
      <w:pPr>
        <w:adjustRightInd w:val="0"/>
        <w:snapToGrid w:val="0"/>
        <w:spacing w:line="288" w:lineRule="auto"/>
        <w:ind w:firstLine="396" w:firstLineChars="200"/>
        <w:jc w:val="left"/>
        <w:rPr>
          <w:rFonts w:ascii="宋体" w:hAnsi="宋体"/>
          <w:spacing w:val="-6"/>
          <w:sz w:val="21"/>
          <w:szCs w:val="21"/>
        </w:rPr>
      </w:pPr>
      <w:bookmarkStart w:id="78" w:name="_Hlk94018326"/>
      <w:r>
        <w:rPr>
          <w:rFonts w:ascii="宋体" w:hAnsi="宋体"/>
          <w:spacing w:val="-6"/>
          <w:sz w:val="21"/>
          <w:szCs w:val="21"/>
        </w:rPr>
        <w:t>投标人应仔细阅读招标文件的所有内容，按照招标文件的要求提交投标文件，并对所提供的全部资料的真实性承担法律责任。</w:t>
      </w:r>
    </w:p>
    <w:bookmarkEnd w:id="78"/>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w:t>
      </w:r>
      <w:r>
        <w:rPr>
          <w:rFonts w:ascii="宋体" w:hAnsi="宋体"/>
          <w:b/>
          <w:spacing w:val="-6"/>
          <w:sz w:val="21"/>
          <w:szCs w:val="21"/>
        </w:rPr>
        <w:t>）</w:t>
      </w:r>
      <w:r>
        <w:rPr>
          <w:rFonts w:hint="eastAsia" w:ascii="宋体" w:hAnsi="宋体"/>
          <w:b/>
          <w:spacing w:val="-6"/>
          <w:sz w:val="21"/>
          <w:szCs w:val="21"/>
        </w:rPr>
        <w:t>适用范围</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本招标文件适用于浙江大学海南研究院浙江大学（海南）先进技术与产业创新平台物业服务的招标、评标、定标、验收、合同履约、付款等（法律、法规另有规定的，从其规定）。</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（二）定义</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人</w:t>
      </w:r>
      <w:r>
        <w:rPr>
          <w:rFonts w:hint="eastAsia" w:ascii="宋体" w:hAnsi="宋体"/>
          <w:spacing w:val="-6"/>
          <w:sz w:val="21"/>
          <w:szCs w:val="21"/>
        </w:rPr>
        <w:t>”系指浙江大学海南研究院；</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“投标人”系指是指响应招标、参加投标竞争的法人、其他组织或者自然人；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“▲”系指实质性要求条款，投标人应当做出实质性响应。</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（三）招标方式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本次招标采用公开招标方式进行。</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（四）投标费用</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1.不论投标结果如何，投标人均应自行承担所有与投标有关的全部费用；</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cs="宋体"/>
          <w:sz w:val="21"/>
          <w:szCs w:val="21"/>
        </w:rPr>
      </w:pPr>
      <w:r>
        <w:rPr>
          <w:rFonts w:hint="eastAsia" w:ascii="宋体" w:hAnsi="宋体" w:cs="宋体"/>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spacing w:val="-6"/>
          <w:sz w:val="21"/>
          <w:szCs w:val="21"/>
        </w:rPr>
      </w:pPr>
      <w:r>
        <w:rPr>
          <w:rFonts w:hint="eastAsia" w:ascii="宋体" w:hAnsi="宋体"/>
          <w:sz w:val="21"/>
          <w:szCs w:val="21"/>
        </w:rPr>
        <w:t>4</w:t>
      </w:r>
      <w:r>
        <w:rPr>
          <w:rFonts w:ascii="宋体" w:hAnsi="宋体"/>
          <w:sz w:val="21"/>
          <w:szCs w:val="21"/>
        </w:rPr>
        <w:t>.</w:t>
      </w:r>
      <w:r>
        <w:rPr>
          <w:rFonts w:hint="eastAsia" w:ascii="宋体" w:hAnsi="宋体"/>
          <w:spacing w:val="-6"/>
          <w:sz w:val="21"/>
          <w:szCs w:val="21"/>
        </w:rPr>
        <w:t>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中标金额（万元）</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100以下</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100-500</w:t>
            </w:r>
          </w:p>
        </w:tc>
        <w:tc>
          <w:tcPr>
            <w:tcW w:w="2901" w:type="dxa"/>
            <w:tcMar>
              <w:top w:w="0" w:type="dxa"/>
              <w:left w:w="108" w:type="dxa"/>
              <w:bottom w:w="0" w:type="dxa"/>
              <w:right w:w="108" w:type="dxa"/>
            </w:tcMar>
            <w:vAlign w:val="center"/>
          </w:tcPr>
          <w:p>
            <w:pPr>
              <w:adjustRightInd w:val="0"/>
              <w:snapToGrid w:val="0"/>
              <w:spacing w:line="288" w:lineRule="auto"/>
              <w:jc w:val="center"/>
              <w:rPr>
                <w:rFonts w:ascii="宋体" w:hAnsi="宋体" w:cs="宋体"/>
                <w:sz w:val="21"/>
                <w:szCs w:val="21"/>
              </w:rPr>
            </w:pPr>
            <w:r>
              <w:rPr>
                <w:rFonts w:hint="eastAsia" w:ascii="宋体" w:hAnsi="宋体"/>
                <w:sz w:val="21"/>
                <w:szCs w:val="21"/>
              </w:rPr>
              <w:t>0.64</w:t>
            </w:r>
          </w:p>
        </w:tc>
      </w:tr>
    </w:tbl>
    <w:p>
      <w:pPr>
        <w:adjustRightInd w:val="0"/>
        <w:snapToGrid w:val="0"/>
        <w:spacing w:line="288" w:lineRule="auto"/>
        <w:ind w:firstLine="399" w:firstLineChars="202"/>
        <w:jc w:val="left"/>
        <w:rPr>
          <w:rFonts w:ascii="宋体" w:hAnsi="宋体"/>
          <w:spacing w:val="-6"/>
          <w:sz w:val="21"/>
          <w:szCs w:val="21"/>
        </w:rPr>
      </w:pPr>
      <w:r>
        <w:rPr>
          <w:rFonts w:hint="eastAsia" w:ascii="宋体" w:hAnsi="宋体"/>
          <w:spacing w:val="-6"/>
          <w:sz w:val="21"/>
          <w:szCs w:val="21"/>
        </w:rPr>
        <w:t>5.投标保证金（元）：无。</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（五）投标委托</w:t>
      </w:r>
    </w:p>
    <w:p>
      <w:pPr>
        <w:adjustRightInd w:val="0"/>
        <w:snapToGrid w:val="0"/>
        <w:spacing w:line="288" w:lineRule="auto"/>
        <w:ind w:firstLine="424" w:firstLineChars="202"/>
        <w:jc w:val="left"/>
        <w:rPr>
          <w:rFonts w:ascii="宋体" w:hAnsi="宋体"/>
          <w:sz w:val="21"/>
          <w:szCs w:val="21"/>
        </w:rPr>
      </w:pPr>
      <w:r>
        <w:rPr>
          <w:rFonts w:hint="eastAsia" w:ascii="宋体" w:hAnsi="宋体"/>
          <w:sz w:val="21"/>
          <w:szCs w:val="21"/>
        </w:rPr>
        <w:t>▲1.投标人代表是法定代表人（单位负责人、自然人本人）的，须提供本人身份证明。</w:t>
      </w:r>
    </w:p>
    <w:p>
      <w:pPr>
        <w:adjustRightInd w:val="0"/>
        <w:snapToGrid w:val="0"/>
        <w:spacing w:line="288" w:lineRule="auto"/>
        <w:ind w:firstLine="424" w:firstLineChars="202"/>
        <w:jc w:val="left"/>
        <w:rPr>
          <w:rFonts w:ascii="宋体" w:hAnsi="宋体"/>
          <w:sz w:val="21"/>
          <w:szCs w:val="21"/>
        </w:rPr>
      </w:pPr>
      <w:r>
        <w:rPr>
          <w:rFonts w:hint="eastAsia" w:ascii="宋体" w:hAnsi="宋体"/>
          <w:sz w:val="21"/>
          <w:szCs w:val="21"/>
        </w:rPr>
        <w:t>▲2.投标人代表不是法定代表人（单位负责人、自然人本人）的，须提供授权委托书（格式详见招标文件第六章）和授权代表社保缴纳证明（2023年6月（含）以后任意一月）；</w:t>
      </w:r>
    </w:p>
    <w:p>
      <w:pPr>
        <w:adjustRightInd w:val="0"/>
        <w:snapToGrid w:val="0"/>
        <w:spacing w:line="288" w:lineRule="auto"/>
        <w:ind w:firstLine="424" w:firstLineChars="202"/>
        <w:jc w:val="left"/>
        <w:rPr>
          <w:rFonts w:ascii="宋体" w:hAnsi="宋体"/>
          <w:sz w:val="21"/>
          <w:szCs w:val="21"/>
        </w:rPr>
      </w:pPr>
      <w:r>
        <w:rPr>
          <w:rFonts w:hint="eastAsia" w:ascii="宋体" w:hAnsi="宋体"/>
          <w:sz w:val="21"/>
          <w:szCs w:val="21"/>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（六）联合体投标</w:t>
      </w:r>
    </w:p>
    <w:p>
      <w:pPr>
        <w:adjustRightInd w:val="0"/>
        <w:snapToGrid w:val="0"/>
        <w:spacing w:line="288" w:lineRule="auto"/>
        <w:ind w:firstLine="420" w:firstLineChars="200"/>
        <w:rPr>
          <w:rFonts w:ascii="宋体" w:hAnsi="宋体" w:cs="宋体"/>
          <w:sz w:val="21"/>
          <w:szCs w:val="21"/>
        </w:rPr>
      </w:pPr>
      <w:r>
        <w:rPr>
          <w:rFonts w:hint="eastAsia" w:ascii="宋体" w:hAnsi="宋体" w:cs="宋体"/>
          <w:sz w:val="21"/>
          <w:szCs w:val="21"/>
        </w:rPr>
        <w:t>本项目不接受联合体投标。</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（七）转包与分包</w:t>
      </w:r>
    </w:p>
    <w:p>
      <w:pPr>
        <w:adjustRightInd w:val="0"/>
        <w:snapToGrid w:val="0"/>
        <w:spacing w:line="288" w:lineRule="auto"/>
        <w:ind w:firstLine="424" w:firstLineChars="202"/>
        <w:jc w:val="left"/>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本项目不允许转包；</w:t>
      </w:r>
    </w:p>
    <w:p>
      <w:pPr>
        <w:adjustRightInd w:val="0"/>
        <w:snapToGrid w:val="0"/>
        <w:spacing w:line="288" w:lineRule="auto"/>
        <w:ind w:firstLine="424" w:firstLineChars="202"/>
        <w:jc w:val="left"/>
        <w:rPr>
          <w:rFonts w:ascii="宋体" w:hAnsi="宋体"/>
          <w:sz w:val="21"/>
          <w:szCs w:val="21"/>
        </w:rPr>
      </w:pPr>
      <w:r>
        <w:rPr>
          <w:rFonts w:hint="eastAsia" w:ascii="宋体" w:hAnsi="宋体"/>
          <w:sz w:val="21"/>
          <w:szCs w:val="21"/>
        </w:rPr>
        <w:t>2.本项目不允许分包。</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（八）质疑</w:t>
      </w:r>
    </w:p>
    <w:p>
      <w:pPr>
        <w:adjustRightInd w:val="0"/>
        <w:snapToGrid w:val="0"/>
        <w:spacing w:line="288" w:lineRule="auto"/>
        <w:ind w:firstLine="396" w:firstLineChars="200"/>
        <w:jc w:val="left"/>
        <w:rPr>
          <w:rFonts w:ascii="宋体" w:hAnsi="宋体"/>
          <w:spacing w:val="-6"/>
          <w:sz w:val="21"/>
          <w:szCs w:val="21"/>
        </w:rPr>
      </w:pPr>
      <w:bookmarkStart w:id="79" w:name="_Hlk92273406"/>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供应商认为采购文件、采购过程、中标或者成交结果使自己的权益受到损害的，可以在知道或者应知其权益受到损害之日起</w:t>
      </w:r>
      <w:r>
        <w:rPr>
          <w:rFonts w:ascii="宋体" w:hAnsi="宋体"/>
          <w:spacing w:val="-6"/>
          <w:sz w:val="21"/>
          <w:szCs w:val="21"/>
        </w:rPr>
        <w:t>7个工作日内，以书面形式向采购人、采购代理机构提出质疑。</w:t>
      </w:r>
    </w:p>
    <w:bookmarkEnd w:id="79"/>
    <w:p>
      <w:pPr>
        <w:adjustRightInd w:val="0"/>
        <w:snapToGrid w:val="0"/>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2.投标人提出质疑应当提交质疑函和必要的证明材料，质疑函范本请到浙江政府采购网下载专区下载。质疑函应当包括下列内容：</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（1）供应商的姓名或者名称、地址、邮编、联系人及联系电话；</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（2）质疑项目的名称、编号；</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（3）具体、明确的质疑事项和与质疑事项相关的请求；</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（4）事实依据；</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（5）必要的法律依据；</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（6）提出质疑的日期。</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3.提出质疑的供应商应当是参与本项目招标活动的投标人。</w:t>
      </w:r>
      <w:r>
        <w:rPr>
          <w:rFonts w:hint="eastAsia" w:ascii="宋体" w:hAnsi="宋体"/>
          <w:b/>
          <w:spacing w:val="-6"/>
          <w:sz w:val="21"/>
          <w:szCs w:val="21"/>
        </w:rPr>
        <w:t>投标人在法定质疑期内应一次性提出针对同一采购程序环节的质疑。</w:t>
      </w:r>
    </w:p>
    <w:p>
      <w:pPr>
        <w:adjustRightInd w:val="0"/>
        <w:snapToGrid w:val="0"/>
        <w:spacing w:line="288" w:lineRule="auto"/>
        <w:outlineLvl w:val="2"/>
        <w:rPr>
          <w:rFonts w:ascii="宋体" w:hAnsi="宋体" w:cs="宋体"/>
          <w:b/>
          <w:spacing w:val="-6"/>
          <w:kern w:val="0"/>
          <w:sz w:val="21"/>
          <w:szCs w:val="21"/>
        </w:rPr>
      </w:pPr>
      <w:bookmarkStart w:id="80" w:name="_Hlk94018492"/>
      <w:bookmarkStart w:id="81" w:name="_Hlk92273111"/>
      <w:r>
        <w:rPr>
          <w:rFonts w:ascii="宋体" w:hAnsi="宋体" w:cs="宋体"/>
          <w:b/>
          <w:spacing w:val="-6"/>
          <w:kern w:val="0"/>
          <w:sz w:val="21"/>
          <w:szCs w:val="21"/>
        </w:rPr>
        <w:t>（</w:t>
      </w:r>
      <w:r>
        <w:rPr>
          <w:rFonts w:hint="eastAsia" w:ascii="宋体" w:hAnsi="宋体" w:cs="宋体"/>
          <w:b/>
          <w:spacing w:val="-6"/>
          <w:kern w:val="0"/>
          <w:sz w:val="21"/>
          <w:szCs w:val="21"/>
        </w:rPr>
        <w:t>九</w:t>
      </w:r>
      <w:r>
        <w:rPr>
          <w:rFonts w:ascii="宋体" w:hAnsi="宋体" w:cs="宋体"/>
          <w:b/>
          <w:spacing w:val="-6"/>
          <w:kern w:val="0"/>
          <w:sz w:val="21"/>
          <w:szCs w:val="21"/>
        </w:rPr>
        <w:t>）</w:t>
      </w:r>
      <w:r>
        <w:rPr>
          <w:rFonts w:hint="eastAsia" w:ascii="宋体" w:hAnsi="宋体" w:cs="宋体"/>
          <w:b/>
          <w:spacing w:val="-6"/>
          <w:kern w:val="0"/>
          <w:sz w:val="21"/>
          <w:szCs w:val="21"/>
        </w:rPr>
        <w:t>采购项目需要落实的政府采购政策</w:t>
      </w:r>
    </w:p>
    <w:bookmarkEnd w:id="80"/>
    <w:bookmarkEnd w:id="81"/>
    <w:p>
      <w:pPr>
        <w:adjustRightInd w:val="0"/>
        <w:snapToGrid w:val="0"/>
        <w:spacing w:line="288" w:lineRule="auto"/>
        <w:ind w:firstLine="398" w:firstLineChars="200"/>
        <w:jc w:val="left"/>
        <w:rPr>
          <w:rFonts w:ascii="宋体" w:hAnsi="宋体"/>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ascii="宋体" w:hAnsi="宋体"/>
          <w:spacing w:val="-6"/>
          <w:sz w:val="21"/>
          <w:szCs w:val="21"/>
        </w:rPr>
        <w:t>本项目原则上采购</w:t>
      </w:r>
      <w:r>
        <w:rPr>
          <w:rFonts w:hint="eastAsia" w:ascii="宋体" w:hAnsi="宋体"/>
          <w:spacing w:val="-6"/>
          <w:sz w:val="21"/>
          <w:szCs w:val="21"/>
        </w:rPr>
        <w:t>服务</w:t>
      </w:r>
    </w:p>
    <w:p>
      <w:pPr>
        <w:adjustRightInd w:val="0"/>
        <w:snapToGrid w:val="0"/>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.支持中小企业发展</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在政府采购活动中，供应商提供的货物、工程或者服务符合下列情形的，享受中小企业扶持政策：</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对于未预留份额专门面向中小企业的政府采购货物或服务项目，以及预留份额政府采购货物或服务项目中的非预留部分标项，对小型和微型企业的</w:t>
      </w:r>
      <w:r>
        <w:rPr>
          <w:rFonts w:hint="eastAsia" w:ascii="宋体" w:hAnsi="宋体"/>
          <w:spacing w:val="-6"/>
          <w:sz w:val="21"/>
          <w:szCs w:val="21"/>
        </w:rPr>
        <w:t>最后</w:t>
      </w:r>
      <w:r>
        <w:rPr>
          <w:rFonts w:ascii="宋体" w:hAnsi="宋体"/>
          <w:spacing w:val="-6"/>
          <w:sz w:val="21"/>
          <w:szCs w:val="21"/>
        </w:rPr>
        <w:t>报价给予</w:t>
      </w:r>
      <w:r>
        <w:rPr>
          <w:rFonts w:hint="eastAsia" w:ascii="宋体" w:hAnsi="宋体"/>
          <w:spacing w:val="-6"/>
          <w:sz w:val="21"/>
          <w:szCs w:val="21"/>
        </w:rPr>
        <w:t>1</w:t>
      </w:r>
      <w:r>
        <w:rPr>
          <w:rFonts w:ascii="宋体" w:hAnsi="宋体"/>
          <w:spacing w:val="-6"/>
          <w:sz w:val="21"/>
          <w:szCs w:val="21"/>
        </w:rPr>
        <w:t>0%的扣除，用扣除后的价格参与评审</w:t>
      </w:r>
      <w:r>
        <w:rPr>
          <w:rFonts w:hint="eastAsia" w:ascii="宋体" w:hAnsi="宋体"/>
          <w:spacing w:val="-6"/>
          <w:sz w:val="21"/>
          <w:szCs w:val="21"/>
        </w:rPr>
        <w:t>。</w:t>
      </w:r>
    </w:p>
    <w:p>
      <w:pPr>
        <w:adjustRightInd w:val="0"/>
        <w:snapToGrid w:val="0"/>
        <w:spacing w:line="288" w:lineRule="auto"/>
        <w:ind w:firstLine="396" w:firstLineChars="200"/>
        <w:jc w:val="left"/>
        <w:rPr>
          <w:rFonts w:ascii="宋体" w:hAnsi="宋体"/>
          <w:spacing w:val="-6"/>
          <w:sz w:val="21"/>
          <w:szCs w:val="21"/>
          <w:u w:val="single"/>
        </w:rPr>
      </w:pPr>
      <w:r>
        <w:rPr>
          <w:rFonts w:ascii="宋体" w:hAnsi="宋体"/>
          <w:spacing w:val="-6"/>
          <w:sz w:val="21"/>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spacing w:val="-6"/>
          <w:sz w:val="21"/>
          <w:szCs w:val="21"/>
          <w:u w:val="single"/>
        </w:rPr>
      </w:pPr>
      <w:r>
        <w:rPr>
          <w:rFonts w:ascii="宋体" w:hAnsi="宋体"/>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中小企业享受扶持政策获得政府采购合同的，小微企业不得将合同分包给大中型企业，中型企业不得将合同分包给大型企业。</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除财库</w:t>
      </w:r>
      <w:r>
        <w:rPr>
          <w:rFonts w:ascii="宋体" w:hAnsi="宋体"/>
          <w:spacing w:val="-6"/>
          <w:sz w:val="21"/>
          <w:szCs w:val="21"/>
        </w:rPr>
        <w:t>《政府采购促进中小企业发展管理办法》</w:t>
      </w:r>
      <w:r>
        <w:rPr>
          <w:rFonts w:hint="eastAsia" w:ascii="宋体" w:hAnsi="宋体"/>
          <w:spacing w:val="-6"/>
          <w:sz w:val="21"/>
          <w:szCs w:val="21"/>
        </w:rPr>
        <w:t>（财库〔</w:t>
      </w:r>
      <w:r>
        <w:rPr>
          <w:rFonts w:ascii="宋体" w:hAnsi="宋体"/>
          <w:spacing w:val="-6"/>
          <w:sz w:val="21"/>
          <w:szCs w:val="21"/>
        </w:rPr>
        <w:t>2020〕46号</w:t>
      </w:r>
      <w:r>
        <w:rPr>
          <w:rFonts w:hint="eastAsia" w:ascii="宋体" w:hAnsi="宋体"/>
          <w:spacing w:val="-6"/>
          <w:sz w:val="21"/>
          <w:szCs w:val="21"/>
        </w:rPr>
        <w:t>）、</w:t>
      </w:r>
      <w:r>
        <w:rPr>
          <w:rFonts w:ascii="宋体" w:hAnsi="宋体"/>
          <w:spacing w:val="-6"/>
          <w:sz w:val="21"/>
          <w:szCs w:val="21"/>
        </w:rPr>
        <w:t>《关于促进残疾人就业政府采购政策的通知》（财库〔2017〕141号）</w:t>
      </w:r>
      <w:r>
        <w:rPr>
          <w:rFonts w:hint="eastAsia" w:ascii="宋体" w:hAnsi="宋体"/>
          <w:spacing w:val="-6"/>
          <w:sz w:val="21"/>
          <w:szCs w:val="21"/>
        </w:rPr>
        <w:t>、</w:t>
      </w:r>
      <w:r>
        <w:rPr>
          <w:rFonts w:ascii="宋体" w:hAnsi="宋体"/>
          <w:spacing w:val="-6"/>
          <w:sz w:val="21"/>
          <w:szCs w:val="21"/>
        </w:rPr>
        <w:t>《关于政府采购支持监狱企业发展有关问题的通知》（财库[2014]68号）规定企业类型以外的供应商不享受中小企业扶持政策</w:t>
      </w:r>
      <w:r>
        <w:rPr>
          <w:rFonts w:hint="eastAsia" w:ascii="宋体" w:hAnsi="宋体"/>
          <w:spacing w:val="-6"/>
          <w:sz w:val="21"/>
          <w:szCs w:val="21"/>
        </w:rPr>
        <w:t>。</w:t>
      </w:r>
    </w:p>
    <w:p>
      <w:pPr>
        <w:pStyle w:val="14"/>
        <w:adjustRightInd w:val="0"/>
        <w:snapToGrid w:val="0"/>
        <w:spacing w:line="288" w:lineRule="auto"/>
        <w:ind w:firstLine="0"/>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t>二</w:t>
      </w:r>
      <w:r>
        <w:rPr>
          <w:rFonts w:hint="eastAsia" w:hAnsi="宋体"/>
          <w:b/>
          <w:spacing w:val="-6"/>
          <w:sz w:val="21"/>
          <w:szCs w:val="21"/>
        </w:rPr>
        <w:t>、招标文件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（一）招标文件的构成。本招标文件由以下部分组成：</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1.投标邀请</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3.投标人须知</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4.评标方法和评标标准</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5.拟签订的合同文本</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6.投标文件格式</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7.本项目招标文件的澄清、答复、修改、补充的内容</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（二）投标人的风险</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投标人没有按照招标文件要求提供全部资料，或者投标人没有对招标文件在各方面作出实质性响应是投标人的风险，并可能导致其投标被拒绝。</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（三）招标文件的澄清与修改</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.采购人或者采购代理机构可以对已发出的招标文件进行必要的澄清或者修改</w:t>
      </w:r>
      <w:r>
        <w:rPr>
          <w:rFonts w:hint="eastAsia" w:hAnsi="宋体"/>
          <w:spacing w:val="-6"/>
          <w:sz w:val="21"/>
          <w:szCs w:val="21"/>
        </w:rPr>
        <w:t>，</w:t>
      </w:r>
      <w:r>
        <w:rPr>
          <w:rFonts w:hAnsi="宋体"/>
          <w:spacing w:val="-6"/>
          <w:sz w:val="21"/>
          <w:szCs w:val="21"/>
        </w:rPr>
        <w:t>澄清或者修改</w:t>
      </w:r>
      <w:r>
        <w:rPr>
          <w:rFonts w:hint="eastAsia" w:hAnsi="宋体"/>
          <w:spacing w:val="-6"/>
          <w:sz w:val="21"/>
          <w:szCs w:val="21"/>
        </w:rPr>
        <w:t>会</w:t>
      </w:r>
      <w:r>
        <w:rPr>
          <w:rFonts w:hAnsi="宋体"/>
          <w:spacing w:val="-6"/>
          <w:sz w:val="21"/>
          <w:szCs w:val="21"/>
        </w:rPr>
        <w:t>在原公告发布媒体上发布澄清公告</w:t>
      </w:r>
      <w:r>
        <w:rPr>
          <w:rFonts w:hint="eastAsia" w:hAnsi="宋体"/>
          <w:spacing w:val="-6"/>
          <w:sz w:val="21"/>
          <w:szCs w:val="21"/>
        </w:rPr>
        <w:t>，</w:t>
      </w:r>
      <w:r>
        <w:rPr>
          <w:rFonts w:hAnsi="宋体"/>
          <w:spacing w:val="-6"/>
          <w:sz w:val="21"/>
          <w:szCs w:val="21"/>
        </w:rPr>
        <w:t>澄清或者修改的内容为招标文件的组成部分。</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int="eastAsia" w:hAnsi="宋体"/>
          <w:spacing w:val="-6"/>
          <w:sz w:val="21"/>
          <w:szCs w:val="21"/>
        </w:rPr>
        <w:t>回函确认。若无书面回函确认，视同投标人已收到招标文件修改的通知，并受其约束。</w:t>
      </w:r>
    </w:p>
    <w:p>
      <w:pPr>
        <w:pStyle w:val="14"/>
        <w:adjustRightInd w:val="0"/>
        <w:snapToGrid w:val="0"/>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21"/>
          <w:szCs w:val="21"/>
        </w:rPr>
        <w:t>三</w:t>
      </w:r>
      <w:r>
        <w:rPr>
          <w:rFonts w:hint="eastAsia" w:hAnsi="宋体"/>
          <w:b/>
          <w:spacing w:val="-6"/>
          <w:sz w:val="21"/>
          <w:szCs w:val="21"/>
        </w:rPr>
        <w:t>、</w:t>
      </w:r>
      <w:r>
        <w:rPr>
          <w:rFonts w:hAnsi="宋体"/>
          <w:b/>
          <w:spacing w:val="-6"/>
          <w:sz w:val="21"/>
          <w:szCs w:val="21"/>
        </w:rPr>
        <w:t>投标文件的编制</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（一）投标文件的组成</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投标文件由</w:t>
      </w:r>
      <w:r>
        <w:rPr>
          <w:rFonts w:hint="eastAsia" w:hAnsi="宋体"/>
          <w:b/>
          <w:spacing w:val="-6"/>
          <w:sz w:val="21"/>
          <w:szCs w:val="21"/>
        </w:rPr>
        <w:t>报价文件、资格文件、商务和技术文件</w:t>
      </w:r>
      <w:r>
        <w:rPr>
          <w:rFonts w:hint="eastAsia" w:hAnsi="宋体"/>
          <w:spacing w:val="-6"/>
          <w:sz w:val="21"/>
          <w:szCs w:val="21"/>
        </w:rPr>
        <w:t>组成（格式详见招标文件第六章）。</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投标文件组成：详见“第六章</w:t>
      </w:r>
      <w:r>
        <w:rPr>
          <w:rFonts w:ascii="宋体" w:hAnsi="宋体"/>
          <w:spacing w:val="-6"/>
          <w:sz w:val="21"/>
          <w:szCs w:val="21"/>
        </w:rPr>
        <w:t xml:space="preserve">  投标文件格式</w:t>
      </w:r>
      <w:r>
        <w:rPr>
          <w:rFonts w:hint="eastAsia" w:ascii="宋体" w:hAnsi="宋体"/>
          <w:spacing w:val="-6"/>
          <w:sz w:val="21"/>
          <w:szCs w:val="21"/>
        </w:rPr>
        <w:t>”目录</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如供应商提供的产品技术支持材料与采购需求偏离表响应不一致，以产品技术支持材料为准。</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（二）投标文件的编制、份数、包装、递交、修改和撤回</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1.投标人应按本招标文件规定的格式和顺序编制、装订投标文件，投标文件内容不完整、编排混乱导致投标文件被误读、漏读或者查找不到相关内容的，是投标人的责任。</w:t>
      </w:r>
    </w:p>
    <w:p>
      <w:pPr>
        <w:adjustRightInd w:val="0"/>
        <w:snapToGrid w:val="0"/>
        <w:spacing w:line="288" w:lineRule="auto"/>
        <w:ind w:firstLine="398" w:firstLineChars="200"/>
        <w:jc w:val="left"/>
        <w:rPr>
          <w:rFonts w:ascii="宋体" w:hAnsi="宋体"/>
          <w:spacing w:val="-6"/>
          <w:sz w:val="21"/>
          <w:szCs w:val="21"/>
        </w:rPr>
      </w:pPr>
      <w:r>
        <w:rPr>
          <w:rFonts w:ascii="宋体" w:hAnsi="宋体"/>
          <w:b/>
          <w:bCs/>
          <w:spacing w:val="-6"/>
          <w:sz w:val="21"/>
          <w:szCs w:val="21"/>
        </w:rPr>
        <w:t>2</w:t>
      </w:r>
      <w:r>
        <w:rPr>
          <w:rFonts w:hint="eastAsia" w:ascii="宋体" w:hAnsi="宋体"/>
          <w:b/>
          <w:bCs/>
          <w:spacing w:val="-6"/>
          <w:sz w:val="21"/>
          <w:szCs w:val="21"/>
        </w:rPr>
        <w:t>.</w:t>
      </w:r>
      <w:r>
        <w:rPr>
          <w:rFonts w:hint="eastAsia" w:ascii="宋体" w:hAnsi="宋体"/>
          <w:b/>
          <w:spacing w:val="-6"/>
          <w:sz w:val="21"/>
          <w:szCs w:val="21"/>
        </w:rPr>
        <w:t>装订与份数：报价文件单独装订成册，资格文件、商务和技术文件合并装订成册，其中正本一份、副本五份，投标文件的封面应注明“正本“、“副本”字样。正本与副本不一致的，以正本为准。</w:t>
      </w:r>
    </w:p>
    <w:p>
      <w:pPr>
        <w:adjustRightInd w:val="0"/>
        <w:snapToGrid w:val="0"/>
        <w:spacing w:line="288" w:lineRule="auto"/>
        <w:ind w:firstLine="396" w:firstLineChars="200"/>
        <w:jc w:val="left"/>
        <w:rPr>
          <w:rFonts w:ascii="宋体" w:hAnsi="宋体"/>
          <w:b/>
          <w:snapToGrid w:val="0"/>
          <w:kern w:val="0"/>
          <w:sz w:val="21"/>
          <w:szCs w:val="21"/>
        </w:rPr>
      </w:pPr>
      <w:r>
        <w:rPr>
          <w:rFonts w:hint="eastAsia" w:ascii="宋体" w:hAnsi="宋体"/>
          <w:spacing w:val="-6"/>
          <w:sz w:val="21"/>
          <w:szCs w:val="21"/>
        </w:rPr>
        <w:t>▲</w:t>
      </w:r>
      <w:r>
        <w:rPr>
          <w:rFonts w:hint="eastAsia" w:ascii="宋体" w:hAnsi="宋体"/>
          <w:b/>
          <w:spacing w:val="-6"/>
          <w:sz w:val="21"/>
          <w:szCs w:val="21"/>
        </w:rPr>
        <w:t>活页装订（卡条、抽杆夹、订书机、散装）的投标文件无效，提供全套投标文件电子版U盘1份，投标文件电子版应为正本的PDF格式扫描件，U盘单独密封。</w:t>
      </w:r>
    </w:p>
    <w:p>
      <w:pPr>
        <w:adjustRightInd w:val="0"/>
        <w:snapToGrid w:val="0"/>
        <w:spacing w:line="288" w:lineRule="auto"/>
        <w:ind w:firstLine="398" w:firstLineChars="200"/>
        <w:rPr>
          <w:rFonts w:ascii="宋体" w:hAnsi="宋体"/>
          <w:spacing w:val="-6"/>
          <w:sz w:val="21"/>
          <w:szCs w:val="21"/>
        </w:rPr>
      </w:pPr>
      <w:r>
        <w:rPr>
          <w:rFonts w:ascii="宋体" w:hAnsi="宋体"/>
          <w:b/>
          <w:bCs/>
          <w:spacing w:val="-6"/>
          <w:sz w:val="21"/>
          <w:szCs w:val="21"/>
        </w:rPr>
        <w:t>3</w:t>
      </w:r>
      <w:r>
        <w:rPr>
          <w:rFonts w:hint="eastAsia" w:ascii="宋体" w:hAnsi="宋体"/>
          <w:b/>
          <w:bCs/>
          <w:spacing w:val="-6"/>
          <w:sz w:val="21"/>
          <w:szCs w:val="21"/>
        </w:rPr>
        <w:t>.</w:t>
      </w:r>
      <w:r>
        <w:rPr>
          <w:rFonts w:hint="eastAsia" w:ascii="宋体" w:hAnsi="宋体"/>
          <w:b/>
          <w:spacing w:val="-6"/>
          <w:sz w:val="21"/>
          <w:szCs w:val="21"/>
        </w:rPr>
        <w:t>包装：报价文件单独密封包装，</w:t>
      </w:r>
      <w:r>
        <w:rPr>
          <w:rFonts w:ascii="宋体" w:hAnsi="宋体"/>
          <w:b/>
          <w:spacing w:val="-6"/>
          <w:sz w:val="21"/>
          <w:szCs w:val="21"/>
        </w:rPr>
        <w:t>资格文件、商务和技术文件</w:t>
      </w:r>
      <w:r>
        <w:rPr>
          <w:rFonts w:hint="eastAsia" w:ascii="宋体" w:hAnsi="宋体"/>
          <w:b/>
          <w:spacing w:val="-6"/>
          <w:sz w:val="21"/>
          <w:szCs w:val="21"/>
        </w:rPr>
        <w:t>合并密封包装，相同部分的正副本可密封在同一个密封袋内。</w:t>
      </w:r>
      <w:r>
        <w:rPr>
          <w:rFonts w:hint="eastAsia" w:ascii="宋体" w:hAnsi="宋体"/>
          <w:spacing w:val="-6"/>
          <w:sz w:val="21"/>
          <w:szCs w:val="21"/>
        </w:rPr>
        <w:t>投标人应在投标文件包装封面上注明投标人名称、投标人地址、投标文件名称（报价文件、资格文件、商务和技术文件）、投标项目名称、项目编号、</w:t>
      </w:r>
      <w:r>
        <w:rPr>
          <w:rFonts w:ascii="宋体" w:hAnsi="宋体"/>
          <w:spacing w:val="-6"/>
          <w:sz w:val="21"/>
          <w:szCs w:val="21"/>
        </w:rPr>
        <w:t>标项</w:t>
      </w:r>
      <w:r>
        <w:rPr>
          <w:rFonts w:hint="eastAsia" w:ascii="宋体" w:hAnsi="宋体"/>
          <w:spacing w:val="-6"/>
          <w:sz w:val="21"/>
          <w:szCs w:val="21"/>
        </w:rPr>
        <w:t>及“开标时启封”字样，并加盖投标人公章。</w:t>
      </w:r>
    </w:p>
    <w:p>
      <w:pPr>
        <w:adjustRightInd w:val="0"/>
        <w:snapToGrid w:val="0"/>
        <w:spacing w:line="288" w:lineRule="auto"/>
        <w:ind w:firstLine="398" w:firstLineChars="200"/>
        <w:rPr>
          <w:rFonts w:ascii="宋体" w:hAnsi="宋体"/>
          <w:spacing w:val="-6"/>
          <w:sz w:val="21"/>
          <w:szCs w:val="21"/>
        </w:rPr>
      </w:pPr>
      <w:r>
        <w:rPr>
          <w:rFonts w:hint="eastAsia" w:ascii="宋体" w:hAnsi="宋体"/>
          <w:b/>
          <w:spacing w:val="-6"/>
          <w:sz w:val="21"/>
          <w:szCs w:val="21"/>
        </w:rPr>
        <w:t>报价文件未按要求密封导致</w:t>
      </w:r>
      <w:r>
        <w:rPr>
          <w:rFonts w:ascii="宋体" w:hAnsi="宋体"/>
          <w:b/>
          <w:spacing w:val="-6"/>
          <w:sz w:val="21"/>
          <w:szCs w:val="21"/>
        </w:rPr>
        <w:t>开标时发生报价泄露</w:t>
      </w:r>
      <w:r>
        <w:rPr>
          <w:rFonts w:hint="eastAsia" w:ascii="宋体" w:hAnsi="宋体"/>
          <w:b/>
          <w:spacing w:val="-6"/>
          <w:sz w:val="21"/>
          <w:szCs w:val="21"/>
        </w:rPr>
        <w:t>，投标人</w:t>
      </w:r>
      <w:r>
        <w:rPr>
          <w:rFonts w:ascii="宋体" w:hAnsi="宋体"/>
          <w:b/>
          <w:spacing w:val="-6"/>
          <w:sz w:val="21"/>
          <w:szCs w:val="21"/>
        </w:rPr>
        <w:t>自行承担相关责任</w:t>
      </w:r>
      <w:r>
        <w:rPr>
          <w:rFonts w:hint="eastAsia" w:ascii="宋体" w:hAnsi="宋体"/>
          <w:b/>
          <w:spacing w:val="-6"/>
          <w:sz w:val="21"/>
          <w:szCs w:val="21"/>
        </w:rPr>
        <w:t>。</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4</w:t>
      </w:r>
      <w:r>
        <w:rPr>
          <w:rFonts w:hint="eastAsia" w:ascii="宋体" w:hAnsi="宋体"/>
          <w:spacing w:val="-6"/>
          <w:sz w:val="21"/>
          <w:szCs w:val="21"/>
        </w:rPr>
        <w:t>.未按规定密封</w:t>
      </w:r>
      <w:r>
        <w:rPr>
          <w:rFonts w:ascii="宋体" w:hAnsi="宋体"/>
          <w:spacing w:val="-6"/>
          <w:sz w:val="21"/>
          <w:szCs w:val="21"/>
        </w:rPr>
        <w:t>或</w:t>
      </w:r>
      <w:r>
        <w:rPr>
          <w:rFonts w:hint="eastAsia" w:ascii="宋体" w:hAnsi="宋体"/>
          <w:spacing w:val="-6"/>
          <w:sz w:val="21"/>
          <w:szCs w:val="21"/>
        </w:rPr>
        <w:t>标记的投标文件被误投或提前拆封的风险由投标人承担。</w:t>
      </w:r>
    </w:p>
    <w:p>
      <w:pPr>
        <w:adjustRightInd w:val="0"/>
        <w:snapToGrid w:val="0"/>
        <w:spacing w:line="288" w:lineRule="auto"/>
        <w:ind w:firstLine="396" w:firstLineChars="200"/>
        <w:rPr>
          <w:rFonts w:ascii="宋体" w:hAnsi="宋体"/>
          <w:spacing w:val="-6"/>
          <w:sz w:val="21"/>
          <w:szCs w:val="21"/>
        </w:rPr>
      </w:pPr>
      <w:r>
        <w:rPr>
          <w:rFonts w:ascii="宋体" w:hAnsi="宋体"/>
          <w:spacing w:val="-6"/>
          <w:sz w:val="21"/>
          <w:szCs w:val="21"/>
        </w:rPr>
        <w:t>5.</w:t>
      </w:r>
      <w:r>
        <w:rPr>
          <w:rFonts w:hint="eastAsia" w:ascii="宋体" w:hAnsi="宋体"/>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（三）投标文件的签署</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.投标文件的正本需打印或用不褪色的墨水填写，投标文件正本除本《投标人须知》中规定的可提供复印件外均须提供原件。副本可以是正本的复印件。</w:t>
      </w:r>
    </w:p>
    <w:p>
      <w:pPr>
        <w:adjustRightInd w:val="0"/>
        <w:snapToGrid w:val="0"/>
        <w:spacing w:line="288" w:lineRule="auto"/>
        <w:ind w:firstLine="396" w:firstLineChars="200"/>
        <w:jc w:val="left"/>
        <w:rPr>
          <w:rFonts w:ascii="宋体" w:hAnsi="宋体"/>
          <w:spacing w:val="-6"/>
          <w:sz w:val="21"/>
          <w:szCs w:val="21"/>
        </w:rPr>
      </w:pPr>
      <w:r>
        <w:rPr>
          <w:rFonts w:ascii="宋体" w:hAnsi="宋体"/>
          <w:spacing w:val="-6"/>
          <w:sz w:val="21"/>
          <w:szCs w:val="21"/>
        </w:rPr>
        <w:t>2</w:t>
      </w:r>
      <w:r>
        <w:rPr>
          <w:rFonts w:hint="eastAsia" w:ascii="宋体" w:hAnsi="宋体"/>
          <w:spacing w:val="-6"/>
          <w:sz w:val="21"/>
          <w:szCs w:val="21"/>
        </w:rPr>
        <w:t>.投标文件须由投标人在规定位置盖章并由投标人</w:t>
      </w:r>
      <w:r>
        <w:rPr>
          <w:rFonts w:ascii="宋体" w:hAnsi="宋体"/>
          <w:spacing w:val="-6"/>
          <w:sz w:val="21"/>
          <w:szCs w:val="21"/>
        </w:rPr>
        <w:t>代表</w:t>
      </w:r>
      <w:r>
        <w:rPr>
          <w:rFonts w:hint="eastAsia" w:ascii="宋体" w:hAnsi="宋体"/>
          <w:spacing w:val="-6"/>
          <w:sz w:val="21"/>
          <w:szCs w:val="21"/>
        </w:rPr>
        <w:t>签署，投标人应写全称。</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3.投标文件不得涂改，若有修改错漏处，须由投标人加盖公章，或者由投标人代表签名。投标文件因字迹潦草或表达不清所引起的后果由投标人负责。</w:t>
      </w:r>
    </w:p>
    <w:p>
      <w:pPr>
        <w:adjustRightInd w:val="0"/>
        <w:snapToGrid w:val="0"/>
        <w:spacing w:line="288" w:lineRule="auto"/>
        <w:jc w:val="left"/>
        <w:rPr>
          <w:rFonts w:ascii="宋体" w:hAnsi="宋体"/>
          <w:spacing w:val="-6"/>
          <w:sz w:val="21"/>
          <w:szCs w:val="21"/>
        </w:rPr>
      </w:pPr>
      <w:r>
        <w:rPr>
          <w:rFonts w:hint="eastAsia" w:ascii="宋体" w:hAnsi="宋体"/>
          <w:b/>
          <w:spacing w:val="-6"/>
          <w:sz w:val="21"/>
          <w:szCs w:val="21"/>
        </w:rPr>
        <w:t>（四）投标文件的语言及计量</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投标文件以及投标人与采购人或</w:t>
      </w:r>
      <w:r>
        <w:rPr>
          <w:rFonts w:ascii="宋体" w:hAnsi="宋体"/>
          <w:spacing w:val="-6"/>
          <w:sz w:val="21"/>
          <w:szCs w:val="21"/>
        </w:rPr>
        <w:t>采购代理机构</w:t>
      </w:r>
      <w:r>
        <w:rPr>
          <w:rFonts w:hint="eastAsia" w:ascii="宋体" w:hAnsi="宋体"/>
          <w:spacing w:val="-6"/>
          <w:sz w:val="21"/>
          <w:szCs w:val="21"/>
        </w:rPr>
        <w:t>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（五）投标报价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1.报价应按招标文件要求的格式编制、填写报价内容（可自行增行），未按招标文件要求编制、填写的投标文件可能被拒绝；</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2.以人民币报价；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3.投标报价是履行合同的最终价格，有关本项目实施所涉及的一切费用均计入报价；</w:t>
      </w:r>
    </w:p>
    <w:p>
      <w:pPr>
        <w:adjustRightInd w:val="0"/>
        <w:snapToGrid w:val="0"/>
        <w:spacing w:line="288" w:lineRule="auto"/>
        <w:ind w:firstLine="425" w:firstLineChars="215"/>
        <w:jc w:val="left"/>
        <w:rPr>
          <w:rFonts w:ascii="宋体" w:hAnsi="宋体"/>
          <w:spacing w:val="-6"/>
          <w:sz w:val="21"/>
          <w:szCs w:val="21"/>
        </w:rPr>
      </w:pPr>
      <w:r>
        <w:rPr>
          <w:rFonts w:hint="eastAsia" w:ascii="宋体" w:hAnsi="宋体"/>
          <w:spacing w:val="-6"/>
          <w:sz w:val="21"/>
          <w:szCs w:val="21"/>
        </w:rPr>
        <w:t>4.投标文件只允许有一个报价，有选择的报价将不予接受。</w:t>
      </w:r>
    </w:p>
    <w:p>
      <w:pPr>
        <w:adjustRightInd w:val="0"/>
        <w:snapToGrid w:val="0"/>
        <w:spacing w:line="288" w:lineRule="auto"/>
        <w:ind w:firstLine="420" w:firstLineChars="200"/>
        <w:jc w:val="left"/>
        <w:rPr>
          <w:rFonts w:ascii="宋体" w:hAnsi="宋体" w:cs="宋体"/>
          <w:sz w:val="21"/>
          <w:szCs w:val="21"/>
        </w:rPr>
      </w:pPr>
      <w:bookmarkStart w:id="82" w:name="_Hlk94018664"/>
      <w:r>
        <w:rPr>
          <w:rFonts w:hint="eastAsia" w:ascii="宋体" w:hAnsi="宋体" w:cs="宋体"/>
          <w:sz w:val="21"/>
          <w:szCs w:val="21"/>
        </w:rPr>
        <w:t>▲5.采购人将以合同形式有偿取得货物或服务，不接受投标人给予的赠品、回扣或者与采购无关的其他商品、服务，不得出现“0元”“免费赠送”等形式的无偿报价，否则视为投标文件含有采购人不能接受的附加条件的，投标无效。</w:t>
      </w:r>
    </w:p>
    <w:bookmarkEnd w:id="82"/>
    <w:p>
      <w:pPr>
        <w:adjustRightInd w:val="0"/>
        <w:snapToGrid w:val="0"/>
        <w:spacing w:line="288" w:lineRule="auto"/>
        <w:jc w:val="left"/>
        <w:rPr>
          <w:rFonts w:ascii="宋体" w:hAnsi="宋体"/>
          <w:b/>
          <w:spacing w:val="-6"/>
          <w:sz w:val="21"/>
          <w:szCs w:val="21"/>
        </w:rPr>
      </w:pPr>
      <w:r>
        <w:rPr>
          <w:rFonts w:hint="eastAsia" w:ascii="宋体" w:hAnsi="宋体"/>
          <w:b/>
          <w:spacing w:val="-6"/>
          <w:sz w:val="21"/>
          <w:szCs w:val="21"/>
        </w:rPr>
        <w:t>（六）投标有效期</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▲从提交投标文件的截止之日起</w:t>
      </w:r>
      <w:r>
        <w:rPr>
          <w:rFonts w:ascii="宋体" w:hAnsi="宋体"/>
          <w:spacing w:val="-6"/>
          <w:sz w:val="21"/>
          <w:szCs w:val="21"/>
        </w:rPr>
        <w:t>90天，在原投标有效期满之前，如果出现特殊情况，采购人或采购代理机构以书面形式通知投标人延长投标有效期。</w:t>
      </w:r>
    </w:p>
    <w:p>
      <w:pPr>
        <w:widowControl/>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四、资格审查不通过、投标无效的情形</w:t>
      </w:r>
    </w:p>
    <w:p>
      <w:pPr>
        <w:adjustRightInd w:val="0"/>
        <w:snapToGrid w:val="0"/>
        <w:spacing w:line="288" w:lineRule="auto"/>
        <w:ind w:firstLine="420" w:firstLineChars="200"/>
        <w:rPr>
          <w:rFonts w:ascii="宋体" w:hAnsi="宋体" w:cs="宋体"/>
          <w:sz w:val="21"/>
          <w:szCs w:val="21"/>
        </w:rPr>
      </w:pPr>
      <w:bookmarkStart w:id="83" w:name="_Hlk94018682"/>
      <w:r>
        <w:rPr>
          <w:rFonts w:hint="eastAsia" w:ascii="宋体" w:hAnsi="宋体" w:cs="宋体"/>
          <w:sz w:val="21"/>
          <w:szCs w:val="21"/>
        </w:rPr>
        <w:t>未响应招标文件“▲”标记条款要求的，投标无效。</w:t>
      </w:r>
      <w:bookmarkEnd w:id="83"/>
    </w:p>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在资格审查时，如发现下列情形之一的，投标文件将被视为无效：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招标</w:t>
      </w:r>
      <w:r>
        <w:rPr>
          <w:rFonts w:ascii="宋体" w:hAnsi="宋体"/>
          <w:spacing w:val="-6"/>
          <w:sz w:val="21"/>
          <w:szCs w:val="21"/>
        </w:rPr>
        <w:t>文件要求</w:t>
      </w:r>
      <w:r>
        <w:rPr>
          <w:rFonts w:hint="eastAsia" w:ascii="宋体" w:hAnsi="宋体"/>
          <w:spacing w:val="-6"/>
          <w:sz w:val="21"/>
          <w:szCs w:val="21"/>
        </w:rPr>
        <w:t>；</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（2）投标人不具备招标文件中规定的资格要求；</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（3）资格</w:t>
      </w:r>
      <w:r>
        <w:rPr>
          <w:rFonts w:ascii="宋体" w:hAnsi="宋体"/>
          <w:spacing w:val="-6"/>
          <w:sz w:val="21"/>
          <w:szCs w:val="21"/>
        </w:rPr>
        <w:t>文件</w:t>
      </w:r>
      <w:r>
        <w:rPr>
          <w:rFonts w:hint="eastAsia" w:ascii="宋体" w:hAnsi="宋体"/>
          <w:spacing w:val="-6"/>
          <w:sz w:val="21"/>
          <w:szCs w:val="21"/>
        </w:rPr>
        <w:t>未按要求签署、盖章；</w:t>
      </w:r>
    </w:p>
    <w:p>
      <w:pPr>
        <w:adjustRightInd w:val="0"/>
        <w:snapToGrid w:val="0"/>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时，如发现下列情形之一的，投标文件将被视为无效：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（2）未提供或未按要求提供投标函、授权委托书；</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（3）委托授权代表参加投标但未提供符合要求的授权代表社保缴纳证明；</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6</w:t>
      </w:r>
      <w:r>
        <w:rPr>
          <w:rFonts w:hint="eastAsia" w:ascii="宋体" w:hAnsi="宋体"/>
          <w:spacing w:val="-6"/>
          <w:sz w:val="21"/>
          <w:szCs w:val="21"/>
        </w:rPr>
        <w:t>）</w:t>
      </w:r>
      <w:r>
        <w:rPr>
          <w:rFonts w:ascii="宋体" w:hAnsi="宋体"/>
          <w:spacing w:val="-6"/>
          <w:sz w:val="21"/>
          <w:szCs w:val="21"/>
        </w:rPr>
        <w:t>投标技术方案不明确，存在一个或一个以上备选（替代）投标方案；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7</w:t>
      </w:r>
      <w:r>
        <w:rPr>
          <w:rFonts w:hint="eastAsia" w:ascii="宋体" w:hAnsi="宋体"/>
          <w:spacing w:val="-6"/>
          <w:sz w:val="21"/>
          <w:szCs w:val="21"/>
        </w:rPr>
        <w:t>）投标文件含有采购人不能接受的附加条件；</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8</w:t>
      </w:r>
      <w:r>
        <w:rPr>
          <w:rFonts w:hint="eastAsia" w:ascii="宋体" w:hAnsi="宋体"/>
          <w:spacing w:val="-6"/>
          <w:sz w:val="21"/>
          <w:szCs w:val="21"/>
        </w:rPr>
        <w:t>）法律、法规和招标文件规定的其他无效情形。</w:t>
      </w:r>
    </w:p>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（1）报价</w:t>
      </w:r>
      <w:r>
        <w:rPr>
          <w:rFonts w:ascii="宋体" w:hAnsi="宋体"/>
          <w:spacing w:val="-6"/>
          <w:sz w:val="21"/>
          <w:szCs w:val="21"/>
        </w:rPr>
        <w:t>文件</w:t>
      </w:r>
      <w:r>
        <w:rPr>
          <w:rFonts w:hint="eastAsia" w:ascii="宋体" w:hAnsi="宋体"/>
          <w:spacing w:val="-6"/>
          <w:sz w:val="21"/>
          <w:szCs w:val="21"/>
        </w:rPr>
        <w:t>未按要求签署、盖章；</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）未按照招标文件标明的币种报价</w:t>
      </w:r>
      <w:r>
        <w:rPr>
          <w:rFonts w:hint="eastAsia" w:ascii="宋体" w:hAnsi="宋体"/>
          <w:spacing w:val="-6"/>
          <w:sz w:val="21"/>
          <w:szCs w:val="21"/>
        </w:rPr>
        <w:t>；</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报价</w:t>
      </w:r>
      <w:r>
        <w:rPr>
          <w:rFonts w:hint="eastAsia" w:ascii="宋体" w:hAnsi="宋体"/>
          <w:spacing w:val="-6"/>
          <w:sz w:val="21"/>
          <w:szCs w:val="21"/>
        </w:rPr>
        <w:t>明细有</w:t>
      </w:r>
      <w:r>
        <w:rPr>
          <w:rFonts w:ascii="宋体" w:hAnsi="宋体"/>
          <w:spacing w:val="-6"/>
          <w:sz w:val="21"/>
          <w:szCs w:val="21"/>
        </w:rPr>
        <w:t>缺漏项</w:t>
      </w:r>
      <w:r>
        <w:rPr>
          <w:rFonts w:hint="eastAsia" w:ascii="宋体" w:hAnsi="宋体"/>
          <w:spacing w:val="-6"/>
          <w:sz w:val="21"/>
          <w:szCs w:val="21"/>
        </w:rPr>
        <w:t>，或者</w:t>
      </w:r>
      <w:r>
        <w:rPr>
          <w:rFonts w:ascii="宋体" w:hAnsi="宋体"/>
          <w:spacing w:val="-6"/>
          <w:sz w:val="21"/>
          <w:szCs w:val="21"/>
        </w:rPr>
        <w:t>与招标文件要求不一致；</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（4）报价超过招标文件中规定的预算金额或者最高限价；</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（5）报价具有选择性，或者开标价格与投标文件承诺的优惠（折扣）价格不一致；</w:t>
      </w:r>
    </w:p>
    <w:p>
      <w:pPr>
        <w:widowControl/>
        <w:adjustRightInd w:val="0"/>
        <w:snapToGrid w:val="0"/>
        <w:spacing w:line="288" w:lineRule="auto"/>
        <w:ind w:firstLine="396" w:firstLineChars="200"/>
        <w:jc w:val="left"/>
        <w:rPr>
          <w:rFonts w:ascii="宋体" w:hAnsi="宋体"/>
          <w:spacing w:val="-6"/>
          <w:sz w:val="21"/>
          <w:szCs w:val="21"/>
        </w:rPr>
      </w:pPr>
      <w:bookmarkStart w:id="84" w:name="_Hlk94018736"/>
      <w:r>
        <w:rPr>
          <w:rFonts w:hint="eastAsia" w:ascii="宋体" w:hAnsi="宋体"/>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84"/>
    <w:p>
      <w:pPr>
        <w:widowControl/>
        <w:adjustRightInd w:val="0"/>
        <w:snapToGrid w:val="0"/>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（1）不同投标人的投标文件由同一单位或者个人编制；</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（2）不同投标人委托同一单位或者个人办理投标事宜；</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（5）不同投标人的投标文件相互混装。</w:t>
      </w:r>
    </w:p>
    <w:p>
      <w:pPr>
        <w:widowControl/>
        <w:adjustRightInd w:val="0"/>
        <w:snapToGrid w:val="0"/>
        <w:spacing w:line="288" w:lineRule="auto"/>
        <w:ind w:firstLine="398" w:firstLineChars="200"/>
        <w:jc w:val="center"/>
        <w:outlineLvl w:val="1"/>
        <w:rPr>
          <w:rFonts w:ascii="宋体" w:hAnsi="宋体"/>
          <w:b/>
          <w:spacing w:val="-6"/>
          <w:sz w:val="21"/>
          <w:szCs w:val="21"/>
        </w:rPr>
      </w:pPr>
      <w:r>
        <w:rPr>
          <w:rFonts w:ascii="宋体" w:hAnsi="宋体"/>
          <w:b/>
          <w:spacing w:val="-6"/>
          <w:sz w:val="21"/>
          <w:szCs w:val="21"/>
        </w:rPr>
        <w:br w:type="page"/>
      </w:r>
      <w:r>
        <w:rPr>
          <w:rFonts w:hint="eastAsia" w:ascii="宋体" w:hAnsi="宋体"/>
          <w:b/>
          <w:spacing w:val="-6"/>
          <w:sz w:val="21"/>
          <w:szCs w:val="21"/>
        </w:rPr>
        <w:t>五、开  标</w:t>
      </w:r>
    </w:p>
    <w:p>
      <w:pPr>
        <w:autoSpaceDE w:val="0"/>
        <w:autoSpaceDN w:val="0"/>
        <w:adjustRightInd w:val="0"/>
        <w:snapToGrid w:val="0"/>
        <w:spacing w:line="288" w:lineRule="auto"/>
        <w:rPr>
          <w:rFonts w:ascii="宋体" w:hAnsi="宋体" w:cs="仿宋_GB2312"/>
          <w:b/>
          <w:kern w:val="0"/>
          <w:sz w:val="21"/>
          <w:szCs w:val="21"/>
        </w:rPr>
      </w:pPr>
      <w:r>
        <w:rPr>
          <w:rFonts w:hint="eastAsia" w:ascii="宋体" w:hAnsi="宋体" w:cs="仿宋_GB2312"/>
          <w:b/>
          <w:kern w:val="0"/>
          <w:sz w:val="21"/>
          <w:szCs w:val="21"/>
        </w:rPr>
        <w:t>第一阶段</w:t>
      </w:r>
    </w:p>
    <w:p>
      <w:pPr>
        <w:autoSpaceDE w:val="0"/>
        <w:autoSpaceDN w:val="0"/>
        <w:adjustRightInd w:val="0"/>
        <w:snapToGrid w:val="0"/>
        <w:spacing w:line="288" w:lineRule="auto"/>
        <w:ind w:firstLine="424" w:firstLineChars="201"/>
        <w:rPr>
          <w:rFonts w:ascii="宋体" w:hAnsi="宋体"/>
          <w:kern w:val="0"/>
          <w:sz w:val="21"/>
          <w:szCs w:val="21"/>
        </w:rPr>
      </w:pPr>
      <w:r>
        <w:rPr>
          <w:rFonts w:hint="eastAsia" w:ascii="宋体" w:hAnsi="宋体" w:cs="仿宋_GB2312"/>
          <w:b/>
          <w:kern w:val="0"/>
          <w:sz w:val="21"/>
          <w:szCs w:val="21"/>
        </w:rPr>
        <w:t>（一）</w:t>
      </w:r>
      <w:r>
        <w:rPr>
          <w:rFonts w:ascii="宋体" w:hAnsi="宋体" w:cs="仿宋_GB2312"/>
          <w:b/>
          <w:kern w:val="0"/>
          <w:sz w:val="21"/>
          <w:szCs w:val="21"/>
        </w:rPr>
        <w:t>开标</w:t>
      </w:r>
    </w:p>
    <w:p>
      <w:pPr>
        <w:autoSpaceDE w:val="0"/>
        <w:autoSpaceDN w:val="0"/>
        <w:adjustRightInd w:val="0"/>
        <w:snapToGrid w:val="0"/>
        <w:spacing w:line="288" w:lineRule="auto"/>
        <w:ind w:firstLine="422" w:firstLineChars="201"/>
        <w:rPr>
          <w:rFonts w:ascii="宋体" w:hAnsi="宋体" w:cs="仿宋_GB2312"/>
          <w:kern w:val="0"/>
          <w:sz w:val="21"/>
          <w:szCs w:val="21"/>
        </w:rPr>
      </w:pPr>
      <w:r>
        <w:rPr>
          <w:rFonts w:hint="eastAsia" w:ascii="宋体" w:hAnsi="宋体" w:cs="仿宋_GB2312"/>
          <w:kern w:val="0"/>
          <w:sz w:val="21"/>
          <w:szCs w:val="21"/>
        </w:rPr>
        <w:t>采购代理机构按照招标文件规定的时间、地点和程序组织开标，开标采取先拆封资格文件、商务和技术文件、后拆封报价文件的顺序进行</w:t>
      </w:r>
      <w:r>
        <w:rPr>
          <w:rFonts w:ascii="宋体" w:hAnsi="宋体" w:cs="仿宋_GB2312"/>
          <w:kern w:val="0"/>
          <w:sz w:val="21"/>
          <w:szCs w:val="21"/>
        </w:rPr>
        <w:t>。投标人不足3家的，不得开标。</w:t>
      </w:r>
    </w:p>
    <w:p>
      <w:pPr>
        <w:widowControl/>
        <w:adjustRightInd w:val="0"/>
        <w:snapToGrid w:val="0"/>
        <w:spacing w:line="288" w:lineRule="auto"/>
        <w:ind w:firstLine="424" w:firstLineChars="201"/>
        <w:jc w:val="left"/>
        <w:rPr>
          <w:rFonts w:ascii="宋体" w:hAnsi="宋体" w:cs="仿宋_GB2312"/>
          <w:b/>
          <w:sz w:val="21"/>
          <w:szCs w:val="21"/>
        </w:rPr>
      </w:pPr>
      <w:r>
        <w:rPr>
          <w:rFonts w:hint="eastAsia" w:ascii="宋体" w:hAnsi="宋体" w:cs="仿宋_GB2312"/>
          <w:b/>
          <w:sz w:val="21"/>
          <w:szCs w:val="21"/>
        </w:rPr>
        <w:t>（二）</w:t>
      </w:r>
      <w:r>
        <w:rPr>
          <w:rFonts w:ascii="宋体" w:hAnsi="宋体" w:cs="仿宋_GB2312"/>
          <w:b/>
          <w:sz w:val="21"/>
          <w:szCs w:val="21"/>
        </w:rPr>
        <w:t>资格审查</w:t>
      </w:r>
    </w:p>
    <w:p>
      <w:pPr>
        <w:adjustRightInd w:val="0"/>
        <w:snapToGrid w:val="0"/>
        <w:spacing w:line="288" w:lineRule="auto"/>
        <w:ind w:firstLine="422" w:firstLineChars="201"/>
        <w:rPr>
          <w:rFonts w:ascii="宋体" w:hAnsi="宋体" w:cs="仿宋_GB2312"/>
          <w:sz w:val="21"/>
          <w:szCs w:val="21"/>
        </w:rPr>
      </w:pPr>
      <w:r>
        <w:rPr>
          <w:rFonts w:ascii="宋体" w:hAnsi="宋体" w:cs="Arial"/>
          <w:kern w:val="0"/>
          <w:sz w:val="21"/>
          <w:szCs w:val="21"/>
        </w:rPr>
        <w:t>开标后，</w:t>
      </w:r>
      <w:r>
        <w:rPr>
          <w:rFonts w:hint="eastAsia" w:ascii="宋体" w:hAnsi="宋体" w:cs="仿宋_GB2312"/>
          <w:sz w:val="21"/>
          <w:szCs w:val="21"/>
        </w:rPr>
        <w:t>采购人或采购机构依据法律法规和招标文件的规定，对投标人的资格条件进行审查。</w:t>
      </w:r>
    </w:p>
    <w:p>
      <w:pPr>
        <w:adjustRightInd w:val="0"/>
        <w:snapToGrid w:val="0"/>
        <w:spacing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adjustRightInd w:val="0"/>
        <w:snapToGrid w:val="0"/>
        <w:spacing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adjustRightInd w:val="0"/>
        <w:snapToGrid w:val="0"/>
        <w:spacing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75"/>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根据财库[2016]125号《关于在政府采购活动中查询及使用信用记录有关问题的通知》要求，采购代理机构会对投标人信用记录进行查询并甄别。信用信息查询的截止时点：投标截止时间；</w:t>
      </w:r>
    </w:p>
    <w:p>
      <w:pPr>
        <w:pStyle w:val="75"/>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75"/>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75"/>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adjustRightInd w:val="0"/>
        <w:snapToGrid w:val="0"/>
        <w:spacing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422" w:firstLineChars="201"/>
        <w:rPr>
          <w:rFonts w:ascii="宋体" w:hAnsi="宋体" w:cs="仿宋_GB2312"/>
          <w:sz w:val="21"/>
          <w:szCs w:val="21"/>
        </w:rPr>
      </w:pPr>
    </w:p>
    <w:p>
      <w:pPr>
        <w:autoSpaceDE w:val="0"/>
        <w:autoSpaceDN w:val="0"/>
        <w:adjustRightInd w:val="0"/>
        <w:snapToGrid w:val="0"/>
        <w:spacing w:line="288" w:lineRule="auto"/>
        <w:rPr>
          <w:rFonts w:ascii="宋体" w:hAnsi="宋体" w:cs="仿宋_GB2312"/>
          <w:b/>
          <w:kern w:val="0"/>
          <w:sz w:val="21"/>
          <w:szCs w:val="21"/>
        </w:rPr>
      </w:pPr>
      <w:r>
        <w:rPr>
          <w:rFonts w:hint="eastAsia" w:ascii="宋体" w:hAnsi="宋体" w:cs="仿宋_GB2312"/>
          <w:b/>
          <w:kern w:val="0"/>
          <w:sz w:val="21"/>
          <w:szCs w:val="21"/>
        </w:rPr>
        <w:t>第二阶段</w:t>
      </w:r>
    </w:p>
    <w:p>
      <w:pPr>
        <w:adjustRightInd w:val="0"/>
        <w:snapToGrid w:val="0"/>
        <w:spacing w:line="288" w:lineRule="auto"/>
        <w:ind w:firstLine="424" w:firstLineChars="201"/>
        <w:rPr>
          <w:rFonts w:ascii="宋体" w:hAnsi="宋体" w:cs="仿宋_GB2312"/>
          <w:b/>
          <w:sz w:val="21"/>
          <w:szCs w:val="21"/>
        </w:rPr>
      </w:pPr>
      <w:r>
        <w:rPr>
          <w:rFonts w:hint="eastAsia" w:ascii="宋体" w:hAnsi="宋体" w:cs="仿宋_GB2312"/>
          <w:b/>
          <w:sz w:val="21"/>
          <w:szCs w:val="21"/>
        </w:rPr>
        <w:t>（一）开启报价</w:t>
      </w:r>
    </w:p>
    <w:p>
      <w:pPr>
        <w:pStyle w:val="14"/>
        <w:adjustRightInd w:val="0"/>
        <w:snapToGrid w:val="0"/>
        <w:spacing w:line="288" w:lineRule="auto"/>
        <w:ind w:firstLine="396" w:firstLineChars="200"/>
        <w:rPr>
          <w:rFonts w:hAnsi="宋体"/>
          <w:spacing w:val="-6"/>
          <w:sz w:val="21"/>
          <w:szCs w:val="21"/>
        </w:rPr>
      </w:pPr>
      <w:r>
        <w:rPr>
          <w:rFonts w:hAnsi="宋体"/>
          <w:spacing w:val="-6"/>
          <w:sz w:val="21"/>
          <w:szCs w:val="21"/>
        </w:rPr>
        <w:t>商务和技术评审结束后，</w:t>
      </w:r>
      <w:r>
        <w:rPr>
          <w:rFonts w:hint="eastAsia" w:hAnsi="宋体"/>
          <w:spacing w:val="-6"/>
          <w:sz w:val="21"/>
          <w:szCs w:val="21"/>
        </w:rPr>
        <w:t>宣告</w:t>
      </w:r>
      <w:r>
        <w:rPr>
          <w:rFonts w:hAnsi="宋体"/>
          <w:spacing w:val="-6"/>
          <w:sz w:val="21"/>
          <w:szCs w:val="21"/>
        </w:rPr>
        <w:t>商务和技术评审无效投标人名称及理由，投标人代表可收回未拆封的报价文件并签名确认；公布经商务和技术评审符合采购需求的投标人名单，采用综合评分法的，公布其商务和技术得分情况。</w:t>
      </w:r>
    </w:p>
    <w:p>
      <w:pPr>
        <w:pStyle w:val="14"/>
        <w:adjustRightInd w:val="0"/>
        <w:snapToGrid w:val="0"/>
        <w:spacing w:line="288" w:lineRule="auto"/>
        <w:ind w:firstLine="396" w:firstLineChars="200"/>
        <w:rPr>
          <w:rFonts w:hAnsi="宋体"/>
          <w:spacing w:val="-6"/>
          <w:sz w:val="21"/>
          <w:szCs w:val="21"/>
        </w:rPr>
      </w:pPr>
      <w:r>
        <w:rPr>
          <w:rFonts w:hAnsi="宋体"/>
          <w:spacing w:val="-6"/>
          <w:sz w:val="21"/>
          <w:szCs w:val="21"/>
        </w:rPr>
        <w:t>拆封投标人报价文件，宣读开标一览表有关内容，同时当场制作并打印开标记录表。唱标结束后，由评标委员会对报价</w:t>
      </w:r>
      <w:r>
        <w:rPr>
          <w:rFonts w:hint="eastAsia" w:hAnsi="宋体"/>
          <w:spacing w:val="-6"/>
          <w:sz w:val="21"/>
          <w:szCs w:val="21"/>
        </w:rPr>
        <w:t>进行评审</w:t>
      </w:r>
      <w:r>
        <w:rPr>
          <w:rFonts w:hAnsi="宋体"/>
          <w:spacing w:val="-6"/>
          <w:sz w:val="21"/>
          <w:szCs w:val="21"/>
        </w:rPr>
        <w:t>。</w:t>
      </w:r>
    </w:p>
    <w:p>
      <w:pPr>
        <w:pStyle w:val="14"/>
        <w:adjustRightInd w:val="0"/>
        <w:snapToGrid w:val="0"/>
        <w:spacing w:line="288" w:lineRule="auto"/>
        <w:ind w:firstLine="0"/>
        <w:rPr>
          <w:rFonts w:hAnsi="宋体"/>
          <w:sz w:val="21"/>
          <w:szCs w:val="21"/>
        </w:rPr>
      </w:pPr>
      <w:r>
        <w:rPr>
          <w:rFonts w:hAnsi="宋体"/>
          <w:b/>
          <w:spacing w:val="-6"/>
          <w:sz w:val="21"/>
          <w:szCs w:val="21"/>
        </w:rPr>
        <w:br w:type="page"/>
      </w:r>
    </w:p>
    <w:p>
      <w:pPr>
        <w:pStyle w:val="16"/>
        <w:adjustRightInd w:val="0"/>
        <w:snapToGrid w:val="0"/>
        <w:spacing w:beforeLines="0" w:afterLines="0" w:line="288" w:lineRule="auto"/>
        <w:jc w:val="center"/>
        <w:outlineLvl w:val="1"/>
        <w:rPr>
          <w:rFonts w:hAnsi="宋体"/>
          <w:b/>
          <w:spacing w:val="-6"/>
          <w:sz w:val="21"/>
          <w:szCs w:val="21"/>
        </w:rPr>
      </w:pPr>
      <w:r>
        <w:rPr>
          <w:rFonts w:hint="eastAsia" w:hAnsi="宋体"/>
          <w:b/>
          <w:spacing w:val="-6"/>
          <w:sz w:val="21"/>
          <w:szCs w:val="21"/>
        </w:rPr>
        <w:t>六、评  标</w:t>
      </w:r>
    </w:p>
    <w:p>
      <w:pPr>
        <w:adjustRightInd w:val="0"/>
        <w:snapToGrid w:val="0"/>
        <w:spacing w:line="288" w:lineRule="auto"/>
        <w:ind w:firstLine="420" w:firstLineChars="200"/>
        <w:rPr>
          <w:rFonts w:ascii="宋体" w:hAnsi="宋体" w:cs="宋体"/>
          <w:kern w:val="0"/>
          <w:sz w:val="21"/>
          <w:szCs w:val="21"/>
        </w:rPr>
      </w:pPr>
      <w:bookmarkStart w:id="85" w:name="_Hlk94018958"/>
      <w:r>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cs="宋体"/>
          <w:kern w:val="0"/>
          <w:sz w:val="21"/>
          <w:szCs w:val="21"/>
        </w:rPr>
      </w:pPr>
      <w:r>
        <w:rPr>
          <w:rFonts w:ascii="宋体" w:hAnsi="宋体" w:cs="宋体"/>
          <w:kern w:val="0"/>
          <w:sz w:val="21"/>
          <w:szCs w:val="21"/>
        </w:rPr>
        <w:t>评标中因评标委员会成员缺席、回避或者健康等特殊原因导致评标委员会组成不符合规定的，依法补足后继续评标。被更换的评标委员会成员所作出的评标意见无效。</w:t>
      </w:r>
    </w:p>
    <w:bookmarkEnd w:id="85"/>
    <w:p>
      <w:pPr>
        <w:adjustRightInd w:val="0"/>
        <w:snapToGrid w:val="0"/>
        <w:spacing w:line="288" w:lineRule="auto"/>
        <w:ind w:firstLine="426" w:firstLineChars="202"/>
        <w:rPr>
          <w:rFonts w:ascii="宋体" w:hAnsi="宋体" w:cs="Arial"/>
          <w:b/>
          <w:kern w:val="0"/>
          <w:sz w:val="21"/>
          <w:szCs w:val="21"/>
        </w:rPr>
      </w:pPr>
      <w:bookmarkStart w:id="86" w:name="_Hlk94019000"/>
      <w:r>
        <w:rPr>
          <w:rFonts w:hint="eastAsia" w:ascii="宋体" w:hAnsi="宋体" w:cs="Arial"/>
          <w:b/>
          <w:kern w:val="0"/>
          <w:sz w:val="21"/>
          <w:szCs w:val="21"/>
        </w:rPr>
        <w:t>（一）</w:t>
      </w:r>
      <w:r>
        <w:rPr>
          <w:rFonts w:ascii="宋体" w:hAnsi="宋体" w:cs="Arial"/>
          <w:b/>
          <w:kern w:val="0"/>
          <w:sz w:val="21"/>
          <w:szCs w:val="21"/>
        </w:rPr>
        <w:t>符合性审查</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评标委员会对符合资格的投标人的投标文件进行符合性审查，以确定其是否满足招标文件的实质性要求。</w:t>
      </w:r>
      <w:r>
        <w:rPr>
          <w:rFonts w:hint="eastAsia" w:ascii="宋体" w:hAnsi="宋体" w:cs="Arial"/>
          <w:kern w:val="0"/>
          <w:sz w:val="21"/>
          <w:szCs w:val="21"/>
        </w:rPr>
        <w:t>不</w:t>
      </w:r>
      <w:r>
        <w:rPr>
          <w:rFonts w:ascii="宋体" w:hAnsi="宋体" w:cs="Arial"/>
          <w:kern w:val="0"/>
          <w:sz w:val="21"/>
          <w:szCs w:val="21"/>
        </w:rPr>
        <w:t>满足招标文件的实质性要求</w:t>
      </w:r>
      <w:r>
        <w:rPr>
          <w:rFonts w:hint="eastAsia" w:ascii="宋体" w:hAnsi="宋体" w:cs="Arial"/>
          <w:kern w:val="0"/>
          <w:sz w:val="21"/>
          <w:szCs w:val="21"/>
        </w:rPr>
        <w:t>的，投标无效。</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（二）比较与评价</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（三）</w:t>
      </w:r>
      <w:r>
        <w:rPr>
          <w:rFonts w:ascii="宋体" w:hAnsi="宋体" w:cs="Arial"/>
          <w:b/>
          <w:kern w:val="0"/>
          <w:sz w:val="21"/>
          <w:szCs w:val="21"/>
        </w:rPr>
        <w:t>汇总商务技术得分</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（四）</w:t>
      </w:r>
      <w:r>
        <w:rPr>
          <w:rFonts w:ascii="宋体" w:hAnsi="宋体" w:cs="Arial"/>
          <w:b/>
          <w:kern w:val="0"/>
          <w:sz w:val="21"/>
          <w:szCs w:val="21"/>
        </w:rPr>
        <w:t>报价评审</w:t>
      </w:r>
    </w:p>
    <w:p>
      <w:pPr>
        <w:adjustRightInd w:val="0"/>
        <w:snapToGrid w:val="0"/>
        <w:spacing w:line="288" w:lineRule="auto"/>
        <w:ind w:firstLine="424" w:firstLineChars="202"/>
        <w:rPr>
          <w:rFonts w:ascii="宋体" w:hAnsi="宋体" w:cs="Arial"/>
          <w:bCs/>
          <w:kern w:val="0"/>
          <w:sz w:val="21"/>
          <w:szCs w:val="21"/>
        </w:rPr>
      </w:pPr>
      <w:r>
        <w:rPr>
          <w:rFonts w:ascii="宋体" w:hAnsi="宋体" w:cs="Arial"/>
          <w:bCs/>
          <w:kern w:val="0"/>
          <w:sz w:val="21"/>
          <w:szCs w:val="21"/>
        </w:rPr>
        <w:t>投标文件报价出现前后不一致的，按照下列规定修正：</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adjustRightInd w:val="0"/>
        <w:snapToGrid w:val="0"/>
        <w:spacing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adjustRightInd w:val="0"/>
        <w:snapToGrid w:val="0"/>
        <w:spacing w:line="288" w:lineRule="auto"/>
        <w:ind w:firstLine="424" w:firstLineChars="202"/>
        <w:rPr>
          <w:rFonts w:ascii="宋体" w:hAnsi="宋体" w:cs="仿宋"/>
          <w:kern w:val="0"/>
          <w:sz w:val="21"/>
          <w:szCs w:val="21"/>
        </w:rPr>
      </w:pPr>
      <w:r>
        <w:rPr>
          <w:rFonts w:hint="eastAsia" w:ascii="宋体" w:hAnsi="宋体" w:cs="仿宋"/>
          <w:kern w:val="0"/>
          <w:sz w:val="21"/>
          <w:szCs w:val="21"/>
        </w:rPr>
        <w:t>同时出现两种以上不一致的，按照前款规定的顺序修正。修正后的报价按照财政部第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adjustRightInd w:val="0"/>
        <w:snapToGrid w:val="0"/>
        <w:spacing w:line="288" w:lineRule="auto"/>
        <w:ind w:firstLine="424" w:firstLineChars="202"/>
        <w:rPr>
          <w:rFonts w:ascii="宋体" w:hAnsi="宋体" w:cs="仿宋"/>
          <w:kern w:val="0"/>
          <w:sz w:val="21"/>
          <w:szCs w:val="21"/>
        </w:rPr>
      </w:pPr>
      <w:r>
        <w:rPr>
          <w:rFonts w:hint="eastAsia" w:ascii="宋体" w:hAnsi="宋体" w:cs="仿宋"/>
          <w:kern w:val="0"/>
          <w:sz w:val="21"/>
          <w:szCs w:val="21"/>
        </w:rPr>
        <w:t>投标人收到修正确认文件后，在规定时间内未做出回复的，视为不确认。</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（五）投标人澄清、说明或者补正</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对于投标文件中含义不明确、同类问题表述不一致或者有明显文字和计算错误的内容，评标委员会应当以书面形式要求投标人作出必要的澄清、说明或者补正。</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投标人的澄清、说明或者补正应当采用书面形式，并加盖公章，或者由投标人代表签名。投标人的澄清、说明或者补正不得超出投标文件的范围或者改变投标文件的实质性内容。</w:t>
      </w:r>
    </w:p>
    <w:p>
      <w:pPr>
        <w:adjustRightInd w:val="0"/>
        <w:snapToGrid w:val="0"/>
        <w:spacing w:line="288" w:lineRule="auto"/>
        <w:ind w:firstLine="420" w:firstLineChars="200"/>
        <w:rPr>
          <w:rFonts w:ascii="宋体" w:hAnsi="宋体" w:cs="宋体"/>
          <w:kern w:val="0"/>
          <w:sz w:val="21"/>
          <w:szCs w:val="21"/>
        </w:rPr>
      </w:pPr>
      <w:r>
        <w:rPr>
          <w:rFonts w:hint="eastAsia" w:ascii="宋体" w:hAnsi="宋体" w:cs="宋体"/>
          <w:kern w:val="0"/>
          <w:sz w:val="21"/>
          <w:szCs w:val="21"/>
        </w:rPr>
        <w:t>投标人的书面澄清、说明或者补正可在规定时间内（不少于半小时）通过指定的电子邮箱（zb01@qszb.net</w:t>
      </w:r>
      <w:r>
        <w:rPr>
          <w:rFonts w:ascii="宋体" w:hAnsi="宋体" w:cs="宋体"/>
          <w:kern w:val="0"/>
          <w:sz w:val="21"/>
          <w:szCs w:val="21"/>
        </w:rPr>
        <w:t>）或传真号码（0571-87666116）提交。</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（六）排序与推荐</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评标方法：本项目评标方法是综合评分法，具体评标方法和评标标准详见“第四章：评标方法和评标标准”。</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s="Arial"/>
          <w:kern w:val="0"/>
          <w:sz w:val="21"/>
          <w:szCs w:val="21"/>
        </w:rPr>
        <w:t>。本项目推荐2名中标候选人。</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提供相同品牌产品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确定一个投标人获得中标人推荐资格，其他同品牌投标人不作为中标候选人。</w:t>
      </w:r>
    </w:p>
    <w:p>
      <w:pPr>
        <w:adjustRightInd w:val="0"/>
        <w:snapToGrid w:val="0"/>
        <w:spacing w:line="288" w:lineRule="auto"/>
        <w:ind w:firstLine="424" w:firstLineChars="202"/>
        <w:rPr>
          <w:rFonts w:ascii="宋体" w:hAnsi="宋体" w:cs="Arial"/>
          <w:kern w:val="0"/>
          <w:sz w:val="21"/>
          <w:szCs w:val="21"/>
        </w:rPr>
      </w:pPr>
      <w:r>
        <w:rPr>
          <w:rFonts w:hint="eastAsia" w:ascii="宋体" w:hAnsi="宋体" w:cs="Arial"/>
          <w:kern w:val="0"/>
          <w:sz w:val="21"/>
          <w:szCs w:val="21"/>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cs="Arial"/>
          <w:b/>
          <w:kern w:val="0"/>
          <w:sz w:val="21"/>
          <w:szCs w:val="21"/>
        </w:rPr>
      </w:pPr>
      <w:r>
        <w:rPr>
          <w:rFonts w:hint="eastAsia" w:ascii="宋体" w:hAnsi="宋体" w:cs="Arial"/>
          <w:b/>
          <w:kern w:val="0"/>
          <w:sz w:val="21"/>
          <w:szCs w:val="21"/>
        </w:rPr>
        <w:t>（七）</w:t>
      </w:r>
      <w:r>
        <w:rPr>
          <w:rFonts w:ascii="宋体" w:hAnsi="宋体" w:cs="Arial"/>
          <w:b/>
          <w:kern w:val="0"/>
          <w:sz w:val="21"/>
          <w:szCs w:val="21"/>
        </w:rPr>
        <w:t>编写评标报告</w:t>
      </w:r>
    </w:p>
    <w:p>
      <w:pPr>
        <w:adjustRightInd w:val="0"/>
        <w:snapToGrid w:val="0"/>
        <w:spacing w:line="288" w:lineRule="auto"/>
        <w:ind w:firstLine="424" w:firstLineChars="202"/>
        <w:rPr>
          <w:rFonts w:ascii="宋体" w:hAnsi="宋体" w:cs="Arial"/>
          <w:kern w:val="0"/>
          <w:sz w:val="21"/>
          <w:szCs w:val="21"/>
        </w:rPr>
      </w:pPr>
      <w:r>
        <w:rPr>
          <w:rFonts w:ascii="宋体" w:hAnsi="宋体" w:cs="Arial"/>
          <w:kern w:val="0"/>
          <w:sz w:val="21"/>
          <w:szCs w:val="21"/>
        </w:rPr>
        <w:t>评标委员会根据全体评标成员签名的原始评标记录和评标结果编写评标报告。</w:t>
      </w:r>
      <w:r>
        <w:rPr>
          <w:rFonts w:hint="eastAsia" w:ascii="宋体" w:hAnsi="宋体" w:cs="Arial"/>
          <w:kern w:val="0"/>
          <w:sz w:val="21"/>
          <w:szCs w:val="21"/>
        </w:rPr>
        <w:t>评标委员会成员对需要共同认定的事项存在争议的，应当按照少数服从多数的原则作出结论。持不同意见的评标委员会成员应当在评标报告上签署不同意见及理由，否则视为同意评标报告。本项目评审内容均由评标委员会复核。</w:t>
      </w:r>
    </w:p>
    <w:bookmarkEnd w:id="86"/>
    <w:p>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七、中标与合同</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（一）中标</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1.采购代理机构应当在评标结束后</w:t>
      </w:r>
      <w:r>
        <w:rPr>
          <w:rFonts w:ascii="宋体" w:hAnsi="宋体"/>
          <w:spacing w:val="-6"/>
          <w:sz w:val="21"/>
          <w:szCs w:val="21"/>
        </w:rPr>
        <w:t>2个工作日内将评标报告送采购人。</w:t>
      </w:r>
      <w:r>
        <w:rPr>
          <w:rFonts w:hint="eastAsia" w:ascii="宋体" w:hAnsi="宋体"/>
          <w:spacing w:val="-6"/>
          <w:sz w:val="21"/>
          <w:szCs w:val="21"/>
        </w:rPr>
        <w:t>采购人应当自收到评标报告之日起</w:t>
      </w:r>
      <w:r>
        <w:rPr>
          <w:rFonts w:ascii="宋体" w:hAnsi="宋体"/>
          <w:spacing w:val="-6"/>
          <w:sz w:val="21"/>
          <w:szCs w:val="21"/>
        </w:rPr>
        <w:t>5个工作日内，在评标报告确定的中标候选人名单中按顺序确定中标人</w:t>
      </w:r>
      <w:r>
        <w:rPr>
          <w:rFonts w:hint="eastAsia" w:ascii="宋体" w:hAnsi="宋体"/>
          <w:spacing w:val="-6"/>
          <w:sz w:val="21"/>
          <w:szCs w:val="21"/>
        </w:rPr>
        <w:t>，也可以书面授权评标委员会直接确定中标人。</w:t>
      </w:r>
      <w:r>
        <w:rPr>
          <w:rFonts w:ascii="宋体" w:hAnsi="宋体"/>
          <w:spacing w:val="-6"/>
          <w:sz w:val="21"/>
          <w:szCs w:val="21"/>
        </w:rPr>
        <w:t>中标候选人并列的，由采购人确定中标人。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2.采购代理机构自中标人确定之日起</w:t>
      </w:r>
      <w:r>
        <w:rPr>
          <w:rFonts w:ascii="宋体" w:hAnsi="宋体"/>
          <w:spacing w:val="-6"/>
          <w:sz w:val="21"/>
          <w:szCs w:val="21"/>
        </w:rPr>
        <w:t>2</w:t>
      </w:r>
      <w:r>
        <w:rPr>
          <w:rFonts w:hint="eastAsia" w:ascii="宋体" w:hAnsi="宋体"/>
          <w:spacing w:val="-6"/>
          <w:sz w:val="21"/>
          <w:szCs w:val="21"/>
        </w:rPr>
        <w:t>个工作日内，公告中标结果，并发出中标通知书。招标文件随中标结果同时公告。</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z w:val="21"/>
          <w:szCs w:val="21"/>
        </w:rPr>
        <w:t>评标结果公示媒体：浙江政府采购网（http://zfcg.czt.zj.gov.cn）。</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（二）合同</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2.中标后无正当理由拒不与采购人签订采购合同，将被取消中标资格。</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jc w:val="center"/>
        <w:outlineLvl w:val="1"/>
        <w:rPr>
          <w:rFonts w:ascii="宋体" w:hAnsi="宋体"/>
          <w:b/>
          <w:spacing w:val="-6"/>
          <w:sz w:val="21"/>
          <w:szCs w:val="21"/>
        </w:rPr>
      </w:pPr>
      <w:r>
        <w:rPr>
          <w:rFonts w:hint="eastAsia" w:ascii="宋体" w:hAnsi="宋体"/>
          <w:b/>
          <w:spacing w:val="-6"/>
          <w:sz w:val="21"/>
          <w:szCs w:val="21"/>
        </w:rPr>
        <w:t>八、</w:t>
      </w:r>
      <w:r>
        <w:rPr>
          <w:rFonts w:ascii="宋体" w:hAnsi="宋体"/>
          <w:b/>
          <w:spacing w:val="-6"/>
          <w:sz w:val="21"/>
          <w:szCs w:val="21"/>
        </w:rPr>
        <w:t>验</w:t>
      </w:r>
      <w:r>
        <w:rPr>
          <w:rFonts w:hint="eastAsia" w:ascii="宋体" w:hAnsi="宋体"/>
          <w:b/>
          <w:spacing w:val="-6"/>
          <w:sz w:val="21"/>
          <w:szCs w:val="21"/>
        </w:rPr>
        <w:t xml:space="preserve"> </w:t>
      </w:r>
      <w:r>
        <w:rPr>
          <w:rFonts w:ascii="宋体" w:hAnsi="宋体"/>
          <w:b/>
          <w:spacing w:val="-6"/>
          <w:sz w:val="21"/>
          <w:szCs w:val="21"/>
        </w:rPr>
        <w:t xml:space="preserve"> 收</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采购人可以邀请参加本项目的其他投标人或者第三方机构参与验收。参与验收的投标人或者第三方机构的意见作为</w:t>
      </w:r>
      <w:r>
        <w:rPr>
          <w:rFonts w:hint="eastAsia" w:ascii="宋体" w:hAnsi="宋体" w:cs="Helvetica"/>
          <w:kern w:val="0"/>
          <w:sz w:val="21"/>
          <w:szCs w:val="21"/>
        </w:rPr>
        <w:t>验收书的参考资料一并存档。</w:t>
      </w:r>
    </w:p>
    <w:p>
      <w:pPr>
        <w:tabs>
          <w:tab w:val="left" w:pos="0"/>
        </w:tabs>
        <w:adjustRightInd w:val="0"/>
        <w:snapToGrid w:val="0"/>
        <w:spacing w:line="288" w:lineRule="auto"/>
        <w:ind w:firstLine="422" w:firstLineChars="201"/>
        <w:rPr>
          <w:rFonts w:ascii="宋体" w:hAnsi="宋体" w:cs="Helvetica"/>
          <w:kern w:val="0"/>
          <w:sz w:val="21"/>
          <w:szCs w:val="21"/>
        </w:rPr>
      </w:pPr>
      <w:r>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b/>
          <w:spacing w:val="-6"/>
          <w:sz w:val="21"/>
          <w:szCs w:val="21"/>
        </w:rPr>
      </w:pPr>
      <w:r>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ind w:firstLine="425" w:firstLineChars="214"/>
        <w:jc w:val="center"/>
        <w:outlineLvl w:val="0"/>
        <w:rPr>
          <w:rFonts w:ascii="宋体" w:hAnsi="宋体"/>
          <w:b/>
          <w:spacing w:val="-6"/>
          <w:sz w:val="32"/>
          <w:szCs w:val="32"/>
        </w:rPr>
      </w:pPr>
      <w:r>
        <w:rPr>
          <w:rFonts w:ascii="宋体" w:hAnsi="宋体"/>
          <w:b/>
          <w:bCs/>
          <w:spacing w:val="-6"/>
          <w:sz w:val="21"/>
          <w:szCs w:val="21"/>
        </w:rPr>
        <w:br w:type="page"/>
      </w:r>
      <w:r>
        <w:rPr>
          <w:rFonts w:hint="eastAsia" w:ascii="宋体" w:hAnsi="宋体"/>
          <w:b/>
          <w:spacing w:val="-6"/>
          <w:sz w:val="32"/>
          <w:szCs w:val="32"/>
        </w:rPr>
        <w:t>第四章  评标方法和评标标准</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一、评标方法</w:t>
      </w:r>
    </w:p>
    <w:p>
      <w:pPr>
        <w:adjustRightInd w:val="0"/>
        <w:snapToGrid w:val="0"/>
        <w:spacing w:line="288" w:lineRule="auto"/>
        <w:ind w:firstLine="396" w:firstLineChars="200"/>
        <w:rPr>
          <w:rFonts w:ascii="宋体" w:hAnsi="宋体"/>
          <w:bCs/>
          <w:spacing w:val="-6"/>
          <w:sz w:val="21"/>
          <w:szCs w:val="21"/>
        </w:rPr>
      </w:pPr>
      <w:r>
        <w:rPr>
          <w:rFonts w:hint="eastAsia" w:ascii="宋体" w:hAnsi="宋体"/>
          <w:bCs/>
          <w:spacing w:val="-6"/>
          <w:sz w:val="21"/>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bCs/>
          <w:spacing w:val="-6"/>
          <w:sz w:val="21"/>
          <w:szCs w:val="21"/>
        </w:rPr>
      </w:pPr>
      <w:r>
        <w:rPr>
          <w:rFonts w:hint="eastAsia" w:ascii="宋体" w:hAnsi="宋体"/>
          <w:spacing w:val="-6"/>
          <w:sz w:val="21"/>
          <w:szCs w:val="21"/>
        </w:rPr>
        <w:t>投标人评标</w:t>
      </w:r>
      <w:r>
        <w:rPr>
          <w:rFonts w:hint="eastAsia" w:ascii="宋体" w:hAnsi="宋体"/>
          <w:bCs/>
          <w:spacing w:val="-6"/>
          <w:sz w:val="21"/>
          <w:szCs w:val="21"/>
        </w:rPr>
        <w:t>综合得分=商务分+技术分+价格分</w:t>
      </w:r>
    </w:p>
    <w:p>
      <w:pPr>
        <w:adjustRightInd w:val="0"/>
        <w:snapToGrid w:val="0"/>
        <w:spacing w:line="288" w:lineRule="auto"/>
        <w:ind w:firstLine="396" w:firstLineChars="200"/>
        <w:rPr>
          <w:rFonts w:ascii="宋体" w:hAnsi="宋体"/>
          <w:spacing w:val="-6"/>
          <w:sz w:val="21"/>
          <w:szCs w:val="21"/>
        </w:rPr>
      </w:pPr>
      <w:r>
        <w:rPr>
          <w:rFonts w:hint="eastAsia" w:ascii="宋体" w:hAnsi="宋体"/>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hint="eastAsia" w:ascii="宋体" w:hAnsi="宋体"/>
          <w:bCs/>
          <w:spacing w:val="-6"/>
          <w:sz w:val="21"/>
          <w:szCs w:val="21"/>
        </w:rPr>
        <w:t>技术分=评标委员会所有成员评分合计数</w:t>
      </w:r>
      <w:r>
        <w:rPr>
          <w:rFonts w:ascii="宋体" w:hAnsi="宋体"/>
          <w:bCs/>
          <w:spacing w:val="-6"/>
          <w:sz w:val="21"/>
          <w:szCs w:val="21"/>
        </w:rPr>
        <w:t>/</w:t>
      </w:r>
      <w:r>
        <w:rPr>
          <w:rFonts w:hint="eastAsia" w:ascii="宋体" w:hAnsi="宋体"/>
          <w:bCs/>
          <w:spacing w:val="-6"/>
          <w:sz w:val="21"/>
          <w:szCs w:val="21"/>
        </w:rPr>
        <w:t>评标委员会组成人员数</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二、评标标准</w:t>
      </w:r>
    </w:p>
    <w:tbl>
      <w:tblPr>
        <w:tblStyle w:val="2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767" w:type="dxa"/>
            <w:vAlign w:val="center"/>
          </w:tcPr>
          <w:p>
            <w:pPr>
              <w:adjustRightInd w:val="0"/>
              <w:snapToGrid w:val="0"/>
              <w:spacing w:line="288" w:lineRule="auto"/>
              <w:jc w:val="center"/>
              <w:rPr>
                <w:rFonts w:ascii="宋体" w:hAnsi="宋体"/>
                <w:b/>
                <w:bCs/>
                <w:sz w:val="21"/>
                <w:szCs w:val="21"/>
              </w:rPr>
            </w:pPr>
            <w:bookmarkStart w:id="87" w:name="_Hlk45091761"/>
            <w:r>
              <w:rPr>
                <w:rFonts w:hint="eastAsia" w:ascii="宋体" w:hAnsi="宋体"/>
                <w:b/>
                <w:bCs/>
                <w:sz w:val="21"/>
                <w:szCs w:val="21"/>
              </w:rPr>
              <w:t>评审因素</w:t>
            </w:r>
          </w:p>
        </w:tc>
        <w:tc>
          <w:tcPr>
            <w:tcW w:w="654" w:type="dxa"/>
            <w:vAlign w:val="center"/>
          </w:tcPr>
          <w:p>
            <w:pPr>
              <w:adjustRightInd w:val="0"/>
              <w:snapToGrid w:val="0"/>
              <w:spacing w:line="288" w:lineRule="auto"/>
              <w:jc w:val="center"/>
              <w:rPr>
                <w:rFonts w:ascii="宋体" w:hAnsi="宋体"/>
                <w:b/>
                <w:bCs/>
                <w:sz w:val="21"/>
                <w:szCs w:val="21"/>
              </w:rPr>
            </w:pPr>
            <w:r>
              <w:rPr>
                <w:rFonts w:hint="eastAsia" w:ascii="宋体" w:hAnsi="宋体"/>
                <w:b/>
                <w:bCs/>
                <w:sz w:val="21"/>
                <w:szCs w:val="21"/>
              </w:rPr>
              <w:t>分值</w:t>
            </w:r>
          </w:p>
        </w:tc>
        <w:tc>
          <w:tcPr>
            <w:tcW w:w="7213" w:type="dxa"/>
            <w:vAlign w:val="center"/>
          </w:tcPr>
          <w:p>
            <w:pPr>
              <w:adjustRightInd w:val="0"/>
              <w:snapToGrid w:val="0"/>
              <w:spacing w:line="288" w:lineRule="auto"/>
              <w:jc w:val="center"/>
              <w:rPr>
                <w:rFonts w:ascii="宋体" w:hAnsi="宋体"/>
                <w:b/>
                <w:bCs/>
                <w:sz w:val="21"/>
                <w:szCs w:val="21"/>
              </w:rPr>
            </w:pPr>
            <w:r>
              <w:rPr>
                <w:rFonts w:ascii="宋体" w:hAnsi="宋体"/>
                <w:b/>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4" w:type="dxa"/>
            <w:gridSpan w:val="3"/>
            <w:vAlign w:val="center"/>
          </w:tcPr>
          <w:p>
            <w:pPr>
              <w:adjustRightInd w:val="0"/>
              <w:snapToGrid w:val="0"/>
              <w:spacing w:line="288" w:lineRule="auto"/>
              <w:jc w:val="left"/>
              <w:rPr>
                <w:rFonts w:ascii="宋体" w:hAnsi="宋体"/>
                <w:b/>
                <w:bCs/>
                <w:sz w:val="21"/>
                <w:szCs w:val="21"/>
              </w:rPr>
            </w:pPr>
            <w:r>
              <w:rPr>
                <w:rFonts w:ascii="宋体" w:hAnsi="宋体"/>
                <w:b/>
                <w:bCs/>
                <w:sz w:val="21"/>
                <w:szCs w:val="21"/>
              </w:rPr>
              <w:t>价格</w:t>
            </w:r>
            <w:r>
              <w:rPr>
                <w:rFonts w:hint="eastAsia" w:ascii="宋体" w:hAnsi="宋体"/>
                <w:b/>
                <w:bCs/>
                <w:sz w:val="21"/>
                <w:szCs w:val="21"/>
              </w:rPr>
              <w:t>分（1</w:t>
            </w:r>
            <w:r>
              <w:rPr>
                <w:rFonts w:ascii="宋体" w:hAnsi="宋体"/>
                <w:b/>
                <w:bCs/>
                <w:sz w:val="21"/>
                <w:szCs w:val="21"/>
              </w:rPr>
              <w:t>0</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10</w:t>
            </w:r>
          </w:p>
        </w:tc>
        <w:tc>
          <w:tcPr>
            <w:tcW w:w="7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cs="宋体"/>
                <w:sz w:val="21"/>
                <w:szCs w:val="21"/>
              </w:rPr>
            </w:pPr>
            <w:r>
              <w:rPr>
                <w:rFonts w:hint="eastAsia" w:ascii="宋体" w:hAnsi="宋体" w:cs="宋体"/>
                <w:sz w:val="21"/>
                <w:szCs w:val="21"/>
              </w:rPr>
              <w:t>价格分=（评标基准价/投标报价）×10%×100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634" w:type="dxa"/>
            <w:gridSpan w:val="3"/>
            <w:vAlign w:val="center"/>
          </w:tcPr>
          <w:p>
            <w:pPr>
              <w:adjustRightInd w:val="0"/>
              <w:snapToGrid w:val="0"/>
              <w:spacing w:line="288" w:lineRule="auto"/>
              <w:jc w:val="left"/>
              <w:rPr>
                <w:rFonts w:ascii="宋体" w:hAnsi="宋体"/>
                <w:b/>
                <w:bCs/>
                <w:sz w:val="21"/>
                <w:szCs w:val="21"/>
              </w:rPr>
            </w:pPr>
            <w:r>
              <w:rPr>
                <w:rFonts w:ascii="宋体" w:hAnsi="宋体"/>
                <w:b/>
                <w:bCs/>
                <w:sz w:val="21"/>
                <w:szCs w:val="21"/>
              </w:rPr>
              <w:t>商务分</w:t>
            </w:r>
            <w:r>
              <w:rPr>
                <w:rFonts w:hint="eastAsia" w:ascii="宋体" w:hAnsi="宋体"/>
                <w:b/>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业绩</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1</w:t>
            </w:r>
          </w:p>
        </w:tc>
        <w:tc>
          <w:tcPr>
            <w:tcW w:w="7213" w:type="dxa"/>
            <w:vAlign w:val="center"/>
          </w:tcPr>
          <w:p>
            <w:pPr>
              <w:adjustRightInd w:val="0"/>
              <w:snapToGrid w:val="0"/>
              <w:spacing w:line="288" w:lineRule="auto"/>
              <w:rPr>
                <w:rFonts w:ascii="宋体" w:hAnsi="宋体" w:cs="宋体"/>
                <w:sz w:val="21"/>
                <w:szCs w:val="21"/>
              </w:rPr>
            </w:pPr>
            <w:r>
              <w:rPr>
                <w:rFonts w:hint="eastAsia"/>
                <w:kern w:val="0"/>
                <w:sz w:val="21"/>
                <w:szCs w:val="21"/>
              </w:rPr>
              <w:t>【客观分】</w:t>
            </w:r>
            <w:r>
              <w:rPr>
                <w:rFonts w:hint="eastAsia" w:ascii="宋体" w:hAnsi="宋体" w:cs="宋体"/>
                <w:sz w:val="21"/>
                <w:szCs w:val="21"/>
              </w:rPr>
              <w:t>投标人自2021年1月1日以来（以合同签订时间为准）同类合同业绩（以提供的合同复印件为准）：每提供1份合同业绩得0.5分，最高得1分。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634" w:type="dxa"/>
            <w:gridSpan w:val="3"/>
            <w:vAlign w:val="center"/>
          </w:tcPr>
          <w:p>
            <w:pPr>
              <w:adjustRightInd w:val="0"/>
              <w:snapToGrid w:val="0"/>
              <w:spacing w:line="288" w:lineRule="auto"/>
              <w:jc w:val="left"/>
              <w:rPr>
                <w:rFonts w:ascii="宋体" w:hAnsi="宋体"/>
                <w:b/>
                <w:bCs/>
                <w:sz w:val="21"/>
                <w:szCs w:val="21"/>
              </w:rPr>
            </w:pPr>
            <w:r>
              <w:rPr>
                <w:rFonts w:hint="eastAsia" w:ascii="宋体" w:hAnsi="宋体"/>
                <w:b/>
                <w:bCs/>
                <w:sz w:val="21"/>
                <w:szCs w:val="21"/>
              </w:rPr>
              <w:t>技术</w:t>
            </w:r>
            <w:r>
              <w:rPr>
                <w:rFonts w:ascii="宋体" w:hAnsi="宋体"/>
                <w:b/>
                <w:bCs/>
                <w:sz w:val="21"/>
                <w:szCs w:val="21"/>
              </w:rPr>
              <w:t>分</w:t>
            </w:r>
            <w:r>
              <w:rPr>
                <w:rFonts w:hint="eastAsia" w:ascii="宋体" w:hAnsi="宋体"/>
                <w:b/>
                <w:bCs/>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响应程度</w:t>
            </w:r>
          </w:p>
        </w:tc>
        <w:tc>
          <w:tcPr>
            <w:tcW w:w="654" w:type="dxa"/>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24</w:t>
            </w:r>
          </w:p>
        </w:tc>
        <w:tc>
          <w:tcPr>
            <w:tcW w:w="7213" w:type="dxa"/>
            <w:vAlign w:val="center"/>
          </w:tcPr>
          <w:p>
            <w:pPr>
              <w:adjustRightInd w:val="0"/>
              <w:snapToGrid w:val="0"/>
              <w:spacing w:line="288" w:lineRule="auto"/>
              <w:rPr>
                <w:kern w:val="0"/>
                <w:sz w:val="21"/>
                <w:szCs w:val="21"/>
              </w:rPr>
            </w:pPr>
            <w:r>
              <w:rPr>
                <w:rFonts w:hint="eastAsia"/>
                <w:kern w:val="0"/>
                <w:sz w:val="21"/>
                <w:szCs w:val="21"/>
              </w:rPr>
              <w:t>【客观分】</w:t>
            </w:r>
          </w:p>
          <w:p>
            <w:pPr>
              <w:adjustRightInd w:val="0"/>
              <w:snapToGrid w:val="0"/>
              <w:spacing w:line="288" w:lineRule="auto"/>
              <w:rPr>
                <w:rFonts w:ascii="宋体" w:hAnsi="宋体" w:cs="宋体"/>
                <w:sz w:val="21"/>
                <w:szCs w:val="21"/>
              </w:rPr>
            </w:pPr>
            <w:r>
              <w:rPr>
                <w:rFonts w:hint="eastAsia" w:ascii="宋体" w:hAnsi="宋体" w:cs="宋体"/>
                <w:sz w:val="21"/>
                <w:szCs w:val="21"/>
              </w:rPr>
              <w:t>不符合（负偏离）技术要求中标注“▲”条款（不可偏离）的投标无效；</w:t>
            </w:r>
          </w:p>
          <w:p>
            <w:pPr>
              <w:adjustRightInd w:val="0"/>
              <w:snapToGrid w:val="0"/>
              <w:spacing w:line="288" w:lineRule="auto"/>
              <w:rPr>
                <w:rFonts w:ascii="宋体" w:hAnsi="宋体" w:cs="宋体"/>
                <w:sz w:val="21"/>
                <w:szCs w:val="21"/>
              </w:rPr>
            </w:pPr>
            <w:r>
              <w:rPr>
                <w:rFonts w:hint="eastAsia" w:ascii="宋体" w:hAnsi="宋体" w:cs="宋体"/>
                <w:sz w:val="21"/>
                <w:szCs w:val="21"/>
              </w:rPr>
              <w:t>满足招标文件明确的全部服务条款要求的该项得满分；</w:t>
            </w:r>
          </w:p>
          <w:p>
            <w:pPr>
              <w:adjustRightInd w:val="0"/>
              <w:snapToGrid w:val="0"/>
              <w:spacing w:line="288" w:lineRule="auto"/>
              <w:rPr>
                <w:rFonts w:ascii="宋体" w:hAnsi="宋体" w:cs="宋体"/>
                <w:sz w:val="21"/>
                <w:szCs w:val="21"/>
              </w:rPr>
            </w:pPr>
            <w:r>
              <w:rPr>
                <w:rFonts w:hint="eastAsia" w:ascii="宋体" w:hAnsi="宋体" w:cs="宋体"/>
                <w:sz w:val="21"/>
                <w:szCs w:val="21"/>
              </w:rPr>
              <w:t>服务条款低于服务要求（负偏离）的每项扣2分；</w:t>
            </w:r>
          </w:p>
          <w:p>
            <w:pPr>
              <w:adjustRightInd w:val="0"/>
              <w:snapToGrid w:val="0"/>
              <w:spacing w:line="288" w:lineRule="auto"/>
              <w:rPr>
                <w:rFonts w:ascii="宋体" w:hAnsi="宋体" w:cs="宋体"/>
                <w:sz w:val="21"/>
                <w:szCs w:val="21"/>
              </w:rPr>
            </w:pPr>
            <w:r>
              <w:rPr>
                <w:rFonts w:hint="eastAsia" w:ascii="宋体" w:hAnsi="宋体" w:cs="宋体"/>
                <w:sz w:val="21"/>
                <w:szCs w:val="21"/>
              </w:rPr>
              <w:t>负偏离12项及以上的，视为采购人不能接受的附加条件。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67" w:type="dxa"/>
            <w:vMerge w:val="restart"/>
            <w:vAlign w:val="center"/>
          </w:tcPr>
          <w:p>
            <w:pPr>
              <w:spacing w:line="288" w:lineRule="auto"/>
              <w:jc w:val="center"/>
              <w:rPr>
                <w:rFonts w:ascii="宋体" w:hAnsi="宋体"/>
                <w:b/>
                <w:bCs/>
                <w:sz w:val="21"/>
                <w:szCs w:val="21"/>
              </w:rPr>
            </w:pPr>
            <w:r>
              <w:rPr>
                <w:rFonts w:hint="eastAsia" w:ascii="宋体" w:hAnsi="宋体"/>
                <w:b/>
                <w:bCs/>
                <w:spacing w:val="-6"/>
                <w:sz w:val="21"/>
                <w:szCs w:val="21"/>
              </w:rPr>
              <w:t>实施方案</w:t>
            </w:r>
          </w:p>
        </w:tc>
        <w:tc>
          <w:tcPr>
            <w:tcW w:w="654" w:type="dxa"/>
            <w:vAlign w:val="center"/>
          </w:tcPr>
          <w:p>
            <w:pPr>
              <w:adjustRightInd w:val="0"/>
              <w:snapToGrid w:val="0"/>
              <w:spacing w:line="288" w:lineRule="auto"/>
              <w:jc w:val="center"/>
              <w:rPr>
                <w:rFonts w:ascii="宋体" w:hAnsi="宋体" w:cs="宋体"/>
                <w:b/>
                <w:spacing w:val="-6"/>
                <w:sz w:val="21"/>
                <w:szCs w:val="21"/>
              </w:rPr>
            </w:pPr>
            <w:r>
              <w:rPr>
                <w:rFonts w:hint="eastAsia" w:ascii="宋体" w:hAnsi="宋体" w:cs="宋体"/>
                <w:b/>
                <w:sz w:val="21"/>
                <w:szCs w:val="21"/>
              </w:rPr>
              <w:t>5</w:t>
            </w:r>
          </w:p>
        </w:tc>
        <w:tc>
          <w:tcPr>
            <w:tcW w:w="7213" w:type="dxa"/>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z w:val="21"/>
                <w:szCs w:val="21"/>
              </w:rPr>
            </w:pPr>
            <w:r>
              <w:rPr>
                <w:rFonts w:hint="eastAsia" w:ascii="宋体" w:hAnsi="宋体" w:cs="宋体"/>
                <w:sz w:val="21"/>
                <w:szCs w:val="21"/>
              </w:rPr>
              <w:t>投标人物业服务总体实施方案情况</w:t>
            </w:r>
            <w:r>
              <w:rPr>
                <w:rFonts w:hint="eastAsia" w:ascii="宋体" w:hAnsi="宋体" w:cs="宋体"/>
                <w:kern w:val="0"/>
                <w:sz w:val="21"/>
                <w:szCs w:val="21"/>
              </w:rPr>
              <w:t>进行综合打分（评分标准5,4,3</w:t>
            </w:r>
            <w:r>
              <w:rPr>
                <w:rFonts w:hint="eastAsia" w:ascii="宋体" w:hAnsi="宋体" w:cs="宋体"/>
                <w:kern w:val="0"/>
                <w:sz w:val="21"/>
                <w:szCs w:val="21"/>
                <w:lang w:val="en-US" w:eastAsia="zh-CN"/>
              </w:rPr>
              <w:t>,</w:t>
            </w:r>
            <w:r>
              <w:rPr>
                <w:rFonts w:hint="eastAsia" w:ascii="宋体" w:hAnsi="宋体" w:cs="宋体"/>
                <w:kern w:val="0"/>
                <w:sz w:val="21"/>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spacing w:line="288" w:lineRule="auto"/>
              <w:jc w:val="center"/>
              <w:rPr>
                <w:rFonts w:ascii="宋体" w:hAnsi="宋体"/>
                <w:b/>
                <w:bCs/>
                <w:sz w:val="21"/>
                <w:szCs w:val="21"/>
              </w:rPr>
            </w:pPr>
          </w:p>
        </w:tc>
        <w:tc>
          <w:tcPr>
            <w:tcW w:w="654" w:type="dxa"/>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5</w:t>
            </w:r>
          </w:p>
        </w:tc>
        <w:tc>
          <w:tcPr>
            <w:tcW w:w="7213" w:type="dxa"/>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sz w:val="21"/>
                <w:szCs w:val="21"/>
              </w:rPr>
            </w:pPr>
            <w:r>
              <w:rPr>
                <w:rFonts w:hint="eastAsia" w:ascii="宋体" w:hAnsi="宋体" w:cs="宋体"/>
                <w:sz w:val="21"/>
                <w:szCs w:val="21"/>
              </w:rPr>
              <w:t>绿化养护岗位工作实施方案情况</w:t>
            </w:r>
            <w:r>
              <w:rPr>
                <w:rFonts w:hint="eastAsia" w:ascii="宋体" w:hAnsi="宋体" w:cs="宋体"/>
                <w:kern w:val="0"/>
                <w:sz w:val="21"/>
                <w:szCs w:val="21"/>
              </w:rPr>
              <w:t>进行综合打分（评分标准5,4,3,2,1,0）。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vAlign w:val="center"/>
          </w:tcPr>
          <w:p>
            <w:pPr>
              <w:spacing w:line="288" w:lineRule="auto"/>
              <w:jc w:val="center"/>
              <w:rPr>
                <w:rFonts w:ascii="宋体" w:hAnsi="宋体"/>
                <w:b/>
                <w:bCs/>
                <w:sz w:val="21"/>
                <w:szCs w:val="21"/>
              </w:rPr>
            </w:pPr>
          </w:p>
        </w:tc>
        <w:tc>
          <w:tcPr>
            <w:tcW w:w="654" w:type="dxa"/>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sz w:val="21"/>
                <w:szCs w:val="21"/>
              </w:rPr>
              <w:t>5</w:t>
            </w:r>
          </w:p>
        </w:tc>
        <w:tc>
          <w:tcPr>
            <w:tcW w:w="7213" w:type="dxa"/>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pacing w:val="-6"/>
                <w:sz w:val="21"/>
                <w:szCs w:val="21"/>
              </w:rPr>
            </w:pPr>
            <w:r>
              <w:rPr>
                <w:rFonts w:hint="eastAsia" w:ascii="宋体" w:hAnsi="宋体" w:cs="宋体"/>
                <w:sz w:val="21"/>
                <w:szCs w:val="21"/>
              </w:rPr>
              <w:t>门岗服务岗位工作实施方案情况</w:t>
            </w:r>
            <w:r>
              <w:rPr>
                <w:rFonts w:hint="eastAsia" w:ascii="宋体" w:hAnsi="宋体" w:cs="宋体"/>
                <w:kern w:val="0"/>
                <w:sz w:val="21"/>
                <w:szCs w:val="21"/>
              </w:rPr>
              <w:t>进行综合打分（评分标准5,4,3,2,1,0）。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67" w:type="dxa"/>
            <w:vMerge w:val="continue"/>
            <w:vAlign w:val="center"/>
          </w:tcPr>
          <w:p>
            <w:pPr>
              <w:spacing w:line="288" w:lineRule="auto"/>
              <w:jc w:val="center"/>
              <w:rPr>
                <w:rFonts w:ascii="宋体" w:hAnsi="宋体"/>
                <w:b/>
                <w:bCs/>
                <w:sz w:val="21"/>
                <w:szCs w:val="21"/>
              </w:rPr>
            </w:pPr>
          </w:p>
        </w:tc>
        <w:tc>
          <w:tcPr>
            <w:tcW w:w="654" w:type="dxa"/>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sz w:val="21"/>
                <w:szCs w:val="21"/>
              </w:rPr>
              <w:t>5</w:t>
            </w:r>
          </w:p>
        </w:tc>
        <w:tc>
          <w:tcPr>
            <w:tcW w:w="7213" w:type="dxa"/>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pacing w:val="-6"/>
                <w:sz w:val="21"/>
                <w:szCs w:val="21"/>
              </w:rPr>
            </w:pPr>
            <w:r>
              <w:rPr>
                <w:rFonts w:hint="eastAsia" w:ascii="宋体" w:hAnsi="宋体" w:cs="宋体"/>
                <w:sz w:val="21"/>
                <w:szCs w:val="21"/>
              </w:rPr>
              <w:t>保洁服务岗位工作实施方案情况</w:t>
            </w:r>
            <w:r>
              <w:rPr>
                <w:rFonts w:hint="eastAsia" w:ascii="宋体" w:hAnsi="宋体" w:cs="宋体"/>
                <w:kern w:val="0"/>
                <w:sz w:val="21"/>
                <w:szCs w:val="21"/>
              </w:rPr>
              <w:t>进行综合打分（评分标准5,4,3,2,1,0）。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67" w:type="dxa"/>
            <w:vMerge w:val="continue"/>
            <w:vAlign w:val="center"/>
          </w:tcPr>
          <w:p>
            <w:pPr>
              <w:spacing w:line="288" w:lineRule="auto"/>
              <w:jc w:val="center"/>
              <w:rPr>
                <w:rFonts w:ascii="宋体" w:hAnsi="宋体"/>
                <w:b/>
                <w:bCs/>
                <w:sz w:val="21"/>
                <w:szCs w:val="21"/>
              </w:rPr>
            </w:pPr>
          </w:p>
        </w:tc>
        <w:tc>
          <w:tcPr>
            <w:tcW w:w="654" w:type="dxa"/>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5</w:t>
            </w:r>
          </w:p>
        </w:tc>
        <w:tc>
          <w:tcPr>
            <w:tcW w:w="7213" w:type="dxa"/>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pacing w:val="-6"/>
                <w:sz w:val="21"/>
                <w:szCs w:val="21"/>
              </w:rPr>
            </w:pPr>
            <w:r>
              <w:rPr>
                <w:rFonts w:hint="eastAsia" w:ascii="宋体" w:hAnsi="宋体" w:cs="宋体"/>
                <w:color w:val="000000" w:themeColor="text1"/>
                <w:sz w:val="21"/>
                <w:szCs w:val="21"/>
                <w14:textFill>
                  <w14:solidFill>
                    <w14:schemeClr w14:val="tx1"/>
                  </w14:solidFill>
                </w14:textFill>
              </w:rPr>
              <w:t>有物业管理信息化的能力</w:t>
            </w:r>
            <w:r>
              <w:rPr>
                <w:rFonts w:hint="eastAsia" w:ascii="宋体" w:hAnsi="宋体" w:cs="宋体"/>
                <w:color w:val="000000" w:themeColor="text1"/>
                <w:sz w:val="21"/>
                <w:szCs w:val="21"/>
                <w:lang w:val="en-US" w:eastAsia="zh-CN"/>
                <w14:textFill>
                  <w14:solidFill>
                    <w14:schemeClr w14:val="tx1"/>
                  </w14:solidFill>
                </w14:textFill>
              </w:rPr>
              <w:t>进行</w:t>
            </w:r>
            <w:r>
              <w:rPr>
                <w:rFonts w:hint="eastAsia" w:ascii="宋体" w:hAnsi="宋体" w:cs="宋体"/>
                <w:color w:val="000000" w:themeColor="text1"/>
                <w:kern w:val="0"/>
                <w:sz w:val="21"/>
                <w:szCs w:val="21"/>
                <w14:textFill>
                  <w14:solidFill>
                    <w14:schemeClr w14:val="tx1"/>
                  </w14:solidFill>
                </w14:textFill>
              </w:rPr>
              <w:t>综合打分</w:t>
            </w:r>
            <w:r>
              <w:rPr>
                <w:rFonts w:hint="eastAsia" w:ascii="宋体" w:hAnsi="宋体" w:cs="宋体"/>
                <w:kern w:val="0"/>
                <w:sz w:val="21"/>
                <w:szCs w:val="21"/>
              </w:rPr>
              <w:t>（评分标准5,4,3,2,1,0）。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767" w:type="dxa"/>
            <w:vMerge w:val="continue"/>
            <w:vAlign w:val="center"/>
          </w:tcPr>
          <w:p>
            <w:pPr>
              <w:spacing w:line="288" w:lineRule="auto"/>
              <w:jc w:val="center"/>
              <w:rPr>
                <w:rFonts w:ascii="宋体" w:hAnsi="宋体"/>
                <w:b/>
                <w:bCs/>
                <w:sz w:val="21"/>
                <w:szCs w:val="21"/>
              </w:rPr>
            </w:pPr>
          </w:p>
        </w:tc>
        <w:tc>
          <w:tcPr>
            <w:tcW w:w="654" w:type="dxa"/>
            <w:vAlign w:val="center"/>
          </w:tcPr>
          <w:p>
            <w:pPr>
              <w:adjustRightInd w:val="0"/>
              <w:snapToGrid w:val="0"/>
              <w:spacing w:line="288" w:lineRule="auto"/>
              <w:jc w:val="center"/>
              <w:rPr>
                <w:rFonts w:ascii="宋体" w:hAnsi="宋体" w:cs="宋体"/>
                <w:b/>
                <w:sz w:val="21"/>
                <w:szCs w:val="21"/>
              </w:rPr>
            </w:pPr>
            <w:r>
              <w:rPr>
                <w:rFonts w:hint="eastAsia" w:ascii="宋体" w:hAnsi="宋体" w:cs="宋体"/>
                <w:b/>
                <w:sz w:val="21"/>
                <w:szCs w:val="21"/>
              </w:rPr>
              <w:t>5</w:t>
            </w:r>
          </w:p>
        </w:tc>
        <w:tc>
          <w:tcPr>
            <w:tcW w:w="7213" w:type="dxa"/>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z w:val="21"/>
                <w:szCs w:val="21"/>
              </w:rPr>
            </w:pPr>
            <w:r>
              <w:rPr>
                <w:rFonts w:hint="eastAsia" w:ascii="宋体" w:hAnsi="宋体" w:cs="宋体"/>
                <w:color w:val="000000" w:themeColor="text1"/>
                <w:sz w:val="21"/>
                <w:szCs w:val="21"/>
                <w14:textFill>
                  <w14:solidFill>
                    <w14:schemeClr w14:val="tx1"/>
                  </w14:solidFill>
                </w14:textFill>
              </w:rPr>
              <w:t>根据管理服务组织机构设置（附组织机构图）、运作流程（附运作流程图）、激励机制、监督机制、自我约束机制和信息反馈渠道及处理机制、岗位职责等是否科学、合理、高效</w:t>
            </w:r>
            <w:r>
              <w:rPr>
                <w:rFonts w:hint="eastAsia" w:ascii="宋体" w:hAnsi="宋体" w:cs="宋体"/>
                <w:color w:val="000000" w:themeColor="text1"/>
                <w:kern w:val="0"/>
                <w:sz w:val="21"/>
                <w:szCs w:val="21"/>
                <w14:textFill>
                  <w14:solidFill>
                    <w14:schemeClr w14:val="tx1"/>
                  </w14:solidFill>
                </w14:textFill>
              </w:rPr>
              <w:t>进行综合打分</w:t>
            </w:r>
            <w:r>
              <w:rPr>
                <w:rFonts w:hint="eastAsia" w:ascii="宋体" w:hAnsi="宋体" w:cs="宋体"/>
                <w:kern w:val="0"/>
                <w:sz w:val="21"/>
                <w:szCs w:val="21"/>
              </w:rPr>
              <w:t>（评分标准5,4,3,2,1,0）。</w:t>
            </w:r>
          </w:p>
        </w:tc>
      </w:tr>
      <w:bookmark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767"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ascii="宋体" w:hAnsi="宋体" w:cs="宋体"/>
                <w:b/>
                <w:bCs/>
                <w:sz w:val="21"/>
                <w:szCs w:val="21"/>
              </w:rPr>
              <w:t>内部管理方案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ascii="宋体" w:hAnsi="宋体" w:cs="宋体"/>
                <w:b/>
                <w:sz w:val="21"/>
                <w:szCs w:val="21"/>
              </w:rPr>
              <w:t>5</w:t>
            </w:r>
          </w:p>
        </w:tc>
        <w:tc>
          <w:tcPr>
            <w:tcW w:w="721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sz w:val="21"/>
                <w:szCs w:val="21"/>
              </w:rPr>
            </w:pPr>
            <w:r>
              <w:rPr>
                <w:rFonts w:hint="eastAsia" w:ascii="宋体" w:hAnsi="宋体" w:cs="宋体"/>
                <w:sz w:val="21"/>
                <w:szCs w:val="21"/>
              </w:rPr>
              <w:t>供应商针对本项目的内部管理方案、项目重难点分析情况</w:t>
            </w:r>
            <w:r>
              <w:rPr>
                <w:rFonts w:hint="eastAsia" w:ascii="宋体" w:hAnsi="宋体" w:cs="宋体"/>
                <w:kern w:val="0"/>
                <w:sz w:val="21"/>
                <w:szCs w:val="21"/>
              </w:rPr>
              <w:t>进行综合打分（评分标准5,4,3</w:t>
            </w:r>
            <w:r>
              <w:rPr>
                <w:rFonts w:hint="eastAsia" w:ascii="宋体" w:hAnsi="宋体" w:cs="宋体"/>
                <w:kern w:val="0"/>
                <w:sz w:val="21"/>
                <w:szCs w:val="21"/>
                <w:lang w:val="en-US" w:eastAsia="zh-CN"/>
              </w:rPr>
              <w:t>,</w:t>
            </w:r>
            <w:r>
              <w:rPr>
                <w:rFonts w:hint="eastAsia" w:ascii="宋体" w:hAnsi="宋体" w:cs="宋体"/>
                <w:kern w:val="0"/>
                <w:sz w:val="21"/>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ascii="宋体" w:hAnsi="宋体" w:cs="宋体"/>
                <w:b/>
                <w:bCs/>
                <w:sz w:val="21"/>
                <w:szCs w:val="21"/>
              </w:rPr>
              <w:t>应急处理方案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ascii="宋体" w:hAnsi="宋体" w:cs="宋体"/>
                <w:b/>
                <w:bCs/>
                <w:sz w:val="21"/>
                <w:szCs w:val="21"/>
              </w:rPr>
              <w:t>5</w:t>
            </w:r>
          </w:p>
        </w:tc>
        <w:tc>
          <w:tcPr>
            <w:tcW w:w="7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sz w:val="21"/>
                <w:szCs w:val="21"/>
                <w:lang w:val="zh-CN"/>
              </w:rPr>
            </w:pPr>
            <w:r>
              <w:rPr>
                <w:rFonts w:hint="eastAsia" w:ascii="宋体" w:hAnsi="宋体" w:cs="宋体"/>
                <w:sz w:val="21"/>
                <w:szCs w:val="21"/>
              </w:rPr>
              <w:t>针对本项目应急突发故障发生后人员调动、服务响应时间、到场时间、故障修复等应急预案情况</w:t>
            </w:r>
            <w:r>
              <w:rPr>
                <w:rFonts w:hint="eastAsia" w:ascii="宋体" w:hAnsi="宋体" w:cs="宋体"/>
                <w:kern w:val="0"/>
                <w:sz w:val="21"/>
                <w:szCs w:val="21"/>
              </w:rPr>
              <w:t>进行综合打分（评分标准5,4,3</w:t>
            </w:r>
            <w:r>
              <w:rPr>
                <w:rFonts w:hint="eastAsia" w:ascii="宋体" w:hAnsi="宋体" w:cs="宋体"/>
                <w:kern w:val="0"/>
                <w:sz w:val="21"/>
                <w:szCs w:val="21"/>
                <w:lang w:val="en-US" w:eastAsia="zh-CN"/>
              </w:rPr>
              <w:t>,</w:t>
            </w:r>
            <w:r>
              <w:rPr>
                <w:rFonts w:hint="eastAsia" w:ascii="宋体" w:hAnsi="宋体" w:cs="宋体"/>
                <w:kern w:val="0"/>
                <w:sz w:val="21"/>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kern w:val="0"/>
                <w:sz w:val="21"/>
                <w:szCs w:val="21"/>
              </w:rPr>
            </w:pPr>
            <w:r>
              <w:rPr>
                <w:rFonts w:hint="eastAsia" w:ascii="宋体" w:hAnsi="宋体" w:cs="宋体"/>
                <w:b/>
                <w:bCs/>
                <w:sz w:val="21"/>
                <w:szCs w:val="21"/>
              </w:rPr>
              <w:t>消防安全方案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kern w:val="0"/>
                <w:sz w:val="21"/>
                <w:szCs w:val="21"/>
              </w:rPr>
            </w:pPr>
            <w:r>
              <w:rPr>
                <w:rFonts w:hint="eastAsia" w:ascii="宋体" w:hAnsi="宋体" w:cs="宋体"/>
                <w:b/>
                <w:bCs/>
                <w:sz w:val="21"/>
                <w:szCs w:val="21"/>
              </w:rPr>
              <w:t>5</w:t>
            </w:r>
          </w:p>
        </w:tc>
        <w:tc>
          <w:tcPr>
            <w:tcW w:w="721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pacing w:val="-6"/>
                <w:kern w:val="0"/>
                <w:sz w:val="21"/>
                <w:szCs w:val="21"/>
              </w:rPr>
            </w:pPr>
            <w:r>
              <w:rPr>
                <w:rFonts w:hint="eastAsia" w:ascii="宋体" w:hAnsi="宋体" w:cs="宋体"/>
                <w:sz w:val="21"/>
                <w:szCs w:val="21"/>
              </w:rPr>
              <w:t>供应商针对本项目的消防安全方案情况</w:t>
            </w:r>
            <w:r>
              <w:rPr>
                <w:rFonts w:hint="eastAsia" w:ascii="宋体" w:hAnsi="宋体" w:cs="宋体"/>
                <w:kern w:val="0"/>
                <w:sz w:val="21"/>
                <w:szCs w:val="21"/>
              </w:rPr>
              <w:t>进行综合打分（评分标准5,4,3，2,1,0）。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kern w:val="0"/>
                <w:sz w:val="21"/>
                <w:szCs w:val="21"/>
              </w:rPr>
            </w:pPr>
            <w:r>
              <w:rPr>
                <w:rFonts w:hint="eastAsia" w:ascii="宋体" w:hAnsi="宋体" w:cs="宋体"/>
                <w:b/>
                <w:bCs/>
                <w:sz w:val="21"/>
                <w:szCs w:val="21"/>
              </w:rPr>
              <w:t>协助维稳方案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5</w:t>
            </w:r>
          </w:p>
        </w:tc>
        <w:tc>
          <w:tcPr>
            <w:tcW w:w="721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z w:val="21"/>
                <w:szCs w:val="21"/>
              </w:rPr>
            </w:pPr>
            <w:r>
              <w:rPr>
                <w:rFonts w:hint="eastAsia" w:ascii="宋体" w:hAnsi="宋体" w:cs="宋体"/>
                <w:sz w:val="21"/>
                <w:szCs w:val="21"/>
              </w:rPr>
              <w:t>供应商针对本项目的协助维稳方案情况</w:t>
            </w:r>
            <w:r>
              <w:rPr>
                <w:rFonts w:hint="eastAsia" w:ascii="宋体" w:hAnsi="宋体" w:cs="宋体"/>
                <w:kern w:val="0"/>
                <w:sz w:val="21"/>
                <w:szCs w:val="21"/>
              </w:rPr>
              <w:t>进行综合打分（评分标准5,4,3，2,1,0）。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服务过程所需物资方案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5</w:t>
            </w:r>
          </w:p>
        </w:tc>
        <w:tc>
          <w:tcPr>
            <w:tcW w:w="721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sz w:val="21"/>
                <w:szCs w:val="21"/>
              </w:rPr>
            </w:pPr>
            <w:r>
              <w:rPr>
                <w:rFonts w:hint="eastAsia" w:ascii="宋体" w:hAnsi="宋体" w:cs="宋体"/>
                <w:sz w:val="21"/>
                <w:szCs w:val="21"/>
              </w:rPr>
              <w:t>【主观分】</w:t>
            </w:r>
          </w:p>
          <w:p>
            <w:pPr>
              <w:adjustRightInd w:val="0"/>
              <w:snapToGrid w:val="0"/>
              <w:spacing w:line="288" w:lineRule="auto"/>
              <w:rPr>
                <w:rFonts w:ascii="宋体" w:hAnsi="宋体" w:cs="宋体"/>
                <w:sz w:val="21"/>
                <w:szCs w:val="21"/>
              </w:rPr>
            </w:pPr>
            <w:r>
              <w:rPr>
                <w:rFonts w:hint="eastAsia" w:ascii="宋体" w:hAnsi="宋体" w:cs="宋体"/>
                <w:sz w:val="21"/>
                <w:szCs w:val="21"/>
              </w:rPr>
              <w:t>供应商针对本项目的服务过程所需物资方案情况</w:t>
            </w:r>
            <w:r>
              <w:rPr>
                <w:rFonts w:hint="eastAsia" w:ascii="宋体" w:hAnsi="宋体" w:cs="宋体"/>
                <w:kern w:val="0"/>
                <w:sz w:val="21"/>
                <w:szCs w:val="21"/>
              </w:rPr>
              <w:t>进行综合打分（评分标准5,4,3，2,1,0）。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bCs/>
                <w:sz w:val="21"/>
                <w:szCs w:val="21"/>
              </w:rPr>
              <w:t>其他服务承诺</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bCs/>
                <w:sz w:val="21"/>
                <w:szCs w:val="21"/>
              </w:rPr>
              <w:t>5</w:t>
            </w:r>
          </w:p>
        </w:tc>
        <w:tc>
          <w:tcPr>
            <w:tcW w:w="7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kern w:val="0"/>
                <w:sz w:val="21"/>
                <w:szCs w:val="21"/>
              </w:rPr>
            </w:pPr>
            <w:r>
              <w:rPr>
                <w:rFonts w:hint="eastAsia" w:ascii="宋体" w:hAnsi="宋体" w:cs="宋体"/>
                <w:kern w:val="0"/>
                <w:sz w:val="21"/>
                <w:szCs w:val="21"/>
              </w:rPr>
              <w:t>【主观分】</w:t>
            </w:r>
          </w:p>
          <w:p>
            <w:pPr>
              <w:adjustRightInd w:val="0"/>
              <w:snapToGrid w:val="0"/>
              <w:spacing w:line="288" w:lineRule="auto"/>
              <w:rPr>
                <w:rFonts w:ascii="宋体" w:hAnsi="宋体" w:cs="宋体"/>
                <w:spacing w:val="-6"/>
                <w:sz w:val="21"/>
                <w:szCs w:val="21"/>
              </w:rPr>
            </w:pPr>
            <w:r>
              <w:rPr>
                <w:rFonts w:hint="eastAsia" w:ascii="宋体" w:hAnsi="宋体" w:cs="宋体"/>
                <w:kern w:val="0"/>
                <w:sz w:val="21"/>
                <w:szCs w:val="21"/>
              </w:rPr>
              <w:t>根据供应商其他服务承诺方案的实用性和针对性进行综合打分（评分标准</w:t>
            </w:r>
            <w:r>
              <w:rPr>
                <w:rFonts w:hint="eastAsia" w:ascii="宋体" w:hAnsi="宋体" w:cs="宋体"/>
                <w:kern w:val="0"/>
                <w:sz w:val="21"/>
                <w:szCs w:val="21"/>
                <w:lang w:val="en-US" w:eastAsia="zh-CN"/>
              </w:rPr>
              <w:t>5,</w:t>
            </w:r>
            <w:r>
              <w:rPr>
                <w:rFonts w:hint="eastAsia" w:ascii="宋体" w:hAnsi="宋体" w:cs="宋体"/>
                <w:kern w:val="0"/>
                <w:sz w:val="21"/>
                <w:szCs w:val="21"/>
              </w:rPr>
              <w:t>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bCs/>
                <w:sz w:val="21"/>
                <w:szCs w:val="21"/>
              </w:rPr>
              <w:t>培训方案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spacing w:val="-6"/>
                <w:sz w:val="21"/>
                <w:szCs w:val="21"/>
              </w:rPr>
            </w:pPr>
            <w:r>
              <w:rPr>
                <w:rFonts w:hint="eastAsia" w:ascii="宋体" w:hAnsi="宋体" w:cs="宋体"/>
                <w:b/>
                <w:bCs/>
                <w:sz w:val="21"/>
                <w:szCs w:val="21"/>
              </w:rPr>
              <w:t>5</w:t>
            </w:r>
          </w:p>
        </w:tc>
        <w:tc>
          <w:tcPr>
            <w:tcW w:w="7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kern w:val="0"/>
                <w:sz w:val="21"/>
                <w:szCs w:val="21"/>
              </w:rPr>
            </w:pPr>
            <w:r>
              <w:rPr>
                <w:rFonts w:hint="eastAsia" w:ascii="宋体" w:hAnsi="宋体" w:cs="宋体"/>
                <w:kern w:val="0"/>
                <w:sz w:val="21"/>
                <w:szCs w:val="21"/>
              </w:rPr>
              <w:t>【主观分】</w:t>
            </w:r>
          </w:p>
          <w:p>
            <w:pPr>
              <w:adjustRightInd w:val="0"/>
              <w:snapToGrid w:val="0"/>
              <w:spacing w:line="288" w:lineRule="auto"/>
              <w:rPr>
                <w:rFonts w:ascii="宋体" w:hAnsi="宋体" w:cs="宋体"/>
                <w:spacing w:val="-6"/>
                <w:sz w:val="21"/>
                <w:szCs w:val="21"/>
              </w:rPr>
            </w:pPr>
            <w:r>
              <w:rPr>
                <w:rFonts w:hint="eastAsia" w:ascii="宋体" w:hAnsi="宋体" w:cs="宋体"/>
                <w:kern w:val="0"/>
                <w:sz w:val="21"/>
                <w:szCs w:val="21"/>
              </w:rPr>
              <w:t>根据供应商培训方案</w:t>
            </w:r>
            <w:r>
              <w:rPr>
                <w:rFonts w:hint="eastAsia" w:ascii="宋体" w:hAnsi="宋体" w:cs="宋体"/>
                <w:sz w:val="21"/>
                <w:szCs w:val="21"/>
              </w:rPr>
              <w:t>科学合理性</w:t>
            </w:r>
            <w:r>
              <w:rPr>
                <w:rFonts w:hint="eastAsia" w:ascii="宋体" w:hAnsi="宋体" w:cs="宋体"/>
                <w:kern w:val="0"/>
                <w:sz w:val="21"/>
                <w:szCs w:val="21"/>
              </w:rPr>
              <w:t>进行综合打分（评分标准</w:t>
            </w:r>
            <w:r>
              <w:rPr>
                <w:rFonts w:hint="eastAsia" w:ascii="宋体" w:hAnsi="宋体" w:cs="宋体"/>
                <w:kern w:val="0"/>
                <w:sz w:val="21"/>
                <w:szCs w:val="21"/>
                <w:lang w:val="en-US" w:eastAsia="zh-CN"/>
              </w:rPr>
              <w:t>5,4,3,</w:t>
            </w:r>
            <w:r>
              <w:rPr>
                <w:rFonts w:hint="eastAsia" w:ascii="宋体" w:hAnsi="宋体" w:cs="宋体"/>
                <w:kern w:val="0"/>
                <w:sz w:val="21"/>
                <w:szCs w:val="21"/>
              </w:rPr>
              <w:t>2,1,0）。</w:t>
            </w:r>
          </w:p>
        </w:tc>
      </w:tr>
    </w:tbl>
    <w:p>
      <w:pPr>
        <w:adjustRightInd w:val="0"/>
        <w:snapToGrid w:val="0"/>
        <w:spacing w:line="288" w:lineRule="auto"/>
        <w:jc w:val="left"/>
        <w:rPr>
          <w:rFonts w:ascii="宋体" w:hAnsi="宋体"/>
          <w:b/>
          <w:sz w:val="21"/>
          <w:szCs w:val="21"/>
        </w:rPr>
      </w:pPr>
      <w:r>
        <w:rPr>
          <w:rFonts w:hint="eastAsia" w:ascii="宋体" w:hAnsi="宋体"/>
          <w:b/>
          <w:sz w:val="21"/>
          <w:szCs w:val="21"/>
        </w:rPr>
        <w:t>说明</w:t>
      </w:r>
      <w:r>
        <w:rPr>
          <w:rFonts w:ascii="宋体" w:hAnsi="宋体"/>
          <w:b/>
          <w:sz w:val="21"/>
          <w:szCs w:val="21"/>
        </w:rPr>
        <w:t>：</w:t>
      </w:r>
    </w:p>
    <w:p>
      <w:pPr>
        <w:adjustRightInd w:val="0"/>
        <w:snapToGrid w:val="0"/>
        <w:spacing w:line="288" w:lineRule="auto"/>
        <w:jc w:val="left"/>
        <w:rPr>
          <w:rFonts w:ascii="宋体" w:hAnsi="宋体"/>
          <w:b/>
          <w:sz w:val="21"/>
          <w:szCs w:val="21"/>
        </w:rPr>
      </w:pPr>
      <w:r>
        <w:rPr>
          <w:rFonts w:ascii="宋体" w:hAnsi="宋体"/>
          <w:b/>
          <w:sz w:val="21"/>
          <w:szCs w:val="21"/>
        </w:rPr>
        <w:t>1.</w:t>
      </w:r>
      <w:r>
        <w:rPr>
          <w:rFonts w:hint="eastAsia" w:ascii="宋体" w:hAnsi="宋体"/>
          <w:b/>
          <w:sz w:val="21"/>
          <w:szCs w:val="21"/>
        </w:rPr>
        <w:t>根据《政府采购促进中小企业发展管理办法》（财库〔2020〕46号）、《关于进一步加大政府采购支持中小企业力度的通知》（财库〔</w:t>
      </w:r>
      <w:r>
        <w:rPr>
          <w:rFonts w:ascii="宋体" w:hAnsi="宋体"/>
          <w:b/>
          <w:sz w:val="21"/>
          <w:szCs w:val="21"/>
        </w:rPr>
        <w:t>2022〕19号）</w:t>
      </w:r>
      <w:r>
        <w:rPr>
          <w:rFonts w:hint="eastAsia" w:ascii="宋体" w:hAnsi="宋体"/>
          <w:b/>
          <w:sz w:val="21"/>
          <w:szCs w:val="21"/>
        </w:rPr>
        <w:t>的规定：对符合规定的小微企业报价给予1</w:t>
      </w:r>
      <w:r>
        <w:rPr>
          <w:rFonts w:ascii="宋体" w:hAnsi="宋体"/>
          <w:b/>
          <w:sz w:val="21"/>
          <w:szCs w:val="21"/>
        </w:rPr>
        <w:t>0</w:t>
      </w:r>
      <w:r>
        <w:rPr>
          <w:rFonts w:hint="eastAsia" w:ascii="宋体" w:hAnsi="宋体"/>
          <w:b/>
          <w:sz w:val="21"/>
          <w:szCs w:val="21"/>
        </w:rPr>
        <w:t>%的扣除后计算价格得分。</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根据《</w:t>
      </w:r>
      <w:r>
        <w:rPr>
          <w:rFonts w:ascii="宋体" w:hAnsi="宋体"/>
          <w:b/>
          <w:bCs/>
          <w:spacing w:val="-6"/>
          <w:sz w:val="21"/>
          <w:szCs w:val="21"/>
        </w:rPr>
        <w:t>关于政府采购支持监狱企业发展有关问题的通知</w:t>
      </w:r>
      <w:r>
        <w:rPr>
          <w:rFonts w:hint="eastAsia" w:ascii="宋体" w:hAnsi="宋体"/>
          <w:b/>
          <w:bCs/>
          <w:spacing w:val="-6"/>
          <w:sz w:val="21"/>
          <w:szCs w:val="21"/>
        </w:rPr>
        <w:t>》（</w:t>
      </w:r>
      <w:r>
        <w:rPr>
          <w:rFonts w:ascii="宋体" w:hAnsi="宋体"/>
          <w:b/>
          <w:bCs/>
          <w:spacing w:val="-6"/>
          <w:sz w:val="21"/>
          <w:szCs w:val="21"/>
        </w:rPr>
        <w:t>财库[2014]68号</w:t>
      </w:r>
      <w:r>
        <w:rPr>
          <w:rFonts w:hint="eastAsia" w:ascii="宋体" w:hAnsi="宋体"/>
          <w:b/>
          <w:bCs/>
          <w:spacing w:val="-6"/>
          <w:sz w:val="21"/>
          <w:szCs w:val="21"/>
        </w:rPr>
        <w:t>）的规定，</w:t>
      </w:r>
      <w:r>
        <w:rPr>
          <w:rFonts w:hint="eastAsia" w:ascii="宋体" w:hAnsi="宋体" w:cs="宋体"/>
          <w:kern w:val="0"/>
          <w:sz w:val="21"/>
          <w:szCs w:val="21"/>
        </w:rPr>
        <w:t>监狱企业参加政府采购活动时，提供由省级以上监狱管理局、戒毒管理局（含新疆生产建设兵团）出具的属于监狱企业的证明文件的，在政府采购活动中，监狱企业视同小型、微型企业，享受预留份额、评审中价格扣除等政府采购促进中小企业发展的政府采购政策。</w:t>
      </w:r>
    </w:p>
    <w:p>
      <w:pPr>
        <w:adjustRightInd w:val="0"/>
        <w:snapToGrid w:val="0"/>
        <w:spacing w:line="288" w:lineRule="auto"/>
        <w:jc w:val="left"/>
        <w:rPr>
          <w:rFonts w:ascii="宋体" w:hAnsi="宋体"/>
          <w:b/>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根据《关于促进残疾人就业政府采购政策的通知》（财库[2017]141号）的规定，</w:t>
      </w:r>
      <w:r>
        <w:rPr>
          <w:rFonts w:hint="eastAsia" w:ascii="宋体" w:hAnsi="宋体"/>
          <w:sz w:val="21"/>
          <w:szCs w:val="21"/>
        </w:rPr>
        <w:t>符合条件的残疾人福利性单位在参加政府采购活动时，提供财库</w:t>
      </w:r>
      <w:r>
        <w:rPr>
          <w:rFonts w:ascii="宋体" w:hAnsi="宋体"/>
          <w:sz w:val="21"/>
          <w:szCs w:val="21"/>
        </w:rPr>
        <w:t>[2017]141号</w:t>
      </w:r>
      <w:r>
        <w:rPr>
          <w:rFonts w:hint="eastAsia" w:ascii="宋体" w:hAnsi="宋体"/>
          <w:sz w:val="21"/>
          <w:szCs w:val="21"/>
        </w:rPr>
        <w:t>文件规定的《残疾人福利性单位声明函》的，在政府采购活动中，残疾人福利性单位视同小型、微型企业，享受预留份额、评审中价格扣除等促进中小企业发展的政府采购政策。</w:t>
      </w:r>
      <w:r>
        <w:rPr>
          <w:rFonts w:ascii="宋体" w:hAnsi="宋体"/>
          <w:spacing w:val="-6"/>
          <w:sz w:val="21"/>
          <w:szCs w:val="21"/>
        </w:rPr>
        <w:t>残疾人福利性单位属于小型、微型企业的，不重复享受政策。</w:t>
      </w:r>
    </w:p>
    <w:p>
      <w:pPr>
        <w:adjustRightInd w:val="0"/>
        <w:snapToGrid w:val="0"/>
        <w:spacing w:line="288" w:lineRule="auto"/>
        <w:jc w:val="center"/>
        <w:outlineLvl w:val="0"/>
        <w:rPr>
          <w:rFonts w:ascii="宋体" w:hAnsi="宋体"/>
          <w:b/>
          <w:sz w:val="32"/>
          <w:szCs w:val="32"/>
        </w:rPr>
      </w:pPr>
      <w:r>
        <w:rPr>
          <w:rFonts w:ascii="宋体" w:hAnsi="宋体"/>
          <w:b/>
          <w:bCs/>
          <w:spacing w:val="-6"/>
          <w:sz w:val="21"/>
          <w:szCs w:val="21"/>
        </w:rPr>
        <w:br w:type="page"/>
      </w:r>
      <w:r>
        <w:rPr>
          <w:rFonts w:hint="eastAsia" w:ascii="宋体" w:hAnsi="宋体"/>
          <w:b/>
          <w:bCs/>
          <w:spacing w:val="-6"/>
          <w:sz w:val="32"/>
          <w:szCs w:val="32"/>
        </w:rPr>
        <w:t>第五章  拟签订的合同文本</w:t>
      </w:r>
    </w:p>
    <w:p>
      <w:pPr>
        <w:pStyle w:val="16"/>
        <w:adjustRightInd w:val="0"/>
        <w:snapToGrid w:val="0"/>
        <w:spacing w:beforeLines="0" w:afterLines="0" w:line="288" w:lineRule="auto"/>
        <w:jc w:val="center"/>
        <w:rPr>
          <w:rFonts w:hAnsi="宋体"/>
          <w:b/>
          <w:spacing w:val="-6"/>
          <w:sz w:val="21"/>
          <w:szCs w:val="21"/>
        </w:rPr>
      </w:pPr>
      <w:r>
        <w:rPr>
          <w:rFonts w:hint="eastAsia" w:hAnsi="宋体"/>
          <w:b/>
          <w:spacing w:val="-6"/>
          <w:sz w:val="21"/>
          <w:szCs w:val="21"/>
        </w:rPr>
        <w:t>浙江大学海南研究院</w:t>
      </w:r>
    </w:p>
    <w:p>
      <w:pPr>
        <w:pStyle w:val="16"/>
        <w:adjustRightInd w:val="0"/>
        <w:snapToGrid w:val="0"/>
        <w:spacing w:beforeLines="0" w:afterLines="0" w:line="288" w:lineRule="auto"/>
        <w:jc w:val="center"/>
        <w:rPr>
          <w:rFonts w:hAnsi="宋体"/>
          <w:b/>
          <w:spacing w:val="-6"/>
          <w:sz w:val="21"/>
          <w:szCs w:val="21"/>
        </w:rPr>
      </w:pPr>
      <w:r>
        <w:rPr>
          <w:rFonts w:hint="eastAsia" w:hAnsi="宋体"/>
          <w:b/>
          <w:spacing w:val="-6"/>
          <w:sz w:val="21"/>
          <w:szCs w:val="21"/>
        </w:rPr>
        <w:t>采购</w:t>
      </w:r>
      <w:r>
        <w:rPr>
          <w:rFonts w:hAnsi="宋体"/>
          <w:b/>
          <w:spacing w:val="-6"/>
          <w:sz w:val="21"/>
          <w:szCs w:val="21"/>
        </w:rPr>
        <w:t>合同</w:t>
      </w:r>
    </w:p>
    <w:p>
      <w:pPr>
        <w:pStyle w:val="16"/>
        <w:adjustRightInd w:val="0"/>
        <w:snapToGrid w:val="0"/>
        <w:spacing w:beforeLines="0" w:afterLines="0" w:line="288" w:lineRule="auto"/>
        <w:rPr>
          <w:rFonts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项目名称：浙江大学海南研究院先进技术与产业创新平台物业服务</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 xml:space="preserve">项目编号：QSZB-F(F)-A24073(GK) </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甲方（需方）：浙江大学海南研究院</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乙方（供方）：</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采购代理机构：浙江求是招标代理有限公司</w:t>
      </w:r>
    </w:p>
    <w:p>
      <w:pPr>
        <w:adjustRightInd w:val="0"/>
        <w:snapToGrid w:val="0"/>
        <w:spacing w:line="288" w:lineRule="auto"/>
        <w:rPr>
          <w:rFonts w:ascii="宋体" w:hAnsi="宋体"/>
          <w:spacing w:val="-6"/>
          <w:sz w:val="21"/>
          <w:szCs w:val="21"/>
        </w:rPr>
      </w:pPr>
    </w:p>
    <w:p>
      <w:pPr>
        <w:adjustRightInd w:val="0"/>
        <w:snapToGrid w:val="0"/>
        <w:spacing w:line="288" w:lineRule="auto"/>
        <w:ind w:firstLine="396" w:firstLineChars="200"/>
        <w:rPr>
          <w:rFonts w:ascii="宋体" w:hAnsi="宋体" w:cs="宋体"/>
          <w:spacing w:val="-6"/>
          <w:sz w:val="21"/>
          <w:szCs w:val="21"/>
        </w:rPr>
      </w:pPr>
      <w:r>
        <w:rPr>
          <w:rFonts w:hint="eastAsia" w:ascii="宋体" w:hAnsi="宋体" w:cs="宋体"/>
          <w:spacing w:val="-6"/>
          <w:sz w:val="21"/>
          <w:szCs w:val="21"/>
        </w:rPr>
        <w:t>浙江求是招标代理有限公司受</w:t>
      </w:r>
      <w:r>
        <w:rPr>
          <w:rFonts w:hint="eastAsia" w:ascii="宋体" w:hAnsi="宋体" w:cs="宋体"/>
          <w:spacing w:val="-6"/>
          <w:sz w:val="21"/>
          <w:szCs w:val="21"/>
          <w:u w:val="single"/>
        </w:rPr>
        <w:t>浙江大学海南研究院</w:t>
      </w:r>
      <w:r>
        <w:rPr>
          <w:rFonts w:hint="eastAsia" w:ascii="宋体" w:hAnsi="宋体" w:cs="宋体"/>
          <w:spacing w:val="-6"/>
          <w:sz w:val="21"/>
          <w:szCs w:val="21"/>
        </w:rPr>
        <w:t>委托，经</w:t>
      </w:r>
      <w:r>
        <w:rPr>
          <w:rFonts w:hint="eastAsia" w:ascii="宋体" w:hAnsi="宋体" w:cs="宋体"/>
          <w:spacing w:val="-6"/>
          <w:sz w:val="21"/>
          <w:szCs w:val="21"/>
          <w:u w:val="single"/>
          <w:lang w:val="en-US" w:eastAsia="zh-CN"/>
        </w:rPr>
        <w:t>公开招标</w:t>
      </w:r>
      <w:r>
        <w:rPr>
          <w:rFonts w:hint="eastAsia" w:ascii="宋体" w:hAnsi="宋体" w:cs="宋体"/>
          <w:spacing w:val="-6"/>
          <w:sz w:val="21"/>
          <w:szCs w:val="21"/>
          <w:u w:val="single"/>
        </w:rPr>
        <w:t>采购</w:t>
      </w:r>
      <w:r>
        <w:rPr>
          <w:rFonts w:hint="eastAsia" w:ascii="宋体" w:hAnsi="宋体" w:cs="宋体"/>
          <w:spacing w:val="-6"/>
          <w:sz w:val="21"/>
          <w:szCs w:val="21"/>
        </w:rPr>
        <w:t>，确定</w:t>
      </w:r>
      <w:r>
        <w:rPr>
          <w:rFonts w:hint="eastAsia" w:ascii="宋体" w:hAnsi="宋体" w:cs="宋体"/>
          <w:spacing w:val="-6"/>
          <w:sz w:val="21"/>
          <w:szCs w:val="21"/>
          <w:u w:val="single"/>
        </w:rPr>
        <w:t xml:space="preserve">          </w:t>
      </w:r>
      <w:r>
        <w:rPr>
          <w:rFonts w:hint="eastAsia" w:ascii="宋体" w:hAnsi="宋体" w:cs="宋体"/>
          <w:spacing w:val="-6"/>
          <w:sz w:val="21"/>
          <w:szCs w:val="21"/>
        </w:rPr>
        <w:t>为</w:t>
      </w:r>
      <w:r>
        <w:rPr>
          <w:rFonts w:hint="eastAsia" w:ascii="宋体" w:hAnsi="宋体" w:cs="宋体"/>
          <w:spacing w:val="-6"/>
          <w:sz w:val="21"/>
          <w:szCs w:val="21"/>
          <w:u w:val="single"/>
        </w:rPr>
        <w:t xml:space="preserve">        </w:t>
      </w:r>
      <w:r>
        <w:rPr>
          <w:rFonts w:hint="eastAsia" w:ascii="宋体" w:hAnsi="宋体" w:cs="宋体"/>
          <w:spacing w:val="-6"/>
          <w:sz w:val="21"/>
          <w:szCs w:val="21"/>
        </w:rPr>
        <w:t>项目编号</w:t>
      </w:r>
      <w:r>
        <w:rPr>
          <w:rFonts w:hint="eastAsia" w:ascii="宋体" w:hAnsi="宋体" w:cs="宋体"/>
          <w:spacing w:val="-6"/>
          <w:sz w:val="21"/>
          <w:szCs w:val="21"/>
          <w:u w:val="single"/>
        </w:rPr>
        <w:t>（QSZB-F(F)-A24073(GK)）</w:t>
      </w:r>
      <w:r>
        <w:rPr>
          <w:rFonts w:hint="eastAsia" w:ascii="宋体" w:hAnsi="宋体" w:cs="宋体"/>
          <w:spacing w:val="-6"/>
          <w:sz w:val="21"/>
          <w:szCs w:val="21"/>
        </w:rPr>
        <w:t>的成交供应商。根据《中华人民共和国民法典》规定，签署本合同。</w:t>
      </w:r>
    </w:p>
    <w:p>
      <w:pPr>
        <w:adjustRightInd w:val="0"/>
        <w:snapToGrid w:val="0"/>
        <w:spacing w:line="288" w:lineRule="auto"/>
        <w:rPr>
          <w:rFonts w:ascii="宋体" w:hAnsi="宋体" w:cs="宋体"/>
          <w:b/>
          <w:spacing w:val="-6"/>
          <w:sz w:val="21"/>
          <w:szCs w:val="21"/>
        </w:rPr>
      </w:pP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第一条.采购内容及合同价格</w:t>
      </w:r>
    </w:p>
    <w:tbl>
      <w:tblPr>
        <w:tblStyle w:val="25"/>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3786"/>
        <w:gridCol w:w="909"/>
        <w:gridCol w:w="709"/>
        <w:gridCol w:w="1756"/>
        <w:gridCol w:w="16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序号</w:t>
            </w:r>
          </w:p>
        </w:tc>
        <w:tc>
          <w:tcPr>
            <w:tcW w:w="3786"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名称</w:t>
            </w:r>
          </w:p>
        </w:tc>
        <w:tc>
          <w:tcPr>
            <w:tcW w:w="90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数量</w:t>
            </w:r>
          </w:p>
        </w:tc>
        <w:tc>
          <w:tcPr>
            <w:tcW w:w="70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单位</w:t>
            </w:r>
          </w:p>
        </w:tc>
        <w:tc>
          <w:tcPr>
            <w:tcW w:w="1756"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lang w:val="zh-CN"/>
              </w:rPr>
              <w:t>单价（元）</w:t>
            </w:r>
          </w:p>
        </w:tc>
        <w:tc>
          <w:tcPr>
            <w:tcW w:w="1670"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rPr>
              <w:t>总</w:t>
            </w:r>
            <w:r>
              <w:rPr>
                <w:rFonts w:hint="eastAsia" w:ascii="宋体" w:hAnsi="宋体" w:cs="宋体"/>
                <w:spacing w:val="-6"/>
                <w:sz w:val="21"/>
                <w:szCs w:val="21"/>
                <w:lang w:val="zh-CN"/>
              </w:rPr>
              <w:t>价（元）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rPr>
              <w:t>1</w:t>
            </w:r>
          </w:p>
        </w:tc>
        <w:tc>
          <w:tcPr>
            <w:tcW w:w="378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9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7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75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670" w:type="dxa"/>
            <w:vAlign w:val="center"/>
          </w:tcPr>
          <w:p>
            <w:pPr>
              <w:adjustRightInd w:val="0"/>
              <w:snapToGrid w:val="0"/>
              <w:spacing w:line="288" w:lineRule="auto"/>
              <w:ind w:firstLine="396" w:firstLineChars="200"/>
              <w:jc w:val="center"/>
              <w:rPr>
                <w:rFonts w:ascii="宋体" w:hAnsi="宋体" w:cs="宋体"/>
                <w:spacing w:val="-6"/>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cs="宋体"/>
                <w:spacing w:val="-6"/>
                <w:sz w:val="21"/>
                <w:szCs w:val="21"/>
              </w:rPr>
            </w:pPr>
            <w:r>
              <w:rPr>
                <w:rFonts w:hint="eastAsia" w:ascii="宋体" w:hAnsi="宋体" w:cs="宋体"/>
                <w:spacing w:val="-6"/>
                <w:sz w:val="21"/>
                <w:szCs w:val="21"/>
              </w:rPr>
              <w:t>2</w:t>
            </w:r>
          </w:p>
        </w:tc>
        <w:tc>
          <w:tcPr>
            <w:tcW w:w="378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9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709"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756" w:type="dxa"/>
            <w:vAlign w:val="center"/>
          </w:tcPr>
          <w:p>
            <w:pPr>
              <w:adjustRightInd w:val="0"/>
              <w:snapToGrid w:val="0"/>
              <w:spacing w:line="288" w:lineRule="auto"/>
              <w:ind w:firstLine="396" w:firstLineChars="200"/>
              <w:jc w:val="center"/>
              <w:rPr>
                <w:rFonts w:ascii="宋体" w:hAnsi="宋体" w:cs="宋体"/>
                <w:spacing w:val="-6"/>
                <w:sz w:val="21"/>
                <w:szCs w:val="21"/>
              </w:rPr>
            </w:pPr>
          </w:p>
        </w:tc>
        <w:tc>
          <w:tcPr>
            <w:tcW w:w="1670" w:type="dxa"/>
            <w:vAlign w:val="center"/>
          </w:tcPr>
          <w:p>
            <w:pPr>
              <w:adjustRightInd w:val="0"/>
              <w:snapToGrid w:val="0"/>
              <w:spacing w:line="288" w:lineRule="auto"/>
              <w:ind w:firstLine="396" w:firstLineChars="200"/>
              <w:jc w:val="center"/>
              <w:rPr>
                <w:rFonts w:ascii="宋体" w:hAnsi="宋体" w:cs="宋体"/>
                <w:spacing w:val="-6"/>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6"/>
            <w:vAlign w:val="center"/>
          </w:tcPr>
          <w:p>
            <w:pPr>
              <w:adjustRightInd w:val="0"/>
              <w:snapToGrid w:val="0"/>
              <w:spacing w:line="288" w:lineRule="auto"/>
              <w:jc w:val="left"/>
              <w:rPr>
                <w:rFonts w:ascii="宋体" w:hAnsi="宋体" w:cs="宋体"/>
                <w:spacing w:val="-6"/>
                <w:sz w:val="21"/>
                <w:szCs w:val="21"/>
              </w:rPr>
            </w:pPr>
            <w:r>
              <w:rPr>
                <w:rFonts w:hint="eastAsia" w:ascii="宋体" w:hAnsi="宋体"/>
                <w:spacing w:val="-6"/>
                <w:sz w:val="21"/>
                <w:szCs w:val="21"/>
              </w:rPr>
              <w:t>合同总价（人民币）：</w:t>
            </w:r>
          </w:p>
        </w:tc>
      </w:tr>
    </w:tbl>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第二条.履约保证金和付款方式</w:t>
      </w:r>
    </w:p>
    <w:p>
      <w:pPr>
        <w:adjustRightInd w:val="0"/>
        <w:snapToGrid w:val="0"/>
        <w:spacing w:line="288" w:lineRule="auto"/>
        <w:ind w:firstLine="396" w:firstLineChars="200"/>
        <w:rPr>
          <w:rFonts w:ascii="宋体" w:hAnsi="宋体" w:cs="宋体"/>
          <w:bCs/>
          <w:spacing w:val="-6"/>
          <w:kern w:val="0"/>
          <w:sz w:val="21"/>
          <w:szCs w:val="21"/>
          <w:u w:val="single"/>
        </w:rPr>
      </w:pPr>
      <w:r>
        <w:rPr>
          <w:rFonts w:hint="eastAsia" w:ascii="宋体" w:hAnsi="宋体"/>
          <w:bCs/>
          <w:spacing w:val="-6"/>
          <w:sz w:val="21"/>
          <w:szCs w:val="21"/>
        </w:rPr>
        <w:t>1.履约保证金：</w:t>
      </w:r>
      <w:r>
        <w:rPr>
          <w:rFonts w:hint="eastAsia" w:ascii="宋体" w:hAnsi="宋体"/>
          <w:bCs/>
          <w:spacing w:val="-6"/>
          <w:sz w:val="21"/>
          <w:szCs w:val="21"/>
          <w:u w:val="single"/>
        </w:rPr>
        <w:t xml:space="preserve">                    ；</w:t>
      </w:r>
    </w:p>
    <w:p>
      <w:pPr>
        <w:adjustRightInd w:val="0"/>
        <w:snapToGrid w:val="0"/>
        <w:spacing w:line="288" w:lineRule="auto"/>
        <w:ind w:firstLine="396" w:firstLineChars="200"/>
        <w:rPr>
          <w:rFonts w:ascii="宋体" w:hAnsi="宋体" w:cs="宋体"/>
          <w:bCs/>
          <w:spacing w:val="-6"/>
          <w:kern w:val="0"/>
          <w:sz w:val="21"/>
          <w:szCs w:val="21"/>
          <w:u w:val="single"/>
        </w:rPr>
      </w:pPr>
      <w:r>
        <w:rPr>
          <w:rFonts w:hint="eastAsia" w:ascii="宋体" w:hAnsi="宋体"/>
          <w:bCs/>
          <w:spacing w:val="-6"/>
          <w:sz w:val="21"/>
          <w:szCs w:val="21"/>
        </w:rPr>
        <w:t>2.付款方式</w:t>
      </w:r>
      <w:r>
        <w:rPr>
          <w:rFonts w:hint="eastAsia" w:ascii="宋体" w:hAnsi="宋体" w:cs="宋体"/>
          <w:bCs/>
          <w:spacing w:val="-6"/>
          <w:kern w:val="0"/>
          <w:sz w:val="21"/>
          <w:szCs w:val="21"/>
        </w:rPr>
        <w:t>：</w:t>
      </w:r>
      <w:r>
        <w:rPr>
          <w:rFonts w:hint="eastAsia" w:ascii="宋体" w:hAnsi="宋体" w:cs="宋体"/>
          <w:bCs/>
          <w:spacing w:val="-6"/>
          <w:kern w:val="0"/>
          <w:sz w:val="21"/>
          <w:szCs w:val="21"/>
          <w:u w:val="single"/>
        </w:rPr>
        <w:t xml:space="preserve">                                                       </w:t>
      </w:r>
      <w:r>
        <w:rPr>
          <w:rFonts w:hint="eastAsia" w:ascii="宋体" w:hAnsi="宋体" w:cs="宋体"/>
          <w:bCs/>
          <w:spacing w:val="-6"/>
          <w:kern w:val="0"/>
          <w:sz w:val="21"/>
          <w:szCs w:val="21"/>
        </w:rPr>
        <w:t>。</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第三条</w:t>
      </w:r>
      <w:r>
        <w:rPr>
          <w:rFonts w:hint="eastAsia" w:ascii="宋体" w:hAnsi="宋体"/>
          <w:b/>
          <w:spacing w:val="-6"/>
          <w:sz w:val="21"/>
          <w:szCs w:val="21"/>
          <w:lang w:val="en-US" w:eastAsia="zh-CN"/>
        </w:rPr>
        <w:t>.</w:t>
      </w:r>
      <w:r>
        <w:rPr>
          <w:rFonts w:hint="eastAsia" w:ascii="宋体" w:hAnsi="宋体"/>
          <w:b/>
          <w:spacing w:val="-6"/>
          <w:sz w:val="21"/>
          <w:szCs w:val="21"/>
        </w:rPr>
        <w:t>服务期限、地点</w:t>
      </w:r>
    </w:p>
    <w:p>
      <w:pPr>
        <w:adjustRightInd w:val="0"/>
        <w:snapToGrid w:val="0"/>
        <w:spacing w:line="288" w:lineRule="auto"/>
        <w:ind w:right="-686" w:rightChars="-245" w:firstLine="420" w:firstLineChars="200"/>
        <w:rPr>
          <w:rFonts w:ascii="宋体" w:hAnsi="宋体"/>
          <w:spacing w:val="-6"/>
          <w:sz w:val="21"/>
          <w:szCs w:val="21"/>
        </w:rPr>
      </w:pPr>
      <w:r>
        <w:rPr>
          <w:rFonts w:hint="eastAsia" w:ascii="宋体" w:hAnsi="宋体"/>
          <w:sz w:val="21"/>
          <w:szCs w:val="21"/>
        </w:rPr>
        <w:t>服务期：</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w:t>
      </w:r>
    </w:p>
    <w:p>
      <w:pPr>
        <w:adjustRightInd w:val="0"/>
        <w:snapToGrid w:val="0"/>
        <w:spacing w:line="288" w:lineRule="auto"/>
        <w:ind w:right="-686" w:rightChars="-245" w:firstLine="396" w:firstLineChars="200"/>
        <w:rPr>
          <w:rFonts w:ascii="宋体" w:hAnsi="宋体"/>
          <w:spacing w:val="-6"/>
          <w:sz w:val="21"/>
          <w:szCs w:val="21"/>
        </w:rPr>
      </w:pPr>
      <w:r>
        <w:rPr>
          <w:rFonts w:hint="eastAsia" w:ascii="宋体" w:hAnsi="宋体"/>
          <w:spacing w:val="-6"/>
          <w:sz w:val="21"/>
          <w:szCs w:val="21"/>
        </w:rPr>
        <w:t>服务地点：</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第四条.服务标准、效率</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第五条.服务内容</w:t>
      </w:r>
    </w:p>
    <w:p>
      <w:pPr>
        <w:pStyle w:val="13"/>
      </w:pPr>
    </w:p>
    <w:p>
      <w:pPr>
        <w:adjustRightInd w:val="0"/>
        <w:snapToGrid w:val="0"/>
        <w:spacing w:line="288" w:lineRule="auto"/>
        <w:ind w:right="-686" w:rightChars="-245"/>
        <w:rPr>
          <w:rFonts w:ascii="宋体" w:hAnsi="宋体"/>
          <w:b/>
          <w:spacing w:val="-6"/>
          <w:sz w:val="21"/>
          <w:szCs w:val="21"/>
        </w:rPr>
      </w:pPr>
      <w:r>
        <w:rPr>
          <w:rFonts w:hint="eastAsia" w:ascii="宋体" w:hAnsi="宋体"/>
          <w:b/>
          <w:spacing w:val="-6"/>
          <w:sz w:val="21"/>
          <w:szCs w:val="21"/>
        </w:rPr>
        <w:t>第六条.违约责任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1.乙方逾期履行合同的，自逾期之日起，向甲方每日偿付合同总价0</w:t>
      </w:r>
      <w:r>
        <w:rPr>
          <w:rFonts w:ascii="宋体" w:hAnsi="宋体"/>
          <w:spacing w:val="-6"/>
          <w:sz w:val="21"/>
          <w:szCs w:val="21"/>
        </w:rPr>
        <w:t>.5</w:t>
      </w:r>
      <w:r>
        <w:rPr>
          <w:rFonts w:hint="eastAsia" w:ascii="宋体" w:hAnsi="宋体"/>
          <w:spacing w:val="-6"/>
          <w:sz w:val="21"/>
          <w:szCs w:val="21"/>
        </w:rPr>
        <w:t>%的滞纳金。</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2.甲方逾期支付货款的，自逾期之日起，向乙方每日偿付未付价款0</w:t>
      </w:r>
      <w:r>
        <w:rPr>
          <w:rFonts w:ascii="宋体" w:hAnsi="宋体"/>
          <w:spacing w:val="-6"/>
          <w:sz w:val="21"/>
          <w:szCs w:val="21"/>
        </w:rPr>
        <w:t>.5</w:t>
      </w:r>
      <w:r>
        <w:rPr>
          <w:rFonts w:hint="eastAsia" w:ascii="宋体" w:hAnsi="宋体"/>
          <w:spacing w:val="-6"/>
          <w:sz w:val="21"/>
          <w:szCs w:val="21"/>
        </w:rPr>
        <w:t>%的滞纳金。</w:t>
      </w:r>
    </w:p>
    <w:p>
      <w:pPr>
        <w:adjustRightInd w:val="0"/>
        <w:snapToGrid w:val="0"/>
        <w:spacing w:line="288" w:lineRule="auto"/>
        <w:rPr>
          <w:rFonts w:ascii="宋体" w:hAnsi="宋体"/>
          <w:b/>
          <w:spacing w:val="-6"/>
          <w:sz w:val="21"/>
          <w:szCs w:val="21"/>
        </w:rPr>
      </w:pPr>
      <w:r>
        <w:rPr>
          <w:rFonts w:ascii="宋体" w:hAnsi="宋体"/>
          <w:b/>
          <w:spacing w:val="-6"/>
          <w:sz w:val="21"/>
          <w:szCs w:val="21"/>
        </w:rPr>
        <w:t>第</w:t>
      </w:r>
      <w:r>
        <w:rPr>
          <w:rFonts w:hint="eastAsia" w:ascii="宋体" w:hAnsi="宋体"/>
          <w:b/>
          <w:spacing w:val="-6"/>
          <w:sz w:val="21"/>
          <w:szCs w:val="21"/>
        </w:rPr>
        <w:t>七</w:t>
      </w:r>
      <w:r>
        <w:rPr>
          <w:rFonts w:ascii="宋体" w:hAnsi="宋体"/>
          <w:b/>
          <w:spacing w:val="-6"/>
          <w:sz w:val="21"/>
          <w:szCs w:val="21"/>
        </w:rPr>
        <w:t>条</w:t>
      </w:r>
      <w:r>
        <w:rPr>
          <w:rFonts w:hint="eastAsia" w:ascii="宋体" w:hAnsi="宋体"/>
          <w:b/>
          <w:spacing w:val="-6"/>
          <w:sz w:val="21"/>
          <w:szCs w:val="21"/>
        </w:rPr>
        <w:t>.</w:t>
      </w:r>
      <w:r>
        <w:rPr>
          <w:rFonts w:ascii="宋体" w:hAnsi="宋体"/>
          <w:b/>
          <w:spacing w:val="-6"/>
          <w:sz w:val="21"/>
          <w:szCs w:val="21"/>
        </w:rPr>
        <w:t>不可抗力事件处理</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2.不可抗力事件发生后，应立即通知对方，并寄送有关权威机构出具的证明。</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3.不可抗力事件延续120天以上，双方应通过友好协商，确定是否继续履行合同。</w:t>
      </w:r>
    </w:p>
    <w:p>
      <w:pPr>
        <w:adjustRightInd w:val="0"/>
        <w:snapToGrid w:val="0"/>
        <w:spacing w:line="288" w:lineRule="auto"/>
        <w:ind w:right="-686" w:rightChars="-245"/>
        <w:rPr>
          <w:rFonts w:ascii="宋体" w:hAnsi="宋体"/>
          <w:b/>
          <w:spacing w:val="-6"/>
          <w:sz w:val="21"/>
          <w:szCs w:val="21"/>
        </w:rPr>
      </w:pPr>
      <w:r>
        <w:rPr>
          <w:rFonts w:hint="eastAsia" w:ascii="宋体" w:hAnsi="宋体"/>
          <w:b/>
          <w:spacing w:val="-6"/>
          <w:sz w:val="21"/>
          <w:szCs w:val="21"/>
        </w:rPr>
        <w:t>第八条.争议解决</w:t>
      </w:r>
    </w:p>
    <w:p>
      <w:pPr>
        <w:adjustRightInd w:val="0"/>
        <w:snapToGrid w:val="0"/>
        <w:spacing w:line="288" w:lineRule="auto"/>
        <w:ind w:right="31" w:rightChars="11" w:firstLine="396" w:firstLineChars="200"/>
        <w:rPr>
          <w:rFonts w:ascii="宋体" w:hAnsi="宋体"/>
          <w:spacing w:val="-6"/>
          <w:sz w:val="21"/>
          <w:szCs w:val="21"/>
        </w:rPr>
      </w:pPr>
      <w:r>
        <w:rPr>
          <w:rFonts w:hint="eastAsia" w:ascii="宋体" w:hAnsi="宋体"/>
          <w:spacing w:val="-6"/>
          <w:sz w:val="21"/>
          <w:szCs w:val="21"/>
        </w:rPr>
        <w:t>因本合同发生纠纷，甲乙双方应当及时协商，协商不成时，任何一方可向甲方所在地人民法院起诉。</w:t>
      </w:r>
    </w:p>
    <w:p>
      <w:pPr>
        <w:adjustRightInd w:val="0"/>
        <w:snapToGrid w:val="0"/>
        <w:spacing w:line="288" w:lineRule="auto"/>
        <w:ind w:right="-686" w:rightChars="-245"/>
        <w:rPr>
          <w:rFonts w:ascii="宋体" w:hAnsi="宋体"/>
          <w:b/>
          <w:spacing w:val="-6"/>
          <w:sz w:val="21"/>
          <w:szCs w:val="21"/>
        </w:rPr>
      </w:pPr>
      <w:r>
        <w:rPr>
          <w:rFonts w:hint="eastAsia" w:ascii="宋体" w:hAnsi="宋体"/>
          <w:b/>
          <w:spacing w:val="-6"/>
          <w:sz w:val="21"/>
          <w:szCs w:val="21"/>
        </w:rPr>
        <w:t>第九条.合同生效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合同经甲、乙双方法定代表人或授权代表签名并加盖单位公章后生效。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本合同附件、磋商文件、响应文件、询标澄清、成交通知书均为合同的组成部分，与本合同具有同等法律效力。</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第十条.合同份数</w:t>
      </w:r>
    </w:p>
    <w:p>
      <w:pPr>
        <w:adjustRightInd w:val="0"/>
        <w:snapToGrid w:val="0"/>
        <w:spacing w:line="288" w:lineRule="auto"/>
        <w:ind w:firstLine="396" w:firstLineChars="200"/>
        <w:rPr>
          <w:rFonts w:ascii="宋体" w:hAnsi="宋体" w:cs="宋体"/>
          <w:b/>
          <w:spacing w:val="-6"/>
          <w:sz w:val="21"/>
          <w:szCs w:val="21"/>
        </w:rPr>
      </w:pPr>
      <w:r>
        <w:rPr>
          <w:rFonts w:hint="eastAsia" w:ascii="宋体" w:hAnsi="宋体"/>
          <w:spacing w:val="-6"/>
          <w:sz w:val="21"/>
          <w:szCs w:val="21"/>
        </w:rPr>
        <w:t>本合同一式五份，甲方执贰份，乙方执贰份，采购代理机构执一份。</w:t>
      </w:r>
    </w:p>
    <w:tbl>
      <w:tblPr>
        <w:tblStyle w:val="2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甲方（需方）：（公章/合同专用章）</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甲方代表：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乙方代表：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地址：</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电话：</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开户银行：</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z w:val="21"/>
                <w:szCs w:val="21"/>
              </w:rPr>
            </w:pPr>
            <w:r>
              <w:rPr>
                <w:rFonts w:hint="eastAsia" w:ascii="宋体" w:hAnsi="宋体"/>
                <w:sz w:val="21"/>
                <w:szCs w:val="21"/>
              </w:rPr>
              <w:t>账号：</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spacing w:val="-6"/>
                <w:sz w:val="21"/>
                <w:szCs w:val="21"/>
              </w:rPr>
              <w:t>采购代理机构代表：</w:t>
            </w:r>
          </w:p>
          <w:p>
            <w:pPr>
              <w:adjustRightInd w:val="0"/>
              <w:snapToGrid w:val="0"/>
              <w:spacing w:line="288" w:lineRule="auto"/>
              <w:rPr>
                <w:rFonts w:ascii="宋体" w:hAnsi="宋体"/>
                <w:spacing w:val="-6"/>
                <w:sz w:val="21"/>
                <w:szCs w:val="21"/>
              </w:rPr>
            </w:pPr>
            <w:r>
              <w:rPr>
                <w:rFonts w:hint="eastAsia" w:ascii="宋体" w:hAnsi="宋体"/>
                <w:spacing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cs="宋体"/>
                <w:sz w:val="21"/>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spacing w:val="-6"/>
                <w:sz w:val="21"/>
                <w:szCs w:val="21"/>
              </w:rPr>
            </w:pPr>
            <w:r>
              <w:rPr>
                <w:rFonts w:hint="eastAsia" w:ascii="宋体" w:hAnsi="宋体" w:cs="宋体"/>
                <w:sz w:val="21"/>
                <w:szCs w:val="21"/>
              </w:rPr>
              <w:t>电话：0571-87666119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spacing w:val="-6"/>
                <w:sz w:val="21"/>
                <w:szCs w:val="21"/>
              </w:rPr>
            </w:pPr>
            <w:r>
              <w:rPr>
                <w:rFonts w:hint="eastAsia" w:ascii="宋体" w:hAnsi="宋体"/>
                <w:spacing w:val="-6"/>
                <w:sz w:val="21"/>
                <w:szCs w:val="21"/>
              </w:rPr>
              <w:t>鉴证日期：      年    月    日</w:t>
            </w:r>
          </w:p>
        </w:tc>
      </w:tr>
    </w:tbl>
    <w:p>
      <w:pPr>
        <w:pStyle w:val="16"/>
        <w:adjustRightInd w:val="0"/>
        <w:snapToGrid w:val="0"/>
        <w:spacing w:beforeLines="0" w:afterLines="0" w:line="288" w:lineRule="auto"/>
        <w:ind w:left="5103" w:hanging="5103" w:hangingChars="2430"/>
        <w:rPr>
          <w:rFonts w:hAnsi="宋体"/>
          <w:sz w:val="21"/>
          <w:szCs w:val="21"/>
        </w:rPr>
      </w:pPr>
    </w:p>
    <w:p>
      <w:pPr>
        <w:pStyle w:val="16"/>
        <w:snapToGrid w:val="0"/>
        <w:spacing w:beforeLines="0" w:afterLines="0" w:line="288" w:lineRule="auto"/>
        <w:rPr>
          <w:rFonts w:hAnsi="宋体"/>
          <w:b/>
          <w:spacing w:val="-6"/>
        </w:rPr>
      </w:pPr>
    </w:p>
    <w:p>
      <w:pPr>
        <w:pStyle w:val="16"/>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t>第六章</w:t>
      </w:r>
      <w:r>
        <w:rPr>
          <w:rFonts w:hint="eastAsia" w:hAnsi="宋体"/>
          <w:b/>
          <w:spacing w:val="-6"/>
          <w:sz w:val="32"/>
          <w:szCs w:val="32"/>
        </w:rPr>
        <w:t xml:space="preserve">  </w:t>
      </w:r>
      <w:r>
        <w:rPr>
          <w:rFonts w:hAnsi="宋体"/>
          <w:b/>
          <w:spacing w:val="-6"/>
          <w:sz w:val="32"/>
          <w:szCs w:val="32"/>
        </w:rPr>
        <w:t>投标文件格式</w:t>
      </w:r>
    </w:p>
    <w:p>
      <w:pPr>
        <w:adjustRightInd w:val="0"/>
        <w:snapToGrid w:val="0"/>
        <w:spacing w:line="288" w:lineRule="auto"/>
        <w:rPr>
          <w:rFonts w:ascii="宋体" w:hAnsi="宋体"/>
          <w:b/>
          <w:bCs/>
          <w:spacing w:val="-6"/>
          <w:sz w:val="21"/>
          <w:szCs w:val="21"/>
        </w:rPr>
      </w:pPr>
    </w:p>
    <w:p>
      <w:pPr>
        <w:adjustRightInd w:val="0"/>
        <w:snapToGrid w:val="0"/>
        <w:spacing w:line="288" w:lineRule="auto"/>
        <w:jc w:val="center"/>
        <w:outlineLvl w:val="2"/>
        <w:rPr>
          <w:rFonts w:ascii="宋体" w:hAnsi="宋体"/>
          <w:b/>
          <w:bCs/>
          <w:spacing w:val="-6"/>
          <w:sz w:val="21"/>
          <w:szCs w:val="21"/>
        </w:rPr>
      </w:pPr>
      <w:r>
        <w:rPr>
          <w:rFonts w:hint="eastAsia" w:ascii="宋体" w:hAnsi="宋体"/>
          <w:b/>
          <w:bCs/>
          <w:spacing w:val="-6"/>
          <w:sz w:val="21"/>
          <w:szCs w:val="21"/>
        </w:rPr>
        <w:t xml:space="preserve">目 </w:t>
      </w:r>
      <w:r>
        <w:rPr>
          <w:rFonts w:ascii="宋体" w:hAnsi="宋体"/>
          <w:b/>
          <w:bCs/>
          <w:spacing w:val="-6"/>
          <w:sz w:val="21"/>
          <w:szCs w:val="21"/>
        </w:rPr>
        <w:t xml:space="preserve"> </w:t>
      </w:r>
      <w:r>
        <w:rPr>
          <w:rFonts w:hint="eastAsia" w:ascii="宋体" w:hAnsi="宋体"/>
          <w:b/>
          <w:bCs/>
          <w:spacing w:val="-6"/>
          <w:sz w:val="21"/>
          <w:szCs w:val="21"/>
        </w:rPr>
        <w:t>录</w:t>
      </w:r>
    </w:p>
    <w:p>
      <w:pPr>
        <w:adjustRightInd w:val="0"/>
        <w:snapToGrid w:val="0"/>
        <w:spacing w:line="288" w:lineRule="auto"/>
        <w:jc w:val="left"/>
        <w:rPr>
          <w:rFonts w:ascii="宋体" w:hAnsi="宋体"/>
          <w:spacing w:val="-6"/>
          <w:sz w:val="21"/>
          <w:szCs w:val="21"/>
        </w:rPr>
      </w:pPr>
    </w:p>
    <w:p>
      <w:pPr>
        <w:adjustRightInd w:val="0"/>
        <w:snapToGrid w:val="0"/>
        <w:spacing w:line="288" w:lineRule="auto"/>
        <w:ind w:firstLine="396" w:firstLineChars="200"/>
        <w:jc w:val="left"/>
        <w:rPr>
          <w:rFonts w:ascii="宋体" w:hAnsi="宋体"/>
          <w:b/>
          <w:spacing w:val="-6"/>
          <w:sz w:val="21"/>
          <w:szCs w:val="21"/>
        </w:rPr>
      </w:pPr>
      <w:r>
        <w:rPr>
          <w:rFonts w:ascii="宋体" w:hAnsi="宋体"/>
          <w:spacing w:val="-6"/>
          <w:sz w:val="21"/>
          <w:szCs w:val="21"/>
        </w:rPr>
        <w:t>▲</w:t>
      </w:r>
      <w:r>
        <w:rPr>
          <w:rFonts w:ascii="宋体" w:hAnsi="宋体"/>
          <w:b/>
          <w:spacing w:val="-6"/>
          <w:sz w:val="21"/>
          <w:szCs w:val="21"/>
        </w:rPr>
        <w:t>1.</w:t>
      </w:r>
      <w:r>
        <w:rPr>
          <w:rFonts w:hint="eastAsia" w:ascii="宋体" w:hAnsi="宋体"/>
          <w:b/>
          <w:spacing w:val="-6"/>
          <w:sz w:val="21"/>
          <w:szCs w:val="21"/>
        </w:rPr>
        <w:t>资格文件</w:t>
      </w:r>
      <w:bookmarkStart w:id="88" w:name="_Hlk140130933"/>
      <w:r>
        <w:rPr>
          <w:rFonts w:hint="eastAsia" w:ascii="宋体" w:hAnsi="宋体"/>
          <w:b/>
          <w:spacing w:val="-6"/>
          <w:sz w:val="21"/>
          <w:szCs w:val="21"/>
        </w:rPr>
        <w:t>。资格审查要求的资格证明材料（均需加盖公章）</w:t>
      </w:r>
      <w:bookmarkEnd w:id="88"/>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（1）有效的法人或者其他组织的营业执照等证明文件（复印件），自然人的身份证明；</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（2）符合参加政府采购活动应当具备的一般条件的承诺函</w:t>
      </w:r>
    </w:p>
    <w:p>
      <w:pPr>
        <w:adjustRightInd w:val="0"/>
        <w:snapToGrid w:val="0"/>
        <w:spacing w:line="288" w:lineRule="auto"/>
        <w:jc w:val="left"/>
        <w:rPr>
          <w:rFonts w:ascii="宋体" w:hAnsi="宋体"/>
          <w:b/>
          <w:spacing w:val="-6"/>
          <w:sz w:val="21"/>
          <w:szCs w:val="21"/>
        </w:rPr>
      </w:pPr>
    </w:p>
    <w:p>
      <w:pPr>
        <w:adjustRightInd w:val="0"/>
        <w:snapToGrid w:val="0"/>
        <w:spacing w:line="288" w:lineRule="auto"/>
        <w:ind w:firstLine="398" w:firstLineChars="200"/>
        <w:jc w:val="left"/>
        <w:rPr>
          <w:rFonts w:ascii="宋体" w:hAnsi="宋体"/>
          <w:b/>
          <w:spacing w:val="-6"/>
          <w:sz w:val="21"/>
          <w:szCs w:val="21"/>
        </w:rPr>
      </w:pPr>
      <w:r>
        <w:rPr>
          <w:rFonts w:ascii="宋体" w:hAnsi="宋体"/>
          <w:b/>
          <w:spacing w:val="-6"/>
          <w:sz w:val="21"/>
          <w:szCs w:val="21"/>
        </w:rPr>
        <w:t>2.</w:t>
      </w:r>
      <w:r>
        <w:rPr>
          <w:rFonts w:hint="eastAsia" w:ascii="宋体" w:hAnsi="宋体"/>
          <w:b/>
          <w:spacing w:val="-6"/>
          <w:sz w:val="21"/>
          <w:szCs w:val="21"/>
        </w:rPr>
        <w:t>商务和技术文件</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（1）投标函</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（2）授权委托书/法定代表人（单位负责人、自然人本人）身份证明</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附：授权代表社保缴纳证明（2023年6月（含）以后任意一月）</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3</w:t>
      </w:r>
      <w:r>
        <w:rPr>
          <w:rFonts w:hint="eastAsia" w:hAnsi="宋体"/>
          <w:spacing w:val="-6"/>
          <w:sz w:val="21"/>
          <w:szCs w:val="21"/>
        </w:rPr>
        <w:t>）投标人同类合同一览表</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w:t>
      </w:r>
      <w:r>
        <w:rPr>
          <w:rFonts w:ascii="宋体" w:hAnsi="宋体"/>
          <w:spacing w:val="-6"/>
          <w:sz w:val="21"/>
          <w:szCs w:val="21"/>
        </w:rPr>
        <w:t>4</w:t>
      </w:r>
      <w:r>
        <w:rPr>
          <w:rFonts w:hint="eastAsia" w:ascii="宋体" w:hAnsi="宋体"/>
          <w:spacing w:val="-6"/>
          <w:sz w:val="21"/>
          <w:szCs w:val="21"/>
        </w:rPr>
        <w:t>）采购</w:t>
      </w:r>
      <w:r>
        <w:rPr>
          <w:rFonts w:ascii="宋体" w:hAnsi="宋体"/>
          <w:spacing w:val="-6"/>
          <w:sz w:val="21"/>
          <w:szCs w:val="21"/>
        </w:rPr>
        <w:t>需求</w:t>
      </w:r>
      <w:r>
        <w:rPr>
          <w:rFonts w:hint="eastAsia" w:ascii="宋体" w:hAnsi="宋体"/>
          <w:spacing w:val="-6"/>
          <w:sz w:val="21"/>
          <w:szCs w:val="21"/>
        </w:rPr>
        <w:t>偏离表</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（5）实施方案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（6）内部管理方案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（7）应急处理方案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（8）消防安全方案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（9）协助维稳方案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（10）服务过程所需物资方案</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（11）其他服务承诺</w:t>
      </w:r>
    </w:p>
    <w:p>
      <w:pPr>
        <w:adjustRightInd w:val="0"/>
        <w:snapToGrid w:val="0"/>
        <w:spacing w:line="288" w:lineRule="auto"/>
        <w:ind w:firstLine="396" w:firstLineChars="200"/>
        <w:jc w:val="left"/>
        <w:rPr>
          <w:rFonts w:ascii="宋体" w:hAnsi="宋体"/>
          <w:spacing w:val="-6"/>
          <w:sz w:val="21"/>
          <w:szCs w:val="21"/>
        </w:rPr>
      </w:pPr>
      <w:r>
        <w:rPr>
          <w:rFonts w:hint="eastAsia" w:ascii="宋体" w:hAnsi="宋体"/>
          <w:spacing w:val="-6"/>
          <w:sz w:val="21"/>
          <w:szCs w:val="21"/>
        </w:rPr>
        <w:t>（12）培训方案</w:t>
      </w:r>
    </w:p>
    <w:p>
      <w:pPr>
        <w:adjustRightInd w:val="0"/>
        <w:snapToGrid w:val="0"/>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（13</w:t>
      </w:r>
      <w:r>
        <w:rPr>
          <w:rFonts w:ascii="宋体" w:hAnsi="宋体" w:cs="宋体"/>
          <w:spacing w:val="-6"/>
          <w:sz w:val="21"/>
          <w:szCs w:val="21"/>
        </w:rPr>
        <w:t>）投标人需要说明的其他文件和材料。</w:t>
      </w:r>
    </w:p>
    <w:p>
      <w:pPr>
        <w:adjustRightInd w:val="0"/>
        <w:snapToGrid w:val="0"/>
        <w:spacing w:line="288" w:lineRule="auto"/>
        <w:rPr>
          <w:rFonts w:ascii="宋体" w:hAnsi="宋体"/>
          <w:b/>
          <w:bCs/>
          <w:spacing w:val="-6"/>
          <w:sz w:val="21"/>
          <w:szCs w:val="21"/>
        </w:rPr>
      </w:pPr>
    </w:p>
    <w:p>
      <w:pPr>
        <w:adjustRightInd w:val="0"/>
        <w:snapToGrid w:val="0"/>
        <w:spacing w:line="288" w:lineRule="auto"/>
        <w:ind w:firstLine="398" w:firstLineChars="200"/>
        <w:jc w:val="left"/>
        <w:rPr>
          <w:rFonts w:ascii="宋体" w:hAnsi="宋体"/>
          <w:b/>
          <w:spacing w:val="-6"/>
          <w:sz w:val="21"/>
          <w:szCs w:val="21"/>
        </w:rPr>
      </w:pPr>
      <w:r>
        <w:rPr>
          <w:rFonts w:ascii="宋体" w:hAnsi="宋体"/>
          <w:b/>
          <w:spacing w:val="-6"/>
          <w:sz w:val="21"/>
          <w:szCs w:val="21"/>
        </w:rPr>
        <w:t>3.</w:t>
      </w:r>
      <w:r>
        <w:rPr>
          <w:rFonts w:hint="eastAsia" w:ascii="宋体" w:hAnsi="宋体"/>
          <w:b/>
          <w:spacing w:val="-6"/>
          <w:sz w:val="21"/>
          <w:szCs w:val="21"/>
        </w:rPr>
        <w:t>报价文件（单独密封，</w:t>
      </w:r>
      <w:r>
        <w:rPr>
          <w:rFonts w:ascii="宋体" w:hAnsi="宋体"/>
          <w:b/>
          <w:spacing w:val="-6"/>
          <w:sz w:val="21"/>
          <w:szCs w:val="21"/>
        </w:rPr>
        <w:t>如开标时发生报价泄露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（1）开标一览表</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2</w:t>
      </w:r>
      <w:r>
        <w:rPr>
          <w:rFonts w:hint="eastAsia" w:hAnsi="宋体"/>
          <w:spacing w:val="-6"/>
          <w:sz w:val="21"/>
          <w:szCs w:val="21"/>
        </w:rPr>
        <w:t>）中小企业声明函（若属于中小企业）</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3</w:t>
      </w:r>
      <w:r>
        <w:rPr>
          <w:rFonts w:hint="eastAsia" w:hAnsi="宋体"/>
          <w:spacing w:val="-6"/>
          <w:sz w:val="21"/>
          <w:szCs w:val="21"/>
        </w:rPr>
        <w:t>）属于监狱企业的证明文件（若属于监狱企业）</w:t>
      </w:r>
    </w:p>
    <w:p>
      <w:pPr>
        <w:pStyle w:val="14"/>
        <w:adjustRightInd w:val="0"/>
        <w:snapToGrid w:val="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4</w:t>
      </w:r>
      <w:r>
        <w:rPr>
          <w:rFonts w:hint="eastAsia" w:hAnsi="宋体"/>
          <w:spacing w:val="-6"/>
          <w:sz w:val="21"/>
          <w:szCs w:val="21"/>
        </w:rPr>
        <w:t>）</w:t>
      </w:r>
      <w:bookmarkStart w:id="89" w:name="OLE_LINK13"/>
      <w:bookmarkStart w:id="90" w:name="OLE_LINK14"/>
      <w:r>
        <w:rPr>
          <w:rFonts w:hint="eastAsia" w:hAnsi="宋体"/>
          <w:spacing w:val="-6"/>
          <w:sz w:val="21"/>
          <w:szCs w:val="21"/>
        </w:rPr>
        <w:t>残疾人福利性单位声明函</w:t>
      </w:r>
      <w:bookmarkEnd w:id="89"/>
      <w:bookmarkEnd w:id="90"/>
      <w:r>
        <w:rPr>
          <w:rFonts w:hint="eastAsia" w:hAnsi="宋体"/>
          <w:spacing w:val="-6"/>
          <w:sz w:val="21"/>
          <w:szCs w:val="21"/>
        </w:rPr>
        <w:t>（若属于残疾人福利性单位）</w:t>
      </w:r>
    </w:p>
    <w:p>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pPr>
        <w:pStyle w:val="14"/>
        <w:adjustRightInd w:val="0"/>
        <w:snapToGrid w:val="0"/>
        <w:spacing w:line="288" w:lineRule="auto"/>
        <w:jc w:val="center"/>
        <w:outlineLvl w:val="3"/>
        <w:rPr>
          <w:rFonts w:hAnsi="宋体"/>
          <w:b/>
          <w:bCs/>
          <w:spacing w:val="-6"/>
          <w:sz w:val="21"/>
          <w:szCs w:val="21"/>
        </w:rPr>
      </w:pPr>
      <w:r>
        <w:rPr>
          <w:rFonts w:hint="eastAsia" w:hAnsi="宋体"/>
          <w:b/>
          <w:bCs/>
          <w:spacing w:val="-6"/>
          <w:sz w:val="21"/>
          <w:szCs w:val="21"/>
        </w:rPr>
        <w:t>外层包装（封签）</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投 标 文 件</w:t>
      </w:r>
    </w:p>
    <w:p>
      <w:pPr>
        <w:adjustRightInd w:val="0"/>
        <w:snapToGrid w:val="0"/>
        <w:spacing w:line="288" w:lineRule="auto"/>
        <w:jc w:val="center"/>
        <w:rPr>
          <w:rFonts w:ascii="宋体" w:hAnsi="宋体"/>
          <w:bCs/>
          <w:spacing w:val="-6"/>
          <w:sz w:val="21"/>
          <w:szCs w:val="21"/>
        </w:rPr>
      </w:pPr>
      <w:bookmarkStart w:id="91" w:name="_Hlk140131819"/>
      <w:r>
        <w:rPr>
          <w:rFonts w:hint="eastAsia" w:ascii="宋体" w:hAnsi="宋体"/>
          <w:bCs/>
          <w:spacing w:val="-6"/>
          <w:sz w:val="21"/>
          <w:szCs w:val="21"/>
        </w:rPr>
        <w:t>（资格文件、商务和技术文件）</w:t>
      </w:r>
    </w:p>
    <w:bookmarkEnd w:id="91"/>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采购人：浙江大学海南研究院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项目名称：浙江大学海南研究院先进技术与产业创新平台物业服务</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项目编号：QSZB-F(F)-A24073(GK)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在  年  月  日  时  分之前不得启封</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spacing w:val="-6"/>
          <w:sz w:val="21"/>
          <w:szCs w:val="21"/>
        </w:rPr>
        <w:t>投标人代表签名</w:t>
      </w:r>
      <w:r>
        <w:rPr>
          <w:rFonts w:hint="eastAsia" w:ascii="宋体" w:hAnsi="宋体"/>
          <w:bCs/>
          <w:spacing w:val="-6"/>
          <w:sz w:val="21"/>
          <w:szCs w:val="21"/>
        </w:rPr>
        <w:t>：</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outlineLvl w:val="3"/>
        <w:rPr>
          <w:rFonts w:ascii="宋体" w:hAnsi="宋体"/>
          <w:b/>
          <w:spacing w:val="-6"/>
          <w:sz w:val="21"/>
          <w:szCs w:val="21"/>
        </w:rPr>
      </w:pPr>
      <w:r>
        <w:rPr>
          <w:rFonts w:ascii="宋体" w:hAnsi="宋体"/>
          <w:bCs/>
          <w:spacing w:val="-6"/>
          <w:sz w:val="21"/>
          <w:szCs w:val="21"/>
        </w:rPr>
        <w:br w:type="page"/>
      </w:r>
      <w:r>
        <w:rPr>
          <w:rFonts w:hint="eastAsia" w:ascii="宋体" w:hAnsi="宋体"/>
          <w:b/>
          <w:spacing w:val="-6"/>
          <w:sz w:val="21"/>
          <w:szCs w:val="21"/>
        </w:rPr>
        <w:t>资格文件、商务和技术文件封面</w:t>
      </w:r>
    </w:p>
    <w:p>
      <w:pPr>
        <w:adjustRightInd w:val="0"/>
        <w:snapToGrid w:val="0"/>
        <w:spacing w:line="288" w:lineRule="auto"/>
        <w:jc w:val="right"/>
        <w:rPr>
          <w:rFonts w:ascii="宋体" w:hAnsi="宋体"/>
          <w:b/>
          <w:bCs/>
          <w:spacing w:val="-6"/>
          <w:sz w:val="21"/>
          <w:szCs w:val="21"/>
        </w:rPr>
      </w:pPr>
      <w:r>
        <w:rPr>
          <w:rFonts w:hint="eastAsia" w:ascii="宋体" w:hAnsi="宋体"/>
          <w:b/>
          <w:bCs/>
          <w:spacing w:val="-6"/>
          <w:sz w:val="21"/>
          <w:szCs w:val="21"/>
        </w:rPr>
        <w:t>正本或副本</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____________________（投标人名称）</w:t>
      </w:r>
    </w:p>
    <w:p>
      <w:pPr>
        <w:adjustRightInd w:val="0"/>
        <w:snapToGrid w:val="0"/>
        <w:spacing w:line="288" w:lineRule="auto"/>
        <w:rPr>
          <w:rFonts w:ascii="宋体" w:hAnsi="宋体"/>
          <w:bCs/>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投 标 文 件</w:t>
      </w:r>
    </w:p>
    <w:p>
      <w:pPr>
        <w:adjustRightInd w:val="0"/>
        <w:snapToGrid w:val="0"/>
        <w:spacing w:line="288" w:lineRule="auto"/>
        <w:jc w:val="center"/>
        <w:rPr>
          <w:rFonts w:ascii="宋体" w:hAnsi="宋体"/>
          <w:b/>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
          <w:bCs/>
          <w:spacing w:val="-6"/>
          <w:sz w:val="21"/>
          <w:szCs w:val="21"/>
        </w:rPr>
        <w:t>（资格文件、商务和技术文件）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采购人：浙江大学海南研究院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项目名称：浙江大学海南研究院先进技术与产业创新平台物业服务</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项目编号：QSZB-F(F)-A24073(GK)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投标人代表签名：</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tabs>
          <w:tab w:val="center" w:pos="4706"/>
        </w:tabs>
        <w:adjustRightInd w:val="0"/>
        <w:snapToGrid w:val="0"/>
        <w:spacing w:line="288" w:lineRule="auto"/>
        <w:jc w:val="center"/>
        <w:outlineLvl w:val="2"/>
        <w:rPr>
          <w:rFonts w:ascii="宋体" w:hAnsi="宋体"/>
          <w:b/>
          <w:spacing w:val="-6"/>
          <w:sz w:val="21"/>
          <w:szCs w:val="21"/>
        </w:rPr>
      </w:pPr>
      <w:r>
        <w:rPr>
          <w:rFonts w:ascii="宋体" w:hAnsi="宋体"/>
          <w:bCs/>
          <w:spacing w:val="-6"/>
          <w:sz w:val="21"/>
          <w:szCs w:val="21"/>
        </w:rPr>
        <w:br w:type="page"/>
      </w:r>
      <w:r>
        <w:rPr>
          <w:rFonts w:hint="eastAsia" w:ascii="宋体" w:hAnsi="宋体"/>
          <w:b/>
          <w:spacing w:val="-6"/>
          <w:sz w:val="21"/>
          <w:szCs w:val="21"/>
        </w:rPr>
        <w:t>评分索引表</w:t>
      </w:r>
    </w:p>
    <w:tbl>
      <w:tblPr>
        <w:tblStyle w:val="25"/>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040" w:type="dxa"/>
            <w:vAlign w:val="center"/>
          </w:tcPr>
          <w:p>
            <w:pPr>
              <w:pStyle w:val="54"/>
              <w:adjustRightInd w:val="0"/>
              <w:snapToGrid w:val="0"/>
              <w:spacing w:line="288" w:lineRule="auto"/>
              <w:ind w:firstLine="398"/>
              <w:rPr>
                <w:rFonts w:hint="default" w:ascii="宋体" w:hAnsi="宋体" w:eastAsia="宋体"/>
                <w:b/>
                <w:spacing w:val="-6"/>
                <w:sz w:val="21"/>
                <w:szCs w:val="21"/>
              </w:rPr>
            </w:pPr>
            <w:r>
              <w:rPr>
                <w:rFonts w:ascii="宋体" w:hAnsi="宋体" w:eastAsia="宋体"/>
                <w:b/>
                <w:spacing w:val="-6"/>
                <w:sz w:val="21"/>
                <w:szCs w:val="21"/>
              </w:rPr>
              <w:t>评分标准</w:t>
            </w:r>
          </w:p>
        </w:tc>
        <w:tc>
          <w:tcPr>
            <w:tcW w:w="967" w:type="dxa"/>
            <w:vAlign w:val="center"/>
          </w:tcPr>
          <w:p>
            <w:pPr>
              <w:pStyle w:val="54"/>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54"/>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54"/>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pStyle w:val="54"/>
              <w:adjustRightInd w:val="0"/>
              <w:snapToGrid w:val="0"/>
              <w:spacing w:line="288" w:lineRule="auto"/>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kern w:val="0"/>
                <w:sz w:val="21"/>
                <w:szCs w:val="21"/>
              </w:rPr>
            </w:pPr>
          </w:p>
        </w:tc>
        <w:tc>
          <w:tcPr>
            <w:tcW w:w="2091" w:type="dxa"/>
            <w:vAlign w:val="center"/>
          </w:tcPr>
          <w:p>
            <w:pPr>
              <w:adjustRightInd w:val="0"/>
              <w:snapToGrid w:val="0"/>
              <w:spacing w:line="288" w:lineRule="auto"/>
              <w:jc w:val="center"/>
              <w:rPr>
                <w:rFonts w:ascii="宋体" w:hAnsi="宋体"/>
                <w:kern w:val="0"/>
                <w:sz w:val="21"/>
                <w:szCs w:val="21"/>
              </w:rPr>
            </w:pPr>
          </w:p>
        </w:tc>
        <w:tc>
          <w:tcPr>
            <w:tcW w:w="709" w:type="dxa"/>
            <w:vAlign w:val="center"/>
          </w:tcPr>
          <w:p>
            <w:pPr>
              <w:adjustRightInd w:val="0"/>
              <w:snapToGrid w:val="0"/>
              <w:spacing w:line="288" w:lineRule="auto"/>
              <w:jc w:val="center"/>
              <w:rPr>
                <w:rFonts w:ascii="宋体" w:hAnsi="宋体"/>
                <w:kern w:val="0"/>
                <w:sz w:val="21"/>
                <w:szCs w:val="21"/>
              </w:rPr>
            </w:pPr>
          </w:p>
        </w:tc>
        <w:tc>
          <w:tcPr>
            <w:tcW w:w="3040" w:type="dxa"/>
            <w:vAlign w:val="center"/>
          </w:tcPr>
          <w:p>
            <w:pPr>
              <w:adjustRightInd w:val="0"/>
              <w:snapToGrid w:val="0"/>
              <w:spacing w:line="288" w:lineRule="auto"/>
              <w:rPr>
                <w:rFonts w:ascii="宋体" w:hAnsi="宋体"/>
                <w:kern w:val="0"/>
                <w:sz w:val="21"/>
                <w:szCs w:val="21"/>
              </w:rPr>
            </w:pPr>
          </w:p>
        </w:tc>
        <w:tc>
          <w:tcPr>
            <w:tcW w:w="967" w:type="dxa"/>
            <w:vAlign w:val="center"/>
          </w:tcPr>
          <w:p>
            <w:pPr>
              <w:adjustRightInd w:val="0"/>
              <w:snapToGrid w:val="0"/>
              <w:spacing w:line="288" w:lineRule="auto"/>
              <w:jc w:val="center"/>
              <w:rPr>
                <w:rFonts w:ascii="宋体" w:hAnsi="宋体"/>
                <w:sz w:val="21"/>
                <w:szCs w:val="21"/>
              </w:rPr>
            </w:pPr>
          </w:p>
        </w:tc>
        <w:tc>
          <w:tcPr>
            <w:tcW w:w="1053" w:type="dxa"/>
            <w:vAlign w:val="center"/>
          </w:tcPr>
          <w:p>
            <w:pPr>
              <w:adjustRightInd w:val="0"/>
              <w:snapToGrid w:val="0"/>
              <w:spacing w:line="288" w:lineRule="auto"/>
              <w:jc w:val="center"/>
              <w:rPr>
                <w:rFonts w:ascii="宋体" w:hAnsi="宋体"/>
                <w:sz w:val="21"/>
                <w:szCs w:val="21"/>
              </w:rPr>
            </w:pPr>
          </w:p>
        </w:tc>
        <w:tc>
          <w:tcPr>
            <w:tcW w:w="881" w:type="dxa"/>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pStyle w:val="14"/>
              <w:adjustRightInd w:val="0"/>
              <w:snapToGrid w:val="0"/>
              <w:spacing w:line="288" w:lineRule="auto"/>
              <w:ind w:firstLine="0"/>
              <w:jc w:val="center"/>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spacing w:val="-6"/>
                <w:sz w:val="21"/>
                <w:szCs w:val="21"/>
              </w:rPr>
            </w:pPr>
          </w:p>
        </w:tc>
        <w:tc>
          <w:tcPr>
            <w:tcW w:w="2091" w:type="dxa"/>
            <w:vAlign w:val="center"/>
          </w:tcPr>
          <w:p>
            <w:pPr>
              <w:adjustRightInd w:val="0"/>
              <w:snapToGrid w:val="0"/>
              <w:spacing w:line="288" w:lineRule="auto"/>
              <w:jc w:val="center"/>
              <w:rPr>
                <w:rFonts w:ascii="宋体" w:hAnsi="宋体"/>
                <w:spacing w:val="-6"/>
                <w:sz w:val="21"/>
                <w:szCs w:val="21"/>
              </w:rPr>
            </w:pPr>
          </w:p>
        </w:tc>
        <w:tc>
          <w:tcPr>
            <w:tcW w:w="709" w:type="dxa"/>
            <w:vAlign w:val="center"/>
          </w:tcPr>
          <w:p>
            <w:pPr>
              <w:adjustRightInd w:val="0"/>
              <w:snapToGrid w:val="0"/>
              <w:spacing w:line="288" w:lineRule="auto"/>
              <w:jc w:val="center"/>
              <w:rPr>
                <w:rFonts w:ascii="宋体" w:hAnsi="宋体"/>
                <w:spacing w:val="-6"/>
                <w:sz w:val="21"/>
                <w:szCs w:val="21"/>
              </w:rPr>
            </w:pPr>
          </w:p>
        </w:tc>
        <w:tc>
          <w:tcPr>
            <w:tcW w:w="3040" w:type="dxa"/>
            <w:vAlign w:val="center"/>
          </w:tcPr>
          <w:p>
            <w:pPr>
              <w:adjustRightInd w:val="0"/>
              <w:snapToGrid w:val="0"/>
              <w:spacing w:line="288" w:lineRule="auto"/>
              <w:rPr>
                <w:rFonts w:ascii="宋体" w:hAnsi="宋体"/>
                <w:spacing w:val="-6"/>
                <w:sz w:val="21"/>
                <w:szCs w:val="21"/>
              </w:rPr>
            </w:pPr>
          </w:p>
        </w:tc>
        <w:tc>
          <w:tcPr>
            <w:tcW w:w="967" w:type="dxa"/>
            <w:vAlign w:val="center"/>
          </w:tcPr>
          <w:p>
            <w:pPr>
              <w:adjustRightInd w:val="0"/>
              <w:snapToGrid w:val="0"/>
              <w:spacing w:line="288" w:lineRule="auto"/>
              <w:jc w:val="center"/>
              <w:rPr>
                <w:rFonts w:ascii="宋体" w:hAnsi="宋体"/>
                <w:spacing w:val="-6"/>
                <w:sz w:val="21"/>
                <w:szCs w:val="21"/>
              </w:rPr>
            </w:pPr>
          </w:p>
        </w:tc>
        <w:tc>
          <w:tcPr>
            <w:tcW w:w="1053" w:type="dxa"/>
            <w:vAlign w:val="center"/>
          </w:tcPr>
          <w:p>
            <w:pPr>
              <w:adjustRightInd w:val="0"/>
              <w:snapToGrid w:val="0"/>
              <w:spacing w:line="288" w:lineRule="auto"/>
              <w:jc w:val="center"/>
              <w:rPr>
                <w:rFonts w:ascii="宋体" w:hAnsi="宋体"/>
                <w:spacing w:val="-6"/>
                <w:sz w:val="21"/>
                <w:szCs w:val="21"/>
              </w:rPr>
            </w:pPr>
          </w:p>
        </w:tc>
        <w:tc>
          <w:tcPr>
            <w:tcW w:w="881" w:type="dxa"/>
          </w:tcPr>
          <w:p>
            <w:pPr>
              <w:adjustRightInd w:val="0"/>
              <w:snapToGrid w:val="0"/>
              <w:spacing w:line="288" w:lineRule="auto"/>
              <w:jc w:val="center"/>
              <w:rPr>
                <w:rFonts w:ascii="宋体" w:hAnsi="宋体"/>
                <w:spacing w:val="-6"/>
                <w:sz w:val="21"/>
                <w:szCs w:val="21"/>
              </w:rPr>
            </w:pP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备注：本表仅为方便评标委员会评审使用，不作为判别投标文件是否有效的依据。</w:t>
      </w:r>
    </w:p>
    <w:p>
      <w:pPr>
        <w:pStyle w:val="14"/>
        <w:adjustRightInd w:val="0"/>
        <w:snapToGrid w:val="0"/>
        <w:spacing w:line="288" w:lineRule="auto"/>
        <w:ind w:firstLine="0"/>
        <w:jc w:val="center"/>
        <w:rPr>
          <w:rFonts w:hAnsi="宋体"/>
          <w:b/>
          <w:spacing w:val="-6"/>
          <w:sz w:val="21"/>
          <w:szCs w:val="21"/>
        </w:rPr>
      </w:pPr>
      <w:r>
        <w:rPr>
          <w:rFonts w:hAnsi="宋体"/>
          <w:b/>
          <w:spacing w:val="-6"/>
          <w:sz w:val="21"/>
          <w:szCs w:val="21"/>
        </w:rPr>
        <w:br w:type="page"/>
      </w:r>
    </w:p>
    <w:p>
      <w:pPr>
        <w:pStyle w:val="14"/>
        <w:adjustRightInd w:val="0"/>
        <w:snapToGrid w:val="0"/>
        <w:spacing w:line="288" w:lineRule="auto"/>
        <w:ind w:firstLine="0"/>
        <w:jc w:val="center"/>
        <w:outlineLvl w:val="1"/>
        <w:rPr>
          <w:rFonts w:hAnsi="宋体"/>
          <w:b/>
          <w:spacing w:val="-6"/>
          <w:sz w:val="32"/>
          <w:szCs w:val="32"/>
        </w:rPr>
      </w:pPr>
      <w:r>
        <w:rPr>
          <w:rFonts w:hint="eastAsia" w:hAnsi="宋体"/>
          <w:b/>
          <w:spacing w:val="-6"/>
          <w:sz w:val="32"/>
          <w:szCs w:val="32"/>
        </w:rPr>
        <w:t>资格文件</w:t>
      </w:r>
    </w:p>
    <w:p>
      <w:pPr>
        <w:adjustRightInd w:val="0"/>
        <w:snapToGrid w:val="0"/>
        <w:spacing w:line="288" w:lineRule="auto"/>
        <w:rPr>
          <w:rFonts w:ascii="宋体" w:hAnsi="宋体"/>
          <w:b/>
          <w:bCs/>
          <w:sz w:val="21"/>
          <w:szCs w:val="21"/>
        </w:rPr>
      </w:pPr>
    </w:p>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资格审查要求的资格证明材料（均需加盖公章）</w:t>
      </w:r>
    </w:p>
    <w:p>
      <w:pPr>
        <w:adjustRightInd w:val="0"/>
        <w:snapToGrid w:val="0"/>
        <w:spacing w:line="288" w:lineRule="auto"/>
        <w:rPr>
          <w:rFonts w:ascii="宋体" w:hAnsi="宋体"/>
          <w:b/>
          <w:bCs/>
          <w:sz w:val="21"/>
          <w:szCs w:val="21"/>
        </w:rPr>
      </w:pPr>
    </w:p>
    <w:p>
      <w:pPr>
        <w:adjustRightInd w:val="0"/>
        <w:snapToGrid w:val="0"/>
        <w:spacing w:line="288" w:lineRule="auto"/>
        <w:rPr>
          <w:rFonts w:ascii="宋体" w:hAnsi="宋体"/>
          <w:b/>
          <w:bCs/>
          <w:sz w:val="21"/>
          <w:szCs w:val="21"/>
        </w:rPr>
      </w:pPr>
    </w:p>
    <w:p>
      <w:pPr>
        <w:adjustRightInd w:val="0"/>
        <w:snapToGrid w:val="0"/>
        <w:spacing w:line="288" w:lineRule="auto"/>
        <w:rPr>
          <w:rFonts w:ascii="宋体" w:hAnsi="宋体"/>
          <w:b/>
          <w:bCs/>
          <w:sz w:val="21"/>
          <w:szCs w:val="21"/>
        </w:rPr>
      </w:pPr>
    </w:p>
    <w:p>
      <w:pPr>
        <w:adjustRightInd w:val="0"/>
        <w:snapToGrid w:val="0"/>
        <w:spacing w:line="288" w:lineRule="auto"/>
        <w:outlineLvl w:val="2"/>
        <w:rPr>
          <w:rFonts w:ascii="宋体" w:hAnsi="宋体"/>
          <w:sz w:val="21"/>
          <w:szCs w:val="21"/>
        </w:rPr>
      </w:pPr>
      <w:r>
        <w:rPr>
          <w:rFonts w:hint="eastAsia" w:ascii="宋体" w:hAnsi="宋体"/>
          <w:sz w:val="21"/>
          <w:szCs w:val="21"/>
        </w:rPr>
        <w:t>（1）有效的法人或者其他组织的营业执照等证明文件，自然人的身份证明（复印件）</w:t>
      </w:r>
    </w:p>
    <w:p>
      <w:pPr>
        <w:adjustRightInd w:val="0"/>
        <w:snapToGrid w:val="0"/>
        <w:spacing w:line="288" w:lineRule="auto"/>
        <w:rPr>
          <w:rFonts w:ascii="宋体" w:hAnsi="宋体"/>
          <w:spacing w:val="-6"/>
          <w:sz w:val="21"/>
          <w:szCs w:val="21"/>
        </w:rPr>
      </w:pPr>
      <w:r>
        <w:rPr>
          <w:rFonts w:hint="eastAsia" w:ascii="宋体" w:hAnsi="宋体"/>
          <w:spacing w:val="-6"/>
          <w:sz w:val="21"/>
          <w:szCs w:val="21"/>
        </w:rPr>
        <w:t>说明</w:t>
      </w:r>
      <w:r>
        <w:rPr>
          <w:rFonts w:ascii="宋体" w:hAnsi="宋体"/>
          <w:spacing w:val="-6"/>
          <w:sz w:val="21"/>
          <w:szCs w:val="21"/>
        </w:rPr>
        <w:t>：</w:t>
      </w:r>
    </w:p>
    <w:p>
      <w:pPr>
        <w:pStyle w:val="21"/>
        <w:adjustRightInd w:val="0"/>
        <w:snapToGrid w:val="0"/>
        <w:spacing w:line="288" w:lineRule="auto"/>
        <w:ind w:left="396" w:hanging="396"/>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如投标人是企业（包括合伙企业），提供在工商部门注册的有效“企业法人营业执照”或“营业执照”；</w:t>
      </w:r>
    </w:p>
    <w:p>
      <w:pPr>
        <w:pStyle w:val="21"/>
        <w:adjustRightInd w:val="0"/>
        <w:snapToGrid w:val="0"/>
        <w:spacing w:line="288" w:lineRule="auto"/>
        <w:ind w:left="396" w:hanging="396"/>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如投标人是事业单位，提供有效的“事业单位法人证书”；</w:t>
      </w:r>
    </w:p>
    <w:p>
      <w:pPr>
        <w:pStyle w:val="21"/>
        <w:adjustRightInd w:val="0"/>
        <w:snapToGrid w:val="0"/>
        <w:spacing w:line="288" w:lineRule="auto"/>
        <w:ind w:left="396" w:hanging="396"/>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如投标人是非企业专业服务机构的，提供执业许可证等证明文件；</w:t>
      </w:r>
    </w:p>
    <w:p>
      <w:pPr>
        <w:pStyle w:val="21"/>
        <w:adjustRightInd w:val="0"/>
        <w:snapToGrid w:val="0"/>
        <w:spacing w:line="288" w:lineRule="auto"/>
        <w:ind w:left="396" w:hanging="396"/>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w:t>
      </w:r>
      <w:r>
        <w:rPr>
          <w:rFonts w:hint="eastAsia" w:ascii="宋体" w:hAnsi="宋体"/>
          <w:spacing w:val="-6"/>
          <w:sz w:val="21"/>
          <w:szCs w:val="21"/>
        </w:rPr>
        <w:t>如投标人是个体工商户，提供有效的“个体工商户营业执照”；</w:t>
      </w:r>
    </w:p>
    <w:p>
      <w:pPr>
        <w:pStyle w:val="21"/>
        <w:adjustRightInd w:val="0"/>
        <w:snapToGrid w:val="0"/>
        <w:spacing w:line="288" w:lineRule="auto"/>
        <w:ind w:left="396" w:hanging="396"/>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如投标人是自然人，提供有效的自然人身份证明。</w:t>
      </w:r>
    </w:p>
    <w:p>
      <w:pPr>
        <w:widowControl/>
        <w:adjustRightInd w:val="0"/>
        <w:snapToGrid w:val="0"/>
        <w:spacing w:line="288" w:lineRule="auto"/>
        <w:jc w:val="left"/>
        <w:rPr>
          <w:rFonts w:ascii="宋体" w:hAnsi="宋体"/>
          <w:bCs/>
          <w:spacing w:val="-6"/>
          <w:sz w:val="21"/>
          <w:szCs w:val="21"/>
        </w:rPr>
      </w:pPr>
      <w:r>
        <w:rPr>
          <w:rFonts w:ascii="宋体" w:hAnsi="宋体"/>
          <w:bCs/>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（2）</w:t>
      </w:r>
      <w:r>
        <w:rPr>
          <w:rFonts w:ascii="宋体" w:hAnsi="宋体"/>
          <w:b/>
          <w:bCs/>
          <w:sz w:val="21"/>
          <w:szCs w:val="21"/>
        </w:rPr>
        <w:t>符合参加政府采购活动应当具备的一般条件的承诺函</w:t>
      </w:r>
    </w:p>
    <w:p>
      <w:pPr>
        <w:adjustRightInd w:val="0"/>
        <w:snapToGrid w:val="0"/>
        <w:spacing w:line="288" w:lineRule="auto"/>
        <w:rPr>
          <w:rFonts w:ascii="宋体" w:hAnsi="宋体"/>
          <w:color w:val="000000"/>
          <w:sz w:val="21"/>
          <w:szCs w:val="21"/>
          <w:shd w:val="clear" w:color="auto" w:fill="FFFFFF"/>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致：浙江大学海南研究院、浙江求是招标代理有限公司</w:t>
      </w:r>
    </w:p>
    <w:p>
      <w:pPr>
        <w:adjustRightInd w:val="0"/>
        <w:snapToGrid w:val="0"/>
        <w:spacing w:line="288" w:lineRule="auto"/>
        <w:ind w:firstLine="396" w:firstLineChars="200"/>
        <w:rPr>
          <w:rFonts w:ascii="宋体" w:hAnsi="宋体"/>
          <w:spacing w:val="-6"/>
          <w:sz w:val="21"/>
          <w:szCs w:val="21"/>
        </w:rPr>
      </w:pP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w:t>
      </w:r>
      <w:r>
        <w:rPr>
          <w:rFonts w:hint="eastAsia" w:ascii="宋体" w:hAnsi="宋体"/>
          <w:spacing w:val="-6"/>
          <w:sz w:val="21"/>
          <w:szCs w:val="21"/>
          <w:u w:val="single"/>
        </w:rPr>
        <w:t xml:space="preserve">（投标人名称）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ascii="宋体" w:hAnsi="宋体"/>
          <w:spacing w:val="-6"/>
          <w:sz w:val="21"/>
          <w:szCs w:val="21"/>
          <w:u w:val="single"/>
        </w:rPr>
        <w:t xml:space="preserve"> </w:t>
      </w:r>
      <w:r>
        <w:rPr>
          <w:rFonts w:hint="eastAsia" w:ascii="宋体" w:hAnsi="宋体"/>
          <w:spacing w:val="-6"/>
          <w:sz w:val="21"/>
          <w:szCs w:val="21"/>
        </w:rPr>
        <w:t>参加</w:t>
      </w:r>
      <w:r>
        <w:rPr>
          <w:rFonts w:hint="eastAsia" w:ascii="宋体" w:hAnsi="宋体"/>
          <w:spacing w:val="-6"/>
          <w:sz w:val="21"/>
          <w:szCs w:val="21"/>
          <w:u w:val="single"/>
        </w:rPr>
        <w:t xml:space="preserve">（项目名称） </w:t>
      </w:r>
      <w:r>
        <w:rPr>
          <w:rFonts w:ascii="宋体" w:hAnsi="宋体"/>
          <w:spacing w:val="-6"/>
          <w:sz w:val="21"/>
          <w:szCs w:val="21"/>
          <w:u w:val="single"/>
        </w:rPr>
        <w:t xml:space="preserve">      </w:t>
      </w:r>
      <w:r>
        <w:rPr>
          <w:rFonts w:hint="eastAsia" w:ascii="宋体" w:hAnsi="宋体"/>
          <w:spacing w:val="-6"/>
          <w:sz w:val="21"/>
          <w:szCs w:val="21"/>
          <w:u w:val="single"/>
        </w:rPr>
        <w:t xml:space="preserve"> </w:t>
      </w:r>
      <w:r>
        <w:rPr>
          <w:rFonts w:hint="eastAsia" w:ascii="宋体" w:hAnsi="宋体"/>
          <w:spacing w:val="-6"/>
          <w:sz w:val="21"/>
          <w:szCs w:val="21"/>
        </w:rPr>
        <w:t>项目的采购活动并承诺如下：</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一、我方满足《中华人民共和国政府采购法》第二十二条规定：</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（一）具有独立承担民事责任的能力；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（二）具有良好的商业信誉和健全的财务会计制度；</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（三）具有履行合同所必需的设备和专业技术能力；</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（四）有依法缴纳税收和社会保障资金的良好记录；</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（五）参加本项目政府采购活动前三年内，在经营活动中</w:t>
      </w:r>
      <w:r>
        <w:rPr>
          <w:rFonts w:hint="eastAsia" w:ascii="宋体" w:hAnsi="宋体"/>
          <w:b/>
          <w:spacing w:val="-6"/>
          <w:sz w:val="21"/>
          <w:szCs w:val="21"/>
          <w:u w:val="single"/>
        </w:rPr>
        <w:t xml:space="preserve">  没有  </w:t>
      </w:r>
      <w:r>
        <w:rPr>
          <w:rFonts w:hint="eastAsia" w:ascii="宋体" w:hAnsi="宋体"/>
          <w:spacing w:val="-6"/>
          <w:sz w:val="21"/>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（六）法律、行政法规规定的其他条件。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二、未被信用中国（</w:t>
      </w:r>
      <w:r>
        <w:rPr>
          <w:rFonts w:ascii="宋体" w:hAnsi="宋体"/>
          <w:spacing w:val="-6"/>
          <w:sz w:val="21"/>
          <w:szCs w:val="21"/>
        </w:rPr>
        <w:t>www.creditchina.gov.cn)、中国政府采购网（www.ccgp.gov.cn）列入失信被执行人、重大税收违法案件当事人名单、政府采购严重违法失信行为记录名单。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三、不存在以下情况：</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四、</w:t>
      </w:r>
      <w:r>
        <w:rPr>
          <w:rFonts w:ascii="宋体" w:hAnsi="宋体"/>
          <w:spacing w:val="-6"/>
          <w:sz w:val="21"/>
          <w:szCs w:val="21"/>
        </w:rPr>
        <w:t>以上事项如有虚假或隐瞒，我方愿意承担一切后果和责任。</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pStyle w:val="14"/>
        <w:adjustRightInd w:val="0"/>
        <w:snapToGrid w:val="0"/>
        <w:spacing w:line="288" w:lineRule="auto"/>
        <w:ind w:firstLine="0"/>
        <w:jc w:val="left"/>
        <w:outlineLvl w:val="1"/>
        <w:rPr>
          <w:rFonts w:hAnsi="宋体"/>
          <w:b/>
          <w:bCs/>
          <w:spacing w:val="-6"/>
          <w:sz w:val="21"/>
          <w:szCs w:val="21"/>
        </w:rPr>
      </w:pPr>
      <w:r>
        <w:rPr>
          <w:rFonts w:hAnsi="宋体"/>
          <w:bCs/>
          <w:spacing w:val="-6"/>
          <w:sz w:val="21"/>
          <w:szCs w:val="21"/>
        </w:rPr>
        <w:br w:type="page"/>
      </w:r>
    </w:p>
    <w:p>
      <w:pPr>
        <w:pStyle w:val="21"/>
        <w:adjustRightInd w:val="0"/>
        <w:snapToGrid w:val="0"/>
        <w:spacing w:line="288" w:lineRule="auto"/>
        <w:ind w:left="0" w:firstLine="0" w:firstLineChars="0"/>
        <w:jc w:val="center"/>
        <w:outlineLvl w:val="1"/>
        <w:rPr>
          <w:rFonts w:ascii="宋体" w:hAnsi="宋体"/>
          <w:bCs/>
          <w:spacing w:val="-6"/>
          <w:sz w:val="21"/>
          <w:szCs w:val="21"/>
        </w:rPr>
      </w:pPr>
      <w:r>
        <w:rPr>
          <w:rFonts w:hint="eastAsia" w:ascii="宋体" w:hAnsi="宋体"/>
          <w:b/>
          <w:spacing w:val="-6"/>
          <w:sz w:val="21"/>
          <w:szCs w:val="21"/>
        </w:rPr>
        <w:t>商务和技术文件</w:t>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（1）投标函</w:t>
      </w:r>
    </w:p>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致：浙江大学海南研究院、浙江求是招标代理有限公司</w:t>
      </w:r>
    </w:p>
    <w:p>
      <w:pPr>
        <w:adjustRightInd w:val="0"/>
        <w:snapToGrid w:val="0"/>
        <w:spacing w:line="288" w:lineRule="auto"/>
        <w:ind w:firstLine="396" w:firstLineChars="200"/>
        <w:rPr>
          <w:rFonts w:ascii="宋体" w:hAnsi="宋体"/>
          <w:spacing w:val="-6"/>
          <w:sz w:val="21"/>
          <w:szCs w:val="21"/>
          <w:highlight w:val="cyan"/>
        </w:rPr>
      </w:pP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我方参加</w:t>
      </w:r>
      <w:r>
        <w:rPr>
          <w:rFonts w:hint="eastAsia" w:ascii="宋体" w:hAnsi="宋体"/>
          <w:bCs/>
          <w:spacing w:val="-6"/>
          <w:sz w:val="21"/>
          <w:szCs w:val="21"/>
          <w:u w:val="single"/>
        </w:rPr>
        <w:t>浙江大学海南研究院先进技术与产业创新平台物业服务</w:t>
      </w:r>
      <w:r>
        <w:rPr>
          <w:rFonts w:hint="eastAsia" w:ascii="宋体" w:hAnsi="宋体"/>
          <w:spacing w:val="-6"/>
          <w:sz w:val="21"/>
          <w:szCs w:val="21"/>
          <w:u w:val="single"/>
        </w:rPr>
        <w:t>（项目编号</w:t>
      </w:r>
      <w:r>
        <w:rPr>
          <w:rFonts w:hint="eastAsia" w:ascii="宋体" w:hAnsi="宋体"/>
          <w:bCs/>
          <w:spacing w:val="-6"/>
          <w:sz w:val="21"/>
          <w:szCs w:val="21"/>
          <w:u w:val="single"/>
        </w:rPr>
        <w:t xml:space="preserve">：QSZB-F(F)-A24073(GK) </w:t>
      </w:r>
      <w:r>
        <w:rPr>
          <w:rFonts w:hint="eastAsia" w:ascii="宋体" w:hAnsi="宋体"/>
          <w:spacing w:val="-6"/>
          <w:sz w:val="21"/>
          <w:szCs w:val="21"/>
          <w:u w:val="single"/>
        </w:rPr>
        <w:t>）</w:t>
      </w:r>
      <w:r>
        <w:rPr>
          <w:rFonts w:hint="eastAsia" w:ascii="宋体" w:hAnsi="宋体"/>
          <w:spacing w:val="-6"/>
          <w:sz w:val="21"/>
          <w:szCs w:val="21"/>
        </w:rPr>
        <w:t>项目，为此，我方提交投标文件（报价文件、资格文件、商务和技术文件）正本一份、副本___份。签名代表宣布同意如下：</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投标有效期自提交投标文件的截止之日起</w:t>
      </w:r>
      <w:r>
        <w:rPr>
          <w:rFonts w:hint="eastAsia" w:ascii="宋体" w:hAnsi="宋体"/>
          <w:bCs/>
          <w:spacing w:val="-6"/>
          <w:sz w:val="21"/>
          <w:szCs w:val="21"/>
          <w:u w:val="single"/>
        </w:rPr>
        <w:t xml:space="preserve"> 90</w:t>
      </w:r>
      <w:r>
        <w:rPr>
          <w:rFonts w:ascii="宋体" w:hAnsi="宋体"/>
          <w:bCs/>
          <w:spacing w:val="-6"/>
          <w:sz w:val="21"/>
          <w:szCs w:val="21"/>
          <w:u w:val="single"/>
        </w:rPr>
        <w:t xml:space="preserve"> </w:t>
      </w:r>
      <w:r>
        <w:rPr>
          <w:rFonts w:hint="eastAsia" w:ascii="宋体" w:hAnsi="宋体"/>
          <w:spacing w:val="-6"/>
          <w:sz w:val="21"/>
          <w:szCs w:val="21"/>
        </w:rPr>
        <w:t>天。</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w:t>
      </w:r>
      <w:r>
        <w:rPr>
          <w:rFonts w:hint="eastAsia" w:ascii="宋体" w:hAnsi="宋体"/>
          <w:spacing w:val="-6"/>
          <w:sz w:val="21"/>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我方同意按照贵方要求提供与投标有关的一切数据或资料。</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w:t>
      </w:r>
      <w:r>
        <w:rPr>
          <w:rFonts w:hint="eastAsia" w:ascii="宋体" w:hAnsi="宋体"/>
          <w:spacing w:val="-6"/>
          <w:sz w:val="21"/>
          <w:szCs w:val="21"/>
        </w:rPr>
        <w:t>与本投标有关的一切正式往来信函联系：</w:t>
      </w:r>
    </w:p>
    <w:tbl>
      <w:tblPr>
        <w:tblStyle w:val="2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联系人：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职务：</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手机：</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电子邮箱：</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地址：</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开户银行：</w:t>
            </w:r>
          </w:p>
        </w:tc>
        <w:tc>
          <w:tcPr>
            <w:tcW w:w="6808" w:type="dxa"/>
          </w:tcPr>
          <w:p>
            <w:pPr>
              <w:adjustRightInd w:val="0"/>
              <w:snapToGrid w:val="0"/>
              <w:spacing w:line="288" w:lineRule="auto"/>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spacing w:val="-6"/>
                <w:sz w:val="21"/>
                <w:szCs w:val="21"/>
              </w:rPr>
            </w:pPr>
            <w:r>
              <w:rPr>
                <w:rFonts w:hint="eastAsia" w:ascii="宋体" w:hAnsi="宋体"/>
                <w:spacing w:val="-6"/>
                <w:sz w:val="21"/>
                <w:szCs w:val="21"/>
              </w:rPr>
              <w:t>银行账号：</w:t>
            </w:r>
          </w:p>
        </w:tc>
        <w:tc>
          <w:tcPr>
            <w:tcW w:w="6808" w:type="dxa"/>
          </w:tcPr>
          <w:p>
            <w:pPr>
              <w:adjustRightInd w:val="0"/>
              <w:snapToGrid w:val="0"/>
              <w:spacing w:line="288" w:lineRule="auto"/>
              <w:rPr>
                <w:rFonts w:ascii="宋体" w:hAnsi="宋体"/>
                <w:spacing w:val="-6"/>
                <w:sz w:val="21"/>
                <w:szCs w:val="21"/>
              </w:rPr>
            </w:pP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adjustRightInd w:val="0"/>
        <w:snapToGrid w:val="0"/>
        <w:spacing w:line="288" w:lineRule="auto"/>
        <w:jc w:val="center"/>
        <w:outlineLvl w:val="1"/>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）授权委托书</w:t>
      </w:r>
    </w:p>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致：浙江大学海南研究院、浙江求是招标代理有限公司</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现授权委托：</w:t>
      </w:r>
      <w:r>
        <w:rPr>
          <w:rFonts w:ascii="宋体" w:hAnsi="宋体"/>
          <w:spacing w:val="-6"/>
          <w:sz w:val="21"/>
          <w:szCs w:val="21"/>
          <w:u w:val="single"/>
        </w:rPr>
        <w:t xml:space="preserve">            </w:t>
      </w:r>
      <w:r>
        <w:rPr>
          <w:rFonts w:hint="eastAsia" w:ascii="宋体" w:hAnsi="宋体"/>
          <w:spacing w:val="-6"/>
          <w:sz w:val="21"/>
          <w:szCs w:val="21"/>
        </w:rPr>
        <w:t>（授权代表姓名）（身份证号码：</w:t>
      </w:r>
      <w:r>
        <w:rPr>
          <w:rFonts w:ascii="宋体" w:hAnsi="宋体"/>
          <w:spacing w:val="-6"/>
          <w:sz w:val="21"/>
          <w:szCs w:val="21"/>
          <w:u w:val="single"/>
        </w:rPr>
        <w:t xml:space="preserve">            </w:t>
      </w:r>
      <w:r>
        <w:rPr>
          <w:rFonts w:hint="eastAsia" w:ascii="宋体" w:hAnsi="宋体"/>
          <w:spacing w:val="-6"/>
          <w:sz w:val="21"/>
          <w:szCs w:val="21"/>
        </w:rPr>
        <w:t>，手机：</w:t>
      </w:r>
      <w:r>
        <w:rPr>
          <w:rFonts w:ascii="宋体" w:hAnsi="宋体"/>
          <w:spacing w:val="-6"/>
          <w:sz w:val="21"/>
          <w:szCs w:val="21"/>
          <w:u w:val="single"/>
        </w:rPr>
        <w:t xml:space="preserve">            </w:t>
      </w:r>
      <w:r>
        <w:rPr>
          <w:rFonts w:hint="eastAsia" w:ascii="宋体" w:hAnsi="宋体"/>
          <w:spacing w:val="-6"/>
          <w:sz w:val="21"/>
          <w:szCs w:val="21"/>
        </w:rPr>
        <w:t>）以我方的名义参加</w:t>
      </w:r>
      <w:r>
        <w:rPr>
          <w:rFonts w:hint="eastAsia" w:ascii="宋体" w:hAnsi="宋体"/>
          <w:bCs/>
          <w:spacing w:val="-6"/>
          <w:sz w:val="21"/>
          <w:szCs w:val="21"/>
        </w:rPr>
        <w:t>浙江大学海南研究院先进技术与产业创新平台物业服务（项目编号：QSZB-F(F)-A24073(GK) ）</w:t>
      </w:r>
      <w:r>
        <w:rPr>
          <w:rFonts w:hint="eastAsia" w:ascii="宋体" w:hAnsi="宋体"/>
          <w:spacing w:val="-6"/>
          <w:sz w:val="21"/>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我方对被授权人的签名负全部责任。</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spacing w:val="-6"/>
          <w:sz w:val="21"/>
          <w:szCs w:val="21"/>
        </w:rPr>
      </w:pPr>
      <w:r>
        <w:rPr>
          <w:rFonts w:hint="eastAsia" w:ascii="宋体" w:hAnsi="宋体"/>
          <w:spacing w:val="-6"/>
          <w:sz w:val="21"/>
          <w:szCs w:val="21"/>
        </w:rPr>
        <w:t>被授权人无转委托权，特此告知。</w:t>
      </w:r>
    </w:p>
    <w:p>
      <w:pPr>
        <w:adjustRightInd w:val="0"/>
        <w:snapToGrid w:val="0"/>
        <w:spacing w:line="288" w:lineRule="auto"/>
        <w:ind w:firstLine="368" w:firstLineChars="186"/>
        <w:rPr>
          <w:rFonts w:ascii="宋体" w:hAnsi="宋体"/>
          <w:spacing w:val="-6"/>
          <w:sz w:val="21"/>
          <w:szCs w:val="21"/>
          <w:u w:val="single"/>
        </w:rPr>
      </w:pPr>
      <w:r>
        <w:rPr>
          <w:rFonts w:hint="eastAsia" w:ascii="宋体" w:hAnsi="宋体"/>
          <w:spacing w:val="-6"/>
          <w:sz w:val="21"/>
          <w:szCs w:val="21"/>
          <w:u w:val="single"/>
        </w:rPr>
        <w:t>▲提供授权代表社保缴纳证明（2023年6月（含）以后任意一月）。</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sz w:val="21"/>
          <w:szCs w:val="21"/>
        </w:rPr>
      </w:pPr>
      <w:r>
        <w:rPr>
          <w:rFonts w:hint="eastAsia" w:ascii="宋体" w:hAnsi="宋体"/>
          <w:sz w:val="21"/>
          <w:szCs w:val="21"/>
        </w:rPr>
        <w:t>注：</w:t>
      </w:r>
    </w:p>
    <w:p>
      <w:pPr>
        <w:adjustRightInd w:val="0"/>
        <w:snapToGrid w:val="0"/>
        <w:spacing w:line="288" w:lineRule="auto"/>
        <w:rPr>
          <w:rFonts w:ascii="宋体" w:hAnsi="宋体"/>
          <w:sz w:val="21"/>
          <w:szCs w:val="21"/>
        </w:rPr>
      </w:pPr>
      <w:r>
        <w:rPr>
          <w:rFonts w:hint="eastAsia" w:ascii="宋体" w:hAnsi="宋体"/>
          <w:sz w:val="21"/>
          <w:szCs w:val="21"/>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sz w:val="21"/>
          <w:szCs w:val="21"/>
        </w:rPr>
      </w:pPr>
      <w:r>
        <w:rPr>
          <w:rFonts w:hint="eastAsia" w:ascii="宋体" w:hAnsi="宋体"/>
          <w:sz w:val="21"/>
          <w:szCs w:val="21"/>
        </w:rPr>
        <w:t>2、投标人是联合体的，联合体各成员均应在“授权委托书”上盖章。</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sz w:val="21"/>
          <w:szCs w:val="21"/>
        </w:rPr>
      </w:pPr>
    </w:p>
    <w:p>
      <w:pPr>
        <w:adjustRightInd w:val="0"/>
        <w:snapToGrid w:val="0"/>
        <w:spacing w:line="288" w:lineRule="auto"/>
        <w:jc w:val="center"/>
        <w:outlineLvl w:val="2"/>
        <w:rPr>
          <w:rFonts w:ascii="宋体" w:hAnsi="宋体"/>
          <w:b/>
          <w:bCs/>
          <w:spacing w:val="-6"/>
          <w:sz w:val="21"/>
          <w:szCs w:val="21"/>
        </w:rPr>
      </w:pPr>
      <w:r>
        <w:rPr>
          <w:rFonts w:hint="eastAsia" w:ascii="宋体" w:hAnsi="宋体"/>
          <w:b/>
          <w:bCs/>
          <w:sz w:val="21"/>
          <w:szCs w:val="21"/>
        </w:rPr>
        <w:t>（2）法定代表人（单位负责人、自然人本人）</w:t>
      </w:r>
      <w:r>
        <w:rPr>
          <w:rFonts w:hint="eastAsia" w:ascii="宋体" w:hAnsi="宋体"/>
          <w:b/>
          <w:bCs/>
          <w:spacing w:val="-6"/>
          <w:sz w:val="21"/>
          <w:szCs w:val="21"/>
        </w:rPr>
        <w:t>身份证明</w:t>
      </w:r>
    </w:p>
    <w:p>
      <w:pPr>
        <w:adjustRightInd w:val="0"/>
        <w:snapToGrid w:val="0"/>
        <w:spacing w:line="288" w:lineRule="auto"/>
        <w:ind w:firstLine="495" w:firstLineChars="236"/>
        <w:jc w:val="center"/>
        <w:rPr>
          <w:rFonts w:ascii="宋体" w:hAnsi="宋体"/>
          <w:sz w:val="21"/>
          <w:szCs w:val="21"/>
        </w:rPr>
      </w:pPr>
      <w:r>
        <w:rPr>
          <w:rFonts w:hint="eastAsia" w:ascii="宋体" w:hAnsi="宋体"/>
          <w:sz w:val="21"/>
          <w:szCs w:val="21"/>
        </w:rPr>
        <w:t>（适用于：法定代表人（单位负责人、自然人本人）</w:t>
      </w:r>
      <w:r>
        <w:rPr>
          <w:rFonts w:hint="eastAsia" w:ascii="宋体" w:hAnsi="宋体"/>
          <w:spacing w:val="-6"/>
          <w:sz w:val="21"/>
          <w:szCs w:val="21"/>
        </w:rPr>
        <w:t>代表投标人参加投标</w:t>
      </w:r>
      <w:r>
        <w:rPr>
          <w:rFonts w:hint="eastAsia" w:ascii="宋体" w:hAnsi="宋体"/>
          <w:sz w:val="21"/>
          <w:szCs w:val="21"/>
        </w:rPr>
        <w:t>）</w:t>
      </w:r>
    </w:p>
    <w:p>
      <w:pPr>
        <w:adjustRightInd w:val="0"/>
        <w:snapToGrid w:val="0"/>
        <w:spacing w:line="288" w:lineRule="auto"/>
        <w:jc w:val="left"/>
        <w:rPr>
          <w:rFonts w:ascii="宋体" w:hAnsi="宋体"/>
          <w:sz w:val="21"/>
          <w:szCs w:val="21"/>
        </w:rPr>
      </w:pPr>
      <w:r>
        <w:rPr>
          <w:rFonts w:hint="eastAsia" w:ascii="宋体" w:hAnsi="宋体" w:cs="宋体"/>
          <w:bCs/>
          <w:sz w:val="21"/>
          <w:szCs w:val="21"/>
        </w:rPr>
        <w:t>身份证件复印件</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等线" w:cs="宋体"/>
                <w:bCs/>
                <w:sz w:val="21"/>
                <w:szCs w:val="21"/>
              </w:rPr>
            </w:pPr>
            <w:r>
              <w:rPr>
                <w:rFonts w:hint="eastAsia" w:ascii="宋体" w:hAnsi="宋体" w:eastAsia="等线" w:cs="宋体"/>
                <w:bCs/>
                <w:sz w:val="21"/>
                <w:szCs w:val="21"/>
              </w:rPr>
              <w:t>正面：</w:t>
            </w:r>
          </w:p>
        </w:tc>
        <w:tc>
          <w:tcPr>
            <w:tcW w:w="4951" w:type="dxa"/>
          </w:tcPr>
          <w:p>
            <w:pPr>
              <w:adjustRightInd w:val="0"/>
              <w:snapToGrid w:val="0"/>
              <w:spacing w:line="288" w:lineRule="auto"/>
              <w:rPr>
                <w:rFonts w:ascii="宋体" w:hAnsi="宋体" w:eastAsia="等线" w:cs="宋体"/>
                <w:bCs/>
                <w:sz w:val="21"/>
                <w:szCs w:val="21"/>
              </w:rPr>
            </w:pPr>
            <w:r>
              <w:rPr>
                <w:rFonts w:hint="eastAsia" w:ascii="宋体" w:hAnsi="宋体" w:eastAsia="等线" w:cs="宋体"/>
                <w:bCs/>
                <w:sz w:val="21"/>
                <w:szCs w:val="21"/>
              </w:rPr>
              <w:t>反面：</w:t>
            </w:r>
          </w:p>
        </w:tc>
      </w:tr>
    </w:tbl>
    <w:p>
      <w:pPr>
        <w:adjustRightInd w:val="0"/>
        <w:snapToGrid w:val="0"/>
        <w:spacing w:line="288" w:lineRule="auto"/>
        <w:rPr>
          <w:rFonts w:ascii="宋体" w:hAnsi="宋体"/>
          <w:sz w:val="21"/>
          <w:szCs w:val="21"/>
        </w:rPr>
      </w:pPr>
    </w:p>
    <w:p>
      <w:pPr>
        <w:widowControl/>
        <w:adjustRightInd w:val="0"/>
        <w:snapToGrid w:val="0"/>
        <w:spacing w:line="288" w:lineRule="auto"/>
        <w:jc w:val="left"/>
        <w:rPr>
          <w:rFonts w:ascii="宋体" w:hAnsi="宋体"/>
          <w:sz w:val="21"/>
          <w:szCs w:val="21"/>
        </w:rPr>
      </w:pPr>
      <w:r>
        <w:rPr>
          <w:rFonts w:ascii="宋体" w:hAnsi="宋体"/>
          <w:sz w:val="21"/>
          <w:szCs w:val="21"/>
        </w:rPr>
        <w:br w:type="page"/>
      </w:r>
    </w:p>
    <w:p>
      <w:pPr>
        <w:adjustRightInd w:val="0"/>
        <w:snapToGrid w:val="0"/>
        <w:spacing w:line="288" w:lineRule="auto"/>
        <w:jc w:val="left"/>
        <w:outlineLvl w:val="2"/>
        <w:rPr>
          <w:rFonts w:ascii="宋体" w:hAnsi="宋体"/>
          <w:b/>
          <w:bCs/>
          <w:sz w:val="21"/>
          <w:szCs w:val="21"/>
        </w:rPr>
      </w:pPr>
      <w:r>
        <w:rPr>
          <w:rFonts w:hint="eastAsia" w:ascii="宋体" w:hAnsi="宋体"/>
          <w:b/>
          <w:bCs/>
          <w:sz w:val="21"/>
          <w:szCs w:val="21"/>
        </w:rPr>
        <w:t>附：授权代表社保缴纳证明（2023年6月（含）以后任意一月）</w:t>
      </w:r>
    </w:p>
    <w:p>
      <w:pPr>
        <w:adjustRightInd w:val="0"/>
        <w:snapToGrid w:val="0"/>
        <w:spacing w:line="288" w:lineRule="auto"/>
        <w:rPr>
          <w:rFonts w:ascii="宋体" w:hAnsi="宋体"/>
          <w:sz w:val="21"/>
          <w:szCs w:val="21"/>
        </w:rPr>
      </w:pPr>
    </w:p>
    <w:p>
      <w:pPr>
        <w:adjustRightInd w:val="0"/>
        <w:snapToGrid w:val="0"/>
        <w:spacing w:line="288" w:lineRule="auto"/>
        <w:jc w:val="center"/>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3</w:t>
      </w:r>
      <w:r>
        <w:rPr>
          <w:rFonts w:hint="eastAsia" w:ascii="宋体" w:hAnsi="宋体"/>
          <w:b/>
          <w:bCs/>
          <w:sz w:val="21"/>
          <w:szCs w:val="21"/>
        </w:rPr>
        <w:t>）投标人同类合同一览表</w:t>
      </w:r>
    </w:p>
    <w:tbl>
      <w:tblPr>
        <w:tblStyle w:val="25"/>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合同金额</w:t>
            </w:r>
          </w:p>
          <w:p>
            <w:pPr>
              <w:adjustRightInd w:val="0"/>
              <w:snapToGrid w:val="0"/>
              <w:spacing w:line="288" w:lineRule="auto"/>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采购人联系人</w:t>
            </w:r>
          </w:p>
          <w:p>
            <w:pPr>
              <w:adjustRightInd w:val="0"/>
              <w:snapToGrid w:val="0"/>
              <w:spacing w:line="288" w:lineRule="auto"/>
              <w:jc w:val="center"/>
              <w:rPr>
                <w:rFonts w:ascii="宋体" w:hAnsi="宋体"/>
                <w:b/>
                <w:sz w:val="21"/>
                <w:szCs w:val="21"/>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sz w:val="21"/>
                <w:szCs w:val="21"/>
              </w:rPr>
            </w:pPr>
          </w:p>
        </w:tc>
      </w:tr>
    </w:tbl>
    <w:p>
      <w:pPr>
        <w:pStyle w:val="21"/>
        <w:adjustRightInd w:val="0"/>
        <w:snapToGrid w:val="0"/>
        <w:spacing w:line="288" w:lineRule="auto"/>
        <w:ind w:left="420" w:hanging="420"/>
        <w:rPr>
          <w:rFonts w:ascii="宋体" w:hAnsi="宋体"/>
          <w:sz w:val="21"/>
          <w:szCs w:val="21"/>
        </w:rPr>
      </w:pP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说明：</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投标人须提供上述业绩合同复印件；</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所有合同复印件应清晰，应能体现合同签订时间、双方签名盖章等内容；</w:t>
      </w:r>
    </w:p>
    <w:p>
      <w:pPr>
        <w:adjustRightInd w:val="0"/>
        <w:snapToGrid w:val="0"/>
        <w:spacing w:line="288"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投标人应在不涉及商业秘密的前提下尽可能提供详细的合同复印件内容。</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adjustRightInd w:val="0"/>
        <w:snapToGrid w:val="0"/>
        <w:spacing w:line="288" w:lineRule="auto"/>
        <w:jc w:val="center"/>
        <w:outlineLvl w:val="1"/>
        <w:rPr>
          <w:rFonts w:ascii="宋体" w:hAnsi="宋体"/>
          <w:b/>
          <w:bCs/>
          <w:iCs/>
          <w:spacing w:val="-6"/>
          <w:sz w:val="21"/>
          <w:szCs w:val="21"/>
        </w:rPr>
      </w:pPr>
      <w:r>
        <w:rPr>
          <w:rFonts w:hint="eastAsia" w:ascii="宋体" w:hAnsi="宋体"/>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4</w:t>
      </w:r>
      <w:r>
        <w:rPr>
          <w:rFonts w:hint="eastAsia" w:ascii="宋体" w:hAnsi="宋体"/>
          <w:b/>
          <w:bCs/>
          <w:sz w:val="21"/>
          <w:szCs w:val="21"/>
        </w:rPr>
        <w:t>）采购</w:t>
      </w:r>
      <w:r>
        <w:rPr>
          <w:rFonts w:ascii="宋体" w:hAnsi="宋体"/>
          <w:b/>
          <w:bCs/>
          <w:sz w:val="21"/>
          <w:szCs w:val="21"/>
        </w:rPr>
        <w:t>需求</w:t>
      </w:r>
      <w:r>
        <w:rPr>
          <w:rFonts w:hint="eastAsia" w:ascii="宋体" w:hAnsi="宋体"/>
          <w:b/>
          <w:bCs/>
          <w:sz w:val="21"/>
          <w:szCs w:val="21"/>
        </w:rPr>
        <w:t>偏离表</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采购人：浙江大学海南研究院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项目名称：浙江大学海南研究院先进技术与产业创新平台物业服务</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项目编号：QSZB-F(F)-A24073(GK) </w:t>
      </w:r>
    </w:p>
    <w:tbl>
      <w:tblPr>
        <w:tblStyle w:val="25"/>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3260"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招标文件要求</w:t>
            </w:r>
          </w:p>
        </w:tc>
        <w:tc>
          <w:tcPr>
            <w:tcW w:w="3402"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响应内容</w:t>
            </w:r>
          </w:p>
        </w:tc>
        <w:tc>
          <w:tcPr>
            <w:tcW w:w="1985" w:type="dxa"/>
            <w:vAlign w:val="center"/>
          </w:tcPr>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是否偏离</w:t>
            </w: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adjustRightInd w:val="0"/>
              <w:snapToGrid w:val="0"/>
              <w:spacing w:line="288" w:lineRule="auto"/>
              <w:rPr>
                <w:rFonts w:ascii="宋体" w:hAnsi="宋体"/>
                <w:b/>
                <w:sz w:val="21"/>
                <w:szCs w:val="21"/>
              </w:rPr>
            </w:pPr>
            <w:r>
              <w:rPr>
                <w:rFonts w:hint="eastAsia" w:ascii="宋体" w:hAnsi="宋体"/>
                <w:b/>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adjustRightInd w:val="0"/>
              <w:snapToGrid w:val="0"/>
              <w:spacing w:line="288" w:lineRule="auto"/>
              <w:rPr>
                <w:rFonts w:ascii="宋体" w:hAnsi="宋体"/>
                <w:b/>
                <w:spacing w:val="-6"/>
                <w:sz w:val="21"/>
                <w:szCs w:val="21"/>
              </w:rPr>
            </w:pPr>
            <w:r>
              <w:rPr>
                <w:rFonts w:hint="eastAsia" w:ascii="宋体" w:hAnsi="宋体"/>
                <w:b/>
                <w:sz w:val="21"/>
                <w:szCs w:val="21"/>
              </w:rPr>
              <w:t>服务</w:t>
            </w:r>
            <w:r>
              <w:rPr>
                <w:rFonts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adjustRightInd w:val="0"/>
              <w:snapToGrid w:val="0"/>
              <w:spacing w:line="288" w:lineRule="auto"/>
              <w:jc w:val="center"/>
              <w:rPr>
                <w:rFonts w:ascii="宋体" w:hAnsi="宋体"/>
                <w:spacing w:val="-6"/>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adjustRightInd w:val="0"/>
              <w:snapToGrid w:val="0"/>
              <w:spacing w:line="288" w:lineRule="auto"/>
              <w:jc w:val="center"/>
              <w:rPr>
                <w:rFonts w:ascii="宋体" w:hAnsi="宋体"/>
                <w:sz w:val="21"/>
                <w:szCs w:val="21"/>
              </w:rPr>
            </w:pPr>
          </w:p>
        </w:tc>
        <w:tc>
          <w:tcPr>
            <w:tcW w:w="3402" w:type="dxa"/>
            <w:vAlign w:val="center"/>
          </w:tcPr>
          <w:p>
            <w:pPr>
              <w:adjustRightInd w:val="0"/>
              <w:snapToGrid w:val="0"/>
              <w:spacing w:line="288" w:lineRule="auto"/>
              <w:jc w:val="center"/>
              <w:rPr>
                <w:rFonts w:ascii="宋体" w:hAnsi="宋体"/>
                <w:spacing w:val="-6"/>
                <w:sz w:val="21"/>
                <w:szCs w:val="21"/>
              </w:rPr>
            </w:pPr>
          </w:p>
        </w:tc>
        <w:tc>
          <w:tcPr>
            <w:tcW w:w="1985" w:type="dxa"/>
            <w:vAlign w:val="center"/>
          </w:tcPr>
          <w:p>
            <w:pPr>
              <w:adjustRightInd w:val="0"/>
              <w:snapToGrid w:val="0"/>
              <w:spacing w:line="288" w:lineRule="auto"/>
              <w:jc w:val="center"/>
              <w:rPr>
                <w:rFonts w:ascii="宋体" w:hAnsi="宋体"/>
                <w:spacing w:val="-6"/>
                <w:sz w:val="21"/>
                <w:szCs w:val="21"/>
              </w:rPr>
            </w:pPr>
          </w:p>
        </w:tc>
      </w:tr>
    </w:tbl>
    <w:p>
      <w:pPr>
        <w:adjustRightInd w:val="0"/>
        <w:snapToGrid w:val="0"/>
        <w:spacing w:line="288" w:lineRule="auto"/>
        <w:rPr>
          <w:rFonts w:ascii="宋体" w:hAnsi="宋体"/>
          <w:b/>
          <w:bCs/>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说明：</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逐项按照招标文件要求填写响应规格；</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偏离说明是指对招标文件要求存在不同之处的解释说明。偏离系指：正偏离（高于招标要求）、负偏离（低于招标要求）、无偏离（满足招标要求）；</w:t>
      </w:r>
    </w:p>
    <w:p>
      <w:pPr>
        <w:adjustRightInd w:val="0"/>
        <w:snapToGrid w:val="0"/>
        <w:spacing w:line="288" w:lineRule="auto"/>
        <w:rPr>
          <w:rFonts w:ascii="宋体" w:hAnsi="宋体"/>
          <w:b/>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如不填写或未如实填写</w:t>
      </w:r>
      <w:r>
        <w:rPr>
          <w:rFonts w:hint="eastAsia" w:ascii="宋体" w:hAnsi="宋体"/>
          <w:b/>
          <w:spacing w:val="-6"/>
          <w:sz w:val="21"/>
          <w:szCs w:val="21"/>
        </w:rPr>
        <w:t>，自行承担投标风险。</w:t>
      </w: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投标人名称（盖章）：</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投标人代表签名：</w:t>
      </w:r>
    </w:p>
    <w:p>
      <w:pPr>
        <w:adjustRightInd w:val="0"/>
        <w:snapToGrid w:val="0"/>
        <w:spacing w:line="288" w:lineRule="auto"/>
        <w:rPr>
          <w:rFonts w:ascii="宋体" w:hAnsi="宋体"/>
          <w:spacing w:val="-6"/>
          <w:sz w:val="21"/>
          <w:szCs w:val="21"/>
        </w:rPr>
      </w:pPr>
      <w:r>
        <w:rPr>
          <w:rFonts w:hint="eastAsia" w:ascii="宋体" w:hAnsi="宋体"/>
          <w:spacing w:val="-6"/>
          <w:sz w:val="21"/>
          <w:szCs w:val="21"/>
        </w:rPr>
        <w:t>日期：  年  月  日</w:t>
      </w:r>
    </w:p>
    <w:p>
      <w:pPr>
        <w:adjustRightInd w:val="0"/>
        <w:snapToGrid w:val="0"/>
        <w:spacing w:line="288" w:lineRule="auto"/>
        <w:jc w:val="center"/>
        <w:outlineLvl w:val="1"/>
        <w:rPr>
          <w:rFonts w:ascii="宋体" w:hAnsi="宋体"/>
          <w:b/>
          <w:spacing w:val="-6"/>
          <w:sz w:val="21"/>
          <w:szCs w:val="21"/>
        </w:rPr>
      </w:pPr>
      <w:r>
        <w:rPr>
          <w:rFonts w:ascii="宋体" w:hAnsi="宋体"/>
          <w:b/>
          <w:spacing w:val="-6"/>
          <w:sz w:val="21"/>
          <w:szCs w:val="21"/>
        </w:rPr>
        <w:br w:type="page"/>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以下内容格式自拟</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（5）实施方案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（6）内部管理方案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（7）应急处理方案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（8）消防安全方案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（9）协助维稳方案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（10）服务过程所需物资方案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（11）其他服务承诺</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（12）培训方案</w:t>
      </w:r>
    </w:p>
    <w:p>
      <w:pPr>
        <w:adjustRightInd w:val="0"/>
        <w:snapToGrid w:val="0"/>
        <w:spacing w:line="288" w:lineRule="auto"/>
        <w:rPr>
          <w:rFonts w:ascii="宋体" w:hAnsi="宋体" w:cs="宋体"/>
          <w:b/>
          <w:spacing w:val="-6"/>
          <w:sz w:val="21"/>
          <w:szCs w:val="21"/>
        </w:rPr>
      </w:pPr>
      <w:r>
        <w:rPr>
          <w:rFonts w:hint="eastAsia" w:ascii="宋体" w:hAnsi="宋体" w:cs="宋体"/>
          <w:b/>
          <w:spacing w:val="-6"/>
          <w:sz w:val="21"/>
          <w:szCs w:val="21"/>
        </w:rPr>
        <w:t>（13）投标人需要说明的其他文件和材料</w:t>
      </w:r>
    </w:p>
    <w:p>
      <w:pPr>
        <w:adjustRightInd w:val="0"/>
        <w:snapToGrid w:val="0"/>
        <w:spacing w:line="288" w:lineRule="auto"/>
        <w:rPr>
          <w:rFonts w:ascii="宋体" w:hAnsi="宋体" w:cs="宋体"/>
          <w:b/>
          <w:spacing w:val="-6"/>
          <w:sz w:val="21"/>
          <w:szCs w:val="21"/>
        </w:rPr>
      </w:pPr>
    </w:p>
    <w:p>
      <w:pPr>
        <w:widowControl/>
        <w:jc w:val="left"/>
        <w:rPr>
          <w:rFonts w:ascii="宋体" w:hAnsi="宋体"/>
          <w:b/>
          <w:spacing w:val="-6"/>
          <w:sz w:val="24"/>
        </w:rPr>
      </w:pPr>
      <w:r>
        <w:rPr>
          <w:rFonts w:ascii="宋体" w:hAnsi="宋体"/>
          <w:b/>
          <w:spacing w:val="-6"/>
          <w:sz w:val="24"/>
        </w:rPr>
        <w:br w:type="page"/>
      </w:r>
    </w:p>
    <w:p>
      <w:pPr>
        <w:adjustRightInd w:val="0"/>
        <w:snapToGrid w:val="0"/>
        <w:spacing w:line="288" w:lineRule="auto"/>
        <w:jc w:val="center"/>
        <w:outlineLvl w:val="3"/>
        <w:rPr>
          <w:rFonts w:ascii="宋体" w:hAnsi="宋体"/>
          <w:b/>
          <w:bCs/>
          <w:spacing w:val="-6"/>
          <w:sz w:val="21"/>
          <w:szCs w:val="21"/>
        </w:rPr>
      </w:pPr>
      <w:r>
        <w:rPr>
          <w:rFonts w:hint="eastAsia" w:ascii="宋体" w:hAnsi="宋体"/>
          <w:b/>
          <w:bCs/>
          <w:spacing w:val="-6"/>
          <w:sz w:val="21"/>
          <w:szCs w:val="21"/>
        </w:rPr>
        <w:t>外层包装（封签）</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____________________（投标人名称）</w:t>
      </w: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投 标 文 件</w:t>
      </w:r>
    </w:p>
    <w:p>
      <w:pPr>
        <w:adjustRightInd w:val="0"/>
        <w:snapToGrid w:val="0"/>
        <w:spacing w:line="288" w:lineRule="auto"/>
        <w:jc w:val="center"/>
        <w:rPr>
          <w:rFonts w:ascii="宋体" w:hAnsi="宋体"/>
          <w:bCs/>
          <w:spacing w:val="-6"/>
          <w:sz w:val="21"/>
          <w:szCs w:val="21"/>
        </w:rPr>
      </w:pPr>
      <w:r>
        <w:rPr>
          <w:rFonts w:hint="eastAsia" w:ascii="宋体" w:hAnsi="宋体"/>
          <w:bCs/>
          <w:spacing w:val="-6"/>
          <w:sz w:val="21"/>
          <w:szCs w:val="21"/>
        </w:rPr>
        <w:t>（报价文件）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采购人：浙江大学海南研究院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项目名称：浙江大学海南研究院先进技术与产业创新平台物业服务</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项目编号：QSZB-F(F)-A24073(GK)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在  年  月  日  时  分之前不得启封</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spacing w:val="-6"/>
          <w:sz w:val="21"/>
          <w:szCs w:val="21"/>
        </w:rPr>
        <w:t>投标人代表签名</w:t>
      </w:r>
      <w:r>
        <w:rPr>
          <w:rFonts w:hint="eastAsia" w:ascii="宋体" w:hAnsi="宋体"/>
          <w:bCs/>
          <w:spacing w:val="-6"/>
          <w:sz w:val="21"/>
          <w:szCs w:val="21"/>
        </w:rPr>
        <w:t>：</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outlineLvl w:val="3"/>
        <w:rPr>
          <w:rFonts w:ascii="宋体" w:hAnsi="宋体"/>
          <w:b/>
          <w:spacing w:val="-6"/>
          <w:sz w:val="21"/>
          <w:szCs w:val="21"/>
        </w:rPr>
      </w:pPr>
      <w:r>
        <w:rPr>
          <w:rFonts w:ascii="宋体" w:hAnsi="宋体"/>
          <w:bCs/>
          <w:spacing w:val="-6"/>
          <w:sz w:val="21"/>
          <w:szCs w:val="21"/>
        </w:rPr>
        <w:br w:type="page"/>
      </w:r>
      <w:r>
        <w:rPr>
          <w:rFonts w:hint="eastAsia" w:ascii="宋体" w:hAnsi="宋体"/>
          <w:b/>
          <w:spacing w:val="-6"/>
          <w:sz w:val="21"/>
          <w:szCs w:val="21"/>
        </w:rPr>
        <w:t>报价文件封面</w:t>
      </w:r>
    </w:p>
    <w:p>
      <w:pPr>
        <w:adjustRightInd w:val="0"/>
        <w:snapToGrid w:val="0"/>
        <w:spacing w:line="288" w:lineRule="auto"/>
        <w:jc w:val="right"/>
        <w:rPr>
          <w:rFonts w:ascii="宋体" w:hAnsi="宋体"/>
          <w:spacing w:val="-6"/>
          <w:sz w:val="21"/>
          <w:szCs w:val="21"/>
        </w:rPr>
      </w:pPr>
      <w:r>
        <w:rPr>
          <w:rFonts w:hint="eastAsia" w:ascii="宋体" w:hAnsi="宋体"/>
          <w:b/>
          <w:bCs/>
          <w:spacing w:val="-6"/>
          <w:sz w:val="21"/>
          <w:szCs w:val="21"/>
        </w:rPr>
        <w:t>正本或副本</w:t>
      </w:r>
    </w:p>
    <w:p>
      <w:pPr>
        <w:adjustRightInd w:val="0"/>
        <w:snapToGrid w:val="0"/>
        <w:spacing w:line="288" w:lineRule="auto"/>
        <w:rPr>
          <w:rFonts w:ascii="宋体" w:hAnsi="宋体"/>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____________________（投标人名称）</w:t>
      </w:r>
    </w:p>
    <w:p>
      <w:pPr>
        <w:adjustRightInd w:val="0"/>
        <w:snapToGrid w:val="0"/>
        <w:spacing w:line="288" w:lineRule="auto"/>
        <w:rPr>
          <w:rFonts w:ascii="宋体" w:hAnsi="宋体"/>
          <w:bCs/>
          <w:spacing w:val="-6"/>
          <w:sz w:val="21"/>
          <w:szCs w:val="21"/>
        </w:rPr>
      </w:pPr>
    </w:p>
    <w:p>
      <w:pPr>
        <w:adjustRightInd w:val="0"/>
        <w:snapToGrid w:val="0"/>
        <w:spacing w:line="288" w:lineRule="auto"/>
        <w:jc w:val="center"/>
        <w:rPr>
          <w:rFonts w:ascii="宋体" w:hAnsi="宋体"/>
          <w:b/>
          <w:spacing w:val="-6"/>
          <w:sz w:val="21"/>
          <w:szCs w:val="21"/>
        </w:rPr>
      </w:pPr>
      <w:r>
        <w:rPr>
          <w:rFonts w:hint="eastAsia" w:ascii="宋体" w:hAnsi="宋体"/>
          <w:b/>
          <w:spacing w:val="-6"/>
          <w:sz w:val="21"/>
          <w:szCs w:val="21"/>
        </w:rPr>
        <w:t>投 标 文 件</w:t>
      </w:r>
    </w:p>
    <w:p>
      <w:pPr>
        <w:adjustRightInd w:val="0"/>
        <w:snapToGrid w:val="0"/>
        <w:spacing w:line="288" w:lineRule="auto"/>
        <w:rPr>
          <w:rFonts w:ascii="宋体" w:hAnsi="宋体"/>
          <w:b/>
          <w:spacing w:val="-6"/>
          <w:sz w:val="21"/>
          <w:szCs w:val="21"/>
        </w:rPr>
      </w:pPr>
    </w:p>
    <w:p>
      <w:pPr>
        <w:adjustRightInd w:val="0"/>
        <w:snapToGrid w:val="0"/>
        <w:spacing w:line="288" w:lineRule="auto"/>
        <w:jc w:val="center"/>
        <w:rPr>
          <w:rFonts w:ascii="宋体" w:hAnsi="宋体"/>
          <w:b/>
          <w:bCs/>
          <w:spacing w:val="-6"/>
          <w:sz w:val="21"/>
          <w:szCs w:val="21"/>
        </w:rPr>
      </w:pPr>
      <w:r>
        <w:rPr>
          <w:rFonts w:hint="eastAsia" w:ascii="宋体" w:hAnsi="宋体"/>
          <w:b/>
          <w:bCs/>
          <w:spacing w:val="-6"/>
          <w:sz w:val="21"/>
          <w:szCs w:val="21"/>
        </w:rPr>
        <w:t>（报价文件）</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采购人：浙江大学海南研究院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项目名称：浙江大学海南研究院先进技术与产业创新平台物业服务</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项目编号：QSZB-F(F)-A24073(GK) </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投标人名称（盖章）：</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投标人地址：</w:t>
      </w:r>
    </w:p>
    <w:p>
      <w:pPr>
        <w:adjustRightInd w:val="0"/>
        <w:snapToGrid w:val="0"/>
        <w:spacing w:line="288" w:lineRule="auto"/>
        <w:rPr>
          <w:rFonts w:ascii="宋体" w:hAnsi="宋体"/>
          <w:bCs/>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投标人代表签名：</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日期：    年  月  日</w:t>
      </w:r>
    </w:p>
    <w:p>
      <w:pPr>
        <w:adjustRightInd w:val="0"/>
        <w:snapToGrid w:val="0"/>
        <w:spacing w:line="288" w:lineRule="auto"/>
        <w:jc w:val="center"/>
        <w:outlineLvl w:val="1"/>
        <w:rPr>
          <w:rFonts w:ascii="宋体" w:hAnsi="宋体"/>
          <w:b/>
          <w:spacing w:val="-6"/>
          <w:sz w:val="32"/>
          <w:szCs w:val="32"/>
        </w:rPr>
      </w:pPr>
      <w:r>
        <w:rPr>
          <w:rFonts w:ascii="宋体" w:hAnsi="宋体"/>
          <w:bCs/>
          <w:spacing w:val="-6"/>
          <w:sz w:val="21"/>
          <w:szCs w:val="21"/>
        </w:rPr>
        <w:br w:type="page"/>
      </w:r>
      <w:r>
        <w:rPr>
          <w:rFonts w:hint="eastAsia" w:ascii="宋体" w:hAnsi="宋体"/>
          <w:b/>
          <w:spacing w:val="-6"/>
          <w:sz w:val="32"/>
          <w:szCs w:val="32"/>
        </w:rPr>
        <w:t>报价文件</w:t>
      </w:r>
    </w:p>
    <w:p>
      <w:pPr>
        <w:adjustRightInd w:val="0"/>
        <w:snapToGrid w:val="0"/>
        <w:spacing w:line="288" w:lineRule="auto"/>
        <w:jc w:val="center"/>
        <w:outlineLvl w:val="2"/>
        <w:rPr>
          <w:rFonts w:ascii="宋体" w:hAnsi="宋体"/>
          <w:b/>
          <w:spacing w:val="-6"/>
          <w:sz w:val="21"/>
          <w:szCs w:val="21"/>
        </w:rPr>
      </w:pPr>
      <w:r>
        <w:rPr>
          <w:rFonts w:hint="eastAsia" w:ascii="宋体" w:hAnsi="宋体"/>
          <w:b/>
          <w:spacing w:val="-6"/>
          <w:sz w:val="21"/>
          <w:szCs w:val="21"/>
        </w:rPr>
        <w:t>（1）开标一览表</w:t>
      </w:r>
    </w:p>
    <w:p>
      <w:pPr>
        <w:adjustRightInd w:val="0"/>
        <w:snapToGrid w:val="0"/>
        <w:spacing w:line="288" w:lineRule="auto"/>
        <w:rPr>
          <w:rFonts w:ascii="宋体" w:hAnsi="宋体"/>
          <w:b/>
          <w:spacing w:val="-6"/>
          <w:sz w:val="21"/>
          <w:szCs w:val="21"/>
        </w:rPr>
      </w:pP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采 购 人：浙江大学海南研究院</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项目名称：浙江大学海南研究院先进技术与产业创新平台物业服务</w:t>
      </w:r>
    </w:p>
    <w:p>
      <w:pPr>
        <w:adjustRightInd w:val="0"/>
        <w:snapToGrid w:val="0"/>
        <w:spacing w:line="288" w:lineRule="auto"/>
        <w:rPr>
          <w:rFonts w:ascii="宋体" w:hAnsi="宋体"/>
          <w:bCs/>
          <w:spacing w:val="-6"/>
          <w:sz w:val="21"/>
          <w:szCs w:val="21"/>
        </w:rPr>
      </w:pPr>
      <w:r>
        <w:rPr>
          <w:rFonts w:hint="eastAsia" w:ascii="宋体" w:hAnsi="宋体"/>
          <w:bCs/>
          <w:spacing w:val="-6"/>
          <w:sz w:val="21"/>
          <w:szCs w:val="21"/>
        </w:rPr>
        <w:t xml:space="preserve">项目编号：QSZB-F(F)-A24073(GK) </w:t>
      </w:r>
    </w:p>
    <w:tbl>
      <w:tblPr>
        <w:tblStyle w:val="25"/>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1702"/>
        <w:gridCol w:w="1011"/>
        <w:gridCol w:w="2175"/>
        <w:gridCol w:w="2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名称</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单价（元）</w:t>
            </w: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cs="宋体"/>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cs="宋体"/>
                <w:b/>
                <w:bCs/>
                <w:sz w:val="21"/>
                <w:szCs w:val="21"/>
              </w:rPr>
            </w:pP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c>
          <w:tcPr>
            <w:tcW w:w="24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cs="宋体"/>
                <w:b/>
                <w:bCs/>
                <w:sz w:val="21"/>
                <w:szCs w:val="21"/>
              </w:rPr>
            </w:pPr>
            <w:r>
              <w:rPr>
                <w:rFonts w:hint="eastAsia" w:ascii="宋体" w:hAnsi="宋体"/>
                <w:b/>
                <w:spacing w:val="-6"/>
                <w:sz w:val="21"/>
                <w:szCs w:val="21"/>
              </w:rPr>
              <w:t>说明：</w:t>
            </w:r>
            <w:r>
              <w:rPr>
                <w:rFonts w:hint="eastAsia" w:ascii="宋体" w:hAnsi="宋体"/>
                <w:bCs/>
                <w:spacing w:val="-6"/>
                <w:sz w:val="21"/>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adjustRightInd w:val="0"/>
              <w:snapToGrid w:val="0"/>
              <w:spacing w:line="288" w:lineRule="auto"/>
              <w:jc w:val="center"/>
              <w:rPr>
                <w:rFonts w:ascii="宋体" w:hAnsi="宋体" w:cs="宋体"/>
                <w:b/>
                <w:bCs/>
                <w:sz w:val="21"/>
                <w:szCs w:val="21"/>
              </w:rPr>
            </w:pPr>
            <w:r>
              <w:rPr>
                <w:rFonts w:hint="eastAsia" w:ascii="宋体" w:hAnsi="宋体" w:cs="宋体"/>
                <w:b/>
                <w:bCs/>
                <w:sz w:val="21"/>
                <w:szCs w:val="21"/>
              </w:rPr>
              <w:t>投标总价（人民币元）</w:t>
            </w:r>
          </w:p>
          <w:p>
            <w:pPr>
              <w:adjustRightInd w:val="0"/>
              <w:snapToGrid w:val="0"/>
              <w:spacing w:line="288" w:lineRule="auto"/>
              <w:rPr>
                <w:rFonts w:ascii="宋体" w:hAnsi="宋体" w:cs="宋体"/>
                <w:b/>
                <w:bCs/>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小写：_________________________</w:t>
            </w:r>
          </w:p>
          <w:p>
            <w:pPr>
              <w:adjustRightInd w:val="0"/>
              <w:snapToGrid w:val="0"/>
              <w:spacing w:line="288" w:lineRule="auto"/>
              <w:rPr>
                <w:rFonts w:ascii="宋体" w:hAnsi="宋体" w:cs="宋体"/>
                <w:b/>
                <w:bCs/>
                <w:sz w:val="21"/>
                <w:szCs w:val="21"/>
              </w:rPr>
            </w:pPr>
          </w:p>
          <w:p>
            <w:pPr>
              <w:adjustRightInd w:val="0"/>
              <w:snapToGrid w:val="0"/>
              <w:spacing w:line="288" w:lineRule="auto"/>
              <w:rPr>
                <w:rFonts w:ascii="宋体" w:hAnsi="宋体" w:cs="宋体"/>
                <w:b/>
                <w:bCs/>
                <w:sz w:val="21"/>
                <w:szCs w:val="21"/>
              </w:rPr>
            </w:pPr>
            <w:r>
              <w:rPr>
                <w:rFonts w:hint="eastAsia" w:ascii="宋体" w:hAnsi="宋体" w:cs="宋体"/>
                <w:b/>
                <w:bCs/>
                <w:sz w:val="21"/>
                <w:szCs w:val="21"/>
              </w:rPr>
              <w:t>大写：_________________________</w:t>
            </w:r>
          </w:p>
          <w:p>
            <w:pPr>
              <w:adjustRightInd w:val="0"/>
              <w:snapToGrid w:val="0"/>
              <w:spacing w:line="288" w:lineRule="auto"/>
              <w:rPr>
                <w:rFonts w:ascii="宋体" w:hAnsi="宋体" w:cs="宋体"/>
                <w:b/>
                <w:bCs/>
                <w:sz w:val="21"/>
                <w:szCs w:val="21"/>
              </w:rPr>
            </w:pPr>
          </w:p>
        </w:tc>
      </w:tr>
    </w:tbl>
    <w:p>
      <w:pPr>
        <w:adjustRightInd w:val="0"/>
        <w:snapToGrid w:val="0"/>
        <w:spacing w:line="288" w:lineRule="auto"/>
        <w:rPr>
          <w:rFonts w:ascii="宋体" w:hAnsi="宋体"/>
          <w:spacing w:val="-6"/>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说明：</w:t>
      </w:r>
    </w:p>
    <w:p>
      <w:pPr>
        <w:adjustRightInd w:val="0"/>
        <w:snapToGrid w:val="0"/>
        <w:spacing w:line="288" w:lineRule="auto"/>
        <w:rPr>
          <w:rFonts w:ascii="宋体" w:hAnsi="宋体"/>
          <w:bCs/>
          <w:spacing w:val="-6"/>
          <w:sz w:val="21"/>
          <w:szCs w:val="21"/>
        </w:rPr>
      </w:pPr>
      <w:r>
        <w:rPr>
          <w:rFonts w:ascii="宋体" w:hAnsi="宋体"/>
          <w:bCs/>
          <w:spacing w:val="-6"/>
          <w:sz w:val="21"/>
          <w:szCs w:val="21"/>
        </w:rPr>
        <w:t>1.</w:t>
      </w:r>
      <w:r>
        <w:rPr>
          <w:rFonts w:hint="eastAsia" w:ascii="宋体" w:hAnsi="宋体"/>
          <w:bCs/>
          <w:spacing w:val="-6"/>
          <w:sz w:val="21"/>
          <w:szCs w:val="21"/>
        </w:rPr>
        <w:t>此表在不改变格式要求的情况下，可自行增行。</w:t>
      </w:r>
    </w:p>
    <w:p>
      <w:pPr>
        <w:adjustRightInd w:val="0"/>
        <w:snapToGrid w:val="0"/>
        <w:spacing w:line="288" w:lineRule="auto"/>
        <w:jc w:val="left"/>
        <w:rPr>
          <w:rFonts w:ascii="宋体" w:hAnsi="宋体"/>
          <w:b/>
          <w:spacing w:val="-6"/>
          <w:sz w:val="21"/>
          <w:szCs w:val="21"/>
        </w:rPr>
      </w:pPr>
      <w:r>
        <w:rPr>
          <w:rFonts w:ascii="宋体" w:hAnsi="宋体"/>
          <w:bCs/>
          <w:spacing w:val="-6"/>
          <w:sz w:val="21"/>
          <w:szCs w:val="21"/>
        </w:rPr>
        <w:t>2.有关本项目实施所涉及的一切费用均计入报价。</w:t>
      </w:r>
    </w:p>
    <w:p>
      <w:pPr>
        <w:adjustRightInd w:val="0"/>
        <w:snapToGrid w:val="0"/>
        <w:spacing w:line="288" w:lineRule="auto"/>
        <w:jc w:val="left"/>
        <w:rPr>
          <w:rFonts w:ascii="宋体" w:hAnsi="宋体"/>
          <w:b/>
          <w:spacing w:val="-6"/>
          <w:sz w:val="21"/>
          <w:szCs w:val="21"/>
        </w:rPr>
      </w:pPr>
      <w:r>
        <w:rPr>
          <w:rFonts w:ascii="宋体" w:hAnsi="宋体"/>
          <w:b/>
          <w:spacing w:val="-6"/>
          <w:sz w:val="21"/>
          <w:szCs w:val="21"/>
        </w:rPr>
        <w:t>3.以上表格要求细分项目及报价，在“具体服务”一栏中，服务类项目填写具体服务。</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投标人名称（盖章）：</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投标人代表签名：</w:t>
      </w:r>
    </w:p>
    <w:p>
      <w:pPr>
        <w:adjustRightInd w:val="0"/>
        <w:snapToGrid w:val="0"/>
        <w:spacing w:line="288" w:lineRule="auto"/>
        <w:rPr>
          <w:rFonts w:ascii="宋体" w:hAnsi="宋体"/>
          <w:b/>
          <w:bCs/>
          <w:spacing w:val="-6"/>
          <w:sz w:val="21"/>
          <w:szCs w:val="21"/>
        </w:rPr>
      </w:pPr>
      <w:r>
        <w:rPr>
          <w:rFonts w:hint="eastAsia" w:ascii="宋体" w:hAnsi="宋体"/>
          <w:b/>
          <w:bCs/>
          <w:spacing w:val="-6"/>
          <w:sz w:val="21"/>
          <w:szCs w:val="21"/>
        </w:rPr>
        <w:t>日期：     年   月   日</w:t>
      </w:r>
    </w:p>
    <w:p>
      <w:pPr>
        <w:pStyle w:val="16"/>
        <w:adjustRightInd w:val="0"/>
        <w:snapToGrid w:val="0"/>
        <w:spacing w:beforeLines="0" w:afterLines="0" w:line="288" w:lineRule="auto"/>
        <w:jc w:val="center"/>
        <w:outlineLvl w:val="1"/>
        <w:rPr>
          <w:rFonts w:hAnsi="宋体"/>
          <w:b/>
          <w:bCs/>
          <w:sz w:val="21"/>
          <w:szCs w:val="21"/>
        </w:rPr>
      </w:pPr>
      <w:r>
        <w:rPr>
          <w:rFonts w:hAnsi="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w:t>
      </w:r>
      <w:r>
        <w:rPr>
          <w:rFonts w:ascii="宋体" w:hAnsi="宋体"/>
          <w:b/>
          <w:bCs/>
          <w:sz w:val="21"/>
          <w:szCs w:val="21"/>
        </w:rPr>
        <w:t>中小企业声明函（服务）</w:t>
      </w:r>
      <w:r>
        <w:rPr>
          <w:rFonts w:hint="eastAsia" w:ascii="宋体" w:hAnsi="宋体"/>
          <w:b/>
          <w:bCs/>
          <w:sz w:val="21"/>
          <w:szCs w:val="21"/>
        </w:rPr>
        <w:t>（若属于中小企业）</w:t>
      </w:r>
    </w:p>
    <w:p>
      <w:pPr>
        <w:adjustRightInd w:val="0"/>
        <w:snapToGrid w:val="0"/>
        <w:spacing w:line="288" w:lineRule="auto"/>
        <w:ind w:firstLine="498" w:firstLineChars="236"/>
        <w:rPr>
          <w:rFonts w:ascii="宋体" w:hAnsi="宋体"/>
          <w:b/>
          <w:sz w:val="21"/>
          <w:szCs w:val="21"/>
        </w:rPr>
      </w:pPr>
    </w:p>
    <w:p>
      <w:pPr>
        <w:adjustRightInd w:val="0"/>
        <w:snapToGrid w:val="0"/>
        <w:spacing w:line="288" w:lineRule="auto"/>
        <w:ind w:firstLine="495" w:firstLineChars="236"/>
        <w:rPr>
          <w:rFonts w:ascii="宋体" w:hAnsi="宋体"/>
          <w:sz w:val="21"/>
          <w:szCs w:val="21"/>
        </w:rPr>
      </w:pPr>
      <w:r>
        <w:rPr>
          <w:rFonts w:ascii="宋体" w:hAnsi="宋体"/>
          <w:sz w:val="21"/>
          <w:szCs w:val="21"/>
        </w:rPr>
        <w:t>本公司郑重声明，根据《政府采购促进中小企业发展管理办法》（财库</w:t>
      </w:r>
      <w:r>
        <w:rPr>
          <w:rFonts w:hint="eastAsia" w:ascii="宋体" w:hAnsi="宋体"/>
          <w:sz w:val="21"/>
          <w:szCs w:val="21"/>
        </w:rPr>
        <w:t>﹝</w:t>
      </w:r>
      <w:r>
        <w:rPr>
          <w:rFonts w:ascii="宋体" w:hAnsi="宋体"/>
          <w:sz w:val="21"/>
          <w:szCs w:val="21"/>
        </w:rPr>
        <w:t>2020</w:t>
      </w:r>
      <w:r>
        <w:rPr>
          <w:rFonts w:hint="eastAsia" w:ascii="宋体" w:hAnsi="宋体"/>
          <w:sz w:val="21"/>
          <w:szCs w:val="21"/>
        </w:rPr>
        <w:t>﹞</w:t>
      </w:r>
      <w:r>
        <w:rPr>
          <w:rFonts w:ascii="宋体" w:hAnsi="宋体"/>
          <w:sz w:val="21"/>
          <w:szCs w:val="21"/>
        </w:rPr>
        <w:t>46 号）的规定，本公司参加</w:t>
      </w:r>
      <w:r>
        <w:rPr>
          <w:rFonts w:ascii="宋体" w:hAnsi="宋体"/>
          <w:i/>
          <w:sz w:val="21"/>
          <w:szCs w:val="21"/>
          <w:u w:val="single"/>
        </w:rPr>
        <w:t>（</w:t>
      </w:r>
      <w:r>
        <w:rPr>
          <w:rFonts w:hint="eastAsia" w:ascii="宋体" w:hAnsi="宋体"/>
          <w:i/>
          <w:sz w:val="21"/>
          <w:szCs w:val="21"/>
          <w:u w:val="single"/>
        </w:rPr>
        <w:t>浙江大学海南研究院</w:t>
      </w:r>
      <w:r>
        <w:rPr>
          <w:rFonts w:ascii="宋体" w:hAnsi="宋体"/>
          <w:i/>
          <w:sz w:val="21"/>
          <w:szCs w:val="21"/>
          <w:u w:val="single"/>
        </w:rPr>
        <w:t>）</w:t>
      </w:r>
      <w:r>
        <w:rPr>
          <w:rFonts w:ascii="宋体" w:hAnsi="宋体"/>
          <w:sz w:val="21"/>
          <w:szCs w:val="21"/>
        </w:rPr>
        <w:t>的</w:t>
      </w:r>
      <w:r>
        <w:rPr>
          <w:rFonts w:ascii="宋体" w:hAnsi="宋体"/>
          <w:i/>
          <w:sz w:val="21"/>
          <w:szCs w:val="21"/>
          <w:u w:val="single"/>
        </w:rPr>
        <w:t>（</w:t>
      </w:r>
      <w:r>
        <w:rPr>
          <w:rFonts w:hint="eastAsia" w:ascii="宋体" w:hAnsi="宋体"/>
          <w:i/>
          <w:sz w:val="21"/>
          <w:szCs w:val="21"/>
          <w:u w:val="single"/>
        </w:rPr>
        <w:t>浙江大学海南研究院先进技术与产业创新平台物业服务）</w:t>
      </w:r>
      <w:r>
        <w:rPr>
          <w:rFonts w:ascii="宋体" w:hAnsi="宋体"/>
          <w:sz w:val="21"/>
          <w:szCs w:val="21"/>
        </w:rPr>
        <w:t>采购活动，服务全部由符合政策要求的中小企业承接。相关企业的具体情况如下：</w:t>
      </w:r>
    </w:p>
    <w:p>
      <w:pPr>
        <w:adjustRightInd w:val="0"/>
        <w:snapToGrid w:val="0"/>
        <w:spacing w:line="288" w:lineRule="auto"/>
        <w:ind w:firstLine="495" w:firstLineChars="236"/>
        <w:rPr>
          <w:rFonts w:ascii="宋体" w:hAnsi="宋体"/>
          <w:i/>
          <w:sz w:val="21"/>
          <w:szCs w:val="21"/>
          <w:u w:val="single"/>
        </w:rPr>
      </w:pPr>
      <w:r>
        <w:rPr>
          <w:rFonts w:hint="eastAsia" w:ascii="宋体" w:hAnsi="宋体"/>
          <w:i/>
          <w:sz w:val="21"/>
          <w:szCs w:val="21"/>
          <w:u w:val="single"/>
        </w:rPr>
        <w:t>1</w:t>
      </w:r>
      <w:r>
        <w:rPr>
          <w:rFonts w:ascii="宋体" w:hAnsi="宋体"/>
          <w:i/>
          <w:sz w:val="21"/>
          <w:szCs w:val="21"/>
          <w:u w:val="single"/>
        </w:rPr>
        <w:t>.</w:t>
      </w:r>
      <w:r>
        <w:rPr>
          <w:rFonts w:hint="eastAsia" w:ascii="宋体" w:hAnsi="宋体"/>
          <w:i/>
          <w:sz w:val="21"/>
          <w:szCs w:val="21"/>
          <w:u w:val="single"/>
        </w:rPr>
        <w:t>（浙江大学海南研究院先进技术与产业创新平台物业服务）</w:t>
      </w:r>
      <w:r>
        <w:rPr>
          <w:rFonts w:ascii="宋体" w:hAnsi="宋体"/>
          <w:i/>
          <w:sz w:val="21"/>
          <w:szCs w:val="21"/>
          <w:u w:val="single"/>
        </w:rPr>
        <w:t>，属于（</w:t>
      </w:r>
      <w:r>
        <w:rPr>
          <w:rFonts w:hint="eastAsia" w:ascii="宋体" w:hAnsi="宋体"/>
          <w:i/>
          <w:sz w:val="21"/>
          <w:szCs w:val="21"/>
          <w:u w:val="single"/>
        </w:rPr>
        <w:t>物业管理</w:t>
      </w:r>
      <w:r>
        <w:rPr>
          <w:rFonts w:ascii="宋体" w:hAnsi="宋体"/>
          <w:i/>
          <w:sz w:val="21"/>
          <w:szCs w:val="21"/>
          <w:u w:val="single"/>
        </w:rPr>
        <w:t>）；</w:t>
      </w:r>
      <w:r>
        <w:rPr>
          <w:rFonts w:ascii="宋体" w:hAnsi="宋体"/>
          <w:sz w:val="21"/>
          <w:szCs w:val="21"/>
        </w:rPr>
        <w:t>承接企业为</w:t>
      </w:r>
      <w:r>
        <w:rPr>
          <w:rFonts w:ascii="宋体" w:hAnsi="宋体"/>
          <w:i/>
          <w:sz w:val="21"/>
          <w:szCs w:val="21"/>
          <w:u w:val="single"/>
        </w:rPr>
        <w:t>（企业名称）</w:t>
      </w:r>
      <w:r>
        <w:rPr>
          <w:rFonts w:ascii="宋体" w:hAnsi="宋体"/>
          <w:sz w:val="21"/>
          <w:szCs w:val="21"/>
        </w:rPr>
        <w:t>，从业人员</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人，营业收入为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万元，资产总额为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pPr>
        <w:adjustRightInd w:val="0"/>
        <w:snapToGrid w:val="0"/>
        <w:spacing w:line="288" w:lineRule="auto"/>
        <w:ind w:firstLine="495" w:firstLineChars="236"/>
        <w:rPr>
          <w:rFonts w:ascii="宋体" w:hAnsi="宋体"/>
          <w:sz w:val="21"/>
          <w:szCs w:val="21"/>
        </w:rPr>
      </w:pPr>
      <w:r>
        <w:rPr>
          <w:rFonts w:ascii="宋体" w:hAnsi="宋体"/>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sz w:val="21"/>
          <w:szCs w:val="21"/>
        </w:rPr>
      </w:pPr>
      <w:r>
        <w:rPr>
          <w:rFonts w:ascii="宋体" w:hAnsi="宋体"/>
          <w:sz w:val="21"/>
          <w:szCs w:val="21"/>
        </w:rPr>
        <w:t>本企业对上述声明内容的真实性负责。如有虚假，将依法承担相应责任。</w:t>
      </w:r>
    </w:p>
    <w:p>
      <w:pPr>
        <w:adjustRightInd w:val="0"/>
        <w:snapToGrid w:val="0"/>
        <w:spacing w:line="288" w:lineRule="auto"/>
        <w:ind w:firstLine="495" w:firstLineChars="236"/>
        <w:rPr>
          <w:rFonts w:ascii="宋体" w:hAnsi="宋体"/>
          <w:sz w:val="21"/>
          <w:szCs w:val="21"/>
        </w:rPr>
      </w:pPr>
      <w:r>
        <w:rPr>
          <w:rFonts w:ascii="宋体" w:hAnsi="宋体"/>
          <w:sz w:val="21"/>
          <w:szCs w:val="21"/>
        </w:rPr>
        <w:t>企业名称（盖章）：</w:t>
      </w:r>
    </w:p>
    <w:p>
      <w:pPr>
        <w:adjustRightInd w:val="0"/>
        <w:snapToGrid w:val="0"/>
        <w:spacing w:line="288" w:lineRule="auto"/>
        <w:ind w:firstLine="495" w:firstLineChars="236"/>
        <w:rPr>
          <w:rFonts w:ascii="宋体" w:hAnsi="宋体"/>
          <w:sz w:val="21"/>
          <w:szCs w:val="21"/>
        </w:rPr>
      </w:pPr>
      <w:r>
        <w:rPr>
          <w:rFonts w:ascii="宋体" w:hAnsi="宋体"/>
          <w:sz w:val="21"/>
          <w:szCs w:val="21"/>
        </w:rPr>
        <w:t>日期：</w:t>
      </w:r>
    </w:p>
    <w:p>
      <w:pPr>
        <w:adjustRightInd w:val="0"/>
        <w:snapToGrid w:val="0"/>
        <w:spacing w:line="288" w:lineRule="auto"/>
        <w:ind w:firstLine="495" w:firstLineChars="236"/>
        <w:rPr>
          <w:rFonts w:ascii="宋体" w:hAnsi="宋体"/>
          <w:sz w:val="21"/>
          <w:szCs w:val="21"/>
        </w:rPr>
      </w:pP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注：</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sz w:val="21"/>
          <w:szCs w:val="21"/>
        </w:rPr>
      </w:pPr>
      <w:r>
        <w:rPr>
          <w:rFonts w:ascii="宋体" w:hAnsi="宋体"/>
          <w:sz w:val="21"/>
          <w:szCs w:val="21"/>
        </w:rPr>
        <w:t>3.</w:t>
      </w:r>
      <w:r>
        <w:rPr>
          <w:rFonts w:hint="eastAsia" w:ascii="宋体" w:hAnsi="宋体"/>
          <w:sz w:val="21"/>
          <w:szCs w:val="21"/>
        </w:rPr>
        <w:t>《中小企业声明函》填写不全的，视为未提供《中小企业声明函》（从业人员、营业收入、资产总额在中小企业划型标准规定中不涉及的除外），</w:t>
      </w:r>
      <w:r>
        <w:rPr>
          <w:rFonts w:hint="eastAsia" w:ascii="宋体" w:hAnsi="宋体"/>
          <w:sz w:val="21"/>
          <w:szCs w:val="22"/>
        </w:rPr>
        <w:t>不享受中小企业扶持政策。</w:t>
      </w:r>
      <w:r>
        <w:rPr>
          <w:rFonts w:ascii="宋体" w:hAnsi="宋体" w:cs="宋体"/>
          <w:sz w:val="21"/>
          <w:szCs w:val="21"/>
        </w:rPr>
        <w:t>如项目包含“多件”标的物的，需按标的物项数逐项填写。</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投标人提供《中小企业声明函》内容不实的，属于提供虚假材料谋取中标、成交，依照《中华人民共和国政府采购法》等国家有关规定追究相应责任。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sz w:val="21"/>
          <w:szCs w:val="21"/>
        </w:rPr>
      </w:pPr>
      <w:r>
        <w:rPr>
          <w:rFonts w:hint="eastAsia" w:ascii="宋体" w:hAnsi="宋体"/>
          <w:sz w:val="21"/>
          <w:szCs w:val="21"/>
        </w:rPr>
        <w:t>5.本项目只以《中小企业声明函》作为评判投标人是否属于中小企业的唯一依据。</w:t>
      </w:r>
    </w:p>
    <w:p>
      <w:pPr>
        <w:adjustRightInd w:val="0"/>
        <w:snapToGrid w:val="0"/>
        <w:spacing w:line="288" w:lineRule="auto"/>
        <w:ind w:firstLine="495" w:firstLineChars="236"/>
        <w:rPr>
          <w:rFonts w:ascii="宋体" w:hAnsi="宋体"/>
          <w:sz w:val="21"/>
          <w:szCs w:val="21"/>
        </w:rPr>
      </w:pPr>
      <w:r>
        <w:rPr>
          <w:rFonts w:ascii="宋体" w:hAnsi="宋体"/>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3</w:t>
      </w:r>
      <w:r>
        <w:rPr>
          <w:rFonts w:hint="eastAsia" w:ascii="宋体" w:hAnsi="宋体"/>
          <w:b/>
          <w:bCs/>
          <w:sz w:val="21"/>
          <w:szCs w:val="21"/>
        </w:rPr>
        <w:t>）属于监狱企业的证明文件（若属于监狱企业）</w:t>
      </w:r>
    </w:p>
    <w:p>
      <w:pPr>
        <w:adjustRightInd w:val="0"/>
        <w:snapToGrid w:val="0"/>
        <w:spacing w:line="288" w:lineRule="auto"/>
        <w:rPr>
          <w:rFonts w:ascii="宋体" w:hAnsi="宋体" w:cs="宋体"/>
          <w:color w:val="000000"/>
          <w:kern w:val="0"/>
          <w:sz w:val="21"/>
          <w:szCs w:val="21"/>
        </w:rPr>
      </w:pPr>
    </w:p>
    <w:p>
      <w:pPr>
        <w:adjustRightInd w:val="0"/>
        <w:snapToGrid w:val="0"/>
        <w:spacing w:line="288" w:lineRule="auto"/>
        <w:ind w:firstLine="373" w:firstLineChars="177"/>
        <w:rPr>
          <w:rFonts w:ascii="宋体" w:hAnsi="宋体"/>
          <w:b/>
          <w:bCs/>
          <w:sz w:val="21"/>
          <w:szCs w:val="21"/>
        </w:rPr>
      </w:pPr>
      <w:r>
        <w:rPr>
          <w:rFonts w:hint="eastAsia" w:ascii="宋体" w:hAnsi="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cs="宋体"/>
          <w:color w:val="000000"/>
          <w:kern w:val="0"/>
          <w:sz w:val="21"/>
          <w:szCs w:val="21"/>
        </w:rPr>
      </w:pPr>
      <w:r>
        <w:rPr>
          <w:rFonts w:hint="eastAsia" w:ascii="宋体" w:hAnsi="宋体" w:cs="宋体"/>
          <w:color w:val="000000"/>
          <w:kern w:val="0"/>
          <w:sz w:val="21"/>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cs="宋体"/>
          <w:b/>
          <w:spacing w:val="-6"/>
          <w:sz w:val="21"/>
          <w:szCs w:val="21"/>
        </w:rPr>
      </w:pPr>
      <w:r>
        <w:rPr>
          <w:rFonts w:ascii="宋体" w:hAnsi="宋体" w:cs="宋体"/>
          <w:b/>
          <w:spacing w:val="-6"/>
          <w:sz w:val="21"/>
          <w:szCs w:val="21"/>
        </w:rPr>
        <w:br w:type="page"/>
      </w:r>
    </w:p>
    <w:p>
      <w:pPr>
        <w:adjustRightInd w:val="0"/>
        <w:snapToGrid w:val="0"/>
        <w:spacing w:line="288" w:lineRule="auto"/>
        <w:ind w:firstLine="498" w:firstLineChars="236"/>
        <w:jc w:val="center"/>
        <w:outlineLvl w:val="2"/>
        <w:rPr>
          <w:rFonts w:ascii="宋体" w:hAnsi="宋体"/>
          <w:b/>
          <w:bCs/>
          <w:sz w:val="21"/>
          <w:szCs w:val="21"/>
        </w:rPr>
      </w:pPr>
      <w:r>
        <w:rPr>
          <w:rFonts w:hint="eastAsia" w:ascii="宋体" w:hAnsi="宋体"/>
          <w:b/>
          <w:bCs/>
          <w:sz w:val="21"/>
          <w:szCs w:val="21"/>
        </w:rPr>
        <w:t>（</w:t>
      </w:r>
      <w:r>
        <w:rPr>
          <w:rFonts w:ascii="宋体" w:hAnsi="宋体"/>
          <w:b/>
          <w:bCs/>
          <w:sz w:val="21"/>
          <w:szCs w:val="21"/>
        </w:rPr>
        <w:t>4</w:t>
      </w:r>
      <w:r>
        <w:rPr>
          <w:rFonts w:hint="eastAsia" w:ascii="宋体" w:hAnsi="宋体"/>
          <w:b/>
          <w:bCs/>
          <w:sz w:val="21"/>
          <w:szCs w:val="21"/>
        </w:rPr>
        <w:t>）残疾人福利性单位声明函（若属于残疾人福利性单位）</w:t>
      </w:r>
    </w:p>
    <w:p>
      <w:pPr>
        <w:adjustRightInd w:val="0"/>
        <w:snapToGrid w:val="0"/>
        <w:spacing w:line="288" w:lineRule="auto"/>
        <w:rPr>
          <w:rFonts w:ascii="宋体" w:hAnsi="宋体"/>
          <w:b/>
          <w:spacing w:val="6"/>
          <w:sz w:val="21"/>
          <w:szCs w:val="21"/>
        </w:rPr>
      </w:pPr>
    </w:p>
    <w:p>
      <w:pPr>
        <w:adjustRightInd w:val="0"/>
        <w:snapToGrid w:val="0"/>
        <w:spacing w:line="288" w:lineRule="auto"/>
        <w:ind w:firstLine="444" w:firstLineChars="200"/>
        <w:rPr>
          <w:rFonts w:ascii="宋体" w:hAnsi="宋体"/>
          <w:spacing w:val="6"/>
          <w:sz w:val="21"/>
          <w:szCs w:val="21"/>
        </w:rPr>
      </w:pPr>
      <w:r>
        <w:rPr>
          <w:rFonts w:hint="eastAsia" w:ascii="宋体" w:hAnsi="宋体"/>
          <w:spacing w:val="6"/>
          <w:sz w:val="21"/>
          <w:szCs w:val="21"/>
        </w:rPr>
        <w:t>本单位郑重声明，根据《财政部 民政部 中国残疾人联合会关于促进残疾人就业政府采购政策的通知》（财库</w:t>
      </w:r>
      <w:r>
        <w:rPr>
          <w:rFonts w:hint="eastAsia" w:ascii="宋体" w:hAnsi="宋体"/>
          <w:sz w:val="21"/>
          <w:szCs w:val="21"/>
        </w:rPr>
        <w:t>〔2017〕 141</w:t>
      </w:r>
      <w:r>
        <w:rPr>
          <w:rFonts w:hint="eastAsia" w:ascii="宋体" w:hAnsi="宋体"/>
          <w:spacing w:val="6"/>
          <w:sz w:val="21"/>
          <w:szCs w:val="21"/>
        </w:rPr>
        <w:t>号）的规定，</w:t>
      </w:r>
      <w:r>
        <w:rPr>
          <w:rFonts w:hint="eastAsia" w:ascii="宋体" w:hAnsi="宋体"/>
          <w:b/>
          <w:bCs/>
          <w:spacing w:val="6"/>
          <w:sz w:val="21"/>
          <w:szCs w:val="21"/>
        </w:rPr>
        <w:t>本单位为符合条件的残疾人福利性单位</w:t>
      </w:r>
      <w:r>
        <w:rPr>
          <w:rFonts w:hint="eastAsia" w:ascii="宋体" w:hAnsi="宋体"/>
          <w:spacing w:val="6"/>
          <w:sz w:val="21"/>
          <w:szCs w:val="21"/>
        </w:rPr>
        <w:t>，且本单位参加______（采购人）单位的______（项目名称）项目采购活动提供本单位由本单位提供服务，或者提供其他残疾人福利性单位制造的货物（不包括使用非残疾人福利性单位注册商标的货物）。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spacing w:val="6"/>
          <w:sz w:val="21"/>
          <w:szCs w:val="21"/>
        </w:rPr>
      </w:pPr>
      <w:r>
        <w:rPr>
          <w:rFonts w:hint="eastAsia" w:ascii="宋体" w:hAnsi="宋体"/>
          <w:spacing w:val="6"/>
          <w:sz w:val="21"/>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spacing w:val="6"/>
          <w:sz w:val="21"/>
          <w:szCs w:val="21"/>
        </w:rPr>
      </w:pPr>
      <w:r>
        <w:rPr>
          <w:rFonts w:hint="eastAsia" w:ascii="宋体" w:hAnsi="宋体"/>
          <w:spacing w:val="6"/>
          <w:sz w:val="21"/>
          <w:szCs w:val="21"/>
        </w:rPr>
        <w:t>单位名称（盖章）：</w:t>
      </w:r>
    </w:p>
    <w:p>
      <w:pPr>
        <w:tabs>
          <w:tab w:val="left" w:pos="4860"/>
        </w:tabs>
        <w:adjustRightInd w:val="0"/>
        <w:snapToGrid w:val="0"/>
        <w:spacing w:line="288" w:lineRule="auto"/>
        <w:ind w:right="1560" w:firstLine="444" w:firstLineChars="200"/>
        <w:rPr>
          <w:rFonts w:ascii="宋体" w:hAnsi="宋体"/>
          <w:spacing w:val="6"/>
          <w:sz w:val="21"/>
          <w:szCs w:val="21"/>
        </w:rPr>
      </w:pPr>
      <w:r>
        <w:rPr>
          <w:rFonts w:hint="eastAsia" w:ascii="宋体" w:hAnsi="宋体"/>
          <w:spacing w:val="6"/>
          <w:sz w:val="21"/>
          <w:szCs w:val="21"/>
        </w:rPr>
        <w:t>日  期：</w:t>
      </w:r>
    </w:p>
    <w:p>
      <w:pPr>
        <w:adjustRightInd w:val="0"/>
        <w:snapToGrid w:val="0"/>
        <w:spacing w:line="288" w:lineRule="auto"/>
        <w:rPr>
          <w:rFonts w:ascii="宋体" w:hAnsi="宋体"/>
          <w:sz w:val="21"/>
          <w:szCs w:val="21"/>
        </w:rPr>
      </w:pPr>
    </w:p>
    <w:p>
      <w:pPr>
        <w:adjustRightInd w:val="0"/>
        <w:snapToGrid w:val="0"/>
        <w:spacing w:line="288" w:lineRule="auto"/>
        <w:rPr>
          <w:rFonts w:ascii="宋体" w:hAnsi="宋体"/>
          <w:b/>
          <w:bCs/>
          <w:sz w:val="21"/>
          <w:szCs w:val="21"/>
        </w:rPr>
      </w:pPr>
      <w:r>
        <w:rPr>
          <w:rFonts w:hint="eastAsia" w:ascii="宋体" w:hAnsi="宋体"/>
          <w:b/>
          <w:bCs/>
          <w:sz w:val="21"/>
          <w:szCs w:val="21"/>
        </w:rPr>
        <w:t>说明：</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23"/>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3"/>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23"/>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23"/>
        <w:shd w:val="clear" w:color="auto" w:fill="FFFFFF"/>
        <w:adjustRightInd w:val="0"/>
        <w:snapToGrid w:val="0"/>
        <w:spacing w:before="0" w:beforeAutospacing="0" w:after="0" w:afterAutospacing="0" w:line="288" w:lineRule="auto"/>
        <w:ind w:firstLine="371" w:firstLineChars="177"/>
        <w:rPr>
          <w:sz w:val="21"/>
          <w:szCs w:val="21"/>
        </w:rPr>
      </w:pPr>
      <w:r>
        <w:rPr>
          <w:rFonts w:hint="eastAsia"/>
          <w:sz w:val="21"/>
          <w:szCs w:val="21"/>
        </w:rPr>
        <w:t>残疾人福利性单位属于小型、微型企业的，不重复享受政策。</w:t>
      </w:r>
    </w:p>
    <w:p>
      <w:pPr>
        <w:widowControl/>
        <w:adjustRightInd w:val="0"/>
        <w:snapToGrid w:val="0"/>
        <w:spacing w:line="288" w:lineRule="auto"/>
        <w:jc w:val="left"/>
        <w:rPr>
          <w:rFonts w:ascii="宋体" w:hAnsi="宋体"/>
          <w:b/>
          <w:bCs/>
          <w:spacing w:val="-6"/>
          <w:sz w:val="21"/>
          <w:szCs w:val="21"/>
        </w:rPr>
      </w:pPr>
    </w:p>
    <w:sectPr>
      <w:footerReference r:id="rId5" w:type="default"/>
      <w:pgSz w:w="11906" w:h="16838"/>
      <w:pgMar w:top="1247" w:right="1247" w:bottom="1247" w:left="1247" w:header="35" w:footer="782"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5905500" cy="679450"/>
          <wp:effectExtent l="0" t="0" r="0" b="6350"/>
          <wp:docPr id="3163586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58605"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8"/>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A5E6116"/>
    <w:multiLevelType w:val="multilevel"/>
    <w:tmpl w:val="3A5E6116"/>
    <w:lvl w:ilvl="0" w:tentative="0">
      <w:start w:val="1"/>
      <w:numFmt w:val="decimal"/>
      <w:pStyle w:val="83"/>
      <w:lvlText w:val="(%1)"/>
      <w:lvlJc w:val="left"/>
      <w:pPr>
        <w:tabs>
          <w:tab w:val="left" w:pos="572"/>
        </w:tabs>
        <w:ind w:left="-270" w:firstLine="482"/>
      </w:pPr>
      <w:rPr>
        <w:rFonts w:hint="eastAsia"/>
      </w:rPr>
    </w:lvl>
    <w:lvl w:ilvl="1" w:tentative="0">
      <w:start w:val="1"/>
      <w:numFmt w:val="decimal"/>
      <w:lvlText w:val="%2)"/>
      <w:lvlJc w:val="left"/>
      <w:pPr>
        <w:tabs>
          <w:tab w:val="left" w:pos="570"/>
        </w:tabs>
        <w:ind w:left="570" w:hanging="420"/>
      </w:pPr>
      <w:rPr>
        <w:rFonts w:hint="eastAsia"/>
      </w:rPr>
    </w:lvl>
    <w:lvl w:ilvl="2" w:tentative="0">
      <w:start w:val="1"/>
      <w:numFmt w:val="lowerRoman"/>
      <w:lvlText w:val="%3."/>
      <w:lvlJc w:val="right"/>
      <w:pPr>
        <w:tabs>
          <w:tab w:val="left" w:pos="990"/>
        </w:tabs>
        <w:ind w:left="990" w:hanging="420"/>
      </w:pPr>
    </w:lvl>
    <w:lvl w:ilvl="3" w:tentative="0">
      <w:start w:val="1"/>
      <w:numFmt w:val="decimal"/>
      <w:lvlText w:val="%4."/>
      <w:lvlJc w:val="left"/>
      <w:pPr>
        <w:tabs>
          <w:tab w:val="left" w:pos="1410"/>
        </w:tabs>
        <w:ind w:left="1410" w:hanging="420"/>
      </w:pPr>
    </w:lvl>
    <w:lvl w:ilvl="4" w:tentative="0">
      <w:start w:val="1"/>
      <w:numFmt w:val="lowerLetter"/>
      <w:lvlText w:val="%5)"/>
      <w:lvlJc w:val="left"/>
      <w:pPr>
        <w:tabs>
          <w:tab w:val="left" w:pos="1830"/>
        </w:tabs>
        <w:ind w:left="1830" w:hanging="420"/>
      </w:pPr>
    </w:lvl>
    <w:lvl w:ilvl="5" w:tentative="0">
      <w:start w:val="1"/>
      <w:numFmt w:val="lowerRoman"/>
      <w:lvlText w:val="%6."/>
      <w:lvlJc w:val="right"/>
      <w:pPr>
        <w:tabs>
          <w:tab w:val="left" w:pos="2250"/>
        </w:tabs>
        <w:ind w:left="2250" w:hanging="420"/>
      </w:pPr>
    </w:lvl>
    <w:lvl w:ilvl="6" w:tentative="0">
      <w:start w:val="1"/>
      <w:numFmt w:val="decimal"/>
      <w:lvlText w:val="%7."/>
      <w:lvlJc w:val="left"/>
      <w:pPr>
        <w:tabs>
          <w:tab w:val="left" w:pos="2670"/>
        </w:tabs>
        <w:ind w:left="2670" w:hanging="420"/>
      </w:pPr>
    </w:lvl>
    <w:lvl w:ilvl="7" w:tentative="0">
      <w:start w:val="1"/>
      <w:numFmt w:val="lowerLetter"/>
      <w:lvlText w:val="%8)"/>
      <w:lvlJc w:val="left"/>
      <w:pPr>
        <w:tabs>
          <w:tab w:val="left" w:pos="3090"/>
        </w:tabs>
        <w:ind w:left="3090" w:hanging="420"/>
      </w:pPr>
    </w:lvl>
    <w:lvl w:ilvl="8" w:tentative="0">
      <w:start w:val="1"/>
      <w:numFmt w:val="lowerRoman"/>
      <w:lvlText w:val="%9."/>
      <w:lvlJc w:val="right"/>
      <w:pPr>
        <w:tabs>
          <w:tab w:val="left" w:pos="3510"/>
        </w:tabs>
        <w:ind w:left="3510" w:hanging="420"/>
      </w:pPr>
    </w:lvl>
  </w:abstractNum>
  <w:abstractNum w:abstractNumId="2">
    <w:nsid w:val="49143BE4"/>
    <w:multiLevelType w:val="multilevel"/>
    <w:tmpl w:val="49143BE4"/>
    <w:lvl w:ilvl="0" w:tentative="0">
      <w:start w:val="1"/>
      <w:numFmt w:val="decimal"/>
      <w:isLgl/>
      <w:suff w:val="space"/>
      <w:lvlText w:val="第%1章"/>
      <w:lvlJc w:val="center"/>
      <w:pPr>
        <w:ind w:left="0" w:firstLine="0"/>
      </w:pPr>
      <w:rPr>
        <w:rFonts w:hint="eastAsia" w:ascii="黑体" w:eastAsia="黑体"/>
        <w:b w:val="0"/>
        <w:i w:val="0"/>
        <w:sz w:val="32"/>
      </w:rPr>
    </w:lvl>
    <w:lvl w:ilvl="1" w:tentative="0">
      <w:start w:val="1"/>
      <w:numFmt w:val="decimal"/>
      <w:pStyle w:val="79"/>
      <w:lvlText w:val="%1.%2"/>
      <w:lvlJc w:val="left"/>
      <w:pPr>
        <w:tabs>
          <w:tab w:val="left" w:pos="360"/>
        </w:tabs>
        <w:ind w:left="0" w:firstLine="0"/>
      </w:pPr>
      <w:rPr>
        <w:rFonts w:hint="default" w:ascii="Times New Roman" w:hAnsi="Times New Roman" w:eastAsia="宋体"/>
        <w:b w:val="0"/>
        <w:i w:val="0"/>
        <w:sz w:val="24"/>
      </w:rPr>
    </w:lvl>
    <w:lvl w:ilvl="2" w:tentative="0">
      <w:start w:val="1"/>
      <w:numFmt w:val="decimal"/>
      <w:pStyle w:val="81"/>
      <w:lvlText w:val="%1.%2.%3 "/>
      <w:lvlJc w:val="left"/>
      <w:pPr>
        <w:tabs>
          <w:tab w:val="left" w:pos="1146"/>
        </w:tabs>
        <w:ind w:left="426" w:firstLine="0"/>
      </w:pPr>
      <w:rPr>
        <w:rFonts w:hint="default" w:ascii="Times New Roman" w:hAnsi="Times New Roman" w:eastAsia="宋体"/>
        <w:b w:val="0"/>
        <w:i w:val="0"/>
        <w:sz w:val="24"/>
      </w:rPr>
    </w:lvl>
    <w:lvl w:ilvl="3" w:tentative="0">
      <w:start w:val="1"/>
      <w:numFmt w:val="decimal"/>
      <w:lvlText w:val="%1.%2.%3.%4"/>
      <w:lvlJc w:val="left"/>
      <w:pPr>
        <w:tabs>
          <w:tab w:val="left" w:pos="142"/>
        </w:tabs>
        <w:ind w:left="142" w:firstLine="0"/>
      </w:pPr>
      <w:rPr>
        <w:rFonts w:hint="default" w:ascii="Times New Roman" w:hAnsi="Times New Roman" w:eastAsia="宋体"/>
        <w:b w:val="0"/>
        <w:i w:val="0"/>
        <w:sz w:val="24"/>
      </w:rPr>
    </w:lvl>
    <w:lvl w:ilvl="4" w:tentative="0">
      <w:start w:val="1"/>
      <w:numFmt w:val="decimal"/>
      <w:lvlText w:val="%1.%2.%3.%4.%5"/>
      <w:lvlJc w:val="left"/>
      <w:pPr>
        <w:tabs>
          <w:tab w:val="left" w:pos="0"/>
        </w:tabs>
        <w:ind w:left="2551" w:hanging="2551"/>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mZDRlYmFjZTQwMjhkYzQ3NzQ1NTRlMmZkNDZjMDYifQ=="/>
  </w:docVars>
  <w:rsids>
    <w:rsidRoot w:val="00172A27"/>
    <w:rsid w:val="0000398C"/>
    <w:rsid w:val="00003BD7"/>
    <w:rsid w:val="00003BED"/>
    <w:rsid w:val="0000407F"/>
    <w:rsid w:val="00004FAB"/>
    <w:rsid w:val="00005BA1"/>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876"/>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269A"/>
    <w:rsid w:val="00033A0C"/>
    <w:rsid w:val="00033E2F"/>
    <w:rsid w:val="00034702"/>
    <w:rsid w:val="0003474D"/>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57D97"/>
    <w:rsid w:val="0006044C"/>
    <w:rsid w:val="00060AAB"/>
    <w:rsid w:val="00061877"/>
    <w:rsid w:val="00061D58"/>
    <w:rsid w:val="00061D6C"/>
    <w:rsid w:val="000623DA"/>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0A46"/>
    <w:rsid w:val="00070F87"/>
    <w:rsid w:val="00071135"/>
    <w:rsid w:val="00071C2A"/>
    <w:rsid w:val="00072425"/>
    <w:rsid w:val="00072F4C"/>
    <w:rsid w:val="00073FF7"/>
    <w:rsid w:val="00074378"/>
    <w:rsid w:val="00074AEE"/>
    <w:rsid w:val="00074D7B"/>
    <w:rsid w:val="00076570"/>
    <w:rsid w:val="000765AF"/>
    <w:rsid w:val="0007690F"/>
    <w:rsid w:val="00077067"/>
    <w:rsid w:val="0007797E"/>
    <w:rsid w:val="00077E4A"/>
    <w:rsid w:val="000804A7"/>
    <w:rsid w:val="00080A03"/>
    <w:rsid w:val="00081AD3"/>
    <w:rsid w:val="00081D2F"/>
    <w:rsid w:val="00081D47"/>
    <w:rsid w:val="00084D5F"/>
    <w:rsid w:val="00085880"/>
    <w:rsid w:val="00085EC0"/>
    <w:rsid w:val="00087519"/>
    <w:rsid w:val="00090ABA"/>
    <w:rsid w:val="00090D76"/>
    <w:rsid w:val="000919BD"/>
    <w:rsid w:val="00092E35"/>
    <w:rsid w:val="00093340"/>
    <w:rsid w:val="00093853"/>
    <w:rsid w:val="000941F1"/>
    <w:rsid w:val="00094C73"/>
    <w:rsid w:val="0009536D"/>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3F20"/>
    <w:rsid w:val="000B40E6"/>
    <w:rsid w:val="000B504A"/>
    <w:rsid w:val="000B505A"/>
    <w:rsid w:val="000B55D0"/>
    <w:rsid w:val="000B575E"/>
    <w:rsid w:val="000B5C73"/>
    <w:rsid w:val="000B6848"/>
    <w:rsid w:val="000B6C54"/>
    <w:rsid w:val="000B6CCA"/>
    <w:rsid w:val="000B75B1"/>
    <w:rsid w:val="000B78AE"/>
    <w:rsid w:val="000C0A90"/>
    <w:rsid w:val="000C2709"/>
    <w:rsid w:val="000C29F0"/>
    <w:rsid w:val="000C3741"/>
    <w:rsid w:val="000C37FE"/>
    <w:rsid w:val="000C460F"/>
    <w:rsid w:val="000C47A9"/>
    <w:rsid w:val="000C4883"/>
    <w:rsid w:val="000C5831"/>
    <w:rsid w:val="000C587D"/>
    <w:rsid w:val="000C5C75"/>
    <w:rsid w:val="000C60CB"/>
    <w:rsid w:val="000C6718"/>
    <w:rsid w:val="000C68EB"/>
    <w:rsid w:val="000C7334"/>
    <w:rsid w:val="000C741E"/>
    <w:rsid w:val="000D03C9"/>
    <w:rsid w:val="000D0869"/>
    <w:rsid w:val="000D1479"/>
    <w:rsid w:val="000D1903"/>
    <w:rsid w:val="000D25B1"/>
    <w:rsid w:val="000D2B1D"/>
    <w:rsid w:val="000D2EC5"/>
    <w:rsid w:val="000D2F1B"/>
    <w:rsid w:val="000D2FF7"/>
    <w:rsid w:val="000D3E9E"/>
    <w:rsid w:val="000D4C7F"/>
    <w:rsid w:val="000D519D"/>
    <w:rsid w:val="000D52CE"/>
    <w:rsid w:val="000D6491"/>
    <w:rsid w:val="000D6C0F"/>
    <w:rsid w:val="000D7644"/>
    <w:rsid w:val="000E01A8"/>
    <w:rsid w:val="000E01C6"/>
    <w:rsid w:val="000E084C"/>
    <w:rsid w:val="000E0978"/>
    <w:rsid w:val="000E157A"/>
    <w:rsid w:val="000E1629"/>
    <w:rsid w:val="000E1EE9"/>
    <w:rsid w:val="000E1F25"/>
    <w:rsid w:val="000E1F26"/>
    <w:rsid w:val="000E215F"/>
    <w:rsid w:val="000E2248"/>
    <w:rsid w:val="000E25FD"/>
    <w:rsid w:val="000E27F6"/>
    <w:rsid w:val="000E32A8"/>
    <w:rsid w:val="000E386F"/>
    <w:rsid w:val="000E3A24"/>
    <w:rsid w:val="000E4073"/>
    <w:rsid w:val="000E5CEC"/>
    <w:rsid w:val="000E6588"/>
    <w:rsid w:val="000E7DBB"/>
    <w:rsid w:val="000F01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6F72"/>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6531"/>
    <w:rsid w:val="001070C4"/>
    <w:rsid w:val="001078DB"/>
    <w:rsid w:val="00110547"/>
    <w:rsid w:val="001107C6"/>
    <w:rsid w:val="00110AE7"/>
    <w:rsid w:val="00111B51"/>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23E"/>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0C"/>
    <w:rsid w:val="00150EE4"/>
    <w:rsid w:val="00152115"/>
    <w:rsid w:val="00152D27"/>
    <w:rsid w:val="00153628"/>
    <w:rsid w:val="001540BA"/>
    <w:rsid w:val="001553E4"/>
    <w:rsid w:val="00155439"/>
    <w:rsid w:val="00155AFA"/>
    <w:rsid w:val="001566F2"/>
    <w:rsid w:val="00157565"/>
    <w:rsid w:val="001578A4"/>
    <w:rsid w:val="001578F4"/>
    <w:rsid w:val="00157BA2"/>
    <w:rsid w:val="00157C26"/>
    <w:rsid w:val="00160B84"/>
    <w:rsid w:val="00160CFE"/>
    <w:rsid w:val="00161017"/>
    <w:rsid w:val="001612EB"/>
    <w:rsid w:val="001613DD"/>
    <w:rsid w:val="00161D73"/>
    <w:rsid w:val="0016303D"/>
    <w:rsid w:val="001632A6"/>
    <w:rsid w:val="00163B60"/>
    <w:rsid w:val="00163EB2"/>
    <w:rsid w:val="00163FCC"/>
    <w:rsid w:val="001644AE"/>
    <w:rsid w:val="00164AA0"/>
    <w:rsid w:val="00164DDA"/>
    <w:rsid w:val="00165007"/>
    <w:rsid w:val="001650B5"/>
    <w:rsid w:val="001655BB"/>
    <w:rsid w:val="001656CC"/>
    <w:rsid w:val="001657DB"/>
    <w:rsid w:val="001662B7"/>
    <w:rsid w:val="001663C7"/>
    <w:rsid w:val="00166D5B"/>
    <w:rsid w:val="0016712C"/>
    <w:rsid w:val="00167778"/>
    <w:rsid w:val="00167CCA"/>
    <w:rsid w:val="00167E5F"/>
    <w:rsid w:val="00170101"/>
    <w:rsid w:val="0017021A"/>
    <w:rsid w:val="001705EE"/>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65A7"/>
    <w:rsid w:val="001968D7"/>
    <w:rsid w:val="001969F2"/>
    <w:rsid w:val="00196B19"/>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2CA6"/>
    <w:rsid w:val="001B3E88"/>
    <w:rsid w:val="001B4E34"/>
    <w:rsid w:val="001B5FB1"/>
    <w:rsid w:val="001B68FB"/>
    <w:rsid w:val="001B6FB1"/>
    <w:rsid w:val="001B7852"/>
    <w:rsid w:val="001C095D"/>
    <w:rsid w:val="001C11F4"/>
    <w:rsid w:val="001C18CF"/>
    <w:rsid w:val="001C1AF2"/>
    <w:rsid w:val="001C25B8"/>
    <w:rsid w:val="001C2721"/>
    <w:rsid w:val="001C2FF2"/>
    <w:rsid w:val="001C39AF"/>
    <w:rsid w:val="001C43FD"/>
    <w:rsid w:val="001C60EB"/>
    <w:rsid w:val="001C787A"/>
    <w:rsid w:val="001D0B2F"/>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6EC1"/>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BF3"/>
    <w:rsid w:val="00225E4F"/>
    <w:rsid w:val="00226B5C"/>
    <w:rsid w:val="00226DAF"/>
    <w:rsid w:val="002271C6"/>
    <w:rsid w:val="00227BFF"/>
    <w:rsid w:val="00230300"/>
    <w:rsid w:val="00230467"/>
    <w:rsid w:val="00230BB3"/>
    <w:rsid w:val="002312B3"/>
    <w:rsid w:val="00231503"/>
    <w:rsid w:val="002315A6"/>
    <w:rsid w:val="00231D77"/>
    <w:rsid w:val="00232405"/>
    <w:rsid w:val="00232CAA"/>
    <w:rsid w:val="00233337"/>
    <w:rsid w:val="002335EA"/>
    <w:rsid w:val="0023377A"/>
    <w:rsid w:val="002340E8"/>
    <w:rsid w:val="002342C9"/>
    <w:rsid w:val="00235211"/>
    <w:rsid w:val="00235D8A"/>
    <w:rsid w:val="00237186"/>
    <w:rsid w:val="00237361"/>
    <w:rsid w:val="002378EC"/>
    <w:rsid w:val="00237A5F"/>
    <w:rsid w:val="00237EE5"/>
    <w:rsid w:val="002402B6"/>
    <w:rsid w:val="002405D3"/>
    <w:rsid w:val="00240C9B"/>
    <w:rsid w:val="00240EE6"/>
    <w:rsid w:val="00242080"/>
    <w:rsid w:val="00242235"/>
    <w:rsid w:val="002428D6"/>
    <w:rsid w:val="00242E6A"/>
    <w:rsid w:val="002430EA"/>
    <w:rsid w:val="00243E14"/>
    <w:rsid w:val="00244534"/>
    <w:rsid w:val="0024503F"/>
    <w:rsid w:val="002450D1"/>
    <w:rsid w:val="002458F4"/>
    <w:rsid w:val="002464F5"/>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822"/>
    <w:rsid w:val="00260977"/>
    <w:rsid w:val="002617EF"/>
    <w:rsid w:val="002629DD"/>
    <w:rsid w:val="0026507F"/>
    <w:rsid w:val="00265095"/>
    <w:rsid w:val="00265AEC"/>
    <w:rsid w:val="00266AB4"/>
    <w:rsid w:val="0027040C"/>
    <w:rsid w:val="00270464"/>
    <w:rsid w:val="00270741"/>
    <w:rsid w:val="00270D19"/>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87A00"/>
    <w:rsid w:val="00291DD9"/>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0BF"/>
    <w:rsid w:val="002972C0"/>
    <w:rsid w:val="002979DD"/>
    <w:rsid w:val="002A14AF"/>
    <w:rsid w:val="002A311A"/>
    <w:rsid w:val="002A3506"/>
    <w:rsid w:val="002A3C7A"/>
    <w:rsid w:val="002A3CBC"/>
    <w:rsid w:val="002A5106"/>
    <w:rsid w:val="002A565F"/>
    <w:rsid w:val="002A5CCC"/>
    <w:rsid w:val="002A64AF"/>
    <w:rsid w:val="002A6AA2"/>
    <w:rsid w:val="002A6C3D"/>
    <w:rsid w:val="002A7DF0"/>
    <w:rsid w:val="002A7E11"/>
    <w:rsid w:val="002B0A1C"/>
    <w:rsid w:val="002B11C3"/>
    <w:rsid w:val="002B1B4E"/>
    <w:rsid w:val="002B1BA2"/>
    <w:rsid w:val="002B274A"/>
    <w:rsid w:val="002B2768"/>
    <w:rsid w:val="002B2FEC"/>
    <w:rsid w:val="002B3E2B"/>
    <w:rsid w:val="002B3E5C"/>
    <w:rsid w:val="002B3EDD"/>
    <w:rsid w:val="002B4BB7"/>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2DA"/>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C92"/>
    <w:rsid w:val="002E4FDC"/>
    <w:rsid w:val="002E549E"/>
    <w:rsid w:val="002E5791"/>
    <w:rsid w:val="002E5B2B"/>
    <w:rsid w:val="002E62A7"/>
    <w:rsid w:val="002E63DD"/>
    <w:rsid w:val="002E64B2"/>
    <w:rsid w:val="002E66CF"/>
    <w:rsid w:val="002E68EC"/>
    <w:rsid w:val="002F0C5D"/>
    <w:rsid w:val="002F0F07"/>
    <w:rsid w:val="002F15C4"/>
    <w:rsid w:val="002F217D"/>
    <w:rsid w:val="002F4178"/>
    <w:rsid w:val="002F41F8"/>
    <w:rsid w:val="002F6822"/>
    <w:rsid w:val="002F6F89"/>
    <w:rsid w:val="002F7096"/>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48E5"/>
    <w:rsid w:val="003153A6"/>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1FD6"/>
    <w:rsid w:val="0037202A"/>
    <w:rsid w:val="0037370B"/>
    <w:rsid w:val="00373B68"/>
    <w:rsid w:val="00373CFF"/>
    <w:rsid w:val="0037422E"/>
    <w:rsid w:val="00374413"/>
    <w:rsid w:val="003753F1"/>
    <w:rsid w:val="00376848"/>
    <w:rsid w:val="00376E2D"/>
    <w:rsid w:val="003773A7"/>
    <w:rsid w:val="0038026A"/>
    <w:rsid w:val="003819EE"/>
    <w:rsid w:val="003839BD"/>
    <w:rsid w:val="00385FBB"/>
    <w:rsid w:val="00386526"/>
    <w:rsid w:val="00386B49"/>
    <w:rsid w:val="00387150"/>
    <w:rsid w:val="00387A01"/>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6ED"/>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D6D"/>
    <w:rsid w:val="003D1E07"/>
    <w:rsid w:val="003D236C"/>
    <w:rsid w:val="003D2811"/>
    <w:rsid w:val="003D2850"/>
    <w:rsid w:val="003D306E"/>
    <w:rsid w:val="003D3342"/>
    <w:rsid w:val="003D35A2"/>
    <w:rsid w:val="003D39BB"/>
    <w:rsid w:val="003D3E5C"/>
    <w:rsid w:val="003D4183"/>
    <w:rsid w:val="003D49CA"/>
    <w:rsid w:val="003D5252"/>
    <w:rsid w:val="003D668F"/>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1A2B"/>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46E"/>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374D"/>
    <w:rsid w:val="00444FE8"/>
    <w:rsid w:val="00445115"/>
    <w:rsid w:val="00445D9A"/>
    <w:rsid w:val="004469A9"/>
    <w:rsid w:val="004473EA"/>
    <w:rsid w:val="004473FE"/>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2F2"/>
    <w:rsid w:val="0047439E"/>
    <w:rsid w:val="00474605"/>
    <w:rsid w:val="00474C99"/>
    <w:rsid w:val="00475629"/>
    <w:rsid w:val="00475CE0"/>
    <w:rsid w:val="0047604F"/>
    <w:rsid w:val="00476CE1"/>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2BCB"/>
    <w:rsid w:val="00483F4B"/>
    <w:rsid w:val="00483F8A"/>
    <w:rsid w:val="00484415"/>
    <w:rsid w:val="004845A6"/>
    <w:rsid w:val="00485E06"/>
    <w:rsid w:val="004867BD"/>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2BC"/>
    <w:rsid w:val="004A57E5"/>
    <w:rsid w:val="004A7ED0"/>
    <w:rsid w:val="004B07A4"/>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2935"/>
    <w:rsid w:val="004D338F"/>
    <w:rsid w:val="004D3604"/>
    <w:rsid w:val="004D3A12"/>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5B4C"/>
    <w:rsid w:val="004E5C3B"/>
    <w:rsid w:val="004E5CF2"/>
    <w:rsid w:val="004E641D"/>
    <w:rsid w:val="004E65BF"/>
    <w:rsid w:val="004E666E"/>
    <w:rsid w:val="004E7BAF"/>
    <w:rsid w:val="004F014A"/>
    <w:rsid w:val="004F04A4"/>
    <w:rsid w:val="004F0E43"/>
    <w:rsid w:val="004F0E76"/>
    <w:rsid w:val="004F1269"/>
    <w:rsid w:val="004F148B"/>
    <w:rsid w:val="004F15DF"/>
    <w:rsid w:val="004F1C64"/>
    <w:rsid w:val="004F2214"/>
    <w:rsid w:val="004F2288"/>
    <w:rsid w:val="004F25EC"/>
    <w:rsid w:val="004F293E"/>
    <w:rsid w:val="004F2C65"/>
    <w:rsid w:val="004F2DE7"/>
    <w:rsid w:val="004F3EB8"/>
    <w:rsid w:val="004F3F0F"/>
    <w:rsid w:val="004F494E"/>
    <w:rsid w:val="004F4973"/>
    <w:rsid w:val="004F49E7"/>
    <w:rsid w:val="004F5086"/>
    <w:rsid w:val="004F5F86"/>
    <w:rsid w:val="004F6E70"/>
    <w:rsid w:val="004F76EF"/>
    <w:rsid w:val="004F7AAC"/>
    <w:rsid w:val="005002DC"/>
    <w:rsid w:val="00501DC4"/>
    <w:rsid w:val="0050283A"/>
    <w:rsid w:val="00502E5B"/>
    <w:rsid w:val="00502F81"/>
    <w:rsid w:val="00503437"/>
    <w:rsid w:val="0050363F"/>
    <w:rsid w:val="00503B27"/>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A87"/>
    <w:rsid w:val="00522CE3"/>
    <w:rsid w:val="00523E7A"/>
    <w:rsid w:val="00524474"/>
    <w:rsid w:val="00524853"/>
    <w:rsid w:val="00525157"/>
    <w:rsid w:val="00525E6C"/>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11C1"/>
    <w:rsid w:val="00541D9E"/>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2F43"/>
    <w:rsid w:val="00564004"/>
    <w:rsid w:val="005643E8"/>
    <w:rsid w:val="005644F8"/>
    <w:rsid w:val="00564D6C"/>
    <w:rsid w:val="005654BE"/>
    <w:rsid w:val="00565879"/>
    <w:rsid w:val="00566529"/>
    <w:rsid w:val="00566600"/>
    <w:rsid w:val="00567533"/>
    <w:rsid w:val="00567E21"/>
    <w:rsid w:val="005708B6"/>
    <w:rsid w:val="00571DBA"/>
    <w:rsid w:val="005723DC"/>
    <w:rsid w:val="005726F3"/>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845"/>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3E5"/>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0E7C"/>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62D2"/>
    <w:rsid w:val="005E78A1"/>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2A6"/>
    <w:rsid w:val="0062136D"/>
    <w:rsid w:val="0062176E"/>
    <w:rsid w:val="00622BCB"/>
    <w:rsid w:val="0062313E"/>
    <w:rsid w:val="006234A2"/>
    <w:rsid w:val="00623F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377"/>
    <w:rsid w:val="00644C53"/>
    <w:rsid w:val="006454A6"/>
    <w:rsid w:val="0064584F"/>
    <w:rsid w:val="00645B2A"/>
    <w:rsid w:val="006460DA"/>
    <w:rsid w:val="00646A98"/>
    <w:rsid w:val="00646E75"/>
    <w:rsid w:val="0064712A"/>
    <w:rsid w:val="006471BB"/>
    <w:rsid w:val="006474A7"/>
    <w:rsid w:val="006474AA"/>
    <w:rsid w:val="0064792D"/>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97C"/>
    <w:rsid w:val="00665C3D"/>
    <w:rsid w:val="00665F28"/>
    <w:rsid w:val="006660FE"/>
    <w:rsid w:val="00666304"/>
    <w:rsid w:val="006673E5"/>
    <w:rsid w:val="00667513"/>
    <w:rsid w:val="006679E8"/>
    <w:rsid w:val="0067091C"/>
    <w:rsid w:val="00670B47"/>
    <w:rsid w:val="006710AC"/>
    <w:rsid w:val="00671442"/>
    <w:rsid w:val="006716EA"/>
    <w:rsid w:val="00671DFD"/>
    <w:rsid w:val="00671EC4"/>
    <w:rsid w:val="006729B0"/>
    <w:rsid w:val="00673094"/>
    <w:rsid w:val="00673C8C"/>
    <w:rsid w:val="00674747"/>
    <w:rsid w:val="00674D0E"/>
    <w:rsid w:val="0067535B"/>
    <w:rsid w:val="00675543"/>
    <w:rsid w:val="00676830"/>
    <w:rsid w:val="00676D52"/>
    <w:rsid w:val="00677018"/>
    <w:rsid w:val="006773E9"/>
    <w:rsid w:val="00680F10"/>
    <w:rsid w:val="006811F9"/>
    <w:rsid w:val="00682AD7"/>
    <w:rsid w:val="0068355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B8F"/>
    <w:rsid w:val="00693F70"/>
    <w:rsid w:val="006941E8"/>
    <w:rsid w:val="0069435B"/>
    <w:rsid w:val="006943DE"/>
    <w:rsid w:val="006944FE"/>
    <w:rsid w:val="00694A49"/>
    <w:rsid w:val="00695482"/>
    <w:rsid w:val="00695EC0"/>
    <w:rsid w:val="0069653B"/>
    <w:rsid w:val="00697F33"/>
    <w:rsid w:val="006A02F8"/>
    <w:rsid w:val="006A0333"/>
    <w:rsid w:val="006A0435"/>
    <w:rsid w:val="006A074C"/>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B7F8A"/>
    <w:rsid w:val="006C062B"/>
    <w:rsid w:val="006C20D9"/>
    <w:rsid w:val="006C2B56"/>
    <w:rsid w:val="006C2C38"/>
    <w:rsid w:val="006C2F87"/>
    <w:rsid w:val="006C2FBC"/>
    <w:rsid w:val="006C3E82"/>
    <w:rsid w:val="006C5876"/>
    <w:rsid w:val="006C5F07"/>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063"/>
    <w:rsid w:val="006F2E78"/>
    <w:rsid w:val="006F31C0"/>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7062"/>
    <w:rsid w:val="007078C3"/>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2C8"/>
    <w:rsid w:val="007205B5"/>
    <w:rsid w:val="0072180E"/>
    <w:rsid w:val="00721974"/>
    <w:rsid w:val="00722140"/>
    <w:rsid w:val="007224C5"/>
    <w:rsid w:val="00722B55"/>
    <w:rsid w:val="00722C09"/>
    <w:rsid w:val="00723298"/>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4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503F"/>
    <w:rsid w:val="007459CF"/>
    <w:rsid w:val="00746482"/>
    <w:rsid w:val="00747489"/>
    <w:rsid w:val="007504C8"/>
    <w:rsid w:val="007505EB"/>
    <w:rsid w:val="00751C49"/>
    <w:rsid w:val="0075217B"/>
    <w:rsid w:val="007522F5"/>
    <w:rsid w:val="00752696"/>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5FF3"/>
    <w:rsid w:val="0079613D"/>
    <w:rsid w:val="00796457"/>
    <w:rsid w:val="0079687A"/>
    <w:rsid w:val="00796EBB"/>
    <w:rsid w:val="00797228"/>
    <w:rsid w:val="00797AC4"/>
    <w:rsid w:val="00797C10"/>
    <w:rsid w:val="007A0A33"/>
    <w:rsid w:val="007A163A"/>
    <w:rsid w:val="007A1A9E"/>
    <w:rsid w:val="007A1B96"/>
    <w:rsid w:val="007A23A2"/>
    <w:rsid w:val="007A251E"/>
    <w:rsid w:val="007A32C5"/>
    <w:rsid w:val="007A3AC0"/>
    <w:rsid w:val="007A420B"/>
    <w:rsid w:val="007A46E3"/>
    <w:rsid w:val="007A4ED9"/>
    <w:rsid w:val="007A517D"/>
    <w:rsid w:val="007A5684"/>
    <w:rsid w:val="007A56D2"/>
    <w:rsid w:val="007A56F1"/>
    <w:rsid w:val="007A5705"/>
    <w:rsid w:val="007A6062"/>
    <w:rsid w:val="007A64F0"/>
    <w:rsid w:val="007A6CA0"/>
    <w:rsid w:val="007A714A"/>
    <w:rsid w:val="007A7229"/>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2AAF"/>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4B2"/>
    <w:rsid w:val="007D7679"/>
    <w:rsid w:val="007D7947"/>
    <w:rsid w:val="007D7FA2"/>
    <w:rsid w:val="007E058F"/>
    <w:rsid w:val="007E2B8B"/>
    <w:rsid w:val="007E48B5"/>
    <w:rsid w:val="007E5B57"/>
    <w:rsid w:val="007E6121"/>
    <w:rsid w:val="007E6181"/>
    <w:rsid w:val="007E63A8"/>
    <w:rsid w:val="007E6D95"/>
    <w:rsid w:val="007E709E"/>
    <w:rsid w:val="007E709F"/>
    <w:rsid w:val="007E70DF"/>
    <w:rsid w:val="007E765F"/>
    <w:rsid w:val="007E7A56"/>
    <w:rsid w:val="007E7C21"/>
    <w:rsid w:val="007E7D9B"/>
    <w:rsid w:val="007F0774"/>
    <w:rsid w:val="007F087E"/>
    <w:rsid w:val="007F09D1"/>
    <w:rsid w:val="007F0B33"/>
    <w:rsid w:val="007F0B48"/>
    <w:rsid w:val="007F0BAD"/>
    <w:rsid w:val="007F13F4"/>
    <w:rsid w:val="007F1698"/>
    <w:rsid w:val="007F1758"/>
    <w:rsid w:val="007F1B5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2EF"/>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2FC0"/>
    <w:rsid w:val="008230B9"/>
    <w:rsid w:val="008233AB"/>
    <w:rsid w:val="00823558"/>
    <w:rsid w:val="00823B91"/>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9E1"/>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E1A"/>
    <w:rsid w:val="00871CF5"/>
    <w:rsid w:val="008724E9"/>
    <w:rsid w:val="00872538"/>
    <w:rsid w:val="008737AD"/>
    <w:rsid w:val="00873FCF"/>
    <w:rsid w:val="008744BC"/>
    <w:rsid w:val="008744D1"/>
    <w:rsid w:val="0087481D"/>
    <w:rsid w:val="00875709"/>
    <w:rsid w:val="00876C30"/>
    <w:rsid w:val="00876DA6"/>
    <w:rsid w:val="00880B93"/>
    <w:rsid w:val="00882313"/>
    <w:rsid w:val="00882928"/>
    <w:rsid w:val="0088341C"/>
    <w:rsid w:val="008842BB"/>
    <w:rsid w:val="0088589D"/>
    <w:rsid w:val="00886116"/>
    <w:rsid w:val="0088749D"/>
    <w:rsid w:val="00887CEB"/>
    <w:rsid w:val="00887E72"/>
    <w:rsid w:val="00887FDD"/>
    <w:rsid w:val="008901E6"/>
    <w:rsid w:val="008909A8"/>
    <w:rsid w:val="00890CA3"/>
    <w:rsid w:val="00890D42"/>
    <w:rsid w:val="0089145A"/>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0B98"/>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A78C3"/>
    <w:rsid w:val="008B0295"/>
    <w:rsid w:val="008B0A9F"/>
    <w:rsid w:val="008B0D37"/>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4243"/>
    <w:rsid w:val="008C4325"/>
    <w:rsid w:val="008C57AC"/>
    <w:rsid w:val="008C6582"/>
    <w:rsid w:val="008C6838"/>
    <w:rsid w:val="008C6865"/>
    <w:rsid w:val="008C6CA2"/>
    <w:rsid w:val="008D0FF4"/>
    <w:rsid w:val="008D1021"/>
    <w:rsid w:val="008D10EE"/>
    <w:rsid w:val="008D150B"/>
    <w:rsid w:val="008D16C1"/>
    <w:rsid w:val="008D1A18"/>
    <w:rsid w:val="008D2A54"/>
    <w:rsid w:val="008D2C2A"/>
    <w:rsid w:val="008D3842"/>
    <w:rsid w:val="008D489F"/>
    <w:rsid w:val="008D49C8"/>
    <w:rsid w:val="008D4A72"/>
    <w:rsid w:val="008D611D"/>
    <w:rsid w:val="008D71C0"/>
    <w:rsid w:val="008D7410"/>
    <w:rsid w:val="008D76B0"/>
    <w:rsid w:val="008D7E5D"/>
    <w:rsid w:val="008E0F85"/>
    <w:rsid w:val="008E17AF"/>
    <w:rsid w:val="008E1A89"/>
    <w:rsid w:val="008E1E97"/>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3BF"/>
    <w:rsid w:val="009026E9"/>
    <w:rsid w:val="00902874"/>
    <w:rsid w:val="00904F76"/>
    <w:rsid w:val="00905495"/>
    <w:rsid w:val="00905846"/>
    <w:rsid w:val="0090632C"/>
    <w:rsid w:val="00906A9B"/>
    <w:rsid w:val="00906B13"/>
    <w:rsid w:val="00906CE8"/>
    <w:rsid w:val="009079F8"/>
    <w:rsid w:val="00910AB5"/>
    <w:rsid w:val="009113D7"/>
    <w:rsid w:val="009118A7"/>
    <w:rsid w:val="00911E91"/>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0B4"/>
    <w:rsid w:val="00927190"/>
    <w:rsid w:val="0093076F"/>
    <w:rsid w:val="009307AB"/>
    <w:rsid w:val="00931729"/>
    <w:rsid w:val="009321C2"/>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2099"/>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15B"/>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73C6"/>
    <w:rsid w:val="009773C8"/>
    <w:rsid w:val="009811BB"/>
    <w:rsid w:val="009842EE"/>
    <w:rsid w:val="00984C5F"/>
    <w:rsid w:val="00985433"/>
    <w:rsid w:val="009859D5"/>
    <w:rsid w:val="00987913"/>
    <w:rsid w:val="00987C48"/>
    <w:rsid w:val="0099000D"/>
    <w:rsid w:val="009916E5"/>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C7CC8"/>
    <w:rsid w:val="009D09F7"/>
    <w:rsid w:val="009D1EAA"/>
    <w:rsid w:val="009D2856"/>
    <w:rsid w:val="009D38D4"/>
    <w:rsid w:val="009D3992"/>
    <w:rsid w:val="009D471F"/>
    <w:rsid w:val="009D47F8"/>
    <w:rsid w:val="009D4ABF"/>
    <w:rsid w:val="009D5641"/>
    <w:rsid w:val="009D6C4D"/>
    <w:rsid w:val="009D6CD6"/>
    <w:rsid w:val="009D6DC4"/>
    <w:rsid w:val="009D7A81"/>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0DC8"/>
    <w:rsid w:val="009F1ECF"/>
    <w:rsid w:val="009F39C8"/>
    <w:rsid w:val="009F3EE3"/>
    <w:rsid w:val="009F5EFB"/>
    <w:rsid w:val="009F67FE"/>
    <w:rsid w:val="009F727C"/>
    <w:rsid w:val="009F78F0"/>
    <w:rsid w:val="009F7D5C"/>
    <w:rsid w:val="009F7F1F"/>
    <w:rsid w:val="00A00353"/>
    <w:rsid w:val="00A0051E"/>
    <w:rsid w:val="00A00DB1"/>
    <w:rsid w:val="00A02135"/>
    <w:rsid w:val="00A0235D"/>
    <w:rsid w:val="00A02621"/>
    <w:rsid w:val="00A02976"/>
    <w:rsid w:val="00A02B31"/>
    <w:rsid w:val="00A02D55"/>
    <w:rsid w:val="00A04118"/>
    <w:rsid w:val="00A0427E"/>
    <w:rsid w:val="00A05A52"/>
    <w:rsid w:val="00A07B93"/>
    <w:rsid w:val="00A10456"/>
    <w:rsid w:val="00A108CB"/>
    <w:rsid w:val="00A10BBE"/>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76D8"/>
    <w:rsid w:val="00A3777B"/>
    <w:rsid w:val="00A3782A"/>
    <w:rsid w:val="00A402AA"/>
    <w:rsid w:val="00A40370"/>
    <w:rsid w:val="00A41088"/>
    <w:rsid w:val="00A4183A"/>
    <w:rsid w:val="00A41D4E"/>
    <w:rsid w:val="00A41F7E"/>
    <w:rsid w:val="00A42D00"/>
    <w:rsid w:val="00A42FC9"/>
    <w:rsid w:val="00A4319C"/>
    <w:rsid w:val="00A44458"/>
    <w:rsid w:val="00A445B7"/>
    <w:rsid w:val="00A446C5"/>
    <w:rsid w:val="00A45DDC"/>
    <w:rsid w:val="00A46D2F"/>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3E"/>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9BC"/>
    <w:rsid w:val="00A71CAA"/>
    <w:rsid w:val="00A71F05"/>
    <w:rsid w:val="00A71FCD"/>
    <w:rsid w:val="00A72B79"/>
    <w:rsid w:val="00A72C39"/>
    <w:rsid w:val="00A72F25"/>
    <w:rsid w:val="00A734A5"/>
    <w:rsid w:val="00A738A9"/>
    <w:rsid w:val="00A73B91"/>
    <w:rsid w:val="00A73E33"/>
    <w:rsid w:val="00A73F7F"/>
    <w:rsid w:val="00A7439E"/>
    <w:rsid w:val="00A744E0"/>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3C6E"/>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2DCA"/>
    <w:rsid w:val="00AC36F3"/>
    <w:rsid w:val="00AC38A6"/>
    <w:rsid w:val="00AC3BD2"/>
    <w:rsid w:val="00AC3DC6"/>
    <w:rsid w:val="00AC406A"/>
    <w:rsid w:val="00AC413C"/>
    <w:rsid w:val="00AC44C3"/>
    <w:rsid w:val="00AC490F"/>
    <w:rsid w:val="00AC4E18"/>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E00E9"/>
    <w:rsid w:val="00AE151C"/>
    <w:rsid w:val="00AE1BD6"/>
    <w:rsid w:val="00AE1D46"/>
    <w:rsid w:val="00AE236D"/>
    <w:rsid w:val="00AE239F"/>
    <w:rsid w:val="00AE3ACE"/>
    <w:rsid w:val="00AE3BC7"/>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ACE"/>
    <w:rsid w:val="00AF7C20"/>
    <w:rsid w:val="00AF7E22"/>
    <w:rsid w:val="00AF7E41"/>
    <w:rsid w:val="00B01407"/>
    <w:rsid w:val="00B0168B"/>
    <w:rsid w:val="00B01BE3"/>
    <w:rsid w:val="00B0228E"/>
    <w:rsid w:val="00B02A47"/>
    <w:rsid w:val="00B035F8"/>
    <w:rsid w:val="00B036AC"/>
    <w:rsid w:val="00B03839"/>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016"/>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4F0"/>
    <w:rsid w:val="00B67D0C"/>
    <w:rsid w:val="00B7091C"/>
    <w:rsid w:val="00B70ACC"/>
    <w:rsid w:val="00B713EF"/>
    <w:rsid w:val="00B72011"/>
    <w:rsid w:val="00B72356"/>
    <w:rsid w:val="00B7236D"/>
    <w:rsid w:val="00B7366A"/>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4C60"/>
    <w:rsid w:val="00B95152"/>
    <w:rsid w:val="00B952FB"/>
    <w:rsid w:val="00B95414"/>
    <w:rsid w:val="00B95D3B"/>
    <w:rsid w:val="00B96462"/>
    <w:rsid w:val="00B971FD"/>
    <w:rsid w:val="00B975A4"/>
    <w:rsid w:val="00BA0E85"/>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3B1"/>
    <w:rsid w:val="00BB5980"/>
    <w:rsid w:val="00BB5A6E"/>
    <w:rsid w:val="00BB651C"/>
    <w:rsid w:val="00BB674F"/>
    <w:rsid w:val="00BB6764"/>
    <w:rsid w:val="00BB69AD"/>
    <w:rsid w:val="00BB6E1C"/>
    <w:rsid w:val="00BB739E"/>
    <w:rsid w:val="00BB7B07"/>
    <w:rsid w:val="00BB7E95"/>
    <w:rsid w:val="00BC019B"/>
    <w:rsid w:val="00BC100F"/>
    <w:rsid w:val="00BC1B7C"/>
    <w:rsid w:val="00BC2132"/>
    <w:rsid w:val="00BC335D"/>
    <w:rsid w:val="00BC3C0E"/>
    <w:rsid w:val="00BC4DDC"/>
    <w:rsid w:val="00BC52C9"/>
    <w:rsid w:val="00BC5ABD"/>
    <w:rsid w:val="00BC5E99"/>
    <w:rsid w:val="00BC6BDA"/>
    <w:rsid w:val="00BC6DAD"/>
    <w:rsid w:val="00BC6EB8"/>
    <w:rsid w:val="00BC7215"/>
    <w:rsid w:val="00BD10C8"/>
    <w:rsid w:val="00BD16E8"/>
    <w:rsid w:val="00BD255E"/>
    <w:rsid w:val="00BD2B11"/>
    <w:rsid w:val="00BD2C6A"/>
    <w:rsid w:val="00BD2E63"/>
    <w:rsid w:val="00BD3890"/>
    <w:rsid w:val="00BD3CC5"/>
    <w:rsid w:val="00BD79EA"/>
    <w:rsid w:val="00BD7AC5"/>
    <w:rsid w:val="00BD7F4D"/>
    <w:rsid w:val="00BE0D71"/>
    <w:rsid w:val="00BE0E84"/>
    <w:rsid w:val="00BE1420"/>
    <w:rsid w:val="00BE1586"/>
    <w:rsid w:val="00BE19B8"/>
    <w:rsid w:val="00BE28AF"/>
    <w:rsid w:val="00BE2B7F"/>
    <w:rsid w:val="00BE2C75"/>
    <w:rsid w:val="00BE3498"/>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6D"/>
    <w:rsid w:val="00BF108E"/>
    <w:rsid w:val="00BF10DB"/>
    <w:rsid w:val="00BF15F0"/>
    <w:rsid w:val="00BF1BD6"/>
    <w:rsid w:val="00BF1C6B"/>
    <w:rsid w:val="00BF26CD"/>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074A3"/>
    <w:rsid w:val="00C1086B"/>
    <w:rsid w:val="00C11413"/>
    <w:rsid w:val="00C11671"/>
    <w:rsid w:val="00C119C7"/>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51F"/>
    <w:rsid w:val="00C25844"/>
    <w:rsid w:val="00C25F1B"/>
    <w:rsid w:val="00C25FD4"/>
    <w:rsid w:val="00C26C41"/>
    <w:rsid w:val="00C26CA2"/>
    <w:rsid w:val="00C26E40"/>
    <w:rsid w:val="00C271DB"/>
    <w:rsid w:val="00C30062"/>
    <w:rsid w:val="00C31072"/>
    <w:rsid w:val="00C3162E"/>
    <w:rsid w:val="00C31CF1"/>
    <w:rsid w:val="00C32603"/>
    <w:rsid w:val="00C32D21"/>
    <w:rsid w:val="00C330BA"/>
    <w:rsid w:val="00C3343D"/>
    <w:rsid w:val="00C3459C"/>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3F5"/>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4C9A"/>
    <w:rsid w:val="00C6664D"/>
    <w:rsid w:val="00C66CBE"/>
    <w:rsid w:val="00C6718D"/>
    <w:rsid w:val="00C67342"/>
    <w:rsid w:val="00C67743"/>
    <w:rsid w:val="00C67EEE"/>
    <w:rsid w:val="00C67F8A"/>
    <w:rsid w:val="00C702B4"/>
    <w:rsid w:val="00C704C0"/>
    <w:rsid w:val="00C70B92"/>
    <w:rsid w:val="00C70F8D"/>
    <w:rsid w:val="00C721A7"/>
    <w:rsid w:val="00C7227F"/>
    <w:rsid w:val="00C7284E"/>
    <w:rsid w:val="00C7380A"/>
    <w:rsid w:val="00C73E1E"/>
    <w:rsid w:val="00C7417D"/>
    <w:rsid w:val="00C7417F"/>
    <w:rsid w:val="00C745D8"/>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3C2"/>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0F8C"/>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0B6"/>
    <w:rsid w:val="00D047F3"/>
    <w:rsid w:val="00D04B61"/>
    <w:rsid w:val="00D063A9"/>
    <w:rsid w:val="00D06A26"/>
    <w:rsid w:val="00D07096"/>
    <w:rsid w:val="00D07E8C"/>
    <w:rsid w:val="00D11C81"/>
    <w:rsid w:val="00D1208F"/>
    <w:rsid w:val="00D13102"/>
    <w:rsid w:val="00D133EA"/>
    <w:rsid w:val="00D13F7E"/>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8DA"/>
    <w:rsid w:val="00D31AC2"/>
    <w:rsid w:val="00D31AEF"/>
    <w:rsid w:val="00D32C9F"/>
    <w:rsid w:val="00D343B2"/>
    <w:rsid w:val="00D3532B"/>
    <w:rsid w:val="00D357CA"/>
    <w:rsid w:val="00D35DA5"/>
    <w:rsid w:val="00D376C1"/>
    <w:rsid w:val="00D404BE"/>
    <w:rsid w:val="00D40D8E"/>
    <w:rsid w:val="00D40DD7"/>
    <w:rsid w:val="00D41B5E"/>
    <w:rsid w:val="00D41E2F"/>
    <w:rsid w:val="00D41FF1"/>
    <w:rsid w:val="00D42672"/>
    <w:rsid w:val="00D4269F"/>
    <w:rsid w:val="00D42D09"/>
    <w:rsid w:val="00D42D71"/>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0FA"/>
    <w:rsid w:val="00D54149"/>
    <w:rsid w:val="00D54657"/>
    <w:rsid w:val="00D546F4"/>
    <w:rsid w:val="00D54A7A"/>
    <w:rsid w:val="00D553ED"/>
    <w:rsid w:val="00D5549E"/>
    <w:rsid w:val="00D55803"/>
    <w:rsid w:val="00D56886"/>
    <w:rsid w:val="00D57009"/>
    <w:rsid w:val="00D57C4D"/>
    <w:rsid w:val="00D57FD0"/>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029"/>
    <w:rsid w:val="00D76412"/>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48CA"/>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204"/>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206F"/>
    <w:rsid w:val="00E02269"/>
    <w:rsid w:val="00E029D5"/>
    <w:rsid w:val="00E02B36"/>
    <w:rsid w:val="00E03577"/>
    <w:rsid w:val="00E0378B"/>
    <w:rsid w:val="00E03F23"/>
    <w:rsid w:val="00E0404D"/>
    <w:rsid w:val="00E0456C"/>
    <w:rsid w:val="00E05628"/>
    <w:rsid w:val="00E062E1"/>
    <w:rsid w:val="00E06A26"/>
    <w:rsid w:val="00E06AD6"/>
    <w:rsid w:val="00E06BB8"/>
    <w:rsid w:val="00E07820"/>
    <w:rsid w:val="00E07AAE"/>
    <w:rsid w:val="00E07E09"/>
    <w:rsid w:val="00E105B8"/>
    <w:rsid w:val="00E118B9"/>
    <w:rsid w:val="00E11E46"/>
    <w:rsid w:val="00E1233C"/>
    <w:rsid w:val="00E1257B"/>
    <w:rsid w:val="00E1274A"/>
    <w:rsid w:val="00E13009"/>
    <w:rsid w:val="00E13393"/>
    <w:rsid w:val="00E13B6F"/>
    <w:rsid w:val="00E1697E"/>
    <w:rsid w:val="00E16BBA"/>
    <w:rsid w:val="00E177A4"/>
    <w:rsid w:val="00E209B2"/>
    <w:rsid w:val="00E21B42"/>
    <w:rsid w:val="00E22500"/>
    <w:rsid w:val="00E22F68"/>
    <w:rsid w:val="00E23819"/>
    <w:rsid w:val="00E243F9"/>
    <w:rsid w:val="00E24FB3"/>
    <w:rsid w:val="00E25068"/>
    <w:rsid w:val="00E2557A"/>
    <w:rsid w:val="00E25D81"/>
    <w:rsid w:val="00E26AF2"/>
    <w:rsid w:val="00E26FAE"/>
    <w:rsid w:val="00E2762E"/>
    <w:rsid w:val="00E27BA0"/>
    <w:rsid w:val="00E303E0"/>
    <w:rsid w:val="00E30408"/>
    <w:rsid w:val="00E30EFB"/>
    <w:rsid w:val="00E320DA"/>
    <w:rsid w:val="00E32B86"/>
    <w:rsid w:val="00E33548"/>
    <w:rsid w:val="00E33AC2"/>
    <w:rsid w:val="00E33AD1"/>
    <w:rsid w:val="00E33F8E"/>
    <w:rsid w:val="00E34115"/>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9A0"/>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4867"/>
    <w:rsid w:val="00E84B5E"/>
    <w:rsid w:val="00E87406"/>
    <w:rsid w:val="00E87479"/>
    <w:rsid w:val="00E87A9C"/>
    <w:rsid w:val="00E87B7D"/>
    <w:rsid w:val="00E87EAD"/>
    <w:rsid w:val="00E9045F"/>
    <w:rsid w:val="00E91EC5"/>
    <w:rsid w:val="00E920C5"/>
    <w:rsid w:val="00E92BE9"/>
    <w:rsid w:val="00E934A6"/>
    <w:rsid w:val="00E958C4"/>
    <w:rsid w:val="00E97011"/>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4F2E"/>
    <w:rsid w:val="00EB574C"/>
    <w:rsid w:val="00EB5C61"/>
    <w:rsid w:val="00EB5D91"/>
    <w:rsid w:val="00EB73AE"/>
    <w:rsid w:val="00EB7DB2"/>
    <w:rsid w:val="00EC014C"/>
    <w:rsid w:val="00EC07AC"/>
    <w:rsid w:val="00EC0D81"/>
    <w:rsid w:val="00EC102A"/>
    <w:rsid w:val="00EC14D9"/>
    <w:rsid w:val="00EC1F02"/>
    <w:rsid w:val="00EC2129"/>
    <w:rsid w:val="00EC24FD"/>
    <w:rsid w:val="00EC2961"/>
    <w:rsid w:val="00EC2A7A"/>
    <w:rsid w:val="00EC34DF"/>
    <w:rsid w:val="00EC3999"/>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E7CC1"/>
    <w:rsid w:val="00EF132F"/>
    <w:rsid w:val="00EF1652"/>
    <w:rsid w:val="00EF1C0D"/>
    <w:rsid w:val="00EF1D6E"/>
    <w:rsid w:val="00EF24DD"/>
    <w:rsid w:val="00EF26E9"/>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52D"/>
    <w:rsid w:val="00F01C3C"/>
    <w:rsid w:val="00F02162"/>
    <w:rsid w:val="00F0291D"/>
    <w:rsid w:val="00F029D8"/>
    <w:rsid w:val="00F02A92"/>
    <w:rsid w:val="00F02B44"/>
    <w:rsid w:val="00F04857"/>
    <w:rsid w:val="00F04C68"/>
    <w:rsid w:val="00F04D5D"/>
    <w:rsid w:val="00F0575B"/>
    <w:rsid w:val="00F067C2"/>
    <w:rsid w:val="00F0706C"/>
    <w:rsid w:val="00F07277"/>
    <w:rsid w:val="00F07A98"/>
    <w:rsid w:val="00F102B0"/>
    <w:rsid w:val="00F10673"/>
    <w:rsid w:val="00F109A0"/>
    <w:rsid w:val="00F1166D"/>
    <w:rsid w:val="00F1181C"/>
    <w:rsid w:val="00F11A6D"/>
    <w:rsid w:val="00F125F3"/>
    <w:rsid w:val="00F1424C"/>
    <w:rsid w:val="00F14514"/>
    <w:rsid w:val="00F148B2"/>
    <w:rsid w:val="00F14BF2"/>
    <w:rsid w:val="00F15C6C"/>
    <w:rsid w:val="00F16673"/>
    <w:rsid w:val="00F174FF"/>
    <w:rsid w:val="00F1779C"/>
    <w:rsid w:val="00F1780A"/>
    <w:rsid w:val="00F17D5E"/>
    <w:rsid w:val="00F17FDA"/>
    <w:rsid w:val="00F2011D"/>
    <w:rsid w:val="00F209C2"/>
    <w:rsid w:val="00F21CE8"/>
    <w:rsid w:val="00F22455"/>
    <w:rsid w:val="00F23217"/>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83F"/>
    <w:rsid w:val="00F35DF9"/>
    <w:rsid w:val="00F35F9A"/>
    <w:rsid w:val="00F3693E"/>
    <w:rsid w:val="00F36A29"/>
    <w:rsid w:val="00F37012"/>
    <w:rsid w:val="00F40CF0"/>
    <w:rsid w:val="00F4133C"/>
    <w:rsid w:val="00F41544"/>
    <w:rsid w:val="00F41F7F"/>
    <w:rsid w:val="00F42046"/>
    <w:rsid w:val="00F420EB"/>
    <w:rsid w:val="00F442C1"/>
    <w:rsid w:val="00F44F99"/>
    <w:rsid w:val="00F456DC"/>
    <w:rsid w:val="00F45B18"/>
    <w:rsid w:val="00F46F1E"/>
    <w:rsid w:val="00F5027A"/>
    <w:rsid w:val="00F50E37"/>
    <w:rsid w:val="00F512E8"/>
    <w:rsid w:val="00F5182F"/>
    <w:rsid w:val="00F51E04"/>
    <w:rsid w:val="00F521A6"/>
    <w:rsid w:val="00F52B84"/>
    <w:rsid w:val="00F531FC"/>
    <w:rsid w:val="00F54A4A"/>
    <w:rsid w:val="00F562DE"/>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763"/>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0BB7"/>
    <w:rsid w:val="00F80EFD"/>
    <w:rsid w:val="00F81F7D"/>
    <w:rsid w:val="00F82EB6"/>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21A5"/>
    <w:rsid w:val="00FC3188"/>
    <w:rsid w:val="00FC4494"/>
    <w:rsid w:val="00FC4AFC"/>
    <w:rsid w:val="00FC564E"/>
    <w:rsid w:val="00FC604E"/>
    <w:rsid w:val="00FC74CF"/>
    <w:rsid w:val="00FD0308"/>
    <w:rsid w:val="00FD0974"/>
    <w:rsid w:val="00FD188A"/>
    <w:rsid w:val="00FD1905"/>
    <w:rsid w:val="00FD1C7E"/>
    <w:rsid w:val="00FD1D32"/>
    <w:rsid w:val="00FD25A4"/>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8C0"/>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1D6515F"/>
    <w:rsid w:val="01DE2CFD"/>
    <w:rsid w:val="02236824"/>
    <w:rsid w:val="028426B0"/>
    <w:rsid w:val="028517FA"/>
    <w:rsid w:val="031B2597"/>
    <w:rsid w:val="03AB679F"/>
    <w:rsid w:val="03D012A8"/>
    <w:rsid w:val="0476464C"/>
    <w:rsid w:val="04BF387D"/>
    <w:rsid w:val="04F92F58"/>
    <w:rsid w:val="057D35B7"/>
    <w:rsid w:val="059B3AAE"/>
    <w:rsid w:val="05C86530"/>
    <w:rsid w:val="062B4BF2"/>
    <w:rsid w:val="0686670B"/>
    <w:rsid w:val="06984505"/>
    <w:rsid w:val="069C5679"/>
    <w:rsid w:val="076013E0"/>
    <w:rsid w:val="078A04F7"/>
    <w:rsid w:val="07F54BC0"/>
    <w:rsid w:val="082008CE"/>
    <w:rsid w:val="084E3529"/>
    <w:rsid w:val="08732BE6"/>
    <w:rsid w:val="096B180A"/>
    <w:rsid w:val="09705438"/>
    <w:rsid w:val="098C7AE5"/>
    <w:rsid w:val="0992517D"/>
    <w:rsid w:val="09933D81"/>
    <w:rsid w:val="09A815EF"/>
    <w:rsid w:val="09BF0A5F"/>
    <w:rsid w:val="09E7370B"/>
    <w:rsid w:val="09FF14CE"/>
    <w:rsid w:val="0A800311"/>
    <w:rsid w:val="0A970165"/>
    <w:rsid w:val="0B6D3222"/>
    <w:rsid w:val="0BCF050F"/>
    <w:rsid w:val="0D0A5D09"/>
    <w:rsid w:val="0D533931"/>
    <w:rsid w:val="0D8060B5"/>
    <w:rsid w:val="0DDF1CCF"/>
    <w:rsid w:val="0E0A7653"/>
    <w:rsid w:val="0E7526B5"/>
    <w:rsid w:val="10435247"/>
    <w:rsid w:val="10817ED7"/>
    <w:rsid w:val="11646B09"/>
    <w:rsid w:val="11647498"/>
    <w:rsid w:val="11D3202B"/>
    <w:rsid w:val="12430C37"/>
    <w:rsid w:val="125E6002"/>
    <w:rsid w:val="12CC0B5C"/>
    <w:rsid w:val="12F05378"/>
    <w:rsid w:val="130A06A1"/>
    <w:rsid w:val="13297A0D"/>
    <w:rsid w:val="132C75E5"/>
    <w:rsid w:val="139F63D6"/>
    <w:rsid w:val="14DB3B34"/>
    <w:rsid w:val="159D60AA"/>
    <w:rsid w:val="15DA682C"/>
    <w:rsid w:val="160E074B"/>
    <w:rsid w:val="161533F4"/>
    <w:rsid w:val="16183728"/>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0B611B"/>
    <w:rsid w:val="1B30632B"/>
    <w:rsid w:val="1B3D3845"/>
    <w:rsid w:val="1BE95AA6"/>
    <w:rsid w:val="1D49300A"/>
    <w:rsid w:val="1D6C20DF"/>
    <w:rsid w:val="1E491587"/>
    <w:rsid w:val="1EBF464D"/>
    <w:rsid w:val="1EC16D2C"/>
    <w:rsid w:val="1EC835CB"/>
    <w:rsid w:val="1F2C7FBC"/>
    <w:rsid w:val="1FB54FDF"/>
    <w:rsid w:val="1FF76471"/>
    <w:rsid w:val="201574A1"/>
    <w:rsid w:val="20183540"/>
    <w:rsid w:val="20454B10"/>
    <w:rsid w:val="20822DE8"/>
    <w:rsid w:val="20CB5CFA"/>
    <w:rsid w:val="20CC07CE"/>
    <w:rsid w:val="21560235"/>
    <w:rsid w:val="21913DBA"/>
    <w:rsid w:val="22564C3B"/>
    <w:rsid w:val="227117F0"/>
    <w:rsid w:val="22CD62CC"/>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E6A10D8"/>
    <w:rsid w:val="2F136099"/>
    <w:rsid w:val="2F3B15D1"/>
    <w:rsid w:val="2FA05626"/>
    <w:rsid w:val="2FD67739"/>
    <w:rsid w:val="302847DE"/>
    <w:rsid w:val="307D6F3E"/>
    <w:rsid w:val="30830218"/>
    <w:rsid w:val="30C52AF8"/>
    <w:rsid w:val="31195BDD"/>
    <w:rsid w:val="313755E9"/>
    <w:rsid w:val="31552BA5"/>
    <w:rsid w:val="31626EEC"/>
    <w:rsid w:val="31BA1499"/>
    <w:rsid w:val="31E53686"/>
    <w:rsid w:val="32556B94"/>
    <w:rsid w:val="32862880"/>
    <w:rsid w:val="33081FF5"/>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4D74F0"/>
    <w:rsid w:val="38CD18D2"/>
    <w:rsid w:val="395C434A"/>
    <w:rsid w:val="39B1799E"/>
    <w:rsid w:val="3A496F92"/>
    <w:rsid w:val="3A8C029D"/>
    <w:rsid w:val="3B7D4803"/>
    <w:rsid w:val="3BBC0B3B"/>
    <w:rsid w:val="3BBC511F"/>
    <w:rsid w:val="3BDB63DE"/>
    <w:rsid w:val="3C022718"/>
    <w:rsid w:val="3CD12193"/>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2103BE"/>
    <w:rsid w:val="4062059F"/>
    <w:rsid w:val="41122B16"/>
    <w:rsid w:val="416870FB"/>
    <w:rsid w:val="41912701"/>
    <w:rsid w:val="41CE7D37"/>
    <w:rsid w:val="41D85F1B"/>
    <w:rsid w:val="41FA15A4"/>
    <w:rsid w:val="42355F51"/>
    <w:rsid w:val="42465FDE"/>
    <w:rsid w:val="42884742"/>
    <w:rsid w:val="429144B6"/>
    <w:rsid w:val="42AE5AE3"/>
    <w:rsid w:val="42F462B0"/>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247FE7"/>
    <w:rsid w:val="4B3179AA"/>
    <w:rsid w:val="4B582BD7"/>
    <w:rsid w:val="4B9C0EE4"/>
    <w:rsid w:val="4BDB4ECF"/>
    <w:rsid w:val="4C582B91"/>
    <w:rsid w:val="4D202F62"/>
    <w:rsid w:val="4DCB2E58"/>
    <w:rsid w:val="4EA86BDB"/>
    <w:rsid w:val="4EE851A5"/>
    <w:rsid w:val="4F140B78"/>
    <w:rsid w:val="4F2518BB"/>
    <w:rsid w:val="4F5E7ECC"/>
    <w:rsid w:val="4FA47FEB"/>
    <w:rsid w:val="4FD24363"/>
    <w:rsid w:val="50263228"/>
    <w:rsid w:val="504B6639"/>
    <w:rsid w:val="50D802B2"/>
    <w:rsid w:val="50E13A61"/>
    <w:rsid w:val="50E768C2"/>
    <w:rsid w:val="50F65EBA"/>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4A1868"/>
    <w:rsid w:val="576E2CF5"/>
    <w:rsid w:val="57AE10F5"/>
    <w:rsid w:val="58290EC7"/>
    <w:rsid w:val="58AC24B2"/>
    <w:rsid w:val="58B87927"/>
    <w:rsid w:val="592B6D0A"/>
    <w:rsid w:val="593144FC"/>
    <w:rsid w:val="593909F6"/>
    <w:rsid w:val="59545948"/>
    <w:rsid w:val="5A521EF4"/>
    <w:rsid w:val="5A6D682C"/>
    <w:rsid w:val="5B3B15CF"/>
    <w:rsid w:val="5C5408DC"/>
    <w:rsid w:val="5C853E3A"/>
    <w:rsid w:val="5CCA5A2B"/>
    <w:rsid w:val="5D1A42DE"/>
    <w:rsid w:val="5D4221F0"/>
    <w:rsid w:val="5DBE49B2"/>
    <w:rsid w:val="5E057968"/>
    <w:rsid w:val="5E930300"/>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294A8D"/>
    <w:rsid w:val="68462EA0"/>
    <w:rsid w:val="68546102"/>
    <w:rsid w:val="687745C5"/>
    <w:rsid w:val="68A13454"/>
    <w:rsid w:val="6924256B"/>
    <w:rsid w:val="69300193"/>
    <w:rsid w:val="6A6754CD"/>
    <w:rsid w:val="6A945A9B"/>
    <w:rsid w:val="6AEA2988"/>
    <w:rsid w:val="6B0D77A4"/>
    <w:rsid w:val="6B155834"/>
    <w:rsid w:val="6BE10C67"/>
    <w:rsid w:val="6C490484"/>
    <w:rsid w:val="6CA874F3"/>
    <w:rsid w:val="6CD5347D"/>
    <w:rsid w:val="6CF55FCB"/>
    <w:rsid w:val="6D1C038D"/>
    <w:rsid w:val="6D653990"/>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3874E11"/>
    <w:rsid w:val="7428145B"/>
    <w:rsid w:val="742B41E8"/>
    <w:rsid w:val="75315330"/>
    <w:rsid w:val="758637D4"/>
    <w:rsid w:val="75B6723D"/>
    <w:rsid w:val="760826FB"/>
    <w:rsid w:val="767A627F"/>
    <w:rsid w:val="76970BE9"/>
    <w:rsid w:val="76AE5B29"/>
    <w:rsid w:val="76C02781"/>
    <w:rsid w:val="777C2CA0"/>
    <w:rsid w:val="778B254E"/>
    <w:rsid w:val="77900E7D"/>
    <w:rsid w:val="781A23D1"/>
    <w:rsid w:val="7872717E"/>
    <w:rsid w:val="7901753C"/>
    <w:rsid w:val="791F21A9"/>
    <w:rsid w:val="79B77AFD"/>
    <w:rsid w:val="7A14526C"/>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0A2251"/>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5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0"/>
    <w:autoRedefine/>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51"/>
    <w:autoRedefine/>
    <w:qFormat/>
    <w:uiPriority w:val="9"/>
    <w:pPr>
      <w:keepNext/>
      <w:keepLines/>
      <w:spacing w:before="260" w:after="260" w:line="416" w:lineRule="auto"/>
      <w:outlineLvl w:val="2"/>
    </w:pPr>
    <w:rPr>
      <w:b/>
      <w:bCs/>
      <w:sz w:val="32"/>
      <w:szCs w:val="32"/>
    </w:rPr>
  </w:style>
  <w:style w:type="paragraph" w:styleId="5">
    <w:name w:val="heading 4"/>
    <w:next w:val="6"/>
    <w:autoRedefine/>
    <w:qFormat/>
    <w:uiPriority w:val="0"/>
    <w:pPr>
      <w:widowControl w:val="0"/>
      <w:spacing w:line="360" w:lineRule="auto"/>
      <w:jc w:val="both"/>
      <w:outlineLvl w:val="3"/>
    </w:pPr>
    <w:rPr>
      <w:rFonts w:ascii="Times New Roman" w:hAnsi="Times New Roman" w:eastAsia="宋体" w:cs="Times New Roman"/>
      <w:sz w:val="24"/>
      <w:lang w:val="en-US" w:eastAsia="zh-CN" w:bidi="ar-SA"/>
    </w:rPr>
  </w:style>
  <w:style w:type="paragraph" w:styleId="7">
    <w:name w:val="heading 5"/>
    <w:basedOn w:val="1"/>
    <w:next w:val="1"/>
    <w:autoRedefine/>
    <w:semiHidden/>
    <w:unhideWhenUsed/>
    <w:qFormat/>
    <w:uiPriority w:val="9"/>
    <w:pPr>
      <w:keepNext/>
      <w:keepLines/>
      <w:spacing w:before="280" w:after="290" w:line="376" w:lineRule="auto"/>
      <w:outlineLvl w:val="4"/>
    </w:pPr>
    <w:rPr>
      <w:b/>
      <w:bCs/>
      <w:szCs w:val="28"/>
    </w:rPr>
  </w:style>
  <w:style w:type="character" w:default="1" w:styleId="27">
    <w:name w:val="Default Paragraph Font"/>
    <w:semiHidden/>
    <w:unhideWhenUsed/>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customStyle="1" w:styleId="6">
    <w:name w:val="样式6 正文"/>
    <w:autoRedefine/>
    <w:qFormat/>
    <w:uiPriority w:val="0"/>
    <w:pPr>
      <w:widowControl w:val="0"/>
      <w:tabs>
        <w:tab w:val="left" w:pos="420"/>
      </w:tabs>
      <w:spacing w:line="360" w:lineRule="auto"/>
      <w:ind w:firstLine="482"/>
      <w:jc w:val="both"/>
    </w:pPr>
    <w:rPr>
      <w:rFonts w:ascii="Times New Roman" w:hAnsi="Times New Roman" w:eastAsia="宋体" w:cs="Times New Roman"/>
      <w:sz w:val="24"/>
      <w:lang w:val="en-US" w:eastAsia="zh-CN" w:bidi="ar-SA"/>
    </w:rPr>
  </w:style>
  <w:style w:type="paragraph" w:styleId="8">
    <w:name w:val="List Number"/>
    <w:basedOn w:val="1"/>
    <w:autoRedefine/>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9">
    <w:name w:val="Normal Indent"/>
    <w:basedOn w:val="1"/>
    <w:link w:val="41"/>
    <w:autoRedefine/>
    <w:qFormat/>
    <w:uiPriority w:val="0"/>
    <w:pPr>
      <w:ind w:firstLine="420"/>
    </w:pPr>
    <w:rPr>
      <w:sz w:val="21"/>
      <w:szCs w:val="20"/>
    </w:rPr>
  </w:style>
  <w:style w:type="paragraph" w:styleId="10">
    <w:name w:val="caption"/>
    <w:basedOn w:val="1"/>
    <w:next w:val="1"/>
    <w:autoRedefine/>
    <w:qFormat/>
    <w:uiPriority w:val="0"/>
    <w:pPr>
      <w:spacing w:before="152" w:after="160"/>
    </w:pPr>
    <w:rPr>
      <w:rFonts w:ascii="Arial" w:hAnsi="Arial" w:eastAsia="黑体" w:cs="Arial"/>
      <w:sz w:val="20"/>
      <w:szCs w:val="20"/>
    </w:rPr>
  </w:style>
  <w:style w:type="paragraph" w:styleId="11">
    <w:name w:val="Document Map"/>
    <w:basedOn w:val="1"/>
    <w:link w:val="69"/>
    <w:autoRedefine/>
    <w:semiHidden/>
    <w:unhideWhenUsed/>
    <w:qFormat/>
    <w:uiPriority w:val="99"/>
    <w:rPr>
      <w:rFonts w:ascii="宋体"/>
      <w:sz w:val="18"/>
      <w:szCs w:val="18"/>
    </w:rPr>
  </w:style>
  <w:style w:type="paragraph" w:styleId="12">
    <w:name w:val="annotation text"/>
    <w:basedOn w:val="1"/>
    <w:link w:val="33"/>
    <w:autoRedefine/>
    <w:unhideWhenUsed/>
    <w:qFormat/>
    <w:uiPriority w:val="99"/>
    <w:pPr>
      <w:jc w:val="left"/>
    </w:pPr>
  </w:style>
  <w:style w:type="paragraph" w:styleId="13">
    <w:name w:val="Body Text"/>
    <w:basedOn w:val="1"/>
    <w:next w:val="1"/>
    <w:link w:val="77"/>
    <w:autoRedefine/>
    <w:semiHidden/>
    <w:unhideWhenUsed/>
    <w:qFormat/>
    <w:uiPriority w:val="99"/>
    <w:pPr>
      <w:spacing w:after="120"/>
    </w:pPr>
  </w:style>
  <w:style w:type="paragraph" w:styleId="14">
    <w:name w:val="Body Text Indent"/>
    <w:basedOn w:val="1"/>
    <w:link w:val="52"/>
    <w:autoRedefine/>
    <w:qFormat/>
    <w:uiPriority w:val="0"/>
    <w:pPr>
      <w:spacing w:line="200" w:lineRule="atLeast"/>
      <w:ind w:firstLine="301"/>
    </w:pPr>
    <w:rPr>
      <w:rFonts w:ascii="宋体" w:hAnsi="Courier New"/>
      <w:spacing w:val="-4"/>
      <w:sz w:val="18"/>
      <w:szCs w:val="20"/>
    </w:rPr>
  </w:style>
  <w:style w:type="paragraph" w:styleId="15">
    <w:name w:val="List 2"/>
    <w:basedOn w:val="1"/>
    <w:autoRedefine/>
    <w:unhideWhenUsed/>
    <w:qFormat/>
    <w:uiPriority w:val="99"/>
    <w:pPr>
      <w:ind w:left="100" w:leftChars="200" w:hanging="200" w:hangingChars="200"/>
      <w:contextualSpacing/>
    </w:pPr>
  </w:style>
  <w:style w:type="paragraph" w:styleId="16">
    <w:name w:val="Plain Text"/>
    <w:basedOn w:val="1"/>
    <w:link w:val="38"/>
    <w:autoRedefine/>
    <w:qFormat/>
    <w:uiPriority w:val="0"/>
    <w:pPr>
      <w:spacing w:beforeLines="50" w:afterLines="50" w:line="400" w:lineRule="atLeast"/>
    </w:pPr>
    <w:rPr>
      <w:rFonts w:ascii="宋体" w:hAnsi="Courier New"/>
      <w:sz w:val="24"/>
    </w:rPr>
  </w:style>
  <w:style w:type="paragraph" w:styleId="17">
    <w:name w:val="Date"/>
    <w:basedOn w:val="1"/>
    <w:next w:val="1"/>
    <w:autoRedefine/>
    <w:qFormat/>
    <w:uiPriority w:val="0"/>
    <w:pPr>
      <w:ind w:left="2500" w:leftChars="2500"/>
    </w:pPr>
    <w:rPr>
      <w:rFonts w:eastAsia="楷体_GB2312"/>
      <w:sz w:val="32"/>
      <w:szCs w:val="20"/>
    </w:rPr>
  </w:style>
  <w:style w:type="paragraph" w:styleId="18">
    <w:name w:val="Balloon Text"/>
    <w:basedOn w:val="1"/>
    <w:autoRedefine/>
    <w:qFormat/>
    <w:uiPriority w:val="0"/>
    <w:rPr>
      <w:sz w:val="18"/>
      <w:szCs w:val="18"/>
    </w:rPr>
  </w:style>
  <w:style w:type="paragraph" w:styleId="19">
    <w:name w:val="footer"/>
    <w:basedOn w:val="1"/>
    <w:link w:val="32"/>
    <w:autoRedefine/>
    <w:qFormat/>
    <w:uiPriority w:val="99"/>
    <w:pPr>
      <w:tabs>
        <w:tab w:val="center" w:pos="4153"/>
        <w:tab w:val="right" w:pos="8306"/>
      </w:tabs>
      <w:snapToGrid w:val="0"/>
      <w:jc w:val="left"/>
    </w:pPr>
    <w:rPr>
      <w:sz w:val="18"/>
      <w:szCs w:val="18"/>
    </w:rPr>
  </w:style>
  <w:style w:type="paragraph" w:styleId="20">
    <w:name w:val="header"/>
    <w:basedOn w:val="1"/>
    <w:autoRedefine/>
    <w:qFormat/>
    <w:uiPriority w:val="0"/>
    <w:pPr>
      <w:tabs>
        <w:tab w:val="center" w:pos="4153"/>
        <w:tab w:val="right" w:pos="8306"/>
      </w:tabs>
      <w:snapToGrid w:val="0"/>
      <w:jc w:val="center"/>
    </w:pPr>
    <w:rPr>
      <w:sz w:val="18"/>
      <w:szCs w:val="18"/>
    </w:rPr>
  </w:style>
  <w:style w:type="paragraph" w:styleId="21">
    <w:name w:val="List"/>
    <w:basedOn w:val="1"/>
    <w:autoRedefine/>
    <w:qFormat/>
    <w:uiPriority w:val="0"/>
    <w:pPr>
      <w:ind w:left="200" w:hanging="200" w:hangingChars="200"/>
    </w:pPr>
  </w:style>
  <w:style w:type="paragraph" w:styleId="22">
    <w:name w:val="Body Text 2"/>
    <w:basedOn w:val="1"/>
    <w:autoRedefine/>
    <w:qFormat/>
    <w:uiPriority w:val="0"/>
    <w:pPr>
      <w:widowControl/>
      <w:snapToGrid w:val="0"/>
      <w:spacing w:before="50" w:afterLines="50" w:line="400" w:lineRule="atLeast"/>
      <w:jc w:val="left"/>
    </w:pPr>
    <w:rPr>
      <w:rFonts w:hint="eastAsia" w:ascii="宋体" w:hAnsi="宋体"/>
      <w:color w:val="000000"/>
      <w:sz w:val="24"/>
    </w:rPr>
  </w:style>
  <w:style w:type="paragraph" w:styleId="23">
    <w:name w:val="Normal (Web)"/>
    <w:basedOn w:val="1"/>
    <w:autoRedefine/>
    <w:qFormat/>
    <w:uiPriority w:val="99"/>
    <w:pPr>
      <w:widowControl/>
      <w:spacing w:before="100" w:beforeAutospacing="1" w:after="100" w:afterAutospacing="1"/>
      <w:ind w:firstLine="420"/>
      <w:jc w:val="left"/>
    </w:pPr>
    <w:rPr>
      <w:rFonts w:ascii="宋体" w:hAnsi="宋体"/>
      <w:kern w:val="0"/>
      <w:sz w:val="20"/>
      <w:szCs w:val="20"/>
    </w:rPr>
  </w:style>
  <w:style w:type="paragraph" w:styleId="24">
    <w:name w:val="annotation subject"/>
    <w:basedOn w:val="12"/>
    <w:next w:val="12"/>
    <w:link w:val="50"/>
    <w:autoRedefine/>
    <w:unhideWhenUsed/>
    <w:qFormat/>
    <w:uiPriority w:val="99"/>
    <w:rPr>
      <w:b/>
      <w:bCs/>
    </w:rPr>
  </w:style>
  <w:style w:type="table" w:styleId="26">
    <w:name w:val="Table Grid"/>
    <w:basedOn w:val="2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autoRedefine/>
    <w:qFormat/>
    <w:uiPriority w:val="0"/>
    <w:rPr>
      <w:b/>
      <w:bCs/>
    </w:rPr>
  </w:style>
  <w:style w:type="character" w:styleId="29">
    <w:name w:val="page number"/>
    <w:basedOn w:val="27"/>
    <w:autoRedefine/>
    <w:qFormat/>
    <w:uiPriority w:val="0"/>
  </w:style>
  <w:style w:type="character" w:styleId="30">
    <w:name w:val="Hyperlink"/>
    <w:autoRedefine/>
    <w:qFormat/>
    <w:uiPriority w:val="0"/>
    <w:rPr>
      <w:color w:val="0000FF"/>
      <w:u w:val="single"/>
    </w:rPr>
  </w:style>
  <w:style w:type="character" w:styleId="31">
    <w:name w:val="annotation reference"/>
    <w:autoRedefine/>
    <w:unhideWhenUsed/>
    <w:qFormat/>
    <w:uiPriority w:val="99"/>
    <w:rPr>
      <w:sz w:val="21"/>
      <w:szCs w:val="21"/>
    </w:rPr>
  </w:style>
  <w:style w:type="character" w:customStyle="1" w:styleId="32">
    <w:name w:val="页脚 字符"/>
    <w:link w:val="19"/>
    <w:autoRedefine/>
    <w:qFormat/>
    <w:uiPriority w:val="99"/>
    <w:rPr>
      <w:kern w:val="2"/>
      <w:sz w:val="18"/>
      <w:szCs w:val="18"/>
    </w:rPr>
  </w:style>
  <w:style w:type="character" w:customStyle="1" w:styleId="33">
    <w:name w:val="批注文字 字符"/>
    <w:link w:val="12"/>
    <w:autoRedefine/>
    <w:qFormat/>
    <w:uiPriority w:val="99"/>
    <w:rPr>
      <w:kern w:val="2"/>
      <w:sz w:val="28"/>
      <w:szCs w:val="24"/>
    </w:rPr>
  </w:style>
  <w:style w:type="character" w:customStyle="1" w:styleId="34">
    <w:name w:val="纯文本 Char1"/>
    <w:autoRedefine/>
    <w:qFormat/>
    <w:uiPriority w:val="0"/>
    <w:rPr>
      <w:rFonts w:ascii="宋体" w:hAnsi="Courier New"/>
      <w:kern w:val="2"/>
      <w:sz w:val="21"/>
    </w:rPr>
  </w:style>
  <w:style w:type="character" w:customStyle="1" w:styleId="35">
    <w:name w:val="纯文本 Char"/>
    <w:autoRedefine/>
    <w:qFormat/>
    <w:uiPriority w:val="99"/>
    <w:rPr>
      <w:rFonts w:ascii="宋体" w:hAnsi="Courier New"/>
      <w:kern w:val="2"/>
      <w:sz w:val="24"/>
      <w:szCs w:val="24"/>
    </w:rPr>
  </w:style>
  <w:style w:type="character" w:customStyle="1" w:styleId="36">
    <w:name w:val="maywed421"/>
    <w:autoRedefine/>
    <w:qFormat/>
    <w:uiPriority w:val="0"/>
    <w:rPr>
      <w:color w:val="366FB6"/>
      <w:u w:val="none"/>
    </w:rPr>
  </w:style>
  <w:style w:type="character" w:customStyle="1" w:styleId="37">
    <w:name w:val="标题 1 Char Char"/>
    <w:autoRedefine/>
    <w:qFormat/>
    <w:uiPriority w:val="0"/>
    <w:rPr>
      <w:rFonts w:eastAsia="宋体"/>
      <w:b/>
      <w:spacing w:val="-2"/>
      <w:sz w:val="24"/>
      <w:lang w:val="en-US" w:eastAsia="zh-CN" w:bidi="ar-SA"/>
    </w:rPr>
  </w:style>
  <w:style w:type="character" w:customStyle="1" w:styleId="38">
    <w:name w:val="纯文本 字符"/>
    <w:link w:val="16"/>
    <w:autoRedefine/>
    <w:qFormat/>
    <w:uiPriority w:val="0"/>
    <w:rPr>
      <w:rFonts w:ascii="宋体" w:hAnsi="Courier New"/>
      <w:kern w:val="2"/>
      <w:sz w:val="24"/>
      <w:szCs w:val="24"/>
    </w:rPr>
  </w:style>
  <w:style w:type="character" w:customStyle="1" w:styleId="39">
    <w:name w:val="正文文本缩进 字符1"/>
    <w:autoRedefine/>
    <w:qFormat/>
    <w:uiPriority w:val="0"/>
    <w:rPr>
      <w:rFonts w:ascii="宋体" w:hAnsi="Courier New"/>
      <w:spacing w:val="-4"/>
      <w:kern w:val="2"/>
      <w:sz w:val="18"/>
    </w:rPr>
  </w:style>
  <w:style w:type="character" w:customStyle="1" w:styleId="40">
    <w:name w:val="标题 2 字符"/>
    <w:link w:val="3"/>
    <w:autoRedefine/>
    <w:semiHidden/>
    <w:qFormat/>
    <w:uiPriority w:val="9"/>
    <w:rPr>
      <w:rFonts w:ascii="Cambria" w:hAnsi="Cambria" w:eastAsia="宋体" w:cs="Times New Roman"/>
      <w:b/>
      <w:bCs/>
      <w:kern w:val="2"/>
      <w:sz w:val="32"/>
      <w:szCs w:val="32"/>
    </w:rPr>
  </w:style>
  <w:style w:type="character" w:customStyle="1" w:styleId="41">
    <w:name w:val="正文缩进 字符"/>
    <w:link w:val="9"/>
    <w:autoRedefine/>
    <w:qFormat/>
    <w:uiPriority w:val="0"/>
    <w:rPr>
      <w:rFonts w:eastAsia="宋体"/>
      <w:kern w:val="2"/>
      <w:sz w:val="21"/>
      <w:lang w:val="en-US" w:eastAsia="zh-CN" w:bidi="ar-SA"/>
    </w:rPr>
  </w:style>
  <w:style w:type="character" w:customStyle="1" w:styleId="42">
    <w:name w:val="black601"/>
    <w:autoRedefine/>
    <w:qFormat/>
    <w:uiPriority w:val="0"/>
    <w:rPr>
      <w:color w:val="666666"/>
    </w:rPr>
  </w:style>
  <w:style w:type="character" w:customStyle="1" w:styleId="43">
    <w:name w:val="访问过的超链接1"/>
    <w:autoRedefine/>
    <w:unhideWhenUsed/>
    <w:qFormat/>
    <w:uiPriority w:val="99"/>
    <w:rPr>
      <w:color w:val="800080"/>
      <w:u w:val="single"/>
    </w:rPr>
  </w:style>
  <w:style w:type="character" w:customStyle="1" w:styleId="44">
    <w:name w:val="正文文本缩进 字符"/>
    <w:autoRedefine/>
    <w:qFormat/>
    <w:uiPriority w:val="0"/>
    <w:rPr>
      <w:rFonts w:ascii="宋体" w:hAnsi="Courier New"/>
      <w:spacing w:val="-4"/>
      <w:kern w:val="2"/>
      <w:sz w:val="18"/>
    </w:rPr>
  </w:style>
  <w:style w:type="character" w:customStyle="1" w:styleId="45">
    <w:name w:val="z-窗体顶端 Char"/>
    <w:link w:val="46"/>
    <w:autoRedefine/>
    <w:semiHidden/>
    <w:qFormat/>
    <w:uiPriority w:val="99"/>
    <w:rPr>
      <w:rFonts w:ascii="Arial" w:hAnsi="Arial"/>
      <w:vanish/>
      <w:sz w:val="16"/>
      <w:szCs w:val="16"/>
    </w:rPr>
  </w:style>
  <w:style w:type="paragraph" w:customStyle="1" w:styleId="46">
    <w:name w:val="z-窗体顶端1"/>
    <w:basedOn w:val="1"/>
    <w:next w:val="1"/>
    <w:link w:val="45"/>
    <w:autoRedefine/>
    <w:unhideWhenUsed/>
    <w:qFormat/>
    <w:uiPriority w:val="99"/>
    <w:pPr>
      <w:widowControl/>
      <w:pBdr>
        <w:bottom w:val="single" w:color="auto" w:sz="6" w:space="1"/>
      </w:pBdr>
      <w:jc w:val="center"/>
    </w:pPr>
    <w:rPr>
      <w:rFonts w:ascii="Arial" w:hAnsi="Arial"/>
      <w:vanish/>
      <w:kern w:val="0"/>
      <w:sz w:val="16"/>
      <w:szCs w:val="16"/>
    </w:rPr>
  </w:style>
  <w:style w:type="character" w:customStyle="1" w:styleId="47">
    <w:name w:val="sub_title s0"/>
    <w:basedOn w:val="27"/>
    <w:autoRedefine/>
    <w:qFormat/>
    <w:uiPriority w:val="0"/>
  </w:style>
  <w:style w:type="character" w:customStyle="1" w:styleId="48">
    <w:name w:val="z-窗体底端 Char"/>
    <w:link w:val="49"/>
    <w:autoRedefine/>
    <w:semiHidden/>
    <w:qFormat/>
    <w:uiPriority w:val="99"/>
    <w:rPr>
      <w:rFonts w:ascii="Arial" w:hAnsi="Arial"/>
      <w:vanish/>
      <w:sz w:val="16"/>
      <w:szCs w:val="16"/>
    </w:rPr>
  </w:style>
  <w:style w:type="paragraph" w:customStyle="1" w:styleId="49">
    <w:name w:val="z-窗体底端1"/>
    <w:basedOn w:val="1"/>
    <w:next w:val="1"/>
    <w:link w:val="48"/>
    <w:autoRedefine/>
    <w:unhideWhenUsed/>
    <w:qFormat/>
    <w:uiPriority w:val="99"/>
    <w:pPr>
      <w:widowControl/>
      <w:pBdr>
        <w:top w:val="single" w:color="auto" w:sz="6" w:space="1"/>
      </w:pBdr>
      <w:jc w:val="center"/>
    </w:pPr>
    <w:rPr>
      <w:rFonts w:ascii="Arial" w:hAnsi="Arial"/>
      <w:vanish/>
      <w:kern w:val="0"/>
      <w:sz w:val="16"/>
      <w:szCs w:val="16"/>
    </w:rPr>
  </w:style>
  <w:style w:type="character" w:customStyle="1" w:styleId="50">
    <w:name w:val="批注主题 字符"/>
    <w:link w:val="24"/>
    <w:autoRedefine/>
    <w:semiHidden/>
    <w:qFormat/>
    <w:uiPriority w:val="99"/>
    <w:rPr>
      <w:b/>
      <w:bCs/>
      <w:kern w:val="2"/>
      <w:sz w:val="28"/>
      <w:szCs w:val="24"/>
    </w:rPr>
  </w:style>
  <w:style w:type="character" w:customStyle="1" w:styleId="51">
    <w:name w:val="标题 3 字符"/>
    <w:link w:val="4"/>
    <w:autoRedefine/>
    <w:semiHidden/>
    <w:qFormat/>
    <w:uiPriority w:val="9"/>
    <w:rPr>
      <w:b/>
      <w:bCs/>
      <w:kern w:val="2"/>
      <w:sz w:val="32"/>
      <w:szCs w:val="32"/>
    </w:rPr>
  </w:style>
  <w:style w:type="character" w:customStyle="1" w:styleId="52">
    <w:name w:val="正文文本缩进 字符2"/>
    <w:link w:val="14"/>
    <w:autoRedefine/>
    <w:qFormat/>
    <w:uiPriority w:val="0"/>
    <w:rPr>
      <w:rFonts w:ascii="宋体" w:hAnsi="Courier New"/>
      <w:spacing w:val="-4"/>
      <w:kern w:val="2"/>
      <w:sz w:val="18"/>
    </w:rPr>
  </w:style>
  <w:style w:type="character" w:customStyle="1" w:styleId="53">
    <w:name w:val="标题 1 字符"/>
    <w:link w:val="2"/>
    <w:autoRedefine/>
    <w:qFormat/>
    <w:uiPriority w:val="9"/>
    <w:rPr>
      <w:b/>
      <w:bCs/>
      <w:kern w:val="44"/>
      <w:sz w:val="44"/>
      <w:szCs w:val="44"/>
    </w:rPr>
  </w:style>
  <w:style w:type="paragraph" w:customStyle="1" w:styleId="54">
    <w:name w:val="表内文字"/>
    <w:basedOn w:val="1"/>
    <w:autoRedefine/>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5">
    <w:name w:val="无间距"/>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8">
    <w:name w:val="正文段"/>
    <w:basedOn w:val="1"/>
    <w:autoRedefine/>
    <w:qFormat/>
    <w:uiPriority w:val="0"/>
    <w:pPr>
      <w:widowControl/>
      <w:snapToGrid w:val="0"/>
      <w:spacing w:afterLines="50"/>
      <w:ind w:firstLine="200" w:firstLineChars="200"/>
    </w:pPr>
    <w:rPr>
      <w:kern w:val="0"/>
      <w:sz w:val="24"/>
      <w:szCs w:val="20"/>
    </w:rPr>
  </w:style>
  <w:style w:type="paragraph" w:customStyle="1" w:styleId="59">
    <w:name w:val="彩色列表 - 强调文字颜色 11"/>
    <w:basedOn w:val="1"/>
    <w:autoRedefine/>
    <w:qFormat/>
    <w:uiPriority w:val="34"/>
    <w:pPr>
      <w:ind w:firstLine="420" w:firstLineChars="200"/>
    </w:pPr>
    <w:rPr>
      <w:rFonts w:ascii="Calibri" w:hAnsi="Calibri"/>
      <w:sz w:val="21"/>
      <w:szCs w:val="22"/>
    </w:rPr>
  </w:style>
  <w:style w:type="paragraph" w:customStyle="1" w:styleId="60">
    <w:name w:val="List Paragraph1"/>
    <w:basedOn w:val="1"/>
    <w:autoRedefine/>
    <w:qFormat/>
    <w:uiPriority w:val="0"/>
    <w:pPr>
      <w:ind w:firstLine="420" w:firstLineChars="200"/>
    </w:pPr>
    <w:rPr>
      <w:sz w:val="21"/>
    </w:rPr>
  </w:style>
  <w:style w:type="paragraph" w:customStyle="1" w:styleId="61">
    <w:name w:val="Proposals body"/>
    <w:basedOn w:val="1"/>
    <w:next w:val="1"/>
    <w:autoRedefine/>
    <w:qFormat/>
    <w:uiPriority w:val="0"/>
    <w:pPr>
      <w:widowControl/>
      <w:spacing w:line="460" w:lineRule="exact"/>
      <w:jc w:val="left"/>
    </w:pPr>
    <w:rPr>
      <w:rFonts w:ascii="仿宋_GB2312" w:eastAsia="仿宋_GB2312"/>
      <w:snapToGrid w:val="0"/>
      <w:kern w:val="0"/>
      <w:sz w:val="24"/>
    </w:rPr>
  </w:style>
  <w:style w:type="paragraph" w:customStyle="1" w:styleId="62">
    <w:name w:val="Char Char Char Char1"/>
    <w:basedOn w:val="1"/>
    <w:autoRedefine/>
    <w:qFormat/>
    <w:uiPriority w:val="0"/>
    <w:rPr>
      <w:rFonts w:ascii="Tahoma" w:hAnsi="Tahoma"/>
      <w:sz w:val="24"/>
      <w:szCs w:val="20"/>
    </w:rPr>
  </w:style>
  <w:style w:type="paragraph" w:customStyle="1" w:styleId="63">
    <w:name w:val="正文 A"/>
    <w:autoRedefine/>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64">
    <w:name w:val="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5">
    <w:name w:val="默认段落字体 Para Char Char Char Char Char Char Char Char Char1 Char Char Char Char"/>
    <w:basedOn w:val="1"/>
    <w:autoRedefine/>
    <w:qFormat/>
    <w:uiPriority w:val="0"/>
    <w:rPr>
      <w:rFonts w:ascii="Tahoma" w:hAnsi="Tahoma"/>
      <w:sz w:val="24"/>
      <w:szCs w:val="20"/>
    </w:rPr>
  </w:style>
  <w:style w:type="paragraph" w:customStyle="1" w:styleId="6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7">
    <w:name w:val="正文1"/>
    <w:autoRedefine/>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character" w:customStyle="1" w:styleId="68">
    <w:name w:val="批注文字 Char1"/>
    <w:autoRedefine/>
    <w:semiHidden/>
    <w:qFormat/>
    <w:locked/>
    <w:uiPriority w:val="99"/>
    <w:rPr>
      <w:kern w:val="2"/>
      <w:sz w:val="28"/>
      <w:szCs w:val="24"/>
    </w:rPr>
  </w:style>
  <w:style w:type="character" w:customStyle="1" w:styleId="69">
    <w:name w:val="文档结构图 字符"/>
    <w:basedOn w:val="27"/>
    <w:link w:val="11"/>
    <w:autoRedefine/>
    <w:semiHidden/>
    <w:qFormat/>
    <w:uiPriority w:val="99"/>
    <w:rPr>
      <w:rFonts w:ascii="宋体"/>
      <w:kern w:val="2"/>
      <w:sz w:val="18"/>
      <w:szCs w:val="18"/>
    </w:rPr>
  </w:style>
  <w:style w:type="paragraph" w:styleId="70">
    <w:name w:val="List Paragraph"/>
    <w:basedOn w:val="1"/>
    <w:autoRedefine/>
    <w:qFormat/>
    <w:uiPriority w:val="34"/>
    <w:pPr>
      <w:ind w:firstLine="420" w:firstLineChars="200"/>
    </w:pPr>
  </w:style>
  <w:style w:type="character" w:customStyle="1" w:styleId="71">
    <w:name w:val="未处理的提及1"/>
    <w:basedOn w:val="27"/>
    <w:autoRedefine/>
    <w:semiHidden/>
    <w:unhideWhenUsed/>
    <w:qFormat/>
    <w:uiPriority w:val="99"/>
    <w:rPr>
      <w:color w:val="605E5C"/>
      <w:shd w:val="clear" w:color="auto" w:fill="E1DFDD"/>
    </w:rPr>
  </w:style>
  <w:style w:type="character" w:customStyle="1" w:styleId="72">
    <w:name w:val="未处理的提及2"/>
    <w:basedOn w:val="27"/>
    <w:autoRedefine/>
    <w:semiHidden/>
    <w:unhideWhenUsed/>
    <w:qFormat/>
    <w:uiPriority w:val="99"/>
    <w:rPr>
      <w:color w:val="605E5C"/>
      <w:shd w:val="clear" w:color="auto" w:fill="E1DFDD"/>
    </w:rPr>
  </w:style>
  <w:style w:type="character" w:customStyle="1" w:styleId="73">
    <w:name w:val="未处理的提及3"/>
    <w:basedOn w:val="27"/>
    <w:autoRedefine/>
    <w:semiHidden/>
    <w:unhideWhenUsed/>
    <w:qFormat/>
    <w:uiPriority w:val="99"/>
    <w:rPr>
      <w:color w:val="605E5C"/>
      <w:shd w:val="clear" w:color="auto" w:fill="E1DFDD"/>
    </w:rPr>
  </w:style>
  <w:style w:type="character" w:customStyle="1" w:styleId="74">
    <w:name w:val="未处理的提及4"/>
    <w:basedOn w:val="27"/>
    <w:autoRedefine/>
    <w:semiHidden/>
    <w:unhideWhenUsed/>
    <w:qFormat/>
    <w:uiPriority w:val="99"/>
    <w:rPr>
      <w:color w:val="605E5C"/>
      <w:shd w:val="clear" w:color="auto" w:fill="E1DFDD"/>
    </w:rPr>
  </w:style>
  <w:style w:type="paragraph" w:customStyle="1" w:styleId="75">
    <w:name w:val="正文2"/>
    <w:basedOn w:val="1"/>
    <w:link w:val="76"/>
    <w:autoRedefine/>
    <w:qFormat/>
    <w:uiPriority w:val="0"/>
    <w:pPr>
      <w:spacing w:before="156" w:line="360" w:lineRule="auto"/>
      <w:ind w:firstLine="510" w:firstLineChars="200"/>
    </w:pPr>
    <w:rPr>
      <w:sz w:val="24"/>
      <w:szCs w:val="20"/>
    </w:rPr>
  </w:style>
  <w:style w:type="character" w:customStyle="1" w:styleId="76">
    <w:name w:val="正文2 Char Char"/>
    <w:link w:val="75"/>
    <w:autoRedefine/>
    <w:qFormat/>
    <w:uiPriority w:val="0"/>
    <w:rPr>
      <w:kern w:val="2"/>
      <w:sz w:val="24"/>
    </w:rPr>
  </w:style>
  <w:style w:type="character" w:customStyle="1" w:styleId="77">
    <w:name w:val="正文文本 字符"/>
    <w:basedOn w:val="27"/>
    <w:link w:val="13"/>
    <w:autoRedefine/>
    <w:semiHidden/>
    <w:qFormat/>
    <w:uiPriority w:val="99"/>
    <w:rPr>
      <w:kern w:val="2"/>
      <w:sz w:val="28"/>
      <w:szCs w:val="24"/>
    </w:rPr>
  </w:style>
  <w:style w:type="table" w:customStyle="1" w:styleId="78">
    <w:name w:val="网格型1"/>
    <w:basedOn w:val="25"/>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
    <w:name w:val="标书2-二级标题"/>
    <w:basedOn w:val="5"/>
    <w:next w:val="80"/>
    <w:autoRedefine/>
    <w:qFormat/>
    <w:uiPriority w:val="0"/>
    <w:pPr>
      <w:numPr>
        <w:ilvl w:val="1"/>
        <w:numId w:val="2"/>
      </w:numPr>
      <w:tabs>
        <w:tab w:val="left" w:pos="630"/>
        <w:tab w:val="left" w:pos="840"/>
      </w:tabs>
      <w:outlineLvl w:val="1"/>
    </w:pPr>
    <w:rPr>
      <w:b/>
    </w:rPr>
  </w:style>
  <w:style w:type="paragraph" w:customStyle="1" w:styleId="80">
    <w:name w:val="标书6-正文"/>
    <w:basedOn w:val="6"/>
    <w:autoRedefine/>
    <w:qFormat/>
    <w:uiPriority w:val="0"/>
  </w:style>
  <w:style w:type="paragraph" w:customStyle="1" w:styleId="81">
    <w:name w:val="标书3-三级标题"/>
    <w:basedOn w:val="79"/>
    <w:next w:val="80"/>
    <w:autoRedefine/>
    <w:qFormat/>
    <w:uiPriority w:val="0"/>
    <w:pPr>
      <w:numPr>
        <w:ilvl w:val="2"/>
      </w:numPr>
      <w:outlineLvl w:val="2"/>
    </w:pPr>
    <w:rPr>
      <w:b w:val="0"/>
    </w:rPr>
  </w:style>
  <w:style w:type="paragraph" w:customStyle="1" w:styleId="82">
    <w:name w:val="样式"/>
    <w:autoRedefine/>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83">
    <w:name w:val="样式5 编号"/>
    <w:basedOn w:val="6"/>
    <w:autoRedefine/>
    <w:qFormat/>
    <w:uiPriority w:val="0"/>
    <w:pPr>
      <w:numPr>
        <w:ilvl w:val="0"/>
        <w:numId w:val="3"/>
      </w:numPr>
      <w:tabs>
        <w:tab w:val="left" w:pos="630"/>
        <w:tab w:val="clear" w:pos="420"/>
      </w:tabs>
    </w:pPr>
  </w:style>
  <w:style w:type="paragraph" w:customStyle="1" w:styleId="84">
    <w:name w:val="表格文本"/>
    <w:autoRedefine/>
    <w:qFormat/>
    <w:uiPriority w:val="0"/>
    <w:rPr>
      <w:rFonts w:hint="eastAsia" w:ascii="宋体" w:hAnsi="宋体" w:eastAsia="宋体" w:cs="Times New Roman"/>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4122</Words>
  <Characters>23496</Characters>
  <Lines>195</Lines>
  <Paragraphs>55</Paragraphs>
  <TotalTime>17</TotalTime>
  <ScaleCrop>false</ScaleCrop>
  <LinksUpToDate>false</LinksUpToDate>
  <CharactersWithSpaces>27563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2022-06-20T06:40:00Z</dcterms:created>
  <dc:creator>jj</dc:creator>
  <cp:lastModifiedBy>Danielle</cp:lastModifiedBy>
  <cp:lastPrinted>2018-06-25T02:02:00Z</cp:lastPrinted>
  <dcterms:modified xsi:type="dcterms:W3CDTF">2024-04-03T01:34:11Z</dcterms:modified>
  <dc:title>求是招标代理有限公司</dc:title>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9295B9F29E4A4DA0AF8EE1C3468E6BBD_13</vt:lpwstr>
  </property>
</Properties>
</file>