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88" w:lineRule="auto"/>
        <w:ind w:left="238"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采购需求</w:t>
      </w:r>
    </w:p>
    <w:p>
      <w:pPr>
        <w:adjustRightInd w:val="0"/>
        <w:snapToGrid w:val="0"/>
        <w:spacing w:line="288" w:lineRule="auto"/>
        <w:ind w:left="238" w:hanging="238" w:hangingChars="113"/>
        <w:outlineLvl w:val="1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一</w:t>
      </w:r>
      <w:r>
        <w:rPr>
          <w:rFonts w:ascii="宋体" w:hAnsi="宋体"/>
          <w:b/>
          <w:sz w:val="21"/>
          <w:szCs w:val="21"/>
        </w:rPr>
        <w:t>、</w:t>
      </w:r>
      <w:r>
        <w:rPr>
          <w:rFonts w:hint="eastAsia" w:ascii="宋体" w:hAnsi="宋体"/>
          <w:b/>
          <w:sz w:val="21"/>
          <w:szCs w:val="21"/>
        </w:rPr>
        <w:t>为落实政府采购政策需满足的要求：</w:t>
      </w:r>
    </w:p>
    <w:tbl>
      <w:tblPr>
        <w:tblStyle w:val="5"/>
        <w:tblW w:w="949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256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bookmarkStart w:id="0" w:name="_Hlk45005599"/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政策名称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政府采购促进中小企业发展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提供材料详见招标文件第六章“报价文件”</w:t>
            </w: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本项目属性为：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服务</w:t>
            </w: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采购标的对应的中小企业划分标准所属行业：其他未列明行业</w:t>
            </w: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中小企业划型标准：从业人员300人以下的为中小微型企业。其中，从业人员100人及以上的为中型企业；从业人员10人及以上的为小型企业；从业人员10人以下的为微型企业。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政府采购支持监狱企业发展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提供材料详见招标文件第六章“报价文件”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256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政府采购促进残疾人就业</w:t>
            </w:r>
          </w:p>
        </w:tc>
        <w:tc>
          <w:tcPr>
            <w:tcW w:w="55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提供材料详见招标文件第六章“报价文件”</w:t>
            </w:r>
          </w:p>
        </w:tc>
      </w:tr>
      <w:bookmarkEnd w:id="0"/>
    </w:tbl>
    <w:p>
      <w:pPr>
        <w:adjustRightInd w:val="0"/>
        <w:snapToGrid w:val="0"/>
        <w:spacing w:line="288" w:lineRule="auto"/>
        <w:rPr>
          <w:rFonts w:ascii="宋体" w:hAnsi="宋体"/>
          <w:sz w:val="21"/>
          <w:szCs w:val="21"/>
        </w:rPr>
      </w:pPr>
    </w:p>
    <w:p>
      <w:pPr>
        <w:adjustRightInd w:val="0"/>
        <w:snapToGrid w:val="0"/>
        <w:spacing w:line="288" w:lineRule="auto"/>
        <w:outlineLvl w:val="1"/>
        <w:rPr>
          <w:rFonts w:ascii="宋体" w:hAnsi="宋体"/>
          <w:b/>
          <w:sz w:val="21"/>
          <w:szCs w:val="21"/>
          <w:highlight w:val="yellow"/>
        </w:rPr>
      </w:pPr>
      <w:r>
        <w:rPr>
          <w:rFonts w:hint="eastAsia" w:ascii="宋体" w:hAnsi="宋体"/>
          <w:b/>
          <w:sz w:val="21"/>
          <w:szCs w:val="21"/>
        </w:rPr>
        <w:t>二</w:t>
      </w:r>
      <w:r>
        <w:rPr>
          <w:rFonts w:ascii="宋体" w:hAnsi="宋体"/>
          <w:b/>
          <w:sz w:val="21"/>
          <w:szCs w:val="21"/>
        </w:rPr>
        <w:t>、</w:t>
      </w:r>
      <w:r>
        <w:rPr>
          <w:rFonts w:hint="eastAsia" w:ascii="宋体" w:hAnsi="宋体"/>
          <w:b/>
          <w:sz w:val="21"/>
          <w:szCs w:val="21"/>
        </w:rPr>
        <w:t>采购资金的支付方式、时间、条件：</w:t>
      </w:r>
    </w:p>
    <w:tbl>
      <w:tblPr>
        <w:tblStyle w:val="5"/>
        <w:tblW w:w="949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宋体" w:hAnsi="宋体"/>
                <w:b/>
                <w:spacing w:val="-6"/>
                <w:sz w:val="21"/>
                <w:szCs w:val="21"/>
              </w:rPr>
            </w:pPr>
            <w:bookmarkStart w:id="1" w:name="_Hlk45005608"/>
            <w:r>
              <w:rPr>
                <w:rFonts w:hint="eastAsia" w:ascii="宋体" w:hAnsi="宋体"/>
                <w:b/>
                <w:spacing w:val="-6"/>
                <w:sz w:val="21"/>
                <w:szCs w:val="21"/>
              </w:rPr>
              <w:t>▲付款方式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1.货款支付方式：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服务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完成并通过验收后15日内支付全部货款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2.货款的结算：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开票信息：开具增值税普通发票；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抬头：浙江大学海南研究院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纳税人识别号：12460200MB1C497713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地址：海南三亚崖州湾科技城用友产业园11号楼，电话0898-32807601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开户行：中行三亚崖州科技支行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账号：266283657146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 w:cs="宋体"/>
                <w:spacing w:val="-6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行号：104642005807</w:t>
            </w:r>
          </w:p>
        </w:tc>
      </w:tr>
      <w:bookmarkEnd w:id="1"/>
    </w:tbl>
    <w:p>
      <w:pPr>
        <w:adjustRightInd w:val="0"/>
        <w:snapToGrid w:val="0"/>
        <w:spacing w:line="288" w:lineRule="auto"/>
        <w:ind w:left="238" w:hanging="238" w:hangingChars="113"/>
        <w:rPr>
          <w:rFonts w:ascii="宋体" w:hAnsi="宋体"/>
          <w:b/>
          <w:sz w:val="21"/>
          <w:szCs w:val="21"/>
        </w:rPr>
      </w:pPr>
    </w:p>
    <w:p>
      <w:pPr>
        <w:adjustRightInd w:val="0"/>
        <w:snapToGrid w:val="0"/>
        <w:spacing w:line="288" w:lineRule="auto"/>
        <w:ind w:left="238" w:hanging="238" w:hangingChars="113"/>
        <w:outlineLvl w:val="1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三</w:t>
      </w:r>
      <w:r>
        <w:rPr>
          <w:rFonts w:ascii="宋体" w:hAnsi="宋体"/>
          <w:b/>
          <w:sz w:val="21"/>
          <w:szCs w:val="21"/>
        </w:rPr>
        <w:t>、</w:t>
      </w:r>
      <w:r>
        <w:rPr>
          <w:rFonts w:hint="eastAsia" w:ascii="宋体" w:hAnsi="宋体"/>
          <w:b/>
          <w:sz w:val="21"/>
          <w:szCs w:val="21"/>
        </w:rPr>
        <w:t>服务</w:t>
      </w:r>
      <w:r>
        <w:rPr>
          <w:rFonts w:ascii="宋体" w:hAnsi="宋体"/>
          <w:b/>
          <w:sz w:val="21"/>
          <w:szCs w:val="21"/>
        </w:rPr>
        <w:t>要求：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tabs>
          <w:tab w:val="clear" w:pos="360"/>
        </w:tabs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bookmarkStart w:id="2" w:name="_Toc310583535"/>
      <w:bookmarkStart w:id="3" w:name="_Toc311548872"/>
      <w:bookmarkStart w:id="4" w:name="_Toc135386750"/>
      <w:bookmarkStart w:id="5" w:name="_Toc153116390"/>
      <w:bookmarkStart w:id="6" w:name="_Toc156984284"/>
      <w:bookmarkStart w:id="7" w:name="_Toc312242373"/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 w:bidi="ar-SA"/>
        </w:rPr>
        <w:t>1.服务</w:t>
      </w:r>
      <w:r>
        <w:rPr>
          <w:rFonts w:hint="eastAsia" w:ascii="宋体" w:hAnsi="宋体" w:eastAsia="宋体" w:cs="宋体"/>
          <w:sz w:val="21"/>
          <w:szCs w:val="21"/>
        </w:rPr>
        <w:t>说明</w:t>
      </w:r>
      <w:bookmarkEnd w:id="2"/>
      <w:bookmarkEnd w:id="3"/>
      <w:bookmarkEnd w:id="4"/>
      <w:bookmarkEnd w:id="5"/>
      <w:bookmarkEnd w:id="6"/>
      <w:bookmarkEnd w:id="7"/>
    </w:p>
    <w:p>
      <w:pPr>
        <w:pStyle w:val="9"/>
        <w:keepNext w:val="0"/>
        <w:keepLines w:val="0"/>
        <w:pageBreakBefore w:val="0"/>
        <w:numPr>
          <w:ilvl w:val="2"/>
          <w:numId w:val="0"/>
        </w:numPr>
        <w:tabs>
          <w:tab w:val="left" w:pos="424"/>
          <w:tab w:val="clear" w:pos="1146"/>
        </w:tabs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sz w:val="21"/>
          <w:szCs w:val="21"/>
          <w:lang w:val="en-US" w:eastAsia="zh-CN" w:bidi="ar-SA"/>
        </w:rPr>
        <w:t>1.1服务</w:t>
      </w:r>
      <w:r>
        <w:rPr>
          <w:rFonts w:hint="eastAsia" w:ascii="宋体" w:hAnsi="宋体" w:eastAsia="宋体" w:cs="宋体"/>
          <w:sz w:val="21"/>
          <w:szCs w:val="21"/>
        </w:rPr>
        <w:t>概况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海缆布放施工技术服务项目位于海南南海近岸海域，海底高程为50m以内，海底地形变化较为平缓。项目主要由登陆岸基系统和海缆组成。海缆总长大于10Km，起始端始于陆地集装箱，集装箱距离岸边200m左右。海缆分为主缆和分支缆，分支缆带有若干个负载，负载与分支缆通过定制的水密接插件连接，负载与海缆布放在海底后，要求能够不移动。负载布放位置要求精度高，能够满足系统使用要求。</w:t>
      </w:r>
    </w:p>
    <w:p>
      <w:pPr>
        <w:pStyle w:val="9"/>
        <w:keepNext w:val="0"/>
        <w:keepLines w:val="0"/>
        <w:pageBreakBefore w:val="0"/>
        <w:numPr>
          <w:ilvl w:val="2"/>
          <w:numId w:val="0"/>
        </w:numPr>
        <w:tabs>
          <w:tab w:val="left" w:pos="424"/>
          <w:tab w:val="clear" w:pos="1146"/>
        </w:tabs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sz w:val="21"/>
          <w:szCs w:val="21"/>
          <w:lang w:val="en-US" w:eastAsia="zh-CN" w:bidi="ar-SA"/>
        </w:rPr>
        <w:t>1.2</w:t>
      </w:r>
      <w:r>
        <w:rPr>
          <w:rFonts w:hint="eastAsia" w:ascii="宋体" w:hAnsi="宋体" w:eastAsia="宋体" w:cs="宋体"/>
          <w:sz w:val="21"/>
          <w:szCs w:val="21"/>
        </w:rPr>
        <w:t>海缆特征参数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海缆主要的技术参数见表1-1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0" w:firstLine="0" w:firstLineChars="0"/>
        <w:jc w:val="center"/>
        <w:textAlignment w:val="bottom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海缆主要技术参数表1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384"/>
        <w:gridCol w:w="1412"/>
        <w:gridCol w:w="1460"/>
        <w:gridCol w:w="1404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电缆单元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光纤单元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外径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(mm)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空气中重量(kg/m)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最大允许牵引力(kN)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安装时允许弯曲半径(m)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6×4mm2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48B1.3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32.5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2.1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155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</w:tbl>
    <w:p>
      <w:pPr>
        <w:pStyle w:val="7"/>
        <w:keepNext w:val="0"/>
        <w:keepLines w:val="0"/>
        <w:pageBreakBefore w:val="0"/>
        <w:numPr>
          <w:ilvl w:val="1"/>
          <w:numId w:val="0"/>
        </w:numPr>
        <w:tabs>
          <w:tab w:val="clear" w:pos="360"/>
        </w:tabs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</w:t>
      </w:r>
      <w:bookmarkStart w:id="8" w:name="_Toc153116391"/>
      <w:r>
        <w:rPr>
          <w:rFonts w:hint="eastAsia" w:ascii="宋体" w:hAnsi="宋体" w:eastAsia="宋体" w:cs="宋体"/>
          <w:sz w:val="21"/>
          <w:szCs w:val="21"/>
          <w:lang w:eastAsia="zh-CN"/>
        </w:rPr>
        <w:t>服务</w:t>
      </w:r>
      <w:r>
        <w:rPr>
          <w:rFonts w:hint="eastAsia" w:ascii="宋体" w:hAnsi="宋体" w:eastAsia="宋体" w:cs="宋体"/>
          <w:sz w:val="21"/>
          <w:szCs w:val="21"/>
        </w:rPr>
        <w:t>内容</w:t>
      </w:r>
      <w:bookmarkEnd w:id="8"/>
    </w:p>
    <w:p>
      <w:pPr>
        <w:pStyle w:val="9"/>
        <w:keepNext w:val="0"/>
        <w:keepLines w:val="0"/>
        <w:pageBreakBefore w:val="0"/>
        <w:numPr>
          <w:ilvl w:val="2"/>
          <w:numId w:val="0"/>
        </w:numPr>
        <w:tabs>
          <w:tab w:val="left" w:pos="424"/>
          <w:tab w:val="clear" w:pos="1146"/>
        </w:tabs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sz w:val="21"/>
          <w:szCs w:val="21"/>
          <w:lang w:val="en-US" w:eastAsia="zh-CN" w:bidi="ar-SA"/>
        </w:rPr>
        <w:t xml:space="preserve">2.1 </w:t>
      </w:r>
      <w:r>
        <w:rPr>
          <w:rFonts w:hint="eastAsia" w:ascii="宋体" w:hAnsi="宋体" w:eastAsia="宋体" w:cs="宋体"/>
          <w:sz w:val="21"/>
          <w:szCs w:val="21"/>
        </w:rPr>
        <w:t>13Km主光电缆布放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技术服务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firstLine="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（1）</w:t>
      </w:r>
      <w:r>
        <w:rPr>
          <w:rFonts w:hint="eastAsia" w:ascii="宋体" w:hAnsi="宋体" w:cs="宋体"/>
          <w:sz w:val="21"/>
          <w:szCs w:val="21"/>
          <w:lang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应根据主缆参数、布放的海域地形情况，结合布放海域勘察报告，进行施工组织设计，包括主缆施工工艺设计、施工流程设计、施工船舶及设备的选项和布置设计、施工质量控制及验收、施工安全控制等。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firstLine="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eastAsia="zh-CN"/>
        </w:rPr>
        <w:t>）中标人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应按照施工组织设计现场组织、指导完成海缆的登陆段铺设、铸铁保护管安装、水下灌浆固定、陆地混凝土固定、起始端与集装箱连接、海上中间段铺设、终端送至测试船等施工内容。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firstLine="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  <w:lang w:eastAsia="zh-CN"/>
        </w:rPr>
        <w:t>）中标人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应配合</w:t>
      </w:r>
      <w:r>
        <w:rPr>
          <w:rFonts w:hint="eastAsia" w:ascii="宋体" w:hAnsi="宋体" w:cs="宋体"/>
          <w:sz w:val="21"/>
          <w:szCs w:val="21"/>
          <w:lang w:eastAsia="zh-CN"/>
        </w:rPr>
        <w:t>采购人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对布放完成的海缆进行测试验收。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firstLine="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2.2分支段海缆布放施工技术服务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firstLine="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  <w:lang w:eastAsia="zh-CN"/>
        </w:rPr>
        <w:t>）中标人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应根据海缆参数、布放工作内容、布放的海域地形情况，结合布放海域勘察报告，进行施工组织设计，包括海缆施工工艺设计、施工流程设计、施工船舶及设备的选项和布置设计、施工质量控制及验收、施工安全控制等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firstLine="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lang w:eastAsia="zh-CN"/>
        </w:rPr>
        <w:t>）中标人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应按照施工组织设计现场组织、指导完成海缆起始端上测试船的施工、分支缆中间段海上铺设、分支缆尾端抛放固定锚等施工内容。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firstLine="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  <w:lang w:eastAsia="zh-CN"/>
        </w:rPr>
        <w:t>）中标人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应按照施工组织设计现场组织、指导完成负载吊装并放置于海床、分支缆起始端上测试船的施工、分支缆中间段海上铺设、分支缆与水密缆的连接、分支缆尾端抛放固定锚等施工内容。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firstLine="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sz w:val="21"/>
          <w:szCs w:val="21"/>
          <w:lang w:eastAsia="zh-CN"/>
        </w:rPr>
        <w:t>）中标人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应配合</w:t>
      </w:r>
      <w:r>
        <w:rPr>
          <w:rFonts w:hint="eastAsia" w:ascii="宋体" w:hAnsi="宋体" w:cs="宋体"/>
          <w:sz w:val="21"/>
          <w:szCs w:val="21"/>
          <w:lang w:eastAsia="zh-CN"/>
        </w:rPr>
        <w:t>采购人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对布放完成的海缆进行测试验收。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firstLine="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施工辅助设施项目及其工作内容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firstLine="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应负责本技术条款施工临时设施的设计和指导工作，包括(但不限于)：施工交通，施工供水供电、施工通信、照明系统，临时生产管理和生活设施，各类仓库及堆储安装场地，施工期环境保护与水土保持设施，安全防护设施等。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tabs>
          <w:tab w:val="clear" w:pos="360"/>
        </w:tabs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bookmarkStart w:id="9" w:name="_Toc394580547"/>
      <w:bookmarkEnd w:id="9"/>
      <w:bookmarkStart w:id="10" w:name="_Toc394580506"/>
      <w:bookmarkEnd w:id="10"/>
      <w:bookmarkStart w:id="11" w:name="_Toc394580507"/>
      <w:bookmarkEnd w:id="11"/>
      <w:bookmarkStart w:id="12" w:name="_Toc394580544"/>
      <w:bookmarkEnd w:id="12"/>
      <w:bookmarkStart w:id="13" w:name="_Toc394580550"/>
      <w:bookmarkEnd w:id="13"/>
      <w:bookmarkStart w:id="14" w:name="_Toc394580512"/>
      <w:bookmarkEnd w:id="14"/>
      <w:bookmarkStart w:id="15" w:name="_Toc394580540"/>
      <w:bookmarkEnd w:id="15"/>
      <w:bookmarkStart w:id="16" w:name="_Toc394580532"/>
      <w:bookmarkEnd w:id="16"/>
      <w:bookmarkStart w:id="17" w:name="_Toc394580533"/>
      <w:bookmarkEnd w:id="17"/>
      <w:bookmarkStart w:id="18" w:name="_Toc394580531"/>
      <w:bookmarkEnd w:id="18"/>
      <w:bookmarkStart w:id="19" w:name="_Toc394580529"/>
      <w:bookmarkEnd w:id="19"/>
      <w:bookmarkStart w:id="20" w:name="_Toc394580539"/>
      <w:bookmarkEnd w:id="20"/>
      <w:bookmarkStart w:id="21" w:name="_Toc394580509"/>
      <w:bookmarkEnd w:id="21"/>
      <w:bookmarkStart w:id="22" w:name="_Toc394580527"/>
      <w:bookmarkEnd w:id="22"/>
      <w:bookmarkStart w:id="23" w:name="_Toc394580546"/>
      <w:bookmarkEnd w:id="23"/>
      <w:bookmarkStart w:id="24" w:name="_Toc394580504"/>
      <w:bookmarkEnd w:id="24"/>
      <w:bookmarkStart w:id="25" w:name="_Toc394580530"/>
      <w:bookmarkEnd w:id="25"/>
      <w:bookmarkStart w:id="26" w:name="_Toc394580549"/>
      <w:bookmarkEnd w:id="26"/>
      <w:bookmarkStart w:id="27" w:name="_Toc394580536"/>
      <w:bookmarkEnd w:id="27"/>
      <w:bookmarkStart w:id="28" w:name="_Toc394580505"/>
      <w:bookmarkEnd w:id="28"/>
      <w:bookmarkStart w:id="29" w:name="_Toc394580510"/>
      <w:bookmarkEnd w:id="29"/>
      <w:bookmarkStart w:id="30" w:name="_Toc394580508"/>
      <w:bookmarkEnd w:id="30"/>
      <w:bookmarkStart w:id="31" w:name="_Toc394580545"/>
      <w:bookmarkEnd w:id="31"/>
      <w:bookmarkStart w:id="32" w:name="_Toc394580542"/>
      <w:bookmarkEnd w:id="32"/>
      <w:bookmarkStart w:id="33" w:name="_Toc394580537"/>
      <w:bookmarkEnd w:id="33"/>
      <w:bookmarkStart w:id="34" w:name="_Toc394580538"/>
      <w:bookmarkEnd w:id="34"/>
      <w:bookmarkStart w:id="35" w:name="_Toc394580526"/>
      <w:bookmarkEnd w:id="35"/>
      <w:bookmarkStart w:id="36" w:name="_Toc394580511"/>
      <w:bookmarkEnd w:id="36"/>
      <w:bookmarkStart w:id="37" w:name="_Toc394580548"/>
      <w:bookmarkEnd w:id="37"/>
      <w:bookmarkStart w:id="38" w:name="_Toc394580534"/>
      <w:bookmarkEnd w:id="38"/>
      <w:bookmarkStart w:id="39" w:name="_Toc394580543"/>
      <w:bookmarkEnd w:id="39"/>
      <w:bookmarkStart w:id="40" w:name="_Toc394580535"/>
      <w:bookmarkEnd w:id="40"/>
      <w:bookmarkStart w:id="41" w:name="_Toc394580552"/>
      <w:bookmarkEnd w:id="41"/>
      <w:bookmarkStart w:id="42" w:name="_Toc394580541"/>
      <w:bookmarkEnd w:id="42"/>
      <w:bookmarkStart w:id="43" w:name="_Toc394580528"/>
      <w:bookmarkEnd w:id="43"/>
      <w:bookmarkStart w:id="44" w:name="_Toc394580503"/>
      <w:bookmarkEnd w:id="44"/>
      <w:bookmarkStart w:id="45" w:name="_Toc153116392"/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 w:bidi="ar-SA"/>
        </w:rPr>
        <w:t>3.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质量验收要求</w:t>
      </w:r>
      <w:bookmarkEnd w:id="45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海缆监测和测试要求见表2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firstLine="0" w:firstLineChars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海缆监测和测试要求表2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570"/>
        <w:gridCol w:w="1074"/>
        <w:gridCol w:w="980"/>
        <w:gridCol w:w="1381"/>
        <w:gridCol w:w="1285"/>
        <w:gridCol w:w="1738"/>
      </w:tblGrid>
      <w:tr>
        <w:trPr>
          <w:trHeight w:val="344" w:hRule="atLeast"/>
          <w:jc w:val="center"/>
        </w:trPr>
        <w:tc>
          <w:tcPr>
            <w:tcW w:w="28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检验部位</w:t>
            </w:r>
          </w:p>
        </w:tc>
        <w:tc>
          <w:tcPr>
            <w:tcW w:w="63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检验时间</w:t>
            </w:r>
          </w:p>
        </w:tc>
        <w:tc>
          <w:tcPr>
            <w:tcW w:w="5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检验人</w:t>
            </w:r>
          </w:p>
        </w:tc>
        <w:tc>
          <w:tcPr>
            <w:tcW w:w="81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检验内容</w:t>
            </w:r>
          </w:p>
        </w:tc>
        <w:tc>
          <w:tcPr>
            <w:tcW w:w="7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达标标准</w:t>
            </w:r>
          </w:p>
        </w:tc>
        <w:tc>
          <w:tcPr>
            <w:tcW w:w="101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采用手段、方法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8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(where)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(when)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(who)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(what)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(why)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(how)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海缆路由调查报告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海缆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布放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前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项目工程师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海缆的路径选择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设计要求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海洋勘测成套设备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水陆交接段及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岸滩保护段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海缆登陆时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项目工程师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海缆的保护段安装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设计要求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利用测绳和卷尺进行检验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海缆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布放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路由控制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中间水域段海缆敷设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布放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项目工程师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路由轴线偏差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左右偏差不大于左右10m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采用DGPS定位系统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光纤检测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海缆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布放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完成后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项目工程师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光纤衰减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设计要求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采用OTDR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竣工检验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海缆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布放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完成后</w:t>
            </w:r>
          </w:p>
        </w:tc>
        <w:tc>
          <w:tcPr>
            <w:tcW w:w="5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项目工程师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性能测试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设计要求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7"/>
        <w:keepNext w:val="0"/>
        <w:keepLines w:val="0"/>
        <w:pageBreakBefore w:val="0"/>
        <w:numPr>
          <w:ilvl w:val="1"/>
          <w:numId w:val="0"/>
        </w:numPr>
        <w:tabs>
          <w:tab w:val="clear" w:pos="360"/>
        </w:tabs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46" w:name="_Toc153116393"/>
      <w:r>
        <w:rPr>
          <w:rFonts w:hint="eastAsia" w:ascii="宋体" w:hAnsi="宋体" w:eastAsia="宋体" w:cs="宋体"/>
          <w:b/>
          <w:bCs/>
          <w:i w:val="0"/>
          <w:sz w:val="21"/>
          <w:szCs w:val="21"/>
          <w:lang w:val="en-US" w:eastAsia="zh-CN" w:bidi="ar-SA"/>
        </w:rPr>
        <w:t>4.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合同</w:t>
      </w:r>
      <w:bookmarkEnd w:id="46"/>
      <w:r>
        <w:rPr>
          <w:rFonts w:hint="eastAsia" w:ascii="宋体" w:hAnsi="宋体" w:cs="宋体"/>
          <w:sz w:val="21"/>
          <w:szCs w:val="21"/>
          <w:lang w:val="en-US" w:eastAsia="zh-CN"/>
        </w:rPr>
        <w:t>履约期限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海缆布放完成时间为：合同签订后30天内完成（由于海况影响除外）。</w:t>
      </w:r>
    </w:p>
    <w:p>
      <w:pPr>
        <w:pStyle w:val="7"/>
        <w:keepNext w:val="0"/>
        <w:keepLines w:val="0"/>
        <w:pageBreakBefore w:val="0"/>
        <w:numPr>
          <w:ilvl w:val="1"/>
          <w:numId w:val="0"/>
        </w:numPr>
        <w:tabs>
          <w:tab w:val="clear" w:pos="360"/>
        </w:tabs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bookmarkStart w:id="47" w:name="_Toc394580555"/>
      <w:bookmarkEnd w:id="47"/>
      <w:bookmarkStart w:id="48" w:name="_Toc394580556"/>
      <w:bookmarkEnd w:id="48"/>
      <w:bookmarkStart w:id="49" w:name="_Toc153116394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验收</w:t>
      </w:r>
      <w:bookmarkEnd w:id="49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全部海缆布放完成，试验测试结束并经验收后，</w:t>
      </w:r>
      <w:r>
        <w:rPr>
          <w:rFonts w:hint="eastAsia" w:ascii="宋体" w:hAnsi="宋体" w:cs="宋体"/>
          <w:sz w:val="21"/>
          <w:szCs w:val="21"/>
          <w:lang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</w:rPr>
        <w:t>应向</w:t>
      </w:r>
      <w:r>
        <w:rPr>
          <w:rFonts w:hint="eastAsia" w:ascii="宋体" w:hAnsi="宋体" w:cs="宋体"/>
          <w:sz w:val="21"/>
          <w:szCs w:val="21"/>
          <w:lang w:eastAsia="zh-CN"/>
        </w:rPr>
        <w:t>采购人</w:t>
      </w:r>
      <w:r>
        <w:rPr>
          <w:rFonts w:hint="eastAsia" w:ascii="宋体" w:hAnsi="宋体" w:eastAsia="宋体" w:cs="宋体"/>
          <w:sz w:val="21"/>
          <w:szCs w:val="21"/>
        </w:rPr>
        <w:t>提交海缆布放施工技术服务完工验收确认单。</w:t>
      </w:r>
      <w:r>
        <w:rPr>
          <w:rFonts w:hint="eastAsia" w:ascii="宋体" w:hAnsi="宋体" w:cs="宋体"/>
          <w:sz w:val="21"/>
          <w:szCs w:val="21"/>
          <w:lang w:eastAsia="zh-CN"/>
        </w:rPr>
        <w:t>采购人</w:t>
      </w:r>
      <w:r>
        <w:rPr>
          <w:rFonts w:hint="eastAsia" w:ascii="宋体" w:hAnsi="宋体" w:eastAsia="宋体" w:cs="宋体"/>
          <w:sz w:val="21"/>
          <w:szCs w:val="21"/>
        </w:rPr>
        <w:t>在收到申请单并审核后，将审核意见通知</w:t>
      </w:r>
      <w:r>
        <w:rPr>
          <w:rFonts w:hint="eastAsia" w:ascii="宋体" w:hAnsi="宋体" w:cs="宋体"/>
          <w:sz w:val="21"/>
          <w:szCs w:val="21"/>
          <w:lang w:eastAsia="zh-CN"/>
        </w:rPr>
        <w:t>中标人</w:t>
      </w:r>
      <w:r>
        <w:rPr>
          <w:rFonts w:hint="eastAsia" w:ascii="宋体" w:hAnsi="宋体" w:eastAsia="宋体" w:cs="宋体"/>
          <w:sz w:val="21"/>
          <w:szCs w:val="21"/>
        </w:rPr>
        <w:t>，进行完工验收。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标人</w:t>
      </w:r>
      <w:r>
        <w:rPr>
          <w:rFonts w:hint="eastAsia" w:ascii="宋体" w:hAnsi="宋体" w:eastAsia="宋体" w:cs="宋体"/>
          <w:sz w:val="21"/>
          <w:szCs w:val="21"/>
        </w:rPr>
        <w:t>应为验收提交以下完工资料：</w:t>
      </w:r>
    </w:p>
    <w:p>
      <w:pPr>
        <w:pStyle w:val="8"/>
        <w:keepNext w:val="0"/>
        <w:keepLines w:val="0"/>
        <w:pageBreakBefore w:val="0"/>
        <w:numPr>
          <w:ilvl w:val="1"/>
          <w:numId w:val="0"/>
        </w:numPr>
        <w:tabs>
          <w:tab w:val="left" w:pos="840"/>
        </w:tabs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（1）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施工</w:t>
      </w:r>
      <w:r>
        <w:rPr>
          <w:rFonts w:hint="eastAsia" w:ascii="宋体" w:hAnsi="宋体" w:eastAsia="宋体" w:cs="宋体"/>
          <w:sz w:val="21"/>
          <w:szCs w:val="21"/>
        </w:rPr>
        <w:t>组织设计；</w:t>
      </w:r>
    </w:p>
    <w:p>
      <w:pPr>
        <w:pStyle w:val="8"/>
        <w:keepNext w:val="0"/>
        <w:keepLines w:val="0"/>
        <w:pageBreakBefore w:val="0"/>
        <w:numPr>
          <w:ilvl w:val="1"/>
          <w:numId w:val="0"/>
        </w:numPr>
        <w:tabs>
          <w:tab w:val="left" w:pos="840"/>
        </w:tabs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（2）</w:t>
      </w:r>
      <w:r>
        <w:rPr>
          <w:rFonts w:hint="eastAsia" w:ascii="宋体" w:hAnsi="宋体" w:eastAsia="宋体" w:cs="宋体"/>
          <w:sz w:val="21"/>
          <w:szCs w:val="21"/>
        </w:rPr>
        <w:t>布放安装竣工图；</w:t>
      </w:r>
    </w:p>
    <w:p>
      <w:pPr>
        <w:pStyle w:val="8"/>
        <w:numPr>
          <w:ilvl w:val="1"/>
          <w:numId w:val="0"/>
        </w:numPr>
        <w:tabs>
          <w:tab w:val="left" w:pos="840"/>
        </w:tabs>
        <w:adjustRightInd w:val="0"/>
        <w:snapToGrid w:val="0"/>
        <w:spacing w:line="288" w:lineRule="auto"/>
        <w:rPr>
          <w:rFonts w:ascii="宋体" w:hAnsi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（3）采购人</w:t>
      </w:r>
      <w:r>
        <w:rPr>
          <w:rFonts w:hint="eastAsia" w:ascii="宋体" w:hAnsi="宋体" w:eastAsia="宋体" w:cs="宋体"/>
          <w:sz w:val="21"/>
          <w:szCs w:val="21"/>
        </w:rPr>
        <w:t>要求提交的其他完工资料。</w:t>
      </w:r>
    </w:p>
    <w:p>
      <w:pPr>
        <w:widowControl/>
        <w:jc w:val="lef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br w:type="page"/>
      </w:r>
    </w:p>
    <w:p>
      <w:bookmarkStart w:id="50" w:name="_GoBack"/>
      <w:bookmarkEnd w:id="5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143BE4"/>
    <w:multiLevelType w:val="multilevel"/>
    <w:tmpl w:val="49143BE4"/>
    <w:lvl w:ilvl="0" w:tentative="0">
      <w:start w:val="1"/>
      <w:numFmt w:val="decimal"/>
      <w:isLgl/>
      <w:suff w:val="space"/>
      <w:lvlText w:val="第%1章"/>
      <w:lvlJc w:val="center"/>
      <w:pPr>
        <w:ind w:left="0" w:firstLine="0"/>
      </w:pPr>
      <w:rPr>
        <w:rFonts w:hint="eastAsia" w:ascii="黑体" w:eastAsia="黑体"/>
        <w:b w:val="0"/>
        <w:i w:val="0"/>
        <w:sz w:val="32"/>
      </w:rPr>
    </w:lvl>
    <w:lvl w:ilvl="1" w:tentative="0">
      <w:start w:val="1"/>
      <w:numFmt w:val="decimal"/>
      <w:pStyle w:val="7"/>
      <w:lvlText w:val="%1.%2"/>
      <w:lvlJc w:val="left"/>
      <w:pPr>
        <w:tabs>
          <w:tab w:val="left" w:pos="360"/>
        </w:tabs>
        <w:ind w:left="0" w:firstLine="0"/>
      </w:pPr>
      <w:rPr>
        <w:rFonts w:hint="default" w:ascii="Times New Roman" w:hAnsi="Times New Roman" w:eastAsia="宋体"/>
        <w:b w:val="0"/>
        <w:i w:val="0"/>
        <w:sz w:val="24"/>
      </w:rPr>
    </w:lvl>
    <w:lvl w:ilvl="2" w:tentative="0">
      <w:start w:val="1"/>
      <w:numFmt w:val="decimal"/>
      <w:pStyle w:val="9"/>
      <w:lvlText w:val="%1.%2.%3 "/>
      <w:lvlJc w:val="left"/>
      <w:pPr>
        <w:tabs>
          <w:tab w:val="left" w:pos="1146"/>
        </w:tabs>
        <w:ind w:left="426" w:firstLine="0"/>
      </w:pPr>
      <w:rPr>
        <w:rFonts w:hint="default" w:ascii="Times New Roman" w:hAnsi="Times New Roman" w:eastAsia="宋体"/>
        <w:b w:val="0"/>
        <w:i w:val="0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42"/>
        </w:tabs>
        <w:ind w:left="142" w:firstLine="0"/>
      </w:pPr>
      <w:rPr>
        <w:rFonts w:hint="default" w:ascii="Times New Roman" w:hAnsi="Times New Roman" w:eastAsia="宋体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2551" w:hanging="255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NmE3Zjc2YjhlM2EyNmZlNjdjM2VjZGM0YmQzMjAifQ=="/>
  </w:docVars>
  <w:rsids>
    <w:rsidRoot w:val="7ED83BEA"/>
    <w:rsid w:val="7ED8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4"/>
    <w:next w:val="4"/>
    <w:qFormat/>
    <w:uiPriority w:val="0"/>
    <w:pPr>
      <w:widowControl w:val="0"/>
      <w:spacing w:line="360" w:lineRule="auto"/>
      <w:jc w:val="both"/>
      <w:outlineLvl w:val="3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customStyle="1" w:styleId="4">
    <w:name w:val="样式6 正文"/>
    <w:autoRedefine/>
    <w:qFormat/>
    <w:uiPriority w:val="0"/>
    <w:pPr>
      <w:widowControl w:val="0"/>
      <w:tabs>
        <w:tab w:val="left" w:pos="420"/>
      </w:tabs>
      <w:spacing w:line="360" w:lineRule="auto"/>
      <w:ind w:firstLine="482"/>
      <w:jc w:val="both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7">
    <w:name w:val="标书2-二级标题"/>
    <w:basedOn w:val="3"/>
    <w:next w:val="8"/>
    <w:autoRedefine/>
    <w:qFormat/>
    <w:uiPriority w:val="0"/>
    <w:pPr>
      <w:numPr>
        <w:ilvl w:val="1"/>
        <w:numId w:val="1"/>
      </w:numPr>
      <w:tabs>
        <w:tab w:val="left" w:pos="630"/>
        <w:tab w:val="left" w:pos="840"/>
      </w:tabs>
      <w:outlineLvl w:val="1"/>
    </w:pPr>
    <w:rPr>
      <w:b/>
    </w:rPr>
  </w:style>
  <w:style w:type="paragraph" w:customStyle="1" w:styleId="8">
    <w:name w:val="标书6-正文"/>
    <w:basedOn w:val="4"/>
    <w:autoRedefine/>
    <w:qFormat/>
    <w:uiPriority w:val="0"/>
  </w:style>
  <w:style w:type="paragraph" w:customStyle="1" w:styleId="9">
    <w:name w:val="标书3-三级标题"/>
    <w:basedOn w:val="7"/>
    <w:next w:val="8"/>
    <w:autoRedefine/>
    <w:qFormat/>
    <w:uiPriority w:val="0"/>
    <w:pPr>
      <w:numPr>
        <w:ilvl w:val="2"/>
        <w:numId w:val="1"/>
      </w:numPr>
      <w:outlineLvl w:val="2"/>
    </w:pPr>
    <w:rPr>
      <w:b w:val="0"/>
    </w:rPr>
  </w:style>
  <w:style w:type="paragraph" w:customStyle="1" w:styleId="10">
    <w:name w:val="样式"/>
    <w:autoRedefine/>
    <w:qFormat/>
    <w:uiPriority w:val="0"/>
    <w:pPr>
      <w:widowControl w:val="0"/>
      <w:adjustRightInd w:val="0"/>
      <w:spacing w:line="360" w:lineRule="auto"/>
      <w:ind w:firstLine="482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1">
    <w:name w:val="表格文本"/>
    <w:autoRedefine/>
    <w:qFormat/>
    <w:uiPriority w:val="0"/>
    <w:rPr>
      <w:rFonts w:hint="eastAsia" w:ascii="宋体" w:hAnsi="宋体" w:eastAsia="宋体" w:cs="Times New Roman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2023-12-18T07:42:00Z</dcterms:created>
  <dc:creator>qszbrenshixingzheng</dc:creator>
  <cp:lastModifiedBy>qszbrenshixingzheng</cp:lastModifiedBy>
  <dcterms:modified xsi:type="dcterms:W3CDTF">2023-12-18T07:43:15Z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3416A02D546B42E8BD73501E4DA4138E_11</vt:lpwstr>
  </property>
</Properties>
</file>