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color w:val="auto"/>
        </w:rPr>
      </w:pPr>
      <w:r>
        <w:rPr>
          <w:color w:val="auto"/>
        </w:rPr>
        <w:t>附件</w:t>
      </w:r>
      <w:r>
        <w:rPr>
          <w:rFonts w:hint="eastAsia"/>
          <w:color w:val="auto"/>
        </w:rPr>
        <w:t>3：</w:t>
      </w:r>
    </w:p>
    <w:p>
      <w:pPr>
        <w:jc w:val="center"/>
        <w:rPr>
          <w:b/>
          <w:bCs/>
          <w:color w:val="auto"/>
        </w:rPr>
      </w:pPr>
      <w:r>
        <w:rPr>
          <w:rFonts w:hint="eastAsia"/>
          <w:b/>
          <w:bCs/>
          <w:color w:val="auto"/>
        </w:rPr>
        <w:t>废旧管道等（材质为：不锈钢、铁和塑料等）招年度处置商</w:t>
      </w:r>
    </w:p>
    <w:p>
      <w:pPr>
        <w:ind w:firstLine="420"/>
        <w:rPr>
          <w:color w:val="auto"/>
        </w:rPr>
      </w:pPr>
    </w:p>
    <w:p>
      <w:pPr>
        <w:pStyle w:val="6"/>
        <w:spacing w:line="360" w:lineRule="auto"/>
        <w:ind w:leftChars="-154" w:hanging="323" w:hangingChars="153"/>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 xml:space="preserve">一、废旧管道（非固定资产设备类）年度处理商（下称处理商）要求: </w:t>
      </w:r>
    </w:p>
    <w:p>
      <w:pPr>
        <w:pStyle w:val="2"/>
        <w:numPr>
          <w:ilvl w:val="0"/>
          <w:numId w:val="1"/>
        </w:numPr>
        <w:spacing w:line="360" w:lineRule="auto"/>
        <w:rPr>
          <w:color w:val="auto"/>
          <w:highlight w:val="none"/>
          <w:u w:val="single"/>
        </w:rPr>
      </w:pPr>
      <w:r>
        <w:rPr>
          <w:rFonts w:hint="eastAsia"/>
          <w:color w:val="auto"/>
          <w:highlight w:val="none"/>
          <w:u w:val="single"/>
        </w:rPr>
        <w:t>处理商需符合《椒环函〔</w:t>
      </w:r>
      <w:r>
        <w:rPr>
          <w:color w:val="auto"/>
          <w:highlight w:val="none"/>
          <w:u w:val="single"/>
        </w:rPr>
        <w:t>2023</w:t>
      </w:r>
      <w:r>
        <w:rPr>
          <w:rFonts w:hint="eastAsia"/>
          <w:color w:val="auto"/>
          <w:highlight w:val="none"/>
          <w:u w:val="single"/>
        </w:rPr>
        <w:t>〕</w:t>
      </w:r>
      <w:r>
        <w:rPr>
          <w:color w:val="auto"/>
          <w:highlight w:val="none"/>
          <w:u w:val="single"/>
        </w:rPr>
        <w:t>44</w:t>
      </w:r>
      <w:r>
        <w:rPr>
          <w:rFonts w:hint="eastAsia"/>
          <w:color w:val="auto"/>
          <w:highlight w:val="none"/>
          <w:u w:val="single"/>
        </w:rPr>
        <w:t>号关于进一步强化一般工业固体废物环境管理工作的通知》文件相关要求；</w:t>
      </w:r>
    </w:p>
    <w:p>
      <w:pPr>
        <w:pStyle w:val="2"/>
        <w:numPr>
          <w:ilvl w:val="0"/>
          <w:numId w:val="1"/>
        </w:numPr>
        <w:spacing w:line="360" w:lineRule="auto"/>
        <w:rPr>
          <w:color w:val="auto"/>
          <w:highlight w:val="none"/>
        </w:rPr>
      </w:pPr>
      <w:r>
        <w:rPr>
          <w:color w:val="auto"/>
          <w:highlight w:val="none"/>
        </w:rPr>
        <w:t>在浙江省固体废物监管信息系统登记，能在系统上开具转移联单</w:t>
      </w:r>
      <w:r>
        <w:rPr>
          <w:rFonts w:hint="eastAsia"/>
          <w:color w:val="auto"/>
          <w:highlight w:val="none"/>
        </w:rPr>
        <w:t>。（资质要求：需要提供系统登录页面截图）</w:t>
      </w:r>
    </w:p>
    <w:p>
      <w:pPr>
        <w:pStyle w:val="2"/>
        <w:numPr>
          <w:ilvl w:val="0"/>
          <w:numId w:val="1"/>
        </w:numPr>
        <w:spacing w:line="360" w:lineRule="auto"/>
        <w:rPr>
          <w:b/>
          <w:bCs/>
          <w:color w:val="auto"/>
          <w:szCs w:val="24"/>
          <w:highlight w:val="none"/>
        </w:rPr>
      </w:pPr>
      <w:r>
        <w:rPr>
          <w:color w:val="auto"/>
          <w:highlight w:val="none"/>
        </w:rPr>
        <w:t>具备处置生产性废旧金属资质</w:t>
      </w:r>
      <w:r>
        <w:rPr>
          <w:rFonts w:hint="eastAsia"/>
          <w:color w:val="auto"/>
          <w:highlight w:val="none"/>
        </w:rPr>
        <w:t>。（需要提供营业执照，具备处置资格）</w:t>
      </w:r>
    </w:p>
    <w:p>
      <w:pPr>
        <w:pStyle w:val="2"/>
        <w:numPr>
          <w:ilvl w:val="0"/>
          <w:numId w:val="1"/>
        </w:numPr>
        <w:spacing w:line="360" w:lineRule="auto"/>
        <w:rPr>
          <w:color w:val="auto"/>
          <w:highlight w:val="none"/>
          <w:u w:val="single"/>
        </w:rPr>
      </w:pPr>
      <w:r>
        <w:rPr>
          <w:rFonts w:hint="eastAsia"/>
          <w:color w:val="auto"/>
          <w:highlight w:val="none"/>
          <w:u w:val="single"/>
        </w:rPr>
        <w:t>处理商接收我公司废旧金属后，需符合以下要求：</w:t>
      </w:r>
    </w:p>
    <w:p>
      <w:pPr>
        <w:pStyle w:val="3"/>
        <w:spacing w:line="360" w:lineRule="auto"/>
        <w:rPr>
          <w:color w:val="auto"/>
          <w:highlight w:val="none"/>
          <w:u w:val="single"/>
        </w:rPr>
      </w:pPr>
      <w:r>
        <w:rPr>
          <w:color w:val="auto"/>
          <w:highlight w:val="none"/>
          <w:u w:val="single"/>
        </w:rPr>
        <w:t>①.</w:t>
      </w:r>
      <w:r>
        <w:rPr>
          <w:rFonts w:hint="eastAsia"/>
          <w:color w:val="auto"/>
          <w:highlight w:val="none"/>
          <w:u w:val="single"/>
        </w:rPr>
        <w:t>规范运输，确保车辆在运输过程中不产生抛撒，必要时加盖篷布，防止环境污染；</w:t>
      </w:r>
    </w:p>
    <w:p>
      <w:pPr>
        <w:pStyle w:val="3"/>
        <w:spacing w:line="360" w:lineRule="auto"/>
        <w:rPr>
          <w:color w:val="auto"/>
          <w:highlight w:val="none"/>
          <w:u w:val="single"/>
        </w:rPr>
      </w:pPr>
      <w:r>
        <w:rPr>
          <w:color w:val="auto"/>
          <w:highlight w:val="none"/>
          <w:u w:val="single"/>
        </w:rPr>
        <w:t>②.</w:t>
      </w:r>
      <w:r>
        <w:rPr>
          <w:rFonts w:hint="eastAsia"/>
          <w:color w:val="auto"/>
          <w:highlight w:val="none"/>
          <w:u w:val="single"/>
        </w:rPr>
        <w:t>废旧金属不许露天存放，临时储存仓库需符合环保、消防等规范要求，并提供仓库的照片、租赁协议或仓库产权等相关证明；</w:t>
      </w:r>
    </w:p>
    <w:p>
      <w:pPr>
        <w:pStyle w:val="3"/>
        <w:spacing w:line="360" w:lineRule="auto"/>
        <w:rPr>
          <w:color w:val="auto"/>
          <w:highlight w:val="none"/>
          <w:u w:val="single"/>
        </w:rPr>
      </w:pPr>
      <w:r>
        <w:rPr>
          <w:color w:val="auto"/>
          <w:highlight w:val="none"/>
          <w:u w:val="single"/>
        </w:rPr>
        <w:t>③.</w:t>
      </w:r>
      <w:r>
        <w:rPr>
          <w:rFonts w:hint="eastAsia"/>
          <w:color w:val="auto"/>
          <w:highlight w:val="none"/>
          <w:u w:val="single"/>
        </w:rPr>
        <w:t>不临时存放的废旧金属需直接送至钢铁厂熔炼；</w:t>
      </w:r>
    </w:p>
    <w:p>
      <w:pPr>
        <w:pStyle w:val="3"/>
        <w:spacing w:line="360" w:lineRule="auto"/>
        <w:rPr>
          <w:color w:val="auto"/>
          <w:highlight w:val="none"/>
          <w:u w:val="single"/>
        </w:rPr>
      </w:pPr>
      <w:r>
        <w:rPr>
          <w:color w:val="auto"/>
          <w:highlight w:val="none"/>
          <w:u w:val="single"/>
        </w:rPr>
        <w:t>④.</w:t>
      </w:r>
      <w:r>
        <w:rPr>
          <w:rFonts w:hint="eastAsia"/>
          <w:color w:val="auto"/>
          <w:highlight w:val="none"/>
          <w:u w:val="single"/>
        </w:rPr>
        <w:t>对后续运输和存放不当引起的后果负全部责任。</w:t>
      </w:r>
    </w:p>
    <w:p>
      <w:pPr>
        <w:pStyle w:val="2"/>
        <w:numPr>
          <w:ilvl w:val="0"/>
          <w:numId w:val="1"/>
        </w:numPr>
        <w:spacing w:line="360" w:lineRule="auto"/>
        <w:rPr>
          <w:b/>
          <w:bCs/>
          <w:color w:val="auto"/>
          <w:szCs w:val="24"/>
          <w:highlight w:val="none"/>
        </w:rPr>
      </w:pPr>
      <w:r>
        <w:rPr>
          <w:rFonts w:hint="eastAsia"/>
          <w:color w:val="auto"/>
          <w:highlight w:val="none"/>
        </w:rPr>
        <w:t>固废上的保温材料等无价值垃圾需要由处理商在现场剥离，剥离后需要处理商进行装袋存放到厂区内指定垃圾堆场，并将现场卫生清理干净，后续固废垃圾由海正自行处理（EHS已确认固废处理厂家，处理台账由EHS保管）。</w:t>
      </w:r>
    </w:p>
    <w:p>
      <w:pPr>
        <w:pStyle w:val="2"/>
        <w:numPr>
          <w:ilvl w:val="0"/>
          <w:numId w:val="1"/>
        </w:numPr>
        <w:spacing w:line="360" w:lineRule="auto"/>
        <w:rPr>
          <w:b/>
          <w:bCs/>
          <w:color w:val="auto"/>
          <w:szCs w:val="24"/>
          <w:highlight w:val="none"/>
        </w:rPr>
      </w:pPr>
      <w:r>
        <w:rPr>
          <w:rFonts w:hint="eastAsia"/>
          <w:color w:val="auto"/>
          <w:highlight w:val="none"/>
        </w:rPr>
        <w:t>处理商进入海正厂区必须先签订EHS协议并缴纳E</w:t>
      </w:r>
      <w:r>
        <w:rPr>
          <w:color w:val="auto"/>
          <w:highlight w:val="none"/>
        </w:rPr>
        <w:t>HS</w:t>
      </w:r>
      <w:r>
        <w:rPr>
          <w:rFonts w:hint="eastAsia"/>
          <w:color w:val="auto"/>
          <w:highlight w:val="none"/>
        </w:rPr>
        <w:t>押金。</w:t>
      </w:r>
    </w:p>
    <w:p>
      <w:pPr>
        <w:pStyle w:val="2"/>
        <w:numPr>
          <w:ilvl w:val="0"/>
          <w:numId w:val="1"/>
        </w:numPr>
        <w:spacing w:line="360" w:lineRule="auto"/>
        <w:rPr>
          <w:b/>
          <w:bCs/>
          <w:color w:val="auto"/>
          <w:szCs w:val="24"/>
          <w:highlight w:val="none"/>
          <w:u w:val="single"/>
        </w:rPr>
      </w:pPr>
      <w:r>
        <w:rPr>
          <w:rFonts w:hint="eastAsia"/>
          <w:color w:val="auto"/>
          <w:highlight w:val="none"/>
          <w:u w:val="single"/>
        </w:rPr>
        <w:t>涉及动火、登高等特种作业，处理商必须持证上岗，待海正开具作业证后方可开工；设备切割动火仅限</w:t>
      </w:r>
      <w:r>
        <w:rPr>
          <w:color w:val="auto"/>
          <w:highlight w:val="none"/>
          <w:u w:val="single"/>
        </w:rPr>
        <w:t>Y13</w:t>
      </w:r>
      <w:r>
        <w:rPr>
          <w:rFonts w:hint="eastAsia"/>
          <w:color w:val="auto"/>
          <w:highlight w:val="none"/>
          <w:u w:val="single"/>
        </w:rPr>
        <w:t>岩头安装公司堆场区域（此区域可不开动火作业证）。</w:t>
      </w:r>
    </w:p>
    <w:p>
      <w:pPr>
        <w:pStyle w:val="6"/>
        <w:spacing w:line="360" w:lineRule="auto"/>
        <w:ind w:leftChars="-154" w:hanging="323" w:hangingChars="153"/>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二、优化处理方式：</w:t>
      </w:r>
    </w:p>
    <w:p>
      <w:pPr>
        <w:pStyle w:val="2"/>
        <w:spacing w:line="360" w:lineRule="auto"/>
        <w:ind w:firstLine="210" w:firstLineChars="100"/>
        <w:rPr>
          <w:b/>
          <w:bCs/>
          <w:color w:val="auto"/>
          <w:szCs w:val="24"/>
          <w:highlight w:val="none"/>
        </w:rPr>
      </w:pPr>
      <w:r>
        <w:rPr>
          <w:rFonts w:hint="eastAsia"/>
          <w:color w:val="auto"/>
          <w:highlight w:val="none"/>
        </w:rPr>
        <w:t>海正会对拆除下来的固废垃圾原则按照不同的材质特性进行分类堆放，达到一定数量后，选择中标的废旧管道（非固定资产设备类）年度处理商（下称处理商）进行处理；</w:t>
      </w:r>
      <w:r>
        <w:rPr>
          <w:rFonts w:hint="eastAsia"/>
          <w:color w:val="auto"/>
          <w:highlight w:val="none"/>
          <w:u w:val="single"/>
        </w:rPr>
        <w:t>对于拆除下来的固废垃圾没有办法进行及时分类的，由海正多部门和处理商一起评估再与处理商协商一致，</w:t>
      </w:r>
      <w:r>
        <w:rPr>
          <w:rFonts w:hint="eastAsia"/>
          <w:color w:val="auto"/>
          <w:highlight w:val="none"/>
        </w:rPr>
        <w:t>共同确认不锈钢/铁/非金属的比例，确认后由处理商快速安排处理。</w:t>
      </w:r>
    </w:p>
    <w:p>
      <w:pPr>
        <w:spacing w:line="360" w:lineRule="auto"/>
        <w:ind w:hanging="284"/>
        <w:rPr>
          <w:color w:val="auto"/>
          <w:highlight w:val="none"/>
        </w:rPr>
      </w:pPr>
      <w:r>
        <w:rPr>
          <w:rFonts w:hint="eastAsia"/>
          <w:b/>
          <w:bCs/>
          <w:color w:val="auto"/>
          <w:highlight w:val="none"/>
        </w:rPr>
        <w:t>三、价格的确认</w:t>
      </w:r>
      <w:r>
        <w:rPr>
          <w:rFonts w:hint="eastAsia"/>
          <w:color w:val="auto"/>
          <w:highlight w:val="none"/>
        </w:rPr>
        <w:t>：</w:t>
      </w:r>
    </w:p>
    <w:p>
      <w:pPr>
        <w:spacing w:line="360" w:lineRule="auto"/>
        <w:ind w:firstLine="420"/>
        <w:rPr>
          <w:b/>
          <w:bCs/>
          <w:color w:val="auto"/>
          <w:highlight w:val="none"/>
        </w:rPr>
      </w:pPr>
      <w:r>
        <w:rPr>
          <w:rFonts w:hint="eastAsia"/>
          <w:b/>
          <w:bCs/>
          <w:color w:val="auto"/>
          <w:highlight w:val="none"/>
        </w:rPr>
        <w:t xml:space="preserve">对于废旧物资中不含塑料等其他需要处理的情况：按照 </w:t>
      </w:r>
      <w:r>
        <w:rPr>
          <w:rFonts w:hint="eastAsia"/>
          <w:b/>
          <w:bCs/>
          <w:color w:val="auto"/>
          <w:highlight w:val="none"/>
          <w:u w:val="single"/>
        </w:rPr>
        <w:t xml:space="preserve">http://baojia.feijiu.net/ </w:t>
      </w:r>
      <w:r>
        <w:rPr>
          <w:rFonts w:hint="eastAsia"/>
          <w:b/>
          <w:bCs/>
          <w:color w:val="auto"/>
          <w:highlight w:val="none"/>
        </w:rPr>
        <w:t>废旧物资网上与现场查看日最近的日期参考价为市场基准价，先查询台州地区“统一废铁”“304回炉料”报价，在此基准价上处理商进行浮动报价（上浮或下浮百分比），并确定过磅综合单价。（见下表1）</w:t>
      </w:r>
    </w:p>
    <w:p>
      <w:pPr>
        <w:pStyle w:val="2"/>
        <w:spacing w:line="360" w:lineRule="auto"/>
        <w:rPr>
          <w:b/>
          <w:bCs/>
          <w:color w:val="auto"/>
          <w:highlight w:val="none"/>
        </w:rPr>
      </w:pPr>
      <w:r>
        <w:rPr>
          <w:rFonts w:hint="eastAsia"/>
          <w:b/>
          <w:bCs/>
          <w:color w:val="auto"/>
          <w:highlight w:val="none"/>
        </w:rPr>
        <w:t>市场基准价定义：海正三地（椒江、富阳、南通三个厂区）的市场基准价全部按照</w:t>
      </w:r>
      <w:r>
        <w:rPr>
          <w:rFonts w:hint="eastAsia"/>
          <w:b/>
          <w:bCs/>
          <w:color w:val="auto"/>
          <w:highlight w:val="none"/>
          <w:u w:val="single"/>
        </w:rPr>
        <w:t>http://baojia.feijiu.net/</w:t>
      </w:r>
      <w:r>
        <w:rPr>
          <w:rFonts w:hint="eastAsia"/>
          <w:b/>
          <w:bCs/>
          <w:color w:val="auto"/>
          <w:highlight w:val="none"/>
        </w:rPr>
        <w:t>台州地区最近日期网站 “统一废铁”“</w:t>
      </w:r>
      <w:r>
        <w:rPr>
          <w:b/>
          <w:bCs/>
          <w:color w:val="auto"/>
          <w:highlight w:val="none"/>
        </w:rPr>
        <w:t>304</w:t>
      </w:r>
      <w:r>
        <w:rPr>
          <w:rFonts w:hint="eastAsia"/>
          <w:b/>
          <w:bCs/>
          <w:color w:val="auto"/>
          <w:highlight w:val="none"/>
        </w:rPr>
        <w:t>回炉料”价格的范围中值计算。</w:t>
      </w:r>
    </w:p>
    <w:p>
      <w:pPr>
        <w:pStyle w:val="2"/>
        <w:spacing w:line="360" w:lineRule="auto"/>
        <w:rPr>
          <w:color w:val="auto"/>
          <w:highlight w:val="none"/>
        </w:rPr>
      </w:pPr>
      <w:r>
        <w:rPr>
          <w:rFonts w:hint="eastAsia"/>
          <w:b/>
          <w:bCs/>
          <w:color w:val="auto"/>
          <w:highlight w:val="none"/>
        </w:rPr>
        <w:t>如无最近一周台州报价，则扩展到浙江报价（台州周边城市），无浙江报价的扩展到江浙沪报价；如都没有报价的，报价时间范围扩大7天，仍按台州-浙江-江浙沪顺序搜索基准价，以此类推，直至确定基准价。</w:t>
      </w:r>
    </w:p>
    <w:p>
      <w:pPr>
        <w:spacing w:line="360" w:lineRule="auto"/>
        <w:ind w:firstLine="420"/>
        <w:rPr>
          <w:b/>
          <w:bCs/>
          <w:color w:val="auto"/>
          <w:highlight w:val="none"/>
        </w:rPr>
      </w:pPr>
      <w:r>
        <w:rPr>
          <w:rFonts w:hint="eastAsia"/>
          <w:b/>
          <w:bCs/>
          <w:color w:val="auto"/>
          <w:highlight w:val="none"/>
        </w:rPr>
        <w:t>表1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328"/>
        <w:gridCol w:w="2040"/>
        <w:gridCol w:w="1728"/>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序号</w:t>
            </w:r>
          </w:p>
        </w:tc>
        <w:tc>
          <w:tcPr>
            <w:tcW w:w="2328" w:type="dxa"/>
          </w:tcPr>
          <w:p>
            <w:pPr>
              <w:spacing w:line="360" w:lineRule="auto"/>
              <w:rPr>
                <w:color w:val="auto"/>
                <w:highlight w:val="none"/>
              </w:rPr>
            </w:pPr>
            <w:r>
              <w:rPr>
                <w:rFonts w:hint="eastAsia"/>
                <w:color w:val="auto"/>
                <w:highlight w:val="none"/>
              </w:rPr>
              <w:t>废旧物资材质组成</w:t>
            </w:r>
            <w:r>
              <w:rPr>
                <w:rFonts w:hint="eastAsia"/>
                <w:b/>
                <w:bCs/>
                <w:color w:val="auto"/>
                <w:highlight w:val="none"/>
              </w:rPr>
              <w:t>重量</w:t>
            </w:r>
            <w:r>
              <w:rPr>
                <w:rFonts w:hint="eastAsia"/>
                <w:color w:val="auto"/>
                <w:highlight w:val="none"/>
              </w:rPr>
              <w:t>比例：</w:t>
            </w:r>
          </w:p>
          <w:p>
            <w:pPr>
              <w:spacing w:line="360" w:lineRule="auto"/>
              <w:rPr>
                <w:color w:val="auto"/>
                <w:highlight w:val="none"/>
              </w:rPr>
            </w:pPr>
            <w:r>
              <w:rPr>
                <w:rFonts w:hint="eastAsia"/>
                <w:color w:val="auto"/>
                <w:highlight w:val="none"/>
              </w:rPr>
              <w:t>304不锈钢/废铁</w:t>
            </w:r>
          </w:p>
        </w:tc>
        <w:tc>
          <w:tcPr>
            <w:tcW w:w="2040" w:type="dxa"/>
          </w:tcPr>
          <w:p>
            <w:pPr>
              <w:spacing w:line="360" w:lineRule="auto"/>
              <w:rPr>
                <w:color w:val="auto"/>
                <w:highlight w:val="none"/>
              </w:rPr>
            </w:pPr>
            <w:r>
              <w:rPr>
                <w:rFonts w:hint="eastAsia"/>
                <w:color w:val="auto"/>
                <w:highlight w:val="none"/>
              </w:rPr>
              <w:t>304不锈钢市场基准单价浮动比例（%）</w:t>
            </w:r>
          </w:p>
        </w:tc>
        <w:tc>
          <w:tcPr>
            <w:tcW w:w="1728" w:type="dxa"/>
          </w:tcPr>
          <w:p>
            <w:pPr>
              <w:spacing w:line="360" w:lineRule="auto"/>
              <w:rPr>
                <w:color w:val="auto"/>
                <w:highlight w:val="none"/>
              </w:rPr>
            </w:pPr>
            <w:r>
              <w:rPr>
                <w:rFonts w:hint="eastAsia"/>
                <w:color w:val="auto"/>
                <w:highlight w:val="none"/>
              </w:rPr>
              <w:t>废铁市场基准单价浮动比例（%）</w:t>
            </w:r>
          </w:p>
        </w:tc>
        <w:tc>
          <w:tcPr>
            <w:tcW w:w="1516" w:type="dxa"/>
          </w:tcPr>
          <w:p>
            <w:pPr>
              <w:spacing w:line="360" w:lineRule="auto"/>
              <w:rPr>
                <w:color w:val="auto"/>
                <w:highlight w:val="none"/>
              </w:rPr>
            </w:pPr>
            <w:r>
              <w:rPr>
                <w:rFonts w:hint="eastAsia"/>
                <w:color w:val="auto"/>
                <w:highlight w:val="none"/>
              </w:rPr>
              <w:t>过磅综合单价</w:t>
            </w:r>
          </w:p>
          <w:p>
            <w:pPr>
              <w:spacing w:line="360" w:lineRule="auto"/>
              <w:rPr>
                <w:color w:val="auto"/>
                <w:highlight w:val="none"/>
              </w:rPr>
            </w:pPr>
            <w:r>
              <w:rPr>
                <w:rFonts w:hint="eastAsia"/>
                <w:color w:val="auto"/>
                <w:highlight w:val="none"/>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1</w:t>
            </w:r>
          </w:p>
        </w:tc>
        <w:tc>
          <w:tcPr>
            <w:tcW w:w="2328" w:type="dxa"/>
          </w:tcPr>
          <w:p>
            <w:pPr>
              <w:spacing w:line="360" w:lineRule="auto"/>
              <w:rPr>
                <w:color w:val="auto"/>
                <w:highlight w:val="none"/>
              </w:rPr>
            </w:pPr>
            <w:r>
              <w:rPr>
                <w:rFonts w:hint="eastAsia"/>
                <w:color w:val="auto"/>
                <w:highlight w:val="none"/>
              </w:rPr>
              <w:t>1.0/0.0</w:t>
            </w:r>
          </w:p>
        </w:tc>
        <w:tc>
          <w:tcPr>
            <w:tcW w:w="2040" w:type="dxa"/>
            <w:vMerge w:val="restart"/>
          </w:tcPr>
          <w:p>
            <w:pPr>
              <w:spacing w:line="360" w:lineRule="auto"/>
              <w:rPr>
                <w:color w:val="auto"/>
                <w:highlight w:val="none"/>
              </w:rPr>
            </w:pPr>
            <w:r>
              <w:rPr>
                <w:rFonts w:hint="eastAsia"/>
                <w:color w:val="auto"/>
                <w:highlight w:val="none"/>
              </w:rPr>
              <w:t>（此处由处理商填写浮动比例，比如，基准单价下浮10%的填写“-10%”，上浮1</w:t>
            </w:r>
            <w:r>
              <w:rPr>
                <w:color w:val="auto"/>
                <w:highlight w:val="none"/>
              </w:rPr>
              <w:t>0%</w:t>
            </w:r>
            <w:r>
              <w:rPr>
                <w:rFonts w:hint="eastAsia"/>
                <w:color w:val="auto"/>
                <w:highlight w:val="none"/>
              </w:rPr>
              <w:t>的，填写“1</w:t>
            </w:r>
            <w:r>
              <w:rPr>
                <w:color w:val="auto"/>
                <w:highlight w:val="none"/>
              </w:rPr>
              <w:t>0%</w:t>
            </w:r>
            <w:r>
              <w:rPr>
                <w:rFonts w:hint="eastAsia"/>
                <w:color w:val="auto"/>
                <w:highlight w:val="none"/>
              </w:rPr>
              <w:t>”）</w:t>
            </w:r>
          </w:p>
        </w:tc>
        <w:tc>
          <w:tcPr>
            <w:tcW w:w="1728" w:type="dxa"/>
            <w:vMerge w:val="restart"/>
          </w:tcPr>
          <w:p>
            <w:pPr>
              <w:spacing w:line="360" w:lineRule="auto"/>
              <w:rPr>
                <w:color w:val="auto"/>
                <w:highlight w:val="none"/>
              </w:rPr>
            </w:pPr>
            <w:r>
              <w:rPr>
                <w:rFonts w:hint="eastAsia"/>
                <w:color w:val="auto"/>
                <w:highlight w:val="none"/>
              </w:rPr>
              <w:t>（此处由处理商填写浮动比例，比如，基准单价下浮10%的填写“-10%”，上浮1</w:t>
            </w:r>
            <w:r>
              <w:rPr>
                <w:color w:val="auto"/>
                <w:highlight w:val="none"/>
              </w:rPr>
              <w:t>0%</w:t>
            </w:r>
            <w:r>
              <w:rPr>
                <w:rFonts w:hint="eastAsia"/>
                <w:color w:val="auto"/>
                <w:highlight w:val="none"/>
              </w:rPr>
              <w:t>的，填写“1</w:t>
            </w:r>
            <w:r>
              <w:rPr>
                <w:color w:val="auto"/>
                <w:highlight w:val="none"/>
              </w:rPr>
              <w:t>0%</w:t>
            </w:r>
            <w:r>
              <w:rPr>
                <w:rFonts w:hint="eastAsia"/>
                <w:color w:val="auto"/>
                <w:highlight w:val="none"/>
              </w:rPr>
              <w:t>”）</w:t>
            </w:r>
          </w:p>
        </w:tc>
        <w:tc>
          <w:tcPr>
            <w:tcW w:w="1516" w:type="dxa"/>
            <w:vMerge w:val="restart"/>
          </w:tcPr>
          <w:p>
            <w:pPr>
              <w:spacing w:line="360" w:lineRule="auto"/>
              <w:rPr>
                <w:color w:val="auto"/>
                <w:highlight w:val="none"/>
              </w:rPr>
            </w:pPr>
            <w:r>
              <w:rPr>
                <w:rFonts w:hint="eastAsia"/>
                <w:color w:val="auto"/>
                <w:highlight w:val="none"/>
              </w:rPr>
              <w:t>（此处由公式计算，无需填写）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07" w:type="dxa"/>
          </w:tcPr>
          <w:p>
            <w:pPr>
              <w:spacing w:line="360" w:lineRule="auto"/>
              <w:rPr>
                <w:color w:val="auto"/>
                <w:highlight w:val="none"/>
              </w:rPr>
            </w:pPr>
            <w:r>
              <w:rPr>
                <w:rFonts w:hint="eastAsia"/>
                <w:color w:val="auto"/>
                <w:highlight w:val="none"/>
              </w:rPr>
              <w:t>2</w:t>
            </w:r>
          </w:p>
        </w:tc>
        <w:tc>
          <w:tcPr>
            <w:tcW w:w="2328" w:type="dxa"/>
          </w:tcPr>
          <w:p>
            <w:pPr>
              <w:spacing w:line="360" w:lineRule="auto"/>
              <w:rPr>
                <w:color w:val="auto"/>
                <w:highlight w:val="none"/>
              </w:rPr>
            </w:pPr>
            <w:r>
              <w:rPr>
                <w:rFonts w:hint="eastAsia"/>
                <w:color w:val="auto"/>
                <w:highlight w:val="none"/>
              </w:rPr>
              <w:t>0.9/0.1</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3</w:t>
            </w:r>
          </w:p>
        </w:tc>
        <w:tc>
          <w:tcPr>
            <w:tcW w:w="2328" w:type="dxa"/>
          </w:tcPr>
          <w:p>
            <w:pPr>
              <w:spacing w:line="360" w:lineRule="auto"/>
              <w:rPr>
                <w:color w:val="auto"/>
                <w:highlight w:val="none"/>
              </w:rPr>
            </w:pPr>
            <w:r>
              <w:rPr>
                <w:rFonts w:hint="eastAsia"/>
                <w:color w:val="auto"/>
                <w:highlight w:val="none"/>
              </w:rPr>
              <w:t>0.8/0.2</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4</w:t>
            </w:r>
          </w:p>
        </w:tc>
        <w:tc>
          <w:tcPr>
            <w:tcW w:w="2328" w:type="dxa"/>
          </w:tcPr>
          <w:p>
            <w:pPr>
              <w:spacing w:line="360" w:lineRule="auto"/>
              <w:rPr>
                <w:color w:val="auto"/>
                <w:highlight w:val="none"/>
              </w:rPr>
            </w:pPr>
            <w:r>
              <w:rPr>
                <w:rFonts w:hint="eastAsia"/>
                <w:color w:val="auto"/>
                <w:highlight w:val="none"/>
              </w:rPr>
              <w:t>0.7/0.3</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5</w:t>
            </w:r>
          </w:p>
        </w:tc>
        <w:tc>
          <w:tcPr>
            <w:tcW w:w="2328" w:type="dxa"/>
          </w:tcPr>
          <w:p>
            <w:pPr>
              <w:spacing w:line="360" w:lineRule="auto"/>
              <w:rPr>
                <w:color w:val="auto"/>
                <w:highlight w:val="none"/>
              </w:rPr>
            </w:pPr>
            <w:r>
              <w:rPr>
                <w:rFonts w:hint="eastAsia"/>
                <w:color w:val="auto"/>
                <w:highlight w:val="none"/>
              </w:rPr>
              <w:t>0.6/0.4</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6</w:t>
            </w:r>
          </w:p>
        </w:tc>
        <w:tc>
          <w:tcPr>
            <w:tcW w:w="2328" w:type="dxa"/>
          </w:tcPr>
          <w:p>
            <w:pPr>
              <w:spacing w:line="360" w:lineRule="auto"/>
              <w:rPr>
                <w:color w:val="auto"/>
                <w:highlight w:val="none"/>
              </w:rPr>
            </w:pPr>
            <w:r>
              <w:rPr>
                <w:rFonts w:hint="eastAsia"/>
                <w:color w:val="auto"/>
                <w:highlight w:val="none"/>
              </w:rPr>
              <w:t>0.5/0.5</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7</w:t>
            </w:r>
          </w:p>
        </w:tc>
        <w:tc>
          <w:tcPr>
            <w:tcW w:w="2328" w:type="dxa"/>
          </w:tcPr>
          <w:p>
            <w:pPr>
              <w:spacing w:line="360" w:lineRule="auto"/>
              <w:rPr>
                <w:color w:val="auto"/>
                <w:highlight w:val="none"/>
              </w:rPr>
            </w:pPr>
            <w:r>
              <w:rPr>
                <w:rFonts w:hint="eastAsia"/>
                <w:color w:val="auto"/>
                <w:highlight w:val="none"/>
              </w:rPr>
              <w:t>0.4/0.6</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8</w:t>
            </w:r>
          </w:p>
        </w:tc>
        <w:tc>
          <w:tcPr>
            <w:tcW w:w="2328" w:type="dxa"/>
          </w:tcPr>
          <w:p>
            <w:pPr>
              <w:spacing w:line="360" w:lineRule="auto"/>
              <w:rPr>
                <w:color w:val="auto"/>
                <w:highlight w:val="none"/>
              </w:rPr>
            </w:pPr>
            <w:r>
              <w:rPr>
                <w:rFonts w:hint="eastAsia"/>
                <w:color w:val="auto"/>
                <w:highlight w:val="none"/>
              </w:rPr>
              <w:t>0.3/0.7</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9</w:t>
            </w:r>
          </w:p>
        </w:tc>
        <w:tc>
          <w:tcPr>
            <w:tcW w:w="2328" w:type="dxa"/>
          </w:tcPr>
          <w:p>
            <w:pPr>
              <w:spacing w:line="360" w:lineRule="auto"/>
              <w:rPr>
                <w:color w:val="auto"/>
                <w:highlight w:val="none"/>
              </w:rPr>
            </w:pPr>
            <w:r>
              <w:rPr>
                <w:rFonts w:hint="eastAsia"/>
                <w:color w:val="auto"/>
                <w:highlight w:val="none"/>
              </w:rPr>
              <w:t>0.2/0.8</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10</w:t>
            </w:r>
          </w:p>
        </w:tc>
        <w:tc>
          <w:tcPr>
            <w:tcW w:w="2328" w:type="dxa"/>
          </w:tcPr>
          <w:p>
            <w:pPr>
              <w:spacing w:line="360" w:lineRule="auto"/>
              <w:rPr>
                <w:color w:val="auto"/>
                <w:highlight w:val="none"/>
              </w:rPr>
            </w:pPr>
            <w:r>
              <w:rPr>
                <w:rFonts w:hint="eastAsia"/>
                <w:color w:val="auto"/>
                <w:highlight w:val="none"/>
              </w:rPr>
              <w:t>0.1/0.9</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11</w:t>
            </w:r>
          </w:p>
        </w:tc>
        <w:tc>
          <w:tcPr>
            <w:tcW w:w="2328" w:type="dxa"/>
          </w:tcPr>
          <w:p>
            <w:pPr>
              <w:spacing w:line="360" w:lineRule="auto"/>
              <w:rPr>
                <w:color w:val="auto"/>
                <w:highlight w:val="none"/>
              </w:rPr>
            </w:pPr>
            <w:r>
              <w:rPr>
                <w:rFonts w:hint="eastAsia"/>
                <w:color w:val="auto"/>
                <w:highlight w:val="none"/>
              </w:rPr>
              <w:t>0.0/1.0</w:t>
            </w:r>
          </w:p>
        </w:tc>
        <w:tc>
          <w:tcPr>
            <w:tcW w:w="2040" w:type="dxa"/>
            <w:vMerge w:val="continue"/>
          </w:tcPr>
          <w:p>
            <w:pPr>
              <w:spacing w:line="360" w:lineRule="auto"/>
              <w:rPr>
                <w:color w:val="auto"/>
                <w:highlight w:val="none"/>
              </w:rPr>
            </w:pPr>
          </w:p>
        </w:tc>
        <w:tc>
          <w:tcPr>
            <w:tcW w:w="1728" w:type="dxa"/>
            <w:vMerge w:val="continue"/>
          </w:tcPr>
          <w:p>
            <w:pPr>
              <w:spacing w:line="360" w:lineRule="auto"/>
              <w:rPr>
                <w:color w:val="auto"/>
                <w:highlight w:val="none"/>
              </w:rPr>
            </w:pPr>
          </w:p>
        </w:tc>
        <w:tc>
          <w:tcPr>
            <w:tcW w:w="1516" w:type="dxa"/>
            <w:vMerge w:val="continue"/>
          </w:tcPr>
          <w:p>
            <w:pPr>
              <w:spacing w:line="360" w:lineRule="auto"/>
              <w:rPr>
                <w:color w:val="auto"/>
                <w:highlight w:val="none"/>
              </w:rPr>
            </w:pPr>
          </w:p>
        </w:tc>
      </w:tr>
    </w:tbl>
    <w:p>
      <w:pPr>
        <w:spacing w:line="360" w:lineRule="auto"/>
        <w:ind w:firstLine="420"/>
        <w:rPr>
          <w:b/>
          <w:bCs/>
          <w:color w:val="auto"/>
          <w:highlight w:val="none"/>
        </w:rPr>
      </w:pPr>
      <w:r>
        <w:rPr>
          <w:rFonts w:hint="eastAsia"/>
          <w:b/>
          <w:bCs/>
          <w:color w:val="auto"/>
          <w:highlight w:val="none"/>
        </w:rPr>
        <w:t>计算举例：</w:t>
      </w:r>
    </w:p>
    <w:p>
      <w:pPr>
        <w:spacing w:line="360" w:lineRule="auto"/>
        <w:ind w:firstLine="420"/>
        <w:rPr>
          <w:color w:val="auto"/>
          <w:highlight w:val="none"/>
        </w:rPr>
      </w:pPr>
      <w:r>
        <w:rPr>
          <w:rFonts w:hint="eastAsia"/>
          <w:color w:val="auto"/>
          <w:highlight w:val="none"/>
        </w:rPr>
        <w:t>基础信息2020/9/18废旧物资网304不锈钢市场基准价7000元/吨，废铁1700元/吨。</w:t>
      </w:r>
    </w:p>
    <w:p>
      <w:pPr>
        <w:spacing w:line="360" w:lineRule="auto"/>
        <w:ind w:firstLine="420"/>
        <w:rPr>
          <w:color w:val="auto"/>
          <w:highlight w:val="none"/>
        </w:rPr>
      </w:pPr>
      <w:r>
        <w:rPr>
          <w:rFonts w:hint="eastAsia"/>
          <w:color w:val="auto"/>
          <w:highlight w:val="none"/>
        </w:rPr>
        <w:t>对于304不锈钢/废铁重量比例为0.7/0.3的废旧物资堆，A处理商报价304不锈钢在基准价上浮动</w:t>
      </w:r>
      <w:r>
        <w:rPr>
          <w:color w:val="auto"/>
          <w:highlight w:val="none"/>
        </w:rPr>
        <w:t>+</w:t>
      </w:r>
      <w:r>
        <w:rPr>
          <w:rFonts w:hint="eastAsia"/>
          <w:color w:val="auto"/>
          <w:highlight w:val="none"/>
        </w:rPr>
        <w:t>10%，废铁在基准价上浮动</w:t>
      </w:r>
      <w:r>
        <w:rPr>
          <w:color w:val="auto"/>
          <w:highlight w:val="none"/>
        </w:rPr>
        <w:t>+</w:t>
      </w:r>
      <w:r>
        <w:rPr>
          <w:rFonts w:hint="eastAsia"/>
          <w:color w:val="auto"/>
          <w:highlight w:val="none"/>
        </w:rPr>
        <w:t>8%，那么</w:t>
      </w:r>
    </w:p>
    <w:p>
      <w:pPr>
        <w:spacing w:line="360" w:lineRule="auto"/>
        <w:ind w:firstLine="420"/>
        <w:rPr>
          <w:i/>
          <w:iCs/>
          <w:color w:val="auto"/>
          <w:highlight w:val="none"/>
        </w:rPr>
      </w:pPr>
      <w:r>
        <w:rPr>
          <w:rFonts w:hint="eastAsia"/>
          <w:i/>
          <w:iCs/>
          <w:color w:val="auto"/>
          <w:highlight w:val="none"/>
        </w:rPr>
        <w:t>过磅综合单价=(1</w:t>
      </w:r>
      <w:r>
        <w:rPr>
          <w:i/>
          <w:iCs/>
          <w:color w:val="auto"/>
          <w:highlight w:val="none"/>
        </w:rPr>
        <w:t>+</w:t>
      </w:r>
      <w:r>
        <w:rPr>
          <w:rFonts w:hint="eastAsia"/>
          <w:i/>
          <w:iCs/>
          <w:color w:val="auto"/>
          <w:highlight w:val="none"/>
        </w:rPr>
        <w:t>10%)*7000*0.7+(1</w:t>
      </w:r>
      <w:r>
        <w:rPr>
          <w:i/>
          <w:iCs/>
          <w:color w:val="auto"/>
          <w:highlight w:val="none"/>
        </w:rPr>
        <w:t>+</w:t>
      </w:r>
      <w:r>
        <w:rPr>
          <w:rFonts w:hint="eastAsia"/>
          <w:i/>
          <w:iCs/>
          <w:color w:val="auto"/>
          <w:highlight w:val="none"/>
        </w:rPr>
        <w:t>8%)*1700*0.3=</w:t>
      </w:r>
      <w:r>
        <w:rPr>
          <w:i/>
          <w:iCs/>
          <w:color w:val="auto"/>
          <w:highlight w:val="none"/>
        </w:rPr>
        <w:t>5940.8</w:t>
      </w:r>
      <w:r>
        <w:rPr>
          <w:rFonts w:hint="eastAsia"/>
          <w:i/>
          <w:iCs/>
          <w:color w:val="auto"/>
          <w:highlight w:val="none"/>
        </w:rPr>
        <w:t>元/吨</w:t>
      </w:r>
    </w:p>
    <w:p>
      <w:pPr>
        <w:spacing w:line="360" w:lineRule="auto"/>
        <w:ind w:firstLine="420"/>
        <w:rPr>
          <w:b/>
          <w:bCs/>
          <w:color w:val="auto"/>
          <w:highlight w:val="none"/>
        </w:rPr>
      </w:pPr>
    </w:p>
    <w:p>
      <w:pPr>
        <w:spacing w:line="360" w:lineRule="auto"/>
        <w:ind w:firstLine="420"/>
        <w:rPr>
          <w:b/>
          <w:bCs/>
          <w:color w:val="auto"/>
          <w:highlight w:val="none"/>
        </w:rPr>
      </w:pPr>
      <w:r>
        <w:rPr>
          <w:rFonts w:hint="eastAsia"/>
          <w:b/>
          <w:bCs/>
          <w:color w:val="auto"/>
          <w:highlight w:val="none"/>
        </w:rPr>
        <w:t>对于废旧物资中含塑料、玻璃钢等其他需要处理的情况：金属类作为整体参考表1比例进行操作，占比的需要处理的塑料、玻璃钢等其他非金属物资（需要玻璃的垃圾除外，下同），在表1过磅综合单价的基础上下浮，确定含非金属整体过磅综合单价。</w:t>
      </w:r>
    </w:p>
    <w:p>
      <w:pPr>
        <w:spacing w:line="360" w:lineRule="auto"/>
        <w:ind w:firstLine="420"/>
        <w:rPr>
          <w:rFonts w:hint="eastAsia"/>
          <w:b/>
          <w:bCs/>
          <w:color w:val="auto"/>
          <w:highlight w:val="none"/>
        </w:rPr>
      </w:pPr>
    </w:p>
    <w:p>
      <w:pPr>
        <w:spacing w:line="360" w:lineRule="auto"/>
        <w:ind w:firstLine="420"/>
        <w:rPr>
          <w:rFonts w:hint="eastAsia"/>
          <w:b/>
          <w:bCs/>
          <w:color w:val="auto"/>
          <w:highlight w:val="none"/>
        </w:rPr>
      </w:pPr>
    </w:p>
    <w:p>
      <w:pPr>
        <w:spacing w:line="360" w:lineRule="auto"/>
        <w:ind w:firstLine="420"/>
        <w:rPr>
          <w:b/>
          <w:bCs/>
          <w:color w:val="auto"/>
          <w:highlight w:val="none"/>
        </w:rPr>
      </w:pPr>
      <w:r>
        <w:rPr>
          <w:rFonts w:hint="eastAsia"/>
          <w:b/>
          <w:bCs/>
          <w:color w:val="auto"/>
          <w:highlight w:val="none"/>
        </w:rPr>
        <w:t>表2</w:t>
      </w:r>
    </w:p>
    <w:tbl>
      <w:tblPr>
        <w:tblStyle w:val="4"/>
        <w:tblW w:w="9686"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251"/>
        <w:gridCol w:w="1786"/>
        <w:gridCol w:w="187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序号</w:t>
            </w:r>
          </w:p>
        </w:tc>
        <w:tc>
          <w:tcPr>
            <w:tcW w:w="3251" w:type="dxa"/>
          </w:tcPr>
          <w:p>
            <w:pPr>
              <w:spacing w:line="360" w:lineRule="auto"/>
              <w:rPr>
                <w:color w:val="auto"/>
                <w:highlight w:val="none"/>
              </w:rPr>
            </w:pPr>
            <w:r>
              <w:rPr>
                <w:rFonts w:hint="eastAsia"/>
                <w:color w:val="auto"/>
                <w:highlight w:val="none"/>
              </w:rPr>
              <w:t>废旧物资材质组成</w:t>
            </w:r>
            <w:r>
              <w:rPr>
                <w:rFonts w:hint="eastAsia"/>
                <w:b/>
                <w:bCs/>
                <w:color w:val="auto"/>
                <w:highlight w:val="none"/>
              </w:rPr>
              <w:t>重量</w:t>
            </w:r>
            <w:r>
              <w:rPr>
                <w:rFonts w:hint="eastAsia"/>
                <w:color w:val="auto"/>
                <w:highlight w:val="none"/>
              </w:rPr>
              <w:t>比例：</w:t>
            </w:r>
          </w:p>
          <w:p>
            <w:pPr>
              <w:spacing w:line="360" w:lineRule="auto"/>
              <w:rPr>
                <w:color w:val="auto"/>
                <w:highlight w:val="none"/>
              </w:rPr>
            </w:pPr>
            <w:r>
              <w:rPr>
                <w:rFonts w:hint="eastAsia"/>
                <w:color w:val="auto"/>
                <w:highlight w:val="none"/>
              </w:rPr>
              <w:t>塑料、玻璃钢等非金属/金属等其他</w:t>
            </w:r>
          </w:p>
        </w:tc>
        <w:tc>
          <w:tcPr>
            <w:tcW w:w="1786" w:type="dxa"/>
          </w:tcPr>
          <w:p>
            <w:pPr>
              <w:spacing w:line="360" w:lineRule="auto"/>
              <w:rPr>
                <w:color w:val="auto"/>
                <w:highlight w:val="none"/>
              </w:rPr>
            </w:pPr>
            <w:r>
              <w:rPr>
                <w:rFonts w:hint="eastAsia"/>
                <w:color w:val="auto"/>
                <w:highlight w:val="none"/>
              </w:rPr>
              <w:t>金属部分过磅综合单价（元/吨）</w:t>
            </w:r>
          </w:p>
        </w:tc>
        <w:tc>
          <w:tcPr>
            <w:tcW w:w="1879" w:type="dxa"/>
          </w:tcPr>
          <w:p>
            <w:pPr>
              <w:spacing w:line="360" w:lineRule="auto"/>
              <w:rPr>
                <w:color w:val="auto"/>
                <w:highlight w:val="none"/>
              </w:rPr>
            </w:pPr>
            <w:r>
              <w:rPr>
                <w:rFonts w:hint="eastAsia"/>
                <w:color w:val="auto"/>
                <w:highlight w:val="none"/>
              </w:rPr>
              <w:t>含非金属整体过磅综合单价浮动比例（%）</w:t>
            </w:r>
          </w:p>
        </w:tc>
        <w:tc>
          <w:tcPr>
            <w:tcW w:w="1863" w:type="dxa"/>
          </w:tcPr>
          <w:p>
            <w:pPr>
              <w:spacing w:line="360" w:lineRule="auto"/>
              <w:rPr>
                <w:color w:val="auto"/>
                <w:highlight w:val="none"/>
              </w:rPr>
            </w:pPr>
            <w:r>
              <w:rPr>
                <w:rFonts w:hint="eastAsia"/>
                <w:color w:val="auto"/>
                <w:highlight w:val="none"/>
              </w:rPr>
              <w:t>含非金属整体过磅综合单价</w:t>
            </w:r>
          </w:p>
          <w:p>
            <w:pPr>
              <w:spacing w:line="360" w:lineRule="auto"/>
              <w:rPr>
                <w:color w:val="auto"/>
                <w:highlight w:val="none"/>
              </w:rPr>
            </w:pPr>
            <w:r>
              <w:rPr>
                <w:rFonts w:hint="eastAsia"/>
                <w:color w:val="auto"/>
                <w:highlight w:val="none"/>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spacing w:line="360" w:lineRule="auto"/>
              <w:rPr>
                <w:color w:val="auto"/>
                <w:highlight w:val="none"/>
              </w:rPr>
            </w:pPr>
            <w:r>
              <w:rPr>
                <w:rFonts w:hint="eastAsia"/>
                <w:color w:val="auto"/>
                <w:highlight w:val="none"/>
              </w:rPr>
              <w:t>1</w:t>
            </w:r>
          </w:p>
        </w:tc>
        <w:tc>
          <w:tcPr>
            <w:tcW w:w="3251" w:type="dxa"/>
          </w:tcPr>
          <w:p>
            <w:pPr>
              <w:spacing w:line="360" w:lineRule="auto"/>
              <w:rPr>
                <w:color w:val="auto"/>
                <w:highlight w:val="none"/>
              </w:rPr>
            </w:pPr>
            <w:r>
              <w:rPr>
                <w:rFonts w:hint="eastAsia"/>
                <w:color w:val="auto"/>
                <w:highlight w:val="none"/>
              </w:rPr>
              <w:t>非金属/（金属+非金属）重量＜5%</w:t>
            </w:r>
          </w:p>
        </w:tc>
        <w:tc>
          <w:tcPr>
            <w:tcW w:w="1786" w:type="dxa"/>
          </w:tcPr>
          <w:p>
            <w:pPr>
              <w:spacing w:line="360" w:lineRule="auto"/>
              <w:rPr>
                <w:color w:val="auto"/>
                <w:highlight w:val="none"/>
              </w:rPr>
            </w:pPr>
            <w:r>
              <w:rPr>
                <w:rFonts w:hint="eastAsia"/>
                <w:color w:val="auto"/>
                <w:highlight w:val="none"/>
              </w:rPr>
              <w:t>根据表1计算，无需填写</w:t>
            </w:r>
          </w:p>
        </w:tc>
        <w:tc>
          <w:tcPr>
            <w:tcW w:w="1879" w:type="dxa"/>
          </w:tcPr>
          <w:p>
            <w:pPr>
              <w:spacing w:line="360" w:lineRule="auto"/>
              <w:rPr>
                <w:color w:val="auto"/>
                <w:highlight w:val="none"/>
              </w:rPr>
            </w:pPr>
            <w:r>
              <w:rPr>
                <w:rFonts w:hint="eastAsia"/>
                <w:color w:val="auto"/>
                <w:highlight w:val="none"/>
              </w:rPr>
              <w:t>（此处由处理商填写浮动比例）</w:t>
            </w:r>
          </w:p>
        </w:tc>
        <w:tc>
          <w:tcPr>
            <w:tcW w:w="1863" w:type="dxa"/>
          </w:tcPr>
          <w:p>
            <w:pPr>
              <w:spacing w:line="360" w:lineRule="auto"/>
              <w:rPr>
                <w:color w:val="auto"/>
                <w:highlight w:val="none"/>
              </w:rPr>
            </w:pPr>
            <w:r>
              <w:rPr>
                <w:rFonts w:hint="eastAsia"/>
                <w:color w:val="auto"/>
                <w:highlight w:val="none"/>
              </w:rPr>
              <w:t>（此处由公式计算，无需填写）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07" w:type="dxa"/>
          </w:tcPr>
          <w:p>
            <w:pPr>
              <w:spacing w:line="360" w:lineRule="auto"/>
              <w:rPr>
                <w:color w:val="auto"/>
                <w:highlight w:val="none"/>
              </w:rPr>
            </w:pPr>
            <w:r>
              <w:rPr>
                <w:rFonts w:hint="eastAsia"/>
                <w:color w:val="auto"/>
                <w:highlight w:val="none"/>
              </w:rPr>
              <w:t>2</w:t>
            </w:r>
          </w:p>
        </w:tc>
        <w:tc>
          <w:tcPr>
            <w:tcW w:w="3251" w:type="dxa"/>
          </w:tcPr>
          <w:p>
            <w:pPr>
              <w:spacing w:line="360" w:lineRule="auto"/>
              <w:rPr>
                <w:color w:val="auto"/>
                <w:highlight w:val="none"/>
              </w:rPr>
            </w:pPr>
            <w:r>
              <w:rPr>
                <w:rFonts w:hint="eastAsia"/>
                <w:color w:val="auto"/>
                <w:highlight w:val="none"/>
              </w:rPr>
              <w:t>5%≤非金属/（金属+非金属）重量＜1</w:t>
            </w:r>
            <w:r>
              <w:rPr>
                <w:color w:val="auto"/>
                <w:highlight w:val="none"/>
              </w:rPr>
              <w:t>0</w:t>
            </w:r>
            <w:r>
              <w:rPr>
                <w:rFonts w:hint="eastAsia"/>
                <w:color w:val="auto"/>
                <w:highlight w:val="none"/>
              </w:rPr>
              <w:t>%</w:t>
            </w:r>
          </w:p>
        </w:tc>
        <w:tc>
          <w:tcPr>
            <w:tcW w:w="1786" w:type="dxa"/>
          </w:tcPr>
          <w:p>
            <w:pPr>
              <w:spacing w:line="360" w:lineRule="auto"/>
              <w:rPr>
                <w:color w:val="auto"/>
                <w:highlight w:val="none"/>
              </w:rPr>
            </w:pPr>
            <w:r>
              <w:rPr>
                <w:rFonts w:hint="eastAsia"/>
                <w:color w:val="auto"/>
                <w:highlight w:val="none"/>
              </w:rPr>
              <w:t>根据表1计算，无需填写</w:t>
            </w:r>
          </w:p>
        </w:tc>
        <w:tc>
          <w:tcPr>
            <w:tcW w:w="1879" w:type="dxa"/>
          </w:tcPr>
          <w:p>
            <w:pPr>
              <w:spacing w:line="360" w:lineRule="auto"/>
              <w:rPr>
                <w:color w:val="auto"/>
                <w:highlight w:val="none"/>
              </w:rPr>
            </w:pPr>
            <w:r>
              <w:rPr>
                <w:rFonts w:hint="eastAsia"/>
                <w:color w:val="auto"/>
                <w:highlight w:val="none"/>
              </w:rPr>
              <w:t>（此处由处理商填写浮动比例）</w:t>
            </w:r>
          </w:p>
        </w:tc>
        <w:tc>
          <w:tcPr>
            <w:tcW w:w="1863" w:type="dxa"/>
          </w:tcPr>
          <w:p>
            <w:pPr>
              <w:spacing w:line="360" w:lineRule="auto"/>
              <w:rPr>
                <w:color w:val="auto"/>
                <w:highlight w:val="none"/>
              </w:rPr>
            </w:pPr>
            <w:r>
              <w:rPr>
                <w:rFonts w:hint="eastAsia"/>
                <w:color w:val="auto"/>
                <w:highlight w:val="none"/>
              </w:rPr>
              <w:t>（此处由公式计算，无需填写）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7" w:type="dxa"/>
          </w:tcPr>
          <w:p>
            <w:pPr>
              <w:spacing w:line="360" w:lineRule="auto"/>
              <w:rPr>
                <w:color w:val="auto"/>
                <w:highlight w:val="none"/>
              </w:rPr>
            </w:pPr>
            <w:r>
              <w:rPr>
                <w:rFonts w:hint="eastAsia"/>
                <w:color w:val="auto"/>
                <w:highlight w:val="none"/>
              </w:rPr>
              <w:t>3</w:t>
            </w:r>
          </w:p>
        </w:tc>
        <w:tc>
          <w:tcPr>
            <w:tcW w:w="3251" w:type="dxa"/>
          </w:tcPr>
          <w:p>
            <w:pPr>
              <w:spacing w:line="360" w:lineRule="auto"/>
              <w:rPr>
                <w:color w:val="auto"/>
                <w:highlight w:val="none"/>
              </w:rPr>
            </w:pPr>
            <w:r>
              <w:rPr>
                <w:color w:val="auto"/>
                <w:highlight w:val="none"/>
              </w:rPr>
              <w:t>10</w:t>
            </w:r>
            <w:r>
              <w:rPr>
                <w:rFonts w:hint="eastAsia"/>
                <w:color w:val="auto"/>
                <w:highlight w:val="none"/>
              </w:rPr>
              <w:t>%≤非金属/（金属+非金属）重量＜2</w:t>
            </w:r>
            <w:r>
              <w:rPr>
                <w:color w:val="auto"/>
                <w:highlight w:val="none"/>
              </w:rPr>
              <w:t>0</w:t>
            </w:r>
            <w:r>
              <w:rPr>
                <w:rFonts w:hint="eastAsia"/>
                <w:color w:val="auto"/>
                <w:highlight w:val="none"/>
              </w:rPr>
              <w:t>%</w:t>
            </w:r>
          </w:p>
        </w:tc>
        <w:tc>
          <w:tcPr>
            <w:tcW w:w="1786" w:type="dxa"/>
          </w:tcPr>
          <w:p>
            <w:pPr>
              <w:spacing w:line="360" w:lineRule="auto"/>
              <w:rPr>
                <w:color w:val="auto"/>
                <w:highlight w:val="none"/>
              </w:rPr>
            </w:pPr>
            <w:r>
              <w:rPr>
                <w:rFonts w:hint="eastAsia"/>
                <w:color w:val="auto"/>
                <w:highlight w:val="none"/>
              </w:rPr>
              <w:t>根据表1计算，无需填写</w:t>
            </w:r>
          </w:p>
        </w:tc>
        <w:tc>
          <w:tcPr>
            <w:tcW w:w="1879" w:type="dxa"/>
          </w:tcPr>
          <w:p>
            <w:pPr>
              <w:spacing w:line="360" w:lineRule="auto"/>
              <w:rPr>
                <w:color w:val="auto"/>
                <w:highlight w:val="none"/>
              </w:rPr>
            </w:pPr>
            <w:r>
              <w:rPr>
                <w:rFonts w:hint="eastAsia"/>
                <w:color w:val="auto"/>
                <w:highlight w:val="none"/>
              </w:rPr>
              <w:t>（此处由处理商填写浮动比例）</w:t>
            </w:r>
          </w:p>
        </w:tc>
        <w:tc>
          <w:tcPr>
            <w:tcW w:w="1863" w:type="dxa"/>
          </w:tcPr>
          <w:p>
            <w:pPr>
              <w:spacing w:line="360" w:lineRule="auto"/>
              <w:rPr>
                <w:color w:val="auto"/>
                <w:highlight w:val="none"/>
              </w:rPr>
            </w:pPr>
            <w:r>
              <w:rPr>
                <w:rFonts w:hint="eastAsia"/>
                <w:color w:val="auto"/>
                <w:highlight w:val="none"/>
              </w:rPr>
              <w:t>（此处由公式计算，无需填写）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7" w:type="dxa"/>
          </w:tcPr>
          <w:p>
            <w:pPr>
              <w:spacing w:line="360" w:lineRule="auto"/>
              <w:rPr>
                <w:color w:val="auto"/>
                <w:highlight w:val="none"/>
              </w:rPr>
            </w:pPr>
            <w:r>
              <w:rPr>
                <w:rFonts w:hint="eastAsia"/>
                <w:color w:val="auto"/>
                <w:highlight w:val="none"/>
              </w:rPr>
              <w:t>4</w:t>
            </w:r>
          </w:p>
        </w:tc>
        <w:tc>
          <w:tcPr>
            <w:tcW w:w="3251" w:type="dxa"/>
          </w:tcPr>
          <w:p>
            <w:pPr>
              <w:spacing w:line="360" w:lineRule="auto"/>
              <w:rPr>
                <w:color w:val="auto"/>
                <w:highlight w:val="none"/>
              </w:rPr>
            </w:pPr>
            <w:r>
              <w:rPr>
                <w:color w:val="auto"/>
                <w:highlight w:val="none"/>
              </w:rPr>
              <w:t>20</w:t>
            </w:r>
            <w:r>
              <w:rPr>
                <w:rFonts w:hint="eastAsia"/>
                <w:color w:val="auto"/>
                <w:highlight w:val="none"/>
              </w:rPr>
              <w:t>%≤非金属/（金属+非金属）重量＜3</w:t>
            </w:r>
            <w:r>
              <w:rPr>
                <w:color w:val="auto"/>
                <w:highlight w:val="none"/>
              </w:rPr>
              <w:t>0</w:t>
            </w:r>
            <w:r>
              <w:rPr>
                <w:rFonts w:hint="eastAsia"/>
                <w:color w:val="auto"/>
                <w:highlight w:val="none"/>
              </w:rPr>
              <w:t>%</w:t>
            </w:r>
          </w:p>
        </w:tc>
        <w:tc>
          <w:tcPr>
            <w:tcW w:w="1786" w:type="dxa"/>
          </w:tcPr>
          <w:p>
            <w:pPr>
              <w:spacing w:line="360" w:lineRule="auto"/>
              <w:rPr>
                <w:color w:val="auto"/>
                <w:highlight w:val="none"/>
              </w:rPr>
            </w:pPr>
            <w:r>
              <w:rPr>
                <w:rFonts w:hint="eastAsia"/>
                <w:color w:val="auto"/>
                <w:highlight w:val="none"/>
              </w:rPr>
              <w:t>根据表1计算，无需填写</w:t>
            </w:r>
          </w:p>
        </w:tc>
        <w:tc>
          <w:tcPr>
            <w:tcW w:w="1879" w:type="dxa"/>
          </w:tcPr>
          <w:p>
            <w:pPr>
              <w:spacing w:line="360" w:lineRule="auto"/>
              <w:rPr>
                <w:color w:val="auto"/>
                <w:highlight w:val="none"/>
              </w:rPr>
            </w:pPr>
            <w:r>
              <w:rPr>
                <w:rFonts w:hint="eastAsia"/>
                <w:color w:val="auto"/>
                <w:highlight w:val="none"/>
              </w:rPr>
              <w:t>（此处由处理商填写浮动比例）</w:t>
            </w:r>
          </w:p>
        </w:tc>
        <w:tc>
          <w:tcPr>
            <w:tcW w:w="1863" w:type="dxa"/>
          </w:tcPr>
          <w:p>
            <w:pPr>
              <w:spacing w:line="360" w:lineRule="auto"/>
              <w:rPr>
                <w:color w:val="auto"/>
                <w:highlight w:val="none"/>
              </w:rPr>
            </w:pPr>
            <w:r>
              <w:rPr>
                <w:rFonts w:hint="eastAsia"/>
                <w:color w:val="auto"/>
                <w:highlight w:val="none"/>
              </w:rPr>
              <w:t>（此处由公式计算，无需填写）</w:t>
            </w:r>
          </w:p>
        </w:tc>
      </w:tr>
    </w:tbl>
    <w:p>
      <w:pPr>
        <w:spacing w:line="360" w:lineRule="auto"/>
        <w:ind w:firstLine="420"/>
        <w:rPr>
          <w:b/>
          <w:bCs/>
          <w:color w:val="auto"/>
          <w:highlight w:val="none"/>
        </w:rPr>
      </w:pPr>
      <w:r>
        <w:rPr>
          <w:rFonts w:hint="eastAsia"/>
          <w:b/>
          <w:bCs/>
          <w:color w:val="auto"/>
          <w:highlight w:val="none"/>
        </w:rPr>
        <w:t>计算举例：</w:t>
      </w:r>
    </w:p>
    <w:p>
      <w:pPr>
        <w:spacing w:line="360" w:lineRule="auto"/>
        <w:ind w:firstLine="420"/>
        <w:rPr>
          <w:color w:val="auto"/>
          <w:highlight w:val="none"/>
        </w:rPr>
      </w:pPr>
      <w:r>
        <w:rPr>
          <w:rFonts w:hint="eastAsia"/>
          <w:color w:val="auto"/>
          <w:highlight w:val="none"/>
        </w:rPr>
        <w:t>基础信息2020/9/18废旧物资网304不锈钢市场基准价7000元/吨，废铁1700元/吨。</w:t>
      </w:r>
    </w:p>
    <w:p>
      <w:pPr>
        <w:spacing w:line="360" w:lineRule="auto"/>
        <w:ind w:firstLine="420"/>
        <w:rPr>
          <w:color w:val="auto"/>
          <w:highlight w:val="none"/>
        </w:rPr>
      </w:pPr>
      <w:r>
        <w:rPr>
          <w:rFonts w:hint="eastAsia"/>
          <w:color w:val="auto"/>
          <w:highlight w:val="none"/>
        </w:rPr>
        <w:t>对于304不锈钢/废铁/塑料、玻璃钢等其他（非垃圾）重量分别为</w:t>
      </w:r>
      <w:r>
        <w:rPr>
          <w:color w:val="auto"/>
          <w:highlight w:val="none"/>
        </w:rPr>
        <w:t>3</w:t>
      </w:r>
      <w:r>
        <w:rPr>
          <w:rFonts w:hint="eastAsia"/>
          <w:color w:val="auto"/>
          <w:highlight w:val="none"/>
        </w:rPr>
        <w:t>吨 /</w:t>
      </w:r>
      <w:r>
        <w:rPr>
          <w:color w:val="auto"/>
          <w:highlight w:val="none"/>
        </w:rPr>
        <w:t>6</w:t>
      </w:r>
      <w:r>
        <w:rPr>
          <w:rFonts w:hint="eastAsia"/>
          <w:color w:val="auto"/>
          <w:highlight w:val="none"/>
        </w:rPr>
        <w:t>吨/0</w:t>
      </w:r>
      <w:r>
        <w:rPr>
          <w:color w:val="auto"/>
          <w:highlight w:val="none"/>
        </w:rPr>
        <w:t>.2</w:t>
      </w:r>
      <w:r>
        <w:rPr>
          <w:rFonts w:hint="eastAsia"/>
          <w:color w:val="auto"/>
          <w:highlight w:val="none"/>
        </w:rPr>
        <w:t>吨的废旧物资堆，其非金属/（金属+非金属）重量=</w:t>
      </w:r>
      <w:r>
        <w:rPr>
          <w:color w:val="auto"/>
          <w:highlight w:val="none"/>
        </w:rPr>
        <w:t>0.2/</w:t>
      </w:r>
      <w:r>
        <w:rPr>
          <w:rFonts w:hint="eastAsia"/>
          <w:color w:val="auto"/>
          <w:highlight w:val="none"/>
        </w:rPr>
        <w:t>（3</w:t>
      </w:r>
      <w:r>
        <w:rPr>
          <w:color w:val="auto"/>
          <w:highlight w:val="none"/>
        </w:rPr>
        <w:t>+6+0.2</w:t>
      </w:r>
      <w:r>
        <w:rPr>
          <w:rFonts w:hint="eastAsia"/>
          <w:color w:val="auto"/>
          <w:highlight w:val="none"/>
        </w:rPr>
        <w:t>）=</w:t>
      </w:r>
      <w:r>
        <w:rPr>
          <w:color w:val="auto"/>
          <w:highlight w:val="none"/>
        </w:rPr>
        <w:t>2.2</w:t>
      </w:r>
      <w:r>
        <w:rPr>
          <w:rFonts w:hint="eastAsia"/>
          <w:color w:val="auto"/>
          <w:highlight w:val="none"/>
        </w:rPr>
        <w:t>%。</w:t>
      </w:r>
    </w:p>
    <w:p>
      <w:pPr>
        <w:spacing w:line="360" w:lineRule="auto"/>
        <w:ind w:firstLine="420"/>
        <w:rPr>
          <w:color w:val="auto"/>
          <w:highlight w:val="none"/>
        </w:rPr>
      </w:pPr>
      <w:r>
        <w:rPr>
          <w:rFonts w:hint="eastAsia"/>
          <w:color w:val="auto"/>
          <w:highlight w:val="none"/>
        </w:rPr>
        <w:t>A处理商报价：304不锈钢在基准价上浮动</w:t>
      </w:r>
      <w:r>
        <w:rPr>
          <w:color w:val="auto"/>
          <w:highlight w:val="none"/>
        </w:rPr>
        <w:t>+</w:t>
      </w:r>
      <w:r>
        <w:rPr>
          <w:rFonts w:hint="eastAsia"/>
          <w:color w:val="auto"/>
          <w:highlight w:val="none"/>
        </w:rPr>
        <w:t>10%，废铁在基准价上浮动</w:t>
      </w:r>
      <w:r>
        <w:rPr>
          <w:color w:val="auto"/>
          <w:highlight w:val="none"/>
        </w:rPr>
        <w:t>+</w:t>
      </w:r>
      <w:r>
        <w:rPr>
          <w:rFonts w:hint="eastAsia"/>
          <w:color w:val="auto"/>
          <w:highlight w:val="none"/>
        </w:rPr>
        <w:t>8%，含非金属整体过磅综合单价浮动-</w:t>
      </w:r>
      <w:r>
        <w:rPr>
          <w:color w:val="auto"/>
          <w:highlight w:val="none"/>
        </w:rPr>
        <w:t>1</w:t>
      </w:r>
      <w:r>
        <w:rPr>
          <w:rFonts w:hint="eastAsia"/>
          <w:color w:val="auto"/>
          <w:highlight w:val="none"/>
        </w:rPr>
        <w:t>%，那么</w:t>
      </w:r>
    </w:p>
    <w:p>
      <w:pPr>
        <w:spacing w:line="360" w:lineRule="auto"/>
        <w:ind w:firstLine="420"/>
        <w:rPr>
          <w:color w:val="auto"/>
          <w:highlight w:val="green"/>
        </w:rPr>
      </w:pPr>
      <w:r>
        <w:rPr>
          <w:rFonts w:hint="eastAsia"/>
          <w:color w:val="auto"/>
          <w:highlight w:val="none"/>
        </w:rPr>
        <w:t>含非金属整体过磅综合单价</w:t>
      </w:r>
      <w:r>
        <w:rPr>
          <w:rFonts w:hint="eastAsia"/>
          <w:i/>
          <w:iCs/>
          <w:color w:val="auto"/>
          <w:highlight w:val="none"/>
        </w:rPr>
        <w:t>=[(1</w:t>
      </w:r>
      <w:r>
        <w:rPr>
          <w:i/>
          <w:iCs/>
          <w:color w:val="auto"/>
          <w:highlight w:val="none"/>
        </w:rPr>
        <w:t>+</w:t>
      </w:r>
      <w:r>
        <w:rPr>
          <w:rFonts w:hint="eastAsia"/>
          <w:i/>
          <w:iCs/>
          <w:color w:val="auto"/>
          <w:highlight w:val="none"/>
        </w:rPr>
        <w:t>10%)*7000*</w:t>
      </w:r>
      <w:r>
        <w:rPr>
          <w:i/>
          <w:iCs/>
          <w:color w:val="auto"/>
          <w:highlight w:val="none"/>
        </w:rPr>
        <w:t>3</w:t>
      </w:r>
      <w:r>
        <w:rPr>
          <w:rFonts w:hint="eastAsia"/>
          <w:i/>
          <w:iCs/>
          <w:color w:val="auto"/>
          <w:highlight w:val="none"/>
        </w:rPr>
        <w:t>+(1</w:t>
      </w:r>
      <w:r>
        <w:rPr>
          <w:i/>
          <w:iCs/>
          <w:color w:val="auto"/>
          <w:highlight w:val="none"/>
        </w:rPr>
        <w:t>+</w:t>
      </w:r>
      <w:r>
        <w:rPr>
          <w:rFonts w:hint="eastAsia"/>
          <w:i/>
          <w:iCs/>
          <w:color w:val="auto"/>
          <w:highlight w:val="none"/>
        </w:rPr>
        <w:t>8%)*1700*</w:t>
      </w:r>
      <w:r>
        <w:rPr>
          <w:i/>
          <w:iCs/>
          <w:color w:val="auto"/>
          <w:highlight w:val="none"/>
        </w:rPr>
        <w:t>6</w:t>
      </w:r>
      <w:r>
        <w:rPr>
          <w:rFonts w:hint="eastAsia"/>
          <w:i/>
          <w:iCs/>
          <w:color w:val="auto"/>
          <w:highlight w:val="none"/>
        </w:rPr>
        <w:t>]</w:t>
      </w:r>
      <w:r>
        <w:rPr>
          <w:i/>
          <w:iCs/>
          <w:color w:val="auto"/>
          <w:highlight w:val="none"/>
        </w:rPr>
        <w:t>/</w:t>
      </w:r>
      <w:r>
        <w:rPr>
          <w:rFonts w:hint="eastAsia"/>
          <w:i/>
          <w:iCs/>
          <w:color w:val="auto"/>
          <w:highlight w:val="none"/>
        </w:rPr>
        <w:t>（3</w:t>
      </w:r>
      <w:r>
        <w:rPr>
          <w:i/>
          <w:iCs/>
          <w:color w:val="auto"/>
          <w:highlight w:val="none"/>
        </w:rPr>
        <w:t>+6</w:t>
      </w:r>
      <w:r>
        <w:rPr>
          <w:rFonts w:hint="eastAsia"/>
          <w:i/>
          <w:iCs/>
          <w:color w:val="auto"/>
          <w:highlight w:val="none"/>
        </w:rPr>
        <w:t>）*(1-</w:t>
      </w:r>
      <w:r>
        <w:rPr>
          <w:i/>
          <w:iCs/>
          <w:color w:val="auto"/>
          <w:highlight w:val="none"/>
        </w:rPr>
        <w:t>1</w:t>
      </w:r>
      <w:r>
        <w:rPr>
          <w:rFonts w:hint="eastAsia"/>
          <w:i/>
          <w:iCs/>
          <w:color w:val="auto"/>
          <w:highlight w:val="none"/>
        </w:rPr>
        <w:t>%)=</w:t>
      </w:r>
      <w:r>
        <w:rPr>
          <w:i/>
          <w:iCs/>
          <w:color w:val="auto"/>
          <w:highlight w:val="none"/>
        </w:rPr>
        <w:t>3752.7</w:t>
      </w:r>
      <w:r>
        <w:rPr>
          <w:rFonts w:hint="eastAsia"/>
          <w:i/>
          <w:iCs/>
          <w:color w:val="auto"/>
          <w:highlight w:val="none"/>
        </w:rPr>
        <w:t>元/吨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D0934"/>
    <w:multiLevelType w:val="multilevel"/>
    <w:tmpl w:val="5E4D0934"/>
    <w:lvl w:ilvl="0" w:tentative="0">
      <w:start w:val="1"/>
      <w:numFmt w:val="decimal"/>
      <w:lvlText w:val="%1、"/>
      <w:lvlJc w:val="left"/>
      <w:pPr>
        <w:ind w:left="324" w:hanging="324"/>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Dc2NmRmYjRiOTgxYmEzNjE3NWQ4NWUwMDZmYWQifQ=="/>
  </w:docVars>
  <w:rsids>
    <w:rsidRoot w:val="00000000"/>
    <w:rsid w:val="3B6F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annotation text"/>
    <w:basedOn w:val="1"/>
    <w:semiHidden/>
    <w:unhideWhenUsed/>
    <w:qFormat/>
    <w:uiPriority w:val="99"/>
    <w:pPr>
      <w:jc w:val="left"/>
    </w:pPr>
  </w:style>
  <w:style w:type="paragraph" w:styleId="6">
    <w:name w:val="List Paragraph"/>
    <w:basedOn w:val="1"/>
    <w:autoRedefine/>
    <w:qFormat/>
    <w:uiPriority w:val="34"/>
    <w:pPr>
      <w:autoSpaceDE w:val="0"/>
      <w:autoSpaceDN w:val="0"/>
      <w:adjustRightInd w:val="0"/>
      <w:ind w:firstLine="420" w:firstLineChars="200"/>
      <w:jc w:val="left"/>
      <w:textAlignment w:val="baseline"/>
    </w:pPr>
    <w:rPr>
      <w:rFonts w:ascii="宋体"/>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2024-05-30T07:24:08Z</dcterms:created>
  <dc:creator>Administrator</dc:creator>
  <cp:lastModifiedBy>Administrator</cp:lastModifiedBy>
  <dcterms:modified xsi:type="dcterms:W3CDTF">2024-05-30T07:24:19Z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A5F51C9EF8214DA18E9A638845B4E4E5_12</vt:lpwstr>
  </property>
</Properties>
</file>